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5C5A6C" w14:textId="50BF44FB" w:rsidR="00E965F1" w:rsidRPr="00000DD3" w:rsidRDefault="00E965F1" w:rsidP="00874B98">
      <w:pPr>
        <w:spacing w:line="360" w:lineRule="auto"/>
        <w:jc w:val="both"/>
        <w:rPr>
          <w:rFonts w:ascii="Book Antiqua" w:hAnsi="Book Antiqua"/>
          <w:b/>
        </w:rPr>
      </w:pPr>
      <w:r w:rsidRPr="00000DD3">
        <w:rPr>
          <w:rFonts w:ascii="Book Antiqua" w:hAnsi="Book Antiqua"/>
          <w:b/>
        </w:rPr>
        <w:t xml:space="preserve">Name of Journal: </w:t>
      </w:r>
      <w:r w:rsidRPr="00000DD3">
        <w:rPr>
          <w:rFonts w:ascii="Book Antiqua" w:hAnsi="Book Antiqua"/>
          <w:i/>
        </w:rPr>
        <w:t>World Journal of Stem Cells</w:t>
      </w:r>
    </w:p>
    <w:p w14:paraId="7005AA10" w14:textId="6C50182D" w:rsidR="00E965F1" w:rsidRPr="00000DD3" w:rsidRDefault="00E965F1" w:rsidP="00874B98">
      <w:pPr>
        <w:spacing w:line="360" w:lineRule="auto"/>
        <w:jc w:val="both"/>
        <w:rPr>
          <w:rFonts w:ascii="Book Antiqua" w:hAnsi="Book Antiqua"/>
          <w:b/>
        </w:rPr>
      </w:pPr>
      <w:r w:rsidRPr="00000DD3">
        <w:rPr>
          <w:rFonts w:ascii="Book Antiqua" w:hAnsi="Book Antiqua"/>
          <w:b/>
        </w:rPr>
        <w:t xml:space="preserve">Manuscript NO: </w:t>
      </w:r>
      <w:r w:rsidRPr="00000DD3">
        <w:rPr>
          <w:rFonts w:ascii="Book Antiqua" w:eastAsia="黑体" w:hAnsi="Book Antiqua"/>
          <w:lang w:eastAsia="zh-CN"/>
        </w:rPr>
        <w:t>46623</w:t>
      </w:r>
    </w:p>
    <w:p w14:paraId="62E56D44" w14:textId="3468BDD0" w:rsidR="00E965F1" w:rsidRPr="00000DD3" w:rsidRDefault="00E965F1" w:rsidP="00874B98">
      <w:pPr>
        <w:spacing w:line="360" w:lineRule="auto"/>
        <w:jc w:val="both"/>
        <w:rPr>
          <w:rFonts w:ascii="Book Antiqua" w:eastAsia="黑体" w:hAnsi="Book Antiqua"/>
          <w:b/>
          <w:lang w:eastAsia="zh-CN"/>
        </w:rPr>
      </w:pPr>
      <w:r w:rsidRPr="00000DD3">
        <w:rPr>
          <w:rFonts w:ascii="Book Antiqua" w:hAnsi="Book Antiqua"/>
          <w:b/>
        </w:rPr>
        <w:t>Manuscript Type:</w:t>
      </w:r>
      <w:r w:rsidRPr="00000DD3">
        <w:rPr>
          <w:rFonts w:ascii="Book Antiqua" w:hAnsi="Book Antiqua" w:cstheme="minorHAnsi"/>
        </w:rPr>
        <w:t xml:space="preserve"> REVIEW</w:t>
      </w:r>
    </w:p>
    <w:p w14:paraId="5CD8B33F" w14:textId="77777777" w:rsidR="00500402" w:rsidRPr="00000DD3" w:rsidRDefault="00500402" w:rsidP="00874B98">
      <w:pPr>
        <w:spacing w:line="360" w:lineRule="auto"/>
        <w:jc w:val="both"/>
        <w:rPr>
          <w:rFonts w:ascii="Book Antiqua" w:eastAsia="黑体" w:hAnsi="Book Antiqua" w:cstheme="minorHAnsi"/>
          <w:b/>
          <w:lang w:eastAsia="zh-CN"/>
        </w:rPr>
      </w:pPr>
    </w:p>
    <w:p w14:paraId="23FCBF6C" w14:textId="3891E368" w:rsidR="001F0468" w:rsidRPr="00000DD3" w:rsidRDefault="001F0468" w:rsidP="00874B98">
      <w:pPr>
        <w:spacing w:line="360" w:lineRule="auto"/>
        <w:jc w:val="both"/>
        <w:rPr>
          <w:rFonts w:ascii="Book Antiqua" w:eastAsia="黑体" w:hAnsi="Book Antiqua" w:cstheme="minorHAnsi"/>
          <w:b/>
          <w:lang w:eastAsia="zh-CN"/>
        </w:rPr>
      </w:pPr>
      <w:r w:rsidRPr="00000DD3">
        <w:rPr>
          <w:rFonts w:ascii="Book Antiqua" w:hAnsi="Book Antiqua" w:cstheme="minorHAnsi"/>
          <w:b/>
        </w:rPr>
        <w:t>Mesenchymal stem cells for</w:t>
      </w:r>
      <w:r w:rsidR="00E965F1" w:rsidRPr="00000DD3">
        <w:rPr>
          <w:rFonts w:ascii="Book Antiqua" w:hAnsi="Book Antiqua" w:cstheme="minorHAnsi"/>
          <w:b/>
        </w:rPr>
        <w:t xml:space="preserve"> cartilage regeneration in dogs</w:t>
      </w:r>
    </w:p>
    <w:p w14:paraId="3E273D85" w14:textId="77777777" w:rsidR="00BA00F8" w:rsidRPr="00000DD3" w:rsidRDefault="00BA00F8" w:rsidP="00874B98">
      <w:pPr>
        <w:spacing w:line="360" w:lineRule="auto"/>
        <w:jc w:val="both"/>
        <w:rPr>
          <w:rFonts w:ascii="Book Antiqua" w:eastAsia="黑体" w:hAnsi="Book Antiqua" w:cstheme="minorHAnsi"/>
          <w:b/>
          <w:lang w:eastAsia="zh-CN"/>
        </w:rPr>
      </w:pPr>
    </w:p>
    <w:p w14:paraId="2FF964B6" w14:textId="3D493FF4" w:rsidR="00500402" w:rsidRPr="00000DD3" w:rsidRDefault="00BA00F8" w:rsidP="00874B98">
      <w:pPr>
        <w:spacing w:line="360" w:lineRule="auto"/>
        <w:jc w:val="both"/>
        <w:rPr>
          <w:rFonts w:ascii="Book Antiqua" w:eastAsia="黑体" w:hAnsi="Book Antiqua" w:cstheme="minorHAnsi"/>
          <w:lang w:eastAsia="zh-CN"/>
        </w:rPr>
      </w:pPr>
      <w:r w:rsidRPr="00000DD3">
        <w:rPr>
          <w:rFonts w:ascii="Book Antiqua" w:hAnsi="Book Antiqua" w:cstheme="minorHAnsi"/>
        </w:rPr>
        <w:t>Sasaki</w:t>
      </w:r>
      <w:r w:rsidRPr="00000DD3">
        <w:rPr>
          <w:rFonts w:ascii="Book Antiqua" w:eastAsia="黑体" w:hAnsi="Book Antiqua" w:cstheme="minorHAnsi"/>
          <w:lang w:eastAsia="zh-CN"/>
        </w:rPr>
        <w:t xml:space="preserve"> A </w:t>
      </w:r>
      <w:r w:rsidRPr="00000DD3">
        <w:rPr>
          <w:rFonts w:ascii="Book Antiqua" w:eastAsia="黑体" w:hAnsi="Book Antiqua" w:cstheme="minorHAnsi"/>
          <w:i/>
          <w:lang w:eastAsia="zh-CN"/>
        </w:rPr>
        <w:t>et al.</w:t>
      </w:r>
      <w:r w:rsidRPr="00000DD3">
        <w:rPr>
          <w:rFonts w:ascii="Book Antiqua" w:eastAsia="黑体" w:hAnsi="Book Antiqua" w:cstheme="minorHAnsi"/>
          <w:lang w:eastAsia="zh-CN"/>
        </w:rPr>
        <w:t xml:space="preserve"> MSCs</w:t>
      </w:r>
      <w:r w:rsidRPr="00000DD3">
        <w:rPr>
          <w:rFonts w:ascii="Book Antiqua" w:hAnsi="Book Antiqua" w:cstheme="minorHAnsi"/>
        </w:rPr>
        <w:t xml:space="preserve"> for cartilage regeneration in dogs</w:t>
      </w:r>
    </w:p>
    <w:p w14:paraId="026FF4E8" w14:textId="77777777" w:rsidR="00BA00F8" w:rsidRPr="00000DD3" w:rsidRDefault="00BA00F8" w:rsidP="00874B98">
      <w:pPr>
        <w:spacing w:line="360" w:lineRule="auto"/>
        <w:jc w:val="both"/>
        <w:rPr>
          <w:rFonts w:ascii="Book Antiqua" w:eastAsia="黑体" w:hAnsi="Book Antiqua" w:cstheme="minorHAnsi"/>
          <w:b/>
          <w:i/>
          <w:lang w:eastAsia="zh-CN"/>
        </w:rPr>
      </w:pPr>
    </w:p>
    <w:p w14:paraId="3248652E" w14:textId="642159E9" w:rsidR="001F0468" w:rsidRPr="00000DD3" w:rsidRDefault="001F0468" w:rsidP="00874B98">
      <w:pPr>
        <w:spacing w:line="360" w:lineRule="auto"/>
        <w:jc w:val="both"/>
        <w:rPr>
          <w:rFonts w:ascii="Book Antiqua" w:hAnsi="Book Antiqua" w:cstheme="minorHAnsi"/>
          <w:vertAlign w:val="superscript"/>
        </w:rPr>
      </w:pPr>
      <w:proofErr w:type="spellStart"/>
      <w:r w:rsidRPr="00000DD3">
        <w:rPr>
          <w:rFonts w:ascii="Book Antiqua" w:hAnsi="Book Antiqua" w:cstheme="minorHAnsi"/>
        </w:rPr>
        <w:t>Akari</w:t>
      </w:r>
      <w:proofErr w:type="spellEnd"/>
      <w:r w:rsidRPr="00000DD3">
        <w:rPr>
          <w:rFonts w:ascii="Book Antiqua" w:hAnsi="Book Antiqua" w:cstheme="minorHAnsi"/>
        </w:rPr>
        <w:t xml:space="preserve"> Sasaki, Mitsuru Mizun</w:t>
      </w:r>
      <w:r w:rsidR="00500402" w:rsidRPr="00000DD3">
        <w:rPr>
          <w:rFonts w:ascii="Book Antiqua" w:hAnsi="Book Antiqua" w:cstheme="minorHAnsi"/>
        </w:rPr>
        <w:t xml:space="preserve">o, </w:t>
      </w:r>
      <w:r w:rsidRPr="00000DD3">
        <w:rPr>
          <w:rFonts w:ascii="Book Antiqua" w:hAnsi="Book Antiqua" w:cstheme="minorHAnsi"/>
        </w:rPr>
        <w:t>Manabu Mochizuki, Ichiro Sekiya</w:t>
      </w:r>
    </w:p>
    <w:p w14:paraId="381602C0" w14:textId="6A8FEAB4" w:rsidR="00500402" w:rsidRPr="00000DD3" w:rsidRDefault="00500402" w:rsidP="00874B98">
      <w:pPr>
        <w:spacing w:line="360" w:lineRule="auto"/>
        <w:jc w:val="both"/>
        <w:rPr>
          <w:rFonts w:ascii="Book Antiqua" w:hAnsi="Book Antiqua" w:cstheme="minorHAnsi"/>
        </w:rPr>
      </w:pPr>
    </w:p>
    <w:p w14:paraId="0F19F6DF" w14:textId="6CE4F699" w:rsidR="00B73205" w:rsidRPr="00000DD3" w:rsidRDefault="00500402" w:rsidP="00874B98">
      <w:pPr>
        <w:spacing w:line="360" w:lineRule="auto"/>
        <w:jc w:val="both"/>
        <w:rPr>
          <w:rFonts w:ascii="Book Antiqua" w:eastAsia="黑体" w:hAnsi="Book Antiqua" w:cs="Arial"/>
          <w:lang w:eastAsia="zh-CN"/>
        </w:rPr>
      </w:pPr>
      <w:proofErr w:type="spellStart"/>
      <w:r w:rsidRPr="00000DD3">
        <w:rPr>
          <w:rFonts w:ascii="Book Antiqua" w:hAnsi="Book Antiqua" w:cs="Arial"/>
          <w:b/>
        </w:rPr>
        <w:t>Akari</w:t>
      </w:r>
      <w:proofErr w:type="spellEnd"/>
      <w:r w:rsidRPr="00000DD3">
        <w:rPr>
          <w:rFonts w:ascii="Book Antiqua" w:hAnsi="Book Antiqua" w:cs="Arial"/>
          <w:b/>
        </w:rPr>
        <w:t xml:space="preserve"> Sasaki, Manabu Mochizuki,</w:t>
      </w:r>
      <w:r w:rsidR="00B73205" w:rsidRPr="00000DD3">
        <w:rPr>
          <w:rFonts w:ascii="Book Antiqua" w:hAnsi="Book Antiqua" w:cs="Arial"/>
        </w:rPr>
        <w:t xml:space="preserve"> Laboratory of Veterinary Emergency Medicine, Graduate School of Agricultural and Life Sciences, </w:t>
      </w:r>
      <w:r w:rsidR="00303298" w:rsidRPr="00000DD3">
        <w:rPr>
          <w:rFonts w:ascii="Book Antiqua" w:hAnsi="Book Antiqua" w:cs="Arial"/>
        </w:rPr>
        <w:t>t</w:t>
      </w:r>
      <w:r w:rsidR="00B73205" w:rsidRPr="00000DD3">
        <w:rPr>
          <w:rFonts w:ascii="Book Antiqua" w:hAnsi="Book Antiqua" w:cs="Arial"/>
        </w:rPr>
        <w:t>he University of Tokyo,</w:t>
      </w:r>
      <w:r w:rsidR="00764A01" w:rsidRPr="00000DD3">
        <w:rPr>
          <w:rFonts w:ascii="Book Antiqua" w:hAnsi="Book Antiqua" w:cs="Arial"/>
        </w:rPr>
        <w:t xml:space="preserve"> Bunkyo-</w:t>
      </w:r>
      <w:proofErr w:type="spellStart"/>
      <w:r w:rsidR="00764A01" w:rsidRPr="00000DD3">
        <w:rPr>
          <w:rFonts w:ascii="Book Antiqua" w:hAnsi="Book Antiqua" w:cs="Arial"/>
        </w:rPr>
        <w:t>ku</w:t>
      </w:r>
      <w:proofErr w:type="spellEnd"/>
      <w:r w:rsidR="00764A01" w:rsidRPr="00000DD3">
        <w:rPr>
          <w:rFonts w:ascii="Book Antiqua" w:hAnsi="Book Antiqua" w:cs="Arial"/>
        </w:rPr>
        <w:t>,</w:t>
      </w:r>
      <w:r w:rsidR="00303298" w:rsidRPr="00000DD3">
        <w:rPr>
          <w:rFonts w:ascii="Book Antiqua" w:hAnsi="Book Antiqua" w:cs="Arial"/>
        </w:rPr>
        <w:t xml:space="preserve"> Tokyo</w:t>
      </w:r>
      <w:r w:rsidR="00CA0DE3" w:rsidRPr="00000DD3">
        <w:rPr>
          <w:rFonts w:ascii="Book Antiqua" w:eastAsia="黑体" w:hAnsi="Book Antiqua" w:cs="Arial"/>
          <w:lang w:eastAsia="zh-CN"/>
        </w:rPr>
        <w:t xml:space="preserve"> </w:t>
      </w:r>
      <w:r w:rsidR="00CA0DE3" w:rsidRPr="00000DD3">
        <w:rPr>
          <w:rFonts w:ascii="Book Antiqua" w:hAnsi="Book Antiqua" w:cs="Arial"/>
        </w:rPr>
        <w:t>113-8657</w:t>
      </w:r>
      <w:r w:rsidR="00303298" w:rsidRPr="00000DD3">
        <w:rPr>
          <w:rFonts w:ascii="Book Antiqua" w:hAnsi="Book Antiqua" w:cs="Arial"/>
        </w:rPr>
        <w:t>, Japan</w:t>
      </w:r>
    </w:p>
    <w:p w14:paraId="4EDA02CB" w14:textId="77777777" w:rsidR="00261C26" w:rsidRPr="00000DD3" w:rsidRDefault="00261C26" w:rsidP="00874B98">
      <w:pPr>
        <w:spacing w:line="360" w:lineRule="auto"/>
        <w:jc w:val="both"/>
        <w:rPr>
          <w:rFonts w:ascii="Book Antiqua" w:hAnsi="Book Antiqua" w:cs="Arial"/>
        </w:rPr>
      </w:pPr>
    </w:p>
    <w:p w14:paraId="0514D906" w14:textId="1C2827FC" w:rsidR="00B73205" w:rsidRPr="00000DD3" w:rsidRDefault="00500402" w:rsidP="00874B98">
      <w:pPr>
        <w:spacing w:line="360" w:lineRule="auto"/>
        <w:jc w:val="both"/>
        <w:rPr>
          <w:rFonts w:ascii="Book Antiqua" w:eastAsia="黑体" w:hAnsi="Book Antiqua" w:cs="Arial"/>
          <w:lang w:eastAsia="zh-CN"/>
        </w:rPr>
      </w:pPr>
      <w:r w:rsidRPr="00000DD3">
        <w:rPr>
          <w:rFonts w:ascii="Book Antiqua" w:hAnsi="Book Antiqua" w:cs="Arial"/>
          <w:b/>
        </w:rPr>
        <w:t>Mitsuru Mizuno, Ichiro Sekiya,</w:t>
      </w:r>
      <w:r w:rsidRPr="00000DD3">
        <w:rPr>
          <w:rFonts w:ascii="Book Antiqua" w:hAnsi="Book Antiqua" w:cs="Arial"/>
        </w:rPr>
        <w:t xml:space="preserve"> </w:t>
      </w:r>
      <w:r w:rsidR="00B73205" w:rsidRPr="00000DD3">
        <w:rPr>
          <w:rFonts w:ascii="Book Antiqua" w:hAnsi="Book Antiqua" w:cs="Arial"/>
        </w:rPr>
        <w:t>Center for Stem Cell and Regenerative Medicine, Tokyo Medical and Dental University,</w:t>
      </w:r>
      <w:r w:rsidR="00764A01" w:rsidRPr="00000DD3">
        <w:rPr>
          <w:rFonts w:ascii="Book Antiqua" w:hAnsi="Book Antiqua" w:cs="Arial"/>
        </w:rPr>
        <w:t xml:space="preserve"> Bunkyo-</w:t>
      </w:r>
      <w:proofErr w:type="spellStart"/>
      <w:r w:rsidR="00764A01" w:rsidRPr="00000DD3">
        <w:rPr>
          <w:rFonts w:ascii="Book Antiqua" w:hAnsi="Book Antiqua" w:cs="Arial"/>
        </w:rPr>
        <w:t>ku</w:t>
      </w:r>
      <w:proofErr w:type="spellEnd"/>
      <w:r w:rsidR="00764A01" w:rsidRPr="00000DD3">
        <w:rPr>
          <w:rFonts w:ascii="Book Antiqua" w:hAnsi="Book Antiqua" w:cs="Arial"/>
        </w:rPr>
        <w:t>,</w:t>
      </w:r>
      <w:r w:rsidR="00B73205" w:rsidRPr="00000DD3">
        <w:rPr>
          <w:rFonts w:ascii="Book Antiqua" w:hAnsi="Book Antiqua" w:cs="Arial"/>
        </w:rPr>
        <w:t xml:space="preserve"> </w:t>
      </w:r>
      <w:r w:rsidR="00303298" w:rsidRPr="00000DD3">
        <w:rPr>
          <w:rFonts w:ascii="Book Antiqua" w:hAnsi="Book Antiqua" w:cs="Arial"/>
        </w:rPr>
        <w:t>Tokyo</w:t>
      </w:r>
      <w:r w:rsidR="00CA0DE3" w:rsidRPr="00000DD3">
        <w:rPr>
          <w:rFonts w:ascii="Book Antiqua" w:eastAsia="黑体" w:hAnsi="Book Antiqua" w:cs="Arial"/>
          <w:lang w:eastAsia="zh-CN"/>
        </w:rPr>
        <w:t xml:space="preserve"> </w:t>
      </w:r>
      <w:r w:rsidR="00CA0DE3" w:rsidRPr="00000DD3">
        <w:rPr>
          <w:rFonts w:ascii="Book Antiqua" w:hAnsi="Book Antiqua" w:cs="Arial"/>
        </w:rPr>
        <w:t>113-8519</w:t>
      </w:r>
      <w:r w:rsidR="00303298" w:rsidRPr="00000DD3">
        <w:rPr>
          <w:rFonts w:ascii="Book Antiqua" w:hAnsi="Book Antiqua" w:cs="Arial"/>
        </w:rPr>
        <w:t>, Japan</w:t>
      </w:r>
    </w:p>
    <w:p w14:paraId="737801FC" w14:textId="41D406E0" w:rsidR="00570076" w:rsidRPr="00000DD3" w:rsidRDefault="00570076" w:rsidP="00874B98">
      <w:pPr>
        <w:spacing w:line="360" w:lineRule="auto"/>
        <w:jc w:val="both"/>
        <w:rPr>
          <w:rFonts w:ascii="Book Antiqua" w:hAnsi="Book Antiqua" w:cstheme="minorHAnsi"/>
        </w:rPr>
      </w:pPr>
    </w:p>
    <w:p w14:paraId="7E1899A9" w14:textId="1E1E78E6" w:rsidR="00BC7842" w:rsidRPr="00000DD3" w:rsidRDefault="00303298" w:rsidP="00874B98">
      <w:pPr>
        <w:spacing w:line="360" w:lineRule="auto"/>
        <w:jc w:val="both"/>
        <w:rPr>
          <w:rFonts w:ascii="Book Antiqua" w:eastAsia="黑体" w:hAnsi="Book Antiqua"/>
          <w:lang w:eastAsia="zh-CN"/>
        </w:rPr>
      </w:pPr>
      <w:r w:rsidRPr="00000DD3">
        <w:rPr>
          <w:rFonts w:ascii="Book Antiqua" w:hAnsi="Book Antiqua"/>
          <w:b/>
        </w:rPr>
        <w:t>ORCID number:</w:t>
      </w:r>
      <w:r w:rsidR="00BC7842" w:rsidRPr="00000DD3">
        <w:rPr>
          <w:rFonts w:ascii="Book Antiqua" w:hAnsi="Book Antiqua" w:cstheme="minorHAnsi"/>
        </w:rPr>
        <w:t xml:space="preserve"> </w:t>
      </w:r>
      <w:proofErr w:type="spellStart"/>
      <w:r w:rsidR="00BC7842" w:rsidRPr="00000DD3">
        <w:rPr>
          <w:rFonts w:ascii="Book Antiqua" w:hAnsi="Book Antiqua" w:cstheme="minorHAnsi"/>
        </w:rPr>
        <w:t>Akari</w:t>
      </w:r>
      <w:proofErr w:type="spellEnd"/>
      <w:r w:rsidR="00BC7842" w:rsidRPr="00000DD3">
        <w:rPr>
          <w:rFonts w:ascii="Book Antiqua" w:hAnsi="Book Antiqua" w:cstheme="minorHAnsi"/>
        </w:rPr>
        <w:t xml:space="preserve"> Sasaki (</w:t>
      </w:r>
      <w:r w:rsidR="00BC7842" w:rsidRPr="00000DD3">
        <w:rPr>
          <w:rFonts w:ascii="Book Antiqua" w:hAnsi="Book Antiqua" w:cs="Arial"/>
        </w:rPr>
        <w:t>0000-0003-1671-5054</w:t>
      </w:r>
      <w:r w:rsidR="00BC7842" w:rsidRPr="00000DD3">
        <w:rPr>
          <w:rFonts w:ascii="Book Antiqua" w:hAnsi="Book Antiqua" w:cstheme="minorHAnsi"/>
        </w:rPr>
        <w:t>)</w:t>
      </w:r>
      <w:r w:rsidRPr="00000DD3">
        <w:rPr>
          <w:rFonts w:ascii="Book Antiqua" w:eastAsia="黑体" w:hAnsi="Book Antiqua" w:cstheme="minorHAnsi"/>
          <w:lang w:eastAsia="zh-CN"/>
        </w:rPr>
        <w:t>;</w:t>
      </w:r>
      <w:r w:rsidR="00BC7842" w:rsidRPr="00000DD3">
        <w:rPr>
          <w:rFonts w:ascii="Book Antiqua" w:hAnsi="Book Antiqua" w:cstheme="minorHAnsi"/>
        </w:rPr>
        <w:t xml:space="preserve"> Mitsuru Mizuno (</w:t>
      </w:r>
      <w:r w:rsidR="00A04C31" w:rsidRPr="00000DD3">
        <w:rPr>
          <w:rFonts w:ascii="Book Antiqua" w:hAnsi="Book Antiqua"/>
        </w:rPr>
        <w:t>0000-0002-4410-3621</w:t>
      </w:r>
      <w:r w:rsidR="00BC7842" w:rsidRPr="00000DD3">
        <w:rPr>
          <w:rFonts w:ascii="Book Antiqua" w:hAnsi="Book Antiqua" w:cstheme="minorHAnsi"/>
        </w:rPr>
        <w:t>)</w:t>
      </w:r>
      <w:r w:rsidRPr="00000DD3">
        <w:rPr>
          <w:rFonts w:ascii="Book Antiqua" w:eastAsia="黑体" w:hAnsi="Book Antiqua" w:cstheme="minorHAnsi"/>
          <w:lang w:eastAsia="zh-CN"/>
        </w:rPr>
        <w:t>;</w:t>
      </w:r>
      <w:r w:rsidR="00BC7842" w:rsidRPr="00000DD3">
        <w:rPr>
          <w:rFonts w:ascii="Book Antiqua" w:hAnsi="Book Antiqua" w:cstheme="minorHAnsi"/>
        </w:rPr>
        <w:t xml:space="preserve"> Manabu Mochizuki (</w:t>
      </w:r>
      <w:r w:rsidR="00B62249" w:rsidRPr="00000DD3">
        <w:rPr>
          <w:rFonts w:ascii="Book Antiqua" w:hAnsi="Book Antiqua" w:cs="Arial"/>
        </w:rPr>
        <w:t>0000-0003-1831-2136</w:t>
      </w:r>
      <w:r w:rsidR="00BC7842" w:rsidRPr="00000DD3">
        <w:rPr>
          <w:rFonts w:ascii="Book Antiqua" w:hAnsi="Book Antiqua" w:cstheme="minorHAnsi"/>
        </w:rPr>
        <w:t>)</w:t>
      </w:r>
      <w:r w:rsidRPr="00000DD3">
        <w:rPr>
          <w:rFonts w:ascii="Book Antiqua" w:eastAsia="黑体" w:hAnsi="Book Antiqua" w:cstheme="minorHAnsi"/>
          <w:lang w:eastAsia="zh-CN"/>
        </w:rPr>
        <w:t>;</w:t>
      </w:r>
      <w:r w:rsidR="00BC7842" w:rsidRPr="00000DD3">
        <w:rPr>
          <w:rFonts w:ascii="Book Antiqua" w:hAnsi="Book Antiqua" w:cstheme="minorHAnsi"/>
        </w:rPr>
        <w:t xml:space="preserve"> Ichiro Sekiya (</w:t>
      </w:r>
      <w:r w:rsidR="000C5D8F" w:rsidRPr="00000DD3">
        <w:rPr>
          <w:rFonts w:ascii="Book Antiqua" w:hAnsi="Book Antiqua"/>
        </w:rPr>
        <w:t>0000-0002-6331-722X</w:t>
      </w:r>
      <w:r w:rsidR="00BC7842" w:rsidRPr="00000DD3">
        <w:rPr>
          <w:rFonts w:ascii="Book Antiqua" w:hAnsi="Book Antiqua" w:cstheme="minorHAnsi"/>
        </w:rPr>
        <w:t>)</w:t>
      </w:r>
      <w:r w:rsidRPr="00000DD3">
        <w:rPr>
          <w:rFonts w:ascii="Book Antiqua" w:eastAsia="黑体" w:hAnsi="Book Antiqua" w:cstheme="minorHAnsi"/>
          <w:lang w:eastAsia="zh-CN"/>
        </w:rPr>
        <w:t>.</w:t>
      </w:r>
    </w:p>
    <w:p w14:paraId="5A3F19F7" w14:textId="77777777" w:rsidR="00BC7842" w:rsidRPr="00000DD3" w:rsidRDefault="00BC7842" w:rsidP="00874B98">
      <w:pPr>
        <w:spacing w:line="360" w:lineRule="auto"/>
        <w:jc w:val="both"/>
        <w:rPr>
          <w:rFonts w:ascii="Book Antiqua" w:hAnsi="Book Antiqua" w:cstheme="minorHAnsi"/>
        </w:rPr>
      </w:pPr>
    </w:p>
    <w:p w14:paraId="0D9D3EF4" w14:textId="75B44D73" w:rsidR="00644FF9" w:rsidRPr="00000DD3" w:rsidRDefault="00303298" w:rsidP="00874B98">
      <w:pPr>
        <w:spacing w:line="360" w:lineRule="auto"/>
        <w:jc w:val="both"/>
        <w:rPr>
          <w:rFonts w:ascii="Book Antiqua" w:hAnsi="Book Antiqua" w:cstheme="minorHAnsi"/>
        </w:rPr>
      </w:pPr>
      <w:r w:rsidRPr="00000DD3">
        <w:rPr>
          <w:rFonts w:ascii="Book Antiqua" w:hAnsi="Book Antiqua"/>
          <w:b/>
        </w:rPr>
        <w:t>Author contributions:</w:t>
      </w:r>
      <w:r w:rsidR="00644FF9" w:rsidRPr="00000DD3">
        <w:rPr>
          <w:rFonts w:ascii="Book Antiqua" w:hAnsi="Book Antiqua" w:cstheme="minorHAnsi"/>
          <w:b/>
        </w:rPr>
        <w:t xml:space="preserve"> </w:t>
      </w:r>
      <w:r w:rsidR="00EF3F4C" w:rsidRPr="00000DD3">
        <w:rPr>
          <w:rFonts w:ascii="Book Antiqua" w:hAnsi="Book Antiqua" w:cstheme="minorHAnsi"/>
        </w:rPr>
        <w:t>Sasaki A</w:t>
      </w:r>
      <w:r w:rsidR="00FB6032" w:rsidRPr="00000DD3">
        <w:rPr>
          <w:rFonts w:ascii="Book Antiqua" w:hAnsi="Book Antiqua" w:cstheme="minorHAnsi"/>
        </w:rPr>
        <w:t xml:space="preserve">, </w:t>
      </w:r>
      <w:r w:rsidR="00EF3F4C" w:rsidRPr="00000DD3">
        <w:rPr>
          <w:rFonts w:ascii="Book Antiqua" w:hAnsi="Book Antiqua" w:cstheme="minorHAnsi"/>
        </w:rPr>
        <w:t>Mizuno M</w:t>
      </w:r>
      <w:r w:rsidR="00FB6032" w:rsidRPr="00000DD3">
        <w:rPr>
          <w:rFonts w:ascii="Book Antiqua" w:hAnsi="Book Antiqua" w:cstheme="minorHAnsi"/>
        </w:rPr>
        <w:t xml:space="preserve"> and </w:t>
      </w:r>
      <w:r w:rsidR="00EF3F4C" w:rsidRPr="00000DD3">
        <w:rPr>
          <w:rFonts w:ascii="Book Antiqua" w:hAnsi="Book Antiqua" w:cstheme="minorHAnsi"/>
        </w:rPr>
        <w:t>Sekiya I</w:t>
      </w:r>
      <w:r w:rsidR="00FB6032" w:rsidRPr="00000DD3">
        <w:rPr>
          <w:rFonts w:ascii="Book Antiqua" w:hAnsi="Book Antiqua" w:cstheme="minorHAnsi"/>
        </w:rPr>
        <w:t xml:space="preserve"> </w:t>
      </w:r>
      <w:r w:rsidR="00D91FDF" w:rsidRPr="00000DD3">
        <w:rPr>
          <w:rFonts w:ascii="Book Antiqua" w:hAnsi="Book Antiqua" w:cstheme="minorHAnsi"/>
        </w:rPr>
        <w:t xml:space="preserve">conceptualized, </w:t>
      </w:r>
      <w:r w:rsidR="00FB6032" w:rsidRPr="00000DD3">
        <w:rPr>
          <w:rFonts w:ascii="Book Antiqua" w:hAnsi="Book Antiqua" w:cstheme="minorHAnsi"/>
        </w:rPr>
        <w:t xml:space="preserve">designed and conducted the study; </w:t>
      </w:r>
      <w:r w:rsidR="00EF3F4C" w:rsidRPr="00000DD3">
        <w:rPr>
          <w:rFonts w:ascii="Book Antiqua" w:hAnsi="Book Antiqua" w:cstheme="minorHAnsi"/>
        </w:rPr>
        <w:t>Sasaki A</w:t>
      </w:r>
      <w:r w:rsidR="00FB6032" w:rsidRPr="00000DD3">
        <w:rPr>
          <w:rFonts w:ascii="Book Antiqua" w:hAnsi="Book Antiqua" w:cstheme="minorHAnsi"/>
        </w:rPr>
        <w:t xml:space="preserve"> collected, analyzed and interpreted the data; drafting of the manuscript</w:t>
      </w:r>
      <w:r w:rsidR="00EF3F4C" w:rsidRPr="00000DD3">
        <w:rPr>
          <w:rFonts w:ascii="Book Antiqua" w:hAnsi="Book Antiqua" w:cstheme="minorHAnsi"/>
        </w:rPr>
        <w:t>;</w:t>
      </w:r>
      <w:r w:rsidR="00FB6032" w:rsidRPr="00000DD3">
        <w:rPr>
          <w:rFonts w:ascii="Book Antiqua" w:hAnsi="Book Antiqua" w:cstheme="minorHAnsi"/>
        </w:rPr>
        <w:t xml:space="preserve"> </w:t>
      </w:r>
      <w:r w:rsidR="00EF3F4C" w:rsidRPr="00000DD3">
        <w:rPr>
          <w:rFonts w:ascii="Book Antiqua" w:hAnsi="Book Antiqua" w:cstheme="minorHAnsi"/>
        </w:rPr>
        <w:t>Mizuno M, Mochizuki M and Sekiya I revised the manuscript; Sasaki A, Mizuno M, Mochizuki M and Sekiya I approved the final version of the manuscript</w:t>
      </w:r>
      <w:r w:rsidR="00D91FDF" w:rsidRPr="00000DD3">
        <w:rPr>
          <w:rFonts w:ascii="Book Antiqua" w:hAnsi="Book Antiqua" w:cstheme="minorHAnsi"/>
        </w:rPr>
        <w:t>.</w:t>
      </w:r>
    </w:p>
    <w:p w14:paraId="5783FB2A" w14:textId="7D476A6C" w:rsidR="0084588A" w:rsidRPr="00000DD3" w:rsidRDefault="0084588A" w:rsidP="00874B98">
      <w:pPr>
        <w:spacing w:line="360" w:lineRule="auto"/>
        <w:jc w:val="both"/>
        <w:rPr>
          <w:rFonts w:ascii="Book Antiqua" w:eastAsia="黑体" w:hAnsi="Book Antiqua" w:cstheme="minorHAnsi"/>
          <w:lang w:eastAsia="zh-CN"/>
        </w:rPr>
      </w:pPr>
    </w:p>
    <w:p w14:paraId="11EAC984" w14:textId="0BA6A11D" w:rsidR="009E399D" w:rsidRPr="00000DD3" w:rsidRDefault="009E399D" w:rsidP="00874B98">
      <w:pPr>
        <w:spacing w:line="360" w:lineRule="auto"/>
        <w:jc w:val="both"/>
        <w:rPr>
          <w:rFonts w:ascii="Book Antiqua" w:hAnsi="Book Antiqua"/>
          <w:b/>
        </w:rPr>
      </w:pPr>
      <w:r w:rsidRPr="00000DD3">
        <w:rPr>
          <w:rFonts w:ascii="Book Antiqua" w:hAnsi="Book Antiqua"/>
          <w:b/>
        </w:rPr>
        <w:t>Conflict-of-interest statement</w:t>
      </w:r>
      <w:r w:rsidRPr="00000DD3">
        <w:rPr>
          <w:rFonts w:ascii="Book Antiqua" w:hAnsi="Book Antiqua" w:cs="TimesNewRomanPS-BoldItalicMT"/>
          <w:b/>
          <w:iCs/>
        </w:rPr>
        <w:t xml:space="preserve">: </w:t>
      </w:r>
      <w:r w:rsidRPr="00000DD3">
        <w:rPr>
          <w:rFonts w:ascii="Book Antiqua" w:hAnsi="Book Antiqua" w:cstheme="minorHAnsi"/>
        </w:rPr>
        <w:t>No potential conflicts of interest.</w:t>
      </w:r>
    </w:p>
    <w:p w14:paraId="130BF1D5" w14:textId="77777777" w:rsidR="009E399D" w:rsidRPr="00000DD3" w:rsidRDefault="009E399D" w:rsidP="00874B98">
      <w:pPr>
        <w:adjustRightInd w:val="0"/>
        <w:snapToGrid w:val="0"/>
        <w:spacing w:line="360" w:lineRule="auto"/>
        <w:jc w:val="both"/>
        <w:rPr>
          <w:rFonts w:ascii="Book Antiqua" w:eastAsia="黑体" w:hAnsi="Book Antiqua"/>
          <w:lang w:eastAsia="zh-CN"/>
        </w:rPr>
      </w:pPr>
    </w:p>
    <w:p w14:paraId="4C492CAE" w14:textId="77777777" w:rsidR="009E399D" w:rsidRPr="00000DD3" w:rsidRDefault="009E399D" w:rsidP="00874B98">
      <w:pPr>
        <w:adjustRightInd w:val="0"/>
        <w:snapToGrid w:val="0"/>
        <w:spacing w:line="360" w:lineRule="auto"/>
        <w:jc w:val="both"/>
        <w:rPr>
          <w:rFonts w:ascii="Book Antiqua" w:hAnsi="Book Antiqua"/>
        </w:rPr>
      </w:pPr>
      <w:r w:rsidRPr="00000DD3">
        <w:rPr>
          <w:rFonts w:ascii="Book Antiqua" w:hAnsi="Book Antiqua"/>
          <w:b/>
        </w:rPr>
        <w:t xml:space="preserve">Open-Access: </w:t>
      </w:r>
      <w:r w:rsidRPr="00000DD3">
        <w:rPr>
          <w:rFonts w:ascii="Book Antiqua" w:hAnsi="Book Antiqua"/>
        </w:rPr>
        <w:t xml:space="preserve">This article is an open-access article which was selected by an in-house editor and fully peer-reviewed by external reviewers. It is distributed in accordance with the Creative Commons Attribution </w:t>
      </w:r>
      <w:proofErr w:type="gramStart"/>
      <w:r w:rsidRPr="00000DD3">
        <w:rPr>
          <w:rFonts w:ascii="Book Antiqua" w:hAnsi="Book Antiqua"/>
        </w:rPr>
        <w:t>Non Commercial</w:t>
      </w:r>
      <w:proofErr w:type="gramEnd"/>
      <w:r w:rsidRPr="00000DD3">
        <w:rPr>
          <w:rFonts w:ascii="Book Antiqua" w:hAnsi="Book Antiqua"/>
        </w:rPr>
        <w:t xml:space="preserve">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000DD3">
          <w:rPr>
            <w:rStyle w:val="af4"/>
            <w:rFonts w:ascii="Book Antiqua" w:hAnsi="Book Antiqua"/>
            <w:color w:val="auto"/>
            <w:u w:val="none"/>
          </w:rPr>
          <w:t>http://creativecommons.org/licenses/by-nc/4.0/</w:t>
        </w:r>
      </w:hyperlink>
    </w:p>
    <w:p w14:paraId="08BAE574" w14:textId="050156A8" w:rsidR="008353F3" w:rsidRPr="00000DD3" w:rsidRDefault="008353F3" w:rsidP="00874B98">
      <w:pPr>
        <w:spacing w:line="360" w:lineRule="auto"/>
        <w:jc w:val="both"/>
        <w:rPr>
          <w:rFonts w:ascii="Book Antiqua" w:eastAsia="黑体" w:hAnsi="Book Antiqua" w:cstheme="minorHAnsi"/>
          <w:lang w:eastAsia="zh-CN"/>
        </w:rPr>
      </w:pPr>
    </w:p>
    <w:p w14:paraId="127F7AA1" w14:textId="58B5F02D" w:rsidR="009E399D" w:rsidRPr="00000DD3" w:rsidRDefault="009E399D" w:rsidP="00874B98">
      <w:pPr>
        <w:spacing w:line="360" w:lineRule="auto"/>
        <w:jc w:val="both"/>
        <w:rPr>
          <w:rFonts w:ascii="Book Antiqua" w:eastAsia="宋体" w:hAnsi="Book Antiqua" w:cs="宋体"/>
          <w:lang w:eastAsia="zh-CN"/>
        </w:rPr>
      </w:pPr>
      <w:r w:rsidRPr="00000DD3">
        <w:rPr>
          <w:rFonts w:ascii="Book Antiqua" w:eastAsia="宋体" w:hAnsi="Book Antiqua" w:cs="宋体"/>
          <w:b/>
        </w:rPr>
        <w:t>Manuscript source:</w:t>
      </w:r>
      <w:r w:rsidRPr="00000DD3">
        <w:rPr>
          <w:rFonts w:ascii="Book Antiqua" w:eastAsia="宋体" w:hAnsi="Book Antiqua" w:cs="宋体"/>
        </w:rPr>
        <w:t> Invited manuscript</w:t>
      </w:r>
    </w:p>
    <w:p w14:paraId="56CBD838" w14:textId="77777777" w:rsidR="009E399D" w:rsidRPr="00000DD3" w:rsidRDefault="009E399D" w:rsidP="00874B98">
      <w:pPr>
        <w:spacing w:line="360" w:lineRule="auto"/>
        <w:jc w:val="both"/>
        <w:rPr>
          <w:rFonts w:ascii="Book Antiqua" w:eastAsia="黑体" w:hAnsi="Book Antiqua" w:cstheme="minorHAnsi"/>
          <w:lang w:eastAsia="zh-CN"/>
        </w:rPr>
      </w:pPr>
    </w:p>
    <w:p w14:paraId="24B6F35D" w14:textId="4FD54DD7" w:rsidR="00CA0DE3" w:rsidRPr="00000DD3" w:rsidRDefault="00303298" w:rsidP="00874B98">
      <w:pPr>
        <w:spacing w:line="360" w:lineRule="auto"/>
        <w:jc w:val="both"/>
        <w:rPr>
          <w:rFonts w:ascii="Book Antiqua" w:eastAsia="黑体" w:hAnsi="Book Antiqua" w:cstheme="minorHAnsi"/>
          <w:lang w:eastAsia="zh-CN"/>
        </w:rPr>
      </w:pPr>
      <w:r w:rsidRPr="00000DD3">
        <w:rPr>
          <w:rFonts w:ascii="Book Antiqua" w:hAnsi="Book Antiqua"/>
          <w:b/>
        </w:rPr>
        <w:t>Corresponding author:</w:t>
      </w:r>
      <w:r w:rsidR="008353F3" w:rsidRPr="00000DD3">
        <w:rPr>
          <w:rFonts w:ascii="Book Antiqua" w:hAnsi="Book Antiqua" w:cstheme="minorHAnsi"/>
          <w:b/>
        </w:rPr>
        <w:t xml:space="preserve"> </w:t>
      </w:r>
      <w:proofErr w:type="spellStart"/>
      <w:r w:rsidR="00CA0DE3" w:rsidRPr="00000DD3">
        <w:rPr>
          <w:rFonts w:ascii="Book Antiqua" w:hAnsi="Book Antiqua" w:cstheme="minorHAnsi"/>
          <w:b/>
        </w:rPr>
        <w:t>Akari</w:t>
      </w:r>
      <w:proofErr w:type="spellEnd"/>
      <w:r w:rsidR="00CA0DE3" w:rsidRPr="00000DD3">
        <w:rPr>
          <w:rFonts w:ascii="Book Antiqua" w:hAnsi="Book Antiqua" w:cstheme="minorHAnsi"/>
          <w:b/>
        </w:rPr>
        <w:t xml:space="preserve"> Sasaki, DVM, </w:t>
      </w:r>
      <w:r w:rsidR="00CA0DE3" w:rsidRPr="00000DD3">
        <w:rPr>
          <w:rFonts w:ascii="Book Antiqua" w:hAnsi="Book Antiqua" w:cstheme="minorHAnsi"/>
        </w:rPr>
        <w:t>Laboratory of Veterinary Emergency Medicine, Graduate School of Agricultural and Life Sciences, the University of Tokyo, 1-1-1 Yayoi, Bunkyo-</w:t>
      </w:r>
      <w:proofErr w:type="spellStart"/>
      <w:r w:rsidR="00CA0DE3" w:rsidRPr="00000DD3">
        <w:rPr>
          <w:rFonts w:ascii="Book Antiqua" w:hAnsi="Book Antiqua" w:cstheme="minorHAnsi"/>
        </w:rPr>
        <w:t>ku</w:t>
      </w:r>
      <w:proofErr w:type="spellEnd"/>
      <w:r w:rsidR="00CA0DE3" w:rsidRPr="00000DD3">
        <w:rPr>
          <w:rFonts w:ascii="Book Antiqua" w:hAnsi="Book Antiqua" w:cstheme="minorHAnsi"/>
        </w:rPr>
        <w:t>, Tokyo 113-8657, Japan. akari.favorite@gmail.com</w:t>
      </w:r>
    </w:p>
    <w:p w14:paraId="0CB1C5DF" w14:textId="406B68B0" w:rsidR="008F1C4D" w:rsidRPr="00000DD3" w:rsidRDefault="008F1C4D" w:rsidP="00874B98">
      <w:pPr>
        <w:spacing w:line="360" w:lineRule="auto"/>
        <w:jc w:val="both"/>
        <w:rPr>
          <w:rFonts w:ascii="Book Antiqua" w:hAnsi="Book Antiqua"/>
          <w:b/>
        </w:rPr>
      </w:pPr>
      <w:r w:rsidRPr="00000DD3">
        <w:rPr>
          <w:rFonts w:ascii="Book Antiqua" w:hAnsi="Book Antiqua"/>
          <w:b/>
        </w:rPr>
        <w:t xml:space="preserve">Telephone: </w:t>
      </w:r>
      <w:r w:rsidR="009E399D" w:rsidRPr="00000DD3">
        <w:rPr>
          <w:rFonts w:ascii="Book Antiqua" w:hAnsi="Book Antiqua"/>
        </w:rPr>
        <w:t>+</w:t>
      </w:r>
      <w:r w:rsidR="009E399D" w:rsidRPr="00000DD3">
        <w:rPr>
          <w:rFonts w:ascii="Book Antiqua" w:eastAsia="黑体" w:hAnsi="Book Antiqua"/>
          <w:lang w:eastAsia="zh-CN"/>
        </w:rPr>
        <w:t>81-</w:t>
      </w:r>
      <w:r w:rsidR="009E399D" w:rsidRPr="00000DD3">
        <w:rPr>
          <w:rFonts w:ascii="Book Antiqua" w:hAnsi="Book Antiqua"/>
        </w:rPr>
        <w:t>3-5841</w:t>
      </w:r>
      <w:r w:rsidRPr="00000DD3">
        <w:rPr>
          <w:rFonts w:ascii="Book Antiqua" w:hAnsi="Book Antiqua"/>
        </w:rPr>
        <w:t>5420</w:t>
      </w:r>
    </w:p>
    <w:p w14:paraId="1B00AAB2" w14:textId="739BEDEB" w:rsidR="008F1C4D" w:rsidRPr="00000DD3" w:rsidRDefault="008F1C4D" w:rsidP="00874B98">
      <w:pPr>
        <w:spacing w:line="360" w:lineRule="auto"/>
        <w:jc w:val="both"/>
        <w:rPr>
          <w:rFonts w:ascii="Book Antiqua" w:eastAsia="黑体" w:hAnsi="Book Antiqua"/>
          <w:lang w:eastAsia="zh-CN"/>
        </w:rPr>
      </w:pPr>
      <w:r w:rsidRPr="00000DD3">
        <w:rPr>
          <w:rFonts w:ascii="Book Antiqua" w:hAnsi="Book Antiqua"/>
          <w:b/>
        </w:rPr>
        <w:t>Fax:</w:t>
      </w:r>
      <w:r w:rsidR="000C5E70" w:rsidRPr="00000DD3">
        <w:rPr>
          <w:rFonts w:ascii="Book Antiqua" w:hAnsi="Book Antiqua"/>
          <w:b/>
        </w:rPr>
        <w:t xml:space="preserve"> </w:t>
      </w:r>
      <w:r w:rsidR="009E399D" w:rsidRPr="00000DD3">
        <w:rPr>
          <w:rFonts w:ascii="Book Antiqua" w:hAnsi="Book Antiqua"/>
        </w:rPr>
        <w:t>+</w:t>
      </w:r>
      <w:r w:rsidR="009E399D" w:rsidRPr="00000DD3">
        <w:rPr>
          <w:rFonts w:ascii="Book Antiqua" w:eastAsia="黑体" w:hAnsi="Book Antiqua"/>
          <w:lang w:eastAsia="zh-CN"/>
        </w:rPr>
        <w:t>81-</w:t>
      </w:r>
      <w:r w:rsidR="009E399D" w:rsidRPr="00000DD3">
        <w:rPr>
          <w:rFonts w:ascii="Book Antiqua" w:hAnsi="Book Antiqua"/>
        </w:rPr>
        <w:t>3-5841</w:t>
      </w:r>
      <w:r w:rsidRPr="00000DD3">
        <w:rPr>
          <w:rFonts w:ascii="Book Antiqua" w:hAnsi="Book Antiqua"/>
        </w:rPr>
        <w:t>5405</w:t>
      </w:r>
    </w:p>
    <w:p w14:paraId="6532CF6F" w14:textId="77777777" w:rsidR="009E399D" w:rsidRPr="00000DD3" w:rsidRDefault="009E399D" w:rsidP="00874B98">
      <w:pPr>
        <w:spacing w:line="360" w:lineRule="auto"/>
        <w:jc w:val="both"/>
        <w:rPr>
          <w:rFonts w:ascii="Book Antiqua" w:eastAsia="黑体" w:hAnsi="Book Antiqua"/>
          <w:lang w:eastAsia="zh-CN"/>
        </w:rPr>
      </w:pPr>
    </w:p>
    <w:p w14:paraId="547787F2" w14:textId="6AC79906" w:rsidR="009E399D" w:rsidRPr="00000DD3" w:rsidRDefault="009E399D" w:rsidP="00874B98">
      <w:pPr>
        <w:spacing w:line="360" w:lineRule="auto"/>
        <w:jc w:val="both"/>
        <w:rPr>
          <w:rFonts w:ascii="Book Antiqua" w:hAnsi="Book Antiqua"/>
          <w:b/>
        </w:rPr>
      </w:pPr>
      <w:r w:rsidRPr="00000DD3">
        <w:rPr>
          <w:rFonts w:ascii="Book Antiqua" w:hAnsi="Book Antiqua"/>
          <w:b/>
        </w:rPr>
        <w:t xml:space="preserve">Received: </w:t>
      </w:r>
      <w:r w:rsidR="00FE520F" w:rsidRPr="00000DD3">
        <w:rPr>
          <w:rFonts w:ascii="Book Antiqua" w:eastAsia="黑体" w:hAnsi="Book Antiqua"/>
          <w:lang w:eastAsia="zh-CN"/>
        </w:rPr>
        <w:t>February 20, 2019</w:t>
      </w:r>
      <w:r w:rsidR="00874B98" w:rsidRPr="00000DD3">
        <w:rPr>
          <w:rFonts w:ascii="Book Antiqua" w:hAnsi="Book Antiqua"/>
        </w:rPr>
        <w:t xml:space="preserve"> </w:t>
      </w:r>
    </w:p>
    <w:p w14:paraId="08A72563" w14:textId="59234E7B" w:rsidR="009E399D" w:rsidRPr="00000DD3" w:rsidRDefault="009E399D" w:rsidP="00874B98">
      <w:pPr>
        <w:spacing w:line="360" w:lineRule="auto"/>
        <w:jc w:val="both"/>
        <w:rPr>
          <w:rFonts w:ascii="Book Antiqua" w:hAnsi="Book Antiqua"/>
          <w:b/>
        </w:rPr>
      </w:pPr>
      <w:r w:rsidRPr="00000DD3">
        <w:rPr>
          <w:rFonts w:ascii="Book Antiqua" w:hAnsi="Book Antiqua"/>
          <w:b/>
        </w:rPr>
        <w:t>Peer-review started:</w:t>
      </w:r>
      <w:r w:rsidR="00FE520F" w:rsidRPr="00000DD3">
        <w:rPr>
          <w:rFonts w:ascii="Book Antiqua" w:eastAsia="黑体" w:hAnsi="Book Antiqua"/>
          <w:lang w:eastAsia="zh-CN"/>
        </w:rPr>
        <w:t xml:space="preserve"> February 20, 2019</w:t>
      </w:r>
      <w:r w:rsidR="00874B98" w:rsidRPr="00000DD3">
        <w:rPr>
          <w:rFonts w:ascii="Book Antiqua" w:hAnsi="Book Antiqua"/>
        </w:rPr>
        <w:t xml:space="preserve"> </w:t>
      </w:r>
    </w:p>
    <w:p w14:paraId="0F51EB9C" w14:textId="29A84024" w:rsidR="009E399D" w:rsidRPr="00000DD3" w:rsidRDefault="009E399D" w:rsidP="00874B98">
      <w:pPr>
        <w:spacing w:line="360" w:lineRule="auto"/>
        <w:jc w:val="both"/>
        <w:rPr>
          <w:rFonts w:ascii="Book Antiqua" w:eastAsia="黑体" w:hAnsi="Book Antiqua"/>
          <w:b/>
          <w:lang w:eastAsia="zh-CN"/>
        </w:rPr>
      </w:pPr>
      <w:r w:rsidRPr="00000DD3">
        <w:rPr>
          <w:rFonts w:ascii="Book Antiqua" w:hAnsi="Book Antiqua"/>
          <w:b/>
        </w:rPr>
        <w:t>First decision:</w:t>
      </w:r>
      <w:r w:rsidR="00FE520F" w:rsidRPr="00000DD3">
        <w:rPr>
          <w:rFonts w:ascii="Book Antiqua" w:eastAsia="黑体" w:hAnsi="Book Antiqua"/>
          <w:lang w:eastAsia="zh-CN"/>
        </w:rPr>
        <w:t xml:space="preserve"> March 15, 2019</w:t>
      </w:r>
    </w:p>
    <w:p w14:paraId="54C86C54" w14:textId="4EC2B9A0" w:rsidR="009E399D" w:rsidRPr="00000DD3" w:rsidRDefault="009E399D" w:rsidP="00874B98">
      <w:pPr>
        <w:spacing w:line="360" w:lineRule="auto"/>
        <w:jc w:val="both"/>
        <w:rPr>
          <w:rFonts w:ascii="Book Antiqua" w:hAnsi="Book Antiqua"/>
          <w:b/>
        </w:rPr>
      </w:pPr>
      <w:r w:rsidRPr="00000DD3">
        <w:rPr>
          <w:rFonts w:ascii="Book Antiqua" w:hAnsi="Book Antiqua"/>
          <w:b/>
        </w:rPr>
        <w:t xml:space="preserve">Revised: </w:t>
      </w:r>
      <w:r w:rsidR="00FE520F" w:rsidRPr="00000DD3">
        <w:rPr>
          <w:rFonts w:ascii="Book Antiqua" w:eastAsia="黑体" w:hAnsi="Book Antiqua"/>
          <w:lang w:eastAsia="zh-CN"/>
        </w:rPr>
        <w:t>March 29, 2019</w:t>
      </w:r>
      <w:r w:rsidRPr="00000DD3">
        <w:rPr>
          <w:rFonts w:ascii="Book Antiqua" w:hAnsi="Book Antiqua"/>
          <w:b/>
        </w:rPr>
        <w:t xml:space="preserve"> </w:t>
      </w:r>
    </w:p>
    <w:p w14:paraId="27F0B63F" w14:textId="13B65C8C" w:rsidR="009E399D" w:rsidRPr="00000DD3" w:rsidRDefault="009E399D" w:rsidP="00874B98">
      <w:pPr>
        <w:spacing w:line="360" w:lineRule="auto"/>
        <w:jc w:val="both"/>
        <w:rPr>
          <w:rFonts w:ascii="Book Antiqua" w:hAnsi="Book Antiqua"/>
          <w:b/>
        </w:rPr>
      </w:pPr>
      <w:r w:rsidRPr="00000DD3">
        <w:rPr>
          <w:rFonts w:ascii="Book Antiqua" w:hAnsi="Book Antiqua"/>
          <w:b/>
        </w:rPr>
        <w:t>Accepted:</w:t>
      </w:r>
      <w:r w:rsidR="00874B98" w:rsidRPr="00000DD3">
        <w:rPr>
          <w:rFonts w:ascii="Book Antiqua" w:hAnsi="Book Antiqua"/>
          <w:b/>
        </w:rPr>
        <w:t xml:space="preserve"> </w:t>
      </w:r>
      <w:r w:rsidR="009B74D4" w:rsidRPr="00000DD3">
        <w:rPr>
          <w:rFonts w:ascii="Book Antiqua" w:hAnsi="Book Antiqua"/>
        </w:rPr>
        <w:t xml:space="preserve">April </w:t>
      </w:r>
      <w:r w:rsidR="002D4595" w:rsidRPr="00000DD3">
        <w:rPr>
          <w:rFonts w:ascii="Book Antiqua" w:eastAsia="黑体" w:hAnsi="Book Antiqua" w:hint="eastAsia"/>
          <w:lang w:eastAsia="zh-CN"/>
        </w:rPr>
        <w:t>9</w:t>
      </w:r>
      <w:r w:rsidR="009B74D4" w:rsidRPr="00000DD3">
        <w:rPr>
          <w:rFonts w:ascii="Book Antiqua" w:hAnsi="Book Antiqua"/>
        </w:rPr>
        <w:t>, 2019</w:t>
      </w:r>
    </w:p>
    <w:p w14:paraId="588C5FA9" w14:textId="3DB61C6C" w:rsidR="009E399D" w:rsidRPr="00000DD3" w:rsidRDefault="009E399D" w:rsidP="00874B98">
      <w:pPr>
        <w:spacing w:line="360" w:lineRule="auto"/>
        <w:jc w:val="both"/>
        <w:rPr>
          <w:rFonts w:ascii="Book Antiqua" w:hAnsi="Book Antiqua"/>
        </w:rPr>
      </w:pPr>
      <w:r w:rsidRPr="00000DD3">
        <w:rPr>
          <w:rFonts w:ascii="Book Antiqua" w:hAnsi="Book Antiqua"/>
          <w:b/>
        </w:rPr>
        <w:t>Article in press:</w:t>
      </w:r>
      <w:r w:rsidR="00874B98" w:rsidRPr="00000DD3">
        <w:rPr>
          <w:rFonts w:ascii="Book Antiqua" w:hAnsi="Book Antiqua"/>
        </w:rPr>
        <w:t xml:space="preserve"> </w:t>
      </w:r>
      <w:r w:rsidR="00C17AB1" w:rsidRPr="00000DD3">
        <w:rPr>
          <w:rFonts w:ascii="Book Antiqua" w:hAnsi="Book Antiqua"/>
        </w:rPr>
        <w:t xml:space="preserve">April </w:t>
      </w:r>
      <w:r w:rsidR="00C17AB1" w:rsidRPr="00000DD3">
        <w:rPr>
          <w:rFonts w:ascii="Book Antiqua" w:eastAsia="黑体" w:hAnsi="Book Antiqua" w:hint="eastAsia"/>
          <w:lang w:eastAsia="zh-CN"/>
        </w:rPr>
        <w:t>9</w:t>
      </w:r>
      <w:r w:rsidR="00C17AB1" w:rsidRPr="00000DD3">
        <w:rPr>
          <w:rFonts w:ascii="Book Antiqua" w:hAnsi="Book Antiqua"/>
        </w:rPr>
        <w:t>, 2019</w:t>
      </w:r>
    </w:p>
    <w:p w14:paraId="694CAF29" w14:textId="7D660C93" w:rsidR="009E399D" w:rsidRPr="00000DD3" w:rsidRDefault="009E399D" w:rsidP="00874B98">
      <w:pPr>
        <w:spacing w:line="360" w:lineRule="auto"/>
        <w:jc w:val="both"/>
        <w:rPr>
          <w:rFonts w:ascii="Book Antiqua" w:eastAsia="黑体" w:hAnsi="Book Antiqua"/>
          <w:lang w:eastAsia="zh-CN"/>
        </w:rPr>
      </w:pPr>
      <w:r w:rsidRPr="00000DD3">
        <w:rPr>
          <w:rFonts w:ascii="Book Antiqua" w:hAnsi="Book Antiqua"/>
          <w:b/>
        </w:rPr>
        <w:t xml:space="preserve">Published online: </w:t>
      </w:r>
      <w:r w:rsidR="00C17AB1" w:rsidRPr="00000DD3">
        <w:rPr>
          <w:rFonts w:ascii="Book Antiqua" w:hAnsi="Book Antiqua"/>
        </w:rPr>
        <w:t>May 26, 2019</w:t>
      </w:r>
    </w:p>
    <w:p w14:paraId="70BC2B1E" w14:textId="7E574AB9" w:rsidR="00644FF9" w:rsidRPr="00000DD3" w:rsidRDefault="00644FF9" w:rsidP="00874B98">
      <w:pPr>
        <w:spacing w:line="360" w:lineRule="auto"/>
        <w:jc w:val="both"/>
        <w:rPr>
          <w:rFonts w:ascii="Book Antiqua" w:hAnsi="Book Antiqua" w:cs="Arial"/>
        </w:rPr>
      </w:pPr>
      <w:r w:rsidRPr="00000DD3">
        <w:rPr>
          <w:rFonts w:ascii="Book Antiqua" w:hAnsi="Book Antiqua" w:cstheme="minorHAnsi"/>
          <w:b/>
        </w:rPr>
        <w:br w:type="page"/>
      </w:r>
    </w:p>
    <w:p w14:paraId="50BE348A" w14:textId="51F64B86" w:rsidR="00570076" w:rsidRPr="00000DD3" w:rsidRDefault="00570076" w:rsidP="00874B98">
      <w:pPr>
        <w:spacing w:line="360" w:lineRule="auto"/>
        <w:jc w:val="both"/>
        <w:rPr>
          <w:rFonts w:ascii="Book Antiqua" w:hAnsi="Book Antiqua" w:cstheme="minorHAnsi"/>
          <w:b/>
        </w:rPr>
      </w:pPr>
      <w:r w:rsidRPr="00000DD3">
        <w:rPr>
          <w:rFonts w:ascii="Book Antiqua" w:hAnsi="Book Antiqua" w:cstheme="minorHAnsi"/>
          <w:b/>
        </w:rPr>
        <w:t>Abstract</w:t>
      </w:r>
    </w:p>
    <w:p w14:paraId="2C35D544" w14:textId="56DD8E15" w:rsidR="00AE6805" w:rsidRPr="00000DD3" w:rsidRDefault="00D760C8" w:rsidP="00874B98">
      <w:pPr>
        <w:spacing w:line="360" w:lineRule="auto"/>
        <w:jc w:val="both"/>
        <w:rPr>
          <w:rFonts w:ascii="Book Antiqua" w:hAnsi="Book Antiqua" w:cs="Arial"/>
        </w:rPr>
      </w:pPr>
      <w:r w:rsidRPr="00000DD3">
        <w:rPr>
          <w:rFonts w:ascii="Book Antiqua" w:hAnsi="Book Antiqua" w:cs="Arial"/>
        </w:rPr>
        <w:t xml:space="preserve">Articular cartilage damage and osteoarthritis (OA) are common orthopedic diseases in </w:t>
      </w:r>
      <w:r w:rsidR="008D0033" w:rsidRPr="00000DD3">
        <w:rPr>
          <w:rFonts w:ascii="Book Antiqua" w:hAnsi="Book Antiqua" w:cs="Arial"/>
        </w:rPr>
        <w:t xml:space="preserve">both </w:t>
      </w:r>
      <w:r w:rsidRPr="00000DD3">
        <w:rPr>
          <w:rFonts w:ascii="Book Antiqua" w:hAnsi="Book Antiqua" w:cs="Arial"/>
        </w:rPr>
        <w:t>humans and dogs. Once damaged,</w:t>
      </w:r>
      <w:r w:rsidR="008D0033" w:rsidRPr="00000DD3">
        <w:rPr>
          <w:rFonts w:ascii="Book Antiqua" w:hAnsi="Book Antiqua" w:cs="Arial"/>
        </w:rPr>
        <w:t xml:space="preserve"> the</w:t>
      </w:r>
      <w:r w:rsidRPr="00000DD3">
        <w:rPr>
          <w:rFonts w:ascii="Book Antiqua" w:hAnsi="Book Antiqua" w:cs="Arial"/>
        </w:rPr>
        <w:t xml:space="preserve"> articular cartilage </w:t>
      </w:r>
      <w:r w:rsidR="008D0033" w:rsidRPr="00000DD3">
        <w:rPr>
          <w:rFonts w:ascii="Book Antiqua" w:hAnsi="Book Antiqua" w:cs="Arial"/>
        </w:rPr>
        <w:t xml:space="preserve">seldom undergoes spontaneous repair </w:t>
      </w:r>
      <w:r w:rsidRPr="00000DD3">
        <w:rPr>
          <w:rFonts w:ascii="Book Antiqua" w:hAnsi="Book Antiqua" w:cs="Arial"/>
        </w:rPr>
        <w:t xml:space="preserve">because of </w:t>
      </w:r>
      <w:r w:rsidR="008D0033" w:rsidRPr="00000DD3">
        <w:rPr>
          <w:rFonts w:ascii="Book Antiqua" w:hAnsi="Book Antiqua" w:cs="Arial"/>
        </w:rPr>
        <w:t xml:space="preserve">its </w:t>
      </w:r>
      <w:r w:rsidRPr="00000DD3">
        <w:rPr>
          <w:rFonts w:ascii="Book Antiqua" w:hAnsi="Book Antiqua" w:cs="Arial"/>
        </w:rPr>
        <w:t xml:space="preserve">avascular, </w:t>
      </w:r>
      <w:proofErr w:type="spellStart"/>
      <w:r w:rsidRPr="00000DD3">
        <w:rPr>
          <w:rFonts w:ascii="Book Antiqua" w:hAnsi="Book Antiqua" w:cs="Arial"/>
        </w:rPr>
        <w:t>aneural</w:t>
      </w:r>
      <w:proofErr w:type="spellEnd"/>
      <w:r w:rsidR="008D0033" w:rsidRPr="00000DD3">
        <w:rPr>
          <w:rFonts w:ascii="Book Antiqua" w:hAnsi="Book Antiqua" w:cs="Arial"/>
        </w:rPr>
        <w:t>,</w:t>
      </w:r>
      <w:r w:rsidRPr="00000DD3">
        <w:rPr>
          <w:rFonts w:ascii="Book Antiqua" w:hAnsi="Book Antiqua" w:cs="Arial"/>
        </w:rPr>
        <w:t xml:space="preserve"> and </w:t>
      </w:r>
      <w:proofErr w:type="spellStart"/>
      <w:r w:rsidRPr="00000DD3">
        <w:rPr>
          <w:rFonts w:ascii="Book Antiqua" w:hAnsi="Book Antiqua" w:cs="Arial"/>
        </w:rPr>
        <w:t>alymphatic</w:t>
      </w:r>
      <w:proofErr w:type="spellEnd"/>
      <w:r w:rsidRPr="00000DD3">
        <w:rPr>
          <w:rFonts w:ascii="Book Antiqua" w:hAnsi="Book Antiqua" w:cs="Arial"/>
        </w:rPr>
        <w:t xml:space="preserve"> state, and </w:t>
      </w:r>
      <w:r w:rsidR="003B1B89" w:rsidRPr="00000DD3">
        <w:rPr>
          <w:rFonts w:ascii="Book Antiqua" w:hAnsi="Book Antiqua" w:cs="Arial"/>
        </w:rPr>
        <w:t xml:space="preserve">the damage </w:t>
      </w:r>
      <w:r w:rsidRPr="00000DD3">
        <w:rPr>
          <w:rFonts w:ascii="Book Antiqua" w:hAnsi="Book Antiqua" w:cs="Arial"/>
        </w:rPr>
        <w:t xml:space="preserve">progresses to </w:t>
      </w:r>
      <w:r w:rsidR="003B1B89" w:rsidRPr="00000DD3">
        <w:rPr>
          <w:rFonts w:ascii="Book Antiqua" w:hAnsi="Book Antiqua" w:cs="Arial"/>
        </w:rPr>
        <w:t xml:space="preserve">a </w:t>
      </w:r>
      <w:r w:rsidRPr="00000DD3">
        <w:rPr>
          <w:rFonts w:ascii="Book Antiqua" w:hAnsi="Book Antiqua" w:cs="Arial"/>
        </w:rPr>
        <w:t>chronic and painful situatio</w:t>
      </w:r>
      <w:r w:rsidR="00720653" w:rsidRPr="00000DD3">
        <w:rPr>
          <w:rFonts w:ascii="Book Antiqua" w:hAnsi="Book Antiqua" w:cs="Arial"/>
        </w:rPr>
        <w:t>n</w:t>
      </w:r>
      <w:r w:rsidRPr="00000DD3">
        <w:rPr>
          <w:rFonts w:ascii="Book Antiqua" w:hAnsi="Book Antiqua" w:cs="Arial"/>
        </w:rPr>
        <w:t>.</w:t>
      </w:r>
      <w:r w:rsidR="00720653" w:rsidRPr="00000DD3">
        <w:rPr>
          <w:rFonts w:ascii="Book Antiqua" w:hAnsi="Book Antiqua" w:cs="Arial"/>
        </w:rPr>
        <w:t xml:space="preserve"> </w:t>
      </w:r>
      <w:r w:rsidRPr="00000DD3">
        <w:rPr>
          <w:rFonts w:ascii="Book Antiqua" w:hAnsi="Book Antiqua" w:cstheme="minorHAnsi"/>
        </w:rPr>
        <w:t>D</w:t>
      </w:r>
      <w:r w:rsidRPr="00000DD3">
        <w:rPr>
          <w:rFonts w:ascii="Book Antiqua" w:hAnsi="Book Antiqua" w:cs="Arial"/>
        </w:rPr>
        <w:t xml:space="preserve">ogs have distinctive characteristics compared to other laboratory animal species </w:t>
      </w:r>
      <w:r w:rsidR="003B1B89" w:rsidRPr="00000DD3">
        <w:rPr>
          <w:rFonts w:ascii="Book Antiqua" w:hAnsi="Book Antiqua" w:cs="Arial"/>
        </w:rPr>
        <w:t>in that they</w:t>
      </w:r>
      <w:r w:rsidRPr="00000DD3">
        <w:rPr>
          <w:rFonts w:ascii="Book Antiqua" w:hAnsi="Book Antiqua" w:cs="Arial"/>
        </w:rPr>
        <w:t xml:space="preserve"> share </w:t>
      </w:r>
      <w:r w:rsidR="003B1B89" w:rsidRPr="00000DD3">
        <w:rPr>
          <w:rFonts w:ascii="Book Antiqua" w:hAnsi="Book Antiqua" w:cs="Arial"/>
        </w:rPr>
        <w:t xml:space="preserve">an OA </w:t>
      </w:r>
      <w:r w:rsidRPr="00000DD3">
        <w:rPr>
          <w:rFonts w:ascii="Book Antiqua" w:hAnsi="Book Antiqua" w:cs="Arial"/>
        </w:rPr>
        <w:t>pathology with humans</w:t>
      </w:r>
      <w:r w:rsidR="0044247B" w:rsidRPr="00000DD3">
        <w:rPr>
          <w:rFonts w:ascii="Book Antiqua" w:hAnsi="Book Antiqua" w:cs="Arial"/>
        </w:rPr>
        <w:t>.</w:t>
      </w:r>
      <w:r w:rsidR="003B1B89" w:rsidRPr="00000DD3">
        <w:rPr>
          <w:rFonts w:ascii="Book Antiqua" w:hAnsi="Book Antiqua" w:cs="Arial"/>
        </w:rPr>
        <w:t xml:space="preserve"> D</w:t>
      </w:r>
      <w:r w:rsidR="0044247B" w:rsidRPr="00000DD3">
        <w:rPr>
          <w:rFonts w:ascii="Book Antiqua" w:hAnsi="Book Antiqua" w:cs="Arial"/>
        </w:rPr>
        <w:t>ogs</w:t>
      </w:r>
      <w:r w:rsidRPr="00000DD3">
        <w:rPr>
          <w:rFonts w:ascii="Book Antiqua" w:hAnsi="Book Antiqua" w:cs="Arial"/>
        </w:rPr>
        <w:t xml:space="preserve"> can</w:t>
      </w:r>
      <w:r w:rsidR="003B1B89" w:rsidRPr="00000DD3">
        <w:rPr>
          <w:rFonts w:ascii="Book Antiqua" w:hAnsi="Book Antiqua" w:cs="Arial"/>
        </w:rPr>
        <w:t xml:space="preserve"> also require</w:t>
      </w:r>
      <w:r w:rsidRPr="00000DD3">
        <w:rPr>
          <w:rFonts w:ascii="Book Antiqua" w:hAnsi="Book Antiqua" w:cs="Arial"/>
        </w:rPr>
        <w:t xml:space="preserve"> treatment for naturally developed OA</w:t>
      </w:r>
      <w:r w:rsidR="003B1B89" w:rsidRPr="00000DD3">
        <w:rPr>
          <w:rFonts w:ascii="Book Antiqua" w:hAnsi="Book Antiqua" w:cs="Arial"/>
        </w:rPr>
        <w:t>;</w:t>
      </w:r>
      <w:r w:rsidR="0044247B" w:rsidRPr="00000DD3">
        <w:rPr>
          <w:rFonts w:ascii="Book Antiqua" w:hAnsi="Book Antiqua" w:cs="Arial"/>
        </w:rPr>
        <w:t xml:space="preserve"> therefore,</w:t>
      </w:r>
      <w:r w:rsidRPr="00000DD3">
        <w:rPr>
          <w:rFonts w:ascii="Book Antiqua" w:hAnsi="Book Antiqua" w:cs="Arial"/>
        </w:rPr>
        <w:t xml:space="preserve"> </w:t>
      </w:r>
      <w:r w:rsidR="0044247B" w:rsidRPr="00000DD3">
        <w:rPr>
          <w:rFonts w:ascii="Book Antiqua" w:hAnsi="Book Antiqua" w:cs="Arial"/>
        </w:rPr>
        <w:t>e</w:t>
      </w:r>
      <w:r w:rsidRPr="00000DD3">
        <w:rPr>
          <w:rFonts w:ascii="Book Antiqua" w:hAnsi="Book Antiqua" w:cs="Arial"/>
        </w:rPr>
        <w:t>ffective treatment methods for OA are desired in veterinary medicine as well as</w:t>
      </w:r>
      <w:r w:rsidR="00D462C1" w:rsidRPr="00000DD3">
        <w:rPr>
          <w:rFonts w:ascii="Book Antiqua" w:hAnsi="Book Antiqua" w:cs="Arial"/>
        </w:rPr>
        <w:t xml:space="preserve"> in</w:t>
      </w:r>
      <w:r w:rsidRPr="00000DD3">
        <w:rPr>
          <w:rFonts w:ascii="Book Antiqua" w:hAnsi="Book Antiqua" w:cs="Arial"/>
        </w:rPr>
        <w:t xml:space="preserve"> human medicine</w:t>
      </w:r>
      <w:r w:rsidR="0044247B" w:rsidRPr="00000DD3">
        <w:rPr>
          <w:rFonts w:ascii="Book Antiqua" w:hAnsi="Book Antiqua" w:cs="Arial"/>
        </w:rPr>
        <w:t>.</w:t>
      </w:r>
      <w:r w:rsidRPr="00000DD3">
        <w:rPr>
          <w:rFonts w:ascii="Book Antiqua" w:hAnsi="Book Antiqua" w:cs="Arial"/>
        </w:rPr>
        <w:t xml:space="preserve"> </w:t>
      </w:r>
      <w:r w:rsidR="0044247B" w:rsidRPr="00000DD3">
        <w:rPr>
          <w:rFonts w:ascii="Book Antiqua" w:hAnsi="Book Antiqua" w:cs="Arial"/>
        </w:rPr>
        <w:t xml:space="preserve">Recently, </w:t>
      </w:r>
      <w:r w:rsidRPr="00000DD3">
        <w:rPr>
          <w:rFonts w:ascii="Book Antiqua" w:hAnsi="Book Antiqua" w:cs="Arial"/>
        </w:rPr>
        <w:t xml:space="preserve">interest </w:t>
      </w:r>
      <w:r w:rsidR="00D462C1" w:rsidRPr="00000DD3">
        <w:rPr>
          <w:rFonts w:ascii="Book Antiqua" w:hAnsi="Book Antiqua" w:cs="Arial"/>
        </w:rPr>
        <w:t xml:space="preserve">has grown </w:t>
      </w:r>
      <w:r w:rsidRPr="00000DD3">
        <w:rPr>
          <w:rFonts w:ascii="Book Antiqua" w:hAnsi="Book Antiqua" w:cs="Arial"/>
        </w:rPr>
        <w:t xml:space="preserve">in regenerative medicine </w:t>
      </w:r>
      <w:r w:rsidR="00D462C1" w:rsidRPr="00000DD3">
        <w:rPr>
          <w:rFonts w:ascii="Book Antiqua" w:hAnsi="Book Antiqua" w:cs="Arial"/>
        </w:rPr>
        <w:t>that includes</w:t>
      </w:r>
      <w:r w:rsidRPr="00000DD3">
        <w:rPr>
          <w:rFonts w:ascii="Book Antiqua" w:hAnsi="Book Antiqua" w:cs="Arial"/>
        </w:rPr>
        <w:t xml:space="preserve"> the use of mesenchymal stem cells (MSCs).</w:t>
      </w:r>
      <w:r w:rsidR="00720653" w:rsidRPr="00000DD3">
        <w:rPr>
          <w:rFonts w:ascii="Book Antiqua" w:hAnsi="Book Antiqua" w:cs="Arial"/>
        </w:rPr>
        <w:t xml:space="preserve"> </w:t>
      </w:r>
      <w:r w:rsidR="00D462C1" w:rsidRPr="00000DD3">
        <w:rPr>
          <w:rFonts w:ascii="Book Antiqua" w:hAnsi="Book Antiqua" w:cs="Arial"/>
        </w:rPr>
        <w:t xml:space="preserve">In cartilage repair, </w:t>
      </w:r>
      <w:r w:rsidRPr="00000DD3">
        <w:rPr>
          <w:rFonts w:ascii="Book Antiqua" w:hAnsi="Book Antiqua" w:cs="Arial"/>
        </w:rPr>
        <w:t>MSCs are a promising therapeutic tool</w:t>
      </w:r>
      <w:r w:rsidR="00083822" w:rsidRPr="00000DD3">
        <w:rPr>
          <w:rFonts w:ascii="Book Antiqua" w:hAnsi="Book Antiqua" w:cs="Arial"/>
        </w:rPr>
        <w:t xml:space="preserve"> </w:t>
      </w:r>
      <w:r w:rsidR="00D462C1" w:rsidRPr="00000DD3">
        <w:rPr>
          <w:rFonts w:ascii="Book Antiqua" w:hAnsi="Book Antiqua" w:cs="Arial"/>
        </w:rPr>
        <w:t>due to their</w:t>
      </w:r>
      <w:r w:rsidRPr="00000DD3">
        <w:rPr>
          <w:rFonts w:ascii="Book Antiqua" w:hAnsi="Book Antiqua" w:cs="Arial"/>
        </w:rPr>
        <w:t xml:space="preserve"> self-renewal capacity, ability </w:t>
      </w:r>
      <w:r w:rsidR="00D462C1" w:rsidRPr="00000DD3">
        <w:rPr>
          <w:rFonts w:ascii="Book Antiqua" w:hAnsi="Book Antiqua" w:cs="Arial"/>
        </w:rPr>
        <w:t xml:space="preserve">to differentiate </w:t>
      </w:r>
      <w:r w:rsidRPr="00000DD3">
        <w:rPr>
          <w:rFonts w:ascii="Book Antiqua" w:hAnsi="Book Antiqua" w:cs="Arial"/>
        </w:rPr>
        <w:t xml:space="preserve">into cartilage, potential </w:t>
      </w:r>
      <w:r w:rsidR="00D462C1" w:rsidRPr="00000DD3">
        <w:rPr>
          <w:rFonts w:ascii="Book Antiqua" w:hAnsi="Book Antiqua" w:cs="Arial"/>
        </w:rPr>
        <w:t xml:space="preserve">for </w:t>
      </w:r>
      <w:r w:rsidRPr="00000DD3">
        <w:rPr>
          <w:rFonts w:ascii="Book Antiqua" w:hAnsi="Book Antiqua" w:cs="Arial"/>
        </w:rPr>
        <w:t>trophic factor production</w:t>
      </w:r>
      <w:r w:rsidR="00D462C1" w:rsidRPr="00000DD3">
        <w:rPr>
          <w:rFonts w:ascii="Book Antiqua" w:hAnsi="Book Antiqua" w:cs="Arial"/>
        </w:rPr>
        <w:t>,</w:t>
      </w:r>
      <w:r w:rsidRPr="00000DD3">
        <w:rPr>
          <w:rFonts w:ascii="Book Antiqua" w:hAnsi="Book Antiqua" w:cs="Arial"/>
        </w:rPr>
        <w:t xml:space="preserve"> and </w:t>
      </w:r>
      <w:r w:rsidR="00D462C1" w:rsidRPr="00000DD3">
        <w:rPr>
          <w:rFonts w:ascii="Book Antiqua" w:hAnsi="Book Antiqua" w:cs="Arial"/>
        </w:rPr>
        <w:t>capacity for immunomodulation</w:t>
      </w:r>
      <w:r w:rsidRPr="00000DD3">
        <w:rPr>
          <w:rFonts w:ascii="Book Antiqua" w:hAnsi="Book Antiqua" w:cs="Arial"/>
        </w:rPr>
        <w:t xml:space="preserve">. </w:t>
      </w:r>
      <w:r w:rsidR="00D462C1" w:rsidRPr="00000DD3">
        <w:rPr>
          <w:rFonts w:ascii="Book Antiqua" w:hAnsi="Book Antiqua" w:cs="Arial"/>
        </w:rPr>
        <w:t xml:space="preserve">The </w:t>
      </w:r>
      <w:r w:rsidRPr="00000DD3">
        <w:rPr>
          <w:rFonts w:ascii="Book Antiqua" w:hAnsi="Book Antiqua" w:cs="Arial"/>
        </w:rPr>
        <w:t xml:space="preserve">MSCs </w:t>
      </w:r>
      <w:r w:rsidR="00D462C1" w:rsidRPr="00000DD3">
        <w:rPr>
          <w:rFonts w:ascii="Book Antiqua" w:hAnsi="Book Antiqua" w:cs="Arial"/>
        </w:rPr>
        <w:t xml:space="preserve">from </w:t>
      </w:r>
      <w:r w:rsidRPr="00000DD3">
        <w:rPr>
          <w:rFonts w:ascii="Book Antiqua" w:hAnsi="Book Antiqua" w:cs="Arial"/>
        </w:rPr>
        <w:t>dogs (canine MSCs</w:t>
      </w:r>
      <w:r w:rsidR="00D462C1" w:rsidRPr="00000DD3">
        <w:rPr>
          <w:rFonts w:ascii="Book Antiqua" w:hAnsi="Book Antiqua" w:cs="Arial"/>
        </w:rPr>
        <w:t>;</w:t>
      </w:r>
      <w:r w:rsidRPr="00000DD3">
        <w:rPr>
          <w:rFonts w:ascii="Book Antiqua" w:hAnsi="Book Antiqua" w:cs="Arial"/>
        </w:rPr>
        <w:t xml:space="preserve"> </w:t>
      </w:r>
      <w:proofErr w:type="spellStart"/>
      <w:r w:rsidRPr="00000DD3">
        <w:rPr>
          <w:rFonts w:ascii="Book Antiqua" w:hAnsi="Book Antiqua" w:cs="Arial"/>
        </w:rPr>
        <w:t>cMSCs</w:t>
      </w:r>
      <w:proofErr w:type="spellEnd"/>
      <w:r w:rsidRPr="00000DD3">
        <w:rPr>
          <w:rFonts w:ascii="Book Antiqua" w:hAnsi="Book Antiqua" w:cs="Arial"/>
        </w:rPr>
        <w:t xml:space="preserve">) share </w:t>
      </w:r>
      <w:r w:rsidR="00083822" w:rsidRPr="00000DD3">
        <w:rPr>
          <w:rFonts w:ascii="Book Antiqua" w:hAnsi="Book Antiqua" w:cs="Arial"/>
        </w:rPr>
        <w:t xml:space="preserve">various </w:t>
      </w:r>
      <w:r w:rsidRPr="00000DD3">
        <w:rPr>
          <w:rFonts w:ascii="Book Antiqua" w:hAnsi="Book Antiqua" w:cs="Arial"/>
        </w:rPr>
        <w:t xml:space="preserve">characteristics with MSCs </w:t>
      </w:r>
      <w:r w:rsidR="00D462C1" w:rsidRPr="00000DD3">
        <w:rPr>
          <w:rFonts w:ascii="Book Antiqua" w:hAnsi="Book Antiqua" w:cs="Arial"/>
        </w:rPr>
        <w:t xml:space="preserve">from </w:t>
      </w:r>
      <w:r w:rsidRPr="00000DD3">
        <w:rPr>
          <w:rFonts w:ascii="Book Antiqua" w:hAnsi="Book Antiqua" w:cs="Arial"/>
        </w:rPr>
        <w:t>other animal species,</w:t>
      </w:r>
      <w:r w:rsidR="00083822" w:rsidRPr="00000DD3">
        <w:rPr>
          <w:rFonts w:ascii="Book Antiqua" w:hAnsi="Book Antiqua" w:cs="Arial"/>
        </w:rPr>
        <w:t xml:space="preserve"> </w:t>
      </w:r>
      <w:r w:rsidR="00D462C1" w:rsidRPr="00000DD3">
        <w:rPr>
          <w:rFonts w:ascii="Book Antiqua" w:hAnsi="Book Antiqua" w:cs="Arial"/>
        </w:rPr>
        <w:t>but they show</w:t>
      </w:r>
      <w:r w:rsidR="00083822" w:rsidRPr="00000DD3">
        <w:rPr>
          <w:rFonts w:ascii="Book Antiqua" w:hAnsi="Book Antiqua" w:cs="Arial"/>
        </w:rPr>
        <w:t xml:space="preserve"> </w:t>
      </w:r>
      <w:r w:rsidR="00AE6805" w:rsidRPr="00000DD3">
        <w:rPr>
          <w:rFonts w:ascii="Book Antiqua" w:hAnsi="Book Antiqua" w:cs="Arial"/>
        </w:rPr>
        <w:t xml:space="preserve">some </w:t>
      </w:r>
      <w:r w:rsidR="00D462C1" w:rsidRPr="00000DD3">
        <w:rPr>
          <w:rFonts w:ascii="Book Antiqua" w:hAnsi="Book Antiqua" w:cs="Arial"/>
        </w:rPr>
        <w:t>deviations,</w:t>
      </w:r>
      <w:r w:rsidR="00AE6805" w:rsidRPr="00000DD3">
        <w:rPr>
          <w:rFonts w:ascii="Book Antiqua" w:hAnsi="Book Antiqua" w:cs="Arial"/>
        </w:rPr>
        <w:t xml:space="preserve"> particularly in</w:t>
      </w:r>
      <w:r w:rsidR="00CA23C4" w:rsidRPr="00000DD3">
        <w:rPr>
          <w:rFonts w:ascii="Book Antiqua" w:hAnsi="Book Antiqua" w:cs="Arial"/>
        </w:rPr>
        <w:t xml:space="preserve"> their</w:t>
      </w:r>
      <w:r w:rsidR="00AE6805" w:rsidRPr="00000DD3">
        <w:rPr>
          <w:rFonts w:ascii="Book Antiqua" w:hAnsi="Book Antiqua" w:cs="Arial"/>
        </w:rPr>
        <w:t xml:space="preserve"> differentiation ability and surface epitope expression. </w:t>
      </w:r>
      <w:r w:rsidR="00AE6805" w:rsidRPr="00000DD3">
        <w:rPr>
          <w:rFonts w:ascii="Book Antiqua" w:hAnsi="Book Antiqua" w:cs="Arial"/>
          <w:i/>
        </w:rPr>
        <w:t>In vivo</w:t>
      </w:r>
      <w:r w:rsidR="00AE6805" w:rsidRPr="00000DD3">
        <w:rPr>
          <w:rFonts w:ascii="Book Antiqua" w:hAnsi="Book Antiqua" w:cs="Arial"/>
        </w:rPr>
        <w:t xml:space="preserve"> studies of </w:t>
      </w:r>
      <w:proofErr w:type="spellStart"/>
      <w:r w:rsidR="00AE6805" w:rsidRPr="00000DD3">
        <w:rPr>
          <w:rFonts w:ascii="Book Antiqua" w:hAnsi="Book Antiqua" w:cs="Arial"/>
        </w:rPr>
        <w:t>cMSCs</w:t>
      </w:r>
      <w:proofErr w:type="spellEnd"/>
      <w:r w:rsidR="00AE6805" w:rsidRPr="00000DD3">
        <w:rPr>
          <w:rFonts w:ascii="Book Antiqua" w:hAnsi="Book Antiqua" w:cs="Arial"/>
        </w:rPr>
        <w:t xml:space="preserve"> </w:t>
      </w:r>
      <w:r w:rsidR="00720653" w:rsidRPr="00000DD3">
        <w:rPr>
          <w:rFonts w:ascii="Book Antiqua" w:hAnsi="Book Antiqua" w:cs="Arial"/>
        </w:rPr>
        <w:t xml:space="preserve">have </w:t>
      </w:r>
      <w:r w:rsidR="00AE6805" w:rsidRPr="00000DD3">
        <w:rPr>
          <w:rFonts w:ascii="Book Antiqua" w:hAnsi="Book Antiqua" w:cs="Arial"/>
        </w:rPr>
        <w:t>demonstrat</w:t>
      </w:r>
      <w:r w:rsidR="00720653" w:rsidRPr="00000DD3">
        <w:rPr>
          <w:rFonts w:ascii="Book Antiqua" w:hAnsi="Book Antiqua" w:cs="Arial"/>
        </w:rPr>
        <w:t>ed</w:t>
      </w:r>
      <w:r w:rsidR="00AE6805" w:rsidRPr="00000DD3">
        <w:rPr>
          <w:rFonts w:ascii="Book Antiqua" w:hAnsi="Book Antiqua" w:cs="Arial"/>
        </w:rPr>
        <w:t xml:space="preserve"> that intraarticular </w:t>
      </w:r>
      <w:proofErr w:type="spellStart"/>
      <w:r w:rsidR="00AE6805" w:rsidRPr="00000DD3">
        <w:rPr>
          <w:rFonts w:ascii="Book Antiqua" w:hAnsi="Book Antiqua" w:cs="Arial"/>
        </w:rPr>
        <w:t>cMSC</w:t>
      </w:r>
      <w:proofErr w:type="spellEnd"/>
      <w:r w:rsidR="00AE6805" w:rsidRPr="00000DD3">
        <w:rPr>
          <w:rFonts w:ascii="Book Antiqua" w:hAnsi="Book Antiqua" w:cs="Arial"/>
        </w:rPr>
        <w:t xml:space="preserve"> injection </w:t>
      </w:r>
      <w:r w:rsidR="00D462C1" w:rsidRPr="00000DD3">
        <w:rPr>
          <w:rFonts w:ascii="Book Antiqua" w:hAnsi="Book Antiqua" w:cs="Arial"/>
        </w:rPr>
        <w:t xml:space="preserve">into </w:t>
      </w:r>
      <w:r w:rsidR="00AE6805" w:rsidRPr="00000DD3">
        <w:rPr>
          <w:rFonts w:ascii="Book Antiqua" w:hAnsi="Book Antiqua" w:cs="Arial"/>
        </w:rPr>
        <w:t xml:space="preserve">cartilage lesions </w:t>
      </w:r>
      <w:r w:rsidR="002800F8" w:rsidRPr="00000DD3">
        <w:rPr>
          <w:rFonts w:ascii="Book Antiqua" w:hAnsi="Book Antiqua" w:cs="Arial"/>
        </w:rPr>
        <w:t>results in</w:t>
      </w:r>
      <w:r w:rsidR="0044247B" w:rsidRPr="00000DD3">
        <w:rPr>
          <w:rFonts w:ascii="Book Antiqua" w:hAnsi="Book Antiqua" w:cs="Arial"/>
        </w:rPr>
        <w:t xml:space="preserve"> excellent</w:t>
      </w:r>
      <w:r w:rsidR="00AE6805" w:rsidRPr="00000DD3">
        <w:rPr>
          <w:rFonts w:ascii="Book Antiqua" w:hAnsi="Book Antiqua" w:cs="Arial"/>
        </w:rPr>
        <w:t xml:space="preserve"> hyaline cartilage regeneration. </w:t>
      </w:r>
      <w:r w:rsidR="002800F8" w:rsidRPr="00000DD3">
        <w:rPr>
          <w:rFonts w:ascii="Book Antiqua" w:hAnsi="Book Antiqua" w:cs="Arial"/>
        </w:rPr>
        <w:t xml:space="preserve">In clinical situations, </w:t>
      </w:r>
      <w:proofErr w:type="spellStart"/>
      <w:r w:rsidR="00AE6805" w:rsidRPr="00000DD3">
        <w:rPr>
          <w:rFonts w:ascii="Book Antiqua" w:hAnsi="Book Antiqua" w:cs="Arial"/>
        </w:rPr>
        <w:t>cMSCs</w:t>
      </w:r>
      <w:proofErr w:type="spellEnd"/>
      <w:r w:rsidR="00AE6805" w:rsidRPr="00000DD3">
        <w:rPr>
          <w:rFonts w:ascii="Book Antiqua" w:hAnsi="Book Antiqua" w:cs="Arial"/>
        </w:rPr>
        <w:t xml:space="preserve"> </w:t>
      </w:r>
      <w:r w:rsidR="00720653" w:rsidRPr="00000DD3">
        <w:rPr>
          <w:rFonts w:ascii="Book Antiqua" w:hAnsi="Book Antiqua" w:cs="Arial"/>
        </w:rPr>
        <w:t xml:space="preserve">have </w:t>
      </w:r>
      <w:r w:rsidR="00AE6805" w:rsidRPr="00000DD3">
        <w:rPr>
          <w:rFonts w:ascii="Book Antiqua" w:hAnsi="Book Antiqua" w:cs="Arial"/>
        </w:rPr>
        <w:t>show</w:t>
      </w:r>
      <w:r w:rsidR="00720653" w:rsidRPr="00000DD3">
        <w:rPr>
          <w:rFonts w:ascii="Book Antiqua" w:hAnsi="Book Antiqua" w:cs="Arial"/>
        </w:rPr>
        <w:t>n</w:t>
      </w:r>
      <w:r w:rsidR="00AE6805" w:rsidRPr="00000DD3">
        <w:rPr>
          <w:rFonts w:ascii="Book Antiqua" w:hAnsi="Book Antiqua" w:cs="Arial"/>
        </w:rPr>
        <w:t xml:space="preserve"> </w:t>
      </w:r>
      <w:r w:rsidR="0044247B" w:rsidRPr="00000DD3">
        <w:rPr>
          <w:rFonts w:ascii="Book Antiqua" w:hAnsi="Book Antiqua" w:cs="Arial"/>
        </w:rPr>
        <w:t xml:space="preserve">great </w:t>
      </w:r>
      <w:r w:rsidR="00AE6805" w:rsidRPr="00000DD3">
        <w:rPr>
          <w:rFonts w:ascii="Book Antiqua" w:hAnsi="Book Antiqua" w:cs="Arial"/>
        </w:rPr>
        <w:t>therapeutic effects</w:t>
      </w:r>
      <w:r w:rsidR="002800F8" w:rsidRPr="00000DD3">
        <w:rPr>
          <w:rFonts w:ascii="Book Antiqua" w:hAnsi="Book Antiqua" w:cs="Arial"/>
        </w:rPr>
        <w:t>,</w:t>
      </w:r>
      <w:r w:rsidR="0044247B" w:rsidRPr="00000DD3">
        <w:rPr>
          <w:rFonts w:ascii="Book Antiqua" w:hAnsi="Book Antiqua" w:cs="Arial"/>
        </w:rPr>
        <w:t xml:space="preserve"> </w:t>
      </w:r>
      <w:r w:rsidR="00E4772B" w:rsidRPr="00000DD3">
        <w:rPr>
          <w:rFonts w:ascii="Book Antiqua" w:hAnsi="Book Antiqua" w:cs="Arial"/>
        </w:rPr>
        <w:t>including amelioration of pain and lameness</w:t>
      </w:r>
      <w:r w:rsidR="00AE6805" w:rsidRPr="00000DD3">
        <w:rPr>
          <w:rFonts w:ascii="Book Antiqua" w:hAnsi="Book Antiqua" w:cs="Arial"/>
        </w:rPr>
        <w:t xml:space="preserve"> </w:t>
      </w:r>
      <w:r w:rsidR="002800F8" w:rsidRPr="00000DD3">
        <w:rPr>
          <w:rFonts w:ascii="Book Antiqua" w:hAnsi="Book Antiqua" w:cs="Arial"/>
        </w:rPr>
        <w:t xml:space="preserve">in </w:t>
      </w:r>
      <w:r w:rsidR="0044247B" w:rsidRPr="00000DD3">
        <w:rPr>
          <w:rFonts w:ascii="Book Antiqua" w:hAnsi="Book Antiqua" w:cs="Arial"/>
        </w:rPr>
        <w:t>dogs suffering from OA</w:t>
      </w:r>
      <w:r w:rsidR="00720653" w:rsidRPr="00000DD3">
        <w:rPr>
          <w:rFonts w:ascii="Book Antiqua" w:hAnsi="Book Antiqua" w:cs="Arial"/>
        </w:rPr>
        <w:t>.</w:t>
      </w:r>
      <w:r w:rsidR="0044247B" w:rsidRPr="00000DD3">
        <w:rPr>
          <w:rFonts w:ascii="Book Antiqua" w:hAnsi="Book Antiqua" w:cs="Arial"/>
        </w:rPr>
        <w:t xml:space="preserve"> However,</w:t>
      </w:r>
      <w:r w:rsidR="00E4772B" w:rsidRPr="00000DD3">
        <w:rPr>
          <w:rFonts w:ascii="Book Antiqua" w:hAnsi="Book Antiqua" w:cs="Arial"/>
        </w:rPr>
        <w:t xml:space="preserve"> </w:t>
      </w:r>
      <w:r w:rsidR="00986694" w:rsidRPr="00000DD3">
        <w:rPr>
          <w:rFonts w:ascii="Book Antiqua" w:hAnsi="Book Antiqua" w:cs="Arial"/>
        </w:rPr>
        <w:t>some iss</w:t>
      </w:r>
      <w:r w:rsidR="00874D30" w:rsidRPr="00000DD3">
        <w:rPr>
          <w:rFonts w:ascii="Book Antiqua" w:hAnsi="Book Antiqua" w:cs="Arial"/>
        </w:rPr>
        <w:t>u</w:t>
      </w:r>
      <w:r w:rsidR="00986694" w:rsidRPr="00000DD3">
        <w:rPr>
          <w:rFonts w:ascii="Book Antiqua" w:hAnsi="Book Antiqua" w:cs="Arial"/>
        </w:rPr>
        <w:t>es</w:t>
      </w:r>
      <w:r w:rsidR="002800F8" w:rsidRPr="00000DD3">
        <w:rPr>
          <w:rFonts w:ascii="Book Antiqua" w:hAnsi="Book Antiqua" w:cs="Arial"/>
        </w:rPr>
        <w:t xml:space="preserve"> remain,</w:t>
      </w:r>
      <w:r w:rsidR="00986694" w:rsidRPr="00000DD3">
        <w:rPr>
          <w:rFonts w:ascii="Book Antiqua" w:hAnsi="Book Antiqua" w:cs="Arial"/>
        </w:rPr>
        <w:t xml:space="preserve"> such as </w:t>
      </w:r>
      <w:r w:rsidR="006B102E" w:rsidRPr="00000DD3">
        <w:rPr>
          <w:rFonts w:ascii="Book Antiqua" w:hAnsi="Book Antiqua" w:cs="Arial"/>
        </w:rPr>
        <w:t>a lack</w:t>
      </w:r>
      <w:r w:rsidR="002800F8" w:rsidRPr="00000DD3">
        <w:rPr>
          <w:rFonts w:ascii="Book Antiqua" w:hAnsi="Book Antiqua" w:cs="Arial"/>
        </w:rPr>
        <w:t xml:space="preserve"> </w:t>
      </w:r>
      <w:r w:rsidR="00986694" w:rsidRPr="00000DD3">
        <w:rPr>
          <w:rFonts w:ascii="Book Antiqua" w:hAnsi="Book Antiqua" w:cs="Arial"/>
        </w:rPr>
        <w:t>of regulations or guidelines</w:t>
      </w:r>
      <w:r w:rsidR="002800F8" w:rsidRPr="00000DD3">
        <w:rPr>
          <w:rFonts w:ascii="Book Antiqua" w:hAnsi="Book Antiqua" w:cs="Arial"/>
        </w:rPr>
        <w:t xml:space="preserve"> and </w:t>
      </w:r>
      <w:r w:rsidR="006B102E" w:rsidRPr="00000DD3">
        <w:rPr>
          <w:rFonts w:ascii="Book Antiqua" w:hAnsi="Book Antiqua" w:cs="Arial"/>
        </w:rPr>
        <w:t>a need for</w:t>
      </w:r>
      <w:r w:rsidR="002800F8" w:rsidRPr="00000DD3">
        <w:rPr>
          <w:rFonts w:ascii="Book Antiqua" w:hAnsi="Book Antiqua" w:cs="Arial"/>
        </w:rPr>
        <w:t xml:space="preserve"> unified methods</w:t>
      </w:r>
      <w:r w:rsidR="00986694" w:rsidRPr="00000DD3">
        <w:rPr>
          <w:rFonts w:ascii="Book Antiqua" w:hAnsi="Book Antiqua" w:cs="Arial"/>
        </w:rPr>
        <w:t xml:space="preserve"> for the use of </w:t>
      </w:r>
      <w:proofErr w:type="spellStart"/>
      <w:r w:rsidR="00986694" w:rsidRPr="00000DD3">
        <w:rPr>
          <w:rFonts w:ascii="Book Antiqua" w:hAnsi="Book Antiqua" w:cs="Arial"/>
        </w:rPr>
        <w:t>cMSCs</w:t>
      </w:r>
      <w:proofErr w:type="spellEnd"/>
      <w:r w:rsidR="00874D30" w:rsidRPr="00000DD3">
        <w:rPr>
          <w:rFonts w:ascii="Book Antiqua" w:hAnsi="Book Antiqua" w:cs="Arial"/>
        </w:rPr>
        <w:t xml:space="preserve">. </w:t>
      </w:r>
      <w:r w:rsidR="002800F8" w:rsidRPr="00000DD3">
        <w:rPr>
          <w:rFonts w:ascii="Book Antiqua" w:hAnsi="Book Antiqua" w:cs="Arial"/>
        </w:rPr>
        <w:t>This</w:t>
      </w:r>
      <w:r w:rsidR="00874D30" w:rsidRPr="00000DD3">
        <w:rPr>
          <w:rFonts w:ascii="Book Antiqua" w:hAnsi="Book Antiqua" w:cs="Arial"/>
        </w:rPr>
        <w:t xml:space="preserve"> review </w:t>
      </w:r>
      <w:r w:rsidR="00D718E2" w:rsidRPr="00000DD3">
        <w:rPr>
          <w:rFonts w:ascii="Book Antiqua" w:hAnsi="Book Antiqua" w:cs="Arial"/>
        </w:rPr>
        <w:t>summarizes</w:t>
      </w:r>
      <w:r w:rsidR="00EF3811" w:rsidRPr="00000DD3">
        <w:rPr>
          <w:rFonts w:ascii="Book Antiqua" w:hAnsi="Book Antiqua" w:cs="Arial"/>
        </w:rPr>
        <w:t xml:space="preserve"> </w:t>
      </w:r>
      <w:r w:rsidR="00874D30" w:rsidRPr="00000DD3">
        <w:rPr>
          <w:rFonts w:ascii="Book Antiqua" w:hAnsi="Book Antiqua" w:cs="Arial"/>
        </w:rPr>
        <w:t xml:space="preserve">what is known about </w:t>
      </w:r>
      <w:proofErr w:type="spellStart"/>
      <w:r w:rsidR="0044247B" w:rsidRPr="00000DD3">
        <w:rPr>
          <w:rFonts w:ascii="Book Antiqua" w:hAnsi="Book Antiqua" w:cs="Arial"/>
        </w:rPr>
        <w:t>cMSCs</w:t>
      </w:r>
      <w:proofErr w:type="spellEnd"/>
      <w:r w:rsidR="00EF3811" w:rsidRPr="00000DD3">
        <w:rPr>
          <w:rFonts w:ascii="Book Antiqua" w:hAnsi="Book Antiqua" w:cs="Arial"/>
        </w:rPr>
        <w:t>,</w:t>
      </w:r>
      <w:r w:rsidR="00874D30" w:rsidRPr="00000DD3">
        <w:rPr>
          <w:rFonts w:ascii="Book Antiqua" w:hAnsi="Book Antiqua" w:cs="Arial"/>
        </w:rPr>
        <w:t xml:space="preserve"> including their </w:t>
      </w:r>
      <w:r w:rsidR="00874D30" w:rsidRPr="00000DD3">
        <w:rPr>
          <w:rFonts w:ascii="Book Antiqua" w:hAnsi="Book Antiqua" w:cs="Arial"/>
          <w:i/>
        </w:rPr>
        <w:t>in vitro</w:t>
      </w:r>
      <w:r w:rsidR="00874D30" w:rsidRPr="00000DD3">
        <w:rPr>
          <w:rFonts w:ascii="Book Antiqua" w:hAnsi="Book Antiqua" w:cs="Arial"/>
        </w:rPr>
        <w:t xml:space="preserve"> characteristics, </w:t>
      </w:r>
      <w:r w:rsidR="00EF3811" w:rsidRPr="00000DD3">
        <w:rPr>
          <w:rFonts w:ascii="Book Antiqua" w:hAnsi="Book Antiqua" w:cs="Arial"/>
        </w:rPr>
        <w:t xml:space="preserve">their </w:t>
      </w:r>
      <w:r w:rsidR="00874D30" w:rsidRPr="00000DD3">
        <w:rPr>
          <w:rFonts w:ascii="Book Antiqua" w:hAnsi="Book Antiqua" w:cs="Arial"/>
        </w:rPr>
        <w:t>therapeutic effect</w:t>
      </w:r>
      <w:r w:rsidR="00EF3811" w:rsidRPr="00000DD3">
        <w:rPr>
          <w:rFonts w:ascii="Book Antiqua" w:hAnsi="Book Antiqua" w:cs="Arial"/>
        </w:rPr>
        <w:t>s in</w:t>
      </w:r>
      <w:r w:rsidR="00874D30" w:rsidRPr="00000DD3">
        <w:rPr>
          <w:rFonts w:ascii="Book Antiqua" w:hAnsi="Book Antiqua" w:cs="Arial"/>
        </w:rPr>
        <w:t xml:space="preserve"> cartilage lesion</w:t>
      </w:r>
      <w:r w:rsidR="00EF3811" w:rsidRPr="00000DD3">
        <w:rPr>
          <w:rFonts w:ascii="Book Antiqua" w:hAnsi="Book Antiqua" w:cs="Arial"/>
        </w:rPr>
        <w:t xml:space="preserve"> treatment</w:t>
      </w:r>
      <w:r w:rsidR="00874D30" w:rsidRPr="00000DD3">
        <w:rPr>
          <w:rFonts w:ascii="Book Antiqua" w:hAnsi="Book Antiqua" w:cs="Arial"/>
        </w:rPr>
        <w:t xml:space="preserve"> in preclinical </w:t>
      </w:r>
      <w:r w:rsidR="00874D30" w:rsidRPr="00000DD3">
        <w:rPr>
          <w:rFonts w:ascii="Book Antiqua" w:hAnsi="Book Antiqua" w:cs="Arial"/>
          <w:i/>
        </w:rPr>
        <w:t>in vivo</w:t>
      </w:r>
      <w:r w:rsidR="00874D30" w:rsidRPr="00000DD3">
        <w:rPr>
          <w:rFonts w:ascii="Book Antiqua" w:hAnsi="Book Antiqua" w:cs="Arial"/>
        </w:rPr>
        <w:t xml:space="preserve"> </w:t>
      </w:r>
      <w:r w:rsidR="00EF3811" w:rsidRPr="00000DD3">
        <w:rPr>
          <w:rFonts w:ascii="Book Antiqua" w:hAnsi="Book Antiqua" w:cs="Arial"/>
        </w:rPr>
        <w:t>studies</w:t>
      </w:r>
      <w:r w:rsidR="00874D30" w:rsidRPr="00000DD3">
        <w:rPr>
          <w:rFonts w:ascii="Book Antiqua" w:hAnsi="Book Antiqua" w:cs="Arial"/>
        </w:rPr>
        <w:t xml:space="preserve">, </w:t>
      </w:r>
      <w:r w:rsidR="00EF3811" w:rsidRPr="00000DD3">
        <w:rPr>
          <w:rFonts w:ascii="Book Antiqua" w:hAnsi="Book Antiqua" w:cs="Arial"/>
        </w:rPr>
        <w:t xml:space="preserve">their </w:t>
      </w:r>
      <w:r w:rsidR="00874D30" w:rsidRPr="00000DD3">
        <w:rPr>
          <w:rFonts w:ascii="Book Antiqua" w:hAnsi="Book Antiqua" w:cs="Arial"/>
        </w:rPr>
        <w:t xml:space="preserve">clinical efficacy for </w:t>
      </w:r>
      <w:r w:rsidR="00EF3811" w:rsidRPr="00000DD3">
        <w:rPr>
          <w:rFonts w:ascii="Book Antiqua" w:hAnsi="Book Antiqua" w:cs="Arial"/>
        </w:rPr>
        <w:t xml:space="preserve">treatment of </w:t>
      </w:r>
      <w:r w:rsidR="00874D30" w:rsidRPr="00000DD3">
        <w:rPr>
          <w:rFonts w:ascii="Book Antiqua" w:hAnsi="Book Antiqua" w:cs="Arial"/>
        </w:rPr>
        <w:t>naturally developed OA in dogs</w:t>
      </w:r>
      <w:r w:rsidR="00EF3811" w:rsidRPr="00000DD3">
        <w:rPr>
          <w:rFonts w:ascii="Book Antiqua" w:hAnsi="Book Antiqua" w:cs="Arial"/>
        </w:rPr>
        <w:t>,</w:t>
      </w:r>
      <w:r w:rsidR="00874D30" w:rsidRPr="00000DD3">
        <w:rPr>
          <w:rFonts w:ascii="Book Antiqua" w:hAnsi="Book Antiqua" w:cs="Arial"/>
        </w:rPr>
        <w:t xml:space="preserve"> and </w:t>
      </w:r>
      <w:r w:rsidR="00EF3811" w:rsidRPr="00000DD3">
        <w:rPr>
          <w:rFonts w:ascii="Book Antiqua" w:hAnsi="Book Antiqua" w:cs="Arial"/>
        </w:rPr>
        <w:t xml:space="preserve">the </w:t>
      </w:r>
      <w:r w:rsidR="00874D30" w:rsidRPr="00000DD3">
        <w:rPr>
          <w:rFonts w:ascii="Book Antiqua" w:hAnsi="Book Antiqua" w:cs="Arial"/>
        </w:rPr>
        <w:t xml:space="preserve">current limitations of </w:t>
      </w:r>
      <w:proofErr w:type="spellStart"/>
      <w:r w:rsidR="00874D30" w:rsidRPr="00000DD3">
        <w:rPr>
          <w:rFonts w:ascii="Book Antiqua" w:hAnsi="Book Antiqua" w:cs="Arial"/>
        </w:rPr>
        <w:t>cMSC</w:t>
      </w:r>
      <w:proofErr w:type="spellEnd"/>
      <w:r w:rsidR="00874D30" w:rsidRPr="00000DD3">
        <w:rPr>
          <w:rFonts w:ascii="Book Antiqua" w:hAnsi="Book Antiqua" w:cs="Arial"/>
        </w:rPr>
        <w:t xml:space="preserve"> studies.</w:t>
      </w:r>
    </w:p>
    <w:p w14:paraId="4FD01615" w14:textId="7CEC0841" w:rsidR="002D3C32" w:rsidRPr="00000DD3" w:rsidRDefault="002D3C32" w:rsidP="00874B98">
      <w:pPr>
        <w:spacing w:line="360" w:lineRule="auto"/>
        <w:jc w:val="both"/>
        <w:rPr>
          <w:rFonts w:ascii="Book Antiqua" w:hAnsi="Book Antiqua" w:cs="Arial"/>
        </w:rPr>
      </w:pPr>
    </w:p>
    <w:p w14:paraId="0605A3A6" w14:textId="0CA0A2BC" w:rsidR="002D3C32" w:rsidRPr="00000DD3" w:rsidRDefault="002D3C32" w:rsidP="00874B98">
      <w:pPr>
        <w:spacing w:line="360" w:lineRule="auto"/>
        <w:jc w:val="both"/>
        <w:rPr>
          <w:rFonts w:ascii="Book Antiqua" w:hAnsi="Book Antiqua" w:cs="Arial"/>
        </w:rPr>
      </w:pPr>
      <w:r w:rsidRPr="00000DD3">
        <w:rPr>
          <w:rFonts w:ascii="Book Antiqua" w:hAnsi="Book Antiqua" w:cs="Arial"/>
          <w:b/>
        </w:rPr>
        <w:t>Key words:</w:t>
      </w:r>
      <w:r w:rsidRPr="00000DD3">
        <w:rPr>
          <w:rFonts w:ascii="Book Antiqua" w:hAnsi="Book Antiqua" w:cs="Arial"/>
        </w:rPr>
        <w:t xml:space="preserve"> Mesenchymal stem cell; Dog; Cartilage; Osteoarthritis; Regenerative medicine; Veterinary medicine</w:t>
      </w:r>
    </w:p>
    <w:p w14:paraId="7A4B5E44" w14:textId="386C4C7E" w:rsidR="00476F82" w:rsidRPr="00000DD3" w:rsidRDefault="00476F82" w:rsidP="00874B98">
      <w:pPr>
        <w:spacing w:line="360" w:lineRule="auto"/>
        <w:jc w:val="both"/>
        <w:rPr>
          <w:rFonts w:ascii="Book Antiqua" w:eastAsia="黑体" w:hAnsi="Book Antiqua" w:cs="Arial"/>
          <w:lang w:eastAsia="zh-CN"/>
        </w:rPr>
      </w:pPr>
    </w:p>
    <w:p w14:paraId="74C6554F" w14:textId="77777777" w:rsidR="00FE520F" w:rsidRPr="00000DD3" w:rsidRDefault="00FE520F" w:rsidP="00874B98">
      <w:pPr>
        <w:spacing w:line="360" w:lineRule="auto"/>
        <w:jc w:val="both"/>
        <w:rPr>
          <w:rFonts w:ascii="Book Antiqua" w:hAnsi="Book Antiqua" w:cs="Arial"/>
        </w:rPr>
      </w:pPr>
      <w:r w:rsidRPr="00000DD3">
        <w:rPr>
          <w:rFonts w:ascii="Book Antiqua" w:hAnsi="Book Antiqua"/>
          <w:b/>
        </w:rPr>
        <w:t xml:space="preserve">© </w:t>
      </w:r>
      <w:r w:rsidRPr="00000DD3">
        <w:rPr>
          <w:rFonts w:ascii="Book Antiqua" w:hAnsi="Book Antiqua" w:cs="Arial"/>
          <w:b/>
        </w:rPr>
        <w:t>The Author(s) 2019.</w:t>
      </w:r>
      <w:r w:rsidRPr="00000DD3">
        <w:rPr>
          <w:rFonts w:ascii="Book Antiqua" w:hAnsi="Book Antiqua" w:cs="Arial"/>
        </w:rPr>
        <w:t xml:space="preserve"> Published by </w:t>
      </w:r>
      <w:proofErr w:type="spellStart"/>
      <w:r w:rsidRPr="00000DD3">
        <w:rPr>
          <w:rFonts w:ascii="Book Antiqua" w:hAnsi="Book Antiqua" w:cs="Arial"/>
        </w:rPr>
        <w:t>Baishideng</w:t>
      </w:r>
      <w:proofErr w:type="spellEnd"/>
      <w:r w:rsidRPr="00000DD3">
        <w:rPr>
          <w:rFonts w:ascii="Book Antiqua" w:hAnsi="Book Antiqua" w:cs="Arial"/>
        </w:rPr>
        <w:t xml:space="preserve"> Publishing Group Inc. All rights reserved.</w:t>
      </w:r>
    </w:p>
    <w:p w14:paraId="6648C58A" w14:textId="77777777" w:rsidR="00FE520F" w:rsidRPr="00000DD3" w:rsidRDefault="00FE520F" w:rsidP="00874B98">
      <w:pPr>
        <w:spacing w:line="360" w:lineRule="auto"/>
        <w:jc w:val="both"/>
        <w:rPr>
          <w:rFonts w:ascii="Book Antiqua" w:eastAsia="黑体" w:hAnsi="Book Antiqua" w:cs="Arial"/>
          <w:lang w:eastAsia="zh-CN"/>
        </w:rPr>
      </w:pPr>
    </w:p>
    <w:p w14:paraId="0CB31FD4" w14:textId="32F200A3" w:rsidR="00874B98" w:rsidRPr="00000DD3" w:rsidRDefault="00476F82" w:rsidP="00874B98">
      <w:pPr>
        <w:spacing w:line="360" w:lineRule="auto"/>
        <w:jc w:val="both"/>
        <w:rPr>
          <w:rFonts w:ascii="Book Antiqua" w:eastAsia="黑体" w:hAnsi="Book Antiqua" w:cs="Arial"/>
          <w:lang w:eastAsia="zh-CN"/>
        </w:rPr>
      </w:pPr>
      <w:r w:rsidRPr="00000DD3">
        <w:rPr>
          <w:rFonts w:ascii="Book Antiqua" w:hAnsi="Book Antiqua" w:cs="Arial"/>
          <w:b/>
        </w:rPr>
        <w:t>Core tip:</w:t>
      </w:r>
      <w:r w:rsidRPr="00000DD3">
        <w:rPr>
          <w:rFonts w:ascii="Book Antiqua" w:hAnsi="Book Antiqua" w:cs="Arial"/>
        </w:rPr>
        <w:t xml:space="preserve"> </w:t>
      </w:r>
      <w:r w:rsidR="00877ADC" w:rsidRPr="00000DD3">
        <w:rPr>
          <w:rFonts w:ascii="Book Antiqua" w:hAnsi="Book Antiqua" w:cs="Arial"/>
        </w:rPr>
        <w:t>Mesenchymal stem cells</w:t>
      </w:r>
      <w:r w:rsidR="007D0843" w:rsidRPr="00000DD3">
        <w:rPr>
          <w:rFonts w:ascii="Book Antiqua" w:hAnsi="Book Antiqua" w:cs="Arial"/>
        </w:rPr>
        <w:t xml:space="preserve"> (MSCs)</w:t>
      </w:r>
      <w:r w:rsidR="00877ADC" w:rsidRPr="00000DD3">
        <w:rPr>
          <w:rFonts w:ascii="Book Antiqua" w:hAnsi="Book Antiqua" w:cs="Arial"/>
        </w:rPr>
        <w:t xml:space="preserve"> </w:t>
      </w:r>
      <w:r w:rsidR="00D718E2" w:rsidRPr="00000DD3">
        <w:rPr>
          <w:rFonts w:ascii="Book Antiqua" w:hAnsi="Book Antiqua" w:cs="Arial"/>
        </w:rPr>
        <w:t>are</w:t>
      </w:r>
      <w:r w:rsidR="00877ADC" w:rsidRPr="00000DD3">
        <w:rPr>
          <w:rFonts w:ascii="Book Antiqua" w:hAnsi="Book Antiqua" w:cs="Arial"/>
        </w:rPr>
        <w:t xml:space="preserve"> promising therapeutic tool</w:t>
      </w:r>
      <w:r w:rsidR="00D718E2" w:rsidRPr="00000DD3">
        <w:rPr>
          <w:rFonts w:ascii="Book Antiqua" w:hAnsi="Book Antiqua" w:cs="Arial"/>
        </w:rPr>
        <w:t>s</w:t>
      </w:r>
      <w:r w:rsidR="00877ADC" w:rsidRPr="00000DD3">
        <w:rPr>
          <w:rFonts w:ascii="Book Antiqua" w:hAnsi="Book Antiqua" w:cs="Arial"/>
        </w:rPr>
        <w:t xml:space="preserve"> for </w:t>
      </w:r>
      <w:r w:rsidR="00D718E2" w:rsidRPr="00000DD3">
        <w:rPr>
          <w:rFonts w:ascii="Book Antiqua" w:hAnsi="Book Antiqua" w:cs="Arial"/>
        </w:rPr>
        <w:t xml:space="preserve">treatment of </w:t>
      </w:r>
      <w:r w:rsidR="00877ADC" w:rsidRPr="00000DD3">
        <w:rPr>
          <w:rFonts w:ascii="Book Antiqua" w:hAnsi="Book Antiqua" w:cs="Arial"/>
        </w:rPr>
        <w:t>cartilage damage and osteoarthritis</w:t>
      </w:r>
      <w:r w:rsidR="00FE520F" w:rsidRPr="00000DD3">
        <w:rPr>
          <w:rFonts w:ascii="Book Antiqua" w:eastAsia="黑体" w:hAnsi="Book Antiqua" w:cs="Arial"/>
          <w:lang w:eastAsia="zh-CN"/>
        </w:rPr>
        <w:t xml:space="preserve"> (</w:t>
      </w:r>
      <w:r w:rsidR="00FE520F" w:rsidRPr="00000DD3">
        <w:rPr>
          <w:rFonts w:ascii="Book Antiqua" w:hAnsi="Book Antiqua" w:cs="Arial"/>
        </w:rPr>
        <w:t>OA</w:t>
      </w:r>
      <w:r w:rsidR="00FE520F" w:rsidRPr="00000DD3">
        <w:rPr>
          <w:rFonts w:ascii="Book Antiqua" w:eastAsia="黑体" w:hAnsi="Book Antiqua" w:cs="Arial"/>
          <w:lang w:eastAsia="zh-CN"/>
        </w:rPr>
        <w:t>)</w:t>
      </w:r>
      <w:r w:rsidR="00877ADC" w:rsidRPr="00000DD3">
        <w:rPr>
          <w:rFonts w:ascii="Book Antiqua" w:hAnsi="Book Antiqua" w:cs="Arial"/>
        </w:rPr>
        <w:t xml:space="preserve">. </w:t>
      </w:r>
      <w:r w:rsidR="00D718E2" w:rsidRPr="00000DD3">
        <w:rPr>
          <w:rFonts w:ascii="Book Antiqua" w:hAnsi="Book Antiqua" w:cs="Arial"/>
        </w:rPr>
        <w:t>This</w:t>
      </w:r>
      <w:r w:rsidR="00877ADC" w:rsidRPr="00000DD3">
        <w:rPr>
          <w:rFonts w:ascii="Book Antiqua" w:hAnsi="Book Antiqua" w:cs="Arial"/>
        </w:rPr>
        <w:t xml:space="preserve"> review</w:t>
      </w:r>
      <w:r w:rsidR="00C70E9C" w:rsidRPr="00000DD3">
        <w:rPr>
          <w:rFonts w:ascii="Book Antiqua" w:hAnsi="Book Antiqua" w:cs="Arial"/>
        </w:rPr>
        <w:t xml:space="preserve"> </w:t>
      </w:r>
      <w:r w:rsidR="00D718E2" w:rsidRPr="00000DD3">
        <w:rPr>
          <w:rFonts w:ascii="Book Antiqua" w:hAnsi="Book Antiqua" w:cs="Arial"/>
        </w:rPr>
        <w:t xml:space="preserve">summarizes </w:t>
      </w:r>
      <w:r w:rsidR="00C70E9C" w:rsidRPr="00000DD3">
        <w:rPr>
          <w:rFonts w:ascii="Book Antiqua" w:hAnsi="Book Antiqua" w:cs="Arial"/>
        </w:rPr>
        <w:t xml:space="preserve">the </w:t>
      </w:r>
      <w:r w:rsidR="00F22AB7" w:rsidRPr="00000DD3">
        <w:rPr>
          <w:rFonts w:ascii="Book Antiqua" w:hAnsi="Book Antiqua" w:cs="Arial"/>
        </w:rPr>
        <w:t>current knowledge of MSCs</w:t>
      </w:r>
      <w:r w:rsidR="007A3F95" w:rsidRPr="00000DD3">
        <w:rPr>
          <w:rFonts w:ascii="Book Antiqua" w:hAnsi="Book Antiqua" w:cs="Arial"/>
        </w:rPr>
        <w:t xml:space="preserve"> from</w:t>
      </w:r>
      <w:r w:rsidR="00F22AB7" w:rsidRPr="00000DD3">
        <w:rPr>
          <w:rFonts w:ascii="Book Antiqua" w:hAnsi="Book Antiqua" w:cs="Arial"/>
        </w:rPr>
        <w:t xml:space="preserve"> dogs</w:t>
      </w:r>
      <w:r w:rsidR="00D718E2" w:rsidRPr="00000DD3">
        <w:rPr>
          <w:rFonts w:ascii="Book Antiqua" w:hAnsi="Book Antiqua" w:cs="Arial"/>
        </w:rPr>
        <w:t>,</w:t>
      </w:r>
      <w:r w:rsidR="00F22AB7" w:rsidRPr="00000DD3">
        <w:rPr>
          <w:rFonts w:ascii="Book Antiqua" w:hAnsi="Book Antiqua" w:cs="Arial"/>
        </w:rPr>
        <w:t xml:space="preserve"> including </w:t>
      </w:r>
      <w:r w:rsidR="00C70E9C" w:rsidRPr="00000DD3">
        <w:rPr>
          <w:rFonts w:ascii="Book Antiqua" w:hAnsi="Book Antiqua" w:cs="Arial"/>
          <w:i/>
        </w:rPr>
        <w:t>in vitro</w:t>
      </w:r>
      <w:r w:rsidR="00C70E9C" w:rsidRPr="00000DD3">
        <w:rPr>
          <w:rFonts w:ascii="Book Antiqua" w:hAnsi="Book Antiqua" w:cs="Arial"/>
        </w:rPr>
        <w:t xml:space="preserve"> characteristics</w:t>
      </w:r>
      <w:r w:rsidR="007D0843" w:rsidRPr="00000DD3">
        <w:rPr>
          <w:rFonts w:ascii="Book Antiqua" w:hAnsi="Book Antiqua" w:cs="Arial"/>
        </w:rPr>
        <w:t xml:space="preserve">, </w:t>
      </w:r>
      <w:r w:rsidR="007D0843" w:rsidRPr="00000DD3">
        <w:rPr>
          <w:rFonts w:ascii="Book Antiqua" w:hAnsi="Book Antiqua" w:cs="Arial"/>
          <w:i/>
        </w:rPr>
        <w:t>in vi</w:t>
      </w:r>
      <w:r w:rsidR="00F22AB7" w:rsidRPr="00000DD3">
        <w:rPr>
          <w:rFonts w:ascii="Book Antiqua" w:hAnsi="Book Antiqua" w:cs="Arial"/>
          <w:i/>
        </w:rPr>
        <w:t>vo</w:t>
      </w:r>
      <w:r w:rsidR="007D0843" w:rsidRPr="00000DD3">
        <w:rPr>
          <w:rFonts w:ascii="Book Antiqua" w:hAnsi="Book Antiqua" w:cs="Arial"/>
        </w:rPr>
        <w:t xml:space="preserve"> cartilage regenerative potential, </w:t>
      </w:r>
      <w:r w:rsidR="00D718E2" w:rsidRPr="00000DD3">
        <w:rPr>
          <w:rFonts w:ascii="Book Antiqua" w:hAnsi="Book Antiqua" w:cs="Arial"/>
        </w:rPr>
        <w:t xml:space="preserve">and </w:t>
      </w:r>
      <w:r w:rsidR="007D0843" w:rsidRPr="00000DD3">
        <w:rPr>
          <w:rFonts w:ascii="Book Antiqua" w:hAnsi="Book Antiqua" w:cs="Arial"/>
        </w:rPr>
        <w:t>therapeutic effect</w:t>
      </w:r>
      <w:r w:rsidR="00F22AB7" w:rsidRPr="00000DD3">
        <w:rPr>
          <w:rFonts w:ascii="Book Antiqua" w:hAnsi="Book Antiqua" w:cs="Arial"/>
        </w:rPr>
        <w:t xml:space="preserve">s for naturally developed </w:t>
      </w:r>
      <w:r w:rsidR="00FE520F" w:rsidRPr="00000DD3">
        <w:rPr>
          <w:rFonts w:ascii="Book Antiqua" w:hAnsi="Book Antiqua" w:cs="Arial"/>
        </w:rPr>
        <w:t>OA</w:t>
      </w:r>
      <w:r w:rsidR="001F18F9" w:rsidRPr="00000DD3">
        <w:rPr>
          <w:rFonts w:ascii="Book Antiqua" w:hAnsi="Book Antiqua" w:cs="Arial"/>
        </w:rPr>
        <w:t xml:space="preserve"> in dogs</w:t>
      </w:r>
      <w:r w:rsidR="00C8229E" w:rsidRPr="00000DD3">
        <w:rPr>
          <w:rFonts w:ascii="Book Antiqua" w:hAnsi="Book Antiqua" w:cs="Arial"/>
        </w:rPr>
        <w:t xml:space="preserve">. </w:t>
      </w:r>
      <w:r w:rsidR="00941B77" w:rsidRPr="00000DD3">
        <w:rPr>
          <w:rFonts w:ascii="Book Antiqua" w:hAnsi="Book Antiqua" w:cs="Arial"/>
        </w:rPr>
        <w:t xml:space="preserve">MSCs </w:t>
      </w:r>
      <w:r w:rsidR="007A3F95" w:rsidRPr="00000DD3">
        <w:rPr>
          <w:rFonts w:ascii="Book Antiqua" w:hAnsi="Book Antiqua" w:cs="Arial"/>
        </w:rPr>
        <w:t>from</w:t>
      </w:r>
      <w:r w:rsidR="00941B77" w:rsidRPr="00000DD3">
        <w:rPr>
          <w:rFonts w:ascii="Book Antiqua" w:hAnsi="Book Antiqua" w:cs="Arial"/>
        </w:rPr>
        <w:t xml:space="preserve"> dogs </w:t>
      </w:r>
      <w:r w:rsidR="00914FB2" w:rsidRPr="00000DD3">
        <w:rPr>
          <w:rFonts w:ascii="Book Antiqua" w:hAnsi="Book Antiqua" w:cs="Arial"/>
        </w:rPr>
        <w:t xml:space="preserve">share many </w:t>
      </w:r>
      <w:r w:rsidR="00914FB2" w:rsidRPr="00000DD3">
        <w:rPr>
          <w:rFonts w:ascii="Book Antiqua" w:hAnsi="Book Antiqua" w:cs="Arial"/>
          <w:i/>
        </w:rPr>
        <w:t>in vivo</w:t>
      </w:r>
      <w:r w:rsidR="00914FB2" w:rsidRPr="00000DD3">
        <w:rPr>
          <w:rFonts w:ascii="Book Antiqua" w:hAnsi="Book Antiqua" w:cs="Arial"/>
        </w:rPr>
        <w:t xml:space="preserve"> characteristics with MSCs </w:t>
      </w:r>
      <w:r w:rsidR="007A3F95" w:rsidRPr="00000DD3">
        <w:rPr>
          <w:rFonts w:ascii="Book Antiqua" w:hAnsi="Book Antiqua" w:cs="Arial"/>
        </w:rPr>
        <w:t>from</w:t>
      </w:r>
      <w:r w:rsidR="00914FB2" w:rsidRPr="00000DD3">
        <w:rPr>
          <w:rFonts w:ascii="Book Antiqua" w:hAnsi="Book Antiqua" w:cs="Arial"/>
        </w:rPr>
        <w:t xml:space="preserve"> other animal species and </w:t>
      </w:r>
      <w:r w:rsidR="00D718E2" w:rsidRPr="00000DD3">
        <w:rPr>
          <w:rFonts w:ascii="Book Antiqua" w:hAnsi="Book Antiqua" w:cs="Arial"/>
        </w:rPr>
        <w:t>are</w:t>
      </w:r>
      <w:r w:rsidR="00914FB2" w:rsidRPr="00000DD3">
        <w:rPr>
          <w:rFonts w:ascii="Book Antiqua" w:hAnsi="Book Antiqua" w:cs="Arial"/>
        </w:rPr>
        <w:t xml:space="preserve"> reported to have excellent cartilage repair potential in experimental and clinical situation</w:t>
      </w:r>
      <w:r w:rsidR="00D718E2" w:rsidRPr="00000DD3">
        <w:rPr>
          <w:rFonts w:ascii="Book Antiqua" w:hAnsi="Book Antiqua" w:cs="Arial"/>
        </w:rPr>
        <w:t>s</w:t>
      </w:r>
      <w:r w:rsidR="00914FB2" w:rsidRPr="00000DD3">
        <w:rPr>
          <w:rFonts w:ascii="Book Antiqua" w:hAnsi="Book Antiqua" w:cs="Arial"/>
        </w:rPr>
        <w:t>. The article also describes the current limitation</w:t>
      </w:r>
      <w:r w:rsidR="00D718E2" w:rsidRPr="00000DD3">
        <w:rPr>
          <w:rFonts w:ascii="Book Antiqua" w:hAnsi="Book Antiqua" w:cs="Arial"/>
        </w:rPr>
        <w:t>s</w:t>
      </w:r>
      <w:r w:rsidR="00914FB2" w:rsidRPr="00000DD3">
        <w:rPr>
          <w:rFonts w:ascii="Book Antiqua" w:hAnsi="Book Antiqua" w:cs="Arial"/>
        </w:rPr>
        <w:t xml:space="preserve"> of </w:t>
      </w:r>
      <w:r w:rsidR="00D718E2" w:rsidRPr="00000DD3">
        <w:rPr>
          <w:rFonts w:ascii="Book Antiqua" w:hAnsi="Book Antiqua" w:cs="Arial"/>
        </w:rPr>
        <w:t xml:space="preserve">MSC use </w:t>
      </w:r>
      <w:r w:rsidR="00914FB2" w:rsidRPr="00000DD3">
        <w:rPr>
          <w:rFonts w:ascii="Book Antiqua" w:hAnsi="Book Antiqua" w:cs="Arial"/>
        </w:rPr>
        <w:t xml:space="preserve">in dogs </w:t>
      </w:r>
      <w:r w:rsidR="00D718E2" w:rsidRPr="00000DD3">
        <w:rPr>
          <w:rFonts w:ascii="Book Antiqua" w:hAnsi="Book Antiqua" w:cs="Arial"/>
        </w:rPr>
        <w:t xml:space="preserve">that remain </w:t>
      </w:r>
      <w:r w:rsidR="008D55BA" w:rsidRPr="00000DD3">
        <w:rPr>
          <w:rFonts w:ascii="Book Antiqua" w:hAnsi="Book Antiqua" w:cs="Arial"/>
        </w:rPr>
        <w:t xml:space="preserve">to be </w:t>
      </w:r>
      <w:r w:rsidR="00D718E2" w:rsidRPr="00000DD3">
        <w:rPr>
          <w:rFonts w:ascii="Book Antiqua" w:hAnsi="Book Antiqua" w:cs="Arial"/>
        </w:rPr>
        <w:t>re</w:t>
      </w:r>
      <w:r w:rsidR="008D55BA" w:rsidRPr="00000DD3">
        <w:rPr>
          <w:rFonts w:ascii="Book Antiqua" w:hAnsi="Book Antiqua" w:cs="Arial"/>
        </w:rPr>
        <w:t>solved in the future.</w:t>
      </w:r>
    </w:p>
    <w:p w14:paraId="4ED8C648" w14:textId="77777777" w:rsidR="00874B98" w:rsidRPr="00000DD3" w:rsidRDefault="00874B98" w:rsidP="00874B98">
      <w:pPr>
        <w:spacing w:line="360" w:lineRule="auto"/>
        <w:jc w:val="both"/>
        <w:rPr>
          <w:rFonts w:ascii="Book Antiqua" w:eastAsia="黑体" w:hAnsi="Book Antiqua" w:cstheme="minorHAnsi"/>
          <w:b/>
          <w:i/>
          <w:lang w:eastAsia="zh-CN"/>
        </w:rPr>
      </w:pPr>
    </w:p>
    <w:p w14:paraId="229C57CE" w14:textId="746A74B0" w:rsidR="00000DD3" w:rsidRPr="00AE1C81" w:rsidRDefault="00AB2849" w:rsidP="00000DD3">
      <w:pPr>
        <w:spacing w:line="360" w:lineRule="auto"/>
        <w:jc w:val="both"/>
        <w:rPr>
          <w:rFonts w:ascii="Book Antiqua" w:hAnsi="Book Antiqua"/>
          <w:lang w:eastAsia="zh-CN"/>
        </w:rPr>
      </w:pPr>
      <w:proofErr w:type="spellStart"/>
      <w:proofErr w:type="gramStart"/>
      <w:r w:rsidRPr="00AE1C81">
        <w:rPr>
          <w:rFonts w:ascii="Book Antiqua" w:hAnsi="Book Antiqua" w:cs="Calibri"/>
          <w:b/>
        </w:rPr>
        <w:t>Citation:</w:t>
      </w:r>
      <w:r w:rsidR="00874B98" w:rsidRPr="00000DD3">
        <w:rPr>
          <w:rFonts w:ascii="Book Antiqua" w:hAnsi="Book Antiqua" w:cstheme="minorHAnsi"/>
        </w:rPr>
        <w:t>Sasaki</w:t>
      </w:r>
      <w:proofErr w:type="spellEnd"/>
      <w:proofErr w:type="gramEnd"/>
      <w:r w:rsidR="00874B98" w:rsidRPr="00000DD3">
        <w:rPr>
          <w:rFonts w:ascii="Book Antiqua" w:eastAsia="黑体" w:hAnsi="Book Antiqua" w:cstheme="minorHAnsi"/>
          <w:lang w:eastAsia="zh-CN"/>
        </w:rPr>
        <w:t xml:space="preserve"> A</w:t>
      </w:r>
      <w:r w:rsidR="00874B98" w:rsidRPr="00000DD3">
        <w:rPr>
          <w:rFonts w:ascii="Book Antiqua" w:hAnsi="Book Antiqua" w:cstheme="minorHAnsi"/>
        </w:rPr>
        <w:t>, Mizuno</w:t>
      </w:r>
      <w:r w:rsidR="00874B98" w:rsidRPr="00000DD3">
        <w:rPr>
          <w:rFonts w:ascii="Book Antiqua" w:eastAsia="黑体" w:hAnsi="Book Antiqua" w:cstheme="minorHAnsi"/>
          <w:lang w:eastAsia="zh-CN"/>
        </w:rPr>
        <w:t xml:space="preserve"> M</w:t>
      </w:r>
      <w:r w:rsidR="00874B98" w:rsidRPr="00000DD3">
        <w:rPr>
          <w:rFonts w:ascii="Book Antiqua" w:hAnsi="Book Antiqua" w:cstheme="minorHAnsi"/>
        </w:rPr>
        <w:t>, Mochizuki</w:t>
      </w:r>
      <w:r w:rsidR="00874B98" w:rsidRPr="00000DD3">
        <w:rPr>
          <w:rFonts w:ascii="Book Antiqua" w:eastAsia="黑体" w:hAnsi="Book Antiqua" w:cstheme="minorHAnsi"/>
          <w:lang w:eastAsia="zh-CN"/>
        </w:rPr>
        <w:t xml:space="preserve"> M</w:t>
      </w:r>
      <w:r w:rsidR="00874B98" w:rsidRPr="00000DD3">
        <w:rPr>
          <w:rFonts w:ascii="Book Antiqua" w:hAnsi="Book Antiqua" w:cstheme="minorHAnsi"/>
        </w:rPr>
        <w:t>, Sekiya</w:t>
      </w:r>
      <w:r w:rsidR="00874B98" w:rsidRPr="00000DD3">
        <w:rPr>
          <w:rFonts w:ascii="Book Antiqua" w:eastAsia="黑体" w:hAnsi="Book Antiqua" w:cstheme="minorHAnsi"/>
          <w:lang w:eastAsia="zh-CN"/>
        </w:rPr>
        <w:t xml:space="preserve"> I.</w:t>
      </w:r>
      <w:r w:rsidR="00874B98" w:rsidRPr="00000DD3">
        <w:rPr>
          <w:rFonts w:ascii="Book Antiqua" w:hAnsi="Book Antiqua" w:cstheme="minorHAnsi"/>
        </w:rPr>
        <w:t xml:space="preserve"> Mesenchymal stem cells for cartilage regeneration in dogs</w:t>
      </w:r>
      <w:r w:rsidR="00874B98" w:rsidRPr="00000DD3">
        <w:rPr>
          <w:rFonts w:ascii="Book Antiqua" w:eastAsia="黑体" w:hAnsi="Book Antiqua" w:cstheme="minorHAnsi"/>
          <w:lang w:eastAsia="zh-CN"/>
        </w:rPr>
        <w:t xml:space="preserve">. </w:t>
      </w:r>
      <w:r w:rsidR="00874B98" w:rsidRPr="00000DD3">
        <w:rPr>
          <w:rFonts w:ascii="Book Antiqua" w:hAnsi="Book Antiqua"/>
          <w:i/>
          <w:iCs/>
        </w:rPr>
        <w:t>World J Stem Cells</w:t>
      </w:r>
      <w:r w:rsidR="00874B98" w:rsidRPr="00000DD3">
        <w:rPr>
          <w:rFonts w:ascii="Book Antiqua" w:eastAsia="黑体" w:hAnsi="Book Antiqua"/>
          <w:i/>
          <w:iCs/>
          <w:lang w:eastAsia="zh-CN"/>
        </w:rPr>
        <w:t xml:space="preserve"> </w:t>
      </w:r>
      <w:r w:rsidR="00000DD3" w:rsidRPr="00AE1C81">
        <w:rPr>
          <w:rFonts w:ascii="Book Antiqua" w:hAnsi="Book Antiqua"/>
          <w:lang w:eastAsia="zh-CN"/>
        </w:rPr>
        <w:t xml:space="preserve">2019; 11(5): </w:t>
      </w:r>
      <w:r w:rsidR="00000DD3">
        <w:rPr>
          <w:rFonts w:ascii="Book Antiqua" w:hAnsi="Book Antiqua"/>
          <w:lang w:eastAsia="zh-CN"/>
        </w:rPr>
        <w:t>254-269</w:t>
      </w:r>
    </w:p>
    <w:p w14:paraId="62E13C98" w14:textId="72CACFC4" w:rsidR="00000DD3" w:rsidRPr="00AE1C81" w:rsidRDefault="00000DD3" w:rsidP="00000DD3">
      <w:pPr>
        <w:spacing w:line="360" w:lineRule="auto"/>
        <w:jc w:val="both"/>
        <w:rPr>
          <w:rFonts w:ascii="Book Antiqua" w:hAnsi="Book Antiqua"/>
          <w:lang w:eastAsia="zh-CN"/>
        </w:rPr>
      </w:pPr>
      <w:r w:rsidRPr="00AE1C81">
        <w:rPr>
          <w:rFonts w:ascii="Book Antiqua" w:hAnsi="Book Antiqua"/>
          <w:b/>
          <w:lang w:eastAsia="zh-CN"/>
        </w:rPr>
        <w:t xml:space="preserve">URL: </w:t>
      </w:r>
      <w:r w:rsidRPr="00AE1C81">
        <w:rPr>
          <w:rFonts w:ascii="Book Antiqua" w:hAnsi="Book Antiqua"/>
          <w:lang w:eastAsia="zh-CN"/>
        </w:rPr>
        <w:t>https://www.wjgnet.com/1948-0210/full/v11/i5/</w:t>
      </w:r>
      <w:r>
        <w:rPr>
          <w:rFonts w:ascii="Book Antiqua" w:hAnsi="Book Antiqua"/>
          <w:lang w:eastAsia="zh-CN"/>
        </w:rPr>
        <w:t>254</w:t>
      </w:r>
      <w:r w:rsidRPr="00AE1C81">
        <w:rPr>
          <w:rFonts w:ascii="Book Antiqua" w:hAnsi="Book Antiqua"/>
          <w:lang w:eastAsia="zh-CN"/>
        </w:rPr>
        <w:t>.htm</w:t>
      </w:r>
    </w:p>
    <w:p w14:paraId="75DE8D59" w14:textId="5F071DDF" w:rsidR="00000DD3" w:rsidRPr="00AE1C81" w:rsidRDefault="00000DD3" w:rsidP="00000DD3">
      <w:pPr>
        <w:spacing w:line="360" w:lineRule="auto"/>
        <w:jc w:val="both"/>
        <w:rPr>
          <w:rFonts w:ascii="Book Antiqua" w:hAnsi="Book Antiqua" w:cs="Calibri"/>
          <w:lang w:eastAsia="zh-CN"/>
        </w:rPr>
      </w:pPr>
      <w:r w:rsidRPr="00AE1C81">
        <w:rPr>
          <w:rFonts w:ascii="Book Antiqua" w:hAnsi="Book Antiqua"/>
          <w:b/>
          <w:lang w:eastAsia="zh-CN"/>
        </w:rPr>
        <w:t xml:space="preserve">DOI: </w:t>
      </w:r>
      <w:r w:rsidRPr="00AE1C81">
        <w:rPr>
          <w:rFonts w:ascii="Book Antiqua" w:hAnsi="Book Antiqua"/>
          <w:lang w:eastAsia="zh-CN"/>
        </w:rPr>
        <w:t>https://dx.doi.org/10.4252/wjsc.v11.i5.</w:t>
      </w:r>
      <w:r>
        <w:rPr>
          <w:rFonts w:ascii="Book Antiqua" w:hAnsi="Book Antiqua"/>
          <w:lang w:eastAsia="zh-CN"/>
        </w:rPr>
        <w:t>254</w:t>
      </w:r>
    </w:p>
    <w:p w14:paraId="6F62C97C" w14:textId="6E648DAF" w:rsidR="00874B98" w:rsidRPr="00000DD3" w:rsidRDefault="00874B98" w:rsidP="00874B98">
      <w:pPr>
        <w:spacing w:line="360" w:lineRule="auto"/>
        <w:jc w:val="both"/>
        <w:rPr>
          <w:rFonts w:ascii="Book Antiqua" w:eastAsia="黑体" w:hAnsi="Book Antiqua" w:cstheme="minorHAnsi"/>
          <w:lang w:eastAsia="zh-CN"/>
        </w:rPr>
      </w:pPr>
    </w:p>
    <w:p w14:paraId="6A80B998" w14:textId="0D933D51" w:rsidR="00570076" w:rsidRPr="00000DD3" w:rsidRDefault="00570076" w:rsidP="00874B98">
      <w:pPr>
        <w:spacing w:line="360" w:lineRule="auto"/>
        <w:jc w:val="both"/>
        <w:rPr>
          <w:rFonts w:ascii="Book Antiqua" w:hAnsi="Book Antiqua" w:cstheme="minorHAnsi"/>
          <w:b/>
        </w:rPr>
      </w:pPr>
      <w:r w:rsidRPr="00000DD3">
        <w:rPr>
          <w:rFonts w:ascii="Book Antiqua" w:hAnsi="Book Antiqua" w:cstheme="minorHAnsi"/>
          <w:b/>
        </w:rPr>
        <w:br w:type="page"/>
      </w:r>
    </w:p>
    <w:p w14:paraId="285A60DA" w14:textId="77BA012D" w:rsidR="004161F9" w:rsidRPr="00000DD3" w:rsidRDefault="00874B98" w:rsidP="00874B98">
      <w:pPr>
        <w:spacing w:line="360" w:lineRule="auto"/>
        <w:jc w:val="both"/>
        <w:rPr>
          <w:rFonts w:ascii="Book Antiqua" w:hAnsi="Book Antiqua" w:cstheme="minorHAnsi"/>
          <w:b/>
        </w:rPr>
      </w:pPr>
      <w:r w:rsidRPr="00000DD3">
        <w:rPr>
          <w:rFonts w:ascii="Book Antiqua" w:hAnsi="Book Antiqua" w:cstheme="minorHAnsi"/>
          <w:b/>
        </w:rPr>
        <w:t>INTRODUCTION</w:t>
      </w:r>
    </w:p>
    <w:p w14:paraId="4B3BB9F4" w14:textId="054D2C0B" w:rsidR="00AA272B" w:rsidRPr="00000DD3" w:rsidRDefault="00562E8F" w:rsidP="00874B98">
      <w:pPr>
        <w:spacing w:line="360" w:lineRule="auto"/>
        <w:jc w:val="both"/>
        <w:rPr>
          <w:rFonts w:ascii="Book Antiqua" w:hAnsi="Book Antiqua" w:cstheme="minorHAnsi"/>
        </w:rPr>
      </w:pPr>
      <w:r w:rsidRPr="00000DD3">
        <w:rPr>
          <w:rFonts w:ascii="Book Antiqua" w:hAnsi="Book Antiqua" w:cstheme="minorHAnsi"/>
        </w:rPr>
        <w:t>Articular cartilage is cri</w:t>
      </w:r>
      <w:r w:rsidR="003C33AE" w:rsidRPr="00000DD3">
        <w:rPr>
          <w:rFonts w:ascii="Book Antiqua" w:hAnsi="Book Antiqua" w:cstheme="minorHAnsi"/>
        </w:rPr>
        <w:t>tical for the normal function</w:t>
      </w:r>
      <w:r w:rsidR="008A63CF" w:rsidRPr="00000DD3">
        <w:rPr>
          <w:rFonts w:ascii="Book Antiqua" w:hAnsi="Book Antiqua" w:cstheme="minorHAnsi"/>
        </w:rPr>
        <w:t>ing</w:t>
      </w:r>
      <w:r w:rsidRPr="00000DD3">
        <w:rPr>
          <w:rFonts w:ascii="Book Antiqua" w:hAnsi="Book Antiqua" w:cstheme="minorHAnsi"/>
        </w:rPr>
        <w:t xml:space="preserve"> of the synovial joint. </w:t>
      </w:r>
      <w:r w:rsidR="008A63CF" w:rsidRPr="00000DD3">
        <w:rPr>
          <w:rFonts w:ascii="Book Antiqua" w:hAnsi="Book Antiqua" w:cstheme="minorHAnsi"/>
        </w:rPr>
        <w:t>The</w:t>
      </w:r>
      <w:r w:rsidR="00455228" w:rsidRPr="00000DD3">
        <w:rPr>
          <w:rFonts w:ascii="Book Antiqua" w:hAnsi="Book Antiqua" w:cstheme="minorHAnsi"/>
        </w:rPr>
        <w:t xml:space="preserve"> ability </w:t>
      </w:r>
      <w:r w:rsidR="008A63CF" w:rsidRPr="00000DD3">
        <w:rPr>
          <w:rFonts w:ascii="Book Antiqua" w:hAnsi="Book Antiqua" w:cstheme="minorHAnsi"/>
        </w:rPr>
        <w:t xml:space="preserve">of cartilage </w:t>
      </w:r>
      <w:r w:rsidR="00455228" w:rsidRPr="00000DD3">
        <w:rPr>
          <w:rFonts w:ascii="Book Antiqua" w:hAnsi="Book Antiqua" w:cstheme="minorHAnsi"/>
        </w:rPr>
        <w:t>to withstand high cyclic load</w:t>
      </w:r>
      <w:r w:rsidR="008A63CF" w:rsidRPr="00000DD3">
        <w:rPr>
          <w:rFonts w:ascii="Book Antiqua" w:hAnsi="Book Antiqua" w:cstheme="minorHAnsi"/>
        </w:rPr>
        <w:t>s</w:t>
      </w:r>
      <w:r w:rsidR="00455228" w:rsidRPr="00000DD3">
        <w:rPr>
          <w:rFonts w:ascii="Book Antiqua" w:hAnsi="Book Antiqua" w:cstheme="minorHAnsi"/>
        </w:rPr>
        <w:t xml:space="preserve"> and </w:t>
      </w:r>
      <w:r w:rsidR="008A63CF" w:rsidRPr="00000DD3">
        <w:rPr>
          <w:rFonts w:ascii="Book Antiqua" w:hAnsi="Book Antiqua" w:cstheme="minorHAnsi"/>
        </w:rPr>
        <w:t xml:space="preserve">to </w:t>
      </w:r>
      <w:r w:rsidR="00455228" w:rsidRPr="00000DD3">
        <w:rPr>
          <w:rFonts w:ascii="Book Antiqua" w:hAnsi="Book Antiqua" w:cstheme="minorHAnsi"/>
        </w:rPr>
        <w:t>minimize surface friction on articular surfaces</w:t>
      </w:r>
      <w:r w:rsidR="008A63CF" w:rsidRPr="00000DD3">
        <w:rPr>
          <w:rFonts w:ascii="Book Antiqua" w:hAnsi="Book Antiqua" w:cstheme="minorHAnsi"/>
        </w:rPr>
        <w:t xml:space="preserve"> allows it to</w:t>
      </w:r>
      <w:r w:rsidRPr="00000DD3">
        <w:rPr>
          <w:rFonts w:ascii="Book Antiqua" w:hAnsi="Book Antiqua" w:cstheme="minorHAnsi"/>
        </w:rPr>
        <w:t xml:space="preserve"> act as a shock absorber and</w:t>
      </w:r>
      <w:r w:rsidR="00495FEB" w:rsidRPr="00000DD3">
        <w:rPr>
          <w:rFonts w:ascii="Book Antiqua" w:hAnsi="Book Antiqua" w:cstheme="minorHAnsi"/>
        </w:rPr>
        <w:t xml:space="preserve"> a</w:t>
      </w:r>
      <w:r w:rsidRPr="00000DD3">
        <w:rPr>
          <w:rFonts w:ascii="Book Antiqua" w:hAnsi="Book Antiqua" w:cstheme="minorHAnsi"/>
        </w:rPr>
        <w:t xml:space="preserve"> lubricator in synovial joints</w:t>
      </w:r>
      <w:r w:rsidR="006C30EF" w:rsidRPr="00000DD3">
        <w:rPr>
          <w:rFonts w:ascii="Book Antiqua" w:hAnsi="Book Antiqua" w:cstheme="minorHAnsi"/>
        </w:rPr>
        <w:fldChar w:fldCharType="begin" w:fldLock="1"/>
      </w:r>
      <w:r w:rsidR="006C30EF" w:rsidRPr="00000DD3">
        <w:rPr>
          <w:rFonts w:ascii="Book Antiqua" w:hAnsi="Book Antiqua" w:cstheme="minorHAnsi"/>
        </w:rPr>
        <w:instrText>ADDIN CSL_CITATION {"citationItems":[{"id":"ITEM-1","itemData":{"DOI":"10.1002/jor.23782","ISSN":"1554527X","PMID":"29068482","abstract":"Hyaluronic acid (HA) is widely injected as a viscosupplement in the treatment of osteoarthritis. Despite its extensive use, it is not currently known if cartilage degradation alters how HA-based solutions lubricate the articular surface. In this study we utilized a model of cartilage degradation by IL-1b along with a recently developed framework to study role of cartilage degradation on lubrication by clinically-approved HA-based lubricants with high viscosities. Cartilage explants were cultured up to 8 days with 10 ng/ ml IL-1b. After culture, samples were examined histologically, immunohistochemically, biochemically, mechanically, topographically, and tribologically. The tribological testing analyzed both boundary and mixed lubrication modes to assess individual effects of viscosity and boundary lubricating ability. Friction testing was carried out using PBS and two clinically approved HA-based viscosupplements in a cartilage-glass configuration. After culture with IL-1b, boundary mode friction was elevated after both 4 and 8 days. Additionally, friction in mixed mode lubrication, where HA is most effective as a lubricant, was significantly elevated after 8 days of culture. As cartilage became rougher, softer, and more permeable after culture, the boundary mode plateau was extended, and as a result, significantly increased lubricant viscosities or sliding speeds were necessary to achieve effective mixed lubrication. Overall, this study revealed that lubrication of cartilage by HA is degradation-dependent and coincides with changes in mechanics and roughness. ß","author":[{"dropping-particle":"","family":"Bonnevie","given":"Edward D.","non-dropping-particle":"","parse-names":false,"suffix":""},{"dropping-particle":"","family":"Galesso","given":"Devis","non-dropping-particle":"","parse-names":false,"suffix":""},{"dropping-particle":"","family":"Secchieri","given":"Cynthia","non-dropping-particle":"","parse-names":false,"suffix":""},{"dropping-particle":"","family":"Bonassar","given":"Lawrence J.","non-dropping-particle":"","parse-names":false,"suffix":""}],"container-title":"Journal of Orthopaedic Research","id":"ITEM-1","issue":"5","issued":{"date-parts":[["2018"]]},"page":"1456-1464","title":"Degradation alters the lubrication of articular cartilage by high viscosity, hyaluronic acid-based lubricants","type":"article-journal","volume":"36"},"uris":["http://www.mendeley.com/documents/?uuid=13e0f8e3-f75d-43ae-8a11-66eeb814ae54"]},{"id":"ITEM-2","itemData":{"DOI":"10.1016/j.jmbbm.2018.10.023","ISSN":"18780180","PMID":"30445365","abstract":"Articular cartilage is a soft tissue that distributes the loads in joints and transfers the compressive load to the underlying bone. At high rate and magnitudes of mechanical loading, cartilage and subchondral bone together are susceptible to damage. In addition, any disruption to the cartilage's structure, caused by injury, trauma or disorder such as osteoarthritis (OA), can alter the mechanism of load transfer from the cartilage to the underlying bone. Changes in the cartilage structure can also alter the ability of cartilage-bone to absorb and dissipate the impact energy. To investigate the effects of cartilage degradation on cartilage-bone shock absorption ability, the top 50% of the cartilage thickness was removed (modified cartilage) to mimic the cartilage thickness reduction in Grade III cartilage lesion and the remaining cartilage-bone unit (modified cartilage-bone) was compressed at high-rate (4% strain at 5 Hz). High-speed camera and microscope were used to capture microscopic deformation, and digital image correlation technique (DIC) employed to quantify the deformation of cartilage and bone. The mechanical properties (i.e. stiffness, strain, absorbed and dissipated energies) of cartilage and bone were calculated before and after the removal of the top 50% of the cartilage thickness, consisting of both the superficial tangential zone (STZ) and part of the middle zone of the cartilage. The results showed a significant degradation in the mechanical properties of the cartilage-bone unit after the removal of the top 50% cartilage thickness. The stiffness of the modified cartilage reduced significantly (by ~39%) and energy absorption in underlying bone increased by 32%, which can make the bone more vulnerable to damage in the modified cartilage-bone unit. In addition, the energy dissipation in the modified cartilage-bone unit was also increased by approximately 14%. These changes in mechanical properties suggest a crucial role of the STZ and middle zone (within the top 50% cartilage thickness) in protecting the underlying bone from the severe compressive impact loading. Results also indicated that under physiological contact stress of 7 MPa, strain in damaged cartilage was increased by 3.22% without affecting the mechanical behaviour of the underlying bone.","author":[{"dropping-particle":"","family":"Shaktivesh","given":"","non-dropping-particle":"","parse-names":false,"suffix":""},{"dropping-particle":"","family":"Malekipour","given":"Fatemeh","non-dropping-particle":"","parse-names":false,"suffix":""},{"dropping-particle":"","family":"Lee","given":"Peter V.S.","non-dropping-particle":"","parse-names":false,"suffix":""}],"container-title":"Journal of the Mechanical Behavior of Biomedical Materials","id":"ITEM-2","issue":"October 2018","issued":{"date-parts":[["2019"]]},"page":"388-394","publisher":"Elsevier Ltd","title":"Shock absorbing ability in healthy and damaged cartilage-bone under high-rate compression","type":"article-journal","volume":"90"},"uris":["http://www.mendeley.com/documents/?uuid=c9ba122f-c8c9-4e67-a60b-a5680a8742eb"]},{"id":"ITEM-3","itemData":{"DOI":"10.1016/j.actbio.2017.11.021","ISSN":"18787568","PMID":"29128537","abstract":"Articular cartilage is commonly described as a tissue that is made of up to 80% water, is devoid of blood vessels, nerves, and lymphatics, and is populated by only one cell type, the chondrocyte. At first glance, an easy tissue for clinicians to repair and for scientists to reproduce in a laboratory. Yet, chondral and osteochondral defects currently remain an open challenge in orthopedics and tissue engineering of the musculoskeletal system, without considering osteoarthritis. Why do we fail in repairing and regenerating articular cartilage? Behind its simple and homogenous appearance, articular cartilage hides a heterogeneous composition, a high level of organisation and specific biomechanical properties that, taken together, make articular cartilage a unique material that we are not yet able to repair or reproduce with high fidelity. This review highlights the available therapies for cartilage repair and retraces the research on different biomaterials developed for tissue engineering strategies. Their potential to recreate the structure, including composition and organisation, as well as the function of articular cartilage, intended as cell microenvironment and mechanically competent replacement, is described. A perspective of the limitations of the current research is given in the light of the emerging technologies supporting tissue engineering of articular cartilage. Statement of Significance The mechanical properties of articular tissue reflect its functionally organised composition and the recreation of its structure challenges the success of in vitro and in vivo reproduction of the native cartilage. Tissue engineering and biomaterials science have revolutionised the way scientists approach the challenge of articular cartilage repair and regeneration by introducing the concept of the interdisciplinary approach. The clinical translation of the current approaches are not yet fully successful, but promising results are expected from the emerging and developing new generation technologies.","author":[{"dropping-particle":"","family":"Armiento","given":"A. R.","non-dropping-particle":"","parse-names":false,"suffix":""},{"dropping-particle":"","family":"Stoddart","given":"M. J.","non-dropping-particle":"","parse-names":false,"suffix":""},{"dropping-particle":"","family":"Alini","given":"M.","non-dropping-particle":"","parse-names":false,"suffix":""},{"dropping-particle":"","family":"Eglin","given":"D.","non-dropping-particle":"","parse-names":false,"suffix":""}],"container-title":"Acta Biomaterialia","id":"ITEM-3","issued":{"date-parts":[["2018"]]},"page":"1-20","publisher":"Acta Materialia Inc.","title":"Biomaterials for articular cartilage tissue engineering: Learning from biology","type":"article-journal","volume":"65"},"uris":["http://www.mendeley.com/documents/?uuid=d2c751b0-c7e7-4b24-b010-6f7fbafff5a6"]}],"mendeley":{"formattedCitation":"&lt;sup&gt;[1–3]&lt;/sup&gt;","plainTextFormattedCitation":"[1–3]","previouslyFormattedCitation":"&lt;sup&gt;[1–3]&lt;/sup&gt;"},"properties":{"noteIndex":0},"schema":"https://github.com/citation-style-language/schema/raw/master/csl-citation.json"}</w:instrText>
      </w:r>
      <w:r w:rsidR="006C30EF" w:rsidRPr="00000DD3">
        <w:rPr>
          <w:rFonts w:ascii="Book Antiqua" w:hAnsi="Book Antiqua" w:cstheme="minorHAnsi"/>
        </w:rPr>
        <w:fldChar w:fldCharType="separate"/>
      </w:r>
      <w:r w:rsidR="006C30EF" w:rsidRPr="00000DD3">
        <w:rPr>
          <w:rFonts w:ascii="Book Antiqua" w:hAnsi="Book Antiqua" w:cstheme="minorHAnsi"/>
          <w:noProof/>
          <w:vertAlign w:val="superscript"/>
        </w:rPr>
        <w:t>[1–3]</w:t>
      </w:r>
      <w:r w:rsidR="006C30EF" w:rsidRPr="00000DD3">
        <w:rPr>
          <w:rFonts w:ascii="Book Antiqua" w:hAnsi="Book Antiqua" w:cstheme="minorHAnsi"/>
        </w:rPr>
        <w:fldChar w:fldCharType="end"/>
      </w:r>
      <w:r w:rsidRPr="00000DD3">
        <w:rPr>
          <w:rFonts w:ascii="Book Antiqua" w:hAnsi="Book Antiqua" w:cstheme="minorHAnsi"/>
        </w:rPr>
        <w:t>.</w:t>
      </w:r>
      <w:r w:rsidR="00151364" w:rsidRPr="00000DD3">
        <w:rPr>
          <w:rFonts w:ascii="Book Antiqua" w:hAnsi="Book Antiqua" w:cstheme="minorHAnsi"/>
        </w:rPr>
        <w:t xml:space="preserve"> </w:t>
      </w:r>
      <w:r w:rsidR="008A63CF" w:rsidRPr="00000DD3">
        <w:rPr>
          <w:rFonts w:ascii="Book Antiqua" w:hAnsi="Book Antiqua" w:cstheme="minorHAnsi"/>
        </w:rPr>
        <w:t xml:space="preserve">Nevertheless, </w:t>
      </w:r>
      <w:r w:rsidR="00495FEB" w:rsidRPr="00000DD3">
        <w:rPr>
          <w:rFonts w:ascii="Book Antiqua" w:hAnsi="Book Antiqua" w:cstheme="minorHAnsi"/>
        </w:rPr>
        <w:t>a</w:t>
      </w:r>
      <w:r w:rsidR="00827F1F" w:rsidRPr="00000DD3">
        <w:rPr>
          <w:rFonts w:ascii="Book Antiqua" w:hAnsi="Book Antiqua" w:cstheme="minorHAnsi"/>
        </w:rPr>
        <w:t>rticular cartilage</w:t>
      </w:r>
      <w:r w:rsidR="008A63CF" w:rsidRPr="00000DD3">
        <w:rPr>
          <w:rFonts w:ascii="Book Antiqua" w:hAnsi="Book Antiqua" w:cstheme="minorHAnsi"/>
        </w:rPr>
        <w:t xml:space="preserve"> is still subject to</w:t>
      </w:r>
      <w:r w:rsidR="00827F1F" w:rsidRPr="00000DD3">
        <w:rPr>
          <w:rFonts w:ascii="Book Antiqua" w:hAnsi="Book Antiqua" w:cstheme="minorHAnsi"/>
        </w:rPr>
        <w:t xml:space="preserve"> damage </w:t>
      </w:r>
      <w:r w:rsidR="00F13A89" w:rsidRPr="00000DD3">
        <w:rPr>
          <w:rFonts w:ascii="Book Antiqua" w:hAnsi="Book Antiqua" w:cstheme="minorHAnsi"/>
        </w:rPr>
        <w:t xml:space="preserve">by </w:t>
      </w:r>
      <w:r w:rsidR="00827F1F" w:rsidRPr="00000DD3">
        <w:rPr>
          <w:rFonts w:ascii="Book Antiqua" w:hAnsi="Book Antiqua" w:cstheme="minorHAnsi"/>
        </w:rPr>
        <w:t>a variety of factors</w:t>
      </w:r>
      <w:r w:rsidR="008A63CF" w:rsidRPr="00000DD3">
        <w:rPr>
          <w:rFonts w:ascii="Book Antiqua" w:hAnsi="Book Antiqua" w:cstheme="minorHAnsi"/>
        </w:rPr>
        <w:t>,</w:t>
      </w:r>
      <w:r w:rsidR="00827F1F" w:rsidRPr="00000DD3">
        <w:rPr>
          <w:rFonts w:ascii="Book Antiqua" w:hAnsi="Book Antiqua" w:cstheme="minorHAnsi"/>
        </w:rPr>
        <w:t xml:space="preserve"> including acute </w:t>
      </w:r>
      <w:r w:rsidR="00F13A89" w:rsidRPr="00000DD3">
        <w:rPr>
          <w:rFonts w:ascii="Book Antiqua" w:hAnsi="Book Antiqua" w:cstheme="minorHAnsi"/>
        </w:rPr>
        <w:t>trauma,</w:t>
      </w:r>
      <w:r w:rsidR="00827F1F" w:rsidRPr="00000DD3">
        <w:rPr>
          <w:rFonts w:ascii="Book Antiqua" w:hAnsi="Book Antiqua" w:cstheme="minorHAnsi"/>
        </w:rPr>
        <w:t xml:space="preserve"> </w:t>
      </w:r>
      <w:r w:rsidR="00495FEB" w:rsidRPr="00000DD3">
        <w:rPr>
          <w:rFonts w:ascii="Book Antiqua" w:hAnsi="Book Antiqua" w:cstheme="minorHAnsi"/>
        </w:rPr>
        <w:t>degeneration,</w:t>
      </w:r>
      <w:r w:rsidR="00F13A89" w:rsidRPr="00000DD3">
        <w:rPr>
          <w:rFonts w:ascii="Book Antiqua" w:hAnsi="Book Antiqua" w:cstheme="minorHAnsi"/>
        </w:rPr>
        <w:t xml:space="preserve"> or joint diseases.</w:t>
      </w:r>
      <w:r w:rsidR="00B8570D" w:rsidRPr="00000DD3">
        <w:rPr>
          <w:rFonts w:ascii="Book Antiqua" w:hAnsi="Book Antiqua" w:cstheme="minorHAnsi"/>
        </w:rPr>
        <w:t xml:space="preserve"> </w:t>
      </w:r>
      <w:r w:rsidR="003C33AE" w:rsidRPr="00000DD3">
        <w:rPr>
          <w:rFonts w:ascii="Book Antiqua" w:hAnsi="Book Antiqua" w:cstheme="minorHAnsi"/>
        </w:rPr>
        <w:t>Once damaged</w:t>
      </w:r>
      <w:r w:rsidR="00B8570D" w:rsidRPr="00000DD3">
        <w:rPr>
          <w:rFonts w:ascii="Book Antiqua" w:hAnsi="Book Antiqua" w:cstheme="minorHAnsi"/>
        </w:rPr>
        <w:t xml:space="preserve">, hyaline articular cartilage </w:t>
      </w:r>
      <w:r w:rsidR="00E006F9" w:rsidRPr="00000DD3">
        <w:rPr>
          <w:rFonts w:ascii="Book Antiqua" w:hAnsi="Book Antiqua" w:cstheme="minorHAnsi"/>
        </w:rPr>
        <w:t xml:space="preserve">shows </w:t>
      </w:r>
      <w:r w:rsidR="00B8570D" w:rsidRPr="00000DD3">
        <w:rPr>
          <w:rFonts w:ascii="Book Antiqua" w:hAnsi="Book Antiqua" w:cstheme="minorHAnsi"/>
        </w:rPr>
        <w:t>very limited intrinsic repair potential because of its</w:t>
      </w:r>
      <w:r w:rsidR="006C30EF" w:rsidRPr="00000DD3">
        <w:rPr>
          <w:rFonts w:ascii="Book Antiqua" w:eastAsia="黑体" w:hAnsi="Book Antiqua" w:cstheme="minorHAnsi"/>
          <w:lang w:eastAsia="zh-CN"/>
        </w:rPr>
        <w:t>’</w:t>
      </w:r>
      <w:r w:rsidR="00B8570D" w:rsidRPr="00000DD3">
        <w:rPr>
          <w:rFonts w:ascii="Book Antiqua" w:hAnsi="Book Antiqua" w:cstheme="minorHAnsi"/>
        </w:rPr>
        <w:t xml:space="preserve"> avascular, </w:t>
      </w:r>
      <w:proofErr w:type="spellStart"/>
      <w:r w:rsidR="00B8570D" w:rsidRPr="00000DD3">
        <w:rPr>
          <w:rFonts w:ascii="Book Antiqua" w:hAnsi="Book Antiqua" w:cstheme="minorHAnsi"/>
        </w:rPr>
        <w:t>aneural</w:t>
      </w:r>
      <w:proofErr w:type="spellEnd"/>
      <w:r w:rsidR="00E006F9" w:rsidRPr="00000DD3">
        <w:rPr>
          <w:rFonts w:ascii="Book Antiqua" w:hAnsi="Book Antiqua" w:cstheme="minorHAnsi"/>
        </w:rPr>
        <w:t>,</w:t>
      </w:r>
      <w:r w:rsidR="00B8570D" w:rsidRPr="00000DD3">
        <w:rPr>
          <w:rFonts w:ascii="Book Antiqua" w:hAnsi="Book Antiqua" w:cstheme="minorHAnsi"/>
        </w:rPr>
        <w:t xml:space="preserve"> and </w:t>
      </w:r>
      <w:proofErr w:type="spellStart"/>
      <w:r w:rsidR="00B8570D" w:rsidRPr="00000DD3">
        <w:rPr>
          <w:rFonts w:ascii="Book Antiqua" w:hAnsi="Book Antiqua" w:cstheme="minorHAnsi"/>
        </w:rPr>
        <w:t>alymphatic</w:t>
      </w:r>
      <w:proofErr w:type="spellEnd"/>
      <w:r w:rsidR="00B8570D" w:rsidRPr="00000DD3">
        <w:rPr>
          <w:rFonts w:ascii="Book Antiqua" w:hAnsi="Book Antiqua" w:cstheme="minorHAnsi"/>
        </w:rPr>
        <w:t xml:space="preserve"> state</w:t>
      </w:r>
      <w:r w:rsidR="00AD0604" w:rsidRPr="00000DD3">
        <w:rPr>
          <w:rFonts w:ascii="Book Antiqua" w:hAnsi="Book Antiqua" w:cstheme="minorHAnsi"/>
        </w:rPr>
        <w:t xml:space="preserve">. </w:t>
      </w:r>
      <w:r w:rsidR="00E006F9" w:rsidRPr="00000DD3">
        <w:rPr>
          <w:rFonts w:ascii="Book Antiqua" w:hAnsi="Book Antiqua" w:cstheme="minorHAnsi"/>
        </w:rPr>
        <w:t>The unrepaired c</w:t>
      </w:r>
      <w:r w:rsidR="00AD0604" w:rsidRPr="00000DD3">
        <w:rPr>
          <w:rFonts w:ascii="Book Antiqua" w:hAnsi="Book Antiqua" w:cstheme="minorHAnsi"/>
        </w:rPr>
        <w:t>artilage defects lead to pain, swelling</w:t>
      </w:r>
      <w:r w:rsidR="00E006F9" w:rsidRPr="00000DD3">
        <w:rPr>
          <w:rFonts w:ascii="Book Antiqua" w:hAnsi="Book Antiqua" w:cstheme="minorHAnsi"/>
        </w:rPr>
        <w:t>,</w:t>
      </w:r>
      <w:r w:rsidR="00AD0604" w:rsidRPr="00000DD3">
        <w:rPr>
          <w:rFonts w:ascii="Book Antiqua" w:hAnsi="Book Antiqua" w:cstheme="minorHAnsi"/>
        </w:rPr>
        <w:t xml:space="preserve"> and deterioration in mobility</w:t>
      </w:r>
      <w:r w:rsidR="00843FA4" w:rsidRPr="00000DD3">
        <w:rPr>
          <w:rFonts w:ascii="Book Antiqua" w:hAnsi="Book Antiqua" w:cstheme="minorHAnsi"/>
        </w:rPr>
        <w:t xml:space="preserve"> and will </w:t>
      </w:r>
      <w:r w:rsidR="00E006F9" w:rsidRPr="00000DD3">
        <w:rPr>
          <w:rFonts w:ascii="Book Antiqua" w:hAnsi="Book Antiqua" w:cstheme="minorHAnsi"/>
        </w:rPr>
        <w:t xml:space="preserve">eventually </w:t>
      </w:r>
      <w:r w:rsidR="00843FA4" w:rsidRPr="00000DD3">
        <w:rPr>
          <w:rFonts w:ascii="Book Antiqua" w:hAnsi="Book Antiqua" w:cstheme="minorHAnsi"/>
        </w:rPr>
        <w:t>progress to osteoarthritis</w:t>
      </w:r>
      <w:r w:rsidR="00314FD8" w:rsidRPr="00000DD3">
        <w:rPr>
          <w:rFonts w:ascii="Book Antiqua" w:hAnsi="Book Antiqua" w:cstheme="minorHAnsi"/>
        </w:rPr>
        <w:t xml:space="preserve"> (OA)</w:t>
      </w:r>
      <w:r w:rsidR="006C30EF" w:rsidRPr="00000DD3">
        <w:rPr>
          <w:rFonts w:ascii="Book Antiqua" w:hAnsi="Book Antiqua" w:cstheme="minorHAnsi"/>
        </w:rPr>
        <w:fldChar w:fldCharType="begin" w:fldLock="1"/>
      </w:r>
      <w:r w:rsidR="006C30EF" w:rsidRPr="00000DD3">
        <w:rPr>
          <w:rFonts w:ascii="Book Antiqua" w:hAnsi="Book Antiqua" w:cstheme="minorHAnsi"/>
        </w:rPr>
        <w:instrText>ADDIN CSL_CITATION {"citationItems":[{"id":"ITEM-1","itemData":{"DOI":"10.1155/2018/9079538","ISBN":"1531-5037 (Electronic) 0022-3468 (Linking)","ISSN":"16879678","PMID":"12483624","abstract":"Due to the restricted intrinsic capacity of resident chondrocytes to regenerate the lost cartilage postinjury, stem cell-based therapies have been proposed as a novel therapeutic approach for cartilage repair. Moreover, stem cell-based therapies using mesenchymal stem cells (MSCs) or induced pluripotent stem cells (iPSCs) have been used successfully in preclinical and clinical settings. Despite these promising reports, the exact mechanisms underlying stem cell-mediated cartilage repair remain uncertain. Stem cells can contribute to cartilage repair via chondrogenic differentiation, via immunomodulation, or by the production of paracrine factors and extracellular vesicles. But before novel cell-based therapies for cartilage repair can be introduced into the clinic, rigorous testing in preclinical animal models is required. Preclinical models used in regenerative cartilage studies include murine, lapine, caprine, ovine, porcine, canine, and equine models, each associated with its specific advantages and limitations. This review presents a summary of recent in vitro data and from in vivo preclinical studies justifying the use of MSCs and iPSCs in cartilage tissue engineering. Moreover, the advantages and disadvantages of utilizing small and large animals will be discussed, while also describing suitable outcome measures for evaluating cartilage repair.","author":[{"dropping-particle":"","family":"Monaco","given":"Melissa","non-dropping-particle":"Lo","parse-names":false,"suffix":""},{"dropping-particle":"","family":"Merckx","given":"Greet","non-dropping-particle":"","parse-names":false,"suffix":""},{"dropping-particle":"","family":"Ratajczak","given":"Jessica","non-dropping-particle":"","parse-names":false,"suffix":""},{"dropping-particle":"","family":"Gervois","given":"Pascal","non-dropping-particle":"","parse-names":false,"suffix":""},{"dropping-particle":"","family":"Hilkens","given":"Petra","non-dropping-particle":"","parse-names":false,"suffix":""},{"dropping-particle":"","family":"Clegg","given":"Peter","non-dropping-particle":"","parse-names":false,"suffix":""},{"dropping-particle":"","family":"Bronckaers","given":"Annelies","non-dropping-particle":"","parse-names":false,"suffix":""},{"dropping-particle":"","family":"Vandeweerd","given":"Jean Michel","non-dropping-particle":"","parse-names":false,"suffix":""},{"dropping-particle":"","family":"Lambrichts","given":"Ivo","non-dropping-particle":"","parse-names":false,"suffix":""}],"container-title":"Stem Cells International","id":"ITEM-1","issued":{"date-parts":[["2018"]]},"title":"Stem cells for cartilage repair: Preclinical studies and insights in translational animal models and outcome measures","type":"article-journal","volume":"2018"},"uris":["http://www.mendeley.com/documents/?uuid=eed1c161-0cfc-318a-a2bb-eae0fb886024"]},{"id":"ITEM-2","itemData":{"DOI":"10.1016/j.joca.2014.12.011","ISSN":"15229653","PMID":"25534362","abstract":"Objective: The repair of cartilaginous lesions within synovial joints is still an unresolved and weighty clinical problem. Although research activity in this area has been indefatigably sustained, no significant progress has been made during the past decade. The aim of this educational review is to heighten the awareness amongst students and scientists of the basic issues that must be tackled and resolved before we can hope to escape from the whirlpool of stagnation into which we have fallen: cartilage repair redivivus! Design: Articular-cartilage lesions may be induced traumatically (e.g., by sports injuries and occupational accidents) or pathologically during the course of a degenerative disease (e.g., osteoarthritis). This review addresses the biological basis of cartilage repair and surveys current trends in treatment strategies, focussing on those that are most widely adopted by orthopaedic surgeons [viz., abrasive chondroplasty, microfracturing/microdrilling, osteochondral grafting and autologous-chondrocyte implantation (ACI)]. Also described are current research activities in the field of cartilage-tissue engineering, which, as a therapeutic principle, holds more promise for success than any other experimental approach. Results and Conclusions: Tissue engineering aims to reconstitute a tissue both structurally and functionally. This process can be conducted entirely invitro, initially invitro and then invivo (in situ), or entirely invivo. Three key constituents usually form the building blocks of such an approach: a matrix scaffold, cells, and signalling molecules. Of the proposed approaches, none have yet advanced beyond the phase of experimental development to the level of clinical induction. The hurdles that need to be surmounted for ultimate success are discussed.","author":[{"dropping-particle":"","family":"Hunziker","given":"E. B.","non-dropping-particle":"","parse-names":false,"suffix":""},{"dropping-particle":"","family":"Lippuner","given":"K.","non-dropping-particle":"","parse-names":false,"suffix":""},{"dropping-particle":"","family":"Keel","given":"M. J.B.","non-dropping-particle":"","parse-names":false,"suffix":""},{"dropping-particle":"","family":"Shintani","given":"N.","non-dropping-particle":"","parse-names":false,"suffix":""}],"container-title":"Osteoarthritis and Cartilage","id":"ITEM-2","issue":"3","issued":{"date-parts":[["2015"]]},"page":"334-350","publisher":"Elsevier Ltd","title":"An educational review of cartilage repair: Precepts &amp; practice - myths &amp; misconceptions - progress &amp; prospects","type":"article-journal","volume":"23"},"uris":["http://www.mendeley.com/documents/?uuid=f6060053-8fe1-4aa1-820e-8fd439b40d1d"]}],"mendeley":{"formattedCitation":"&lt;sup&gt;[4,5]&lt;/sup&gt;","plainTextFormattedCitation":"[4,5]","previouslyFormattedCitation":"&lt;sup&gt;[4,5]&lt;/sup&gt;"},"properties":{"noteIndex":0},"schema":"https://github.com/citation-style-language/schema/raw/master/csl-citation.json"}</w:instrText>
      </w:r>
      <w:r w:rsidR="006C30EF" w:rsidRPr="00000DD3">
        <w:rPr>
          <w:rFonts w:ascii="Book Antiqua" w:hAnsi="Book Antiqua" w:cstheme="minorHAnsi"/>
        </w:rPr>
        <w:fldChar w:fldCharType="separate"/>
      </w:r>
      <w:r w:rsidR="006C30EF" w:rsidRPr="00000DD3">
        <w:rPr>
          <w:rFonts w:ascii="Book Antiqua" w:hAnsi="Book Antiqua" w:cstheme="minorHAnsi"/>
          <w:noProof/>
          <w:vertAlign w:val="superscript"/>
        </w:rPr>
        <w:t>[4,5]</w:t>
      </w:r>
      <w:r w:rsidR="006C30EF" w:rsidRPr="00000DD3">
        <w:rPr>
          <w:rFonts w:ascii="Book Antiqua" w:hAnsi="Book Antiqua" w:cstheme="minorHAnsi"/>
        </w:rPr>
        <w:fldChar w:fldCharType="end"/>
      </w:r>
      <w:r w:rsidR="00AD0604" w:rsidRPr="00000DD3">
        <w:rPr>
          <w:rFonts w:ascii="Book Antiqua" w:hAnsi="Book Antiqua" w:cstheme="minorHAnsi"/>
        </w:rPr>
        <w:t>.</w:t>
      </w:r>
      <w:r w:rsidR="006C30EF" w:rsidRPr="00000DD3">
        <w:rPr>
          <w:rFonts w:ascii="Book Antiqua" w:hAnsi="Book Antiqua" w:cstheme="minorHAnsi"/>
        </w:rPr>
        <w:t xml:space="preserve"> </w:t>
      </w:r>
    </w:p>
    <w:p w14:paraId="2E425D51" w14:textId="45CE03BC" w:rsidR="004161F9" w:rsidRPr="00000DD3" w:rsidRDefault="00314FD8" w:rsidP="006C30EF">
      <w:pPr>
        <w:pStyle w:val="aa"/>
        <w:spacing w:line="360" w:lineRule="auto"/>
        <w:ind w:leftChars="0" w:left="0" w:firstLineChars="100" w:firstLine="240"/>
        <w:jc w:val="both"/>
        <w:rPr>
          <w:rFonts w:ascii="Book Antiqua" w:hAnsi="Book Antiqua" w:cstheme="minorHAnsi"/>
        </w:rPr>
      </w:pPr>
      <w:r w:rsidRPr="00000DD3">
        <w:rPr>
          <w:rFonts w:ascii="Book Antiqua" w:hAnsi="Book Antiqua" w:cstheme="minorHAnsi"/>
        </w:rPr>
        <w:t>OA</w:t>
      </w:r>
      <w:r w:rsidR="00843FA4" w:rsidRPr="00000DD3">
        <w:rPr>
          <w:rFonts w:ascii="Book Antiqua" w:hAnsi="Book Antiqua" w:cstheme="minorHAnsi"/>
        </w:rPr>
        <w:t xml:space="preserve"> is a common degenerative, progressive</w:t>
      </w:r>
      <w:r w:rsidR="00C8597F" w:rsidRPr="00000DD3">
        <w:rPr>
          <w:rFonts w:ascii="Book Antiqua" w:hAnsi="Book Antiqua" w:cstheme="minorHAnsi"/>
        </w:rPr>
        <w:t>,</w:t>
      </w:r>
      <w:r w:rsidR="00843FA4" w:rsidRPr="00000DD3">
        <w:rPr>
          <w:rFonts w:ascii="Book Antiqua" w:hAnsi="Book Antiqua" w:cstheme="minorHAnsi"/>
        </w:rPr>
        <w:t xml:space="preserve"> and painful disease in both humans</w:t>
      </w:r>
      <w:r w:rsidR="004A2D0D" w:rsidRPr="00000DD3">
        <w:rPr>
          <w:rFonts w:ascii="Book Antiqua" w:hAnsi="Book Antiqua" w:cstheme="minorHAnsi"/>
        </w:rPr>
        <w:fldChar w:fldCharType="begin" w:fldLock="1"/>
      </w:r>
      <w:r w:rsidR="005C5CD4" w:rsidRPr="00000DD3">
        <w:rPr>
          <w:rFonts w:ascii="Book Antiqua" w:hAnsi="Book Antiqua" w:cstheme="minorHAnsi"/>
        </w:rPr>
        <w:instrText>ADDIN CSL_CITATION {"citationItems":[{"id":"ITEM-1","itemData":{"DOI":"10.1002/art.39692","ISBN":"0039038250262","ISSN":"23265205","PMID":"27015600","abstract":"OBJECTIVE: To update the projected prevalence of arthritis and arthritis-attributable activity limitations among US adults, using a newer baseline for estimates.\\n\\nMETHODS: Baseline prevalence data were obtained from the 2010-2012 National Health Interview Survey. Arthritis was defined as an answer of \"yes\" to the question \"Have you ever been told by a doctor or other health professional that you have some form of arthritis, rheumatoid arthritis, gout, lupus or fibromyalgia?\" Arthritis-attributable activity limitation was defined as an answer of \"yes\" to the question \"Are you limited in any way in any of your usual activities because of arthritis or joint symptoms?\" The baseline prevalence of arthritis and arthritis-attributable activity limitation was stratified according to age and sex and was statistically weighted to account for the complex survey design. The projected prevalence of doctor-diagnosed arthritis and arthritis-attributable activity limitation was calculated by multiplying the age- and sex-stratified population estimates projected for 2015-2040 (in 5-year intervals; provided by the US Census Bureau) by the baseline estimates. Age- and sex-specific prevalences were summed to provide the total prevalence estimates for each year.\\n\\nRESULTS: In 2010-2012, 52.5 million adults in the US (22.7% of all adults) had doctor-diagnosed arthritis, and 22.7 million (9.8%) had arthritis-attributable activity limitation. By 2040, the number of US adults with doctor-diagnosed arthritis is projected to increase 49% to 78.4 million (25.9% of all adults), and the number of adults with arthritis-attributable activity limitation will increase 52% to 34.6 million (11.4% of all adults).\\n\\nCONCLUSION: Updated projections suggest that arthritis and arthritis-attributable activity limitation will remain large and growing problems for clinical and public health systems, which must plan and create policies and resources to address these future needs.","author":[{"dropping-particle":"","family":"Hootman","given":"Jennifer M.","non-dropping-particle":"","parse-names":false,"suffix":""},{"dropping-particle":"","family":"Helmick","given":"Charles G.","non-dropping-particle":"","parse-names":false,"suffix":""},{"dropping-particle":"","family":"Barbour","given":"Kamil E.","non-dropping-particle":"","parse-names":false,"suffix":""},{"dropping-particle":"","family":"Theis","given":"Kristina A.","non-dropping-particle":"","parse-names":false,"suffix":""},{"dropping-particle":"","family":"Boring","given":"Michael A.","non-dropping-particle":"","parse-names":false,"suffix":""}],"container-title":"Arthritis and Rheumatology","id":"ITEM-1","issue":"7","issued":{"date-parts":[["2016"]]},"page":"1582-1587","title":"Updated projected prevalence of self-reported doctor-diagnosed arthritis and arthritis-attributable activity limitation among US adults, 2015–2040","type":"article-journal","volume":"68"},"uris":["http://www.mendeley.com/documents/?uuid=a6d0ea5c-bdb1-37d8-9091-3ff0cb108e3c"]}],"mendeley":{"formattedCitation":"&lt;sup&gt;[6]&lt;/sup&gt;","plainTextFormattedCitation":"[6]","previouslyFormattedCitation":"&lt;sup&gt;[6]&lt;/sup&gt;"},"properties":{"noteIndex":0},"schema":"https://github.com/citation-style-language/schema/raw/master/csl-citation.json"}</w:instrText>
      </w:r>
      <w:r w:rsidR="004A2D0D" w:rsidRPr="00000DD3">
        <w:rPr>
          <w:rFonts w:ascii="Book Antiqua" w:hAnsi="Book Antiqua" w:cstheme="minorHAnsi"/>
        </w:rPr>
        <w:fldChar w:fldCharType="separate"/>
      </w:r>
      <w:r w:rsidR="004A2D0D" w:rsidRPr="00000DD3">
        <w:rPr>
          <w:rFonts w:ascii="Book Antiqua" w:hAnsi="Book Antiqua" w:cstheme="minorHAnsi"/>
          <w:noProof/>
          <w:vertAlign w:val="superscript"/>
        </w:rPr>
        <w:t>[6]</w:t>
      </w:r>
      <w:r w:rsidR="004A2D0D" w:rsidRPr="00000DD3">
        <w:rPr>
          <w:rFonts w:ascii="Book Antiqua" w:hAnsi="Book Antiqua" w:cstheme="minorHAnsi"/>
        </w:rPr>
        <w:fldChar w:fldCharType="end"/>
      </w:r>
      <w:r w:rsidR="00843FA4" w:rsidRPr="00000DD3">
        <w:rPr>
          <w:rFonts w:ascii="Book Antiqua" w:hAnsi="Book Antiqua" w:cstheme="minorHAnsi"/>
        </w:rPr>
        <w:t xml:space="preserve"> and dogs</w:t>
      </w:r>
      <w:r w:rsidR="004A2D0D" w:rsidRPr="00000DD3">
        <w:rPr>
          <w:rFonts w:ascii="Book Antiqua" w:hAnsi="Book Antiqua" w:cstheme="minorHAnsi"/>
        </w:rPr>
        <w:fldChar w:fldCharType="begin" w:fldLock="1"/>
      </w:r>
      <w:r w:rsidR="009769C2" w:rsidRPr="00000DD3">
        <w:rPr>
          <w:rFonts w:ascii="Book Antiqua" w:hAnsi="Book Antiqua" w:cstheme="minorHAnsi"/>
        </w:rPr>
        <w:instrText>ADDIN CSL_CITATION {"citationItems":[{"id":"ITEM-1","itemData":{"DOI":"10.1038/s41598-018-23940-z","PMID":"29618832","abstract":"Osteoarthritis is the most common joint disease diagnosed in veterinary medicine and poses considerable challenges to canine welfare. This study aimed to investigate prevalence, duration and risk factors of appendicular osteoarthritis in dogs under primary veterinary care in the UK. The VetCompassTM programme collects clinical data on dogs attending UK primary-care veterinary practices. The study included all VetCompassTM dogs under veterinary care during 2013. Candidate osteoarthritis cases were identified using multiple search strategies. A random subset was manually evaluated against a case definition. Of 455,557 study dogs, 16,437 candidate osteoarthritis cases were identified; 6104 (37%) were manually checked and 4196 (69% of sample) were confirmed as cases. Additional data on demography, clinical signs, duration and management were extracted for confirmed cases. Estimated annual period prevalence (accounting for subsampling) of appendicular osteoarthritis was 2.5% (CI95: 2.4-2.5%) equating to around 200,000 UK affected dogs annually. Risk factors associated with osteoarthritis diagnosis included breed (e.g. Labrador, Golden Retriever), being insured, being neutered, of higher bodyweight and being older than eight years. Duration calculation trials suggest osteoarthritis affects 11.4% of affected individuals' lifespan, providing further evidence for substantial impact of osteoarthritis on canine welfare at the individual and population level.","author":[{"dropping-particle":"","family":"Anderson","given":"Katharine L.","non-dropping-particle":"","parse-names":false,"suffix":""},{"dropping-particle":"","family":"O’Neill","given":"Dan G.","non-dropping-particle":"","parse-names":false,"suffix":""},{"dropping-particle":"","family":"Brodbelt","given":"David C.","non-dropping-particle":"","parse-names":false,"suffix":""},{"dropping-particle":"","family":"Church","given":"David B.","non-dropping-particle":"","parse-names":false,"suffix":""},{"dropping-particle":"","family":"Meeson","given":"Richard L.","non-dropping-particle":"","parse-names":false,"suffix":""},{"dropping-particle":"","family":"Sargan","given":"David","non-dropping-particle":"","parse-names":false,"suffix":""},{"dropping-particle":"","family":"Summers","given":"Jennifer F.","non-dropping-particle":"","parse-names":false,"suffix":""},{"dropping-particle":"","family":"Zulch","given":"Helen","non-dropping-particle":"","parse-names":false,"suffix":""},{"dropping-particle":"","family":"Collins","given":"Lisa M.","non-dropping-particle":"","parse-names":false,"suffix":""}],"container-title":"Scientific Reports","id":"ITEM-1","issue":"1","issued":{"date-parts":[["2018"]]},"page":"5641","title":"Prevalence, duration and risk factors for appendicular osteoarthritis in a UK dog population under primary veterinary care","type":"article-journal","volume":"8"},"uris":["http://www.mendeley.com/documents/?uuid=f74472c9-ac80-4e45-bc74-5f045fc96f49"]}],"mendeley":{"formattedCitation":"&lt;sup&gt;[7]&lt;/sup&gt;","plainTextFormattedCitation":"[7]","previouslyFormattedCitation":"&lt;sup&gt;[7]&lt;/sup&gt;"},"properties":{"noteIndex":0},"schema":"https://github.com/citation-style-language/schema/raw/master/csl-citation.json"}</w:instrText>
      </w:r>
      <w:r w:rsidR="004A2D0D" w:rsidRPr="00000DD3">
        <w:rPr>
          <w:rFonts w:ascii="Book Antiqua" w:hAnsi="Book Antiqua" w:cstheme="minorHAnsi"/>
        </w:rPr>
        <w:fldChar w:fldCharType="separate"/>
      </w:r>
      <w:r w:rsidR="004A2D0D" w:rsidRPr="00000DD3">
        <w:rPr>
          <w:rFonts w:ascii="Book Antiqua" w:hAnsi="Book Antiqua" w:cstheme="minorHAnsi"/>
          <w:noProof/>
          <w:vertAlign w:val="superscript"/>
        </w:rPr>
        <w:t>[7]</w:t>
      </w:r>
      <w:r w:rsidR="004A2D0D" w:rsidRPr="00000DD3">
        <w:rPr>
          <w:rFonts w:ascii="Book Antiqua" w:hAnsi="Book Antiqua" w:cstheme="minorHAnsi"/>
        </w:rPr>
        <w:fldChar w:fldCharType="end"/>
      </w:r>
      <w:r w:rsidR="00843FA4" w:rsidRPr="00000DD3">
        <w:rPr>
          <w:rFonts w:ascii="Book Antiqua" w:hAnsi="Book Antiqua" w:cstheme="minorHAnsi"/>
        </w:rPr>
        <w:t>.</w:t>
      </w:r>
      <w:r w:rsidR="00E525B9" w:rsidRPr="00000DD3">
        <w:rPr>
          <w:rFonts w:ascii="Book Antiqua" w:hAnsi="Book Antiqua" w:cstheme="minorHAnsi"/>
        </w:rPr>
        <w:t xml:space="preserve"> Nevertheless, </w:t>
      </w:r>
      <w:r w:rsidR="00221D81" w:rsidRPr="00000DD3">
        <w:rPr>
          <w:rFonts w:ascii="Book Antiqua" w:hAnsi="Book Antiqua" w:cstheme="minorHAnsi"/>
        </w:rPr>
        <w:t>an adequate therapy for the repair of cartilage lesions has yet to be established</w:t>
      </w:r>
      <w:r w:rsidR="001901D2" w:rsidRPr="00000DD3">
        <w:rPr>
          <w:rFonts w:ascii="Book Antiqua" w:hAnsi="Book Antiqua" w:cstheme="minorHAnsi"/>
        </w:rPr>
        <w:t>.</w:t>
      </w:r>
      <w:r w:rsidR="00B81FA8" w:rsidRPr="00000DD3">
        <w:rPr>
          <w:rFonts w:ascii="Book Antiqua" w:hAnsi="Book Antiqua" w:cstheme="minorHAnsi"/>
        </w:rPr>
        <w:t xml:space="preserve"> </w:t>
      </w:r>
      <w:r w:rsidR="00C8597F" w:rsidRPr="00000DD3">
        <w:rPr>
          <w:rFonts w:ascii="Book Antiqua" w:hAnsi="Book Antiqua" w:cstheme="minorHAnsi"/>
        </w:rPr>
        <w:t>A</w:t>
      </w:r>
      <w:r w:rsidR="00EE04C7" w:rsidRPr="00000DD3">
        <w:rPr>
          <w:rFonts w:ascii="Book Antiqua" w:hAnsi="Book Antiqua" w:cstheme="minorHAnsi"/>
        </w:rPr>
        <w:t xml:space="preserve"> variety of surgical </w:t>
      </w:r>
      <w:r w:rsidR="00696980" w:rsidRPr="00000DD3">
        <w:rPr>
          <w:rFonts w:ascii="Book Antiqua" w:hAnsi="Book Antiqua" w:cstheme="minorHAnsi"/>
        </w:rPr>
        <w:t>interventions</w:t>
      </w:r>
      <w:r w:rsidR="00C8597F" w:rsidRPr="00000DD3">
        <w:rPr>
          <w:rFonts w:ascii="Book Antiqua" w:hAnsi="Book Antiqua" w:cstheme="minorHAnsi"/>
        </w:rPr>
        <w:t xml:space="preserve"> are available in human medicine,</w:t>
      </w:r>
      <w:r w:rsidR="00EE04C7" w:rsidRPr="00000DD3">
        <w:rPr>
          <w:rFonts w:ascii="Book Antiqua" w:hAnsi="Book Antiqua" w:cstheme="minorHAnsi"/>
        </w:rPr>
        <w:t xml:space="preserve"> </w:t>
      </w:r>
      <w:r w:rsidR="00D431F3" w:rsidRPr="00000DD3">
        <w:rPr>
          <w:rFonts w:ascii="Book Antiqua" w:hAnsi="Book Antiqua" w:cstheme="minorHAnsi"/>
        </w:rPr>
        <w:t>including</w:t>
      </w:r>
      <w:r w:rsidR="00EE04C7" w:rsidRPr="00000DD3">
        <w:rPr>
          <w:rFonts w:ascii="Book Antiqua" w:hAnsi="Book Antiqua" w:cstheme="minorHAnsi"/>
        </w:rPr>
        <w:t xml:space="preserve"> microfracture</w:t>
      </w:r>
      <w:r w:rsidR="00F653A1" w:rsidRPr="00000DD3">
        <w:rPr>
          <w:rFonts w:ascii="Book Antiqua" w:hAnsi="Book Antiqua" w:cstheme="minorHAnsi"/>
        </w:rPr>
        <w:fldChar w:fldCharType="begin" w:fldLock="1"/>
      </w:r>
      <w:r w:rsidR="00940A3E" w:rsidRPr="00000DD3">
        <w:rPr>
          <w:rFonts w:ascii="Book Antiqua" w:hAnsi="Book Antiqua" w:cstheme="minorHAnsi"/>
        </w:rPr>
        <w:instrText>ADDIN CSL_CITATION {"citationItems":[{"id":"ITEM-1","itemData":{"DOI":"10.1007/s00167-019-05359-9","ISSN":"0942-2056","PMID":"30659314","abstract":"PURPOSE: To systematically review and evaluate novel clinical data following microfracture treatment of knee articular cartilage defects. METHODS: A systematic review was performed by searching PubMed, ScienceDirect, and Cochrane Library databases for clinical trials on microfracture treatment, published between 2013 and 2018. Titles, abstracts, and articles were reviewed, and data concerning patient demographics, study design, pre-, intra-, and postoperative findings were extracted. PRISMA guidelines were applied. The methodological quality of the included studies was analyzed by the modified Coleman Methodology Score (CMS), and aggregate data were generated. RESULTS: Eighteen studies including 1830 defects (1759 patients) were included. Of them, 8 (59% of patients) were cohort studies without a comparison group. Overall study quality was moderate (mean total CMS: 64 points), mainly due to low patient numbers, short follow-up periods, lack of control groups and structural repair tissue evaluation, and inhomogeneity in outcome parameters. Microfracture treatment of full-thickness articular cartilage defects (3.4 ± 2.1 cm2) was performed at 43.4 ± 68.0 months of symptom duration. Postoperative assessment at 79.5 ± 27.2 months revealed failure rates of 11-27% within 5 years and 6-32% at 10 years. Imaging analysis was conducted in 10 studies, second-look arthroscopies were reported twice (n = 205 patients) and revealed well integrated fibrocartilaginous repair tissue. CONCLUSIONS: Microfracture provides good function and pain relief at the mid-term and clinically largely satisfying results thereafter. Standardized, high-quality future study designs will better refine optimal indications for microfracture in the context of cartilage repair strategies.","author":[{"dropping-particle":"","family":"Orth","given":"Patrick","non-dropping-particle":"","parse-names":false,"suffix":""},{"dropping-particle":"","family":"Gao","given":"Liang","non-dropping-particle":"","parse-names":false,"suffix":""},{"dropping-particle":"","family":"Madry","given":"Henning","non-dropping-particle":"","parse-names":false,"suffix":""}],"container-title":"Knee Surgery, Sports Traumatology, Arthroscopy","id":"ITEM-1","issued":{"date-parts":[["2019","1","18"]]},"page":"1-37","publisher":"Springer Berlin Heidelberg","title":"Microfracture for cartilage repair in the knee: a systematic review of the contemporary literature","type":"article-journal"},"uris":["http://www.mendeley.com/documents/?uuid=5ca5d8ac-376d-3c53-9e01-c49c87e73183"]}],"mendeley":{"formattedCitation":"&lt;sup&gt;[8]&lt;/sup&gt;","plainTextFormattedCitation":"[8]","previouslyFormattedCitation":"&lt;sup&gt;[8]&lt;/sup&gt;"},"properties":{"noteIndex":0},"schema":"https://github.com/citation-style-language/schema/raw/master/csl-citation.json"}</w:instrText>
      </w:r>
      <w:r w:rsidR="00F653A1" w:rsidRPr="00000DD3">
        <w:rPr>
          <w:rFonts w:ascii="Book Antiqua" w:hAnsi="Book Antiqua" w:cstheme="minorHAnsi"/>
        </w:rPr>
        <w:fldChar w:fldCharType="separate"/>
      </w:r>
      <w:r w:rsidR="00F653A1" w:rsidRPr="00000DD3">
        <w:rPr>
          <w:rFonts w:ascii="Book Antiqua" w:hAnsi="Book Antiqua" w:cstheme="minorHAnsi"/>
          <w:noProof/>
          <w:vertAlign w:val="superscript"/>
        </w:rPr>
        <w:t>[8]</w:t>
      </w:r>
      <w:r w:rsidR="00F653A1" w:rsidRPr="00000DD3">
        <w:rPr>
          <w:rFonts w:ascii="Book Antiqua" w:hAnsi="Book Antiqua" w:cstheme="minorHAnsi"/>
        </w:rPr>
        <w:fldChar w:fldCharType="end"/>
      </w:r>
      <w:r w:rsidR="00F439B0" w:rsidRPr="00000DD3">
        <w:rPr>
          <w:rFonts w:ascii="Book Antiqua" w:hAnsi="Book Antiqua" w:cstheme="minorHAnsi"/>
        </w:rPr>
        <w:t xml:space="preserve">, </w:t>
      </w:r>
      <w:r w:rsidR="008D0C54" w:rsidRPr="00000DD3">
        <w:rPr>
          <w:rFonts w:ascii="Book Antiqua" w:hAnsi="Book Antiqua" w:cstheme="minorHAnsi"/>
        </w:rPr>
        <w:t xml:space="preserve">osteochondral </w:t>
      </w:r>
      <w:r w:rsidR="00080549" w:rsidRPr="00000DD3">
        <w:rPr>
          <w:rFonts w:ascii="Book Antiqua" w:hAnsi="Book Antiqua" w:cstheme="minorHAnsi"/>
        </w:rPr>
        <w:t>auto</w:t>
      </w:r>
      <w:r w:rsidR="008D0C54" w:rsidRPr="00000DD3">
        <w:rPr>
          <w:rFonts w:ascii="Book Antiqua" w:hAnsi="Book Antiqua" w:cstheme="minorHAnsi"/>
        </w:rPr>
        <w:t>grafts</w:t>
      </w:r>
      <w:r w:rsidR="00581D2C" w:rsidRPr="00000DD3">
        <w:rPr>
          <w:rFonts w:ascii="Book Antiqua" w:hAnsi="Book Antiqua" w:cstheme="minorHAnsi"/>
        </w:rPr>
        <w:fldChar w:fldCharType="begin" w:fldLock="1"/>
      </w:r>
      <w:r w:rsidR="005C5CD4" w:rsidRPr="00000DD3">
        <w:rPr>
          <w:rFonts w:ascii="Book Antiqua" w:hAnsi="Book Antiqua" w:cstheme="minorHAnsi"/>
        </w:rPr>
        <w:instrText>ADDIN CSL_CITATION {"citationItems":[{"id":"ITEM-1","itemData":{"DOI":"10.1177/0363546518808030","ISSN":"0363-5465","PMID":"30481044","abstract":"BACKGROUND:: Mosaicplasty and fresh osteochondral allograft transplantation (OCA) are popular cartilage restoration techniques that involve the single-stage implantation of viable, mature hyaline cartilage-bone dowels into chondral lesions of the knee. Recently, there has been greater focus on what represents a clinically relevant change in outcomes reporting, and commonly applied metrics for measuring clinical significance include the minimal clinically important difference (MCID) and substantial clinical benefit (SCB). PURPOSE:: To define the MCID and SCB after mosaicplasty or OCA for the International Knee Documentation Committee (IKDC) subjective form and Knee Outcome Survey-Activities of Daily Living (KOS-ADL) and to determine patient factors that are predictive of achieving the MCID and SCB after mosaicplasty or OCA. STUDY DESIGN:: Cohort study (diagnosis); Level of evidence, 3. METHODS:: An institutional cartilage registry was reviewed to identify patients who underwent mosaicplasty or OCA. The decision to perform either mosaicplasty or OCA was generally based on chondral defect size. The IKDC and KOS-ADL were administered preoperatively and at a minimum of 2 years postoperatively. Patient responses to the outcome measures were aggregated, and the MCID and SCB of these outcome scores were calculated with anchor-based methods. Multivariate analysis adjusted for age and sex was performed to identify patient factors predictive of achieving the MCID and SCB. RESULTS:: Of the 372 eligible patients, 151 (41%) were lost to follow-up, 46 (12%) had incomplete preoperative outcome scores and 2 were treated with OCA of the tibia and therefore excluded. In total, 173 knees were analyzed (n = 173 patients; mean age, 33.0 years; 37% female). Seventy-five (43%) and 98 (57%) knees were treated with mosaicplasty and OCA, respectively. The mean ± SD MCIDs for the IKDC and KOS-ADL were 17 ± 3.9 and 10 ± 3.7, respectively. The SCBs for the IKDC and KOS-ADL were 30 ± 6.9 and 17 ± 3.9, respectively. Univariate analysis demonstrated no association between procedure (mosaicplasty or OCA) and likelihood of achieving the MCID or SCB. In the multivariate analysis, lower preoperative IKDC and KOS-ADL scores, higher preoperative Marx Activity Rating Scale scores, lower preoperative 36-Item Short Form Health Survey pain scores, and a history of ≤1 prior ipsilateral knee surgical procedure were predictive of achieving the MCID and/or SCB. CONCLUSION:: These values can be used …","author":[{"dropping-particle":"","family":"Wang","given":"Dean","non-dropping-particle":"","parse-names":false,"suffix":""},{"dropping-particle":"","family":"Chang","given":"Brenda","non-dropping-particle":"","parse-names":false,"suffix":""},{"dropping-particle":"","family":"Coxe","given":"Francesca R.","non-dropping-particle":"","parse-names":false,"suffix":""},{"dropping-particle":"","family":"Pais","given":"Mollyann D.","non-dropping-particle":"","parse-names":false,"suffix":""},{"dropping-particle":"","family":"Wickiewicz","given":"Thomas L.","non-dropping-particle":"","parse-names":false,"suffix":""},{"dropping-particle":"","family":"Warren","given":"Russell F.","non-dropping-particle":"","parse-names":false,"suffix":""},{"dropping-particle":"","family":"Rodeo","given":"Scott A.","non-dropping-particle":"","parse-names":false,"suffix":""},{"dropping-particle":"","family":"Williams","given":"Riley J.","non-dropping-particle":"","parse-names":false,"suffix":""}],"container-title":"The American Journal of Sports Medicine","id":"ITEM-1","issue":"1","issued":{"date-parts":[["2018"]]},"page":"71-81","title":"Clinically meaningful improvement after treatment of cartilage defects of the knee with osteochondral grafts","type":"article-journal","volume":"47"},"uris":["http://www.mendeley.com/documents/?uuid=39fc8724-45a9-3df3-a437-047f14893742"]}],"mendeley":{"formattedCitation":"&lt;sup&gt;[9]&lt;/sup&gt;","plainTextFormattedCitation":"[9]","previouslyFormattedCitation":"&lt;sup&gt;[9]&lt;/sup&gt;"},"properties":{"noteIndex":0},"schema":"https://github.com/citation-style-language/schema/raw/master/csl-citation.json"}</w:instrText>
      </w:r>
      <w:r w:rsidR="00581D2C" w:rsidRPr="00000DD3">
        <w:rPr>
          <w:rFonts w:ascii="Book Antiqua" w:hAnsi="Book Antiqua" w:cstheme="minorHAnsi"/>
        </w:rPr>
        <w:fldChar w:fldCharType="separate"/>
      </w:r>
      <w:r w:rsidR="004A2D0D" w:rsidRPr="00000DD3">
        <w:rPr>
          <w:rFonts w:ascii="Book Antiqua" w:hAnsi="Book Antiqua" w:cstheme="minorHAnsi"/>
          <w:noProof/>
          <w:vertAlign w:val="superscript"/>
        </w:rPr>
        <w:t>[9]</w:t>
      </w:r>
      <w:r w:rsidR="00581D2C" w:rsidRPr="00000DD3">
        <w:rPr>
          <w:rFonts w:ascii="Book Antiqua" w:hAnsi="Book Antiqua" w:cstheme="minorHAnsi"/>
        </w:rPr>
        <w:fldChar w:fldCharType="end"/>
      </w:r>
      <w:r w:rsidR="00C8597F" w:rsidRPr="00000DD3">
        <w:rPr>
          <w:rFonts w:ascii="Book Antiqua" w:hAnsi="Book Antiqua" w:cstheme="minorHAnsi"/>
        </w:rPr>
        <w:t>,</w:t>
      </w:r>
      <w:r w:rsidR="00D431F3" w:rsidRPr="00000DD3">
        <w:rPr>
          <w:rFonts w:ascii="Book Antiqua" w:hAnsi="Book Antiqua" w:cstheme="minorHAnsi"/>
        </w:rPr>
        <w:t xml:space="preserve"> and </w:t>
      </w:r>
      <w:r w:rsidR="00EE04C7" w:rsidRPr="00000DD3">
        <w:rPr>
          <w:rFonts w:ascii="Book Antiqua" w:hAnsi="Book Antiqua" w:cstheme="minorHAnsi"/>
        </w:rPr>
        <w:t>autologous chondrocyte implantatio</w:t>
      </w:r>
      <w:r w:rsidR="00080549" w:rsidRPr="00000DD3">
        <w:rPr>
          <w:rFonts w:ascii="Book Antiqua" w:hAnsi="Book Antiqua" w:cstheme="minorHAnsi"/>
        </w:rPr>
        <w:t>n</w:t>
      </w:r>
      <w:r w:rsidR="006544B0" w:rsidRPr="00000DD3">
        <w:rPr>
          <w:rFonts w:ascii="Book Antiqua" w:hAnsi="Book Antiqua" w:cstheme="minorHAnsi"/>
        </w:rPr>
        <w:fldChar w:fldCharType="begin" w:fldLock="1"/>
      </w:r>
      <w:r w:rsidR="009769C2" w:rsidRPr="00000DD3">
        <w:rPr>
          <w:rFonts w:ascii="Book Antiqua" w:hAnsi="Book Antiqua" w:cstheme="minorHAnsi"/>
        </w:rPr>
        <w:instrText>ADDIN CSL_CITATION {"citationItems":[{"id":"ITEM-1","itemData":{"DOI":"10.1007/s00167-015-3643-3","ISSN":"14337347","PMID":"25986097","abstract":"PURPOSE A literature review of the first-, second- and third-generation autologous chondrocyte implantation (ACI) technique for the treatment of large-sized (&gt;4 cm(2)) and full-thickness knee cartilage defects in young adults was conducted, examining the current literature on features, clinical scores, complications, magnetic resonance image (MRI) and histological outcomes, rehabilitation and cost-effectiveness. METHODS A literature review was carried out in the main medical databases to evaluate the several studies concerning ACI treatment of large-sized and full-thickness knee cartilage defects in young adults. RESULTS ACI technique has been shown to relieve symptoms and improve functional assessment in large-sized (&gt;4 cm(2)) and full-thickness knee articular cartilage defect of young adults in short- and medium-term follow-up. Besides, low level of evidence demonstrated its efficiency and durability at long-term follow-up after implantation. Furthermore, MRI and histological evaluations provided the evidence that graft can return back to the previous nearly normal cartilage via ACI techniques. Clinical outcomes tend to be similar in different ACI techniques, but with simplified procedure, low complication rate and better graft quality in the third-generation ACI technique. CONCLUSION ACI based on the experience of cell-based therapy, with the high potential to regenerate hyaline-like tissue, represents clinical development in treatment of large-sized and full-thickness knee cartilage defects. LEVEL OF EVIDENCE IV.","author":[{"dropping-particle":"","family":"Zhang","given":"Chi","non-dropping-particle":"","parse-names":false,"suffix":""},{"dropping-particle":"","family":"Cai","given":"You Zhi","non-dropping-particle":"","parse-names":false,"suffix":""},{"dropping-particle":"","family":"Lin","given":"Xiang Jin","non-dropping-particle":"","parse-names":false,"suffix":""}],"container-title":"Knee Surgery, Sports Traumatology, Arthroscopy","id":"ITEM-1","issue":"5","issued":{"date-parts":[["2016"]]},"page":"1643-1650","title":"Autologous chondrocyte implantation: Is it likely to become a saviour of large-sized and full-thickness cartilage defect in young adult knee?","type":"article-journal","volume":"24"},"uris":["http://www.mendeley.com/documents/?uuid=4585b828-c693-307c-8033-110d08e9675a"]}],"mendeley":{"formattedCitation":"&lt;sup&gt;[10]&lt;/sup&gt;","plainTextFormattedCitation":"[10]","previouslyFormattedCitation":"&lt;sup&gt;[10]&lt;/sup&gt;"},"properties":{"noteIndex":0},"schema":"https://github.com/citation-style-language/schema/raw/master/csl-citation.json"}</w:instrText>
      </w:r>
      <w:r w:rsidR="006544B0" w:rsidRPr="00000DD3">
        <w:rPr>
          <w:rFonts w:ascii="Book Antiqua" w:hAnsi="Book Antiqua" w:cstheme="minorHAnsi"/>
        </w:rPr>
        <w:fldChar w:fldCharType="separate"/>
      </w:r>
      <w:r w:rsidR="004A2D0D" w:rsidRPr="00000DD3">
        <w:rPr>
          <w:rFonts w:ascii="Book Antiqua" w:hAnsi="Book Antiqua" w:cstheme="minorHAnsi"/>
          <w:noProof/>
          <w:vertAlign w:val="superscript"/>
        </w:rPr>
        <w:t>[10]</w:t>
      </w:r>
      <w:r w:rsidR="006544B0" w:rsidRPr="00000DD3">
        <w:rPr>
          <w:rFonts w:ascii="Book Antiqua" w:hAnsi="Book Antiqua" w:cstheme="minorHAnsi"/>
        </w:rPr>
        <w:fldChar w:fldCharType="end"/>
      </w:r>
      <w:r w:rsidR="004843C7" w:rsidRPr="00000DD3">
        <w:rPr>
          <w:rFonts w:ascii="Book Antiqua" w:hAnsi="Book Antiqua" w:cstheme="minorHAnsi"/>
        </w:rPr>
        <w:t>.</w:t>
      </w:r>
      <w:r w:rsidR="00784B00" w:rsidRPr="00000DD3">
        <w:rPr>
          <w:rFonts w:ascii="Book Antiqua" w:hAnsi="Book Antiqua" w:cstheme="minorHAnsi"/>
        </w:rPr>
        <w:t xml:space="preserve"> </w:t>
      </w:r>
      <w:r w:rsidR="00C8597F" w:rsidRPr="00000DD3">
        <w:rPr>
          <w:rFonts w:ascii="Book Antiqua" w:hAnsi="Book Antiqua" w:cstheme="minorHAnsi"/>
        </w:rPr>
        <w:t xml:space="preserve">Following </w:t>
      </w:r>
      <w:r w:rsidR="00080549" w:rsidRPr="00000DD3">
        <w:rPr>
          <w:rFonts w:ascii="Book Antiqua" w:hAnsi="Book Antiqua" w:cstheme="minorHAnsi"/>
        </w:rPr>
        <w:t xml:space="preserve">microfracture, the regenerated tissue </w:t>
      </w:r>
      <w:r w:rsidR="00C8597F" w:rsidRPr="00000DD3">
        <w:rPr>
          <w:rFonts w:ascii="Book Antiqua" w:hAnsi="Book Antiqua" w:cstheme="minorHAnsi"/>
        </w:rPr>
        <w:t>occurs as</w:t>
      </w:r>
      <w:r w:rsidR="00080549" w:rsidRPr="00000DD3">
        <w:rPr>
          <w:rFonts w:ascii="Book Antiqua" w:hAnsi="Book Antiqua" w:cstheme="minorHAnsi"/>
        </w:rPr>
        <w:t xml:space="preserve"> a mixed fibrocartilage tissue</w:t>
      </w:r>
      <w:r w:rsidR="00C8597F" w:rsidRPr="00000DD3">
        <w:rPr>
          <w:rFonts w:ascii="Book Antiqua" w:hAnsi="Book Antiqua" w:cstheme="minorHAnsi"/>
        </w:rPr>
        <w:t xml:space="preserve"> that </w:t>
      </w:r>
      <w:r w:rsidR="00080549" w:rsidRPr="00000DD3">
        <w:rPr>
          <w:rFonts w:ascii="Book Antiqua" w:hAnsi="Book Antiqua" w:cstheme="minorHAnsi"/>
        </w:rPr>
        <w:t xml:space="preserve">is inferior </w:t>
      </w:r>
      <w:r w:rsidR="00C8597F" w:rsidRPr="00000DD3">
        <w:rPr>
          <w:rFonts w:ascii="Book Antiqua" w:hAnsi="Book Antiqua" w:cstheme="minorHAnsi"/>
        </w:rPr>
        <w:t xml:space="preserve">in its mechanical properties </w:t>
      </w:r>
      <w:r w:rsidR="00080549" w:rsidRPr="00000DD3">
        <w:rPr>
          <w:rFonts w:ascii="Book Antiqua" w:hAnsi="Book Antiqua" w:cstheme="minorHAnsi"/>
        </w:rPr>
        <w:t>to native hyaline cartilage</w:t>
      </w:r>
      <w:r w:rsidR="00C8597F" w:rsidRPr="00000DD3">
        <w:rPr>
          <w:rFonts w:ascii="Book Antiqua" w:hAnsi="Book Antiqua" w:cstheme="minorHAnsi"/>
        </w:rPr>
        <w:t xml:space="preserve"> and has </w:t>
      </w:r>
      <w:r w:rsidR="007724E2" w:rsidRPr="00000DD3">
        <w:rPr>
          <w:rFonts w:ascii="Book Antiqua" w:hAnsi="Book Antiqua" w:cstheme="minorHAnsi"/>
        </w:rPr>
        <w:t>poor long-term results</w:t>
      </w:r>
      <w:r w:rsidR="00940A3E" w:rsidRPr="00000DD3">
        <w:rPr>
          <w:rFonts w:ascii="Book Antiqua" w:hAnsi="Book Antiqua" w:cstheme="minorHAnsi"/>
        </w:rPr>
        <w:fldChar w:fldCharType="begin" w:fldLock="1"/>
      </w:r>
      <w:r w:rsidR="00940A3E" w:rsidRPr="00000DD3">
        <w:rPr>
          <w:rFonts w:ascii="Book Antiqua" w:hAnsi="Book Antiqua" w:cstheme="minorHAnsi"/>
        </w:rPr>
        <w:instrText>ADDIN CSL_CITATION {"citationItems":[{"id":"ITEM-1","itemData":{"DOI":"10.1093/jhps/hnw007","ISSN":"2054-8397","PMID":"27583147","abstract":"The use of microfracture in hip arthroscopy is increasing dramatically. However, recent reports raise concerns not only about the lack of evidence to support the clinical use of microfracture, but also about the potential harm caused by violation of the subchondral bone plate. The biology and pathology of the microfracture technique were described based on observations in translational models and the clinical evidence for hip microfracture was reviewed systematically. The clinical outcomes in patients undergoing microfracture were the same as those not undergoing microfracture. However, the overall clinical evidence quality is poor in hips. This review identified only one study with Level III evidence, while most studies were Level IV. There were no randomized trials available for review. Repair tissue is primarily of fibrocartilaginous nature. Reconstitution of the subchondral bone is often incomplete and associated with poor quality repair tissue and faster degeneration. Subchondral bone cyst formation is associated with microfracture, likely secondary to subchondral bone plate disruption and a combination of pressurized synovial fluid and inflammatory mediators moving from the joint into the bone. There is a lack of clinical efficacy evidence for patients undergoing microfracture. There is evidence of bone cyst formation following microfracture in animal studies, which may accelerate joint degeneration. Bone cyst formation following microfracture has not been studied adequately in humans.","author":[{"dropping-particle":"","family":"Green","given":"Chadwick John","non-dropping-particle":"","parse-names":false,"suffix":""},{"dropping-particle":"","family":"Beck","given":"Aswin","non-dropping-particle":"","parse-names":false,"suffix":""},{"dropping-particle":"","family":"Wood","given":"David","non-dropping-particle":"","parse-names":false,"suffix":""},{"dropping-particle":"","family":"Zheng","given":"Ming H","non-dropping-particle":"","parse-names":false,"suffix":""}],"container-title":"Journal of Hip Preservation Surgery","id":"ITEM-1","issue":"2","issued":{"date-parts":[["2016"]]},"page":"108-123","title":"The biology and clinical evidence of microfracture in hip preservation surgery","type":"article-journal","volume":"3"},"uris":["http://www.mendeley.com/documents/?uuid=5afb1d1a-1094-3ecf-acb3-5f6243a65884"]}],"mendeley":{"formattedCitation":"&lt;sup&gt;[11]&lt;/sup&gt;","plainTextFormattedCitation":"[11]","previouslyFormattedCitation":"&lt;sup&gt;[11]&lt;/sup&gt;"},"properties":{"noteIndex":0},"schema":"https://github.com/citation-style-language/schema/raw/master/csl-citation.json"}</w:instrText>
      </w:r>
      <w:r w:rsidR="00940A3E" w:rsidRPr="00000DD3">
        <w:rPr>
          <w:rFonts w:ascii="Book Antiqua" w:hAnsi="Book Antiqua" w:cstheme="minorHAnsi"/>
        </w:rPr>
        <w:fldChar w:fldCharType="separate"/>
      </w:r>
      <w:r w:rsidR="00940A3E" w:rsidRPr="00000DD3">
        <w:rPr>
          <w:rFonts w:ascii="Book Antiqua" w:hAnsi="Book Antiqua" w:cstheme="minorHAnsi"/>
          <w:noProof/>
          <w:vertAlign w:val="superscript"/>
        </w:rPr>
        <w:t>[11]</w:t>
      </w:r>
      <w:r w:rsidR="00940A3E" w:rsidRPr="00000DD3">
        <w:rPr>
          <w:rFonts w:ascii="Book Antiqua" w:hAnsi="Book Antiqua" w:cstheme="minorHAnsi"/>
        </w:rPr>
        <w:fldChar w:fldCharType="end"/>
      </w:r>
      <w:r w:rsidR="00F57BF0" w:rsidRPr="00000DD3">
        <w:rPr>
          <w:rFonts w:ascii="Book Antiqua" w:hAnsi="Book Antiqua" w:cstheme="minorHAnsi"/>
        </w:rPr>
        <w:t>.</w:t>
      </w:r>
      <w:r w:rsidR="000509B0" w:rsidRPr="00000DD3">
        <w:rPr>
          <w:rFonts w:ascii="Book Antiqua" w:hAnsi="Book Antiqua" w:cstheme="minorHAnsi"/>
        </w:rPr>
        <w:t xml:space="preserve"> </w:t>
      </w:r>
      <w:r w:rsidR="0014116E" w:rsidRPr="00000DD3">
        <w:rPr>
          <w:rFonts w:ascii="Book Antiqua" w:hAnsi="Book Antiqua" w:cstheme="minorHAnsi"/>
        </w:rPr>
        <w:t>Similarly, o</w:t>
      </w:r>
      <w:r w:rsidR="00080549" w:rsidRPr="00000DD3">
        <w:rPr>
          <w:rFonts w:ascii="Book Antiqua" w:hAnsi="Book Antiqua" w:cstheme="minorHAnsi"/>
        </w:rPr>
        <w:t xml:space="preserve">steochondral autografts </w:t>
      </w:r>
      <w:r w:rsidR="00C8597F" w:rsidRPr="00000DD3">
        <w:rPr>
          <w:rFonts w:ascii="Book Antiqua" w:hAnsi="Book Antiqua" w:cstheme="minorHAnsi"/>
        </w:rPr>
        <w:t xml:space="preserve">have </w:t>
      </w:r>
      <w:r w:rsidR="009518A6" w:rsidRPr="00000DD3">
        <w:rPr>
          <w:rFonts w:ascii="Book Antiqua" w:hAnsi="Book Antiqua" w:cstheme="minorHAnsi"/>
        </w:rPr>
        <w:t>limitations of graft availability and</w:t>
      </w:r>
      <w:r w:rsidR="00080549" w:rsidRPr="00000DD3">
        <w:rPr>
          <w:rFonts w:ascii="Book Antiqua" w:hAnsi="Book Antiqua" w:cstheme="minorHAnsi"/>
        </w:rPr>
        <w:t xml:space="preserve"> risk of donor site morbidity</w:t>
      </w:r>
      <w:r w:rsidR="00201AA5" w:rsidRPr="00000DD3">
        <w:rPr>
          <w:rFonts w:ascii="Book Antiqua" w:hAnsi="Book Antiqua" w:cstheme="minorHAnsi"/>
        </w:rPr>
        <w:fldChar w:fldCharType="begin" w:fldLock="1"/>
      </w:r>
      <w:r w:rsidR="005C5CD4" w:rsidRPr="00000DD3">
        <w:rPr>
          <w:rFonts w:ascii="Book Antiqua" w:hAnsi="Book Antiqua" w:cstheme="minorHAnsi"/>
        </w:rPr>
        <w:instrText>ADDIN CSL_CITATION {"citationItems":[{"id":"ITEM-1","itemData":{"DOI":"10.1097/JSA.0000000000000226","ISSN":"15381951","PMID":"30395060","author":[{"dropping-particle":"","family":"Redondo","given":"Michael L.","non-dropping-particle":"","parse-names":false,"suffix":""},{"dropping-particle":"","family":"Naveen","given":"Neal B.","non-dropping-particle":"","parse-names":false,"suffix":""},{"dropping-particle":"","family":"Liu","given":"Joseph N.","non-dropping-particle":"","parse-names":false,"suffix":""},{"dropping-particle":"","family":"Tauro","given":"Tracy M.","non-dropping-particle":"","parse-names":false,"suffix":""},{"dropping-particle":"","family":"Southworth","given":"Taylor M.","non-dropping-particle":"","parse-names":false,"suffix":""},{"dropping-particle":"","family":"Cole","given":"Brian J.","non-dropping-particle":"","parse-names":false,"suffix":""}],"container-title":"Sports Medicine and Arthroscopy Review","id":"ITEM-1","issue":"4","issued":{"date-parts":[["2018"]]},"page":"E23-E30","title":"Preservation of knee articular cartilage","type":"article-journal","volume":"26"},"uris":["http://www.mendeley.com/documents/?uuid=ab86f23d-04d8-3da0-b223-0eef721ee2c1"]},{"id":"ITEM-2","itemData":{"DOI":"10.1186/s40634-016-0066-0","ISSN":"2197-1153","PMID":"27813019","abstract":"BACKGROUND: Mosaicplasty has been associated with good short- to long-term results. Nevertheless, the osteochondral harvesting is restricted to the donor-site area available and it may lead to significant donor-site morbidity. PURPOSE: Provide an overview of donor-site morbidity associated with harvesting of osteochondral plugs from the knee joint in mosaicplasty procedure. METHODS: Comprehensive search using Pubmed, Cochrane Library, SPORTDiscus and CINAHL databases was carried out through 10th October of 2016. As inclusion criteria, all English-language studies that assessed the knee donor-site morbidity after mosaicplasty were accepted. The outcomes were the description and rate of knee donor-site morbidity, sample's and cartilage defect's characterization and mosaicplasty-related features. Correlation between mosaicplasty features and rate of morbidity was performed. The methodological and reporting quality were assessed according to Coleman's methodology score. RESULTS: Twenty-one studies were included, comprising a total of 1726 patients, with 1473 and 268 knee and ankle cartilage defects were included. The defect size ranged from 0.85 cm2 to 4.9 cm2 and most commonly 3 or less plugs (averaging 2.9 to 9.4 mm) were used. Donor-site for osteochondral harvesting included margins of the femoral trochlea (condyles), intercondylar notch, patellofemoral joint and upper tibio-fibular joint. Mean donor-site morbidity was 5.9 % and 19.6 % for knee and ankle mosaicplasty procedures, respectively. Concerning knee-to-knee mosaicplasty procedures, the most common donor-site morbidity complaints were patellofemoral disturbances (22 %) and crepitation (31 %), and in knee-to-ankle procedures there was a clear tendency for pain or instability during daily living or sports activities (44 %), followed by patellofemoral disturbances, knee stiffness and persistent pain (13 % each). There was no significant correlation between rate of donor-site morbidity and size of the defect, number and size of the plugs (p &gt; 0.05). CONCLUSIONS: Osteochondral harvesting in mosaicplasty often results in considerable donor-site morbidity. The donor-site morbidity for knee-to-ankle (16.9 %) was greater than knee-to-knee (5.9 %) mosaicplasty procedures, without any significant correlation between rate of donor-site morbidity and size of the defect, number and size of the plugs. Lack or imcomplete of donor-site morbidity reporting within the mosaicplasty studies is a concern that should b…","author":[{"dropping-particle":"","family":"Andrade","given":"Renato","non-dropping-particle":"","parse-names":false,"suffix":""},{"dropping-particle":"","family":"Vasta","given":"Sebastiano","non-dropping-particle":"","parse-names":false,"suffix":""},{"dropping-particle":"","family":"Pereira","given":"Rogério","non-dropping-particle":"","parse-names":false,"suffix":""},{"dropping-particle":"","family":"Pereira","given":"Hélder","non-dropping-particle":"","parse-names":false,"suffix":""},{"dropping-particle":"","family":"Papalia","given":"Rocco","non-dropping-particle":"","parse-names":false,"suffix":""},{"dropping-particle":"","family":"Karahan","given":"Mustafa","non-dropping-particle":"","parse-names":false,"suffix":""},{"dropping-particle":"","family":"Oliveira","given":"J. Miguel","non-dropping-particle":"","parse-names":false,"suffix":""},{"dropping-particle":"","family":"Reis","given":"Rui L.","non-dropping-particle":"","parse-names":false,"suffix":""},{"dropping-particle":"","family":"Espregueira-Mendes","given":"João","non-dropping-particle":"","parse-names":false,"suffix":""}],"container-title":"Journal of Experimental Orthopaedics","id":"ITEM-2","issued":{"date-parts":[["2016"]]},"title":"Knee donor-site morbidity after mosaicplasty – a systematic review","type":"article-journal","volume":"3"},"uris":["http://www.mendeley.com/documents/?uuid=69024b7b-b568-3a96-92b0-20cc80041943"]}],"mendeley":{"formattedCitation":"&lt;sup&gt;[12,13]&lt;/sup&gt;","plainTextFormattedCitation":"[12,13]","previouslyFormattedCitation":"&lt;sup&gt;[12,13]&lt;/sup&gt;"},"properties":{"noteIndex":0},"schema":"https://github.com/citation-style-language/schema/raw/master/csl-citation.json"}</w:instrText>
      </w:r>
      <w:r w:rsidR="00201AA5" w:rsidRPr="00000DD3">
        <w:rPr>
          <w:rFonts w:ascii="Book Antiqua" w:hAnsi="Book Antiqua" w:cstheme="minorHAnsi"/>
        </w:rPr>
        <w:fldChar w:fldCharType="separate"/>
      </w:r>
      <w:r w:rsidR="00201AA5" w:rsidRPr="00000DD3">
        <w:rPr>
          <w:rFonts w:ascii="Book Antiqua" w:hAnsi="Book Antiqua" w:cstheme="minorHAnsi"/>
          <w:noProof/>
          <w:vertAlign w:val="superscript"/>
        </w:rPr>
        <w:t>[12,13]</w:t>
      </w:r>
      <w:r w:rsidR="00201AA5" w:rsidRPr="00000DD3">
        <w:rPr>
          <w:rFonts w:ascii="Book Antiqua" w:hAnsi="Book Antiqua" w:cstheme="minorHAnsi"/>
        </w:rPr>
        <w:fldChar w:fldCharType="end"/>
      </w:r>
      <w:r w:rsidR="00F57BF0" w:rsidRPr="00000DD3">
        <w:rPr>
          <w:rFonts w:ascii="Book Antiqua" w:hAnsi="Book Antiqua" w:cstheme="minorHAnsi"/>
        </w:rPr>
        <w:t>.</w:t>
      </w:r>
      <w:r w:rsidR="00080549" w:rsidRPr="00000DD3">
        <w:rPr>
          <w:rFonts w:ascii="Book Antiqua" w:hAnsi="Book Antiqua" w:cstheme="minorHAnsi"/>
        </w:rPr>
        <w:t xml:space="preserve"> </w:t>
      </w:r>
      <w:r w:rsidR="0014116E" w:rsidRPr="00000DD3">
        <w:rPr>
          <w:rFonts w:ascii="Book Antiqua" w:hAnsi="Book Antiqua" w:cstheme="minorHAnsi"/>
        </w:rPr>
        <w:t>A</w:t>
      </w:r>
      <w:r w:rsidR="00080549" w:rsidRPr="00000DD3">
        <w:rPr>
          <w:rFonts w:ascii="Book Antiqua" w:hAnsi="Book Antiqua" w:cstheme="minorHAnsi"/>
        </w:rPr>
        <w:t>utologous chondrocyte implantation</w:t>
      </w:r>
      <w:r w:rsidR="0014116E" w:rsidRPr="00000DD3">
        <w:rPr>
          <w:rFonts w:ascii="Book Antiqua" w:hAnsi="Book Antiqua" w:cstheme="minorHAnsi"/>
        </w:rPr>
        <w:t>, although it</w:t>
      </w:r>
      <w:r w:rsidR="00EA78FB" w:rsidRPr="00000DD3">
        <w:rPr>
          <w:rFonts w:ascii="Book Antiqua" w:hAnsi="Book Antiqua" w:cstheme="minorHAnsi"/>
        </w:rPr>
        <w:t xml:space="preserve"> </w:t>
      </w:r>
      <w:r w:rsidR="00DE6532" w:rsidRPr="00000DD3">
        <w:rPr>
          <w:rFonts w:ascii="Book Antiqua" w:hAnsi="Book Antiqua" w:cstheme="minorHAnsi"/>
        </w:rPr>
        <w:t xml:space="preserve">can achieve hyaline-like cartilage repair, </w:t>
      </w:r>
      <w:r w:rsidR="0014116E" w:rsidRPr="00000DD3">
        <w:rPr>
          <w:rFonts w:ascii="Book Antiqua" w:hAnsi="Book Antiqua" w:cstheme="minorHAnsi"/>
        </w:rPr>
        <w:t>also has</w:t>
      </w:r>
      <w:r w:rsidR="000509B0" w:rsidRPr="00000DD3">
        <w:rPr>
          <w:rFonts w:ascii="Book Antiqua" w:hAnsi="Book Antiqua" w:cstheme="minorHAnsi"/>
        </w:rPr>
        <w:t xml:space="preserve"> </w:t>
      </w:r>
      <w:r w:rsidR="0088463C" w:rsidRPr="00000DD3">
        <w:rPr>
          <w:rFonts w:ascii="Book Antiqua" w:hAnsi="Book Antiqua" w:cstheme="minorHAnsi"/>
        </w:rPr>
        <w:t>some</w:t>
      </w:r>
      <w:r w:rsidR="000509B0" w:rsidRPr="00000DD3">
        <w:rPr>
          <w:rFonts w:ascii="Book Antiqua" w:hAnsi="Book Antiqua" w:cstheme="minorHAnsi"/>
        </w:rPr>
        <w:t xml:space="preserve"> issues</w:t>
      </w:r>
      <w:r w:rsidR="0014116E" w:rsidRPr="00000DD3">
        <w:rPr>
          <w:rFonts w:ascii="Book Antiqua" w:hAnsi="Book Antiqua" w:cstheme="minorHAnsi"/>
        </w:rPr>
        <w:t>,</w:t>
      </w:r>
      <w:r w:rsidR="000509B0" w:rsidRPr="00000DD3">
        <w:rPr>
          <w:rFonts w:ascii="Book Antiqua" w:hAnsi="Book Antiqua" w:cstheme="minorHAnsi"/>
        </w:rPr>
        <w:t xml:space="preserve"> including loss of </w:t>
      </w:r>
      <w:r w:rsidR="00EA78FB" w:rsidRPr="00000DD3">
        <w:rPr>
          <w:rFonts w:ascii="Book Antiqua" w:hAnsi="Book Antiqua" w:cstheme="minorHAnsi"/>
        </w:rPr>
        <w:t xml:space="preserve">the </w:t>
      </w:r>
      <w:proofErr w:type="spellStart"/>
      <w:r w:rsidR="00EA78FB" w:rsidRPr="00000DD3">
        <w:rPr>
          <w:rFonts w:ascii="Book Antiqua" w:hAnsi="Book Antiqua" w:cstheme="minorHAnsi"/>
        </w:rPr>
        <w:t>chondrocytic</w:t>
      </w:r>
      <w:proofErr w:type="spellEnd"/>
      <w:r w:rsidR="000509B0" w:rsidRPr="00000DD3">
        <w:rPr>
          <w:rFonts w:ascii="Book Antiqua" w:hAnsi="Book Antiqua" w:cstheme="minorHAnsi"/>
        </w:rPr>
        <w:t xml:space="preserve"> phenotype </w:t>
      </w:r>
      <w:r w:rsidR="00EA78FB" w:rsidRPr="00000DD3">
        <w:rPr>
          <w:rFonts w:ascii="Book Antiqua" w:hAnsi="Book Antiqua" w:cstheme="minorHAnsi"/>
        </w:rPr>
        <w:t>in monolayer culture</w:t>
      </w:r>
      <w:r w:rsidR="0014116E" w:rsidRPr="00000DD3">
        <w:rPr>
          <w:rFonts w:ascii="Book Antiqua" w:hAnsi="Book Antiqua" w:cstheme="minorHAnsi"/>
        </w:rPr>
        <w:t>,</w:t>
      </w:r>
      <w:r w:rsidR="00AD71EE" w:rsidRPr="00000DD3">
        <w:rPr>
          <w:rFonts w:ascii="Book Antiqua" w:hAnsi="Book Antiqua" w:cstheme="minorHAnsi"/>
        </w:rPr>
        <w:t xml:space="preserve"> limited availability of chondrocytes</w:t>
      </w:r>
      <w:r w:rsidR="00EA78FB" w:rsidRPr="00000DD3">
        <w:rPr>
          <w:rFonts w:ascii="Book Antiqua" w:hAnsi="Book Antiqua" w:cstheme="minorHAnsi"/>
        </w:rPr>
        <w:t xml:space="preserve"> and inadequate </w:t>
      </w:r>
      <w:r w:rsidR="0014116E" w:rsidRPr="00000DD3">
        <w:rPr>
          <w:rFonts w:ascii="Book Antiqua" w:hAnsi="Book Antiqua" w:cstheme="minorHAnsi"/>
        </w:rPr>
        <w:t xml:space="preserve">chondrocyte </w:t>
      </w:r>
      <w:r w:rsidR="00EA78FB" w:rsidRPr="00000DD3">
        <w:rPr>
          <w:rFonts w:ascii="Book Antiqua" w:hAnsi="Book Antiqua" w:cstheme="minorHAnsi"/>
        </w:rPr>
        <w:t>proliferative potential</w:t>
      </w:r>
      <w:r w:rsidR="00AD71EE" w:rsidRPr="00000DD3">
        <w:rPr>
          <w:rFonts w:ascii="Book Antiqua" w:hAnsi="Book Antiqua" w:cstheme="minorHAnsi"/>
        </w:rPr>
        <w:fldChar w:fldCharType="begin" w:fldLock="1"/>
      </w:r>
      <w:r w:rsidR="005C5CD4" w:rsidRPr="00000DD3">
        <w:rPr>
          <w:rFonts w:ascii="Book Antiqua" w:hAnsi="Book Antiqua" w:cstheme="minorHAnsi"/>
        </w:rPr>
        <w:instrText>ADDIN CSL_CITATION {"citationItems":[{"id":"ITEM-1","itemData":{"DOI":"10.1177/1947603518769714","ISSN":"19476043","PMID":"29671342","abstract":"ObjectiveTo assess the phenotype of human articular chondrocytes cultured in normoxia (21% O2) or continuous hypoxia (2% O2).DesignChondrocytes were extracted from patients undergoing total knee replacement (n = 5) and cultured in ~21% (normoxic chondrocytes, NC) and 2% (hypoxic chondrocytes, HC) oxygen in both monolayer and 3-dimensional (3D) pellet culture and compared with freshly isolated chondrocytes (FC). Cells were assessed by flow cytometry for markers indicative of mesenchymal stromal cells (MSCs), chondrogenic-potency and dedifferentiation. Chondrogenic potency and immunomodulatory gene expression was assessed in NC and HC by reverse transcription quantitative polymerase chain reaction. Immunohistochemistry was used to assess collagen II production following 3D pellet culture.ResultsNC were positive (&gt;97%, n = 5) for MSC markers, CD73, CD90, and CD105, while HC demonstrated &lt;90% positivity (n = 4) and FC (n = 5) less again (CD73 and CD90 &lt;20%; CD105 &lt;40%). The markers CD166 and CD151, indicative of chondrogenic de-differentiation, were significantly higher on NC compared with HC and lowest on FC. NC also produced the highest levels of CD106 and showed the greatest levels of IDO expression, following interferon-? stimulation, indicating immunomodulatory potential. NC produced the highest levels of CD49c (&gt;60%) compared with HC and FC in which production was &lt;2%. Hypoxic conditions upregulated expression of SOX9, frizzled-related protein (FRZB), fibroblast growth factor receptor 3 (FGFR3), and collagen type II (COL2A1) and downregulated activin receptor-like kinase 1 (ALK1) in 3 out of 4 patients compared with normoxic conditions for monolayer cells.ConclusionsHypoxic conditions encourage retention of a chondrogenic phenotype with some immunomodulatory potential, whereas normoxia promotes dedifferentiation of chondrocytes toward an MSC phenotype with loss of chondrogenic potency but enhanced immunomodulatory capacity.","author":[{"dropping-particle":"","family":"Mennan","given":"Claire","non-dropping-particle":"","parse-names":false,"suffix":""},{"dropping-particle":"","family":"Garcia","given":"John","non-dropping-particle":"","parse-names":false,"suffix":""},{"dropping-particle":"","family":"McCarthy","given":"Helen","non-dropping-particle":"","parse-names":false,"suffix":""},{"dropping-particle":"","family":"Owen","given":"Sharon","non-dropping-particle":"","parse-names":false,"suffix":""},{"dropping-particle":"","family":"Perry","given":"Jade","non-dropping-particle":"","parse-names":false,"suffix":""},{"dropping-particle":"","family":"Wright","given":"Karina","non-dropping-particle":"","parse-names":false,"suffix":""},{"dropping-particle":"","family":"Banerjee","given":"Robin","non-dropping-particle":"","parse-names":false,"suffix":""},{"dropping-particle":"","family":"Richardson","given":"James B.","non-dropping-particle":"","parse-names":false,"suffix":""},{"dropping-particle":"","family":"Roberts","given":"Sally","non-dropping-particle":"","parse-names":false,"suffix":""}],"container-title":"Cartilage","id":"ITEM-1","issued":{"date-parts":[["2018"]]},"title":"Human articular chondrocytes retain their phenotype in sustained hypoxia while normoxia promotes their immunomodulatory potential","type":"article-journal"},"uris":["http://www.mendeley.com/documents/?uuid=13d52a2b-70bc-3a26-8776-0efa553f3333"]},{"id":"ITEM-2","itemData":{"DOI":"10.3390/bioengineering6010022","ISSN":"2306-5354","PMID":"30871236","abstract":"Articular cartilage is composed of chondrons within a territorial matrix surrounded by a highly organized extracellular matrix comprising collagen II fibrils, proteoglycans, glycosaminoglycans, and non-collagenous proteins. Damaged articular cartilage has a limited potential for healing and untreated defects often progress to osteoarthritis. High hopes have been pinned on regenerative medicine strategies to meet the challenge of preventing progress to late osteoarthritis. One such strategy, autologous chondrocyte implantation (ACI), was first reported in 1994 as a treatment for deep focal articular cartilage defects. ACI has since evolved to become a worldwide well-established surgical technique. For ACI, chondrocytes are harvested from the lesser weight bearing edge of the joint by arthroscopy, their numbers expanded in monolayer culture for at least four weeks, and then re-implanted in the damaged region under a natural or synthetic membrane via an open joint procedure. We consider the evolution of ACI to become an established cell therapy, its current limitations, and on-going strategies to improve its efficacy. The most promising developments involving cells and natural or synthetic biomaterials will be highlighted.","author":[{"dropping-particle":"","family":"Davies","given":"Rebecca L","non-dropping-particle":"","parse-names":false,"suffix":""},{"dropping-particle":"","family":"Kuiper","given":"Nicola J","non-dropping-particle":"","parse-names":false,"suffix":""}],"container-title":"Bioengineering","id":"ITEM-2","issue":"1","issued":{"date-parts":[["2019"]]},"page":"E22","title":"Regenerative medicine: A review of the evolution of autologous chondrocyte implantation (ACI) therapy","type":"article-journal","volume":"6"},"uris":["http://www.mendeley.com/documents/?uuid=f12cb734-7817-3157-86c6-00aaf172e21b"]}],"mendeley":{"formattedCitation":"&lt;sup&gt;[14,15]&lt;/sup&gt;","plainTextFormattedCitation":"[14,15]","previouslyFormattedCitation":"&lt;sup&gt;[14,15]&lt;/sup&gt;"},"properties":{"noteIndex":0},"schema":"https://github.com/citation-style-language/schema/raw/master/csl-citation.json"}</w:instrText>
      </w:r>
      <w:r w:rsidR="00AD71EE" w:rsidRPr="00000DD3">
        <w:rPr>
          <w:rFonts w:ascii="Book Antiqua" w:hAnsi="Book Antiqua" w:cstheme="minorHAnsi"/>
        </w:rPr>
        <w:fldChar w:fldCharType="separate"/>
      </w:r>
      <w:r w:rsidR="00AD71EE" w:rsidRPr="00000DD3">
        <w:rPr>
          <w:rFonts w:ascii="Book Antiqua" w:hAnsi="Book Antiqua" w:cstheme="minorHAnsi"/>
          <w:noProof/>
          <w:vertAlign w:val="superscript"/>
        </w:rPr>
        <w:t>[14,15]</w:t>
      </w:r>
      <w:r w:rsidR="00AD71EE" w:rsidRPr="00000DD3">
        <w:rPr>
          <w:rFonts w:ascii="Book Antiqua" w:hAnsi="Book Antiqua" w:cstheme="minorHAnsi"/>
        </w:rPr>
        <w:fldChar w:fldCharType="end"/>
      </w:r>
      <w:r w:rsidR="00F57BF0" w:rsidRPr="00000DD3">
        <w:rPr>
          <w:rFonts w:ascii="Book Antiqua" w:hAnsi="Book Antiqua" w:cstheme="minorHAnsi"/>
        </w:rPr>
        <w:t>.</w:t>
      </w:r>
    </w:p>
    <w:p w14:paraId="4302C943" w14:textId="4124BA33" w:rsidR="00250D42" w:rsidRPr="00000DD3" w:rsidRDefault="005347B8" w:rsidP="006C30EF">
      <w:pPr>
        <w:pStyle w:val="aa"/>
        <w:spacing w:line="360" w:lineRule="auto"/>
        <w:ind w:leftChars="0" w:left="0" w:firstLineChars="100" w:firstLine="240"/>
        <w:jc w:val="both"/>
        <w:rPr>
          <w:rFonts w:ascii="Book Antiqua" w:eastAsia="黑体" w:hAnsi="Book Antiqua" w:cstheme="minorHAnsi"/>
          <w:lang w:eastAsia="zh-CN"/>
        </w:rPr>
      </w:pPr>
      <w:r w:rsidRPr="00000DD3">
        <w:rPr>
          <w:rFonts w:ascii="Book Antiqua" w:hAnsi="Book Antiqua" w:cstheme="minorHAnsi"/>
        </w:rPr>
        <w:t xml:space="preserve">One </w:t>
      </w:r>
      <w:r w:rsidR="0088463C" w:rsidRPr="00000DD3">
        <w:rPr>
          <w:rFonts w:ascii="Book Antiqua" w:hAnsi="Book Antiqua" w:cstheme="minorHAnsi"/>
        </w:rPr>
        <w:t xml:space="preserve">attractive alternative source </w:t>
      </w:r>
      <w:r w:rsidR="00E5593E" w:rsidRPr="00000DD3">
        <w:rPr>
          <w:rFonts w:ascii="Book Antiqua" w:hAnsi="Book Antiqua" w:cstheme="minorHAnsi"/>
        </w:rPr>
        <w:t xml:space="preserve">of cells </w:t>
      </w:r>
      <w:r w:rsidR="0088463C" w:rsidRPr="00000DD3">
        <w:rPr>
          <w:rFonts w:ascii="Book Antiqua" w:hAnsi="Book Antiqua" w:cstheme="minorHAnsi"/>
        </w:rPr>
        <w:t>for cartilage regeneration</w:t>
      </w:r>
      <w:r w:rsidR="0041599F" w:rsidRPr="00000DD3">
        <w:rPr>
          <w:rFonts w:ascii="Book Antiqua" w:hAnsi="Book Antiqua" w:cstheme="minorHAnsi"/>
        </w:rPr>
        <w:t xml:space="preserve"> </w:t>
      </w:r>
      <w:r w:rsidRPr="00000DD3">
        <w:rPr>
          <w:rFonts w:ascii="Book Antiqua" w:hAnsi="Book Antiqua" w:cstheme="minorHAnsi"/>
        </w:rPr>
        <w:t xml:space="preserve">is mesenchymal stem cells (MSCs), which </w:t>
      </w:r>
      <w:r w:rsidR="0041599F" w:rsidRPr="00000DD3">
        <w:rPr>
          <w:rFonts w:ascii="Book Antiqua" w:hAnsi="Book Antiqua" w:cstheme="minorHAnsi"/>
        </w:rPr>
        <w:t xml:space="preserve">are </w:t>
      </w:r>
      <w:r w:rsidRPr="00000DD3">
        <w:rPr>
          <w:rFonts w:ascii="Book Antiqua" w:hAnsi="Book Antiqua" w:cstheme="minorHAnsi"/>
        </w:rPr>
        <w:t xml:space="preserve">readily </w:t>
      </w:r>
      <w:r w:rsidR="0041599F" w:rsidRPr="00000DD3">
        <w:rPr>
          <w:rFonts w:ascii="Book Antiqua" w:hAnsi="Book Antiqua" w:cstheme="minorHAnsi"/>
        </w:rPr>
        <w:t xml:space="preserve">available, possess great proliferation ability, </w:t>
      </w:r>
      <w:r w:rsidR="00DA027E" w:rsidRPr="00000DD3">
        <w:rPr>
          <w:rFonts w:ascii="Book Antiqua" w:hAnsi="Book Antiqua" w:cstheme="minorHAnsi"/>
        </w:rPr>
        <w:t>and can differentiate into many different cell types in the body</w:t>
      </w:r>
      <w:r w:rsidR="000E251A" w:rsidRPr="00000DD3">
        <w:rPr>
          <w:rFonts w:ascii="Book Antiqua" w:hAnsi="Book Antiqua" w:cstheme="minorHAnsi"/>
        </w:rPr>
        <w:fldChar w:fldCharType="begin" w:fldLock="1"/>
      </w:r>
      <w:r w:rsidR="005C5CD4" w:rsidRPr="00000DD3">
        <w:rPr>
          <w:rFonts w:ascii="Book Antiqua" w:hAnsi="Book Antiqua" w:cstheme="minorHAnsi"/>
        </w:rPr>
        <w:instrText>ADDIN CSL_CITATION {"citationItems":[{"id":"ITEM-1","itemData":{"DOI":"10.1186/s12891-016-1085-9","PMID":"27229856","author":[{"dropping-particle":"","family":"Freitag","given":"Julien","non-dropping-particle":"","parse-names":false,"suffix":""},{"dropping-particle":"","family":"Bates","given":"Dan","non-dropping-particle":"","parse-names":false,"suffix":""},{"dropping-particle":"","family":"Boyd","given":"Richard","non-dropping-particle":"","parse-names":false,"suffix":""},{"dropping-particle":"","family":"Shah","given":"Kiran","non-dropping-particle":"","parse-names":false,"suffix":""},{"dropping-particle":"","family":"Barnard","given":"Adele","non-dropping-particle":"","parse-names":false,"suffix":""},{"dropping-particle":"","family":"Huguenin","given":"Leesa","non-dropping-particle":"","parse-names":false,"suffix":""},{"dropping-particle":"","family":"Tenen","given":"Abi","non-dropping-particle":"","parse-names":false,"suffix":""}],"container-title":"BMC Musculoskeletal Disorders","id":"ITEM-1","issue":"230","issued":{"date-parts":[["2016"]]},"title":"Mesenchymal stem cell therapy in the treatment of osteoarthritis: reparative pathways, safety and efficacy – a review","type":"article-journal","volume":"17"},"uris":["http://www.mendeley.com/documents/?uuid=dc587f10-65b3-317d-b785-f42a2afc67a0"]},{"id":"ITEM-2","itemData":{"DOI":"10.1517/14712598.2016.1145651","ISBN":"1744-7682","ISSN":"1471-2598","PMID":"26798997","abstract":"INTRODUCTION: With an ageing population, the prevalence of osteoarthritis (OA) has increased. Mesenchymal Stem Cells (MSCs) have been proposed to be an attractive alternative candidate in the tissue engineering of articular cartilage primarily due to its abundant source, reduced cartilage donor site morbidity, and strong capacity for proliferation and potential to differentiate toward a chondrogenic phenotype.\\n\\nAREAS COVERED: A current overview of human, in vivo, and in vitro evidence on the use of MSCs in cartilage tissue engineering.\\n\\nEXPERT OPINION: We demonstrate robust evidence that MSCs have the potential to regenerate articular cartilage. We also identify the complexity of designing a suitable preclinical model and the challenges in considering its clinical application such as type of MSC, scaffold, culture construct and the method by which growth factors are delivered. Of great interest is further characterization of the factors that may prevent MSC-derived chondrocytes to undergo premature hypertrophy and to understand what enables the terminal developmental pathway for permanent hyaline cartilage regeneration. Despite this, there is an abundance of evidence suggesting that MSCs are a desirable cell source and will have significant impact in tissue engineering of cartilage in the future.","author":[{"dropping-particle":"","family":"Reissis","given":"Dimitris","non-dropping-particle":"","parse-names":false,"suffix":""},{"dropping-particle":"","family":"Tang","given":"Quen Oak","non-dropping-particle":"","parse-names":false,"suffix":""},{"dropping-particle":"","family":"Cooper","given":"Nina Catherine","non-dropping-particle":"","parse-names":false,"suffix":""},{"dropping-particle":"","family":"Carasco","given":"Clare Francesca","non-dropping-particle":"","parse-names":false,"suffix":""},{"dropping-particle":"","family":"Gamie","given":"Zakareya","non-dropping-particle":"","parse-names":false,"suffix":""},{"dropping-particle":"","family":"Mantalaris","given":"Athanasios","non-dropping-particle":"","parse-names":false,"suffix":""},{"dropping-particle":"","family":"Tsiridis","given":"Eleftherios","non-dropping-particle":"","parse-names":false,"suffix":""}],"container-title":"Expert Opinion on Biological Therapy","id":"ITEM-2","issue":"4","issued":{"date-parts":[["2016"]]},"page":"535-557","title":"Current clinical evidence for the use of mesenchymal stem cells in articular cartilage repair","type":"article-journal","volume":"16"},"uris":["http://www.mendeley.com/documents/?uuid=54f90c3e-e08d-311f-8d6b-cdc1f8d2e638"]}],"mendeley":{"formattedCitation":"&lt;sup&gt;[16,17]&lt;/sup&gt;","plainTextFormattedCitation":"[16,17]","previouslyFormattedCitation":"&lt;sup&gt;[16,17]&lt;/sup&gt;"},"properties":{"noteIndex":0},"schema":"https://github.com/citation-style-language/schema/raw/master/csl-citation.json"}</w:instrText>
      </w:r>
      <w:r w:rsidR="000E251A" w:rsidRPr="00000DD3">
        <w:rPr>
          <w:rFonts w:ascii="Book Antiqua" w:hAnsi="Book Antiqua" w:cstheme="minorHAnsi"/>
        </w:rPr>
        <w:fldChar w:fldCharType="separate"/>
      </w:r>
      <w:r w:rsidR="000E251A" w:rsidRPr="00000DD3">
        <w:rPr>
          <w:rFonts w:ascii="Book Antiqua" w:hAnsi="Book Antiqua" w:cstheme="minorHAnsi"/>
          <w:noProof/>
          <w:vertAlign w:val="superscript"/>
        </w:rPr>
        <w:t>[16,17]</w:t>
      </w:r>
      <w:r w:rsidR="000E251A" w:rsidRPr="00000DD3">
        <w:rPr>
          <w:rFonts w:ascii="Book Antiqua" w:hAnsi="Book Antiqua" w:cstheme="minorHAnsi"/>
        </w:rPr>
        <w:fldChar w:fldCharType="end"/>
      </w:r>
      <w:r w:rsidR="00F57BF0" w:rsidRPr="00000DD3">
        <w:rPr>
          <w:rFonts w:ascii="Book Antiqua" w:hAnsi="Book Antiqua" w:cstheme="minorHAnsi"/>
        </w:rPr>
        <w:t>.</w:t>
      </w:r>
      <w:r w:rsidR="0099635B" w:rsidRPr="00000DD3">
        <w:rPr>
          <w:rFonts w:ascii="Book Antiqua" w:hAnsi="Book Antiqua" w:cstheme="minorHAnsi"/>
        </w:rPr>
        <w:t xml:space="preserve"> MSCs </w:t>
      </w:r>
      <w:r w:rsidRPr="00000DD3">
        <w:rPr>
          <w:rFonts w:ascii="Book Antiqua" w:hAnsi="Book Antiqua" w:cstheme="minorHAnsi"/>
        </w:rPr>
        <w:t xml:space="preserve">have </w:t>
      </w:r>
      <w:r w:rsidR="0099635B" w:rsidRPr="00000DD3">
        <w:rPr>
          <w:rFonts w:ascii="Book Antiqua" w:hAnsi="Book Antiqua" w:cstheme="minorHAnsi"/>
        </w:rPr>
        <w:t xml:space="preserve">been used in </w:t>
      </w:r>
      <w:r w:rsidRPr="00000DD3">
        <w:rPr>
          <w:rFonts w:ascii="Book Antiqua" w:hAnsi="Book Antiqua" w:cstheme="minorHAnsi"/>
        </w:rPr>
        <w:t xml:space="preserve">various applications in both </w:t>
      </w:r>
      <w:r w:rsidR="0099635B" w:rsidRPr="00000DD3">
        <w:rPr>
          <w:rFonts w:ascii="Book Antiqua" w:hAnsi="Book Antiqua" w:cstheme="minorHAnsi"/>
        </w:rPr>
        <w:t xml:space="preserve">human and veterinary </w:t>
      </w:r>
      <w:r w:rsidR="002C6407" w:rsidRPr="00000DD3">
        <w:rPr>
          <w:rFonts w:ascii="Book Antiqua" w:hAnsi="Book Antiqua" w:cstheme="minorHAnsi"/>
        </w:rPr>
        <w:t xml:space="preserve">medicine. </w:t>
      </w:r>
      <w:r w:rsidRPr="00000DD3">
        <w:rPr>
          <w:rFonts w:ascii="Book Antiqua" w:hAnsi="Book Antiqua" w:cstheme="minorHAnsi"/>
        </w:rPr>
        <w:t xml:space="preserve">For cartilage lesion studies, </w:t>
      </w:r>
      <w:r w:rsidR="002C6407" w:rsidRPr="00000DD3">
        <w:rPr>
          <w:rFonts w:ascii="Book Antiqua" w:hAnsi="Book Antiqua" w:cstheme="minorHAnsi"/>
        </w:rPr>
        <w:t xml:space="preserve">dogs are a </w:t>
      </w:r>
      <w:r w:rsidRPr="00000DD3">
        <w:rPr>
          <w:rFonts w:ascii="Book Antiqua" w:hAnsi="Book Antiqua" w:cstheme="minorHAnsi"/>
        </w:rPr>
        <w:t xml:space="preserve">particularly </w:t>
      </w:r>
      <w:r w:rsidR="002C6407" w:rsidRPr="00000DD3">
        <w:rPr>
          <w:rFonts w:ascii="Book Antiqua" w:hAnsi="Book Antiqua" w:cstheme="minorHAnsi"/>
        </w:rPr>
        <w:t xml:space="preserve">distinctive animal species </w:t>
      </w:r>
      <w:r w:rsidRPr="00000DD3">
        <w:rPr>
          <w:rFonts w:ascii="Book Antiqua" w:hAnsi="Book Antiqua" w:cstheme="minorHAnsi"/>
        </w:rPr>
        <w:t>as</w:t>
      </w:r>
      <w:r w:rsidR="002C6407" w:rsidRPr="00000DD3">
        <w:rPr>
          <w:rFonts w:ascii="Book Antiqua" w:hAnsi="Book Antiqua" w:cstheme="minorHAnsi"/>
        </w:rPr>
        <w:t xml:space="preserve"> they can </w:t>
      </w:r>
      <w:r w:rsidRPr="00000DD3">
        <w:rPr>
          <w:rFonts w:ascii="Book Antiqua" w:hAnsi="Book Antiqua" w:cstheme="minorHAnsi"/>
        </w:rPr>
        <w:t xml:space="preserve">serve as </w:t>
      </w:r>
      <w:r w:rsidR="009827F9" w:rsidRPr="00000DD3">
        <w:rPr>
          <w:rFonts w:ascii="Book Antiqua" w:hAnsi="Book Antiqua" w:cstheme="minorHAnsi"/>
        </w:rPr>
        <w:t>an experimental animal model, a clinical model for human medicine</w:t>
      </w:r>
      <w:r w:rsidRPr="00000DD3">
        <w:rPr>
          <w:rFonts w:ascii="Book Antiqua" w:hAnsi="Book Antiqua" w:cstheme="minorHAnsi"/>
        </w:rPr>
        <w:t>,</w:t>
      </w:r>
      <w:r w:rsidR="009827F9" w:rsidRPr="00000DD3">
        <w:rPr>
          <w:rFonts w:ascii="Book Antiqua" w:hAnsi="Book Antiqua" w:cstheme="minorHAnsi"/>
        </w:rPr>
        <w:t xml:space="preserve"> and </w:t>
      </w:r>
      <w:r w:rsidR="002C6407" w:rsidRPr="00000DD3">
        <w:rPr>
          <w:rFonts w:ascii="Book Antiqua" w:hAnsi="Book Antiqua" w:cstheme="minorHAnsi"/>
        </w:rPr>
        <w:t xml:space="preserve">a </w:t>
      </w:r>
      <w:r w:rsidR="00724EB8" w:rsidRPr="00000DD3">
        <w:rPr>
          <w:rFonts w:ascii="Book Antiqua" w:hAnsi="Book Antiqua" w:cstheme="minorHAnsi"/>
        </w:rPr>
        <w:t xml:space="preserve">treatment </w:t>
      </w:r>
      <w:r w:rsidR="002C6407" w:rsidRPr="00000DD3">
        <w:rPr>
          <w:rFonts w:ascii="Book Antiqua" w:hAnsi="Book Antiqua" w:cstheme="minorHAnsi"/>
        </w:rPr>
        <w:t>subject.</w:t>
      </w:r>
      <w:r w:rsidR="000F741C" w:rsidRPr="00000DD3">
        <w:rPr>
          <w:rFonts w:ascii="Book Antiqua" w:hAnsi="Book Antiqua" w:cstheme="minorHAnsi"/>
        </w:rPr>
        <w:t xml:space="preserve"> </w:t>
      </w:r>
      <w:r w:rsidR="00724EB8" w:rsidRPr="00000DD3">
        <w:rPr>
          <w:rFonts w:ascii="Book Antiqua" w:hAnsi="Book Antiqua" w:cstheme="minorHAnsi"/>
        </w:rPr>
        <w:t>This</w:t>
      </w:r>
      <w:r w:rsidR="000F741C" w:rsidRPr="00000DD3">
        <w:rPr>
          <w:rFonts w:ascii="Book Antiqua" w:hAnsi="Book Antiqua" w:cstheme="minorHAnsi"/>
        </w:rPr>
        <w:t xml:space="preserve"> review</w:t>
      </w:r>
      <w:r w:rsidR="00724EB8" w:rsidRPr="00000DD3">
        <w:rPr>
          <w:rFonts w:ascii="Book Antiqua" w:hAnsi="Book Antiqua" w:cstheme="minorHAnsi"/>
        </w:rPr>
        <w:t xml:space="preserve"> summarizes the</w:t>
      </w:r>
      <w:r w:rsidR="000F741C" w:rsidRPr="00000DD3">
        <w:rPr>
          <w:rFonts w:ascii="Book Antiqua" w:hAnsi="Book Antiqua" w:cstheme="minorHAnsi"/>
        </w:rPr>
        <w:t xml:space="preserve"> </w:t>
      </w:r>
      <w:r w:rsidR="0099635B" w:rsidRPr="00000DD3">
        <w:rPr>
          <w:rFonts w:ascii="Book Antiqua" w:hAnsi="Book Antiqua" w:cstheme="minorHAnsi"/>
          <w:i/>
        </w:rPr>
        <w:t>in vitro</w:t>
      </w:r>
      <w:r w:rsidR="000F741C" w:rsidRPr="00000DD3">
        <w:rPr>
          <w:rFonts w:ascii="Book Antiqua" w:hAnsi="Book Antiqua" w:cstheme="minorHAnsi"/>
        </w:rPr>
        <w:t xml:space="preserve"> </w:t>
      </w:r>
      <w:r w:rsidR="0099635B" w:rsidRPr="00000DD3">
        <w:rPr>
          <w:rFonts w:ascii="Book Antiqua" w:hAnsi="Book Antiqua" w:cstheme="minorHAnsi"/>
        </w:rPr>
        <w:t xml:space="preserve">data, preclinical </w:t>
      </w:r>
      <w:r w:rsidR="000F741C" w:rsidRPr="00000DD3">
        <w:rPr>
          <w:rFonts w:ascii="Book Antiqua" w:hAnsi="Book Antiqua" w:cstheme="minorHAnsi"/>
          <w:i/>
        </w:rPr>
        <w:t>in vivo</w:t>
      </w:r>
      <w:r w:rsidR="000F741C" w:rsidRPr="00000DD3">
        <w:rPr>
          <w:rFonts w:ascii="Book Antiqua" w:hAnsi="Book Antiqua" w:cstheme="minorHAnsi"/>
        </w:rPr>
        <w:t xml:space="preserve"> studies</w:t>
      </w:r>
      <w:r w:rsidR="00724EB8" w:rsidRPr="00000DD3">
        <w:rPr>
          <w:rFonts w:ascii="Book Antiqua" w:hAnsi="Book Antiqua" w:cstheme="minorHAnsi"/>
        </w:rPr>
        <w:t>,</w:t>
      </w:r>
      <w:r w:rsidR="000F741C" w:rsidRPr="00000DD3">
        <w:rPr>
          <w:rFonts w:ascii="Book Antiqua" w:hAnsi="Book Antiqua" w:cstheme="minorHAnsi"/>
        </w:rPr>
        <w:t xml:space="preserve"> </w:t>
      </w:r>
      <w:r w:rsidR="0099635B" w:rsidRPr="00000DD3">
        <w:rPr>
          <w:rFonts w:ascii="Book Antiqua" w:hAnsi="Book Antiqua" w:cstheme="minorHAnsi"/>
        </w:rPr>
        <w:t xml:space="preserve">and clinical studies </w:t>
      </w:r>
      <w:r w:rsidR="00724EB8" w:rsidRPr="00000DD3">
        <w:rPr>
          <w:rFonts w:ascii="Book Antiqua" w:hAnsi="Book Antiqua" w:cstheme="minorHAnsi"/>
        </w:rPr>
        <w:t xml:space="preserve">involving the use of </w:t>
      </w:r>
      <w:r w:rsidR="0099635B" w:rsidRPr="00000DD3">
        <w:rPr>
          <w:rFonts w:ascii="Book Antiqua" w:hAnsi="Book Antiqua" w:cstheme="minorHAnsi"/>
        </w:rPr>
        <w:t>MSCs for cartilage regeneration</w:t>
      </w:r>
      <w:r w:rsidR="000F741C" w:rsidRPr="00000DD3">
        <w:rPr>
          <w:rFonts w:ascii="Book Antiqua" w:hAnsi="Book Antiqua" w:cstheme="minorHAnsi"/>
        </w:rPr>
        <w:t xml:space="preserve"> in dogs</w:t>
      </w:r>
      <w:r w:rsidR="00107BB3" w:rsidRPr="00000DD3">
        <w:rPr>
          <w:rFonts w:ascii="Book Antiqua" w:hAnsi="Book Antiqua" w:cstheme="minorHAnsi"/>
        </w:rPr>
        <w:t xml:space="preserve"> (Figure 1)</w:t>
      </w:r>
      <w:r w:rsidR="006C30EF" w:rsidRPr="00000DD3">
        <w:rPr>
          <w:rFonts w:ascii="Book Antiqua" w:eastAsia="黑体" w:hAnsi="Book Antiqua" w:cstheme="minorHAnsi" w:hint="eastAsia"/>
          <w:lang w:eastAsia="zh-CN"/>
        </w:rPr>
        <w:t>.</w:t>
      </w:r>
    </w:p>
    <w:p w14:paraId="5CEFEB33" w14:textId="77777777" w:rsidR="006D1CD3" w:rsidRPr="00000DD3" w:rsidRDefault="006D1CD3" w:rsidP="00874B98">
      <w:pPr>
        <w:spacing w:line="360" w:lineRule="auto"/>
        <w:jc w:val="both"/>
        <w:rPr>
          <w:rFonts w:ascii="Book Antiqua" w:hAnsi="Book Antiqua" w:cstheme="minorHAnsi"/>
        </w:rPr>
      </w:pPr>
    </w:p>
    <w:p w14:paraId="7B1EF7E3" w14:textId="573DBEFB" w:rsidR="00CE6689" w:rsidRPr="00000DD3" w:rsidRDefault="006C30EF" w:rsidP="006C30EF">
      <w:pPr>
        <w:pStyle w:val="aa"/>
        <w:spacing w:line="360" w:lineRule="auto"/>
        <w:ind w:leftChars="0" w:left="0"/>
        <w:jc w:val="both"/>
        <w:rPr>
          <w:rFonts w:ascii="Book Antiqua" w:hAnsi="Book Antiqua" w:cstheme="minorHAnsi"/>
          <w:b/>
        </w:rPr>
      </w:pPr>
      <w:r w:rsidRPr="00000DD3">
        <w:rPr>
          <w:rFonts w:ascii="Book Antiqua" w:hAnsi="Book Antiqua" w:cstheme="minorHAnsi"/>
          <w:b/>
        </w:rPr>
        <w:t>IMPORTANCE OF STUDIES ON CARTILAGE REPAIR IN DOGS</w:t>
      </w:r>
    </w:p>
    <w:p w14:paraId="35FA150F" w14:textId="4838B516" w:rsidR="00E26F9B" w:rsidRPr="00000DD3" w:rsidRDefault="00724EB8" w:rsidP="00874B98">
      <w:pPr>
        <w:spacing w:line="360" w:lineRule="auto"/>
        <w:jc w:val="both"/>
        <w:rPr>
          <w:rFonts w:ascii="Book Antiqua" w:hAnsi="Book Antiqua" w:cstheme="minorHAnsi"/>
        </w:rPr>
      </w:pPr>
      <w:r w:rsidRPr="00000DD3">
        <w:rPr>
          <w:rFonts w:ascii="Book Antiqua" w:hAnsi="Book Antiqua" w:cstheme="minorHAnsi"/>
        </w:rPr>
        <w:t>D</w:t>
      </w:r>
      <w:r w:rsidR="005E75CC" w:rsidRPr="00000DD3">
        <w:rPr>
          <w:rFonts w:ascii="Book Antiqua" w:hAnsi="Book Antiqua" w:cstheme="minorHAnsi"/>
        </w:rPr>
        <w:t>ogs</w:t>
      </w:r>
      <w:r w:rsidR="00E45527" w:rsidRPr="00000DD3">
        <w:rPr>
          <w:rFonts w:ascii="Book Antiqua" w:hAnsi="Book Antiqua" w:cstheme="minorHAnsi"/>
        </w:rPr>
        <w:t xml:space="preserve"> </w:t>
      </w:r>
      <w:r w:rsidRPr="00000DD3">
        <w:rPr>
          <w:rFonts w:ascii="Book Antiqua" w:hAnsi="Book Antiqua" w:cstheme="minorHAnsi"/>
        </w:rPr>
        <w:t>can serve</w:t>
      </w:r>
      <w:r w:rsidR="00E45527" w:rsidRPr="00000DD3">
        <w:rPr>
          <w:rFonts w:ascii="Book Antiqua" w:hAnsi="Book Antiqua" w:cstheme="minorHAnsi"/>
        </w:rPr>
        <w:t xml:space="preserve"> as experimental or clinical models for</w:t>
      </w:r>
      <w:r w:rsidRPr="00000DD3">
        <w:rPr>
          <w:rFonts w:ascii="Book Antiqua" w:hAnsi="Book Antiqua" w:cstheme="minorHAnsi"/>
        </w:rPr>
        <w:t xml:space="preserve"> studies on cartilage repair in</w:t>
      </w:r>
      <w:r w:rsidR="00E45527" w:rsidRPr="00000DD3">
        <w:rPr>
          <w:rFonts w:ascii="Book Antiqua" w:hAnsi="Book Antiqua" w:cstheme="minorHAnsi"/>
        </w:rPr>
        <w:t xml:space="preserve"> human</w:t>
      </w:r>
      <w:r w:rsidRPr="00000DD3">
        <w:rPr>
          <w:rFonts w:ascii="Book Antiqua" w:hAnsi="Book Antiqua" w:cstheme="minorHAnsi"/>
        </w:rPr>
        <w:t>s</w:t>
      </w:r>
      <w:r w:rsidR="00E45527" w:rsidRPr="00000DD3">
        <w:rPr>
          <w:rFonts w:ascii="Book Antiqua" w:hAnsi="Book Antiqua" w:cstheme="minorHAnsi"/>
        </w:rPr>
        <w:t xml:space="preserve">. </w:t>
      </w:r>
      <w:r w:rsidR="00A10C53" w:rsidRPr="00000DD3">
        <w:rPr>
          <w:rFonts w:ascii="Book Antiqua" w:hAnsi="Book Antiqua" w:cstheme="minorHAnsi"/>
        </w:rPr>
        <w:t xml:space="preserve">Although </w:t>
      </w:r>
      <w:r w:rsidRPr="00000DD3">
        <w:rPr>
          <w:rFonts w:ascii="Book Antiqua" w:hAnsi="Book Antiqua" w:cstheme="minorHAnsi"/>
        </w:rPr>
        <w:t xml:space="preserve">the </w:t>
      </w:r>
      <w:r w:rsidR="0005658F" w:rsidRPr="00000DD3">
        <w:rPr>
          <w:rFonts w:ascii="Book Antiqua" w:hAnsi="Book Antiqua" w:cstheme="minorHAnsi"/>
        </w:rPr>
        <w:t>articular cartilage</w:t>
      </w:r>
      <w:r w:rsidR="00A10C53" w:rsidRPr="00000DD3">
        <w:rPr>
          <w:rFonts w:ascii="Book Antiqua" w:hAnsi="Book Antiqua" w:cstheme="minorHAnsi"/>
        </w:rPr>
        <w:t xml:space="preserve"> </w:t>
      </w:r>
      <w:r w:rsidRPr="00000DD3">
        <w:rPr>
          <w:rFonts w:ascii="Book Antiqua" w:hAnsi="Book Antiqua" w:cstheme="minorHAnsi"/>
        </w:rPr>
        <w:t>is</w:t>
      </w:r>
      <w:r w:rsidR="00A10C53" w:rsidRPr="00000DD3">
        <w:rPr>
          <w:rFonts w:ascii="Book Antiqua" w:hAnsi="Book Antiqua" w:cstheme="minorHAnsi"/>
        </w:rPr>
        <w:t xml:space="preserve"> thinner </w:t>
      </w:r>
      <w:r w:rsidRPr="00000DD3">
        <w:rPr>
          <w:rFonts w:ascii="Book Antiqua" w:hAnsi="Book Antiqua" w:cstheme="minorHAnsi"/>
        </w:rPr>
        <w:t>in dogs than</w:t>
      </w:r>
      <w:r w:rsidR="00CF4B33" w:rsidRPr="00000DD3">
        <w:rPr>
          <w:rFonts w:ascii="Book Antiqua" w:hAnsi="Book Antiqua" w:cstheme="minorHAnsi"/>
        </w:rPr>
        <w:t xml:space="preserve"> th</w:t>
      </w:r>
      <w:r w:rsidR="004C1D54" w:rsidRPr="00000DD3">
        <w:rPr>
          <w:rFonts w:ascii="Book Antiqua" w:hAnsi="Book Antiqua" w:cstheme="minorHAnsi"/>
        </w:rPr>
        <w:t>at</w:t>
      </w:r>
      <w:r w:rsidR="00A70D92" w:rsidRPr="00000DD3">
        <w:rPr>
          <w:rFonts w:ascii="Book Antiqua" w:hAnsi="Book Antiqua" w:cstheme="minorHAnsi"/>
        </w:rPr>
        <w:t xml:space="preserve"> in</w:t>
      </w:r>
      <w:r w:rsidR="00A10C53" w:rsidRPr="00000DD3">
        <w:rPr>
          <w:rFonts w:ascii="Book Antiqua" w:hAnsi="Book Antiqua" w:cstheme="minorHAnsi"/>
        </w:rPr>
        <w:t xml:space="preserve"> human</w:t>
      </w:r>
      <w:r w:rsidR="00A70D92" w:rsidRPr="00000DD3">
        <w:rPr>
          <w:rFonts w:ascii="Book Antiqua" w:hAnsi="Book Antiqua" w:cstheme="minorHAnsi"/>
        </w:rPr>
        <w:t>s</w:t>
      </w:r>
      <w:r w:rsidR="00A10C53" w:rsidRPr="00000DD3">
        <w:rPr>
          <w:rFonts w:ascii="Book Antiqua" w:hAnsi="Book Antiqua" w:cstheme="minorHAnsi"/>
        </w:rPr>
        <w:t xml:space="preserve"> </w:t>
      </w:r>
      <w:r w:rsidR="00AF1FE8" w:rsidRPr="00000DD3">
        <w:rPr>
          <w:rFonts w:ascii="Book Antiqua" w:hAnsi="Book Antiqua" w:cstheme="minorHAnsi"/>
        </w:rPr>
        <w:t xml:space="preserve">(range in humans: </w:t>
      </w:r>
      <w:r w:rsidR="00EC06ED" w:rsidRPr="00000DD3">
        <w:rPr>
          <w:rFonts w:ascii="Book Antiqua" w:hAnsi="Book Antiqua" w:cstheme="minorHAnsi"/>
        </w:rPr>
        <w:t>1.0</w:t>
      </w:r>
      <w:r w:rsidR="00A07EBC" w:rsidRPr="00000DD3">
        <w:rPr>
          <w:rFonts w:ascii="Book Antiqua" w:eastAsia="黑体" w:hAnsi="Book Antiqua" w:cstheme="minorHAnsi" w:hint="eastAsia"/>
          <w:lang w:eastAsia="zh-CN"/>
        </w:rPr>
        <w:t>-</w:t>
      </w:r>
      <w:r w:rsidR="00EC06ED" w:rsidRPr="00000DD3">
        <w:rPr>
          <w:rFonts w:ascii="Book Antiqua" w:hAnsi="Book Antiqua" w:cstheme="minorHAnsi"/>
        </w:rPr>
        <w:t>2.6</w:t>
      </w:r>
      <w:r w:rsidR="00A10C53" w:rsidRPr="00000DD3">
        <w:rPr>
          <w:rFonts w:ascii="Book Antiqua" w:hAnsi="Book Antiqua" w:cstheme="minorHAnsi"/>
        </w:rPr>
        <w:t xml:space="preserve"> mm</w:t>
      </w:r>
      <w:r w:rsidR="00AF1FE8" w:rsidRPr="00000DD3">
        <w:rPr>
          <w:rFonts w:ascii="Book Antiqua" w:hAnsi="Book Antiqua" w:cstheme="minorHAnsi"/>
        </w:rPr>
        <w:t>)</w:t>
      </w:r>
      <w:r w:rsidR="005974D5" w:rsidRPr="00000DD3">
        <w:rPr>
          <w:rFonts w:ascii="Book Antiqua" w:hAnsi="Book Antiqua" w:cstheme="minorHAnsi"/>
        </w:rPr>
        <w:fldChar w:fldCharType="begin" w:fldLock="1"/>
      </w:r>
      <w:r w:rsidR="005C5CD4" w:rsidRPr="00000DD3">
        <w:rPr>
          <w:rFonts w:ascii="Book Antiqua" w:hAnsi="Book Antiqua" w:cstheme="minorHAnsi"/>
        </w:rPr>
        <w:instrText>ADDIN CSL_CITATION {"citationItems":[{"id":"ITEM-1","itemData":{"DOI":"10.1136/ard.58.1.27","ISBN":"0003-4967 (Print)\\n0003-4967 (Linking)","ISSN":"00034967","PMID":"10343537","abstract":"OBJECTIVES: (a) To determine the topographical variations in cartilage thickness over the entire surfaces of cadaveric lower limb joints, and (b) to examine the correlations between: cartilage thickness and its site specific modulus; cartilage thickness and donor age, weight, height, and body mass index.\\n\\nMETHODS: The cartilage thickness of 11 sets of cadaveric human joints each comprising an ankle, knee, and hip was measured using a needle probe technique. Statistical analysis was used to compare the cartilage thickness of the different lower limb joints and the differences in cartilage thickness over the surface of individual joints. It was further examined whether cartilage had a correlation with its stiffness, and any of the details of the specimen donors such as age, weight, height, and body mass index.\\n\\nRESULTS: The mean cartilage thickness of the knee was significantly greater than that of the ankle and hip (p &lt; 0.001) in all 11 sets of joints, while the cartilage thickness of the hip was significantly greater than that of the ankle in 10 sets of joints (p &lt; 0.001). The mass of specimen donors was found to correlate with the mean cartilage thickness of all three lower limb joints. A correlation was also found between the height of donors and the mean cartilage thickness of the knee and hip joints, while only in the ankle joint was a correlation found between the mean cartilage thickness and the body mass index of the specimen donors. A further correlation was found between cartilage thickness and its modulus; the thinner the cartilage, the higher the modulus.\\n\\nCONCLUSIONS: The thickness of articular cartilage seems to be related to the congruance of a joint; thin cartilage is found in congruent joints such as the ankle, whereas thick cartilage is found in incongruent joints such as the knee. The correlations in this study imply that the larger and heavier was a donor the thicker was the cartilage in the lower limb joints. The data further suggest the presence of an inverse relation between the mean cartilage thickness and mean compressive modulus in each of the joints examined.","author":[{"dropping-particle":"","family":"Shepherd","given":"D. E.T.","non-dropping-particle":"","parse-names":false,"suffix":""},{"dropping-particle":"","family":"Seedhom","given":"B. B.","non-dropping-particle":"","parse-names":false,"suffix":""}],"container-title":"Annals of the Rheumatic Diseases","id":"ITEM-1","issue":"1","issued":{"date-parts":[["1999"]]},"page":"27-34","title":"Thickness of human articular cartilage in joints of the lower limb","type":"article-journal","volume":"58"},"uris":["http://www.mendeley.com/documents/?uuid=fb25144f-de52-3674-b6c3-9ab23c344750"]},{"id":"ITEM-2","itemData":{"DOI":"10.1007/s004290000154","ISSN":"03402061","PMID":"11303902","abstract":"Analyses of form-function relationships and disease processes in human articular cartilage necessitate in vivo assessment of cartilage morphology and deformational behavior. MR imaging and advanced digital post-processing techniques have opened novel possibilities for quantitative analysis of cartilage morphology, structure, and function in health and disease. This article reviews work on three-dimensional post-processing of MR image data of articular cartilage, summarizing studies on the accuracy and precision of quantitative analyses in human joints. It presents normative values on cartilage volume, thickness, and joint surface areas in the human knee, and describes the correlation between different joints and joint surfaces as well as their association with gender, body dimensions, and age. The article summarizes ongoing work on functional adaptation of articular cartilage to mechanical loading, analyses of in situ cartilage deformation in intact joints in vivo and in vitro, and the quantitative evaluation of cartilage tissue loss in osteoarthritis. We describe evolving techniques for assessment of the structural/biochemical composition of articular cartilage, and discuss future perspectives of quantitative cartilage imaging in the context of joint mechanics, mechano-adaptation, epidemiology, and osteoarthritis research. Specifically, we show that fat-suppressed gradient echo sequences permit valid analysis of cartilage morphology, both in healthy and severely osteoarthritic joints, as well as highly reproducible measurements (CV%=1 to 3% in the knee, and 2 to 10% in the ankle). Relatively small differences in cartilage morphology exist between both limbs of the same person (approximately 5%), but large differences between individuals (CV% approximately 20%). Men display only slightly thicker cartilage then women (approximately 10%), but significantly larger joint surface areas (approximately 25%), even when accounting for differences in body weight and height. Weight and height represent relatively poor predictors of cartilage thickness (r2 &lt;15%), but muscle cross section areas display more promising correlations (r2 &gt;40%). The level of physical exercise (sportive activity) does not account for interindividual differences in cartilage thickness. The thickness appears to decrease slightly in the elderly--in particular in women, even in the absence of osteoarthritic cartilage lesions. Strenuous physical exercises (e.g., knee bends) cause a 6% patellar…","author":[{"dropping-particle":"","family":"Eckstein","given":"F.","non-dropping-particle":"","parse-names":false,"suffix":""},{"dropping-particle":"","family":"Reiser","given":"Maximilian","non-dropping-particle":"","parse-names":false,"suffix":""},{"dropping-particle":"","family":"Englmeier","given":"Karl Hans","non-dropping-particle":"","parse-names":false,"suffix":""},{"dropping-particle":"","family":"Putz","given":"Reinhard","non-dropping-particle":"","parse-names":false,"suffix":""}],"container-title":"Anatomy and Embryology","id":"ITEM-2","issued":{"date-parts":[["2001"]]},"page":"147-173","title":"In vivo morphometry and functional analysis of human articular cartilage with quantitative magnetic resonance imaging - From image to data, from data to theory","type":"article-journal","volume":"203"},"uris":["http://www.mendeley.com/documents/?uuid=6679557d-7691-3de3-b740-bb30ec7780fb"]},{"id":"ITEM-3","itemData":{"DOI":"0.1186/s40634-015-0037-x","PMID":"26915001","abstract":"Age-related neurodegenerative diseases are largely limited to humans and rarely occur spontaneously in animals. Genetically engineered mouse models recapitulate aspects of the corresponding human diseases and are instrumental in studying disease mechanisms and testing therapeutic strategies. If considered within the range of their validity, mouse models have been predictive of clinical outcome. Translational failure is less the result of the incomplete nature of the models than of inadequate preclinical studies and misinterpretation of the models. This commentary summarizes current models and highlights key questions we should be asking about animal models, as well as questions that cannot be answered with the current models.","author":[{"dropping-particle":"","family":"Moran","given":"Conor J.","non-dropping-particle":"","parse-names":false,"suffix":""},{"dropping-particle":"","family":"Ramesh","given":"Ashwanth","non-dropping-particle":"","parse-names":false,"suffix":""},{"dropping-particle":"","family":"Brama","given":"Pieter A. J.","non-dropping-particle":"","parse-names":false,"suffix":""},{"dropping-particle":"","family":"O’Byrne","given":"John M.","non-dropping-particle":"","parse-names":false,"suffix":""},{"dropping-particle":"","family":"O’Brien","given":"Fergal J.","non-dropping-particle":"","parse-names":false,"suffix":""},{"dropping-particle":"","family":"Levingstone","given":"Tanya J.","non-dropping-particle":"","parse-names":false,"suffix":""}],"container-title":"Journal of Experimental Orthopaedics","id":"ITEM-3","issue":"1","issued":{"date-parts":[["2016"]]},"page":"1","title":"The benefits and limitations of animal models for translational research in cartilage repair","type":"article-journal","volume":"3"},"uris":["http://www.mendeley.com/documents/?uuid=822cef04-d009-3409-befe-eb0a99252348"]}],"mendeley":{"formattedCitation":"&lt;sup&gt;[18–20]&lt;/sup&gt;","plainTextFormattedCitation":"[18–20]","previouslyFormattedCitation":"&lt;sup&gt;[18–20]&lt;/sup&gt;"},"properties":{"noteIndex":0},"schema":"https://github.com/citation-style-language/schema/raw/master/csl-citation.json"}</w:instrText>
      </w:r>
      <w:r w:rsidR="005974D5" w:rsidRPr="00000DD3">
        <w:rPr>
          <w:rFonts w:ascii="Book Antiqua" w:hAnsi="Book Antiqua" w:cstheme="minorHAnsi"/>
        </w:rPr>
        <w:fldChar w:fldCharType="separate"/>
      </w:r>
      <w:r w:rsidR="005974D5" w:rsidRPr="00000DD3">
        <w:rPr>
          <w:rFonts w:ascii="Book Antiqua" w:hAnsi="Book Antiqua" w:cstheme="minorHAnsi"/>
          <w:noProof/>
          <w:vertAlign w:val="superscript"/>
        </w:rPr>
        <w:t>[18–20]</w:t>
      </w:r>
      <w:r w:rsidR="005974D5" w:rsidRPr="00000DD3">
        <w:rPr>
          <w:rFonts w:ascii="Book Antiqua" w:hAnsi="Book Antiqua" w:cstheme="minorHAnsi"/>
        </w:rPr>
        <w:fldChar w:fldCharType="end"/>
      </w:r>
      <w:r w:rsidR="00A10C53" w:rsidRPr="00000DD3">
        <w:rPr>
          <w:rFonts w:ascii="Book Antiqua" w:hAnsi="Book Antiqua" w:cstheme="minorHAnsi"/>
        </w:rPr>
        <w:t>,</w:t>
      </w:r>
      <w:r w:rsidR="00300109" w:rsidRPr="00000DD3">
        <w:rPr>
          <w:rFonts w:ascii="Book Antiqua" w:hAnsi="Book Antiqua" w:cstheme="minorHAnsi"/>
        </w:rPr>
        <w:t xml:space="preserve"> </w:t>
      </w:r>
      <w:r w:rsidR="00CF4B33" w:rsidRPr="00000DD3">
        <w:rPr>
          <w:rFonts w:ascii="Book Antiqua" w:hAnsi="Book Antiqua" w:cstheme="minorHAnsi"/>
        </w:rPr>
        <w:t>this thickness is greater in</w:t>
      </w:r>
      <w:r w:rsidR="004E65C9" w:rsidRPr="00000DD3">
        <w:rPr>
          <w:rFonts w:ascii="Book Antiqua" w:hAnsi="Book Antiqua" w:cstheme="minorHAnsi"/>
        </w:rPr>
        <w:t xml:space="preserve"> medium to large breed dogs </w:t>
      </w:r>
      <w:r w:rsidR="00300109" w:rsidRPr="00000DD3">
        <w:rPr>
          <w:rFonts w:ascii="Book Antiqua" w:hAnsi="Book Antiqua" w:cstheme="minorHAnsi"/>
        </w:rPr>
        <w:t xml:space="preserve">(range: </w:t>
      </w:r>
      <w:r w:rsidR="005974D5" w:rsidRPr="00000DD3">
        <w:rPr>
          <w:rFonts w:ascii="Book Antiqua" w:hAnsi="Book Antiqua" w:cstheme="minorHAnsi"/>
        </w:rPr>
        <w:t>0.95-1.3</w:t>
      </w:r>
      <w:r w:rsidR="00300109" w:rsidRPr="00000DD3">
        <w:rPr>
          <w:rFonts w:ascii="Book Antiqua" w:hAnsi="Book Antiqua" w:cstheme="minorHAnsi"/>
        </w:rPr>
        <w:t xml:space="preserve"> mm) than </w:t>
      </w:r>
      <w:r w:rsidR="00CF4B33" w:rsidRPr="00000DD3">
        <w:rPr>
          <w:rFonts w:ascii="Book Antiqua" w:hAnsi="Book Antiqua" w:cstheme="minorHAnsi"/>
        </w:rPr>
        <w:t>in</w:t>
      </w:r>
      <w:r w:rsidR="003F54CC" w:rsidRPr="00000DD3">
        <w:rPr>
          <w:rFonts w:ascii="Book Antiqua" w:hAnsi="Book Antiqua" w:cstheme="minorHAnsi"/>
        </w:rPr>
        <w:t xml:space="preserve"> rodent and rabbit models</w:t>
      </w:r>
      <w:r w:rsidR="00CF4B33" w:rsidRPr="00000DD3">
        <w:rPr>
          <w:rFonts w:ascii="Book Antiqua" w:hAnsi="Book Antiqua" w:cstheme="minorHAnsi"/>
        </w:rPr>
        <w:t xml:space="preserve">. This </w:t>
      </w:r>
      <w:r w:rsidR="00AF1FE8" w:rsidRPr="00000DD3">
        <w:rPr>
          <w:rFonts w:ascii="Book Antiqua" w:hAnsi="Book Antiqua" w:cstheme="minorHAnsi"/>
        </w:rPr>
        <w:t xml:space="preserve">greater thickness </w:t>
      </w:r>
      <w:r w:rsidR="00CF4B33" w:rsidRPr="00000DD3">
        <w:rPr>
          <w:rFonts w:ascii="Book Antiqua" w:hAnsi="Book Antiqua" w:cstheme="minorHAnsi"/>
        </w:rPr>
        <w:t xml:space="preserve">allows the experimental creation of </w:t>
      </w:r>
      <w:r w:rsidR="00A63389" w:rsidRPr="00000DD3">
        <w:rPr>
          <w:rFonts w:ascii="Book Antiqua" w:hAnsi="Book Antiqua" w:cstheme="minorHAnsi"/>
        </w:rPr>
        <w:t xml:space="preserve">articular cartilage defects without </w:t>
      </w:r>
      <w:r w:rsidR="00CF4B33" w:rsidRPr="00000DD3">
        <w:rPr>
          <w:rFonts w:ascii="Book Antiqua" w:hAnsi="Book Antiqua" w:cstheme="minorHAnsi"/>
        </w:rPr>
        <w:t xml:space="preserve">causing detrimental changes in the </w:t>
      </w:r>
      <w:r w:rsidR="00A63389" w:rsidRPr="00000DD3">
        <w:rPr>
          <w:rFonts w:ascii="Book Antiqua" w:hAnsi="Book Antiqua" w:cstheme="minorHAnsi"/>
        </w:rPr>
        <w:t>subchondral bone</w:t>
      </w:r>
      <w:r w:rsidR="005361CA" w:rsidRPr="00000DD3">
        <w:rPr>
          <w:rFonts w:ascii="Book Antiqua" w:hAnsi="Book Antiqua" w:cstheme="minorHAnsi"/>
        </w:rPr>
        <w:fldChar w:fldCharType="begin" w:fldLock="1"/>
      </w:r>
      <w:r w:rsidR="005361CA" w:rsidRPr="00000DD3">
        <w:rPr>
          <w:rFonts w:ascii="Book Antiqua" w:hAnsi="Book Antiqua" w:cstheme="minorHAnsi"/>
        </w:rPr>
        <w:instrText>ADDIN CSL_CITATION {"citationItems":[{"id":"ITEM-1","itemData":{"DOI":"0.1186/s40634-015-0037-x","PMID":"26915001","abstract":"Age-related neurodegenerative diseases are largely limited to humans and rarely occur spontaneously in animals. Genetically engineered mouse models recapitulate aspects of the corresponding human diseases and are instrumental in studying disease mechanisms and testing therapeutic strategies. If considered within the range of their validity, mouse models have been predictive of clinical outcome. Translational failure is less the result of the incomplete nature of the models than of inadequate preclinical studies and misinterpretation of the models. This commentary summarizes current models and highlights key questions we should be asking about animal models, as well as questions that cannot be answered with the current models.","author":[{"dropping-particle":"","family":"Moran","given":"Conor J.","non-dropping-particle":"","parse-names":false,"suffix":""},{"dropping-particle":"","family":"Ramesh","given":"Ashwanth","non-dropping-particle":"","parse-names":false,"suffix":""},{"dropping-particle":"","family":"Brama","given":"Pieter A. J.","non-dropping-particle":"","parse-names":false,"suffix":""},{"dropping-particle":"","family":"O’Byrne","given":"John M.","non-dropping-particle":"","parse-names":false,"suffix":""},{"dropping-particle":"","family":"O’Brien","given":"Fergal J.","non-dropping-particle":"","parse-names":false,"suffix":""},{"dropping-particle":"","family":"Levingstone","given":"Tanya J.","non-dropping-particle":"","parse-names":false,"suffix":""}],"container-title":"Journal of Experimental Orthopaedics","id":"ITEM-1","issue":"1","issued":{"date-parts":[["2016"]]},"page":"1","title":"The benefits and limitations of animal models for translational research in cartilage repair","type":"article-journal","volume":"3"},"uris":["http://www.mendeley.com/documents/?uuid=822cef04-d009-3409-befe-eb0a99252348"]}],"mendeley":{"formattedCitation":"&lt;sup&gt;[20]&lt;/sup&gt;","plainTextFormattedCitation":"[20]","previouslyFormattedCitation":"&lt;sup&gt;[20]&lt;/sup&gt;"},"properties":{"noteIndex":0},"schema":"https://github.com/citation-style-language/schema/raw/master/csl-citation.json"}</w:instrText>
      </w:r>
      <w:r w:rsidR="005361CA" w:rsidRPr="00000DD3">
        <w:rPr>
          <w:rFonts w:ascii="Book Antiqua" w:hAnsi="Book Antiqua" w:cstheme="minorHAnsi"/>
        </w:rPr>
        <w:fldChar w:fldCharType="separate"/>
      </w:r>
      <w:r w:rsidR="005361CA" w:rsidRPr="00000DD3">
        <w:rPr>
          <w:rFonts w:ascii="Book Antiqua" w:hAnsi="Book Antiqua" w:cstheme="minorHAnsi"/>
          <w:noProof/>
          <w:vertAlign w:val="superscript"/>
        </w:rPr>
        <w:t>[20]</w:t>
      </w:r>
      <w:r w:rsidR="005361CA" w:rsidRPr="00000DD3">
        <w:rPr>
          <w:rFonts w:ascii="Book Antiqua" w:hAnsi="Book Antiqua" w:cstheme="minorHAnsi"/>
        </w:rPr>
        <w:fldChar w:fldCharType="end"/>
      </w:r>
      <w:r w:rsidR="00F448C4" w:rsidRPr="00000DD3">
        <w:rPr>
          <w:rFonts w:ascii="Book Antiqua" w:hAnsi="Book Antiqua" w:cstheme="minorHAnsi"/>
        </w:rPr>
        <w:t>.</w:t>
      </w:r>
      <w:r w:rsidR="00A10C53" w:rsidRPr="00000DD3">
        <w:rPr>
          <w:rFonts w:ascii="Book Antiqua" w:hAnsi="Book Antiqua" w:cstheme="minorHAnsi"/>
        </w:rPr>
        <w:t xml:space="preserve"> </w:t>
      </w:r>
      <w:r w:rsidR="00144B5D" w:rsidRPr="00000DD3">
        <w:rPr>
          <w:rFonts w:ascii="Book Antiqua" w:hAnsi="Book Antiqua" w:cstheme="minorHAnsi"/>
        </w:rPr>
        <w:t>In addition, u</w:t>
      </w:r>
      <w:r w:rsidR="00AF1259" w:rsidRPr="00000DD3">
        <w:rPr>
          <w:rFonts w:ascii="Book Antiqua" w:hAnsi="Book Antiqua" w:cstheme="minorHAnsi"/>
        </w:rPr>
        <w:t>nlike the other experimental animals, dogs can accept</w:t>
      </w:r>
      <w:r w:rsidR="00CA0794" w:rsidRPr="00000DD3">
        <w:rPr>
          <w:rFonts w:ascii="Book Antiqua" w:hAnsi="Book Antiqua" w:cstheme="minorHAnsi"/>
        </w:rPr>
        <w:t xml:space="preserve"> various </w:t>
      </w:r>
      <w:r w:rsidR="002B01EC" w:rsidRPr="00000DD3">
        <w:rPr>
          <w:rFonts w:ascii="Book Antiqua" w:hAnsi="Book Antiqua" w:cstheme="minorHAnsi"/>
        </w:rPr>
        <w:t xml:space="preserve">human-type </w:t>
      </w:r>
      <w:r w:rsidR="00CA0794" w:rsidRPr="00000DD3">
        <w:rPr>
          <w:rFonts w:ascii="Book Antiqua" w:hAnsi="Book Antiqua" w:cstheme="minorHAnsi"/>
        </w:rPr>
        <w:t>postoperative managements</w:t>
      </w:r>
      <w:r w:rsidR="002B01EC" w:rsidRPr="00000DD3">
        <w:rPr>
          <w:rFonts w:ascii="Book Antiqua" w:hAnsi="Book Antiqua" w:cstheme="minorHAnsi"/>
        </w:rPr>
        <w:t>,</w:t>
      </w:r>
      <w:r w:rsidR="00CA0794" w:rsidRPr="00000DD3">
        <w:rPr>
          <w:rFonts w:ascii="Book Antiqua" w:hAnsi="Book Antiqua" w:cstheme="minorHAnsi"/>
        </w:rPr>
        <w:t xml:space="preserve"> including bandaging, splinting</w:t>
      </w:r>
      <w:r w:rsidR="002B01EC" w:rsidRPr="00000DD3">
        <w:rPr>
          <w:rFonts w:ascii="Book Antiqua" w:hAnsi="Book Antiqua" w:cstheme="minorHAnsi"/>
        </w:rPr>
        <w:t>,</w:t>
      </w:r>
      <w:r w:rsidR="00CA0794" w:rsidRPr="00000DD3">
        <w:rPr>
          <w:rFonts w:ascii="Book Antiqua" w:hAnsi="Book Antiqua" w:cstheme="minorHAnsi"/>
        </w:rPr>
        <w:t xml:space="preserve"> </w:t>
      </w:r>
      <w:r w:rsidR="00266101" w:rsidRPr="00000DD3">
        <w:rPr>
          <w:rFonts w:ascii="Book Antiqua" w:hAnsi="Book Antiqua" w:cstheme="minorHAnsi"/>
        </w:rPr>
        <w:t>or</w:t>
      </w:r>
      <w:r w:rsidR="00CA0794" w:rsidRPr="00000DD3">
        <w:rPr>
          <w:rFonts w:ascii="Book Antiqua" w:hAnsi="Book Antiqua" w:cstheme="minorHAnsi"/>
        </w:rPr>
        <w:t xml:space="preserve"> </w:t>
      </w:r>
      <w:r w:rsidR="00F535F2" w:rsidRPr="00000DD3">
        <w:rPr>
          <w:rFonts w:ascii="Book Antiqua" w:hAnsi="Book Antiqua" w:cstheme="minorHAnsi"/>
        </w:rPr>
        <w:t xml:space="preserve">exercise </w:t>
      </w:r>
      <w:r w:rsidR="002B01EC" w:rsidRPr="00000DD3">
        <w:rPr>
          <w:rFonts w:ascii="Book Antiqua" w:hAnsi="Book Antiqua" w:cstheme="minorHAnsi"/>
        </w:rPr>
        <w:t>involving</w:t>
      </w:r>
      <w:r w:rsidR="00144B5D" w:rsidRPr="00000DD3">
        <w:rPr>
          <w:rFonts w:ascii="Book Antiqua" w:hAnsi="Book Antiqua" w:cstheme="minorHAnsi"/>
        </w:rPr>
        <w:t xml:space="preserve"> </w:t>
      </w:r>
      <w:r w:rsidR="002B01EC" w:rsidRPr="00000DD3">
        <w:rPr>
          <w:rFonts w:ascii="Book Antiqua" w:hAnsi="Book Antiqua" w:cstheme="minorHAnsi"/>
        </w:rPr>
        <w:t>(</w:t>
      </w:r>
      <w:r w:rsidR="00144B5D" w:rsidRPr="00000DD3">
        <w:rPr>
          <w:rFonts w:ascii="Book Antiqua" w:hAnsi="Book Antiqua" w:cstheme="minorHAnsi"/>
        </w:rPr>
        <w:t>leash</w:t>
      </w:r>
      <w:r w:rsidR="002B01EC" w:rsidRPr="00000DD3">
        <w:rPr>
          <w:rFonts w:ascii="Book Antiqua" w:hAnsi="Book Antiqua" w:cstheme="minorHAnsi"/>
        </w:rPr>
        <w:t>)</w:t>
      </w:r>
      <w:r w:rsidR="00144B5D" w:rsidRPr="00000DD3">
        <w:rPr>
          <w:rFonts w:ascii="Book Antiqua" w:hAnsi="Book Antiqua" w:cstheme="minorHAnsi"/>
        </w:rPr>
        <w:t xml:space="preserve"> walk</w:t>
      </w:r>
      <w:r w:rsidR="002B01EC" w:rsidRPr="00000DD3">
        <w:rPr>
          <w:rFonts w:ascii="Book Antiqua" w:hAnsi="Book Antiqua" w:cstheme="minorHAnsi"/>
        </w:rPr>
        <w:t>ing</w:t>
      </w:r>
      <w:r w:rsidR="00144B5D" w:rsidRPr="00000DD3">
        <w:rPr>
          <w:rFonts w:ascii="Book Antiqua" w:hAnsi="Book Antiqua" w:cstheme="minorHAnsi"/>
        </w:rPr>
        <w:t xml:space="preserve"> or</w:t>
      </w:r>
      <w:r w:rsidR="00F535F2" w:rsidRPr="00000DD3">
        <w:rPr>
          <w:rFonts w:ascii="Book Antiqua" w:hAnsi="Book Antiqua" w:cstheme="minorHAnsi"/>
        </w:rPr>
        <w:t xml:space="preserve"> </w:t>
      </w:r>
      <w:r w:rsidR="00AF1259" w:rsidRPr="00000DD3">
        <w:rPr>
          <w:rFonts w:ascii="Book Antiqua" w:hAnsi="Book Antiqua" w:cstheme="minorHAnsi"/>
        </w:rPr>
        <w:t>training on treadmill</w:t>
      </w:r>
      <w:r w:rsidR="00F535F2" w:rsidRPr="00000DD3">
        <w:rPr>
          <w:rFonts w:ascii="Book Antiqua" w:hAnsi="Book Antiqua" w:cstheme="minorHAnsi"/>
        </w:rPr>
        <w:t>s</w:t>
      </w:r>
      <w:r w:rsidR="005974D5" w:rsidRPr="00000DD3">
        <w:rPr>
          <w:rFonts w:ascii="Book Antiqua" w:hAnsi="Book Antiqua" w:cstheme="minorHAnsi"/>
        </w:rPr>
        <w:fldChar w:fldCharType="begin" w:fldLock="1"/>
      </w:r>
      <w:r w:rsidR="005C5CD4" w:rsidRPr="00000DD3">
        <w:rPr>
          <w:rFonts w:ascii="Book Antiqua" w:hAnsi="Book Antiqua" w:cstheme="minorHAnsi"/>
        </w:rPr>
        <w:instrText>ADDIN CSL_CITATION {"citationItems":[{"id":"ITEM-1","itemData":{"DOI":"10.2460/javma.252.6.701","ISBN":"0003-1488","ISSN":"0003-1488","PMID":"29504855","abstract":"OBJECTIVE To determine the effects of an omega-3 fatty acid and protein-enriched diet, physical rehabilitation, or both on radiographic findings and markers of synovial inflammation in dogs following tibial plateau leveling osteotomy and arthroscopic surgery for treatment of cranial cruciate ligament disease. DESIGN Randomized, prospective clinical trial. ANIMALS 48 dogs with unilateral cranial cruciate ligament disease. PROCEDURES Dogs were randomly assigned to receive a dry omega-3 fatty acid and protein-enriched dog food formulated to support joint health (test food [TF]), a dry food formulated for adult canine maintenance (control food [CF]), TF plus rehabilitation, or CF plus rehabilitation after surgery. Synovial fluid prostaglandin (PG) E2 and interleukin-1beta concentrations, radiographic osteoarthritis scores, osteotomy site healing, and patellar ligament thickness were assessed at predetermined time points up to 6 months after surgery. RESULTS Dogs that received CF had significantly higher PGE2 concentrations over time following surgery than did dogs that received TF, regardless of rehabilitation status. Synovial fluid interleukin-1beta concentrations did not change over time in any groups. Diet and rehabilitation were both associated with osteoarthritis scores, with significantly lower scores over time for dogs that received TF versus CF and for dogs that underwent rehabilitation versus those that did not. Proportions of dogs with complete osteotomy healing 8 and 24 weeks after surgery were significantly lower for dogs that received TF than for dogs that received CF, regardless of rehabilitation status. CONCLUSIONS AND CLINICAL RELEVANCE Results suggested that feeding the TF can result in lower synovial fluid PGE2 concentrations and that both the TF and rehabilitation can reduce progression of osteoarthritis in the 6 months following tibial plateau leveling osteotomy; clinical relevance of slower osteotomy healing in dogs fed the TF was unclear.","author":[{"dropping-particle":"","family":"Verpaalen","given":"Valentine D.","non-dropping-particle":"","parse-names":false,"suffix":""},{"dropping-particle":"","family":"Baltzer","given":"Wendy I.","non-dropping-particle":"","parse-names":false,"suffix":""},{"dropping-particle":"","family":"Smith-Ostrin","given":"Sarah","non-dropping-particle":"","parse-names":false,"suffix":""},{"dropping-particle":"","family":"Warnock","given":"Jennifer J.","non-dropping-particle":"","parse-names":false,"suffix":""},{"dropping-particle":"","family":"Stang","given":"Bernadette","non-dropping-particle":"","parse-names":false,"suffix":""},{"dropping-particle":"","family":"Ruaux","given":"Craig G.","non-dropping-particle":"","parse-names":false,"suffix":""}],"container-title":"Journal of the American Veterinary Medical Association","id":"ITEM-1","issue":"6","issued":{"date-parts":[["2018"]]},"page":"701-709","title":"Assessment of the effects of diet and physical rehabilitation on radiographic findings and markers of synovial inflammation in dogs following tibial plateau leveling osteotomy","type":"article-journal","volume":"252"},"uris":["http://www.mendeley.com/documents/?uuid=23b18340-be1b-4d73-a99a-e68601742e35"]},{"id":"ITEM-2","itemData":{"DOI":"10.1186/s13028-016-0265-9","PMID":"28031036","abstract":"BACKGROUND This study investigated differences in kinematic and spatiotemporal variables in Labrador retrievers during introduction to treadmill walking, with the aim to determine the time required for them to become habituated. Twenty-five healthy, treadmill-naive Labrador retrievers participated in the study. The total angular displacement of the carpus, elbow, tarsus and stifle, as well as stride time and stance duration were calculated from the 3-D tracking of skin mounted reflective markers recorded with 6 infrared light emitting video cameras at 240 Hz. The measurements were done at two walking speeds, 0.78 and 0.96 m/s, in six sessions on the treadmill during two consecutive days. RESULTS With a 1-2 min acclimatization period following each treadmill speed change, mean values of the study variables were significantly different from the last training session mainly in the first session on the first day. However, between-stride variability was significantly larger for at least one variable even in the fourth session for the slower walking speed, and in the fifth session for the higher walking speed. CONCLUSIONS The results show the importance of proper pre-training of dogs in locomotion studies at walk using a treadmill, and the need to consider not only variable mean values but also between-stride variability, in order to ensure that dogs are sufficiently accustomed to allow collection of reliable data.","author":[{"dropping-particle":"","family":"Gustås","given":"Pia","non-dropping-particle":"","parse-names":false,"suffix":""},{"dropping-particle":"","family":"Pettersson","given":"Kjerstin","non-dropping-particle":"","parse-names":false,"suffix":""},{"dropping-particle":"","family":"Honkavaara","given":"Sofia","non-dropping-particle":"","parse-names":false,"suffix":""},{"dropping-particle":"","family":"Lagerstedt","given":"Anne Sofie","non-dropping-particle":"","parse-names":false,"suffix":""},{"dropping-particle":"","family":"Byström","given":"Anna","non-dropping-particle":"","parse-names":false,"suffix":""}],"container-title":"Acta Veterinaria Scandinavica","id":"ITEM-2","issue":"1","issued":{"date-parts":[["2016"]]},"page":"87","publisher":"BioMed Central","title":"Kinematic and spatiotemporal assessment of habituation to treadmill walking in Labrador retrievers","type":"article-journal","volume":"58"},"uris":["http://www.mendeley.com/documents/?uuid=8d21db83-c9bc-4d79-b52e-7074a79c817e"]},{"id":"ITEM-3","itemData":{"DOI":"0.1186/s40634-015-0037-x","PMID":"26915001","abstract":"Age-related neurodegenerative diseases are largely limited to humans and rarely occur spontaneously in animals. Genetically engineered mouse models recapitulate aspects of the corresponding human diseases and are instrumental in studying disease mechanisms and testing therapeutic strategies. If considered within the range of their validity, mouse models have been predictive of clinical outcome. Translational failure is less the result of the incomplete nature of the models than of inadequate preclinical studies and misinterpretation of the models. This commentary summarizes current models and highlights key questions we should be asking about animal models, as well as questions that cannot be answered with the current models.","author":[{"dropping-particle":"","family":"Moran","given":"Conor J.","non-dropping-particle":"","parse-names":false,"suffix":""},{"dropping-particle":"","family":"Ramesh","given":"Ashwanth","non-dropping-particle":"","parse-names":false,"suffix":""},{"dropping-particle":"","family":"Brama","given":"Pieter A. J.","non-dropping-particle":"","parse-names":false,"suffix":""},{"dropping-particle":"","family":"O’Byrne","given":"John M.","non-dropping-particle":"","parse-names":false,"suffix":""},{"dropping-particle":"","family":"O’Brien","given":"Fergal J.","non-dropping-particle":"","parse-names":false,"suffix":""},{"dropping-particle":"","family":"Levingstone","given":"Tanya J.","non-dropping-particle":"","parse-names":false,"suffix":""}],"container-title":"Journal of Experimental Orthopaedics","id":"ITEM-3","issue":"1","issued":{"date-parts":[["2016"]]},"page":"1","title":"The benefits and limitations of animal models for translational research in cartilage repair","type":"article-journal","volume":"3"},"uris":["http://www.mendeley.com/documents/?uuid=822cef04-d009-3409-befe-eb0a99252348"]}],"mendeley":{"formattedCitation":"&lt;sup&gt;[20–22]&lt;/sup&gt;","plainTextFormattedCitation":"[20–22]","previouslyFormattedCitation":"&lt;sup&gt;[20–22]&lt;/sup&gt;"},"properties":{"noteIndex":0},"schema":"https://github.com/citation-style-language/schema/raw/master/csl-citation.json"}</w:instrText>
      </w:r>
      <w:r w:rsidR="005974D5" w:rsidRPr="00000DD3">
        <w:rPr>
          <w:rFonts w:ascii="Book Antiqua" w:hAnsi="Book Antiqua" w:cstheme="minorHAnsi"/>
        </w:rPr>
        <w:fldChar w:fldCharType="separate"/>
      </w:r>
      <w:r w:rsidR="008C574B" w:rsidRPr="00000DD3">
        <w:rPr>
          <w:rFonts w:ascii="Book Antiqua" w:hAnsi="Book Antiqua" w:cstheme="minorHAnsi"/>
          <w:noProof/>
          <w:vertAlign w:val="superscript"/>
        </w:rPr>
        <w:t>[20–22]</w:t>
      </w:r>
      <w:r w:rsidR="005974D5" w:rsidRPr="00000DD3">
        <w:rPr>
          <w:rFonts w:ascii="Book Antiqua" w:hAnsi="Book Antiqua" w:cstheme="minorHAnsi"/>
        </w:rPr>
        <w:fldChar w:fldCharType="end"/>
      </w:r>
      <w:r w:rsidR="002B01EC" w:rsidRPr="00000DD3">
        <w:rPr>
          <w:rFonts w:ascii="Book Antiqua" w:hAnsi="Book Antiqua" w:cstheme="minorHAnsi"/>
        </w:rPr>
        <w:t>,</w:t>
      </w:r>
      <w:r w:rsidR="00176651" w:rsidRPr="00000DD3">
        <w:rPr>
          <w:rFonts w:ascii="Book Antiqua" w:hAnsi="Book Antiqua" w:cstheme="minorHAnsi"/>
        </w:rPr>
        <w:t xml:space="preserve"> </w:t>
      </w:r>
      <w:r w:rsidR="002B01EC" w:rsidRPr="00000DD3">
        <w:rPr>
          <w:rFonts w:ascii="Book Antiqua" w:hAnsi="Book Antiqua" w:cstheme="minorHAnsi"/>
        </w:rPr>
        <w:t>which can prevent</w:t>
      </w:r>
      <w:r w:rsidR="00176651" w:rsidRPr="00000DD3">
        <w:rPr>
          <w:rFonts w:ascii="Book Antiqua" w:hAnsi="Book Antiqua" w:cstheme="minorHAnsi"/>
        </w:rPr>
        <w:t xml:space="preserve"> OA </w:t>
      </w:r>
      <w:r w:rsidR="00195D63" w:rsidRPr="00000DD3">
        <w:rPr>
          <w:rFonts w:ascii="Book Antiqua" w:hAnsi="Book Antiqua" w:cstheme="minorHAnsi"/>
        </w:rPr>
        <w:t xml:space="preserve">or regulate its progression </w:t>
      </w:r>
      <w:r w:rsidR="00176651" w:rsidRPr="00000DD3">
        <w:rPr>
          <w:rFonts w:ascii="Book Antiqua" w:hAnsi="Book Antiqua" w:cstheme="minorHAnsi"/>
        </w:rPr>
        <w:t xml:space="preserve">after </w:t>
      </w:r>
      <w:r w:rsidR="002B01EC" w:rsidRPr="00000DD3">
        <w:rPr>
          <w:rFonts w:ascii="Book Antiqua" w:hAnsi="Book Antiqua" w:cstheme="minorHAnsi"/>
        </w:rPr>
        <w:t xml:space="preserve">the </w:t>
      </w:r>
      <w:r w:rsidR="00176651" w:rsidRPr="00000DD3">
        <w:rPr>
          <w:rFonts w:ascii="Book Antiqua" w:hAnsi="Book Antiqua" w:cstheme="minorHAnsi"/>
        </w:rPr>
        <w:t>experimental intervention</w:t>
      </w:r>
      <w:r w:rsidR="00195D63" w:rsidRPr="00000DD3">
        <w:rPr>
          <w:rFonts w:ascii="Book Antiqua" w:hAnsi="Book Antiqua" w:cstheme="minorHAnsi"/>
        </w:rPr>
        <w:t>s</w:t>
      </w:r>
      <w:r w:rsidR="00176651" w:rsidRPr="00000DD3">
        <w:rPr>
          <w:rFonts w:ascii="Book Antiqua" w:hAnsi="Book Antiqua" w:cstheme="minorHAnsi"/>
        </w:rPr>
        <w:t>.</w:t>
      </w:r>
    </w:p>
    <w:p w14:paraId="03B2BB12" w14:textId="5D72EAF6" w:rsidR="005136E8" w:rsidRPr="00000DD3" w:rsidRDefault="009F1160" w:rsidP="005361CA">
      <w:pPr>
        <w:spacing w:line="360" w:lineRule="auto"/>
        <w:ind w:firstLineChars="100" w:firstLine="240"/>
        <w:jc w:val="both"/>
        <w:rPr>
          <w:rFonts w:ascii="Book Antiqua" w:hAnsi="Book Antiqua" w:cstheme="minorHAnsi"/>
        </w:rPr>
      </w:pPr>
      <w:r w:rsidRPr="00000DD3">
        <w:rPr>
          <w:rFonts w:ascii="Book Antiqua" w:hAnsi="Book Antiqua" w:cstheme="minorHAnsi"/>
        </w:rPr>
        <w:t>However,</w:t>
      </w:r>
      <w:r w:rsidR="009A22C8" w:rsidRPr="00000DD3">
        <w:rPr>
          <w:rFonts w:ascii="Book Antiqua" w:hAnsi="Book Antiqua" w:cstheme="minorHAnsi"/>
        </w:rPr>
        <w:t xml:space="preserve"> </w:t>
      </w:r>
      <w:r w:rsidR="00195D63" w:rsidRPr="00000DD3">
        <w:rPr>
          <w:rFonts w:ascii="Book Antiqua" w:hAnsi="Book Antiqua" w:cstheme="minorHAnsi"/>
        </w:rPr>
        <w:t xml:space="preserve">the use of </w:t>
      </w:r>
      <w:r w:rsidR="00DF4437" w:rsidRPr="00000DD3">
        <w:rPr>
          <w:rFonts w:ascii="Book Antiqua" w:hAnsi="Book Antiqua" w:cstheme="minorHAnsi"/>
        </w:rPr>
        <w:t xml:space="preserve">companion </w:t>
      </w:r>
      <w:r w:rsidR="00195D63" w:rsidRPr="00000DD3">
        <w:rPr>
          <w:rFonts w:ascii="Book Antiqua" w:hAnsi="Book Antiqua" w:cstheme="minorHAnsi"/>
        </w:rPr>
        <w:t>animals such as dogs as experimental models for human medicine raises</w:t>
      </w:r>
      <w:r w:rsidR="009A22C8" w:rsidRPr="00000DD3">
        <w:rPr>
          <w:rFonts w:ascii="Book Antiqua" w:hAnsi="Book Antiqua" w:cstheme="minorHAnsi"/>
        </w:rPr>
        <w:t xml:space="preserve"> ethical considerations. </w:t>
      </w:r>
      <w:r w:rsidR="00195D63" w:rsidRPr="00000DD3">
        <w:rPr>
          <w:rFonts w:ascii="Book Antiqua" w:hAnsi="Book Antiqua" w:cstheme="minorHAnsi"/>
        </w:rPr>
        <w:t>By contrast</w:t>
      </w:r>
      <w:r w:rsidR="009A22C8" w:rsidRPr="00000DD3">
        <w:rPr>
          <w:rFonts w:ascii="Book Antiqua" w:hAnsi="Book Antiqua" w:cstheme="minorHAnsi"/>
        </w:rPr>
        <w:t xml:space="preserve">, </w:t>
      </w:r>
      <w:r w:rsidR="00195D63" w:rsidRPr="00000DD3">
        <w:rPr>
          <w:rFonts w:ascii="Book Antiqua" w:hAnsi="Book Antiqua" w:cstheme="minorHAnsi"/>
        </w:rPr>
        <w:t xml:space="preserve">the use of </w:t>
      </w:r>
      <w:r w:rsidR="00DC390A" w:rsidRPr="00000DD3">
        <w:rPr>
          <w:rFonts w:ascii="Book Antiqua" w:hAnsi="Book Antiqua" w:cstheme="minorHAnsi"/>
        </w:rPr>
        <w:t>farm animals</w:t>
      </w:r>
      <w:r w:rsidR="00195D63" w:rsidRPr="00000DD3">
        <w:rPr>
          <w:rFonts w:ascii="Book Antiqua" w:hAnsi="Book Antiqua" w:cstheme="minorHAnsi"/>
        </w:rPr>
        <w:t>, such as</w:t>
      </w:r>
      <w:r w:rsidR="00DC390A" w:rsidRPr="00000DD3">
        <w:rPr>
          <w:rFonts w:ascii="Book Antiqua" w:hAnsi="Book Antiqua" w:cstheme="minorHAnsi"/>
        </w:rPr>
        <w:t xml:space="preserve"> </w:t>
      </w:r>
      <w:r w:rsidR="009A22C8" w:rsidRPr="00000DD3">
        <w:rPr>
          <w:rFonts w:ascii="Book Antiqua" w:hAnsi="Book Antiqua" w:cstheme="minorHAnsi"/>
        </w:rPr>
        <w:t>goats</w:t>
      </w:r>
      <w:r w:rsidR="00D21358" w:rsidRPr="00000DD3">
        <w:rPr>
          <w:rFonts w:ascii="Book Antiqua" w:hAnsi="Book Antiqua" w:cstheme="minorHAnsi"/>
        </w:rPr>
        <w:t>, sheep</w:t>
      </w:r>
      <w:r w:rsidR="009A22C8" w:rsidRPr="00000DD3">
        <w:rPr>
          <w:rFonts w:ascii="Book Antiqua" w:hAnsi="Book Antiqua" w:cstheme="minorHAnsi"/>
        </w:rPr>
        <w:t xml:space="preserve"> </w:t>
      </w:r>
      <w:r w:rsidR="00DC390A" w:rsidRPr="00000DD3">
        <w:rPr>
          <w:rFonts w:ascii="Book Antiqua" w:hAnsi="Book Antiqua" w:cstheme="minorHAnsi"/>
        </w:rPr>
        <w:t>and</w:t>
      </w:r>
      <w:r w:rsidR="009A22C8" w:rsidRPr="00000DD3">
        <w:rPr>
          <w:rFonts w:ascii="Book Antiqua" w:hAnsi="Book Antiqua" w:cstheme="minorHAnsi"/>
        </w:rPr>
        <w:t xml:space="preserve"> pigs</w:t>
      </w:r>
      <w:r w:rsidR="00195D63" w:rsidRPr="00000DD3">
        <w:rPr>
          <w:rFonts w:ascii="Book Antiqua" w:hAnsi="Book Antiqua" w:cstheme="minorHAnsi"/>
        </w:rPr>
        <w:t>,</w:t>
      </w:r>
      <w:r w:rsidR="009A22C8" w:rsidRPr="00000DD3">
        <w:rPr>
          <w:rFonts w:ascii="Book Antiqua" w:hAnsi="Book Antiqua" w:cstheme="minorHAnsi"/>
        </w:rPr>
        <w:t xml:space="preserve"> </w:t>
      </w:r>
      <w:r w:rsidR="00CE4DA7" w:rsidRPr="00000DD3">
        <w:rPr>
          <w:rFonts w:ascii="Book Antiqua" w:hAnsi="Book Antiqua" w:cstheme="minorHAnsi"/>
        </w:rPr>
        <w:t>as</w:t>
      </w:r>
      <w:r w:rsidR="009A22C8" w:rsidRPr="00000DD3">
        <w:rPr>
          <w:rFonts w:ascii="Book Antiqua" w:hAnsi="Book Antiqua" w:cstheme="minorHAnsi"/>
        </w:rPr>
        <w:t xml:space="preserve"> </w:t>
      </w:r>
      <w:r w:rsidR="00CE4DA7" w:rsidRPr="00000DD3">
        <w:rPr>
          <w:rFonts w:ascii="Book Antiqua" w:hAnsi="Book Antiqua" w:cstheme="minorHAnsi"/>
        </w:rPr>
        <w:t>experimental animal models</w:t>
      </w:r>
      <w:r w:rsidR="00195D63" w:rsidRPr="00000DD3">
        <w:rPr>
          <w:rFonts w:ascii="Book Antiqua" w:hAnsi="Book Antiqua" w:cstheme="minorHAnsi"/>
        </w:rPr>
        <w:t xml:space="preserve"> is less controversial</w:t>
      </w:r>
      <w:r w:rsidR="008B2D07" w:rsidRPr="00000DD3">
        <w:rPr>
          <w:rFonts w:ascii="Book Antiqua" w:hAnsi="Book Antiqua" w:cstheme="minorHAnsi"/>
        </w:rPr>
        <w:fldChar w:fldCharType="begin" w:fldLock="1"/>
      </w:r>
      <w:r w:rsidR="005C5CD4" w:rsidRPr="00000DD3">
        <w:rPr>
          <w:rFonts w:ascii="Book Antiqua" w:hAnsi="Book Antiqua" w:cstheme="minorHAnsi"/>
        </w:rPr>
        <w:instrText>ADDIN CSL_CITATION {"citationItems":[{"id":"ITEM-1","itemData":{"DOI":"10.1016/j.joca.2018.03.006","ISSN":"15229653","PMID":"29580978","abstract":"Osteoarthritis results from the degradation of articular cartilage and is one of the leading global causes of pain and immobility. Cartilage has a limited capacity for self-repair. While repair can be enhanced through surgical intervention, current methods often generate inferior fibrocartilage and repair is transient. The development of tissue engineering strategies to improve repair outcomes is an active area of research. While small animal models such as rodents and rabbits are often used in early pre-clinical work, larger animals that better recapitulate the anatomy and loading of the human joint are required for late-stage preclinical evaluation. Because of their physiological similarities to humans, and low cost relative to other large animals, sheep are routinely used in orthopedic research, including cartilage repair studies. In recent years, there has been considerable research investment into the development of cartilage repair strategies that utilize mesenchymal stem/stromal cells (MSC). In contrast to autologous chondrocytes derived from biopsies of articular cartilage, MSC offer some benefits including greater expansion capacity and elimination of the risk of morbidity at the cartilage biopsy site. The disadvantages of MSC are related to the challenges of inducing and maintaining a stable chondrocyte-like cell population capable of generating hyaline cartilage. Ovine MSC (oMSC) biology and their utility in sheep cartilage repair models have not been reviewed. Herein, we review the biological properties of MSC derived from sheep tissues, and the use of these cells to study articular cartilage repair in this large animal model.","author":[{"dropping-particle":"","family":"Music","given":"E.","non-dropping-particle":"","parse-names":false,"suffix":""},{"dropping-particle":"","family":"Futrega","given":"K.","non-dropping-particle":"","parse-names":false,"suffix":""},{"dropping-particle":"","family":"Doran","given":"M. R.","non-dropping-particle":"","parse-names":false,"suffix":""}],"container-title":"Osteoarthritis and Cartilage","id":"ITEM-1","issue":"6","issued":{"date-parts":[["2018"]]},"page":"730-740","title":"Sheep as a model for evaluating mesenchymal stem/stromal cell (MSC)-based chondral defect repair","type":"article-journal","volume":"26"},"uris":["http://www.mendeley.com/documents/?uuid=8ebe9bd3-9677-377f-afc1-f139fedbf2d6"]},{"id":"ITEM-2","itemData":{"DOI":"0.1186/s40634-015-0037-x","PMID":"26915001","abstract":"Age-related neurodegenerative diseases are largely limited to humans and rarely occur spontaneously in animals. Genetically engineered mouse models recapitulate aspects of the corresponding human diseases and are instrumental in studying disease mechanisms and testing therapeutic strategies. If considered within the range of their validity, mouse models have been predictive of clinical outcome. Translational failure is less the result of the incomplete nature of the models than of inadequate preclinical studies and misinterpretation of the models. This commentary summarizes current models and highlights key questions we should be asking about animal models, as well as questions that cannot be answered with the current models.","author":[{"dropping-particle":"","family":"Moran","given":"Conor J.","non-dropping-particle":"","parse-names":false,"suffix":""},{"dropping-particle":"","family":"Ramesh","given":"Ashwanth","non-dropping-particle":"","parse-names":false,"suffix":""},{"dropping-particle":"","family":"Brama","given":"Pieter A. J.","non-dropping-particle":"","parse-names":false,"suffix":""},{"dropping-particle":"","family":"O’Byrne","given":"John M.","non-dropping-particle":"","parse-names":false,"suffix":""},{"dropping-particle":"","family":"O’Brien","given":"Fergal J.","non-dropping-particle":"","parse-names":false,"suffix":""},{"dropping-particle":"","family":"Levingstone","given":"Tanya J.","non-dropping-particle":"","parse-names":false,"suffix":""}],"container-title":"Journal of Experimental Orthopaedics","id":"ITEM-2","issue":"1","issued":{"date-parts":[["2016"]]},"page":"1","title":"The benefits and limitations of animal models for translational research in cartilage repair","type":"article-journal","volume":"3"},"uris":["http://www.mendeley.com/documents/?uuid=822cef04-d009-3409-befe-eb0a99252348"]},{"id":"ITEM-3","itemData":{"DOI":"10.1016/j.joca.2018.09.016","ISSN":"15229653","PMID":"30391394","abstract":"Osteoarthritis (OA) is a chronic degenerative disease of diarthrodial joints most commonly affecting people over the age of forty. The causes of OA are still unknown and there is much debate in the literature as to the exact sequence of events that trigger the onset of the heterogeneous disease we recognise as OA. There is currently no consensus model for OA that naturally reflects human disease. Existing ex-vivo models do not incorporate the important inter-tissue communication between joint components required for disease progression and differences in size, anatomy, histology and biomechanics between different animal models makes translation to the human model very difficult. This narrative review highlights the advantages and disadvantages of the current models used to study OA. It discusses the challenges of producing a more reliable OA-model and proposes a direction for the development of a consensus model that reflects the natural environment of human OA. We suggest that a human osteochondral plug-based model may overcome many of the fundamental limitations associated with animal and in-vitro models based on isolated cells. Such a model will also provide a platform for the development and testing of targeted treatment and validation of novel OA markers directly on human tissues.","author":[{"dropping-particle":"","family":"Cope","given":"P. J.","non-dropping-particle":"","parse-names":false,"suffix":""},{"dropping-particle":"","family":"Ourradi","given":"K.","non-dropping-particle":"","parse-names":false,"suffix":""},{"dropping-particle":"","family":"Li","given":"Y.","non-dropping-particle":"","parse-names":false,"suffix":""},{"dropping-particle":"","family":"Sharif","given":"M.","non-dropping-particle":"","parse-names":false,"suffix":""}],"container-title":"Osteoarthritis and Cartilage","id":"ITEM-3","issue":"2","issued":{"date-parts":[["2019"]]},"page":"230-239","title":"Models of osteoarthritis: the good, the bad and the promising","type":"article-journal","volume":"27"},"uris":["http://www.mendeley.com/documents/?uuid=43673eaf-b442-4fac-ac99-a29a6a4abfef"]}],"mendeley":{"formattedCitation":"&lt;sup&gt;[20,23,24]&lt;/sup&gt;","plainTextFormattedCitation":"[20,23,24]","previouslyFormattedCitation":"&lt;sup&gt;[20,23,24]&lt;/sup&gt;"},"properties":{"noteIndex":0},"schema":"https://github.com/citation-style-language/schema/raw/master/csl-citation.json"}</w:instrText>
      </w:r>
      <w:r w:rsidR="008B2D07" w:rsidRPr="00000DD3">
        <w:rPr>
          <w:rFonts w:ascii="Book Antiqua" w:hAnsi="Book Antiqua" w:cstheme="minorHAnsi"/>
        </w:rPr>
        <w:fldChar w:fldCharType="separate"/>
      </w:r>
      <w:r w:rsidR="008B2D07" w:rsidRPr="00000DD3">
        <w:rPr>
          <w:rFonts w:ascii="Book Antiqua" w:hAnsi="Book Antiqua" w:cstheme="minorHAnsi"/>
          <w:noProof/>
          <w:vertAlign w:val="superscript"/>
        </w:rPr>
        <w:t>[20,23,24]</w:t>
      </w:r>
      <w:r w:rsidR="008B2D07" w:rsidRPr="00000DD3">
        <w:rPr>
          <w:rFonts w:ascii="Book Antiqua" w:hAnsi="Book Antiqua" w:cstheme="minorHAnsi"/>
        </w:rPr>
        <w:fldChar w:fldCharType="end"/>
      </w:r>
      <w:r w:rsidR="00CE4DA7" w:rsidRPr="00000DD3">
        <w:rPr>
          <w:rFonts w:ascii="Book Antiqua" w:hAnsi="Book Antiqua" w:cstheme="minorHAnsi"/>
        </w:rPr>
        <w:t>. The</w:t>
      </w:r>
      <w:r w:rsidR="006D1728" w:rsidRPr="00000DD3">
        <w:rPr>
          <w:rFonts w:ascii="Book Antiqua" w:hAnsi="Book Antiqua" w:cstheme="minorHAnsi"/>
        </w:rPr>
        <w:t>se farm animals</w:t>
      </w:r>
      <w:r w:rsidR="00CE4DA7" w:rsidRPr="00000DD3">
        <w:rPr>
          <w:rFonts w:ascii="Book Antiqua" w:hAnsi="Book Antiqua" w:cstheme="minorHAnsi"/>
        </w:rPr>
        <w:t xml:space="preserve"> have </w:t>
      </w:r>
      <w:r w:rsidR="00195D63" w:rsidRPr="00000DD3">
        <w:rPr>
          <w:rFonts w:ascii="Book Antiqua" w:hAnsi="Book Antiqua" w:cstheme="minorHAnsi"/>
        </w:rPr>
        <w:t xml:space="preserve">the further </w:t>
      </w:r>
      <w:r w:rsidR="00CE4DA7" w:rsidRPr="00000DD3">
        <w:rPr>
          <w:rFonts w:ascii="Book Antiqua" w:hAnsi="Book Antiqua" w:cstheme="minorHAnsi"/>
        </w:rPr>
        <w:t xml:space="preserve">advantage </w:t>
      </w:r>
      <w:r w:rsidR="00195D63" w:rsidRPr="00000DD3">
        <w:rPr>
          <w:rFonts w:ascii="Book Antiqua" w:hAnsi="Book Antiqua" w:cstheme="minorHAnsi"/>
        </w:rPr>
        <w:t xml:space="preserve">that their </w:t>
      </w:r>
      <w:r w:rsidR="00CE4DA7" w:rsidRPr="00000DD3">
        <w:rPr>
          <w:rFonts w:ascii="Book Antiqua" w:hAnsi="Book Antiqua" w:cstheme="minorHAnsi"/>
        </w:rPr>
        <w:t>articular cartilage thickness</w:t>
      </w:r>
      <w:r w:rsidR="00195D63" w:rsidRPr="00000DD3">
        <w:rPr>
          <w:rFonts w:ascii="Book Antiqua" w:hAnsi="Book Antiqua" w:cstheme="minorHAnsi"/>
        </w:rPr>
        <w:t>es</w:t>
      </w:r>
      <w:r w:rsidR="00CE4DA7" w:rsidRPr="00000DD3">
        <w:rPr>
          <w:rFonts w:ascii="Book Antiqua" w:hAnsi="Book Antiqua" w:cstheme="minorHAnsi"/>
        </w:rPr>
        <w:t xml:space="preserve"> are </w:t>
      </w:r>
      <w:r w:rsidR="00641AD3" w:rsidRPr="00000DD3">
        <w:rPr>
          <w:rFonts w:ascii="Book Antiqua" w:hAnsi="Book Antiqua" w:cstheme="minorHAnsi"/>
        </w:rPr>
        <w:t>closer</w:t>
      </w:r>
      <w:r w:rsidR="00CE4DA7" w:rsidRPr="00000DD3">
        <w:rPr>
          <w:rFonts w:ascii="Book Antiqua" w:hAnsi="Book Antiqua" w:cstheme="minorHAnsi"/>
        </w:rPr>
        <w:t xml:space="preserve"> to </w:t>
      </w:r>
      <w:r w:rsidR="00195D63" w:rsidRPr="00000DD3">
        <w:rPr>
          <w:rFonts w:ascii="Book Antiqua" w:hAnsi="Book Antiqua" w:cstheme="minorHAnsi"/>
        </w:rPr>
        <w:t xml:space="preserve">those </w:t>
      </w:r>
      <w:r w:rsidR="00CE4DA7" w:rsidRPr="00000DD3">
        <w:rPr>
          <w:rFonts w:ascii="Book Antiqua" w:hAnsi="Book Antiqua" w:cstheme="minorHAnsi"/>
        </w:rPr>
        <w:t xml:space="preserve">of humans and </w:t>
      </w:r>
      <w:r w:rsidR="0056040B" w:rsidRPr="00000DD3">
        <w:rPr>
          <w:rFonts w:ascii="Book Antiqua" w:hAnsi="Book Antiqua" w:cstheme="minorHAnsi"/>
        </w:rPr>
        <w:t xml:space="preserve">are </w:t>
      </w:r>
      <w:r w:rsidR="00CE4DA7" w:rsidRPr="00000DD3">
        <w:rPr>
          <w:rFonts w:ascii="Book Antiqua" w:hAnsi="Book Antiqua" w:cstheme="minorHAnsi"/>
        </w:rPr>
        <w:t xml:space="preserve">adequate for </w:t>
      </w:r>
      <w:r w:rsidR="0056040B" w:rsidRPr="00000DD3">
        <w:rPr>
          <w:rFonts w:ascii="Book Antiqua" w:hAnsi="Book Antiqua" w:cstheme="minorHAnsi"/>
        </w:rPr>
        <w:t xml:space="preserve">the creation of </w:t>
      </w:r>
      <w:r w:rsidR="00CE4DA7" w:rsidRPr="00000DD3">
        <w:rPr>
          <w:rFonts w:ascii="Book Antiqua" w:hAnsi="Book Antiqua" w:cstheme="minorHAnsi"/>
        </w:rPr>
        <w:t>partial- and full-thickness defects</w:t>
      </w:r>
      <w:r w:rsidR="008B2D07" w:rsidRPr="00000DD3">
        <w:rPr>
          <w:rFonts w:ascii="Book Antiqua" w:hAnsi="Book Antiqua" w:cstheme="minorHAnsi"/>
        </w:rPr>
        <w:fldChar w:fldCharType="begin" w:fldLock="1"/>
      </w:r>
      <w:r w:rsidR="005C5CD4" w:rsidRPr="00000DD3">
        <w:rPr>
          <w:rFonts w:ascii="Book Antiqua" w:hAnsi="Book Antiqua" w:cstheme="minorHAnsi"/>
        </w:rPr>
        <w:instrText>ADDIN CSL_CITATION {"citationItems":[{"id":"ITEM-1","itemData":{"DOI":"10.1016/j.joca.2018.03.006","ISSN":"15229653","PMID":"29580978","abstract":"Osteoarthritis results from the degradation of articular cartilage and is one of the leading global causes of pain and immobility. Cartilage has a limited capacity for self-repair. While repair can be enhanced through surgical intervention, current methods often generate inferior fibrocartilage and repair is transient. The development of tissue engineering strategies to improve repair outcomes is an active area of research. While small animal models such as rodents and rabbits are often used in early pre-clinical work, larger animals that better recapitulate the anatomy and loading of the human joint are required for late-stage preclinical evaluation. Because of their physiological similarities to humans, and low cost relative to other large animals, sheep are routinely used in orthopedic research, including cartilage repair studies. In recent years, there has been considerable research investment into the development of cartilage repair strategies that utilize mesenchymal stem/stromal cells (MSC). In contrast to autologous chondrocytes derived from biopsies of articular cartilage, MSC offer some benefits including greater expansion capacity and elimination of the risk of morbidity at the cartilage biopsy site. The disadvantages of MSC are related to the challenges of inducing and maintaining a stable chondrocyte-like cell population capable of generating hyaline cartilage. Ovine MSC (oMSC) biology and their utility in sheep cartilage repair models have not been reviewed. Herein, we review the biological properties of MSC derived from sheep tissues, and the use of these cells to study articular cartilage repair in this large animal model.","author":[{"dropping-particle":"","family":"Music","given":"E.","non-dropping-particle":"","parse-names":false,"suffix":""},{"dropping-particle":"","family":"Futrega","given":"K.","non-dropping-particle":"","parse-names":false,"suffix":""},{"dropping-particle":"","family":"Doran","given":"M. R.","non-dropping-particle":"","parse-names":false,"suffix":""}],"container-title":"Osteoarthritis and Cartilage","id":"ITEM-1","issue":"6","issued":{"date-parts":[["2018"]]},"page":"730-740","title":"Sheep as a model for evaluating mesenchymal stem/stromal cell (MSC)-based chondral defect repair","type":"article-journal","volume":"26"},"uris":["http://www.mendeley.com/documents/?uuid=8ebe9bd3-9677-377f-afc1-f139fedbf2d6"]},{"id":"ITEM-2","itemData":{"DOI":"0.1186/s40634-015-0037-x","PMID":"26915001","abstract":"Age-related neurodegenerative diseases are largely limited to humans and rarely occur spontaneously in animals. Genetically engineered mouse models recapitulate aspects of the corresponding human diseases and are instrumental in studying disease mechanisms and testing therapeutic strategies. If considered within the range of their validity, mouse models have been predictive of clinical outcome. Translational failure is less the result of the incomplete nature of the models than of inadequate preclinical studies and misinterpretation of the models. This commentary summarizes current models and highlights key questions we should be asking about animal models, as well as questions that cannot be answered with the current models.","author":[{"dropping-particle":"","family":"Moran","given":"Conor J.","non-dropping-particle":"","parse-names":false,"suffix":""},{"dropping-particle":"","family":"Ramesh","given":"Ashwanth","non-dropping-particle":"","parse-names":false,"suffix":""},{"dropping-particle":"","family":"Brama","given":"Pieter A. J.","non-dropping-particle":"","parse-names":false,"suffix":""},{"dropping-particle":"","family":"O’Byrne","given":"John M.","non-dropping-particle":"","parse-names":false,"suffix":""},{"dropping-particle":"","family":"O’Brien","given":"Fergal J.","non-dropping-particle":"","parse-names":false,"suffix":""},{"dropping-particle":"","family":"Levingstone","given":"Tanya J.","non-dropping-particle":"","parse-names":false,"suffix":""}],"container-title":"Journal of Experimental Orthopaedics","id":"ITEM-2","issue":"1","issued":{"date-parts":[["2016"]]},"page":"1","title":"The benefits and limitations of animal models for translational research in cartilage repair","type":"article-journal","volume":"3"},"uris":["http://www.mendeley.com/documents/?uuid=822cef04-d009-3409-befe-eb0a99252348"]},{"id":"ITEM-3","itemData":{"DOI":"10.1016/j.joca.2018.09.016","ISSN":"15229653","PMID":"30391394","abstract":"Osteoarthritis (OA) is a chronic degenerative disease of diarthrodial joints most commonly affecting people over the age of forty. The causes of OA are still unknown and there is much debate in the literature as to the exact sequence of events that trigger the onset of the heterogeneous disease we recognise as OA. There is currently no consensus model for OA that naturally reflects human disease. Existing ex-vivo models do not incorporate the important inter-tissue communication between joint components required for disease progression and differences in size, anatomy, histology and biomechanics between different animal models makes translation to the human model very difficult. This narrative review highlights the advantages and disadvantages of the current models used to study OA. It discusses the challenges of producing a more reliable OA-model and proposes a direction for the development of a consensus model that reflects the natural environment of human OA. We suggest that a human osteochondral plug-based model may overcome many of the fundamental limitations associated with animal and in-vitro models based on isolated cells. Such a model will also provide a platform for the development and testing of targeted treatment and validation of novel OA markers directly on human tissues.","author":[{"dropping-particle":"","family":"Cope","given":"P. J.","non-dropping-particle":"","parse-names":false,"suffix":""},{"dropping-particle":"","family":"Ourradi","given":"K.","non-dropping-particle":"","parse-names":false,"suffix":""},{"dropping-particle":"","family":"Li","given":"Y.","non-dropping-particle":"","parse-names":false,"suffix":""},{"dropping-particle":"","family":"Sharif","given":"M.","non-dropping-particle":"","parse-names":false,"suffix":""}],"container-title":"Osteoarthritis and Cartilage","id":"ITEM-3","issue":"2","issued":{"date-parts":[["2019"]]},"page":"230-239","title":"Models of osteoarthritis: the good, the bad and the promising","type":"article-journal","volume":"27"},"uris":["http://www.mendeley.com/documents/?uuid=43673eaf-b442-4fac-ac99-a29a6a4abfef"]}],"mendeley":{"formattedCitation":"&lt;sup&gt;[20,23,24]&lt;/sup&gt;","plainTextFormattedCitation":"[20,23,24]","previouslyFormattedCitation":"&lt;sup&gt;[20,23,24]&lt;/sup&gt;"},"properties":{"noteIndex":0},"schema":"https://github.com/citation-style-language/schema/raw/master/csl-citation.json"}</w:instrText>
      </w:r>
      <w:r w:rsidR="008B2D07" w:rsidRPr="00000DD3">
        <w:rPr>
          <w:rFonts w:ascii="Book Antiqua" w:hAnsi="Book Antiqua" w:cstheme="minorHAnsi"/>
        </w:rPr>
        <w:fldChar w:fldCharType="separate"/>
      </w:r>
      <w:r w:rsidR="008B2D07" w:rsidRPr="00000DD3">
        <w:rPr>
          <w:rFonts w:ascii="Book Antiqua" w:hAnsi="Book Antiqua" w:cstheme="minorHAnsi"/>
          <w:noProof/>
          <w:vertAlign w:val="superscript"/>
        </w:rPr>
        <w:t>[20,23,24]</w:t>
      </w:r>
      <w:r w:rsidR="008B2D07" w:rsidRPr="00000DD3">
        <w:rPr>
          <w:rFonts w:ascii="Book Antiqua" w:hAnsi="Book Antiqua" w:cstheme="minorHAnsi"/>
        </w:rPr>
        <w:fldChar w:fldCharType="end"/>
      </w:r>
      <w:r w:rsidR="00CE4DA7" w:rsidRPr="00000DD3">
        <w:rPr>
          <w:rFonts w:ascii="Book Antiqua" w:hAnsi="Book Antiqua" w:cstheme="minorHAnsi"/>
        </w:rPr>
        <w:t>.</w:t>
      </w:r>
      <w:r w:rsidR="009C0651" w:rsidRPr="00000DD3">
        <w:rPr>
          <w:rFonts w:ascii="Book Antiqua" w:hAnsi="Book Antiqua" w:cstheme="minorHAnsi"/>
        </w:rPr>
        <w:t xml:space="preserve"> </w:t>
      </w:r>
      <w:r w:rsidR="0056040B" w:rsidRPr="00000DD3">
        <w:rPr>
          <w:rFonts w:ascii="Book Antiqua" w:hAnsi="Book Antiqua" w:cstheme="minorHAnsi"/>
        </w:rPr>
        <w:t>For these reasons</w:t>
      </w:r>
      <w:r w:rsidR="009C0651" w:rsidRPr="00000DD3">
        <w:rPr>
          <w:rFonts w:ascii="Book Antiqua" w:hAnsi="Book Antiqua" w:cstheme="minorHAnsi"/>
        </w:rPr>
        <w:t xml:space="preserve">, dogs might </w:t>
      </w:r>
      <w:r w:rsidR="006B3216" w:rsidRPr="00000DD3">
        <w:rPr>
          <w:rFonts w:ascii="Book Antiqua" w:hAnsi="Book Antiqua" w:cstheme="minorHAnsi"/>
        </w:rPr>
        <w:t>be superseded by goat</w:t>
      </w:r>
      <w:r w:rsidR="0056040B" w:rsidRPr="00000DD3">
        <w:rPr>
          <w:rFonts w:ascii="Book Antiqua" w:hAnsi="Book Antiqua" w:cstheme="minorHAnsi"/>
        </w:rPr>
        <w:t>s</w:t>
      </w:r>
      <w:r w:rsidR="006B3216" w:rsidRPr="00000DD3">
        <w:rPr>
          <w:rFonts w:ascii="Book Antiqua" w:hAnsi="Book Antiqua" w:cstheme="minorHAnsi"/>
        </w:rPr>
        <w:t xml:space="preserve"> or pigs as</w:t>
      </w:r>
      <w:r w:rsidR="005136E8" w:rsidRPr="00000DD3">
        <w:rPr>
          <w:rFonts w:ascii="Book Antiqua" w:hAnsi="Book Antiqua" w:cstheme="minorHAnsi"/>
        </w:rPr>
        <w:t xml:space="preserve"> experimental animal model</w:t>
      </w:r>
      <w:r w:rsidR="0056040B" w:rsidRPr="00000DD3">
        <w:rPr>
          <w:rFonts w:ascii="Book Antiqua" w:hAnsi="Book Antiqua" w:cstheme="minorHAnsi"/>
        </w:rPr>
        <w:t>s</w:t>
      </w:r>
      <w:r w:rsidR="006D1728" w:rsidRPr="00000DD3">
        <w:rPr>
          <w:rFonts w:ascii="Book Antiqua" w:hAnsi="Book Antiqua" w:cstheme="minorHAnsi"/>
        </w:rPr>
        <w:t>.</w:t>
      </w:r>
    </w:p>
    <w:p w14:paraId="78F3D410" w14:textId="0F002B68" w:rsidR="00A90FB1" w:rsidRPr="00000DD3" w:rsidRDefault="0056040B" w:rsidP="005361CA">
      <w:pPr>
        <w:spacing w:line="360" w:lineRule="auto"/>
        <w:ind w:firstLineChars="100" w:firstLine="240"/>
        <w:jc w:val="both"/>
        <w:rPr>
          <w:rFonts w:ascii="Book Antiqua" w:hAnsi="Book Antiqua" w:cstheme="minorHAnsi"/>
        </w:rPr>
      </w:pPr>
      <w:r w:rsidRPr="00000DD3">
        <w:rPr>
          <w:rFonts w:ascii="Book Antiqua" w:hAnsi="Book Antiqua" w:cstheme="minorHAnsi"/>
        </w:rPr>
        <w:t>Nevertheless, despite the</w:t>
      </w:r>
      <w:r w:rsidR="006B3216" w:rsidRPr="00000DD3">
        <w:rPr>
          <w:rFonts w:ascii="Book Antiqua" w:hAnsi="Book Antiqua" w:cstheme="minorHAnsi"/>
        </w:rPr>
        <w:t xml:space="preserve"> disadvantages</w:t>
      </w:r>
      <w:r w:rsidRPr="00000DD3">
        <w:rPr>
          <w:rFonts w:ascii="Book Antiqua" w:hAnsi="Book Antiqua" w:cstheme="minorHAnsi"/>
        </w:rPr>
        <w:t xml:space="preserve"> of using dogs</w:t>
      </w:r>
      <w:r w:rsidR="006B3216" w:rsidRPr="00000DD3">
        <w:rPr>
          <w:rFonts w:ascii="Book Antiqua" w:hAnsi="Book Antiqua" w:cstheme="minorHAnsi"/>
        </w:rPr>
        <w:t xml:space="preserve"> as experimental animal model</w:t>
      </w:r>
      <w:r w:rsidRPr="00000DD3">
        <w:rPr>
          <w:rFonts w:ascii="Book Antiqua" w:hAnsi="Book Antiqua" w:cstheme="minorHAnsi"/>
        </w:rPr>
        <w:t>s</w:t>
      </w:r>
      <w:r w:rsidR="006B3216" w:rsidRPr="00000DD3">
        <w:rPr>
          <w:rFonts w:ascii="Book Antiqua" w:hAnsi="Book Antiqua" w:cstheme="minorHAnsi"/>
        </w:rPr>
        <w:t xml:space="preserve"> for</w:t>
      </w:r>
      <w:r w:rsidR="005671F3" w:rsidRPr="00000DD3">
        <w:rPr>
          <w:rFonts w:ascii="Book Antiqua" w:hAnsi="Book Antiqua" w:cstheme="minorHAnsi"/>
        </w:rPr>
        <w:t xml:space="preserve"> preclinical studies of cartilage repair</w:t>
      </w:r>
      <w:r w:rsidR="006B3216" w:rsidRPr="00000DD3">
        <w:rPr>
          <w:rFonts w:ascii="Book Antiqua" w:hAnsi="Book Antiqua" w:cstheme="minorHAnsi"/>
        </w:rPr>
        <w:t xml:space="preserve">, </w:t>
      </w:r>
      <w:r w:rsidRPr="00000DD3">
        <w:rPr>
          <w:rFonts w:ascii="Book Antiqua" w:hAnsi="Book Antiqua" w:cstheme="minorHAnsi"/>
        </w:rPr>
        <w:t>dogs have one</w:t>
      </w:r>
      <w:r w:rsidR="009C0651" w:rsidRPr="00000DD3">
        <w:rPr>
          <w:rFonts w:ascii="Book Antiqua" w:hAnsi="Book Antiqua" w:cstheme="minorHAnsi"/>
        </w:rPr>
        <w:t xml:space="preserve"> distinctive feature </w:t>
      </w:r>
      <w:r w:rsidRPr="00000DD3">
        <w:rPr>
          <w:rFonts w:ascii="Book Antiqua" w:hAnsi="Book Antiqua" w:cstheme="minorHAnsi"/>
        </w:rPr>
        <w:t>that differentiates them from</w:t>
      </w:r>
      <w:r w:rsidR="005136E8" w:rsidRPr="00000DD3">
        <w:rPr>
          <w:rFonts w:ascii="Book Antiqua" w:hAnsi="Book Antiqua" w:cstheme="minorHAnsi"/>
        </w:rPr>
        <w:t xml:space="preserve"> other animals </w:t>
      </w:r>
      <w:r w:rsidRPr="00000DD3">
        <w:rPr>
          <w:rFonts w:ascii="Book Antiqua" w:hAnsi="Book Antiqua" w:cstheme="minorHAnsi"/>
        </w:rPr>
        <w:t xml:space="preserve">as </w:t>
      </w:r>
      <w:r w:rsidR="005136E8" w:rsidRPr="00000DD3">
        <w:rPr>
          <w:rFonts w:ascii="Book Antiqua" w:hAnsi="Book Antiqua" w:cstheme="minorHAnsi"/>
        </w:rPr>
        <w:t xml:space="preserve">they naturally </w:t>
      </w:r>
      <w:r w:rsidR="00F608C6" w:rsidRPr="00000DD3">
        <w:rPr>
          <w:rFonts w:ascii="Book Antiqua" w:hAnsi="Book Antiqua" w:cstheme="minorHAnsi"/>
        </w:rPr>
        <w:t>develop</w:t>
      </w:r>
      <w:r w:rsidR="005136E8" w:rsidRPr="00000DD3">
        <w:rPr>
          <w:rFonts w:ascii="Book Antiqua" w:hAnsi="Book Antiqua" w:cstheme="minorHAnsi"/>
        </w:rPr>
        <w:t xml:space="preserve"> </w:t>
      </w:r>
      <w:r w:rsidR="00F608C6" w:rsidRPr="00000DD3">
        <w:rPr>
          <w:rFonts w:ascii="Book Antiqua" w:hAnsi="Book Antiqua" w:cstheme="minorHAnsi"/>
        </w:rPr>
        <w:t xml:space="preserve">diseases </w:t>
      </w:r>
      <w:r w:rsidRPr="00000DD3">
        <w:rPr>
          <w:rFonts w:ascii="Book Antiqua" w:hAnsi="Book Antiqua" w:cstheme="minorHAnsi"/>
        </w:rPr>
        <w:t xml:space="preserve">that share a </w:t>
      </w:r>
      <w:r w:rsidR="00F608C6" w:rsidRPr="00000DD3">
        <w:rPr>
          <w:rFonts w:ascii="Book Antiqua" w:hAnsi="Book Antiqua" w:cstheme="minorHAnsi"/>
        </w:rPr>
        <w:t xml:space="preserve">close analogy </w:t>
      </w:r>
      <w:r w:rsidRPr="00000DD3">
        <w:rPr>
          <w:rFonts w:ascii="Book Antiqua" w:hAnsi="Book Antiqua" w:cstheme="minorHAnsi"/>
        </w:rPr>
        <w:t xml:space="preserve">with human </w:t>
      </w:r>
      <w:r w:rsidR="00F608C6" w:rsidRPr="00000DD3">
        <w:rPr>
          <w:rFonts w:ascii="Book Antiqua" w:hAnsi="Book Antiqua" w:cstheme="minorHAnsi"/>
        </w:rPr>
        <w:t>diseases</w:t>
      </w:r>
      <w:r w:rsidRPr="00000DD3">
        <w:rPr>
          <w:rFonts w:ascii="Book Antiqua" w:hAnsi="Book Antiqua" w:cstheme="minorHAnsi"/>
        </w:rPr>
        <w:t>,</w:t>
      </w:r>
      <w:r w:rsidR="00F608C6" w:rsidRPr="00000DD3">
        <w:rPr>
          <w:rFonts w:ascii="Book Antiqua" w:hAnsi="Book Antiqua" w:cstheme="minorHAnsi"/>
        </w:rPr>
        <w:t xml:space="preserve"> including OA</w:t>
      </w:r>
      <w:r w:rsidR="001417AC" w:rsidRPr="00000DD3">
        <w:rPr>
          <w:rFonts w:ascii="Book Antiqua" w:hAnsi="Book Antiqua" w:cstheme="minorHAnsi"/>
        </w:rPr>
        <w:fldChar w:fldCharType="begin" w:fldLock="1"/>
      </w:r>
      <w:r w:rsidR="005C5CD4" w:rsidRPr="00000DD3">
        <w:rPr>
          <w:rFonts w:ascii="Book Antiqua" w:hAnsi="Book Antiqua" w:cstheme="minorHAnsi"/>
        </w:rPr>
        <w:instrText>ADDIN CSL_CITATION {"citationItems":[{"id":"ITEM-1","itemData":{"DOI":"10.1097/j.pain.0000000000000521","ISBN":"0000000000000","ISSN":"18726623","PMID":"26901805","abstract":"Osteoarthritis (OA)-associated pain is a leading cause of disability. Central sensitization (CS), as a result of OA, is recognized as an important facet of human patients' chronic pain and has been measured in people using quantitative sensory testing (QST) testing. The spontaneous canine OA model has been suggested as a good translational model, but CS has not been explored in this model. In this study, QST was performed on dogs with and without spontaneous hip or stifle OA to determine whether OA is associated with CS in this model. Mechanical (von Frey and blunt pressure) and thermal (hot and cold) sensory thresholds obtained in dogs with chronic OA-associated pain (n = 31) were compared with those of normal dogs (n = 23). Dogs were phenotyped and joint-pain scored, and testing was performed at the OA-affected joint, cranial tibial muscle, and dorsal metatarsal region. QST summary data were evaluated using mixed-effect models to understand the influence of OA status and covariates, and dogs with OA and control dogs were compared. The presence of OA was strongly associated with hyperalgesia across all QST modalities at the index joint, cranial tibial muscle, and metatarsal site. Mechanical QST scores were significantly moderately negatively correlated with total joint-pain scores. The spontaneous canine OA model is associated with somatosensory sensitivity, likely indicative of CS. These data further validate the canine spontaneous OA model as an appropriate model of the human OA pain condition.","author":[{"dropping-particle":"","family":"Knazovicky","given":"David","non-dropping-particle":"","parse-names":false,"suffix":""},{"dropping-particle":"","family":"Helgeson","given":"Erika S.","non-dropping-particle":"","parse-names":false,"suffix":""},{"dropping-particle":"","family":"Case","given":"Beth","non-dropping-particle":"","parse-names":false,"suffix":""},{"dropping-particle":"","family":"Gruen","given":"Margaret E.","non-dropping-particle":"","parse-names":false,"suffix":""},{"dropping-particle":"","family":"Maixner","given":"William","non-dropping-particle":"","parse-names":false,"suffix":""},{"dropping-particle":"","family":"Lascelles","given":"B. Duncan X.","non-dropping-particle":"","parse-names":false,"suffix":""}],"container-title":"Pain","id":"ITEM-1","issue":"6","issued":{"date-parts":[["2016"]]},"page":"1325-1332","title":"Widespread somatosensory sensitivity in naturally occurring canine model of osteoarthritis","type":"article-journal","volume":"157"},"uris":["http://www.mendeley.com/documents/?uuid=259e068b-b73f-493c-a1a5-8e8a2674bc26"]},{"id":"ITEM-2","itemData":{"DOI":"10.1002/stem.2377","ISBN":"1549-4918","ISSN":"15494918","PMID":"27066769","abstract":"Studies to evaluate the therapeutic potential of stem cells in humans would benefit from more realistic animal models. In veterinary medicine, companion animals naturally develop many diseases that resemble human conditions, therefore representing a novel source of pre-clinical models. In order to understand how companion animal disease models are being studied for this purpose, we reviewed the literature between 2008-2015 for reports on stem cell therapies in dogs and cats, excluding laboratory animals, induced disease models, cancer, and case reports. Disease models included osteoarthritis, intervertebral disc degeneration, dilated cardiomyopathy, inflammatory bowel diseases, Crohn’s fistulas, meningoencephalomyelitis (multiple sclerosis-like), keratoconjunctivitis sicca (Sjogren’s syndrome-like), atopic dermatitis, and chronic (end-stage) kidney disease. Stem cells evaluated in these studies included mesenchymal stem-stromal cells (MSC, 17/19 trials), olfactory ensheathing cells (OEC, 1 trial), or neural lineage cells derived from bone marrow MSC (1 trial), and 16/19 studies were performed in dogs. 13/17 of the MSC studies used adipose tissue derived MSC from either allogeneic (8/13) or autologous (5/13) sources. The majority of studies were open label, uncontrolled studies. Endpoints and protocols were feasible, and the stem cell therapies were reportedly safe and elicited beneficial patient responses in all but 2 of the trials. In conclusion, companion animals with naturally occurring diseases analogous to human conditions can be recruited into clinical trials and provide realistic insight into feasibility, safety, and biologic activity of novel stem cell therapies. However, improvements in the rigor of manufacturing, study design, and regulatory compliance will be needed to better utilize these models. STEM CELLS 2016; 00:000–000","author":[{"dropping-particle":"","family":"Hoffman","given":"Andrew M.","non-dropping-particle":"","parse-names":false,"suffix":""},{"dropping-particle":"","family":"Dow","given":"Steven W.","non-dropping-particle":"","parse-names":false,"suffix":""}],"container-title":"Stem Cells","id":"ITEM-2","issue":"7","issued":{"date-parts":[["2016"]]},"page":"1709-1729","title":"Concise review: Stem cell trials using companion animal disease models","type":"article-journal","volume":"34"},"uris":["http://www.mendeley.com/documents/?uuid=3f2bb189-1dbb-3df0-bd82-d2b2a67bc541"]}],"mendeley":{"formattedCitation":"&lt;sup&gt;[25,26]&lt;/sup&gt;","plainTextFormattedCitation":"[25,26]","previouslyFormattedCitation":"&lt;sup&gt;[25,26]&lt;/sup&gt;"},"properties":{"noteIndex":0},"schema":"https://github.com/citation-style-language/schema/raw/master/csl-citation.json"}</w:instrText>
      </w:r>
      <w:r w:rsidR="001417AC" w:rsidRPr="00000DD3">
        <w:rPr>
          <w:rFonts w:ascii="Book Antiqua" w:hAnsi="Book Antiqua" w:cstheme="minorHAnsi"/>
        </w:rPr>
        <w:fldChar w:fldCharType="separate"/>
      </w:r>
      <w:r w:rsidR="001417AC" w:rsidRPr="00000DD3">
        <w:rPr>
          <w:rFonts w:ascii="Book Antiqua" w:hAnsi="Book Antiqua" w:cstheme="minorHAnsi"/>
          <w:noProof/>
          <w:vertAlign w:val="superscript"/>
        </w:rPr>
        <w:t>[25,26]</w:t>
      </w:r>
      <w:r w:rsidR="001417AC" w:rsidRPr="00000DD3">
        <w:rPr>
          <w:rFonts w:ascii="Book Antiqua" w:hAnsi="Book Antiqua" w:cstheme="minorHAnsi"/>
        </w:rPr>
        <w:fldChar w:fldCharType="end"/>
      </w:r>
      <w:r w:rsidR="000707D5" w:rsidRPr="00000DD3">
        <w:rPr>
          <w:rFonts w:ascii="Book Antiqua" w:hAnsi="Book Antiqua" w:cstheme="minorHAnsi"/>
        </w:rPr>
        <w:t xml:space="preserve"> (Figure 2)</w:t>
      </w:r>
      <w:r w:rsidR="00F608C6" w:rsidRPr="00000DD3">
        <w:rPr>
          <w:rFonts w:ascii="Book Antiqua" w:hAnsi="Book Antiqua" w:cstheme="minorHAnsi"/>
        </w:rPr>
        <w:t>.</w:t>
      </w:r>
      <w:r w:rsidR="006B3216" w:rsidRPr="00000DD3">
        <w:rPr>
          <w:rFonts w:ascii="Book Antiqua" w:hAnsi="Book Antiqua" w:cstheme="minorHAnsi"/>
        </w:rPr>
        <w:t xml:space="preserve"> </w:t>
      </w:r>
      <w:r w:rsidR="00811F8E" w:rsidRPr="00000DD3">
        <w:rPr>
          <w:rFonts w:ascii="Book Antiqua" w:hAnsi="Book Antiqua" w:cstheme="minorHAnsi"/>
        </w:rPr>
        <w:t>Therefore, c</w:t>
      </w:r>
      <w:r w:rsidR="005C7DCD" w:rsidRPr="00000DD3">
        <w:rPr>
          <w:rFonts w:ascii="Book Antiqua" w:hAnsi="Book Antiqua" w:cstheme="minorHAnsi"/>
        </w:rPr>
        <w:t>linical studies</w:t>
      </w:r>
      <w:r w:rsidR="00815F75" w:rsidRPr="00000DD3">
        <w:rPr>
          <w:rFonts w:ascii="Book Antiqua" w:hAnsi="Book Antiqua" w:cstheme="minorHAnsi"/>
        </w:rPr>
        <w:t xml:space="preserve"> </w:t>
      </w:r>
      <w:r w:rsidRPr="00000DD3">
        <w:rPr>
          <w:rFonts w:ascii="Book Antiqua" w:hAnsi="Book Antiqua" w:cstheme="minorHAnsi"/>
        </w:rPr>
        <w:t>that are</w:t>
      </w:r>
      <w:r w:rsidR="00815F75" w:rsidRPr="00000DD3">
        <w:rPr>
          <w:rFonts w:ascii="Book Antiqua" w:hAnsi="Book Antiqua" w:cstheme="minorHAnsi"/>
        </w:rPr>
        <w:t xml:space="preserve"> performed</w:t>
      </w:r>
      <w:r w:rsidRPr="00000DD3">
        <w:rPr>
          <w:rFonts w:ascii="Book Antiqua" w:hAnsi="Book Antiqua" w:cstheme="minorHAnsi"/>
        </w:rPr>
        <w:t xml:space="preserve"> in</w:t>
      </w:r>
      <w:r w:rsidR="00815F75" w:rsidRPr="00000DD3">
        <w:rPr>
          <w:rFonts w:ascii="Book Antiqua" w:hAnsi="Book Antiqua" w:cstheme="minorHAnsi"/>
        </w:rPr>
        <w:t xml:space="preserve"> dogs with</w:t>
      </w:r>
      <w:r w:rsidR="005C7DCD" w:rsidRPr="00000DD3">
        <w:rPr>
          <w:rFonts w:ascii="Book Antiqua" w:hAnsi="Book Antiqua" w:cstheme="minorHAnsi"/>
        </w:rPr>
        <w:t xml:space="preserve"> naturally occurring OA</w:t>
      </w:r>
      <w:r w:rsidR="00815F75" w:rsidRPr="00000DD3">
        <w:rPr>
          <w:rFonts w:ascii="Book Antiqua" w:hAnsi="Book Antiqua" w:cstheme="minorHAnsi"/>
        </w:rPr>
        <w:t xml:space="preserve"> </w:t>
      </w:r>
      <w:r w:rsidR="005C7DCD" w:rsidRPr="00000DD3">
        <w:rPr>
          <w:rFonts w:ascii="Book Antiqua" w:hAnsi="Book Antiqua" w:cstheme="minorHAnsi"/>
        </w:rPr>
        <w:t xml:space="preserve">can provide valuable </w:t>
      </w:r>
      <w:r w:rsidR="000E1E44" w:rsidRPr="00000DD3">
        <w:rPr>
          <w:rFonts w:ascii="Book Antiqua" w:hAnsi="Book Antiqua" w:cstheme="minorHAnsi"/>
        </w:rPr>
        <w:t xml:space="preserve">information for </w:t>
      </w:r>
      <w:r w:rsidRPr="00000DD3">
        <w:rPr>
          <w:rFonts w:ascii="Book Antiqua" w:hAnsi="Book Antiqua" w:cstheme="minorHAnsi"/>
        </w:rPr>
        <w:t xml:space="preserve">the treatment of </w:t>
      </w:r>
      <w:r w:rsidR="000E1E44" w:rsidRPr="00000DD3">
        <w:rPr>
          <w:rFonts w:ascii="Book Antiqua" w:hAnsi="Book Antiqua" w:cstheme="minorHAnsi"/>
        </w:rPr>
        <w:t>human</w:t>
      </w:r>
      <w:r w:rsidR="00815F75" w:rsidRPr="00000DD3">
        <w:rPr>
          <w:rFonts w:ascii="Book Antiqua" w:hAnsi="Book Antiqua" w:cstheme="minorHAnsi"/>
        </w:rPr>
        <w:t xml:space="preserve"> OA patients</w:t>
      </w:r>
      <w:r w:rsidR="000E1E44" w:rsidRPr="00000DD3">
        <w:rPr>
          <w:rFonts w:ascii="Book Antiqua" w:hAnsi="Book Antiqua" w:cstheme="minorHAnsi"/>
        </w:rPr>
        <w:t>.</w:t>
      </w:r>
      <w:r w:rsidR="00A90FB1" w:rsidRPr="00000DD3">
        <w:rPr>
          <w:rFonts w:ascii="Book Antiqua" w:hAnsi="Book Antiqua" w:cstheme="minorHAnsi"/>
        </w:rPr>
        <w:t xml:space="preserve"> </w:t>
      </w:r>
      <w:r w:rsidR="00450126" w:rsidRPr="00000DD3">
        <w:rPr>
          <w:rFonts w:ascii="Book Antiqua" w:hAnsi="Book Antiqua" w:cstheme="minorHAnsi"/>
        </w:rPr>
        <w:t>A</w:t>
      </w:r>
      <w:r w:rsidR="003A7A2A" w:rsidRPr="00000DD3">
        <w:rPr>
          <w:rFonts w:ascii="Book Antiqua" w:hAnsi="Book Antiqua" w:cstheme="minorHAnsi"/>
        </w:rPr>
        <w:t xml:space="preserve"> variety of ante</w:t>
      </w:r>
      <w:r w:rsidR="00450126" w:rsidRPr="00000DD3">
        <w:rPr>
          <w:rFonts w:ascii="Book Antiqua" w:hAnsi="Book Antiqua" w:cstheme="minorHAnsi"/>
        </w:rPr>
        <w:t xml:space="preserve"> </w:t>
      </w:r>
      <w:r w:rsidR="003A7A2A" w:rsidRPr="00000DD3">
        <w:rPr>
          <w:rFonts w:ascii="Book Antiqua" w:hAnsi="Book Antiqua" w:cstheme="minorHAnsi"/>
        </w:rPr>
        <w:t>mortem diagnostic monitoring protocols</w:t>
      </w:r>
      <w:r w:rsidR="00450126" w:rsidRPr="00000DD3">
        <w:rPr>
          <w:rFonts w:ascii="Book Antiqua" w:hAnsi="Book Antiqua" w:cstheme="minorHAnsi"/>
        </w:rPr>
        <w:t>, such as</w:t>
      </w:r>
      <w:r w:rsidR="003A7A2A" w:rsidRPr="00000DD3">
        <w:rPr>
          <w:rFonts w:ascii="Book Antiqua" w:hAnsi="Book Antiqua" w:cstheme="minorHAnsi"/>
        </w:rPr>
        <w:t xml:space="preserve"> gait and kinematic analyses</w:t>
      </w:r>
      <w:r w:rsidR="001417AC" w:rsidRPr="00000DD3">
        <w:rPr>
          <w:rFonts w:ascii="Book Antiqua" w:hAnsi="Book Antiqua" w:cstheme="minorHAnsi"/>
        </w:rPr>
        <w:fldChar w:fldCharType="begin" w:fldLock="1"/>
      </w:r>
      <w:r w:rsidR="00BC68DD" w:rsidRPr="00000DD3">
        <w:rPr>
          <w:rFonts w:ascii="Book Antiqua" w:hAnsi="Book Antiqua" w:cstheme="minorHAnsi"/>
        </w:rPr>
        <w:instrText>ADDIN CSL_CITATION {"citationItems":[{"id":"ITEM-1","itemData":{"DOI":"10.1016/j.vaa.2017.07.008","ISSN":"14672987","PMID":"29167071","author":[{"dropping-particle":"","family":"Gagnon","given":"Alexandre","non-dropping-particle":"","parse-names":false,"suffix":""},{"dropping-particle":"","family":"Brown","given":"Dominique","non-dropping-particle":"","parse-names":false,"suffix":""},{"dropping-particle":"","family":"Moreau","given":"Maxim","non-dropping-particle":"","parse-names":false,"suffix":""},{"dropping-particle":"","family":"Lussier","given":"Bertrand","non-dropping-particle":"","parse-names":false,"suffix":""},{"dropping-particle":"","family":"Otis","given":"Colombe","non-dropping-particle":"","parse-names":false,"suffix":""},{"dropping-particle":"","family":"Troncy","given":"Eric","non-dropping-particle":"","parse-names":false,"suffix":""}],"container-title":"Veterinary Anaesthesia and Analgesia","id":"ITEM-1","issue":"6","issued":{"date-parts":[["2017"]]},"page":"1373-1381","publisher":"Elsevier Ltd","title":"Therapeutic response analysis in dogs with naturally occurring osteoarthritis","type":"article-journal","volume":"44"},"uris":["http://www.mendeley.com/documents/?uuid=d417b40e-e37c-47e1-a3ae-e9c19aba4927"]}],"mendeley":{"formattedCitation":"&lt;sup&gt;[27]&lt;/sup&gt;","plainTextFormattedCitation":"[27]","previouslyFormattedCitation":"&lt;sup&gt;[27]&lt;/sup&gt;"},"properties":{"noteIndex":0},"schema":"https://github.com/citation-style-language/schema/raw/master/csl-citation.json"}</w:instrText>
      </w:r>
      <w:r w:rsidR="001417AC" w:rsidRPr="00000DD3">
        <w:rPr>
          <w:rFonts w:ascii="Book Antiqua" w:hAnsi="Book Antiqua" w:cstheme="minorHAnsi"/>
        </w:rPr>
        <w:fldChar w:fldCharType="separate"/>
      </w:r>
      <w:r w:rsidR="001417AC" w:rsidRPr="00000DD3">
        <w:rPr>
          <w:rFonts w:ascii="Book Antiqua" w:hAnsi="Book Antiqua" w:cstheme="minorHAnsi"/>
          <w:noProof/>
          <w:vertAlign w:val="superscript"/>
        </w:rPr>
        <w:t>[27]</w:t>
      </w:r>
      <w:r w:rsidR="001417AC" w:rsidRPr="00000DD3">
        <w:rPr>
          <w:rFonts w:ascii="Book Antiqua" w:hAnsi="Book Antiqua" w:cstheme="minorHAnsi"/>
        </w:rPr>
        <w:fldChar w:fldCharType="end"/>
      </w:r>
      <w:r w:rsidR="003A7A2A" w:rsidRPr="00000DD3">
        <w:rPr>
          <w:rFonts w:ascii="Book Antiqua" w:hAnsi="Book Antiqua" w:cstheme="minorHAnsi"/>
        </w:rPr>
        <w:t>, arthroscopic evaluation</w:t>
      </w:r>
      <w:r w:rsidR="003A7A2A" w:rsidRPr="00000DD3">
        <w:rPr>
          <w:rFonts w:ascii="Book Antiqua" w:hAnsi="Book Antiqua" w:cstheme="minorHAnsi"/>
        </w:rPr>
        <w:fldChar w:fldCharType="begin" w:fldLock="1"/>
      </w:r>
      <w:r w:rsidR="00BC68DD" w:rsidRPr="00000DD3">
        <w:rPr>
          <w:rFonts w:ascii="Book Antiqua" w:hAnsi="Book Antiqua" w:cstheme="minorHAnsi"/>
        </w:rPr>
        <w:instrText>ADDIN CSL_CITATION {"citationItems":[{"id":"ITEM-1","itemData":{"DOI":"10.1002/jor.24046","ISSN":"1554527X","PMID":"29748965","abstract":"The objective of this study was to assess the safety and efficacy of subchondroplasty for the treatment of bone marrow lesions of the femoral condyle in a canine model of post-traumatic osteoarthritis. ABSTRACT DATA: Objective: Impaction injury to the femoral condyles is often a pre-cursor to post-traumatic osteoarthritis (PTOA). Appropriate treatment of the pain and dysfunction associated with bone marrow lesions (BML) in this setting is unknown. Subchondroplasty (SCP) involves the percutaneous injection of calcium phosphate into the region of the BML. The objective of this study was to assess the safety and efficacy of SCP for the treatment of BMLs of the femoral condyle in a canine PTOA model. Methods: With ACUC approval, purpose-bred research hounds (n=12) underwent an arthroscopic-assisted impact injury (40N) to both medial femoral condyles (MFC) to result in focal articular cartilage damage with associated BML. Twelve weeks after impact injury, dogs were treated by injection (3 ml) of calcium phosphate SCP (AccuFill BSM, Zimmer) into one MFC and sham injection in the contralateral MFC using fluoroscopic and arthroscopic guidance. Dogs were evaluated over the following year for clinical function and kinetics, radiographic and MRI scoring and at 3, 6 and 12-month endpoints (n=4/time) by arthroscopic, gross, microCT, and histologic assessments. Data were compared for statistically significant (p&lt;0.05) differences to pre-operative measures and between groups. Results: Twelve weeks after impact and prior to treatment, all dogs had MFC BMLs and significantly (p&lt;0.01) more lameness/less limb loading, greater pain and joint effusion, and decreased knee range of motion compared to pre-operative values, with no significant difference between limbs. Transient pain and lameness requiring extended oral analgesic treatment were noted for up to 3 months after SCP injection. At all time points after treatment, all dogs had radiographic evidence of mild osteoarthritis and MRI-evident BMLs of the MFC with associated clinical symptoms, with no significant differences between groups until 1 year after treatment. At the 1-year endpoint, SCP was associated with significantly (p&lt;0.05) less pain, better knee range of motion, and better arthroscopic scores. BMLs were present in both groups based on one-year MRI, microCT, and histology with SCP-treated MFCs showing subjectively better trabecular bone architecture. SCP injectate was retained in all MFCs at one year and was …","author":[{"dropping-particle":"","family":"Brimmo","given":"Olubusola A.","non-dropping-particle":"","parse-names":false,"suffix":""},{"dropping-particle":"","family":"Bozynski","given":"Chantelle C.","non-dropping-particle":"","parse-names":false,"suffix":""},{"dropping-particle":"","family":"Cook","given":"Cristi R.","non-dropping-particle":"","parse-names":false,"suffix":""},{"dropping-particle":"","family":"Kuroki","given":"Keiichi","non-dropping-particle":"","parse-names":false,"suffix":""},{"dropping-particle":"","family":"Sherman","given":"Seth L.","non-dropping-particle":"","parse-names":false,"suffix":""},{"dropping-particle":"","family":"Pfeiffer","given":"Ferris M.","non-dropping-particle":"","parse-names":false,"suffix":""},{"dropping-particle":"","family":"Stoker","given":"Aaron M.","non-dropping-particle":"","parse-names":false,"suffix":""},{"dropping-particle":"","family":"Cook","given":"James L.","non-dropping-particle":"","parse-names":false,"suffix":""}],"container-title":"Journal of Orthopaedic Research","id":"ITEM-1","issue":"10","issued":{"date-parts":[["2018"]]},"page":"2709-2717","title":"Subchondroplasty for the treatment of post-traumatic bone marrow lesions of the medial femoral condyle in a pre-clinical canine model","type":"article-journal","volume":"36"},"uris":["http://www.mendeley.com/documents/?uuid=22e5ddd2-abf2-340b-b776-41909e2b2df1"]}],"mendeley":{"formattedCitation":"&lt;sup&gt;[28]&lt;/sup&gt;","plainTextFormattedCitation":"[28]","previouslyFormattedCitation":"&lt;sup&gt;[28]&lt;/sup&gt;"},"properties":{"noteIndex":0},"schema":"https://github.com/citation-style-language/schema/raw/master/csl-citation.json"}</w:instrText>
      </w:r>
      <w:r w:rsidR="003A7A2A" w:rsidRPr="00000DD3">
        <w:rPr>
          <w:rFonts w:ascii="Book Antiqua" w:hAnsi="Book Antiqua" w:cstheme="minorHAnsi"/>
        </w:rPr>
        <w:fldChar w:fldCharType="separate"/>
      </w:r>
      <w:r w:rsidR="001417AC" w:rsidRPr="00000DD3">
        <w:rPr>
          <w:rFonts w:ascii="Book Antiqua" w:hAnsi="Book Antiqua" w:cstheme="minorHAnsi"/>
          <w:noProof/>
          <w:vertAlign w:val="superscript"/>
        </w:rPr>
        <w:t>[28]</w:t>
      </w:r>
      <w:r w:rsidR="003A7A2A" w:rsidRPr="00000DD3">
        <w:rPr>
          <w:rFonts w:ascii="Book Antiqua" w:hAnsi="Book Antiqua" w:cstheme="minorHAnsi"/>
        </w:rPr>
        <w:fldChar w:fldCharType="end"/>
      </w:r>
      <w:r w:rsidR="00450126" w:rsidRPr="00000DD3">
        <w:rPr>
          <w:rFonts w:ascii="Book Antiqua" w:hAnsi="Book Antiqua" w:cstheme="minorHAnsi"/>
        </w:rPr>
        <w:t>,</w:t>
      </w:r>
      <w:r w:rsidR="003A7A2A" w:rsidRPr="00000DD3">
        <w:rPr>
          <w:rFonts w:ascii="Book Antiqua" w:hAnsi="Book Antiqua" w:cstheme="minorHAnsi"/>
        </w:rPr>
        <w:t xml:space="preserve"> a</w:t>
      </w:r>
      <w:r w:rsidR="005361CA" w:rsidRPr="00000DD3">
        <w:rPr>
          <w:rFonts w:ascii="Book Antiqua" w:hAnsi="Book Antiqua" w:cstheme="minorHAnsi"/>
        </w:rPr>
        <w:t>nd magnetic resonance imaging</w:t>
      </w:r>
      <w:r w:rsidR="003A7A2A" w:rsidRPr="00000DD3">
        <w:rPr>
          <w:rFonts w:ascii="Book Antiqua" w:hAnsi="Book Antiqua" w:cstheme="minorHAnsi"/>
        </w:rPr>
        <w:fldChar w:fldCharType="begin" w:fldLock="1"/>
      </w:r>
      <w:r w:rsidR="00BC68DD" w:rsidRPr="00000DD3">
        <w:rPr>
          <w:rFonts w:ascii="Book Antiqua" w:hAnsi="Book Antiqua" w:cstheme="minorHAnsi"/>
        </w:rPr>
        <w:instrText>ADDIN CSL_CITATION {"citationItems":[{"id":"ITEM-1","itemData":{"DOI":"10.1177/0300060517730452","ISBN":"0300060517730","ISSN":"14732300","PMID":"29125013","abstract":"ObjectiveTo evaluate the combined diagnostic value of two serum osteoarthritis (OA) markers and quantitative magnetic resonance imaging (MRI) evaluation of the cartilage volume of the tibial plateau in a canine model of experimental OA.MethodsA total of 18 male Beagle dogs were used in this longitudinal study. OA was surgically induced via anterior cruciate ligament transection (ACLT) of the right knee in 10 dogs. The remaining eight dogs formed the sham operation control group and underwent the same procedure without ACLT. At various times after surgery, enzyme-linked immunosorbent assay was used to measure serum C-telopeptide of type II collagen (CTX-II) and type X collagen (ColX) levels. Quantitative evaluation of the tibial plateau volume was undertaken using MRI and ImageJ software.ResultsThe serum CTX-II levels were significantly higher in the OA group at weeks 8, 12 and 16 after surgery, but not at week 4, compared with the control group. The serum ColX levels in the OA group were significantly higher than in the control group at weeks 8 and 12. The tibial plateau cartilage volumes in the OA group were significantly lower than in the control group at weeks 8 and 16.ConclusionSerum CTX-II and ColX levels combined with quantitative MRI evaluation of the tibial plateau cartilage volume in a canine model of OA demonstrated the potential to detect and monitor OA progression.","author":[{"dropping-particle":"","family":"Ren","given":"Jiangdong","non-dropping-particle":"","parse-names":false,"suffix":""},{"dropping-particle":"","family":"Ma","given":"Jinsai","non-dropping-particle":"","parse-names":false,"suffix":""},{"dropping-particle":"","family":"Zhang","given":"Xiaogang","non-dropping-particle":"","parse-names":false,"suffix":""},{"dropping-particle":"","family":"Aimaiti","given":"Abdusami","non-dropping-particle":"","parse-names":false,"suffix":""},{"dropping-particle":"","family":"Saiyiti","given":"Maimaitiming","non-dropping-particle":"","parse-names":false,"suffix":""},{"dropping-particle":"","family":"Chen","given":"Yuming","non-dropping-particle":"","parse-names":false,"suffix":""},{"dropping-particle":"","family":"Cao","given":"Li","non-dropping-particle":"","parse-names":false,"suffix":""}],"container-title":"Journal of International Medical Research","id":"ITEM-1","issue":"6","issued":{"date-parts":[["2017"]]},"page":"2023-2035","title":"Diagnostic value of combined serum marker changes and quantitative MRI evaluation of cartilage volume of tibial plateau in a surgically-induced osteoarthritis dog model","type":"article-journal","volume":"45"},"uris":["http://www.mendeley.com/documents/?uuid=aee9dfb5-6239-35e2-866d-345167f5653c"]}],"mendeley":{"formattedCitation":"&lt;sup&gt;[29]&lt;/sup&gt;","plainTextFormattedCitation":"[29]","previouslyFormattedCitation":"&lt;sup&gt;[29]&lt;/sup&gt;"},"properties":{"noteIndex":0},"schema":"https://github.com/citation-style-language/schema/raw/master/csl-citation.json"}</w:instrText>
      </w:r>
      <w:r w:rsidR="003A7A2A" w:rsidRPr="00000DD3">
        <w:rPr>
          <w:rFonts w:ascii="Book Antiqua" w:hAnsi="Book Antiqua" w:cstheme="minorHAnsi"/>
        </w:rPr>
        <w:fldChar w:fldCharType="separate"/>
      </w:r>
      <w:r w:rsidR="001417AC" w:rsidRPr="00000DD3">
        <w:rPr>
          <w:rFonts w:ascii="Book Antiqua" w:hAnsi="Book Antiqua" w:cstheme="minorHAnsi"/>
          <w:noProof/>
          <w:vertAlign w:val="superscript"/>
        </w:rPr>
        <w:t>[29]</w:t>
      </w:r>
      <w:r w:rsidR="003A7A2A" w:rsidRPr="00000DD3">
        <w:rPr>
          <w:rFonts w:ascii="Book Antiqua" w:hAnsi="Book Antiqua" w:cstheme="minorHAnsi"/>
        </w:rPr>
        <w:fldChar w:fldCharType="end"/>
      </w:r>
      <w:r w:rsidR="00450126" w:rsidRPr="00000DD3">
        <w:rPr>
          <w:rFonts w:ascii="Book Antiqua" w:hAnsi="Book Antiqua" w:cstheme="minorHAnsi"/>
        </w:rPr>
        <w:t>,</w:t>
      </w:r>
      <w:r w:rsidR="003A7A2A" w:rsidRPr="00000DD3">
        <w:rPr>
          <w:rFonts w:ascii="Book Antiqua" w:hAnsi="Book Antiqua" w:cstheme="minorHAnsi"/>
        </w:rPr>
        <w:t xml:space="preserve"> are feasible in dogs</w:t>
      </w:r>
      <w:r w:rsidR="00450126" w:rsidRPr="00000DD3">
        <w:rPr>
          <w:rFonts w:ascii="Book Antiqua" w:hAnsi="Book Antiqua" w:cstheme="minorHAnsi"/>
        </w:rPr>
        <w:t xml:space="preserve"> and allow evaluation of</w:t>
      </w:r>
      <w:r w:rsidR="003A7A2A" w:rsidRPr="00000DD3">
        <w:rPr>
          <w:rFonts w:ascii="Book Antiqua" w:hAnsi="Book Antiqua" w:cstheme="minorHAnsi"/>
        </w:rPr>
        <w:t xml:space="preserve"> the therapeutic effect from a variety of viewpoints. </w:t>
      </w:r>
      <w:r w:rsidR="006D1728" w:rsidRPr="00000DD3">
        <w:rPr>
          <w:rFonts w:ascii="Book Antiqua" w:hAnsi="Book Antiqua" w:cstheme="minorHAnsi"/>
        </w:rPr>
        <w:t xml:space="preserve">In addition, </w:t>
      </w:r>
      <w:r w:rsidR="00FC1690" w:rsidRPr="00000DD3">
        <w:rPr>
          <w:rFonts w:ascii="Book Antiqua" w:hAnsi="Book Antiqua" w:cstheme="minorHAnsi"/>
        </w:rPr>
        <w:t>while sharing</w:t>
      </w:r>
      <w:r w:rsidR="003A7A2A" w:rsidRPr="00000DD3">
        <w:rPr>
          <w:rFonts w:ascii="Book Antiqua" w:hAnsi="Book Antiqua" w:cstheme="minorHAnsi"/>
        </w:rPr>
        <w:t xml:space="preserve"> cartilage </w:t>
      </w:r>
      <w:r w:rsidR="00DB6611" w:rsidRPr="00000DD3">
        <w:rPr>
          <w:rFonts w:ascii="Book Antiqua" w:hAnsi="Book Antiqua" w:cstheme="minorHAnsi"/>
        </w:rPr>
        <w:t xml:space="preserve">pathologies </w:t>
      </w:r>
      <w:r w:rsidR="003A7A2A" w:rsidRPr="00000DD3">
        <w:rPr>
          <w:rFonts w:ascii="Book Antiqua" w:hAnsi="Book Antiqua" w:cstheme="minorHAnsi"/>
        </w:rPr>
        <w:t xml:space="preserve">with humans, </w:t>
      </w:r>
      <w:r w:rsidR="00FC1690" w:rsidRPr="00000DD3">
        <w:rPr>
          <w:rFonts w:ascii="Book Antiqua" w:hAnsi="Book Antiqua" w:cstheme="minorHAnsi"/>
        </w:rPr>
        <w:t>dogs</w:t>
      </w:r>
      <w:r w:rsidR="00450126" w:rsidRPr="00000DD3">
        <w:rPr>
          <w:rFonts w:ascii="Book Antiqua" w:hAnsi="Book Antiqua" w:cstheme="minorHAnsi"/>
        </w:rPr>
        <w:t xml:space="preserve"> </w:t>
      </w:r>
      <w:r w:rsidR="003A7A2A" w:rsidRPr="00000DD3">
        <w:rPr>
          <w:rFonts w:ascii="Book Antiqua" w:hAnsi="Book Antiqua" w:cstheme="minorHAnsi"/>
        </w:rPr>
        <w:t>also</w:t>
      </w:r>
      <w:r w:rsidR="00A90FB1" w:rsidRPr="00000DD3">
        <w:rPr>
          <w:rFonts w:ascii="Book Antiqua" w:hAnsi="Book Antiqua" w:cstheme="minorHAnsi"/>
        </w:rPr>
        <w:t xml:space="preserve"> </w:t>
      </w:r>
      <w:r w:rsidR="00450126" w:rsidRPr="00000DD3">
        <w:rPr>
          <w:rFonts w:ascii="Book Antiqua" w:hAnsi="Book Antiqua" w:cstheme="minorHAnsi"/>
        </w:rPr>
        <w:t xml:space="preserve">share </w:t>
      </w:r>
      <w:r w:rsidR="00A90FB1" w:rsidRPr="00000DD3">
        <w:rPr>
          <w:rFonts w:ascii="Book Antiqua" w:hAnsi="Book Antiqua" w:cstheme="minorHAnsi"/>
        </w:rPr>
        <w:t xml:space="preserve">the lifestyles </w:t>
      </w:r>
      <w:r w:rsidR="00450126" w:rsidRPr="00000DD3">
        <w:rPr>
          <w:rFonts w:ascii="Book Antiqua" w:hAnsi="Book Antiqua" w:cstheme="minorHAnsi"/>
        </w:rPr>
        <w:t xml:space="preserve">of </w:t>
      </w:r>
      <w:r w:rsidR="00A90FB1" w:rsidRPr="00000DD3">
        <w:rPr>
          <w:rFonts w:ascii="Book Antiqua" w:hAnsi="Book Antiqua" w:cstheme="minorHAnsi"/>
        </w:rPr>
        <w:t>their owners</w:t>
      </w:r>
      <w:r w:rsidR="00450126" w:rsidRPr="00000DD3">
        <w:rPr>
          <w:rFonts w:ascii="Book Antiqua" w:hAnsi="Book Antiqua" w:cstheme="minorHAnsi"/>
        </w:rPr>
        <w:t>, including</w:t>
      </w:r>
      <w:r w:rsidR="00A90FB1" w:rsidRPr="00000DD3">
        <w:rPr>
          <w:rFonts w:ascii="Book Antiqua" w:hAnsi="Book Antiqua" w:cstheme="minorHAnsi"/>
        </w:rPr>
        <w:t xml:space="preserve"> home and exercise habits. </w:t>
      </w:r>
      <w:r w:rsidR="00450126" w:rsidRPr="00000DD3">
        <w:rPr>
          <w:rFonts w:ascii="Book Antiqua" w:hAnsi="Book Antiqua" w:cstheme="minorHAnsi"/>
        </w:rPr>
        <w:t>The l</w:t>
      </w:r>
      <w:r w:rsidR="00A90FB1" w:rsidRPr="00000DD3">
        <w:rPr>
          <w:rFonts w:ascii="Book Antiqua" w:hAnsi="Book Antiqua" w:cstheme="minorHAnsi"/>
        </w:rPr>
        <w:t xml:space="preserve">ife expectancy of dogs is </w:t>
      </w:r>
      <w:r w:rsidR="00450126" w:rsidRPr="00000DD3">
        <w:rPr>
          <w:rFonts w:ascii="Book Antiqua" w:hAnsi="Book Antiqua" w:cstheme="minorHAnsi"/>
        </w:rPr>
        <w:t xml:space="preserve">also </w:t>
      </w:r>
      <w:r w:rsidR="00A90FB1" w:rsidRPr="00000DD3">
        <w:rPr>
          <w:rFonts w:ascii="Book Antiqua" w:hAnsi="Book Antiqua" w:cstheme="minorHAnsi"/>
        </w:rPr>
        <w:t>relatively long</w:t>
      </w:r>
      <w:r w:rsidR="00450126" w:rsidRPr="00000DD3">
        <w:rPr>
          <w:rFonts w:ascii="Book Antiqua" w:hAnsi="Book Antiqua" w:cstheme="minorHAnsi"/>
        </w:rPr>
        <w:t>,</w:t>
      </w:r>
      <w:r w:rsidR="00A90FB1" w:rsidRPr="00000DD3">
        <w:rPr>
          <w:rFonts w:ascii="Book Antiqua" w:hAnsi="Book Antiqua" w:cstheme="minorHAnsi"/>
        </w:rPr>
        <w:t xml:space="preserve"> and dogs are subject to </w:t>
      </w:r>
      <w:r w:rsidR="00450126" w:rsidRPr="00000DD3">
        <w:rPr>
          <w:rFonts w:ascii="Book Antiqua" w:hAnsi="Book Antiqua" w:cstheme="minorHAnsi"/>
        </w:rPr>
        <w:t xml:space="preserve">similar </w:t>
      </w:r>
      <w:r w:rsidR="00A90FB1" w:rsidRPr="00000DD3">
        <w:rPr>
          <w:rFonts w:ascii="Book Antiqua" w:hAnsi="Book Antiqua" w:cstheme="minorHAnsi"/>
        </w:rPr>
        <w:t>natural and environmental factors</w:t>
      </w:r>
      <w:r w:rsidR="004A75AA" w:rsidRPr="00000DD3">
        <w:rPr>
          <w:rFonts w:ascii="Book Antiqua" w:hAnsi="Book Antiqua" w:cstheme="minorHAnsi"/>
        </w:rPr>
        <w:t xml:space="preserve"> </w:t>
      </w:r>
      <w:r w:rsidR="00450126" w:rsidRPr="00000DD3">
        <w:rPr>
          <w:rFonts w:ascii="Book Antiqua" w:hAnsi="Book Antiqua" w:cstheme="minorHAnsi"/>
        </w:rPr>
        <w:t xml:space="preserve">that </w:t>
      </w:r>
      <w:r w:rsidR="00811F8E" w:rsidRPr="00000DD3">
        <w:rPr>
          <w:rFonts w:ascii="Book Antiqua" w:hAnsi="Book Antiqua" w:cstheme="minorHAnsi"/>
        </w:rPr>
        <w:t>lead to the occurrence of OA</w:t>
      </w:r>
      <w:r w:rsidR="00A90FB1" w:rsidRPr="00000DD3">
        <w:rPr>
          <w:rFonts w:ascii="Book Antiqua" w:hAnsi="Book Antiqua" w:cstheme="minorHAnsi"/>
        </w:rPr>
        <w:t xml:space="preserve"> </w:t>
      </w:r>
      <w:r w:rsidR="00450126" w:rsidRPr="00000DD3">
        <w:rPr>
          <w:rFonts w:ascii="Book Antiqua" w:hAnsi="Book Antiqua" w:cstheme="minorHAnsi"/>
        </w:rPr>
        <w:t xml:space="preserve">in humans, </w:t>
      </w:r>
      <w:r w:rsidR="00A90FB1" w:rsidRPr="00000DD3">
        <w:rPr>
          <w:rFonts w:ascii="Book Antiqua" w:hAnsi="Book Antiqua" w:cstheme="minorHAnsi"/>
        </w:rPr>
        <w:t>such as traumatic injuries, obesity</w:t>
      </w:r>
      <w:r w:rsidR="00450126" w:rsidRPr="00000DD3">
        <w:rPr>
          <w:rFonts w:ascii="Book Antiqua" w:hAnsi="Book Antiqua" w:cstheme="minorHAnsi"/>
        </w:rPr>
        <w:t>,</w:t>
      </w:r>
      <w:r w:rsidR="00A90FB1" w:rsidRPr="00000DD3">
        <w:rPr>
          <w:rFonts w:ascii="Book Antiqua" w:hAnsi="Book Antiqua" w:cstheme="minorHAnsi"/>
        </w:rPr>
        <w:t xml:space="preserve"> and aging.</w:t>
      </w:r>
      <w:r w:rsidR="000E1E44" w:rsidRPr="00000DD3">
        <w:rPr>
          <w:rFonts w:ascii="Book Antiqua" w:hAnsi="Book Antiqua" w:cstheme="minorHAnsi"/>
        </w:rPr>
        <w:t xml:space="preserve"> </w:t>
      </w:r>
      <w:r w:rsidR="00BC68DD" w:rsidRPr="00000DD3">
        <w:rPr>
          <w:rFonts w:ascii="Book Antiqua" w:hAnsi="Book Antiqua" w:cstheme="minorHAnsi"/>
        </w:rPr>
        <w:t>Many</w:t>
      </w:r>
      <w:r w:rsidR="000426C6" w:rsidRPr="00000DD3">
        <w:rPr>
          <w:rFonts w:ascii="Book Antiqua" w:hAnsi="Book Antiqua" w:cstheme="minorHAnsi"/>
        </w:rPr>
        <w:t xml:space="preserve"> adult dogs suffer from OA, </w:t>
      </w:r>
      <w:r w:rsidR="00AE344B" w:rsidRPr="00000DD3">
        <w:rPr>
          <w:rFonts w:ascii="Book Antiqua" w:hAnsi="Book Antiqua" w:cstheme="minorHAnsi"/>
        </w:rPr>
        <w:t>which creates</w:t>
      </w:r>
      <w:r w:rsidR="000426C6" w:rsidRPr="00000DD3">
        <w:rPr>
          <w:rFonts w:ascii="Book Antiqua" w:hAnsi="Book Antiqua" w:cstheme="minorHAnsi"/>
        </w:rPr>
        <w:t xml:space="preserve"> a large pool of client-owned dogs that </w:t>
      </w:r>
      <w:r w:rsidR="00AE344B" w:rsidRPr="00000DD3">
        <w:rPr>
          <w:rFonts w:ascii="Book Antiqua" w:hAnsi="Book Antiqua" w:cstheme="minorHAnsi"/>
        </w:rPr>
        <w:t xml:space="preserve">could </w:t>
      </w:r>
      <w:r w:rsidR="000426C6" w:rsidRPr="00000DD3">
        <w:rPr>
          <w:rFonts w:ascii="Book Antiqua" w:hAnsi="Book Antiqua" w:cstheme="minorHAnsi"/>
        </w:rPr>
        <w:t xml:space="preserve">be available for enrollment in clinical trials of </w:t>
      </w:r>
      <w:r w:rsidR="00AE344B" w:rsidRPr="00000DD3">
        <w:rPr>
          <w:rFonts w:ascii="Book Antiqua" w:hAnsi="Book Antiqua" w:cstheme="minorHAnsi"/>
        </w:rPr>
        <w:t xml:space="preserve">potential </w:t>
      </w:r>
      <w:r w:rsidR="000426C6" w:rsidRPr="00000DD3">
        <w:rPr>
          <w:rFonts w:ascii="Book Antiqua" w:hAnsi="Book Antiqua" w:cstheme="minorHAnsi"/>
        </w:rPr>
        <w:t>OA treatment</w:t>
      </w:r>
      <w:r w:rsidR="00AE344B" w:rsidRPr="00000DD3">
        <w:rPr>
          <w:rFonts w:ascii="Book Antiqua" w:hAnsi="Book Antiqua" w:cstheme="minorHAnsi"/>
        </w:rPr>
        <w:t>s</w:t>
      </w:r>
      <w:r w:rsidR="00BC68DD" w:rsidRPr="00000DD3">
        <w:rPr>
          <w:rFonts w:ascii="Book Antiqua" w:hAnsi="Book Antiqua" w:cstheme="minorHAnsi"/>
        </w:rPr>
        <w:fldChar w:fldCharType="begin" w:fldLock="1"/>
      </w:r>
      <w:r w:rsidR="009769C2" w:rsidRPr="00000DD3">
        <w:rPr>
          <w:rFonts w:ascii="Book Antiqua" w:hAnsi="Book Antiqua" w:cstheme="minorHAnsi"/>
        </w:rPr>
        <w:instrText>ADDIN CSL_CITATION {"citationItems":[{"id":"ITEM-1","itemData":{"DOI":"10.1038/s41598-018-23940-z","PMID":"29618832","abstract":"Osteoarthritis is the most common joint disease diagnosed in veterinary medicine and poses considerable challenges to canine welfare. This study aimed to investigate prevalence, duration and risk factors of appendicular osteoarthritis in dogs under primary veterinary care in the UK. The VetCompassTM programme collects clinical data on dogs attending UK primary-care veterinary practices. The study included all VetCompassTM dogs under veterinary care during 2013. Candidate osteoarthritis cases were identified using multiple search strategies. A random subset was manually evaluated against a case definition. Of 455,557 study dogs, 16,437 candidate osteoarthritis cases were identified; 6104 (37%) were manually checked and 4196 (69% of sample) were confirmed as cases. Additional data on demography, clinical signs, duration and management were extracted for confirmed cases. Estimated annual period prevalence (accounting for subsampling) of appendicular osteoarthritis was 2.5% (CI95: 2.4-2.5%) equating to around 200,000 UK affected dogs annually. Risk factors associated with osteoarthritis diagnosis included breed (e.g. Labrador, Golden Retriever), being insured, being neutered, of higher bodyweight and being older than eight years. Duration calculation trials suggest osteoarthritis affects 11.4% of affected individuals' lifespan, providing further evidence for substantial impact of osteoarthritis on canine welfare at the individual and population level.","author":[{"dropping-particle":"","family":"Anderson","given":"Katharine L.","non-dropping-particle":"","parse-names":false,"suffix":""},{"dropping-particle":"","family":"O’Neill","given":"Dan G.","non-dropping-particle":"","parse-names":false,"suffix":""},{"dropping-particle":"","family":"Brodbelt","given":"David C.","non-dropping-particle":"","parse-names":false,"suffix":""},{"dropping-particle":"","family":"Church","given":"David B.","non-dropping-particle":"","parse-names":false,"suffix":""},{"dropping-particle":"","family":"Meeson","given":"Richard L.","non-dropping-particle":"","parse-names":false,"suffix":""},{"dropping-particle":"","family":"Sargan","given":"David","non-dropping-particle":"","parse-names":false,"suffix":""},{"dropping-particle":"","family":"Summers","given":"Jennifer F.","non-dropping-particle":"","parse-names":false,"suffix":""},{"dropping-particle":"","family":"Zulch","given":"Helen","non-dropping-particle":"","parse-names":false,"suffix":""},{"dropping-particle":"","family":"Collins","given":"Lisa M.","non-dropping-particle":"","parse-names":false,"suffix":""}],"container-title":"Scientific Reports","id":"ITEM-1","issue":"1","issued":{"date-parts":[["2018"]]},"page":"5641","title":"Prevalence, duration and risk factors for appendicular osteoarthritis in a UK dog population under primary veterinary care","type":"article-journal","volume":"8"},"uris":["http://www.mendeley.com/documents/?uuid=f74472c9-ac80-4e45-bc74-5f045fc96f49"]}],"mendeley":{"formattedCitation":"&lt;sup&gt;[7]&lt;/sup&gt;","plainTextFormattedCitation":"[7]","previouslyFormattedCitation":"&lt;sup&gt;[7]&lt;/sup&gt;"},"properties":{"noteIndex":0},"schema":"https://github.com/citation-style-language/schema/raw/master/csl-citation.json"}</w:instrText>
      </w:r>
      <w:r w:rsidR="00BC68DD" w:rsidRPr="00000DD3">
        <w:rPr>
          <w:rFonts w:ascii="Book Antiqua" w:hAnsi="Book Antiqua" w:cstheme="minorHAnsi"/>
        </w:rPr>
        <w:fldChar w:fldCharType="separate"/>
      </w:r>
      <w:r w:rsidR="00BC68DD" w:rsidRPr="00000DD3">
        <w:rPr>
          <w:rFonts w:ascii="Book Antiqua" w:hAnsi="Book Antiqua" w:cstheme="minorHAnsi"/>
          <w:noProof/>
          <w:vertAlign w:val="superscript"/>
        </w:rPr>
        <w:t>[7]</w:t>
      </w:r>
      <w:r w:rsidR="00BC68DD" w:rsidRPr="00000DD3">
        <w:rPr>
          <w:rFonts w:ascii="Book Antiqua" w:hAnsi="Book Antiqua" w:cstheme="minorHAnsi"/>
        </w:rPr>
        <w:fldChar w:fldCharType="end"/>
      </w:r>
      <w:r w:rsidR="000426C6" w:rsidRPr="00000DD3">
        <w:rPr>
          <w:rFonts w:ascii="Book Antiqua" w:hAnsi="Book Antiqua" w:cstheme="minorHAnsi"/>
        </w:rPr>
        <w:t xml:space="preserve">. </w:t>
      </w:r>
      <w:r w:rsidR="000E1E44" w:rsidRPr="00000DD3">
        <w:rPr>
          <w:rFonts w:ascii="Book Antiqua" w:hAnsi="Book Antiqua" w:cstheme="minorHAnsi"/>
        </w:rPr>
        <w:t xml:space="preserve">Although </w:t>
      </w:r>
      <w:r w:rsidR="003D0084" w:rsidRPr="00000DD3">
        <w:rPr>
          <w:rFonts w:ascii="Book Antiqua" w:hAnsi="Book Antiqua" w:cstheme="minorHAnsi"/>
        </w:rPr>
        <w:t>con</w:t>
      </w:r>
      <w:r w:rsidR="00907A0E" w:rsidRPr="00000DD3">
        <w:rPr>
          <w:rFonts w:ascii="Book Antiqua" w:hAnsi="Book Antiqua" w:cstheme="minorHAnsi"/>
        </w:rPr>
        <w:t>si</w:t>
      </w:r>
      <w:r w:rsidR="003D0084" w:rsidRPr="00000DD3">
        <w:rPr>
          <w:rFonts w:ascii="Book Antiqua" w:hAnsi="Book Antiqua" w:cstheme="minorHAnsi"/>
        </w:rPr>
        <w:t>de</w:t>
      </w:r>
      <w:r w:rsidR="00907A0E" w:rsidRPr="00000DD3">
        <w:rPr>
          <w:rFonts w:ascii="Book Antiqua" w:hAnsi="Book Antiqua" w:cstheme="minorHAnsi"/>
        </w:rPr>
        <w:t>rable interindividual variability</w:t>
      </w:r>
      <w:r w:rsidR="00AE344B" w:rsidRPr="00000DD3">
        <w:rPr>
          <w:rFonts w:ascii="Book Antiqua" w:hAnsi="Book Antiqua" w:cstheme="minorHAnsi"/>
        </w:rPr>
        <w:t xml:space="preserve"> is evident</w:t>
      </w:r>
      <w:r w:rsidR="000426C6" w:rsidRPr="00000DD3">
        <w:rPr>
          <w:rFonts w:ascii="Book Antiqua" w:hAnsi="Book Antiqua" w:cstheme="minorHAnsi"/>
        </w:rPr>
        <w:t xml:space="preserve"> in the</w:t>
      </w:r>
      <w:r w:rsidR="00AE344B" w:rsidRPr="00000DD3">
        <w:rPr>
          <w:rFonts w:ascii="Book Antiqua" w:hAnsi="Book Antiqua" w:cstheme="minorHAnsi"/>
        </w:rPr>
        <w:t>se</w:t>
      </w:r>
      <w:r w:rsidR="000426C6" w:rsidRPr="00000DD3">
        <w:rPr>
          <w:rFonts w:ascii="Book Antiqua" w:hAnsi="Book Antiqua" w:cstheme="minorHAnsi"/>
        </w:rPr>
        <w:t xml:space="preserve"> clinical case</w:t>
      </w:r>
      <w:r w:rsidR="00AE344B" w:rsidRPr="00000DD3">
        <w:rPr>
          <w:rFonts w:ascii="Book Antiqua" w:hAnsi="Book Antiqua" w:cstheme="minorHAnsi"/>
        </w:rPr>
        <w:t>s when</w:t>
      </w:r>
      <w:r w:rsidR="000426C6" w:rsidRPr="00000DD3">
        <w:rPr>
          <w:rFonts w:ascii="Book Antiqua" w:hAnsi="Book Antiqua" w:cstheme="minorHAnsi"/>
        </w:rPr>
        <w:t xml:space="preserve"> compared to purpose-bred dogs, </w:t>
      </w:r>
      <w:r w:rsidR="00AE344B" w:rsidRPr="00000DD3">
        <w:rPr>
          <w:rFonts w:ascii="Book Antiqua" w:hAnsi="Book Antiqua" w:cstheme="minorHAnsi"/>
        </w:rPr>
        <w:t>the results are still suitable for</w:t>
      </w:r>
      <w:r w:rsidR="00B5614F" w:rsidRPr="00000DD3">
        <w:rPr>
          <w:rFonts w:ascii="Book Antiqua" w:hAnsi="Book Antiqua" w:cstheme="minorHAnsi"/>
        </w:rPr>
        <w:t xml:space="preserve"> extrapolation to human patients.</w:t>
      </w:r>
    </w:p>
    <w:p w14:paraId="46FF2EF9" w14:textId="3A25584E" w:rsidR="00E45527" w:rsidRPr="00000DD3" w:rsidRDefault="00AE344B" w:rsidP="005361CA">
      <w:pPr>
        <w:spacing w:line="360" w:lineRule="auto"/>
        <w:ind w:firstLineChars="100" w:firstLine="240"/>
        <w:jc w:val="both"/>
        <w:rPr>
          <w:rFonts w:ascii="Book Antiqua" w:hAnsi="Book Antiqua" w:cstheme="minorHAnsi"/>
        </w:rPr>
      </w:pPr>
      <w:r w:rsidRPr="00000DD3">
        <w:rPr>
          <w:rFonts w:ascii="Book Antiqua" w:hAnsi="Book Antiqua" w:cstheme="minorHAnsi"/>
        </w:rPr>
        <w:t>The c</w:t>
      </w:r>
      <w:r w:rsidR="00B5614F" w:rsidRPr="00000DD3">
        <w:rPr>
          <w:rFonts w:ascii="Book Antiqua" w:hAnsi="Book Antiqua" w:cstheme="minorHAnsi"/>
        </w:rPr>
        <w:t xml:space="preserve">linical study </w:t>
      </w:r>
      <w:r w:rsidRPr="00000DD3">
        <w:rPr>
          <w:rFonts w:ascii="Book Antiqua" w:hAnsi="Book Antiqua" w:cstheme="minorHAnsi"/>
        </w:rPr>
        <w:t>of dogs with OA</w:t>
      </w:r>
      <w:r w:rsidR="00B5614F" w:rsidRPr="00000DD3">
        <w:rPr>
          <w:rFonts w:ascii="Book Antiqua" w:hAnsi="Book Antiqua" w:cstheme="minorHAnsi"/>
        </w:rPr>
        <w:t xml:space="preserve"> </w:t>
      </w:r>
      <w:r w:rsidR="00A90FB1" w:rsidRPr="00000DD3">
        <w:rPr>
          <w:rFonts w:ascii="Book Antiqua" w:hAnsi="Book Antiqua" w:cstheme="minorHAnsi"/>
        </w:rPr>
        <w:t xml:space="preserve">is worthwhile for </w:t>
      </w:r>
      <w:r w:rsidRPr="00000DD3">
        <w:rPr>
          <w:rFonts w:ascii="Book Antiqua" w:hAnsi="Book Antiqua" w:cstheme="minorHAnsi"/>
        </w:rPr>
        <w:t>both</w:t>
      </w:r>
      <w:r w:rsidR="00A90FB1" w:rsidRPr="00000DD3">
        <w:rPr>
          <w:rFonts w:ascii="Book Antiqua" w:hAnsi="Book Antiqua" w:cstheme="minorHAnsi"/>
        </w:rPr>
        <w:t xml:space="preserve"> human </w:t>
      </w:r>
      <w:r w:rsidRPr="00000DD3">
        <w:rPr>
          <w:rFonts w:ascii="Book Antiqua" w:hAnsi="Book Antiqua" w:cstheme="minorHAnsi"/>
        </w:rPr>
        <w:t>and</w:t>
      </w:r>
      <w:r w:rsidR="00A90FB1" w:rsidRPr="00000DD3">
        <w:rPr>
          <w:rFonts w:ascii="Book Antiqua" w:hAnsi="Book Antiqua" w:cstheme="minorHAnsi"/>
        </w:rPr>
        <w:t xml:space="preserve"> veterinary medicine.</w:t>
      </w:r>
      <w:r w:rsidR="00811F8E" w:rsidRPr="00000DD3">
        <w:rPr>
          <w:rFonts w:ascii="Book Antiqua" w:hAnsi="Book Antiqua" w:cstheme="minorHAnsi"/>
        </w:rPr>
        <w:t xml:space="preserve"> </w:t>
      </w:r>
      <w:r w:rsidR="00BA7621" w:rsidRPr="00000DD3">
        <w:rPr>
          <w:rFonts w:ascii="Book Antiqua" w:hAnsi="Book Antiqua" w:cstheme="minorHAnsi"/>
        </w:rPr>
        <w:t>Dogs suffer from many cartilage pathologies</w:t>
      </w:r>
      <w:r w:rsidR="00D74652" w:rsidRPr="00000DD3">
        <w:rPr>
          <w:rFonts w:ascii="Book Antiqua" w:hAnsi="Book Antiqua" w:cstheme="minorHAnsi"/>
        </w:rPr>
        <w:t xml:space="preserve"> that can lead to OA</w:t>
      </w:r>
      <w:r w:rsidRPr="00000DD3">
        <w:rPr>
          <w:rFonts w:ascii="Book Antiqua" w:hAnsi="Book Antiqua" w:cstheme="minorHAnsi"/>
        </w:rPr>
        <w:t>,</w:t>
      </w:r>
      <w:r w:rsidR="00BA7621" w:rsidRPr="00000DD3">
        <w:rPr>
          <w:rFonts w:ascii="Book Antiqua" w:hAnsi="Book Antiqua" w:cstheme="minorHAnsi"/>
        </w:rPr>
        <w:t xml:space="preserve"> such as osteochondritis dissecans</w:t>
      </w:r>
      <w:r w:rsidR="00DD4876" w:rsidRPr="00000DD3">
        <w:rPr>
          <w:rFonts w:ascii="Book Antiqua" w:hAnsi="Book Antiqua" w:cstheme="minorHAnsi"/>
        </w:rPr>
        <w:t xml:space="preserve"> and</w:t>
      </w:r>
      <w:r w:rsidR="00BA7621" w:rsidRPr="00000DD3">
        <w:rPr>
          <w:rFonts w:ascii="Book Antiqua" w:hAnsi="Book Antiqua" w:cstheme="minorHAnsi"/>
        </w:rPr>
        <w:t xml:space="preserve"> cartilage injury caused from cranial cruciate ligament </w:t>
      </w:r>
      <w:r w:rsidR="00811F8E" w:rsidRPr="00000DD3">
        <w:rPr>
          <w:rFonts w:ascii="Book Antiqua" w:hAnsi="Book Antiqua" w:cstheme="minorHAnsi"/>
        </w:rPr>
        <w:t>failure</w:t>
      </w:r>
      <w:r w:rsidR="00BA7621" w:rsidRPr="00000DD3">
        <w:rPr>
          <w:rFonts w:ascii="Book Antiqua" w:hAnsi="Book Antiqua" w:cstheme="minorHAnsi"/>
        </w:rPr>
        <w:fldChar w:fldCharType="begin" w:fldLock="1"/>
      </w:r>
      <w:r w:rsidR="005C5CD4" w:rsidRPr="00000DD3">
        <w:rPr>
          <w:rFonts w:ascii="Book Antiqua" w:hAnsi="Book Antiqua" w:cstheme="minorHAnsi"/>
        </w:rPr>
        <w:instrText>ADDIN CSL_CITATION {"citationItems":[{"id":"ITEM-1","itemData":{"DOI":"10.3415/VCOT-17-02-0035","ISSN":"0932-0814","PMID":"29534283","abstract":"Objective This article aimed to describe the use and evolution of a synthetic osteochondral resurfacing (SOR) implant in the treatment of osteochondrosis dissecans (OCD) of the femoral condyle and to report the clinical, radiographic, computed tomography and magnetic resonance imaging outcomes of this technique. Methods Medical records of dogs that were treated with first-generation (G1) and second-generation (G2) SOR at a single institute were reviewed. Surgical reports and clinical examinations as well as the preoperative, postoperative, and follow-up radiographs, computed tomographic images and magnetic resonance imaging images were reviewed. Results Fourteen stifles (nine dogs) were included in the study. G1-SOR implants were employed in six stifles of four dogs and G2-SOR implants in eight stifles of five dogs. Osteochondrosis dissecans of the medial femoral condyle was confirmed as the sole pathology in all dogs treated with G1-SOR. Only one of eight OCD lesions was located on the medial condyle in the G2-SOR group with the remaining seven lesions affecting the lateral femoral condyle. At 12 weeks, 13 of 14 stifles displayed implant stability, with no subchondral bone changes or evidence of lucency around any implant. Eight of nine dogs achieved a good-excellent clinical outcome. Complications included one minor surgical site infection and one infective arthritis which required implant removal. Clinical Significance In this cohort of dogs, both G1-SOR and G2-SOR were successful and repeatable surgical procedures for dogs with OCD of the femoral condyle.","author":[{"dropping-particle":"","family":"Egan","given":"Pádraig","non-dropping-particle":"","parse-names":false,"suffix":""},{"dropping-particle":"","family":"Murphy","given":"Susan","non-dropping-particle":"","parse-names":false,"suffix":""},{"dropping-particle":"","family":"Jovanovik","given":"Jelena","non-dropping-particle":"","parse-names":false,"suffix":""},{"dropping-particle":"","family":"Tucker","given":"Russell","non-dropping-particle":"","parse-names":false,"suffix":""},{"dropping-particle":"","family":"Fitzpatrick","given":"Noel","non-dropping-particle":"","parse-names":false,"suffix":""}],"container-title":"Veterinary and Comparative Orthopaedics and Traumatology","id":"ITEM-1","issue":"02","issued":{"date-parts":[["2018"]]},"page":"144-152","title":"Treatment of osteochondrosis dissecans of the canine stifle using synthetic osteochondral resurfacing","type":"article-journal","volume":"31"},"uris":["http://www.mendeley.com/documents/?uuid=213c398e-3266-3c68-94bd-aa120c5628cd"]},{"id":"ITEM-2","itemData":{"DOI":"10.1016/j.tvjl.2018.02.017","ISSN":"15322971","PMID":"29704933","author":[{"dropping-particle":"","family":"Cachon","given":"T.","non-dropping-particle":"","parse-names":false,"suffix":""},{"dropping-particle":"","family":"Frykman","given":"O.","non-dropping-particle":"","parse-names":false,"suffix":""},{"dropping-particle":"","family":"Innes","given":"J. F.","non-dropping-particle":"","parse-names":false,"suffix":""},{"dropping-particle":"","family":"Lascelles","given":"B. D.X.","non-dropping-particle":"","parse-names":false,"suffix":""},{"dropping-particle":"","family":"Okumura","given":"M.","non-dropping-particle":"","parse-names":false,"suffix":""},{"dropping-particle":"","family":"Sousa","given":"P.","non-dropping-particle":"","parse-names":false,"suffix":""},{"dropping-particle":"","family":"Staffieri","given":"F.","non-dropping-particle":"","parse-names":false,"suffix":""},{"dropping-particle":"","family":"Steagall","given":"P.V.","non-dropping-particle":"","parse-names":false,"suffix":""},{"dropping-particle":"","family":"Ryssen","given":"B.","non-dropping-particle":"Van","parse-names":false,"suffix":""}],"container-title":"The Veterinary Journal","id":"ITEM-2","issued":{"date-parts":[["2018","5"]]},"page":"1-8","title":"Face validity of a proposed tool for staging canine osteoarthritis: Canine OsteoArthritis Staging Tool (COAST)","type":"article-journal","volume":"235"},"uris":["http://www.mendeley.com/documents/?uuid=c219222c-5507-3907-aff6-de7a24bd94ee"]}],"mendeley":{"formattedCitation":"&lt;sup&gt;[30,31]&lt;/sup&gt;","plainTextFormattedCitation":"[30,31]","previouslyFormattedCitation":"&lt;sup&gt;[30,31]&lt;/sup&gt;"},"properties":{"noteIndex":0},"schema":"https://github.com/citation-style-language/schema/raw/master/csl-citation.json"}</w:instrText>
      </w:r>
      <w:r w:rsidR="00BA7621" w:rsidRPr="00000DD3">
        <w:rPr>
          <w:rFonts w:ascii="Book Antiqua" w:hAnsi="Book Antiqua" w:cstheme="minorHAnsi"/>
        </w:rPr>
        <w:fldChar w:fldCharType="separate"/>
      </w:r>
      <w:r w:rsidR="00BC68DD" w:rsidRPr="00000DD3">
        <w:rPr>
          <w:rFonts w:ascii="Book Antiqua" w:hAnsi="Book Antiqua" w:cstheme="minorHAnsi"/>
          <w:noProof/>
          <w:vertAlign w:val="superscript"/>
        </w:rPr>
        <w:t>[30,31]</w:t>
      </w:r>
      <w:r w:rsidR="00BA7621" w:rsidRPr="00000DD3">
        <w:rPr>
          <w:rFonts w:ascii="Book Antiqua" w:hAnsi="Book Antiqua" w:cstheme="minorHAnsi"/>
        </w:rPr>
        <w:fldChar w:fldCharType="end"/>
      </w:r>
      <w:r w:rsidR="00D74652" w:rsidRPr="00000DD3">
        <w:rPr>
          <w:rFonts w:ascii="Book Antiqua" w:hAnsi="Book Antiqua" w:cstheme="minorHAnsi"/>
        </w:rPr>
        <w:t>;</w:t>
      </w:r>
      <w:r w:rsidR="00BA7621" w:rsidRPr="00000DD3">
        <w:rPr>
          <w:rFonts w:ascii="Book Antiqua" w:hAnsi="Book Antiqua" w:cstheme="minorHAnsi"/>
        </w:rPr>
        <w:t xml:space="preserve"> </w:t>
      </w:r>
      <w:r w:rsidR="00DD4876" w:rsidRPr="00000DD3">
        <w:rPr>
          <w:rFonts w:ascii="Book Antiqua" w:hAnsi="Book Antiqua" w:cstheme="minorHAnsi"/>
        </w:rPr>
        <w:t>therefore</w:t>
      </w:r>
      <w:r w:rsidR="00BA7621" w:rsidRPr="00000DD3">
        <w:rPr>
          <w:rFonts w:ascii="Book Antiqua" w:hAnsi="Book Antiqua" w:cstheme="minorHAnsi"/>
        </w:rPr>
        <w:t xml:space="preserve">, </w:t>
      </w:r>
      <w:r w:rsidR="00D74652" w:rsidRPr="00000DD3">
        <w:rPr>
          <w:rFonts w:ascii="Book Antiqua" w:hAnsi="Book Antiqua" w:cstheme="minorHAnsi"/>
        </w:rPr>
        <w:t>the need is</w:t>
      </w:r>
      <w:r w:rsidR="00BA7621" w:rsidRPr="00000DD3">
        <w:rPr>
          <w:rFonts w:ascii="Book Antiqua" w:hAnsi="Book Antiqua" w:cstheme="minorHAnsi"/>
        </w:rPr>
        <w:t xml:space="preserve"> increasing for cartilage lesion</w:t>
      </w:r>
      <w:r w:rsidR="00D74652" w:rsidRPr="00000DD3">
        <w:rPr>
          <w:rFonts w:ascii="Book Antiqua" w:hAnsi="Book Antiqua" w:cstheme="minorHAnsi"/>
        </w:rPr>
        <w:t xml:space="preserve"> treatment methods that </w:t>
      </w:r>
      <w:r w:rsidR="00BA7621" w:rsidRPr="00000DD3">
        <w:rPr>
          <w:rFonts w:ascii="Book Antiqua" w:hAnsi="Book Antiqua" w:cstheme="minorHAnsi"/>
        </w:rPr>
        <w:t xml:space="preserve">can regenerate hyaline cartilage and </w:t>
      </w:r>
      <w:r w:rsidR="00D74652" w:rsidRPr="00000DD3">
        <w:rPr>
          <w:rFonts w:ascii="Book Antiqua" w:hAnsi="Book Antiqua" w:cstheme="minorHAnsi"/>
        </w:rPr>
        <w:t>allow recovery of the</w:t>
      </w:r>
      <w:r w:rsidR="00BA7621" w:rsidRPr="00000DD3">
        <w:rPr>
          <w:rFonts w:ascii="Book Antiqua" w:hAnsi="Book Antiqua" w:cstheme="minorHAnsi"/>
        </w:rPr>
        <w:t xml:space="preserve"> normal mechanical function of </w:t>
      </w:r>
      <w:r w:rsidR="00D74652" w:rsidRPr="00000DD3">
        <w:rPr>
          <w:rFonts w:ascii="Book Antiqua" w:hAnsi="Book Antiqua" w:cstheme="minorHAnsi"/>
        </w:rPr>
        <w:t xml:space="preserve">the </w:t>
      </w:r>
      <w:r w:rsidR="00BA7621" w:rsidRPr="00000DD3">
        <w:rPr>
          <w:rFonts w:ascii="Book Antiqua" w:hAnsi="Book Antiqua" w:cstheme="minorHAnsi"/>
        </w:rPr>
        <w:t>articular cartilage.</w:t>
      </w:r>
      <w:r w:rsidR="00AF1259" w:rsidRPr="00000DD3">
        <w:rPr>
          <w:rFonts w:ascii="Book Antiqua" w:hAnsi="Book Antiqua" w:cstheme="minorHAnsi"/>
        </w:rPr>
        <w:t xml:space="preserve"> </w:t>
      </w:r>
      <w:r w:rsidR="00BD14F4" w:rsidRPr="00000DD3">
        <w:rPr>
          <w:rFonts w:ascii="Book Antiqua" w:hAnsi="Book Antiqua" w:cstheme="minorHAnsi"/>
        </w:rPr>
        <w:t>Thus,</w:t>
      </w:r>
      <w:r w:rsidR="00811F8E" w:rsidRPr="00000DD3">
        <w:rPr>
          <w:rFonts w:ascii="Book Antiqua" w:hAnsi="Book Antiqua" w:cstheme="minorHAnsi"/>
        </w:rPr>
        <w:t xml:space="preserve"> </w:t>
      </w:r>
      <w:r w:rsidR="00E45FAC" w:rsidRPr="00000DD3">
        <w:rPr>
          <w:rFonts w:ascii="Book Antiqua" w:hAnsi="Book Antiqua" w:cstheme="minorHAnsi"/>
        </w:rPr>
        <w:t>studies on cartilage regeneration in dogs have</w:t>
      </w:r>
      <w:r w:rsidR="00811F8E" w:rsidRPr="00000DD3">
        <w:rPr>
          <w:rFonts w:ascii="Book Antiqua" w:hAnsi="Book Antiqua" w:cstheme="minorHAnsi"/>
        </w:rPr>
        <w:t xml:space="preserve"> important role</w:t>
      </w:r>
      <w:r w:rsidR="00E32A3F" w:rsidRPr="00000DD3">
        <w:rPr>
          <w:rFonts w:ascii="Book Antiqua" w:hAnsi="Book Antiqua" w:cstheme="minorHAnsi"/>
        </w:rPr>
        <w:t>s</w:t>
      </w:r>
      <w:r w:rsidR="00811F8E" w:rsidRPr="00000DD3">
        <w:rPr>
          <w:rFonts w:ascii="Book Antiqua" w:hAnsi="Book Antiqua" w:cstheme="minorHAnsi"/>
        </w:rPr>
        <w:t xml:space="preserve"> </w:t>
      </w:r>
      <w:r w:rsidR="00E32A3F" w:rsidRPr="00000DD3">
        <w:rPr>
          <w:rFonts w:ascii="Book Antiqua" w:hAnsi="Book Antiqua" w:cstheme="minorHAnsi"/>
        </w:rPr>
        <w:t xml:space="preserve">in </w:t>
      </w:r>
      <w:r w:rsidR="00811F8E" w:rsidRPr="00000DD3">
        <w:rPr>
          <w:rFonts w:ascii="Book Antiqua" w:hAnsi="Book Antiqua" w:cstheme="minorHAnsi"/>
        </w:rPr>
        <w:t>the improvement of cartilage re</w:t>
      </w:r>
      <w:r w:rsidR="0005038A" w:rsidRPr="00000DD3">
        <w:rPr>
          <w:rFonts w:ascii="Book Antiqua" w:hAnsi="Book Antiqua" w:cstheme="minorHAnsi"/>
        </w:rPr>
        <w:t>pair</w:t>
      </w:r>
      <w:r w:rsidR="00811F8E" w:rsidRPr="00000DD3">
        <w:rPr>
          <w:rFonts w:ascii="Book Antiqua" w:hAnsi="Book Antiqua" w:cstheme="minorHAnsi"/>
        </w:rPr>
        <w:t xml:space="preserve"> </w:t>
      </w:r>
      <w:r w:rsidR="00E32A3F" w:rsidRPr="00000DD3">
        <w:rPr>
          <w:rFonts w:ascii="Book Antiqua" w:hAnsi="Book Antiqua" w:cstheme="minorHAnsi"/>
        </w:rPr>
        <w:t xml:space="preserve">treatments </w:t>
      </w:r>
      <w:r w:rsidR="00811F8E" w:rsidRPr="00000DD3">
        <w:rPr>
          <w:rFonts w:ascii="Book Antiqua" w:hAnsi="Book Antiqua" w:cstheme="minorHAnsi"/>
        </w:rPr>
        <w:t>and</w:t>
      </w:r>
      <w:r w:rsidR="00E45FAC" w:rsidRPr="00000DD3">
        <w:rPr>
          <w:rFonts w:ascii="Book Antiqua" w:hAnsi="Book Antiqua" w:cstheme="minorHAnsi"/>
        </w:rPr>
        <w:t xml:space="preserve"> </w:t>
      </w:r>
      <w:r w:rsidR="00E32A3F" w:rsidRPr="00000DD3">
        <w:rPr>
          <w:rFonts w:ascii="Book Antiqua" w:hAnsi="Book Antiqua" w:cstheme="minorHAnsi"/>
        </w:rPr>
        <w:t xml:space="preserve">can have </w:t>
      </w:r>
      <w:r w:rsidR="00E45FAC" w:rsidRPr="00000DD3">
        <w:rPr>
          <w:rFonts w:ascii="Book Antiqua" w:hAnsi="Book Antiqua" w:cstheme="minorHAnsi"/>
        </w:rPr>
        <w:t xml:space="preserve">great significance </w:t>
      </w:r>
      <w:r w:rsidR="00E32A3F" w:rsidRPr="00000DD3">
        <w:rPr>
          <w:rFonts w:ascii="Book Antiqua" w:hAnsi="Book Antiqua" w:cstheme="minorHAnsi"/>
        </w:rPr>
        <w:t xml:space="preserve">in </w:t>
      </w:r>
      <w:r w:rsidR="00FC1690" w:rsidRPr="00000DD3">
        <w:rPr>
          <w:rFonts w:ascii="Book Antiqua" w:hAnsi="Book Antiqua" w:cstheme="minorHAnsi"/>
        </w:rPr>
        <w:t xml:space="preserve">both </w:t>
      </w:r>
      <w:r w:rsidR="00E45FAC" w:rsidRPr="00000DD3">
        <w:rPr>
          <w:rFonts w:ascii="Book Antiqua" w:hAnsi="Book Antiqua" w:cstheme="minorHAnsi"/>
        </w:rPr>
        <w:t>human</w:t>
      </w:r>
      <w:r w:rsidR="00811F8E" w:rsidRPr="00000DD3">
        <w:rPr>
          <w:rFonts w:ascii="Book Antiqua" w:hAnsi="Book Antiqua" w:cstheme="minorHAnsi"/>
        </w:rPr>
        <w:t xml:space="preserve"> and veterinary</w:t>
      </w:r>
      <w:r w:rsidR="00E45FAC" w:rsidRPr="00000DD3">
        <w:rPr>
          <w:rFonts w:ascii="Book Antiqua" w:hAnsi="Book Antiqua" w:cstheme="minorHAnsi"/>
        </w:rPr>
        <w:t xml:space="preserve"> medicine.</w:t>
      </w:r>
    </w:p>
    <w:p w14:paraId="46B9E64A" w14:textId="77777777" w:rsidR="003F646A" w:rsidRPr="00000DD3" w:rsidRDefault="003F646A" w:rsidP="00874B98">
      <w:pPr>
        <w:spacing w:line="360" w:lineRule="auto"/>
        <w:jc w:val="both"/>
        <w:rPr>
          <w:rFonts w:ascii="Book Antiqua" w:hAnsi="Book Antiqua" w:cstheme="minorHAnsi"/>
        </w:rPr>
      </w:pPr>
    </w:p>
    <w:p w14:paraId="64C48AEF" w14:textId="4EFCE651" w:rsidR="002815B4" w:rsidRPr="00000DD3" w:rsidRDefault="005361CA" w:rsidP="005361CA">
      <w:pPr>
        <w:pStyle w:val="aa"/>
        <w:spacing w:line="360" w:lineRule="auto"/>
        <w:ind w:leftChars="0" w:left="0"/>
        <w:jc w:val="both"/>
        <w:rPr>
          <w:rFonts w:ascii="Book Antiqua" w:hAnsi="Book Antiqua" w:cstheme="minorHAnsi"/>
          <w:b/>
        </w:rPr>
      </w:pPr>
      <w:r w:rsidRPr="00000DD3">
        <w:rPr>
          <w:rFonts w:ascii="Book Antiqua" w:hAnsi="Book Antiqua" w:cs="Arial"/>
          <w:b/>
        </w:rPr>
        <w:t>MSC</w:t>
      </w:r>
      <w:r w:rsidRPr="00000DD3">
        <w:rPr>
          <w:rFonts w:ascii="Book Antiqua" w:hAnsi="Book Antiqua" w:cstheme="minorHAnsi"/>
          <w:b/>
        </w:rPr>
        <w:t xml:space="preserve"> USE IN DOGS</w:t>
      </w:r>
    </w:p>
    <w:p w14:paraId="6312DBCC" w14:textId="7178A9CB" w:rsidR="00367647" w:rsidRPr="00000DD3" w:rsidRDefault="007A320C" w:rsidP="00874B98">
      <w:pPr>
        <w:pStyle w:val="aa"/>
        <w:spacing w:line="360" w:lineRule="auto"/>
        <w:ind w:leftChars="0" w:left="0"/>
        <w:jc w:val="both"/>
        <w:rPr>
          <w:rFonts w:ascii="Book Antiqua" w:hAnsi="Book Antiqua" w:cstheme="minorHAnsi"/>
        </w:rPr>
      </w:pPr>
      <w:r w:rsidRPr="00000DD3">
        <w:rPr>
          <w:rFonts w:ascii="Book Antiqua" w:hAnsi="Book Antiqua" w:cstheme="minorHAnsi"/>
        </w:rPr>
        <w:t xml:space="preserve">MSCs are cells that </w:t>
      </w:r>
      <w:r w:rsidR="002815B4" w:rsidRPr="00000DD3">
        <w:rPr>
          <w:rFonts w:ascii="Book Antiqua" w:hAnsi="Book Antiqua" w:cstheme="minorHAnsi"/>
        </w:rPr>
        <w:t xml:space="preserve">display self-renewal capacity and have </w:t>
      </w:r>
      <w:r w:rsidR="00594D2A" w:rsidRPr="00000DD3">
        <w:rPr>
          <w:rFonts w:ascii="Book Antiqua" w:hAnsi="Book Antiqua" w:cstheme="minorHAnsi"/>
        </w:rPr>
        <w:t xml:space="preserve">the </w:t>
      </w:r>
      <w:r w:rsidR="002815B4" w:rsidRPr="00000DD3">
        <w:rPr>
          <w:rFonts w:ascii="Book Antiqua" w:hAnsi="Book Antiqua" w:cstheme="minorHAnsi"/>
        </w:rPr>
        <w:t xml:space="preserve">potential for differentiation </w:t>
      </w:r>
      <w:r w:rsidR="00594D2A" w:rsidRPr="00000DD3">
        <w:rPr>
          <w:rFonts w:ascii="Book Antiqua" w:hAnsi="Book Antiqua" w:cstheme="minorHAnsi"/>
        </w:rPr>
        <w:t xml:space="preserve">under specific conditions </w:t>
      </w:r>
      <w:r w:rsidR="002815B4" w:rsidRPr="00000DD3">
        <w:rPr>
          <w:rFonts w:ascii="Book Antiqua" w:hAnsi="Book Antiqua" w:cstheme="minorHAnsi"/>
        </w:rPr>
        <w:t>into other cell types</w:t>
      </w:r>
      <w:r w:rsidR="00594D2A" w:rsidRPr="00000DD3">
        <w:rPr>
          <w:rFonts w:ascii="Book Antiqua" w:hAnsi="Book Antiqua" w:cstheme="minorHAnsi"/>
        </w:rPr>
        <w:t>,</w:t>
      </w:r>
      <w:r w:rsidR="002815B4" w:rsidRPr="00000DD3">
        <w:rPr>
          <w:rFonts w:ascii="Book Antiqua" w:hAnsi="Book Antiqua" w:cstheme="minorHAnsi"/>
        </w:rPr>
        <w:t xml:space="preserve"> including cartilage, bone</w:t>
      </w:r>
      <w:r w:rsidR="00594D2A" w:rsidRPr="00000DD3">
        <w:rPr>
          <w:rFonts w:ascii="Book Antiqua" w:hAnsi="Book Antiqua" w:cstheme="minorHAnsi"/>
        </w:rPr>
        <w:t>,</w:t>
      </w:r>
      <w:r w:rsidR="002815B4" w:rsidRPr="00000DD3">
        <w:rPr>
          <w:rFonts w:ascii="Book Antiqua" w:hAnsi="Book Antiqua" w:cstheme="minorHAnsi"/>
        </w:rPr>
        <w:t xml:space="preserve"> and adipose tissue.</w:t>
      </w:r>
      <w:r w:rsidR="0095719F" w:rsidRPr="00000DD3">
        <w:rPr>
          <w:rFonts w:ascii="Book Antiqua" w:hAnsi="Book Antiqua" w:cstheme="minorHAnsi"/>
        </w:rPr>
        <w:t xml:space="preserve"> </w:t>
      </w:r>
      <w:r w:rsidR="000E2185" w:rsidRPr="00000DD3">
        <w:rPr>
          <w:rFonts w:ascii="Book Antiqua" w:hAnsi="Book Antiqua" w:cstheme="minorHAnsi"/>
        </w:rPr>
        <w:t>MSCs were first identified in bone marrow</w:t>
      </w:r>
      <w:r w:rsidR="007C7235" w:rsidRPr="00000DD3">
        <w:rPr>
          <w:rFonts w:ascii="Book Antiqua" w:hAnsi="Book Antiqua" w:cstheme="minorHAnsi"/>
        </w:rPr>
        <w:t xml:space="preserve"> derived from </w:t>
      </w:r>
      <w:r w:rsidR="00594D2A" w:rsidRPr="00000DD3">
        <w:rPr>
          <w:rFonts w:ascii="Book Antiqua" w:hAnsi="Book Antiqua" w:cstheme="minorHAnsi"/>
        </w:rPr>
        <w:t>mice</w:t>
      </w:r>
      <w:r w:rsidR="007C7235"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{"citationItems":[{"id":"ITEM-1","itemData":{"PMID":"5336210","abstract":"After heterotopic (e.g. subcutaneous) transplantation of bone marrow, haemopoiesis in the graft ceases; reticular tissue develops instead, and later bone is formed (Denis, 1958). The result can be achieved by grafting either free pieces of bone marrow or those placed in diffusion chambers (Petrakova, Tolmacheva &amp; Friedenstein, 1963; Rosin, Freiberg &amp; Sajnek, 1963). In the case of free trans- plantation the bone formed is later filled with bone marrow. After transplanta- tion in diffusion chambers haemopoiesis does not recur despite the development of a considerable mass of bone in the chambers (Friedenstein, 1965). The population of bone marrow cells is very heterogeneous, including haemopoietic cells, reticular cells and endosteum elements. According to generally accepted views this population is a mixture of individual cell lines capable of mutual transformations within certain limits (Maximov, 1927; Burwell, 1964). After transplantation some of the pathways of differentiation open to bone marrow tissue (formation of reticular and bone tissues) are stimulated, while others (haemopoiesis) are arrested. This effect could be ascribed to the death of haemopoietic stem cells and to proliferation of cells responsible for the develop- ment of reticular and bone tissue. It may, however, depend upon transformation of haemopoietic cells to reticular and osteogenic cells. An analysis of these possibilities encounters difficulties as there are no reliable data concerning the potentialities for transformation of different types of bone marrow cells, and especially of the stem cells. There is no convincing evidence for the dependence of various histogenetic pathways in bone marrow tissue (haemopoiesis, osteogenesis or the development of reticular tissue) upon in- dividual differences of the stem cells concerned. All of them could be provided by one common line of stem cells whose differentiation is controlled by condi- tions","author":[{"dropping-particle":"","family":"Friedenstein","given":"A. J.","non-dropping-particle":"","parse-names":false,"suffix":""},{"dropping-particle":"","family":"Piatetzky-Shapiro","given":"I.I.","non-dropping-particle":"","parse-names":false,"suffix":""},{"dropping-particle":"","family":"Petertakova","given":"K.V.","non-dropping-particle":"","parse-names":false,"suffix":""}],"container-title":"Journal of embryology and experimental morphology","id":"ITEM-1","issue":"3","issued":{"date-parts":[["1966"]]},"page":"381-390","title":"Osteogenesis in transplants of bone marrow cells","type":"article-journal","volume":"16"},"uris":["http://www.mendeley.com/documents/?uuid=fb5c9336-4572-3daf-8195-0366f315e03c"]}],"mendeley":{"formattedCitation":"&lt;sup&gt;[32]&lt;/sup&gt;","plainTextFormattedCitation":"[32]","previouslyFormattedCitation":"&lt;sup&gt;[32]&lt;/sup&gt;"},"properties":{"noteIndex":0},"schema":"https://github.com/citation-style-language/schema/raw/master/csl-citation.json"}</w:instrText>
      </w:r>
      <w:r w:rsidR="007C7235" w:rsidRPr="00000DD3">
        <w:rPr>
          <w:rFonts w:ascii="Book Antiqua" w:hAnsi="Book Antiqua" w:cstheme="minorHAnsi"/>
        </w:rPr>
        <w:fldChar w:fldCharType="separate"/>
      </w:r>
      <w:r w:rsidR="00BC68DD" w:rsidRPr="00000DD3">
        <w:rPr>
          <w:rFonts w:ascii="Book Antiqua" w:hAnsi="Book Antiqua" w:cstheme="minorHAnsi"/>
          <w:noProof/>
          <w:vertAlign w:val="superscript"/>
        </w:rPr>
        <w:t>[32]</w:t>
      </w:r>
      <w:r w:rsidR="007C7235" w:rsidRPr="00000DD3">
        <w:rPr>
          <w:rFonts w:ascii="Book Antiqua" w:hAnsi="Book Antiqua" w:cstheme="minorHAnsi"/>
        </w:rPr>
        <w:fldChar w:fldCharType="end"/>
      </w:r>
      <w:r w:rsidR="000E2185" w:rsidRPr="00000DD3">
        <w:rPr>
          <w:rFonts w:ascii="Book Antiqua" w:hAnsi="Book Antiqua" w:cstheme="minorHAnsi"/>
        </w:rPr>
        <w:t xml:space="preserve">, </w:t>
      </w:r>
      <w:r w:rsidR="002157E5" w:rsidRPr="00000DD3">
        <w:rPr>
          <w:rFonts w:ascii="Book Antiqua" w:hAnsi="Book Antiqua" w:cstheme="minorHAnsi"/>
        </w:rPr>
        <w:t xml:space="preserve">but </w:t>
      </w:r>
      <w:r w:rsidR="00594D2A" w:rsidRPr="00000DD3">
        <w:rPr>
          <w:rFonts w:ascii="Book Antiqua" w:hAnsi="Book Antiqua" w:cstheme="minorHAnsi"/>
        </w:rPr>
        <w:t xml:space="preserve">were </w:t>
      </w:r>
      <w:r w:rsidR="002157E5" w:rsidRPr="00000DD3">
        <w:rPr>
          <w:rFonts w:ascii="Book Antiqua" w:hAnsi="Book Antiqua" w:cstheme="minorHAnsi"/>
        </w:rPr>
        <w:t xml:space="preserve">subsequently isolated from </w:t>
      </w:r>
      <w:r w:rsidR="00553079" w:rsidRPr="00000DD3">
        <w:rPr>
          <w:rFonts w:ascii="Book Antiqua" w:hAnsi="Book Antiqua" w:cstheme="minorHAnsi"/>
        </w:rPr>
        <w:t>other tissues</w:t>
      </w:r>
      <w:r w:rsidR="00594D2A" w:rsidRPr="00000DD3">
        <w:rPr>
          <w:rFonts w:ascii="Book Antiqua" w:hAnsi="Book Antiqua" w:cstheme="minorHAnsi"/>
        </w:rPr>
        <w:t>,</w:t>
      </w:r>
      <w:r w:rsidR="00553079" w:rsidRPr="00000DD3">
        <w:rPr>
          <w:rFonts w:ascii="Book Antiqua" w:hAnsi="Book Antiqua" w:cstheme="minorHAnsi"/>
        </w:rPr>
        <w:t xml:space="preserve"> including </w:t>
      </w:r>
      <w:r w:rsidR="002157E5" w:rsidRPr="00000DD3">
        <w:rPr>
          <w:rFonts w:ascii="Book Antiqua" w:hAnsi="Book Antiqua" w:cstheme="minorHAnsi"/>
        </w:rPr>
        <w:t>adipose</w:t>
      </w:r>
      <w:r w:rsidR="00721C30" w:rsidRPr="00000DD3">
        <w:rPr>
          <w:rFonts w:ascii="Book Antiqua" w:hAnsi="Book Antiqua" w:cstheme="minorHAnsi"/>
        </w:rPr>
        <w:t xml:space="preserve"> </w:t>
      </w:r>
      <w:r w:rsidR="002157E5" w:rsidRPr="00000DD3">
        <w:rPr>
          <w:rFonts w:ascii="Book Antiqua" w:hAnsi="Book Antiqua" w:cstheme="minorHAnsi"/>
        </w:rPr>
        <w:t>tissue</w:t>
      </w:r>
      <w:r w:rsidR="00C965B0" w:rsidRPr="00000DD3">
        <w:rPr>
          <w:rFonts w:ascii="Book Antiqua" w:hAnsi="Book Antiqua" w:cstheme="minorHAnsi"/>
        </w:rPr>
        <w:fldChar w:fldCharType="begin" w:fldLock="1"/>
      </w:r>
      <w:r w:rsidR="005C5CD4" w:rsidRPr="00000DD3">
        <w:rPr>
          <w:rFonts w:ascii="Book Antiqua" w:hAnsi="Book Antiqua" w:cstheme="minorHAnsi"/>
        </w:rPr>
        <w:instrText>ADDIN CSL_CITATION {"citationItems":[{"id":"ITEM-1","itemData":{"DOI":"10.1089/107632701300062859","ISSN":"1076-3279","PMID":"11304456","abstract":"Future cell-based therapies such as tissue engineering will benefit from a source of autologous pluripotent stem cells. For mesodermal tissue engineering, one such source of cells is the bone marrow stroma. The bone marrow compartment contains several cell populations, including mesenchymal stem cells (MSCs) that are capable of differentiating into adipogenic, osteogenic, chondrogenic, and myogenic cells. However, autologous bone marrow procurement has potential limitations. An alternate source of autologous adult stem cells that is obtainable in large quantities, under local anesthesia, with minimal discomfort would be advantageous. In this study, we determined if a population of stem cells could be isolated from human adipose tissue. Human adipose tissue, obtained by suction-assisted lipectomy (i.e., liposuction), was processed to obtain a fibroblast-like population of cells or a processed lipoaspirate (PLA). These PLA cells can be maintained in vitro for extended periods with stable population doubling and low levels of senescence. Immunofluorescence and flow cytometry show that the majority of PLA cells are of mesodermal or mesenchymal origin with low levels of contaminating pericytes, endothelial cells, and smooth muscle cells. Finally, PLA cells differentiate in vitro into adipogenic, chondrogenic, myogenic, and osteogenic cells in the presence of lineage-specific induction factors. In conclusion, the data support the hypothesis that a human lipoaspirate contains multipotent cells and may represent an alternative stem cell source to bone marrow-derived MSCs.","author":[{"dropping-particle":"","family":"Zuk","given":"Patricia A.","non-dropping-particle":"","parse-names":false,"suffix":""},{"dropping-particle":"","family":"Zhu","given":"Min","non-dropping-particle":"","parse-names":false,"suffix":""},{"dropping-particle":"","family":"Mizuno","given":"Hiroshi","non-dropping-particle":"","parse-names":false,"suffix":""},{"dropping-particle":"","family":"Huang","given":"Jerry","non-dropping-particle":"","parse-names":false,"suffix":""},{"dropping-particle":"","family":"Futrell","given":"J. William","non-dropping-particle":"","parse-names":false,"suffix":""},{"dropping-particle":"","family":"Katz","given":"Adam J.","non-dropping-particle":"","parse-names":false,"suffix":""},{"dropping-particle":"","family":"Benhaim","given":"Prosper","non-dropping-particle":"","parse-names":false,"suffix":""},{"dropping-particle":"","family":"Lorenz","given":"H. Peter","non-dropping-particle":"","parse-names":false,"suffix":""},{"dropping-particle":"","family":"Hedrick","given":"Marc H.","non-dropping-particle":"","parse-names":false,"suffix":""}],"container-title":"Tissue Engineering","id":"ITEM-1","issue":"2","issued":{"date-parts":[["2001","4"]]},"page":"211-228","title":"Multilineage cells from human adipose tissue: implications for cell-based therapies","type":"article-journal","volume":"7"},"uris":["http://www.mendeley.com/documents/?uuid=0235be09-281c-345e-8dcc-0be795dbb5c4"]}],"mendeley":{"formattedCitation":"&lt;sup&gt;[33]&lt;/sup&gt;","plainTextFormattedCitation":"[33]","previouslyFormattedCitation":"&lt;sup&gt;[33]&lt;/sup&gt;"},"properties":{"noteIndex":0},"schema":"https://github.com/citation-style-language/schema/raw/master/csl-citation.json"}</w:instrText>
      </w:r>
      <w:r w:rsidR="00C965B0" w:rsidRPr="00000DD3">
        <w:rPr>
          <w:rFonts w:ascii="Book Antiqua" w:hAnsi="Book Antiqua" w:cstheme="minorHAnsi"/>
        </w:rPr>
        <w:fldChar w:fldCharType="separate"/>
      </w:r>
      <w:r w:rsidR="00BC68DD" w:rsidRPr="00000DD3">
        <w:rPr>
          <w:rFonts w:ascii="Book Antiqua" w:hAnsi="Book Antiqua" w:cstheme="minorHAnsi"/>
          <w:noProof/>
          <w:vertAlign w:val="superscript"/>
        </w:rPr>
        <w:t>[33]</w:t>
      </w:r>
      <w:r w:rsidR="00C965B0" w:rsidRPr="00000DD3">
        <w:rPr>
          <w:rFonts w:ascii="Book Antiqua" w:hAnsi="Book Antiqua" w:cstheme="minorHAnsi"/>
        </w:rPr>
        <w:fldChar w:fldCharType="end"/>
      </w:r>
      <w:r w:rsidR="002157E5" w:rsidRPr="00000DD3">
        <w:rPr>
          <w:rFonts w:ascii="Book Antiqua" w:hAnsi="Book Antiqua" w:cstheme="minorHAnsi"/>
        </w:rPr>
        <w:t>, umbilical cord</w:t>
      </w:r>
      <w:r w:rsidR="00F24FBC" w:rsidRPr="00000DD3">
        <w:rPr>
          <w:rFonts w:ascii="Book Antiqua" w:hAnsi="Book Antiqua" w:cstheme="minorHAnsi"/>
        </w:rPr>
        <w:fldChar w:fldCharType="begin" w:fldLock="1"/>
      </w:r>
      <w:r w:rsidR="005C5CD4" w:rsidRPr="00000DD3">
        <w:rPr>
          <w:rFonts w:ascii="Book Antiqua" w:hAnsi="Book Antiqua" w:cstheme="minorHAnsi"/>
        </w:rPr>
        <w:instrText>ADDIN CSL_CITATION {"citationItems":[{"id":"ITEM-1","itemData":{"DOI":"10.1634/stemcells.21-1-105","ISBN":"4940428033494","ISSN":"1066-6099","PMID":"12529557","abstract":"Embryonic stem (ES) cells are of significant interest as a renewable source of therapeutically useful cells. ES cell aggregation is important for both human and mouse embryoid body (EB) formation and the subsequent generation of ES cell derivatives. Aggregation between EBs (agglomeration), however, inhibits cell growth and differentiation in stirred or high-cell-density static cultures. We demonstrate that the agglomeration of two EBs is initiated by E-cadherin-mediated cell attachment and followed by active cell migration. We report the development of a technology capable of controlling cell-cell interactions in scalable culture by the mass encapsulation of ES cells in size-specified agarose capsules. When placed in stirred-suspension bioreactors, encapsulated ES cells can be used to produce scalable quantities of hematopoietic progenitor cells in a controlled environment.","author":[{"dropping-particle":"","family":"Romanov","given":"Y. A.","non-dropping-particle":"","parse-names":false,"suffix":""},{"dropping-particle":"","family":"Svintsitskaya","given":"Veronika A.","non-dropping-particle":"","parse-names":false,"suffix":""},{"dropping-particle":"","family":"Smirnov","given":"Vladimir N.","non-dropping-particle":"","parse-names":false,"suffix":""}],"container-title":"Stem Cells","id":"ITEM-1","issue":"1","issued":{"date-parts":[["2003"]]},"page":"105-110","title":"Searching for alternative sources of postnatal human mesenchymal stem cells: candidate MSC-like cells from umbilical cord","type":"article-journal","volume":"21"},"uris":["http://www.mendeley.com/documents/?uuid=89acf516-17a0-3723-b95a-e0fc26fd59a4"]}],"mendeley":{"formattedCitation":"&lt;sup&gt;[34]&lt;/sup&gt;","plainTextFormattedCitation":"[34]","previouslyFormattedCitation":"&lt;sup&gt;[34]&lt;/sup&gt;"},"properties":{"noteIndex":0},"schema":"https://github.com/citation-style-language/schema/raw/master/csl-citation.json"}</w:instrText>
      </w:r>
      <w:r w:rsidR="00F24FBC" w:rsidRPr="00000DD3">
        <w:rPr>
          <w:rFonts w:ascii="Book Antiqua" w:hAnsi="Book Antiqua" w:cstheme="minorHAnsi"/>
        </w:rPr>
        <w:fldChar w:fldCharType="separate"/>
      </w:r>
      <w:r w:rsidR="00BC68DD" w:rsidRPr="00000DD3">
        <w:rPr>
          <w:rFonts w:ascii="Book Antiqua" w:hAnsi="Book Antiqua" w:cstheme="minorHAnsi"/>
          <w:noProof/>
          <w:vertAlign w:val="superscript"/>
        </w:rPr>
        <w:t>[34]</w:t>
      </w:r>
      <w:r w:rsidR="00F24FBC" w:rsidRPr="00000DD3">
        <w:rPr>
          <w:rFonts w:ascii="Book Antiqua" w:hAnsi="Book Antiqua" w:cstheme="minorHAnsi"/>
        </w:rPr>
        <w:fldChar w:fldCharType="end"/>
      </w:r>
      <w:r w:rsidR="002157E5" w:rsidRPr="00000DD3">
        <w:rPr>
          <w:rFonts w:ascii="Book Antiqua" w:hAnsi="Book Antiqua" w:cstheme="minorHAnsi"/>
        </w:rPr>
        <w:t>, dental</w:t>
      </w:r>
      <w:r w:rsidR="00553079" w:rsidRPr="00000DD3">
        <w:rPr>
          <w:rFonts w:ascii="Book Antiqua" w:hAnsi="Book Antiqua" w:cstheme="minorHAnsi"/>
        </w:rPr>
        <w:t xml:space="preserve"> </w:t>
      </w:r>
      <w:r w:rsidR="002157E5" w:rsidRPr="00000DD3">
        <w:rPr>
          <w:rFonts w:ascii="Book Antiqua" w:hAnsi="Book Antiqua" w:cstheme="minorHAnsi"/>
        </w:rPr>
        <w:t>pulp</w:t>
      </w:r>
      <w:r w:rsidR="005E7387"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{"citationItems":[{"id":"ITEM-1","itemData":{"DOI":"10.1073/pnas.240309797","ISSN":"0027-8424","PMID":"11087820","abstract":"Dentinal repair in the postnatal organism occurs through the activity of specialized cells, odontoblasts, that are thought to be maintained by an as yet undefined precursor population associated with pulp tissue. In this study, we isolated a clonogenic, rapidly proliferative population of cells from adult human dental pulp. These DPSCs were then compared with human bone marrow stromal cells (BMSCs), known precursors of osteoblasts. Although they share a similar immunophenotype in vitro, functional studies showed that DPSCs produced only sporadic, but densely calcified nodules, and did not form adipocytes, whereas BMSCs routinely calcified throughout the adherent cell layer with clusters of lipid-laden adipocytes. When DPSCs were transplanted into immunocompromised mice, they generated a dentin-like structure lined with human odontoblast-like cells that surrounded a pulp-like interstitial tissue. In contrast, BMSCs formed lamellar bone containing osteocytes and surface-lining osteoblasts, surrounding a fibrous vascular tissue with active hematopoiesis and adipocytes. This study isolates postnatal human DPSCs that have the ability to form a dentin/pulp-like complex.","author":[{"dropping-particle":"","family":"Gronthos","given":"S","non-dropping-particle":"","parse-names":false,"suffix":""},{"dropping-particle":"","family":"Mankani","given":"M","non-dropping-particle":"","parse-names":false,"suffix":""},{"dropping-particle":"","family":"Brahim","given":"J","non-dropping-particle":"","parse-names":false,"suffix":""},{"dropping-particle":"","family":"Robey","given":"P G","non-dropping-particle":"","parse-names":false,"suffix":""},{"dropping-particle":"","family":"Shi","given":"S","non-dropping-particle":"","parse-names":false,"suffix":""}],"container-title":"Proceedings of the National Academy of Sciences of the United States of America","id":"ITEM-1","issue":"25","issued":{"date-parts":[["2000","12","5"]]},"page":"13625-30","publisher":"National Academy of Sciences","title":"Postnatal human dental pulp stem cells (DPSCs) in vitro and in vivo.","type":"article-journal","volume":"97"},"uris":["http://www.mendeley.com/documents/?uuid=5d3f1668-647c-3788-9232-49934f7527ad"]}],"mendeley":{"formattedCitation":"&lt;sup&gt;[35]&lt;/sup&gt;","plainTextFormattedCitation":"[35]","previouslyFormattedCitation":"&lt;sup&gt;[35]&lt;/sup&gt;"},"properties":{"noteIndex":0},"schema":"https://github.com/citation-style-language/schema/raw/master/csl-citation.json"}</w:instrText>
      </w:r>
      <w:r w:rsidR="005E7387" w:rsidRPr="00000DD3">
        <w:rPr>
          <w:rFonts w:ascii="Book Antiqua" w:hAnsi="Book Antiqua" w:cstheme="minorHAnsi"/>
        </w:rPr>
        <w:fldChar w:fldCharType="separate"/>
      </w:r>
      <w:r w:rsidR="00BC68DD" w:rsidRPr="00000DD3">
        <w:rPr>
          <w:rFonts w:ascii="Book Antiqua" w:hAnsi="Book Antiqua" w:cstheme="minorHAnsi"/>
          <w:noProof/>
          <w:vertAlign w:val="superscript"/>
        </w:rPr>
        <w:t>[35]</w:t>
      </w:r>
      <w:r w:rsidR="005E7387" w:rsidRPr="00000DD3">
        <w:rPr>
          <w:rFonts w:ascii="Book Antiqua" w:hAnsi="Book Antiqua" w:cstheme="minorHAnsi"/>
        </w:rPr>
        <w:fldChar w:fldCharType="end"/>
      </w:r>
      <w:r w:rsidR="005E7387" w:rsidRPr="00000DD3">
        <w:rPr>
          <w:rFonts w:ascii="Book Antiqua" w:hAnsi="Book Antiqua" w:cstheme="minorHAnsi"/>
        </w:rPr>
        <w:t>,</w:t>
      </w:r>
      <w:r w:rsidR="004161F9" w:rsidRPr="00000DD3">
        <w:rPr>
          <w:rFonts w:ascii="Book Antiqua" w:hAnsi="Book Antiqua" w:cstheme="minorHAnsi"/>
        </w:rPr>
        <w:t xml:space="preserve"> infrapatellar fat pad</w:t>
      </w:r>
      <w:r w:rsidR="007D7E1A"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{"citationItems":[{"id":"ITEM-1","itemData":{"DOI":"10.1097/01.blo.0000072467.53786.ca","ISBN":"0009-921X (Print)\\r0009-921X (Linking)","ISSN":"0009921X","PMID":"12838072","abstract":"Tissue engineering approaches for promoting the repair of skeletal tissues have focused on cell-based therapies involving multipotent stromal cells. Recent studies have identified such cells in several tissues in the adult human, including skin, muscle, bone marrow, and subcutaneous fat. This study examined the hypothesis that the infrapatellar fat pad of the adult knee contains progenitor cells that have the ability to differentiate into chondrocytes, osteoblasts, or adipocytes under appropriate culture conditions. Cells isolated from the fat pad stroma had a profile of cell-surface molecules similar but not identical to that of bone marrow-derived mesenchymal stem cells. Using defined culture conditions, fat pad-derived stromal cells were induced to differentiate cells with phenotypic characteristics of: (1) chondrocytes, synthesizing cartilage matrix molecules; (2) adipocytes, producing lipid vacuoles and leptin; or (3) osteoblasts, forming mineralized tissue. The culture conditions also modulated the expression of characteristic gene markers for each lineage. This study supports the hypothesis that multipotent stromal cells are present in many connective tissues in the adult human. Given its location and accessibility, the fat pad may prove to be a potential source of progenitor cells for musculoskeletal tissue engineering.","author":[{"dropping-particle":"","family":"Wickham","given":"M. Quinn","non-dropping-particle":"","parse-names":false,"suffix":""},{"dropping-particle":"","family":"Erickson","given":"Geoffrey R.","non-dropping-particle":"","parse-names":false,"suffix":""},{"dropping-particle":"","family":"Gimble","given":"Jeffrey M.","non-dropping-particle":"","parse-names":false,"suffix":""},{"dropping-particle":"","family":"Vail","given":"T. Parker","non-dropping-particle":"","parse-names":false,"suffix":""},{"dropping-particle":"","family":"Guilak","given":"Farshid","non-dropping-particle":"","parse-names":false,"suffix":""}],"container-title":"Clinical Orthopaedics and Related Research","id":"ITEM-1","issued":{"date-parts":[["2003"]]},"page":"196-212","title":"Multipotent stromal cells derived from the infrapatellar fat pad of the knee","type":"article-journal","volume":"412"},"uris":["http://www.mendeley.com/documents/?uuid=fafd10ea-8b8d-3d06-b8d1-a25b2fc6ba31"]}],"mendeley":{"formattedCitation":"&lt;sup&gt;[36]&lt;/sup&gt;","plainTextFormattedCitation":"[36]","previouslyFormattedCitation":"&lt;sup&gt;[36]&lt;/sup&gt;"},"properties":{"noteIndex":0},"schema":"https://github.com/citation-style-language/schema/raw/master/csl-citation.json"}</w:instrText>
      </w:r>
      <w:r w:rsidR="007D7E1A" w:rsidRPr="00000DD3">
        <w:rPr>
          <w:rFonts w:ascii="Book Antiqua" w:hAnsi="Book Antiqua" w:cstheme="minorHAnsi"/>
        </w:rPr>
        <w:fldChar w:fldCharType="separate"/>
      </w:r>
      <w:r w:rsidR="00BC68DD" w:rsidRPr="00000DD3">
        <w:rPr>
          <w:rFonts w:ascii="Book Antiqua" w:hAnsi="Book Antiqua" w:cstheme="minorHAnsi"/>
          <w:noProof/>
          <w:vertAlign w:val="superscript"/>
        </w:rPr>
        <w:t>[36]</w:t>
      </w:r>
      <w:r w:rsidR="007D7E1A" w:rsidRPr="00000DD3">
        <w:rPr>
          <w:rFonts w:ascii="Book Antiqua" w:hAnsi="Book Antiqua" w:cstheme="minorHAnsi"/>
        </w:rPr>
        <w:fldChar w:fldCharType="end"/>
      </w:r>
      <w:r w:rsidR="00594D2A" w:rsidRPr="00000DD3">
        <w:rPr>
          <w:rFonts w:ascii="Book Antiqua" w:hAnsi="Book Antiqua" w:cstheme="minorHAnsi"/>
        </w:rPr>
        <w:t>,</w:t>
      </w:r>
      <w:r w:rsidR="004161F9" w:rsidRPr="00000DD3">
        <w:rPr>
          <w:rFonts w:ascii="Book Antiqua" w:hAnsi="Book Antiqua" w:cstheme="minorHAnsi"/>
        </w:rPr>
        <w:t xml:space="preserve"> and</w:t>
      </w:r>
      <w:r w:rsidR="00AA2CBE" w:rsidRPr="00000DD3">
        <w:rPr>
          <w:rFonts w:ascii="Book Antiqua" w:hAnsi="Book Antiqua" w:cstheme="minorHAnsi"/>
        </w:rPr>
        <w:t xml:space="preserve"> synovial membrane</w:t>
      </w:r>
      <w:r w:rsidR="007D7E1A"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{"citationItems":[{"id":"ITEM-1","itemData":{"DOI":"10.1002/1529-0131(200108)44:8&lt;1928::AID-ART331&gt;3.0.CO;2-P","ISBN":"0004-3591","ISSN":"00043591","PMID":"11508446","abstract":"Objective. To characterize mesenchymal stem cells (MSCs) from human synovial membrane (SM). Methods. Cell populations were enzymatically re-leased from the SM obtained from knee joints of adult human donors and were expanded in monolayer with serial passages at confluence. Cell clones were obtained by limiting dilution. At different passages, SM-derived cells were subjected to in vitro assays to investigate their multilineage potential. Upon treatments, phenotypes of cell cultures were analyzed by histo-and immunohisto-chemistry and by semiquantitative reverse transcription– polymerase chain reaction for the expression of lineage-related marker genes. Results. SM-derived cells could be expanded ex-tensively in monolayer, with limited senescence. Under appropriate culture conditions, SM-derived cells were induced to differentiate to the chondrocyte, osteocyte, and adipocyte lineages. Sporadic myogenesis was also observed. Five independent cell clones displayed multi-lineage potential. Interestingly, only 1 clone was myo-genic. Donor age, cell passaging, and cryopreservation did not affect the multilineage potential of SM-derived cells. In contrast, normal dermal fibroblasts under the same culture conditions did not display this potential. Conclusion. Our study demonstrates that human multipotent MSCs can be isolated from the SM of knee joints. These cells have the ability to proliferate exten-sively in culture, and they maintain their multilineage differentiation potential in vitro, establishing their pro-genitor cell nature. SM-derived MSCs may play a role in the regenerative response during arthritic diseases and are promising candidates for developing novel cell-based therapeutic approaches for postnatal skeletal tissue repair.","author":[{"dropping-particle":"","family":"Bari","given":"Cosimo","non-dropping-particle":"De","parse-names":false,"suffix":""},{"dropping-particle":"","family":"Dell'Accio","given":"Francesco","non-dropping-particle":"","parse-names":false,"suffix":""},{"dropping-particle":"","family":"Tylzanowski","given":"Przemyslaw","non-dropping-particle":"","parse-names":false,"suffix":""},{"dropping-particle":"","family":"Luyten","given":"Frank P.","non-dropping-particle":"","parse-names":false,"suffix":""}],"container-title":"Arthritis and Rheumatism","id":"ITEM-1","issue":"8","issued":{"date-parts":[["2001"]]},"page":"1928-42","title":"Multipotent mesenchymal stem cells from adult human synovial membrane","type":"article-journal","volume":"44"},"uris":["http://www.mendeley.com/documents/?uuid=56e39387-81c2-3e46-ac14-a97c6745fe1d"]}],"mendeley":{"formattedCitation":"&lt;sup&gt;[37]&lt;/sup&gt;","plainTextFormattedCitation":"[37]","previouslyFormattedCitation":"&lt;sup&gt;[37]&lt;/sup&gt;"},"properties":{"noteIndex":0},"schema":"https://github.com/citation-style-language/schema/raw/master/csl-citation.json"}</w:instrText>
      </w:r>
      <w:r w:rsidR="007D7E1A" w:rsidRPr="00000DD3">
        <w:rPr>
          <w:rFonts w:ascii="Book Antiqua" w:hAnsi="Book Antiqua" w:cstheme="minorHAnsi"/>
        </w:rPr>
        <w:fldChar w:fldCharType="separate"/>
      </w:r>
      <w:r w:rsidR="00BC68DD" w:rsidRPr="00000DD3">
        <w:rPr>
          <w:rFonts w:ascii="Book Antiqua" w:hAnsi="Book Antiqua" w:cstheme="minorHAnsi"/>
          <w:noProof/>
          <w:vertAlign w:val="superscript"/>
        </w:rPr>
        <w:t>[37]</w:t>
      </w:r>
      <w:r w:rsidR="007D7E1A" w:rsidRPr="00000DD3">
        <w:rPr>
          <w:rFonts w:ascii="Book Antiqua" w:hAnsi="Book Antiqua" w:cstheme="minorHAnsi"/>
        </w:rPr>
        <w:fldChar w:fldCharType="end"/>
      </w:r>
      <w:r w:rsidR="007D7E1A" w:rsidRPr="00000DD3">
        <w:rPr>
          <w:rFonts w:ascii="Book Antiqua" w:hAnsi="Book Antiqua" w:cstheme="minorHAnsi"/>
        </w:rPr>
        <w:t>.</w:t>
      </w:r>
      <w:r w:rsidR="009C6D32" w:rsidRPr="00000DD3">
        <w:rPr>
          <w:rFonts w:ascii="Book Antiqua" w:hAnsi="Book Antiqua" w:cstheme="minorHAnsi"/>
        </w:rPr>
        <w:t xml:space="preserve"> </w:t>
      </w:r>
      <w:r w:rsidR="00721C30" w:rsidRPr="00000DD3">
        <w:rPr>
          <w:rFonts w:ascii="Book Antiqua" w:hAnsi="Book Antiqua" w:cstheme="minorHAnsi"/>
        </w:rPr>
        <w:t xml:space="preserve">MSCs </w:t>
      </w:r>
      <w:r w:rsidR="00C54DF4" w:rsidRPr="00000DD3">
        <w:rPr>
          <w:rFonts w:ascii="Book Antiqua" w:hAnsi="Book Antiqua" w:cstheme="minorHAnsi"/>
        </w:rPr>
        <w:t>can also be isolated and cultured</w:t>
      </w:r>
      <w:r w:rsidR="00721C30" w:rsidRPr="00000DD3">
        <w:rPr>
          <w:rFonts w:ascii="Book Antiqua" w:hAnsi="Book Antiqua" w:cstheme="minorHAnsi"/>
        </w:rPr>
        <w:t xml:space="preserve"> from </w:t>
      </w:r>
      <w:r w:rsidR="00C54DF4" w:rsidRPr="00000DD3">
        <w:rPr>
          <w:rFonts w:ascii="Book Antiqua" w:hAnsi="Book Antiqua" w:cstheme="minorHAnsi"/>
        </w:rPr>
        <w:t xml:space="preserve">tissues </w:t>
      </w:r>
      <w:r w:rsidR="00AA093C" w:rsidRPr="00000DD3">
        <w:rPr>
          <w:rFonts w:ascii="Book Antiqua" w:hAnsi="Book Antiqua" w:cstheme="minorHAnsi"/>
        </w:rPr>
        <w:t xml:space="preserve">obtained </w:t>
      </w:r>
      <w:r w:rsidR="00594D2A" w:rsidRPr="00000DD3">
        <w:rPr>
          <w:rFonts w:ascii="Book Antiqua" w:hAnsi="Book Antiqua" w:cstheme="minorHAnsi"/>
        </w:rPr>
        <w:t xml:space="preserve">from </w:t>
      </w:r>
      <w:r w:rsidR="00721C30" w:rsidRPr="00000DD3">
        <w:rPr>
          <w:rFonts w:ascii="Book Antiqua" w:hAnsi="Book Antiqua" w:cstheme="minorHAnsi"/>
        </w:rPr>
        <w:t>various animal species</w:t>
      </w:r>
      <w:r w:rsidR="00AA093C" w:rsidRPr="00000DD3">
        <w:rPr>
          <w:rFonts w:ascii="Book Antiqua" w:hAnsi="Book Antiqua" w:cstheme="minorHAnsi"/>
        </w:rPr>
        <w:t>,</w:t>
      </w:r>
      <w:r w:rsidR="00721C30" w:rsidRPr="00000DD3">
        <w:rPr>
          <w:rFonts w:ascii="Book Antiqua" w:hAnsi="Book Antiqua" w:cstheme="minorHAnsi"/>
        </w:rPr>
        <w:t xml:space="preserve"> </w:t>
      </w:r>
      <w:r w:rsidR="00C54DF4" w:rsidRPr="00000DD3">
        <w:rPr>
          <w:rFonts w:ascii="Book Antiqua" w:hAnsi="Book Antiqua" w:cstheme="minorHAnsi"/>
        </w:rPr>
        <w:t xml:space="preserve">including </w:t>
      </w:r>
      <w:r w:rsidR="00721C30" w:rsidRPr="00000DD3">
        <w:rPr>
          <w:rFonts w:ascii="Book Antiqua" w:hAnsi="Book Antiqua" w:cstheme="minorHAnsi"/>
        </w:rPr>
        <w:t>r</w:t>
      </w:r>
      <w:r w:rsidR="00C54DF4" w:rsidRPr="00000DD3">
        <w:rPr>
          <w:rFonts w:ascii="Book Antiqua" w:hAnsi="Book Antiqua" w:cstheme="minorHAnsi"/>
        </w:rPr>
        <w:t>at</w:t>
      </w:r>
      <w:r w:rsidR="00721C30" w:rsidRPr="00000DD3">
        <w:rPr>
          <w:rFonts w:ascii="Book Antiqua" w:hAnsi="Book Antiqua" w:cstheme="minorHAnsi"/>
        </w:rPr>
        <w:t>s</w:t>
      </w:r>
      <w:r w:rsidR="00C54DF4"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{"citationItems":[{"id":"ITEM-1","itemData":{"DOI":"10.1007/s00441-006-0308-z","ISBN":"0302-766X (Print)\\r0302-766X (Linking)","ISSN":"0302766X","PMID":"17053900","abstract":"Mesenchymal stem cells (MSCs) are increasingly being reported as occurring in a variety of tissues. Although MSCs from human bone marrow are relatively easy to harvest, the isolation of rodent MSCs is more difficult, thereby limiting the number of experiments in vivo. To determine a suitable cell source, we isolated rat MSCs from bone marrow, synovium, periosteum, adipose, and muscle and compared their properties for yield, expansion, and multipotentiality. After two passages, the cells in each population were CD11b (-), CD45 (-), and CD90 (+). The colony number per nucleated cells derived from synovium was 100-fold higher than that for cells derived from bone marrow. With regard to expansion potential, synovium-derived cells were the highest in colony-forming efficiency, fold increase, and growth kinetics. An in vitro chondrogenesis assay demonstrated that the pellets derived from synovium were heavier, because of their greater production of cartilage matrix, than those from other tissues, indicating their superiority in chondrogenesis. Synovium-derived cells retained their chondrogenic potential after a few passages. The Oil Red-O positive colony-rate assay demonstrated higher adipogenic potential in synovium- and adipose-derived cells. Alkaline phosphatase activity was greater in periosteum- and muscle-derived cells during calcification. The yield and proliferation potential of rat MSCs from solid tissues was much better than those from bone marrow. In particular, synovium-derived cells had the greatest potential for both proliferation and chondrogenesis, indicating their usefulness for cartilage study in a rat model.","author":[{"dropping-particle":"","family":"Yoshimura","given":"Hideya","non-dropping-particle":"","parse-names":false,"suffix":""},{"dropping-particle":"","family":"Muneta","given":"Takeshi","non-dropping-particle":"","parse-names":false,"suffix":""},{"dropping-particle":"","family":"Nimura","given":"Akimoto","non-dropping-particle":"","parse-names":false,"suffix":""},{"dropping-particle":"","family":"Yokoyama","given":"Akiko","non-dropping-particle":"","parse-names":false,"suffix":""},{"dropping-particle":"","family":"Koga","given":"Hideyuki","non-dropping-particle":"","parse-names":false,"suffix":""},{"dropping-particle":"","family":"Sekiya","given":"Ichiro","non-dropping-particle":"","parse-names":false,"suffix":""}],"container-title":"Cell and Tissue Research","id":"ITEM-1","issue":"3","issued":{"date-parts":[["2007"]]},"page":"449-462","title":"Comparison of rat mesenchymal stem cells derived from bone marrow, synovium, periosteum, adipose tissue, and muscle","type":"article-journal","volume":"327"},"uris":["http://www.mendeley.com/documents/?uuid=6c9e81cc-1b41-4d00-8a6f-55538a1c452b"]}],"mendeley":{"formattedCitation":"&lt;sup&gt;[38]&lt;/sup&gt;","plainTextFormattedCitation":"[38]","previouslyFormattedCitation":"&lt;sup&gt;[38]&lt;/sup&gt;"},"properties":{"noteIndex":0},"schema":"https://github.com/citation-style-language/schema/raw/master/csl-citation.json"}</w:instrText>
      </w:r>
      <w:r w:rsidR="00C54DF4" w:rsidRPr="00000DD3">
        <w:rPr>
          <w:rFonts w:ascii="Book Antiqua" w:hAnsi="Book Antiqua" w:cstheme="minorHAnsi"/>
        </w:rPr>
        <w:fldChar w:fldCharType="separate"/>
      </w:r>
      <w:r w:rsidR="00BC68DD" w:rsidRPr="00000DD3">
        <w:rPr>
          <w:rFonts w:ascii="Book Antiqua" w:hAnsi="Book Antiqua" w:cstheme="minorHAnsi"/>
          <w:noProof/>
          <w:vertAlign w:val="superscript"/>
        </w:rPr>
        <w:t>[38]</w:t>
      </w:r>
      <w:r w:rsidR="00C54DF4" w:rsidRPr="00000DD3">
        <w:rPr>
          <w:rFonts w:ascii="Book Antiqua" w:hAnsi="Book Antiqua" w:cstheme="minorHAnsi"/>
        </w:rPr>
        <w:fldChar w:fldCharType="end"/>
      </w:r>
      <w:r w:rsidR="00721C30" w:rsidRPr="00000DD3">
        <w:rPr>
          <w:rFonts w:ascii="Book Antiqua" w:hAnsi="Book Antiqua" w:cstheme="minorHAnsi"/>
        </w:rPr>
        <w:t>, rabbits</w:t>
      </w:r>
      <w:r w:rsidR="00073C18" w:rsidRPr="00000DD3">
        <w:rPr>
          <w:rFonts w:ascii="Book Antiqua" w:hAnsi="Book Antiqua" w:cstheme="minorHAnsi"/>
        </w:rPr>
        <w:fldChar w:fldCharType="begin" w:fldLock="1"/>
      </w:r>
      <w:r w:rsidR="00120D2C" w:rsidRPr="00000DD3">
        <w:rPr>
          <w:rFonts w:ascii="Book Antiqua" w:hAnsi="Book Antiqua" w:cstheme="minorHAnsi"/>
        </w:rPr>
        <w:instrText>ADDIN CSL_CITATION {"citationItems":[{"id":"ITEM-1","itemData":{"DOI":"10.22074/cellj.2019.6149","PMID":"30825288","author":[{"dropping-particle":"","family":"Khalilifar","given":"Mohammad Ali","non-dropping-particle":"","parse-names":false,"suffix":""},{"dropping-particle":"","family":"Eslaminejad","given":"Mohamadreza Baghaban","non-dropping-particle":"","parse-names":false,"suffix":""},{"dropping-particle":"","family":"Ghasemzadeh","given":"Mohammad","non-dropping-particle":"","parse-names":false,"suffix":""},{"dropping-particle":"","family":"Hosseini","given":"Samaneh","non-dropping-particle":"","parse-names":false,"suffix":""},{"dropping-particle":"","family":"Baharvand","given":"Hossein","non-dropping-particle":"","parse-names":false,"suffix":""}],"container-title":"Cell journal","id":"ITEM-1","issue":"2","issued":{"date-parts":[["2019"]]},"page":"150-160","title":"In vitro and in vivo comparison of different types of rabbit mesenchymal stem cells for cartilage repair","type":"article-journal","volume":"21"},"uris":["http://www.mendeley.com/documents/?uuid=9859967d-ec4c-4281-a3e4-14b7d675a994"]}],"mendeley":{"formattedCitation":"&lt;sup&gt;[39]&lt;/sup&gt;","plainTextFormattedCitation":"[39]","previouslyFormattedCitation":"&lt;sup&gt;[39]&lt;/sup&gt;"},"properties":{"noteIndex":0},"schema":"https://github.com/citation-style-language/schema/raw/master/csl-citation.json"}</w:instrText>
      </w:r>
      <w:r w:rsidR="00073C18" w:rsidRPr="00000DD3">
        <w:rPr>
          <w:rFonts w:ascii="Book Antiqua" w:hAnsi="Book Antiqua" w:cstheme="minorHAnsi"/>
        </w:rPr>
        <w:fldChar w:fldCharType="separate"/>
      </w:r>
      <w:r w:rsidR="00073C18" w:rsidRPr="00000DD3">
        <w:rPr>
          <w:rFonts w:ascii="Book Antiqua" w:hAnsi="Book Antiqua" w:cstheme="minorHAnsi"/>
          <w:noProof/>
          <w:vertAlign w:val="superscript"/>
        </w:rPr>
        <w:t>[39]</w:t>
      </w:r>
      <w:r w:rsidR="00073C18" w:rsidRPr="00000DD3">
        <w:rPr>
          <w:rFonts w:ascii="Book Antiqua" w:hAnsi="Book Antiqua" w:cstheme="minorHAnsi"/>
        </w:rPr>
        <w:fldChar w:fldCharType="end"/>
      </w:r>
      <w:r w:rsidR="00721C30" w:rsidRPr="00000DD3">
        <w:rPr>
          <w:rFonts w:ascii="Book Antiqua" w:hAnsi="Book Antiqua" w:cstheme="minorHAnsi"/>
        </w:rPr>
        <w:t>, dogs</w:t>
      </w:r>
      <w:r w:rsidR="009A2234"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{"citationItems":[{"id":"ITEM-1","itemData":{"DOI":"10.1371/journal.pone.0202922","ISBN":"1111111111","ISSN":"19326203","PMID":"30138399","abstract":"Osteoarthritis (OA), a common chronic joint disorder in both humans and canines, is characterized by a progressive loss of articular cartilage. Canines can serve as an animal model of OA for human medicine, and this research can simultaneously establish effective veterinary treatments for canine OA. One attractive treatment that can lead to cartilage regeneration is the use of mesenchymal stem cells (MSCs). However, for canine OA, little information is available regarding the best source of MSCs. The purpose of this study was to identify a promising MSC source for canine cartilage regeneration. We collected synovial, infrapatellar fat pad, inguinal adipose, and bone marrow tissues from six canines and then conducted a donor-matched comparison of the properties of MSCs derived from these four tissues. We examined the surface epitope expression, proliferation capacity, and trilineage differentiation potential of all four populations. Adherent cells derived from all four tissue sources exhibited positivity for CD90 and CD44 and negativity for CD45 and CD11b. The positive rate for CD90 was higher for synovium-derived than for adipose-derived and bone marrow-derived MSCs. Synovium-derived and infrapatellar fat pad-derived MSCs displayed substantial proliferation ability, and all four populations underwent trilineage differentiation. During chondrogenesis, the wet weight was heavier for cartilage pellets derived from synovium MSCs than from the other three sources. The synovium is therefore a promising source for MSCs for canine cartilage regeneration. Our findings provide useful information about canine MSCs that may be applicable to regenerative medicine for treatment of OA.","author":[{"dropping-particle":"","family":"Sasaki","given":"Akari","non-dropping-particle":"","parse-names":false,"suffix":""},{"dropping-particle":"","family":"Mizuno","given":"Mitsuru","non-dropping-particle":"","parse-names":false,"suffix":""},{"dropping-particle":"","family":"Ozeki","given":"Nobutake","non-dropping-particle":"","parse-names":false,"suffix":""},{"dropping-particle":"","family":"Katano","given":"Hisako","non-dropping-particle":"","parse-names":false,"suffix":""},{"dropping-particle":"","family":"Otabe","given":"Koji","non-dropping-particle":"","parse-names":false,"suffix":""},{"dropping-particle":"","family":"Tsuji","given":"Kunikazu","non-dropping-particle":"","parse-names":false,"suffix":""},{"dropping-particle":"","family":"Koga","given":"Hideyuki","non-dropping-particle":"","parse-names":false,"suffix":""},{"dropping-particle":"","family":"Mochizuki","given":"Manabu","non-dropping-particle":"","parse-names":false,"suffix":""},{"dropping-particle":"","family":"Sekiya","given":"Ichiro","non-dropping-particle":"","parse-names":false,"suffix":""}],"container-title":"PLoS ONE","id":"ITEM-1","issue":"8","issued":{"date-parts":[["2018"]]},"page":"1-20","title":"Canine mesenchymal stem cells from synovium have a higher chondrogenic potential than those from infrapatellar fat pad, adipose tissue, and bone marrow","type":"article-journal","volume":"13"},"uris":["http://www.mendeley.com/documents/?uuid=06e018b3-4bb7-4b65-8c48-df24ad3c85ac"]}],"mendeley":{"formattedCitation":"&lt;sup&gt;[40]&lt;/sup&gt;","plainTextFormattedCitation":"[40]","previouslyFormattedCitation":"&lt;sup&gt;[40]&lt;/sup&gt;"},"properties":{"noteIndex":0},"schema":"https://github.com/citation-style-language/schema/raw/master/csl-citation.json"}</w:instrText>
      </w:r>
      <w:r w:rsidR="009A2234" w:rsidRPr="00000DD3">
        <w:rPr>
          <w:rFonts w:ascii="Book Antiqua" w:hAnsi="Book Antiqua" w:cstheme="minorHAnsi"/>
        </w:rPr>
        <w:fldChar w:fldCharType="separate"/>
      </w:r>
      <w:r w:rsidR="00BC68DD" w:rsidRPr="00000DD3">
        <w:rPr>
          <w:rFonts w:ascii="Book Antiqua" w:hAnsi="Book Antiqua" w:cstheme="minorHAnsi"/>
          <w:noProof/>
          <w:vertAlign w:val="superscript"/>
        </w:rPr>
        <w:t>[40]</w:t>
      </w:r>
      <w:r w:rsidR="009A2234" w:rsidRPr="00000DD3">
        <w:rPr>
          <w:rFonts w:ascii="Book Antiqua" w:hAnsi="Book Antiqua" w:cstheme="minorHAnsi"/>
        </w:rPr>
        <w:fldChar w:fldCharType="end"/>
      </w:r>
      <w:r w:rsidR="00721C30" w:rsidRPr="00000DD3">
        <w:rPr>
          <w:rFonts w:ascii="Book Antiqua" w:hAnsi="Book Antiqua" w:cstheme="minorHAnsi"/>
        </w:rPr>
        <w:t>, cats</w:t>
      </w:r>
      <w:r w:rsidR="009A2234"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{"citationItems":[{"id":"ITEM-1","itemData":{"DOI":"10.1177/1098612X18758590","ISSN":"15322750","PMID":"29478398","abstract":"Practical relevance: Stem cell therapy is an innovative field of scientific investigation with tremendous potential for clinical application in veterinary medicine. Based on the known desirable immunomodulatory properties of mesenchymal stem cells, this therapy holds promise for the treatment of a variety of inflammatory diseases in cats. AIMS:This review details our current understanding of feline stem cell biology and proposed mechanism of action. Studies performed in feline clinical trials for diseases including gingivostomatitis, chronic enteropathy, asthma and kidney disease are summarized, with the goal of providing an overview of the current status of this treatment modality and its potential for the future.","author":[{"dropping-particle":"","family":"Quimby","given":"Jessica M.","non-dropping-particle":"","parse-names":false,"suffix":""},{"dropping-particle":"","family":"Borjesson","given":"Dori L.","non-dropping-particle":"","parse-names":false,"suffix":""}],"container-title":"Journal of Feline Medicine and Surgery","id":"ITEM-1","issue":"3","issued":{"date-parts":[["2018"]]},"page":"208-216","title":"Mesenchymal stem cell therapy in cats: Current knowledge and future potential","type":"article-journal","volume":"20"},"uris":["http://www.mendeley.com/documents/?uuid=2a1dacbf-6128-350b-ba1f-b33c3a80b205"]}],"mendeley":{"formattedCitation":"&lt;sup&gt;[41]&lt;/sup&gt;","plainTextFormattedCitation":"[41]","previouslyFormattedCitation":"&lt;sup&gt;[41]&lt;/sup&gt;"},"properties":{"noteIndex":0},"schema":"https://github.com/citation-style-language/schema/raw/master/csl-citation.json"}</w:instrText>
      </w:r>
      <w:r w:rsidR="009A2234" w:rsidRPr="00000DD3">
        <w:rPr>
          <w:rFonts w:ascii="Book Antiqua" w:hAnsi="Book Antiqua" w:cstheme="minorHAnsi"/>
        </w:rPr>
        <w:fldChar w:fldCharType="separate"/>
      </w:r>
      <w:r w:rsidR="00BC68DD" w:rsidRPr="00000DD3">
        <w:rPr>
          <w:rFonts w:ascii="Book Antiqua" w:hAnsi="Book Antiqua" w:cstheme="minorHAnsi"/>
          <w:noProof/>
          <w:vertAlign w:val="superscript"/>
        </w:rPr>
        <w:t>[41]</w:t>
      </w:r>
      <w:r w:rsidR="009A2234" w:rsidRPr="00000DD3">
        <w:rPr>
          <w:rFonts w:ascii="Book Antiqua" w:hAnsi="Book Antiqua" w:cstheme="minorHAnsi"/>
        </w:rPr>
        <w:fldChar w:fldCharType="end"/>
      </w:r>
      <w:r w:rsidR="00721C30" w:rsidRPr="00000DD3">
        <w:rPr>
          <w:rFonts w:ascii="Book Antiqua" w:hAnsi="Book Antiqua" w:cstheme="minorHAnsi"/>
        </w:rPr>
        <w:t>, pigs</w:t>
      </w:r>
      <w:r w:rsidR="009A2234" w:rsidRPr="00000DD3">
        <w:rPr>
          <w:rFonts w:ascii="Book Antiqua" w:hAnsi="Book Antiqua" w:cstheme="minorHAnsi"/>
        </w:rPr>
        <w:fldChar w:fldCharType="begin" w:fldLock="1"/>
      </w:r>
      <w:r w:rsidR="00120D2C" w:rsidRPr="00000DD3">
        <w:rPr>
          <w:rFonts w:ascii="Book Antiqua" w:hAnsi="Book Antiqua" w:cstheme="minorHAnsi"/>
        </w:rPr>
        <w:instrText>ADDIN CSL_CITATION {"citationItems":[{"id":"ITEM-1","itemData":{"DOI":"10.2174/1574888X10666150723145911","ISBN":"2212-3946 (Electronic)\\r1574-888X (Linking)","ISSN":"1574888X","PMID":"26201864","abstract":"In the present era of stem cell biology, various animals such as Mouse, Bovine, Rabbit and Porcine have been tested for the efficiency of their mesenchymal stem cells (MSCs) before their actual use for stem cell based application in humans. Among them pigs have many similarities to humans in the form of organ size, physiology and their functioning, therefore they have been considered as a valuable model system for in vitro studies and preclinical assessments. Easy assessability, few ethical issues, suc-cessful MSC isolation from different origins like bone marrow, skin, umbilical cord blood, Wharton's jelly, endometrium, amniotic fluid and peripheral blood make porcine a good model for stem cell therapy. Porcine derived MSCs (pMSCs) have shown greater in vitro differentiation and transdifferention potential towards mesenchymal lineages and specialized lineages such as cardiomyocytes, neurons, hepatocytes and pancreatic beta cells. Immunomodulatory and low immunogenic profiles as shown by autologous and heterologous MSCs proves them safe and appropriate models for xenotransplantation purposes. Furthermore, tissue engineered stem cell constructs can be of immense importance in relation to various osteochondral defects which are difficult to treat otherwise. Using pMSCs successful treatment of various disorders like Parkinson's disease, cardiac ischemia, hepatic failure, has been reported by many studies. Here, in this review we high-light current research findings in the area of porcine mesenchymal stem cells dealing with their isolation methods, differentia-tion ability, transplantation applications and their therapeutic potential towards various diseases.","author":[{"dropping-particle":"","family":"Bharti","given":"Dinesh","non-dropping-particle":"","parse-names":false,"suffix":""},{"dropping-particle":"","family":"Shivakumar","given":"Sharath Belame","non-dropping-particle":"","parse-names":false,"suffix":""},{"dropping-particle":"","family":"Subbarao","given":"Raghavendra Baregundi","non-dropping-particle":"","parse-names":false,"suffix":""},{"dropping-particle":"","family":"Rho","given":"Gyu Jin","non-dropping-particle":"","parse-names":false,"suffix":""}],"container-title":"Current Stem Cell Research &amp; Therapy","id":"ITEM-1","issue":"1","issued":{"date-parts":[["2016"]]},"page":"78-93","title":"Research advancements in porcine derived mesenchymal stem cells","type":"article-journal","volume":"11"},"uris":["http://www.mendeley.com/documents/?uuid=0130c678-a4ed-3db6-87c7-a8d8705ac882"]}],"mendeley":{"formattedCitation":"&lt;sup&gt;[42]&lt;/sup&gt;","plainTextFormattedCitation":"[42]","previouslyFormattedCitation":"&lt;sup&gt;[42]&lt;/sup&gt;"},"properties":{"noteIndex":0},"schema":"https://github.com/citation-style-language/schema/raw/master/csl-citation.json"}</w:instrText>
      </w:r>
      <w:r w:rsidR="009A2234" w:rsidRPr="00000DD3">
        <w:rPr>
          <w:rFonts w:ascii="Book Antiqua" w:hAnsi="Book Antiqua" w:cstheme="minorHAnsi"/>
        </w:rPr>
        <w:fldChar w:fldCharType="separate"/>
      </w:r>
      <w:r w:rsidR="00BC68DD" w:rsidRPr="00000DD3">
        <w:rPr>
          <w:rFonts w:ascii="Book Antiqua" w:hAnsi="Book Antiqua" w:cstheme="minorHAnsi"/>
          <w:noProof/>
          <w:vertAlign w:val="superscript"/>
        </w:rPr>
        <w:t>[42]</w:t>
      </w:r>
      <w:r w:rsidR="009A2234" w:rsidRPr="00000DD3">
        <w:rPr>
          <w:rFonts w:ascii="Book Antiqua" w:hAnsi="Book Antiqua" w:cstheme="minorHAnsi"/>
        </w:rPr>
        <w:fldChar w:fldCharType="end"/>
      </w:r>
      <w:r w:rsidR="00C54DF4" w:rsidRPr="00000DD3">
        <w:rPr>
          <w:rFonts w:ascii="Book Antiqua" w:hAnsi="Book Antiqua" w:cstheme="minorHAnsi"/>
        </w:rPr>
        <w:t>,</w:t>
      </w:r>
      <w:r w:rsidR="00721C30" w:rsidRPr="00000DD3">
        <w:rPr>
          <w:rFonts w:ascii="Book Antiqua" w:hAnsi="Book Antiqua" w:cstheme="minorHAnsi"/>
        </w:rPr>
        <w:t xml:space="preserve"> </w:t>
      </w:r>
      <w:r w:rsidR="00AA093C" w:rsidRPr="00000DD3">
        <w:rPr>
          <w:rFonts w:ascii="Book Antiqua" w:hAnsi="Book Antiqua" w:cstheme="minorHAnsi"/>
        </w:rPr>
        <w:t xml:space="preserve">and </w:t>
      </w:r>
      <w:r w:rsidR="00721C30" w:rsidRPr="00000DD3">
        <w:rPr>
          <w:rFonts w:ascii="Book Antiqua" w:hAnsi="Book Antiqua" w:cstheme="minorHAnsi"/>
        </w:rPr>
        <w:t>horses</w:t>
      </w:r>
      <w:r w:rsidR="00073C18" w:rsidRPr="00000DD3">
        <w:rPr>
          <w:rFonts w:ascii="Book Antiqua" w:hAnsi="Book Antiqua" w:cstheme="minorHAnsi"/>
        </w:rPr>
        <w:fldChar w:fldCharType="begin" w:fldLock="1"/>
      </w:r>
      <w:r w:rsidR="00120D2C" w:rsidRPr="00000DD3">
        <w:rPr>
          <w:rFonts w:ascii="Book Antiqua" w:hAnsi="Book Antiqua" w:cstheme="minorHAnsi"/>
        </w:rPr>
        <w:instrText>ADDIN CSL_CITATION {"citationItems":[{"id":"ITEM-1","itemData":{"DOI":"10.3389/fvets.2016.00121","PMID":"28149840","abstract":"Mesenchymal stem cells (MSCs) have been demonstrated to be useful for cartilage tissue regeneration. Bone marrow (BM) and synovial fluid (SF) are promising sources for MSCs to be used in cartilage regeneration. In order to improve the clinical outcomes, it is recommended that prior to clinical use, the cellular properties and, specifically, their chondrogenic potential must be investigated. The purpose of this study is to compare and better understand the in vitro chondrogenic potential of equine bone marrow-derived mesenchymal stem cells (BMMSCs) and synovial fluid-derived mesenchymal stem cells (SFMSCs) populated from the same equine donor. BM- and SF-derived MSCs cultures were generated from five equine donors, and the MSCs were evaluated in vitro for their morphology, proliferation, trilineage differentiation, and immunophenotyping. Differences in their chondrogenic potentials were further evaluated quantitatively using glycosaminoglycan (GAG) content and via immunofluorescence of chondrogenic differentiation protein markers, SRY-type HMG box9, Aggrecan, and collagen II. The BMMSCs and SFMSCs were similar in cellular morphology, viability, and immunophenotype, but, varied in their chondrogenic potential, and expression of the key chondrogenic proteins. The SFMSCs exhibited a significant increase in GAG content compared to the BMMSCs (P &lt; 0.0001) in three donors, suggesting increased levels of chondrogenesis. The expression of the key chondrogenic proteins correlated positively with the GAG content, suggesting that the differentiation process is dependent on the expression of the target proteins in these three donors. Our findings suggest that even though SFMSCs were hypothesized to be more chondrogenic relative to BMMSCs, there was considerable donor-to-donor variation in the primary cultures of MSCs which can significantly affect their downstream application.","author":[{"dropping-particle":"","family":"Zayed","given":"Mohammed","non-dropping-particle":"","parse-names":false,"suffix":""},{"dropping-particle":"","family":"Caniglia","given":"Christopher","non-dropping-particle":"","parse-names":false,"suffix":""},{"dropping-particle":"","family":"Misk","given":"Nabil","non-dropping-particle":"","parse-names":false,"suffix":""},{"dropping-particle":"","family":"Dhar","given":"Madhu S.","non-dropping-particle":"","parse-names":false,"suffix":""}],"container-title":"Frontiers in Veterinary Science","id":"ITEM-1","issued":{"date-parts":[["2017"]]},"page":"1-9","title":"Donor-matched comparison of chondrogenic potential of equine bone marrow- and synovial fluid-derived mesenchymal stem cells: Implications for cartilage tissue regeneration","type":"article-journal","volume":"3"},"uris":["http://www.mendeley.com/documents/?uuid=662206df-551a-4361-b562-19566c5870e9"]}],"mendeley":{"formattedCitation":"&lt;sup&gt;[43]&lt;/sup&gt;","plainTextFormattedCitation":"[43]","previouslyFormattedCitation":"&lt;sup&gt;[43]&lt;/sup&gt;"},"properties":{"noteIndex":0},"schema":"https://github.com/citation-style-language/schema/raw/master/csl-citation.json"}</w:instrText>
      </w:r>
      <w:r w:rsidR="00073C18" w:rsidRPr="00000DD3">
        <w:rPr>
          <w:rFonts w:ascii="Book Antiqua" w:hAnsi="Book Antiqua" w:cstheme="minorHAnsi"/>
        </w:rPr>
        <w:fldChar w:fldCharType="separate"/>
      </w:r>
      <w:r w:rsidR="00073C18" w:rsidRPr="00000DD3">
        <w:rPr>
          <w:rFonts w:ascii="Book Antiqua" w:hAnsi="Book Antiqua" w:cstheme="minorHAnsi"/>
          <w:noProof/>
          <w:vertAlign w:val="superscript"/>
        </w:rPr>
        <w:t>[43]</w:t>
      </w:r>
      <w:r w:rsidR="00073C18" w:rsidRPr="00000DD3">
        <w:rPr>
          <w:rFonts w:ascii="Book Antiqua" w:hAnsi="Book Antiqua" w:cstheme="minorHAnsi"/>
        </w:rPr>
        <w:fldChar w:fldCharType="end"/>
      </w:r>
      <w:r w:rsidR="00AA093C" w:rsidRPr="00000DD3">
        <w:rPr>
          <w:rFonts w:ascii="Book Antiqua" w:hAnsi="Book Antiqua" w:cstheme="minorHAnsi"/>
        </w:rPr>
        <w:t>, as well as</w:t>
      </w:r>
      <w:r w:rsidR="00C54DF4" w:rsidRPr="00000DD3">
        <w:rPr>
          <w:rFonts w:ascii="Book Antiqua" w:hAnsi="Book Antiqua" w:cstheme="minorHAnsi"/>
        </w:rPr>
        <w:t xml:space="preserve"> humans</w:t>
      </w:r>
      <w:r w:rsidR="003E3593" w:rsidRPr="00000DD3">
        <w:rPr>
          <w:rFonts w:ascii="Book Antiqua" w:hAnsi="Book Antiqua" w:cstheme="minorHAnsi"/>
        </w:rPr>
        <w:fldChar w:fldCharType="begin" w:fldLock="1"/>
      </w:r>
      <w:r w:rsidR="007D3D74" w:rsidRPr="00000DD3">
        <w:rPr>
          <w:rFonts w:ascii="Book Antiqua" w:hAnsi="Book Antiqua" w:cstheme="minorHAnsi"/>
        </w:rPr>
        <w:instrText>ADDIN CSL_CITATION {"citationItems":[{"id":"ITEM-1","itemData":{"DOI":"10.3389/fgene.2016.00213","ISSN":"16648021","PMID":"28066501","abstract":"Current cell-based repair strategies have proven unsuccessful for treating cartilage defects and osteoarthritic lesions, consequently advances in innovative therapeutics are required and mesenchymal stem cell-based (MSC) therapies are an expanding area of investigation. MSCs are capable of differentiating into multiple cell lineages and exerting paracrine effects. Due to their easy isolation, expansion and low immunogenicity, MSCs are an attractive option for regenerative medicine for joint repair. Recent studies have identified several MSC tissue reservoirs including in adipose tissue, bone marrow, cartilage, periosteum and muscle. MSCs isolated from these discrete tissue niches exhibit distinct biological activities, and have enhanced regenerative potentials for different tissue types. Each MSC type has advantages and disadvantages for cartilage repair and their use in a clinical setting is a balance between expediency and effectiveness. In this review we explore the challenges associated with cartilage repair and regeneration using MSC-based cell therapies and provide an overview of phenotype, biological activities and functional properties for each MSC population. This paper also specifically explores the therapeutic potential of each type of MSC, particularly focusing on which cells are capable of producing stratified hyaline-like articular cartilage regeneration. Finally we highlight areas for future investigation. Given that patients present with a variety of problems it is unlikely that cartilage regeneration will be a simple ‘one size fits all’, but more likely an array of solutions that need to applied systematically to achieve regeneration of a biomechanically competent repair tissue.","author":[{"dropping-particle":"","family":"Fellows","given":"Christopher R.","non-dropping-particle":"","parse-names":false,"suffix":""},{"dropping-particle":"","family":"Matta","given":"Csaba","non-dropping-particle":"","parse-names":false,"suffix":""},{"dropping-particle":"","family":"Zakany","given":"Roza","non-dropping-particle":"","parse-names":false,"suffix":""},{"dropping-particle":"","family":"Khan","given":"Ilyas M.","non-dropping-particle":"","parse-names":false,"suffix":""},{"dropping-particle":"","family":"Mobasheri","given":"Ali","non-dropping-particle":"","parse-names":false,"suffix":""}],"container-title":"Frontiers in Genetics","id":"ITEM-1","issued":{"date-parts":[["2016"]]},"page":"1-20","title":"Adipose, bone marrow and synovial joint-derived mesenchymal stem cells for cartilage repair","type":"article-journal","volume":"7"},"uris":["http://www.mendeley.com/documents/?uuid=ecfe1d25-c8eb-4c7d-9628-db74b17376f2"]}],"mendeley":{"formattedCitation":"&lt;sup&gt;[44]&lt;/sup&gt;","plainTextFormattedCitation":"[44]","previouslyFormattedCitation":"&lt;sup&gt;[44]&lt;/sup&gt;"},"properties":{"noteIndex":0},"schema":"https://github.com/citation-style-language/schema/raw/master/csl-citation.json"}</w:instrText>
      </w:r>
      <w:r w:rsidR="003E3593" w:rsidRPr="00000DD3">
        <w:rPr>
          <w:rFonts w:ascii="Book Antiqua" w:hAnsi="Book Antiqua" w:cstheme="minorHAnsi"/>
        </w:rPr>
        <w:fldChar w:fldCharType="separate"/>
      </w:r>
      <w:r w:rsidR="003E3593" w:rsidRPr="00000DD3">
        <w:rPr>
          <w:rFonts w:ascii="Book Antiqua" w:hAnsi="Book Antiqua" w:cstheme="minorHAnsi"/>
          <w:noProof/>
          <w:vertAlign w:val="superscript"/>
        </w:rPr>
        <w:t>[44]</w:t>
      </w:r>
      <w:r w:rsidR="003E3593" w:rsidRPr="00000DD3">
        <w:rPr>
          <w:rFonts w:ascii="Book Antiqua" w:hAnsi="Book Antiqua" w:cstheme="minorHAnsi"/>
        </w:rPr>
        <w:fldChar w:fldCharType="end"/>
      </w:r>
      <w:r w:rsidR="00C54DF4" w:rsidRPr="00000DD3">
        <w:rPr>
          <w:rFonts w:ascii="Book Antiqua" w:hAnsi="Book Antiqua" w:cstheme="minorHAnsi"/>
        </w:rPr>
        <w:t>.</w:t>
      </w:r>
      <w:r w:rsidR="00887CA5" w:rsidRPr="00000DD3">
        <w:rPr>
          <w:rFonts w:ascii="Book Antiqua" w:hAnsi="Book Antiqua" w:cstheme="minorHAnsi"/>
        </w:rPr>
        <w:t xml:space="preserve">　</w:t>
      </w:r>
    </w:p>
    <w:p w14:paraId="4A4D117D" w14:textId="245446A6" w:rsidR="004604C6" w:rsidRPr="00000DD3" w:rsidRDefault="00AA093C" w:rsidP="00B60928">
      <w:pPr>
        <w:pStyle w:val="aa"/>
        <w:spacing w:line="360" w:lineRule="auto"/>
        <w:ind w:leftChars="0" w:left="0" w:firstLineChars="100" w:firstLine="240"/>
        <w:jc w:val="both"/>
        <w:rPr>
          <w:rFonts w:ascii="Book Antiqua" w:eastAsia="黑体" w:hAnsi="Book Antiqua" w:cstheme="minorHAnsi"/>
          <w:lang w:eastAsia="zh-CN"/>
        </w:rPr>
      </w:pPr>
      <w:r w:rsidRPr="00000DD3">
        <w:rPr>
          <w:rFonts w:ascii="Book Antiqua" w:hAnsi="Book Antiqua" w:cstheme="minorHAnsi"/>
        </w:rPr>
        <w:t xml:space="preserve">The </w:t>
      </w:r>
      <w:r w:rsidR="007F17C8" w:rsidRPr="00000DD3">
        <w:rPr>
          <w:rFonts w:ascii="Book Antiqua" w:hAnsi="Book Antiqua" w:cstheme="minorHAnsi"/>
        </w:rPr>
        <w:t xml:space="preserve">International Society for Cellular Therapy (ISCT) proposed minimal criteria to define </w:t>
      </w:r>
      <w:r w:rsidRPr="00000DD3">
        <w:rPr>
          <w:rFonts w:ascii="Book Antiqua" w:hAnsi="Book Antiqua" w:cstheme="minorHAnsi"/>
        </w:rPr>
        <w:t xml:space="preserve">the characteristics of </w:t>
      </w:r>
      <w:r w:rsidR="007F17C8" w:rsidRPr="00000DD3">
        <w:rPr>
          <w:rFonts w:ascii="Book Antiqua" w:hAnsi="Book Antiqua" w:cstheme="minorHAnsi"/>
        </w:rPr>
        <w:t>human MSCs</w:t>
      </w:r>
      <w:r w:rsidR="0018546E"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{"citationItems":[{"id":"ITEM-1","itemData":{"DOI":"10.1080/14653240600855905","ISBN":"1465-3249 (Print)\\r1465-3249 (Linking)","ISSN":"14653249","PMID":"16923606","abstract":"The considerable therapeutic potential of human multipotent mesenchymal stromal cells (MSC) has generated markedly increasing interest in a wide variety of biomedical disciplines. However, investigators report studies of MSC using different methods of isolation and expansion, and different approaches to characterizing the cells. Thus it is increasingly difficult to compare and contrast study outcomes, which hinders progress in the field. To begin to address this issue, the Mesenchymal and Tissue Stem Cell Committee of the International Society for Cellular Therapy proposes minimal criteria to define human MSC. First, MSC must be plastic-adherent when maintained in standard culture conditions. Second, MSC must express CD105, CD73 and CD90, and lack expression of CD45, CD34, CD14 or CD11b, CD79alpha or CD19 and HLA-DR surface molecules. Third, MSC must differentiate to osteoblasts, adipocytes and chondroblasts in vitro. While these criteria will probably require modification as new knowledge unfolds, we believe this minimal set of standard criteria will foster a more uniform characterization of MSC and facilitate the exchange of data among investigators.","author":[{"dropping-particle":"","family":"Dominici","given":"M.","non-dropping-particle":"","parse-names":false,"suffix":""},{"dropping-particle":"","family":"Blanc","given":"K.","non-dropping-particle":"Le","parse-names":false,"suffix":""},{"dropping-particle":"","family":"Mueller","given":"I.","non-dropping-particle":"","parse-names":false,"suffix":""},{"dropping-particle":"","family":"Slaper-Cortenbach","given":"I.","non-dropping-particle":"","parse-names":false,"suffix":""},{"dropping-particle":"","family":"Marini","given":"F. C.","non-dropping-particle":"","parse-names":false,"suffix":""},{"dropping-particle":"","family":"Krause","given":"D. S.","non-dropping-particle":"","parse-names":false,"suffix":""},{"dropping-particle":"","family":"Deans","given":"R. J.","non-dropping-particle":"","parse-names":false,"suffix":""},{"dropping-particle":"","family":"Keating","given":"A.","non-dropping-particle":"","parse-names":false,"suffix":""},{"dropping-particle":"","family":"Prockop","given":"D. J.","non-dropping-particle":"","parse-names":false,"suffix":""},{"dropping-particle":"","family":"Horwitz","given":"E. M.","non-dropping-particle":"","parse-names":false,"suffix":""}],"container-title":"Cytotherapy","id":"ITEM-1","issue":"4","issued":{"date-parts":[["2006"]]},"page":"315-317","title":"Minimal criteria for defining multipotent mesenchymal stromal cells. The International Society for Cellular Therapy position statement","type":"article-journal","volume":"8"},"uris":["http://www.mendeley.com/documents/?uuid=7975e2ab-4ffe-3bc1-ad92-d6d1b72e8ac2"]}],"mendeley":{"formattedCitation":"&lt;sup&gt;[45]&lt;/sup&gt;","plainTextFormattedCitation":"[45]","previouslyFormattedCitation":"&lt;sup&gt;[45]&lt;/sup&gt;"},"properties":{"noteIndex":0},"schema":"https://github.com/citation-style-language/schema/raw/master/csl-citation.json"}</w:instrText>
      </w:r>
      <w:r w:rsidR="0018546E" w:rsidRPr="00000DD3">
        <w:rPr>
          <w:rFonts w:ascii="Book Antiqua" w:hAnsi="Book Antiqua" w:cstheme="minorHAnsi"/>
        </w:rPr>
        <w:fldChar w:fldCharType="separate"/>
      </w:r>
      <w:r w:rsidR="00BC68DD" w:rsidRPr="00000DD3">
        <w:rPr>
          <w:rFonts w:ascii="Book Antiqua" w:hAnsi="Book Antiqua" w:cstheme="minorHAnsi"/>
          <w:noProof/>
          <w:vertAlign w:val="superscript"/>
        </w:rPr>
        <w:t>[45]</w:t>
      </w:r>
      <w:r w:rsidR="0018546E" w:rsidRPr="00000DD3">
        <w:rPr>
          <w:rFonts w:ascii="Book Antiqua" w:hAnsi="Book Antiqua" w:cstheme="minorHAnsi"/>
        </w:rPr>
        <w:fldChar w:fldCharType="end"/>
      </w:r>
      <w:r w:rsidR="007F17C8" w:rsidRPr="00000DD3">
        <w:rPr>
          <w:rFonts w:ascii="Book Antiqua" w:hAnsi="Book Antiqua" w:cstheme="minorHAnsi"/>
        </w:rPr>
        <w:t>:</w:t>
      </w:r>
      <w:r w:rsidR="00B60928" w:rsidRPr="00000DD3">
        <w:rPr>
          <w:rFonts w:ascii="Book Antiqua" w:eastAsia="黑体" w:hAnsi="Book Antiqua" w:cstheme="minorHAnsi" w:hint="eastAsia"/>
          <w:lang w:eastAsia="zh-CN"/>
        </w:rPr>
        <w:t xml:space="preserve"> (1) </w:t>
      </w:r>
      <w:r w:rsidR="007F17C8" w:rsidRPr="00000DD3">
        <w:rPr>
          <w:rFonts w:ascii="Book Antiqua" w:hAnsi="Book Antiqua" w:cstheme="minorHAnsi"/>
        </w:rPr>
        <w:t>Adherence to plastic</w:t>
      </w:r>
      <w:r w:rsidR="001538E0" w:rsidRPr="00000DD3">
        <w:rPr>
          <w:rFonts w:ascii="Book Antiqua" w:hAnsi="Book Antiqua" w:cstheme="minorHAnsi"/>
        </w:rPr>
        <w:t xml:space="preserve"> in standard culture conditions</w:t>
      </w:r>
      <w:r w:rsidR="00B60928" w:rsidRPr="00000DD3">
        <w:rPr>
          <w:rFonts w:ascii="Book Antiqua" w:eastAsia="黑体" w:hAnsi="Book Antiqua" w:cstheme="minorHAnsi" w:hint="eastAsia"/>
          <w:lang w:eastAsia="zh-CN"/>
        </w:rPr>
        <w:t xml:space="preserve">; (2) </w:t>
      </w:r>
      <w:r w:rsidR="007F17C8" w:rsidRPr="00000DD3">
        <w:rPr>
          <w:rFonts w:ascii="Book Antiqua" w:hAnsi="Book Antiqua" w:cstheme="minorHAnsi"/>
        </w:rPr>
        <w:t>Specific surface antigen expression</w:t>
      </w:r>
      <w:r w:rsidRPr="00000DD3">
        <w:rPr>
          <w:rFonts w:ascii="Book Antiqua" w:hAnsi="Book Antiqua" w:cstheme="minorHAnsi"/>
        </w:rPr>
        <w:t xml:space="preserve"> of</w:t>
      </w:r>
      <w:r w:rsidR="00F374A5" w:rsidRPr="00000DD3">
        <w:rPr>
          <w:rFonts w:ascii="Book Antiqua" w:hAnsi="Book Antiqua" w:cstheme="minorHAnsi"/>
        </w:rPr>
        <w:t xml:space="preserve"> CD105, CD73, CD90 and lack of expression of other hematopoietic cell surface markers</w:t>
      </w:r>
      <w:r w:rsidRPr="00000DD3">
        <w:rPr>
          <w:rFonts w:ascii="Book Antiqua" w:hAnsi="Book Antiqua" w:cstheme="minorHAnsi"/>
        </w:rPr>
        <w:t>, including</w:t>
      </w:r>
      <w:r w:rsidR="00F374A5" w:rsidRPr="00000DD3">
        <w:rPr>
          <w:rFonts w:ascii="Book Antiqua" w:hAnsi="Book Antiqua" w:cstheme="minorHAnsi"/>
        </w:rPr>
        <w:t xml:space="preserve"> CD45, CD34, CD14 or CD11b, CD79α or CD19, HLA-DR</w:t>
      </w:r>
      <w:r w:rsidR="00B60928" w:rsidRPr="00000DD3">
        <w:rPr>
          <w:rFonts w:ascii="Book Antiqua" w:eastAsia="黑体" w:hAnsi="Book Antiqua" w:cstheme="minorHAnsi" w:hint="eastAsia"/>
          <w:lang w:eastAsia="zh-CN"/>
        </w:rPr>
        <w:t xml:space="preserve">; and (3) </w:t>
      </w:r>
      <w:r w:rsidR="007F17C8" w:rsidRPr="00000DD3">
        <w:rPr>
          <w:rFonts w:ascii="Book Antiqua" w:hAnsi="Book Antiqua" w:cstheme="minorHAnsi"/>
        </w:rPr>
        <w:t>Multipotent differentiation potential</w:t>
      </w:r>
      <w:r w:rsidR="00FC464F" w:rsidRPr="00000DD3">
        <w:rPr>
          <w:rFonts w:ascii="Book Antiqua" w:hAnsi="Book Antiqua" w:cstheme="minorHAnsi"/>
        </w:rPr>
        <w:t xml:space="preserve"> under specific</w:t>
      </w:r>
      <w:r w:rsidRPr="00000DD3">
        <w:rPr>
          <w:rFonts w:ascii="Book Antiqua" w:hAnsi="Book Antiqua" w:cstheme="minorHAnsi"/>
          <w:i/>
        </w:rPr>
        <w:t xml:space="preserve"> in vitro</w:t>
      </w:r>
      <w:r w:rsidR="00FC464F" w:rsidRPr="00000DD3">
        <w:rPr>
          <w:rFonts w:ascii="Book Antiqua" w:hAnsi="Book Antiqua" w:cstheme="minorHAnsi"/>
        </w:rPr>
        <w:t xml:space="preserve"> culture conditions</w:t>
      </w:r>
      <w:r w:rsidR="007F17C8" w:rsidRPr="00000DD3">
        <w:rPr>
          <w:rFonts w:ascii="Book Antiqua" w:hAnsi="Book Antiqua" w:cstheme="minorHAnsi"/>
        </w:rPr>
        <w:t>.</w:t>
      </w:r>
      <w:r w:rsidR="00B60928" w:rsidRPr="00000DD3">
        <w:rPr>
          <w:rFonts w:ascii="Book Antiqua" w:eastAsia="黑体" w:hAnsi="Book Antiqua" w:cstheme="minorHAnsi" w:hint="eastAsia"/>
          <w:lang w:eastAsia="zh-CN"/>
        </w:rPr>
        <w:t xml:space="preserve"> </w:t>
      </w:r>
      <w:r w:rsidR="0018546E" w:rsidRPr="00000DD3">
        <w:rPr>
          <w:rFonts w:ascii="Book Antiqua" w:hAnsi="Book Antiqua" w:cstheme="minorHAnsi"/>
        </w:rPr>
        <w:t>These</w:t>
      </w:r>
      <w:r w:rsidR="00E7462D" w:rsidRPr="00000DD3">
        <w:rPr>
          <w:rFonts w:ascii="Book Antiqua" w:hAnsi="Book Antiqua" w:cstheme="minorHAnsi"/>
        </w:rPr>
        <w:t xml:space="preserve"> criteria</w:t>
      </w:r>
      <w:r w:rsidR="001E661A" w:rsidRPr="00000DD3">
        <w:rPr>
          <w:rFonts w:ascii="Book Antiqua" w:hAnsi="Book Antiqua" w:cstheme="minorHAnsi"/>
        </w:rPr>
        <w:t xml:space="preserve"> </w:t>
      </w:r>
      <w:r w:rsidR="0018546E" w:rsidRPr="00000DD3">
        <w:rPr>
          <w:rFonts w:ascii="Book Antiqua" w:hAnsi="Book Antiqua" w:cstheme="minorHAnsi"/>
        </w:rPr>
        <w:t>also serve</w:t>
      </w:r>
      <w:r w:rsidRPr="00000DD3">
        <w:rPr>
          <w:rFonts w:ascii="Book Antiqua" w:hAnsi="Book Antiqua" w:cstheme="minorHAnsi"/>
        </w:rPr>
        <w:t xml:space="preserve">, to a certain extent, </w:t>
      </w:r>
      <w:r w:rsidR="0018546E" w:rsidRPr="00000DD3">
        <w:rPr>
          <w:rFonts w:ascii="Book Antiqua" w:hAnsi="Book Antiqua" w:cstheme="minorHAnsi"/>
        </w:rPr>
        <w:t xml:space="preserve">as parameters for </w:t>
      </w:r>
      <w:r w:rsidR="001E661A" w:rsidRPr="00000DD3">
        <w:rPr>
          <w:rFonts w:ascii="Book Antiqua" w:hAnsi="Book Antiqua" w:cstheme="minorHAnsi"/>
        </w:rPr>
        <w:t>MSCs derived from various animal</w:t>
      </w:r>
      <w:r w:rsidR="00E7462D" w:rsidRPr="00000DD3">
        <w:rPr>
          <w:rFonts w:ascii="Book Antiqua" w:hAnsi="Book Antiqua" w:cstheme="minorHAnsi"/>
        </w:rPr>
        <w:t xml:space="preserve"> species</w:t>
      </w:r>
      <w:r w:rsidRPr="00000DD3">
        <w:rPr>
          <w:rFonts w:ascii="Book Antiqua" w:hAnsi="Book Antiqua" w:cstheme="minorHAnsi"/>
        </w:rPr>
        <w:t>;</w:t>
      </w:r>
      <w:r w:rsidR="001E661A" w:rsidRPr="00000DD3">
        <w:rPr>
          <w:rFonts w:ascii="Book Antiqua" w:hAnsi="Book Antiqua" w:cstheme="minorHAnsi"/>
        </w:rPr>
        <w:t xml:space="preserve"> however, </w:t>
      </w:r>
      <w:r w:rsidR="00420D06" w:rsidRPr="00000DD3">
        <w:rPr>
          <w:rFonts w:ascii="Book Antiqua" w:hAnsi="Book Antiqua" w:cstheme="minorHAnsi"/>
        </w:rPr>
        <w:t xml:space="preserve">the </w:t>
      </w:r>
      <w:r w:rsidR="001E661A" w:rsidRPr="00000DD3">
        <w:rPr>
          <w:rFonts w:ascii="Book Antiqua" w:hAnsi="Book Antiqua" w:cstheme="minorHAnsi"/>
        </w:rPr>
        <w:t xml:space="preserve">characteristics of MSCs </w:t>
      </w:r>
      <w:r w:rsidR="005F3B66" w:rsidRPr="00000DD3">
        <w:rPr>
          <w:rFonts w:ascii="Book Antiqua" w:hAnsi="Book Antiqua" w:cstheme="minorHAnsi"/>
        </w:rPr>
        <w:t>differ</w:t>
      </w:r>
      <w:r w:rsidR="00420D06" w:rsidRPr="00000DD3">
        <w:rPr>
          <w:rFonts w:ascii="Book Antiqua" w:hAnsi="Book Antiqua" w:cstheme="minorHAnsi"/>
        </w:rPr>
        <w:t xml:space="preserve"> somewhat</w:t>
      </w:r>
      <w:r w:rsidR="005F3B66" w:rsidRPr="00000DD3">
        <w:rPr>
          <w:rFonts w:ascii="Book Antiqua" w:hAnsi="Book Antiqua" w:cstheme="minorHAnsi"/>
        </w:rPr>
        <w:t xml:space="preserve"> among</w:t>
      </w:r>
      <w:r w:rsidR="00420D06" w:rsidRPr="00000DD3">
        <w:rPr>
          <w:rFonts w:ascii="Book Antiqua" w:hAnsi="Book Antiqua" w:cstheme="minorHAnsi"/>
        </w:rPr>
        <w:t xml:space="preserve"> </w:t>
      </w:r>
      <w:r w:rsidR="000745B7" w:rsidRPr="00000DD3">
        <w:rPr>
          <w:rFonts w:ascii="Book Antiqua" w:hAnsi="Book Antiqua" w:cstheme="minorHAnsi"/>
        </w:rPr>
        <w:t>various</w:t>
      </w:r>
      <w:r w:rsidR="005F3B66" w:rsidRPr="00000DD3">
        <w:rPr>
          <w:rFonts w:ascii="Book Antiqua" w:hAnsi="Book Antiqua" w:cstheme="minorHAnsi"/>
        </w:rPr>
        <w:t xml:space="preserve"> animal species or tissue</w:t>
      </w:r>
      <w:r w:rsidR="009A4F09" w:rsidRPr="00000DD3">
        <w:rPr>
          <w:rFonts w:ascii="Book Antiqua" w:hAnsi="Book Antiqua" w:cstheme="minorHAnsi"/>
        </w:rPr>
        <w:t>s</w:t>
      </w:r>
      <w:r w:rsidR="005F3B66" w:rsidRPr="00000DD3">
        <w:rPr>
          <w:rFonts w:ascii="Book Antiqua" w:hAnsi="Book Antiqua" w:cstheme="minorHAnsi"/>
        </w:rPr>
        <w:t>.</w:t>
      </w:r>
      <w:r w:rsidR="00B06FE4" w:rsidRPr="00000DD3">
        <w:rPr>
          <w:rFonts w:ascii="Book Antiqua" w:hAnsi="Book Antiqua" w:cstheme="minorHAnsi"/>
        </w:rPr>
        <w:t xml:space="preserve"> Therefore, the criteria for human MSCs cannot </w:t>
      </w:r>
      <w:r w:rsidR="00420D06" w:rsidRPr="00000DD3">
        <w:rPr>
          <w:rFonts w:ascii="Book Antiqua" w:hAnsi="Book Antiqua" w:cstheme="minorHAnsi"/>
        </w:rPr>
        <w:t xml:space="preserve">be </w:t>
      </w:r>
      <w:r w:rsidR="00B06FE4" w:rsidRPr="00000DD3">
        <w:rPr>
          <w:rFonts w:ascii="Book Antiqua" w:hAnsi="Book Antiqua" w:cstheme="minorHAnsi"/>
        </w:rPr>
        <w:t xml:space="preserve">completely extrapolated to MSCs </w:t>
      </w:r>
      <w:r w:rsidR="00420D06" w:rsidRPr="00000DD3">
        <w:rPr>
          <w:rFonts w:ascii="Book Antiqua" w:hAnsi="Book Antiqua" w:cstheme="minorHAnsi"/>
        </w:rPr>
        <w:t xml:space="preserve">from </w:t>
      </w:r>
      <w:r w:rsidR="00B06FE4" w:rsidRPr="00000DD3">
        <w:rPr>
          <w:rFonts w:ascii="Book Antiqua" w:hAnsi="Book Antiqua" w:cstheme="minorHAnsi"/>
        </w:rPr>
        <w:t>vete</w:t>
      </w:r>
      <w:r w:rsidR="002B1A17" w:rsidRPr="00000DD3">
        <w:rPr>
          <w:rFonts w:ascii="Book Antiqua" w:hAnsi="Book Antiqua" w:cstheme="minorHAnsi"/>
        </w:rPr>
        <w:t>rinary species.</w:t>
      </w:r>
    </w:p>
    <w:p w14:paraId="09A4C40D" w14:textId="77777777" w:rsidR="004604C6" w:rsidRPr="00000DD3" w:rsidRDefault="004604C6" w:rsidP="00874B98">
      <w:pPr>
        <w:spacing w:line="360" w:lineRule="auto"/>
        <w:jc w:val="both"/>
        <w:rPr>
          <w:rFonts w:ascii="Book Antiqua" w:hAnsi="Book Antiqua" w:cstheme="minorHAnsi"/>
        </w:rPr>
      </w:pPr>
    </w:p>
    <w:p w14:paraId="1101DFD2" w14:textId="0659D902" w:rsidR="004604C6" w:rsidRPr="00000DD3" w:rsidRDefault="000F73B3" w:rsidP="00B60928">
      <w:pPr>
        <w:pStyle w:val="aa"/>
        <w:spacing w:line="360" w:lineRule="auto"/>
        <w:ind w:leftChars="0" w:left="0"/>
        <w:jc w:val="both"/>
        <w:rPr>
          <w:rFonts w:ascii="Book Antiqua" w:hAnsi="Book Antiqua" w:cstheme="minorHAnsi"/>
          <w:b/>
          <w:i/>
        </w:rPr>
      </w:pPr>
      <w:r w:rsidRPr="00000DD3">
        <w:rPr>
          <w:rFonts w:ascii="Book Antiqua" w:hAnsi="Book Antiqua" w:cstheme="minorHAnsi"/>
          <w:b/>
          <w:i/>
        </w:rPr>
        <w:t>Isolation</w:t>
      </w:r>
      <w:r w:rsidR="00B96558" w:rsidRPr="00000DD3">
        <w:rPr>
          <w:rFonts w:ascii="Book Antiqua" w:hAnsi="Book Antiqua" w:cstheme="minorHAnsi"/>
          <w:b/>
          <w:i/>
        </w:rPr>
        <w:t>,</w:t>
      </w:r>
      <w:r w:rsidRPr="00000DD3">
        <w:rPr>
          <w:rFonts w:ascii="Book Antiqua" w:hAnsi="Book Antiqua" w:cstheme="minorHAnsi"/>
          <w:b/>
          <w:i/>
        </w:rPr>
        <w:t xml:space="preserve"> expansion</w:t>
      </w:r>
      <w:r w:rsidR="00FC1690" w:rsidRPr="00000DD3">
        <w:rPr>
          <w:rFonts w:ascii="Book Antiqua" w:hAnsi="Book Antiqua" w:cstheme="minorHAnsi"/>
          <w:b/>
          <w:i/>
        </w:rPr>
        <w:t>,</w:t>
      </w:r>
      <w:r w:rsidR="00B96558" w:rsidRPr="00000DD3">
        <w:rPr>
          <w:rFonts w:ascii="Book Antiqua" w:hAnsi="Book Antiqua" w:cstheme="minorHAnsi"/>
          <w:b/>
          <w:i/>
        </w:rPr>
        <w:t xml:space="preserve"> and characterization</w:t>
      </w:r>
      <w:r w:rsidRPr="00000DD3">
        <w:rPr>
          <w:rFonts w:ascii="Book Antiqua" w:hAnsi="Book Antiqua" w:cstheme="minorHAnsi"/>
          <w:b/>
          <w:i/>
        </w:rPr>
        <w:t xml:space="preserve"> of </w:t>
      </w:r>
      <w:proofErr w:type="spellStart"/>
      <w:r w:rsidRPr="00000DD3">
        <w:rPr>
          <w:rFonts w:ascii="Book Antiqua" w:hAnsi="Book Antiqua" w:cstheme="minorHAnsi"/>
          <w:b/>
          <w:i/>
        </w:rPr>
        <w:t>cMSCs</w:t>
      </w:r>
      <w:proofErr w:type="spellEnd"/>
    </w:p>
    <w:p w14:paraId="0FF43E81" w14:textId="5A731C40" w:rsidR="004604C6" w:rsidRPr="00000DD3" w:rsidRDefault="00D35B2A" w:rsidP="00874B98">
      <w:pPr>
        <w:spacing w:line="360" w:lineRule="auto"/>
        <w:jc w:val="both"/>
        <w:rPr>
          <w:rFonts w:ascii="Book Antiqua" w:hAnsi="Book Antiqua" w:cstheme="minorHAnsi"/>
        </w:rPr>
      </w:pPr>
      <w:r w:rsidRPr="00000DD3">
        <w:rPr>
          <w:rFonts w:ascii="Book Antiqua" w:hAnsi="Book Antiqua" w:cstheme="minorHAnsi"/>
        </w:rPr>
        <w:t xml:space="preserve">MSCs </w:t>
      </w:r>
      <w:r w:rsidR="00DF3F5C" w:rsidRPr="00000DD3">
        <w:rPr>
          <w:rFonts w:ascii="Book Antiqua" w:hAnsi="Book Antiqua" w:cstheme="minorHAnsi"/>
        </w:rPr>
        <w:t>from</w:t>
      </w:r>
      <w:r w:rsidR="00D94CC9" w:rsidRPr="00000DD3">
        <w:rPr>
          <w:rFonts w:ascii="Book Antiqua" w:hAnsi="Book Antiqua" w:cstheme="minorHAnsi"/>
        </w:rPr>
        <w:t xml:space="preserve"> dogs </w:t>
      </w:r>
      <w:r w:rsidRPr="00000DD3">
        <w:rPr>
          <w:rFonts w:ascii="Book Antiqua" w:hAnsi="Book Antiqua" w:cstheme="minorHAnsi"/>
        </w:rPr>
        <w:t>(</w:t>
      </w:r>
      <w:r w:rsidR="00D94CC9" w:rsidRPr="00000DD3">
        <w:rPr>
          <w:rFonts w:ascii="Book Antiqua" w:hAnsi="Book Antiqua" w:cstheme="minorHAnsi"/>
        </w:rPr>
        <w:t xml:space="preserve">canine MSCs: </w:t>
      </w:r>
      <w:proofErr w:type="spellStart"/>
      <w:r w:rsidR="004604C6" w:rsidRPr="00000DD3">
        <w:rPr>
          <w:rFonts w:ascii="Book Antiqua" w:hAnsi="Book Antiqua" w:cstheme="minorHAnsi"/>
        </w:rPr>
        <w:t>cMSCs</w:t>
      </w:r>
      <w:proofErr w:type="spellEnd"/>
      <w:r w:rsidRPr="00000DD3">
        <w:rPr>
          <w:rFonts w:ascii="Book Antiqua" w:hAnsi="Book Antiqua" w:cstheme="minorHAnsi"/>
        </w:rPr>
        <w:t>)</w:t>
      </w:r>
      <w:r w:rsidR="004604C6" w:rsidRPr="00000DD3">
        <w:rPr>
          <w:rFonts w:ascii="Book Antiqua" w:hAnsi="Book Antiqua" w:cstheme="minorHAnsi"/>
        </w:rPr>
        <w:t xml:space="preserve"> can be isolated from </w:t>
      </w:r>
      <w:r w:rsidR="009304AD" w:rsidRPr="00000DD3">
        <w:rPr>
          <w:rFonts w:ascii="Book Antiqua" w:hAnsi="Book Antiqua" w:cstheme="minorHAnsi"/>
        </w:rPr>
        <w:t>wide variety of</w:t>
      </w:r>
      <w:r w:rsidR="004604C6" w:rsidRPr="00000DD3">
        <w:rPr>
          <w:rFonts w:ascii="Book Antiqua" w:hAnsi="Book Antiqua" w:cstheme="minorHAnsi"/>
        </w:rPr>
        <w:t xml:space="preserve"> tissue sources</w:t>
      </w:r>
      <w:r w:rsidR="001C4C03" w:rsidRPr="00000DD3">
        <w:rPr>
          <w:rFonts w:ascii="Book Antiqua" w:hAnsi="Book Antiqua" w:cstheme="minorHAnsi"/>
        </w:rPr>
        <w:t>,</w:t>
      </w:r>
      <w:r w:rsidR="004604C6" w:rsidRPr="00000DD3">
        <w:rPr>
          <w:rFonts w:ascii="Book Antiqua" w:hAnsi="Book Antiqua" w:cstheme="minorHAnsi"/>
        </w:rPr>
        <w:t xml:space="preserve"> including bone marrow</w:t>
      </w:r>
      <w:r w:rsidR="003C46D0"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{"citationItems":[{"id":"ITEM-1","itemData":{"DOI":"10.1007/s00418-007-0337-z","ISBN":"0948-6143 (Print)\\r0948-6143 (Linking)","ISSN":"09486143","PMID":"17922135","abstract":"Musculoskeletal diseases with osteochondrotic articular cartilage defects, such as osteoarthritis, are an increasing problem for humans and companion animals which necessitates the development of novel and improved therapeutic strategies. Canine mesenchymal stem cells (cMSCs) offer significant promise as a multipotent source for cell-based therapies and could form the basis for the differentiation and cultivation of tissue grafts to replace damaged tissue. However, no comprehensive analysis has been undertaken to characterize the ultrastructure of in vitro differentiated cMSCs. The main goal of this paper was to focus on cMSCs and to analyse their differentiation capacity. To achieve this aim, bone marrow cMSCs from three canine patients were isolated, expanded in monolayer culture and characterized with respect to their ability for osteogenic, adipogenic and chondrogenic differentiation capacities. cMSCs showed proliferative potential and were capable of osteogenic, adipogenic and chondrogenic differentiation. cMSCs treated with the osteogenic induction medium differentiated into osteoblasts, produced typical bone matrix components, beta1-integrins and upregulated the osteogenic specific transcription factor Cbfa-1. cMSCs treated with the adipogenic induction medium showed typical adipocyte morphology, produced adiponectin, collagen type I and beta1-integrins, and upregulated the adipogenic specific transcription factor PPAR-gamma. cMSCs treated with the chondrogenic induction medium exhibited a round to oval shape, produced a cartilage-specific extracellular matrix, beta1-integrins and upregulated the chondrogenic specific transcription factor Sox9. These results demonstrate, at the biochemical, morphological and ultrastructural levels, the multipotency of cMSCs and thus highlight their potential therapeutic value for cell-based tissue engineering.","author":[{"dropping-particle":"","family":"Csaki","given":"C.","non-dropping-particle":"","parse-names":false,"suffix":""},{"dropping-particle":"","family":"Matis","given":"U.","non-dropping-particle":"","parse-names":false,"suffix":""},{"dropping-particle":"","family":"Mobasheri","given":"A.","non-dropping-particle":"","parse-names":false,"suffix":""},{"dropping-particle":"","family":"Ye","given":"H.","non-dropping-particle":"","parse-names":false,"suffix":""},{"dropping-particle":"","family":"Shakibaei","given":"M.","non-dropping-particle":"","parse-names":false,"suffix":""}],"container-title":"Histochemistry and Cell Biology","id":"ITEM-1","issue":"6","issued":{"date-parts":[["2007"]]},"page":"507-520","title":"Chondrogenesis, osteogenesis and adipogenesis of canine mesenchymal stem cells: A biochemical, morphological and ultrastructural study","type":"article-journal","volume":"128"},"uris":["http://www.mendeley.com/documents/?uuid=253957ac-50e8-41fe-ba4c-5d44812ae75e"]},{"id":"ITEM-2","itemData":{"DOI":"10.3892/mmr.2018.9172","ISSN":"17913004","PMID":"29916546","author":[{"dropping-particle":"","family":"Zhang","given":"Shuang","non-dropping-particle":"","parse-names":false,"suffix":""},{"dropping-particle":"","family":"Zhao","given":"Chenqiong","non-dropping-particle":"","parse-names":false,"suffix":""},{"dropping-particle":"","family":"Liu","given":"Shi","non-dropping-particle":"","parse-names":false,"suffix":""},{"dropping-particle":"","family":"Wang","given":"Yufeng","non-dropping-particle":"","parse-names":false,"suffix":""},{"dropping-particle":"","family":"Zhao","given":"Yuhua","non-dropping-particle":"","parse-names":false,"suffix":""},{"dropping-particle":"","family":"Guan","given":"Weijun","non-dropping-particle":"","parse-names":false,"suffix":""},{"dropping-particle":"","family":"Zhu","given":"Zhiqiang","non-dropping-particle":"","parse-names":false,"suffix":""}],"container-title":"Molecular Medicine Reports","id":"ITEM-2","issue":"2","issued":{"date-parts":[["2018"]]},"page":"2097-2109","title":"Characteristics and multi-lineage differentiation of bone marrow mesenchymal stem cells derived from the Tibetan mastiff","type":"article-journal","volume":"18"},"uris":["http://www.mendeley.com/documents/?uuid=6ae5bf4c-2f03-3654-ac18-a358677153d3"]}],"mendeley":{"formattedCitation":"&lt;sup&gt;[46,47]&lt;/sup&gt;","plainTextFormattedCitation":"[46,47]","previouslyFormattedCitation":"&lt;sup&gt;[46,47]&lt;/sup&gt;"},"properties":{"noteIndex":0},"schema":"https://github.com/citation-style-language/schema/raw/master/csl-citation.json"}</w:instrText>
      </w:r>
      <w:r w:rsidR="003C46D0" w:rsidRPr="00000DD3">
        <w:rPr>
          <w:rFonts w:ascii="Book Antiqua" w:hAnsi="Book Antiqua" w:cstheme="minorHAnsi"/>
        </w:rPr>
        <w:fldChar w:fldCharType="separate"/>
      </w:r>
      <w:r w:rsidR="00BC68DD" w:rsidRPr="00000DD3">
        <w:rPr>
          <w:rFonts w:ascii="Book Antiqua" w:hAnsi="Book Antiqua" w:cstheme="minorHAnsi"/>
          <w:noProof/>
          <w:vertAlign w:val="superscript"/>
        </w:rPr>
        <w:t>[46,47]</w:t>
      </w:r>
      <w:r w:rsidR="003C46D0" w:rsidRPr="00000DD3">
        <w:rPr>
          <w:rFonts w:ascii="Book Antiqua" w:hAnsi="Book Antiqua" w:cstheme="minorHAnsi"/>
        </w:rPr>
        <w:fldChar w:fldCharType="end"/>
      </w:r>
      <w:r w:rsidR="004604C6" w:rsidRPr="00000DD3">
        <w:rPr>
          <w:rFonts w:ascii="Book Antiqua" w:hAnsi="Book Antiqua" w:cstheme="minorHAnsi"/>
        </w:rPr>
        <w:t>, adipose tissue</w:t>
      </w:r>
      <w:r w:rsidR="003C46D0"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{"citationItems":[{"id":"ITEM-1","itemData":{"DOI":"10.3727/096368909X481764","ISBN":"1555-3892 (Electronic)\\r0963-6897 (Linking)","ISSN":"09636897","PMID":"19995482","abstract":"Adipose tissue may represent a potential source of adult stem cells for tissue engineering applications in veterinary medicine. It can be obtained in large quantities, under local anesthesia, and with minimal discomfort. In this study, canine adipose tissue was obtained by biopsy from subcutaneous adipose tissue or by suction-assisted lipectomy (i.e., liposuction). Adipose tissue was processed to obtain a fibroblast-like population of cells similar to human adipose-derived stem cells (hASCs). These canine adipose-derived stem cells (cASCs) can be maintained in vitro for extended periods with stable population doubling and low levels of senescence. Immunofluorescence and flow cytometry show that the majority of cASCs are of mesodermal or mesenchymal origin. cASCs are able to differentiate in vitro into adipogenic, chondrogenic, myogenic, and osteogenic cells in the presence of lineage-specific induction factors. In conclusion, like human lipoaspirate, canine adipose tissue may also contain multipotent cells and represent an important stem cell source both for veterinary cell therapy as well as preclinical studies.","author":[{"dropping-particle":"","family":"Vieira","given":"N. M.","non-dropping-particle":"","parse-names":false,"suffix":""},{"dropping-particle":"","family":"Brandalise","given":"V.","non-dropping-particle":"","parse-names":false,"suffix":""},{"dropping-particle":"","family":"Zucconi","given":"E.","non-dropping-particle":"","parse-names":false,"suffix":""},{"dropping-particle":"","family":"Secco","given":"M.","non-dropping-particle":"","parse-names":false,"suffix":""},{"dropping-particle":"","family":"Strauss","given":"B. E.","non-dropping-particle":"","parse-names":false,"suffix":""},{"dropping-particle":"","family":"Zatz","given":"Mayana","non-dropping-particle":"","parse-names":false,"suffix":""}],"container-title":"Cell Transplantation","id":"ITEM-1","issue":"3","issued":{"date-parts":[["2010","3","1"]]},"page":"279-289","publisher":"SAGE PublicationsSage CA: Los Angeles, CA","title":"Isolation, characterization, and differentiation potential of canine adipose-derived stem cells","type":"article-journal","volume":"19"},"uris":["http://www.mendeley.com/documents/?uuid=22c258a0-6a2a-3069-ac65-aeceb84babc6"]},{"id":"ITEM-2","itemData":{"DOI":"10.1016/j.vetimm.2014.06.002","ISBN":"1873-2534 (Electronic)\\r0165-2427 (Linking)","ISSN":"18732534","PMID":"25026887","abstract":"Veterinary adult stem cell therapy is an emerging area of basic and clinical research. Like their human counterparts, veterinary mesenchymal stem cells (MSCs) offer many potential therapeutic benefits. The characterization of canine-derived MSCs, however, is poorly defined compared to human MSCs. Furthermore, little consensus exists regarding the expression of canine MSC cell surface markers. To address this issue, this study investigated characteristics of cultured canine MSCs derived from both adipose tissue and bone marrow. The canine MSCs were obtained from donors of various breeds and ages. A panel of cell surface markers for canine MSCs was selected based on current human and canine literature and the availability of canine-reactive antibodies. Using flow cytometry, canine MSCs were defined to be CD90+CD44+MHC I+CD14-CD29-CD34-MHC II-. Canine MSCs were further characterized using real-time RT-PCR as CD105+CD73+CD14+CD29+MHC II+CD45- at the mRNA level. Among these markers, canine MSCs differed from canine peripheral blood mononuclear cells (PBMCs) by the absence of CD45 expression at the mRNA level. A novel high-throughput canine-specific PCR array was developed and used to identify changes in the gene expression profiles of canine MSCs. Genes including PTPRC, TNF, β2M, TGFβ1, and PDGFRβ, were identified as unique to canine MSCs as compared to canine PBMCs. Our findings will facilitate characterization of canine MSCs for use in research and clinical trials. Moreover, the high-throughput PCR array is a novel tool for characterizing canine MSCs isolated from different tissues and potentially from different laboratories. © 2014.","author":[{"dropping-particle":"","family":"Screven","given":"Rudell","non-dropping-particle":"","parse-names":false,"suffix":""},{"dropping-particle":"","family":"Kenyon","given":"Elizabeth","non-dropping-particle":"","parse-names":false,"suffix":""},{"dropping-particle":"","family":"Myers","given":"Michael J.","non-dropping-particle":"","parse-names":false,"suffix":""},{"dropping-particle":"","family":"Yancy","given":"Haile F.","non-dropping-particle":"","parse-names":false,"suffix":""},{"dropping-particle":"","family":"Skasko","given":"Mark","non-dropping-particle":"","parse-names":false,"suffix":""},{"dropping-particle":"","family":"Boxer","given":"Lynne","non-dropping-particle":"","parse-names":false,"suffix":""},{"dropping-particle":"","family":"Bigley","given":"Elmer C.","non-dropping-particle":"","parse-names":false,"suffix":""},{"dropping-particle":"","family":"Borjesson","given":"Dori L.","non-dropping-particle":"","parse-names":false,"suffix":""},{"dropping-particle":"","family":"Zhu","given":"Min","non-dropping-particle":"","parse-names":false,"suffix":""}],"container-title":"Veterinary Immunology and Immunopathology","id":"ITEM-2","issue":"1-2","issued":{"date-parts":[["2014"]]},"page":"21-31","title":"Immunophenotype and gene expression profile of mesenchymal stem cells derived from canine adipose tissue and bone marrow","type":"article-journal","volume":"161"},"uris":["http://www.mendeley.com/documents/?uuid=d5727772-1149-314b-a927-8edbfbb7a0f2"]}],"mendeley":{"formattedCitation":"&lt;sup&gt;[48,49]&lt;/sup&gt;","plainTextFormattedCitation":"[48,49]","previouslyFormattedCitation":"&lt;sup&gt;[48,49]&lt;/sup&gt;"},"properties":{"noteIndex":0},"schema":"https://github.com/citation-style-language/schema/raw/master/csl-citation.json"}</w:instrText>
      </w:r>
      <w:r w:rsidR="003C46D0" w:rsidRPr="00000DD3">
        <w:rPr>
          <w:rFonts w:ascii="Book Antiqua" w:hAnsi="Book Antiqua" w:cstheme="minorHAnsi"/>
        </w:rPr>
        <w:fldChar w:fldCharType="separate"/>
      </w:r>
      <w:r w:rsidR="00BC68DD" w:rsidRPr="00000DD3">
        <w:rPr>
          <w:rFonts w:ascii="Book Antiqua" w:hAnsi="Book Antiqua" w:cstheme="minorHAnsi"/>
          <w:noProof/>
          <w:vertAlign w:val="superscript"/>
        </w:rPr>
        <w:t>[48,49]</w:t>
      </w:r>
      <w:r w:rsidR="003C46D0" w:rsidRPr="00000DD3">
        <w:rPr>
          <w:rFonts w:ascii="Book Antiqua" w:hAnsi="Book Antiqua" w:cstheme="minorHAnsi"/>
        </w:rPr>
        <w:fldChar w:fldCharType="end"/>
      </w:r>
      <w:r w:rsidR="004604C6" w:rsidRPr="00000DD3">
        <w:rPr>
          <w:rFonts w:ascii="Book Antiqua" w:hAnsi="Book Antiqua" w:cstheme="minorHAnsi"/>
        </w:rPr>
        <w:t>, umbilical cord</w:t>
      </w:r>
      <w:r w:rsidR="003C46D0" w:rsidRPr="00000DD3">
        <w:rPr>
          <w:rFonts w:ascii="Book Antiqua" w:hAnsi="Book Antiqua" w:cstheme="minorHAnsi"/>
        </w:rPr>
        <w:fldChar w:fldCharType="begin" w:fldLock="1"/>
      </w:r>
      <w:r w:rsidR="00120D2C" w:rsidRPr="00000DD3">
        <w:rPr>
          <w:rFonts w:ascii="Book Antiqua" w:hAnsi="Book Antiqua" w:cstheme="minorHAnsi"/>
        </w:rPr>
        <w:instrText>ADDIN CSL_CITATION {"citationItems":[{"id":"ITEM-1","itemData":{"DOI":"10.4142/jvs.2012.13.3.299","ISBN":"1976-555X (Electronic)\\n1229-845X (Linking)","ISSN":"1229845X","PMID":"23000587","abstract":"Alternative sources of mesenchymal stem cells (MSCs) for replacing bone marrow (BM) have been extensively investigated in the field of bone tissue engineering. The purpose of this study was to compare the osteogenic potential of canine MSCs derived from adipose tissue (AT), BM, umbilical cord blood (UCB), and Wharton's jelly (WJ) using in vitro culture techniques and in vivo orthotopic implantation assays. After canine MSCs were isolated from various tissues, the proliferation and osteogenic potential along with vascular endothelial growth factor (VEGF) production were measured and compared in vitro. For the in vivo assay, MSCs derived from each type of tissue were mixed with β-tricalcium phosphate and implanted into segmental bone defects in dogs. Among the different types of MSCs, AT-MSCs had a higher proliferation potential and BM-MSCs produced the most VEGF. AT-MSCs and UCB-MSCs showed greater in vitro osteogenic potential compared to the other cells. Radiographic and histological analyses showed that all tested MSCs had similar osteogenic capacities, and the level of new bone formation was much higher with implants containing MSCs than cell-free implants. These results indicate that AT-MSCs, UCB-MSCs, and WJ-MSCs can potentially be used in place of BM-MSCs for clinical bone engineering procedures.","author":[{"dropping-particle":"","family":"Kang","given":"Byung Jae","non-dropping-particle":"","parse-names":false,"suffix":""},{"dropping-particle":"","family":"Ryu","given":"Hak Hyun","non-dropping-particle":"","parse-names":false,"suffix":""},{"dropping-particle":"","family":"Park","given":"Sung Su","non-dropping-particle":"","parse-names":false,"suffix":""},{"dropping-particle":"","family":"Koyama","given":"Yoshihisa","non-dropping-particle":"","parse-names":false,"suffix":""},{"dropping-particle":"","family":"Kikuchi","given":"Masanori","non-dropping-particle":"","parse-names":false,"suffix":""},{"dropping-particle":"","family":"Woo","given":"Heung Myong","non-dropping-particle":"","parse-names":false,"suffix":""},{"dropping-particle":"","family":"Kim","given":"Wan Hee","non-dropping-particle":"","parse-names":false,"suffix":""},{"dropping-particle":"","family":"Kweon","given":"Oh Kyeong","non-dropping-particle":"","parse-names":false,"suffix":""}],"container-title":"Journal of Veterinary Science","id":"ITEM-1","issue":"3","issued":{"date-parts":[["2012"]]},"page":"299-310","title":"Comparing the osteogenic potential of canine mesenchymal stem cells derived from adipose tissues, bone marrow, umbilical cord blood, and Wharton's jelly for treating bone defects","type":"article-journal","volume":"13"},"uris":["http://www.mendeley.com/documents/?uuid=115143d3-f860-34a0-9ace-15ff46b6232f"]},{"id":"ITEM-2","itemData":{"DOI":"10.1155/2018/1983025","ISSN":"1687-966X","PMID":"29861739","abstract":"Objective . The aim of this study was to assess the efficacy of canine umbilical cord mesenchymal stem cells (UC-MSCs) on the treatment of knee osteoarthritis in dogs. Methods . Eight dogs were evenly assigned to two groups. The canine model of knee osteoarthritis was established by surgical manipulation of knee articular cartilage on these eight dogs. UC-MSCs were isolated from umbilical cord Wharton’s jelly by 0.1% type collagenase I and identified by immunofluorescence staining and adipogenic and osteogenic differentiation in vitro . A suspension of allogeneic UC-MSCs (1 × 10 6 ) and an equal amount of physiological saline was injected into the cavitas articularis in the treated and untreated control groups, respectively, on days 1 and 3 posttreatment. The structure of the canine knee joint was observed by magnetic resonance imaging (MRI), B-mode ultrasonography, and X-ray imaging at the 3rd, 7th, 14th, and 28th days after treatment. Concurrently, the levels of IL-6, IL-7, and TNF- α in the blood of the examined dogs were measured. Moreover, the recovery of cartilage and patella surface in the treated group and untreated group was compared using a scanning electron microscope (SEM) after a 35-day treatment. Results . Results revealed that the isolated cells were UC-MSCs, because they were positive for CD44 and negative for CD34 surface markers, and the cells were differentiated into adipocytes and osteoblasts. Imaging technology showed that as treatment time increased, the high signal in the MRI T2-weighted images decreased, the echo-free space in B ultrasonography images disappeared basically, and the continuous linear hypoechoic region at the trochlear sulcus thickened. On X-ray images, the serrate defect at the ventral cortex of the patella improved, and the low-density gap of the ventral patella and trochlear crest gradually increased in the treated group. On the contrary, the high signal in the MRI T2-weighted images and the echo-free space in B ultrasonography images still increased after a 14-day treatment in the untreated control group, and the linear hypoechoic region was discontinuous. On the X-ray images, there was no improvement in the serrate defect of the ventral cortex of the patella. Results for inflammatory factors showed that the blood levels of IL-6, IL-7, and TNF- α of the untreated control group were significantly higher than those of the treated group ( P &lt; 0.05 ) 7–14 days posttreatment. The result of SEM showed that the cartil…","author":[{"dropping-particle":"","family":"Zhang","given":"Bei Ying","non-dropping-particle":"","parse-names":false,"suffix":""},{"dropping-particle":"","family":"Wang","given":"Bing Yun","non-dropping-particle":"","parse-names":false,"suffix":""},{"dropping-particle":"","family":"Li","given":"Shao Chuan","non-dropping-particle":"","parse-names":false,"suffix":""},{"dropping-particle":"","family":"Luo","given":"Dong Zhang","non-dropping-particle":"","parse-names":false,"suffix":""},{"dropping-particle":"","family":"Zhan","given":"Xiaoshu","non-dropping-particle":"","parse-names":false,"suffix":""},{"dropping-particle":"","family":"Chen","given":"Sheng Feng","non-dropping-particle":"","parse-names":false,"suffix":""},{"dropping-particle":"","family":"Chen","given":"Zhi Sheng","non-dropping-particle":"","parse-names":false,"suffix":""},{"dropping-particle":"","family":"Liu","given":"Can Ying","non-dropping-particle":"","parse-names":false,"suffix":""},{"dropping-particle":"","family":"Ji","given":"Hui Qin","non-dropping-particle":"","parse-names":false,"suffix":""},{"dropping-particle":"","family":"Bai","given":"Yin Shan","non-dropping-particle":"","parse-names":false,"suffix":""},{"dropping-particle":"","family":"Li","given":"Dong Sheng","non-dropping-particle":"","parse-names":false,"suffix":""},{"dropping-particle":"","family":"He","given":"Yang","non-dropping-particle":"","parse-names":false,"suffix":""}],"container-title":"Stem Cells International","id":"ITEM-2","issued":{"date-parts":[["2018"]]},"title":"Evaluation of the curative effect of umbilical cord mesenchymal stem cell therapy for knee arthritis in dogs using imaging technology","type":"article-journal","volume":"2018"},"uris":["http://www.mendeley.com/documents/?uuid=a0503553-9dce-3dfb-b23b-6e90091290cf"]}],"mendeley":{"formattedCitation":"&lt;sup&gt;[50,51]&lt;/sup&gt;","plainTextFormattedCitation":"[50,51]","previouslyFormattedCitation":"&lt;sup&gt;[50,51]&lt;/sup&gt;"},"properties":{"noteIndex":0},"schema":"https://github.com/citation-style-language/schema/raw/master/csl-citation.json"}</w:instrText>
      </w:r>
      <w:r w:rsidR="003C46D0" w:rsidRPr="00000DD3">
        <w:rPr>
          <w:rFonts w:ascii="Book Antiqua" w:hAnsi="Book Antiqua" w:cstheme="minorHAnsi"/>
        </w:rPr>
        <w:fldChar w:fldCharType="separate"/>
      </w:r>
      <w:r w:rsidR="00BC68DD" w:rsidRPr="00000DD3">
        <w:rPr>
          <w:rFonts w:ascii="Book Antiqua" w:hAnsi="Book Antiqua" w:cstheme="minorHAnsi"/>
          <w:noProof/>
          <w:vertAlign w:val="superscript"/>
        </w:rPr>
        <w:t>[50,51]</w:t>
      </w:r>
      <w:r w:rsidR="003C46D0" w:rsidRPr="00000DD3">
        <w:rPr>
          <w:rFonts w:ascii="Book Antiqua" w:hAnsi="Book Antiqua" w:cstheme="minorHAnsi"/>
        </w:rPr>
        <w:fldChar w:fldCharType="end"/>
      </w:r>
      <w:r w:rsidR="004604C6" w:rsidRPr="00000DD3">
        <w:rPr>
          <w:rFonts w:ascii="Book Antiqua" w:hAnsi="Book Antiqua" w:cstheme="minorHAnsi"/>
        </w:rPr>
        <w:t>,</w:t>
      </w:r>
      <w:r w:rsidR="00710E21" w:rsidRPr="00000DD3">
        <w:rPr>
          <w:rFonts w:ascii="Book Antiqua" w:hAnsi="Book Antiqua" w:cstheme="minorHAnsi"/>
        </w:rPr>
        <w:t xml:space="preserve"> </w:t>
      </w:r>
      <w:r w:rsidR="004604C6" w:rsidRPr="00000DD3">
        <w:rPr>
          <w:rFonts w:ascii="Book Antiqua" w:hAnsi="Book Antiqua" w:cstheme="minorHAnsi"/>
        </w:rPr>
        <w:t>muscle</w:t>
      </w:r>
      <w:r w:rsidR="00710E21"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{"citationItems":[{"id":"ITEM-1","itemData":{"DOI":"10.2460/ajvr.73.8.1305.","PMID":"22849692","abstract":"Objective—To isolate and characterize mesenchymal stem cells (MSCs) from canine muscle and periosteum and compare proliferative capacities of bone marrow–, adipose tissue–, muscle-, and periosteum-derived MSCs (BMSCs, AMSCs, MMSCs, and PMSCs, respectively). Sample—7 canine cadavers. Procedures—MSCs were characterized on the basis of morphology, immunofluorescence of MSC-associated cell surface markers, and expression of pluripotency-associated tran- scription factors. Morphological and histochemical methods were used to evaluate differen- tiation of MSCs cultured in adipogenic, osteogenic, and chondrogenic media. Messenger ri- bonucleic acid expression of alkaline phosphatase, RUNX2, OSTERIX, and OSTEOPONTIN were evaluated as markers for osteogenic differentiation. Passage-1 MSCs were counted at 24, 48, 72, and 96 hours to determine tissue-specific MSC proliferative capacity. Mes- enchymal stem cell yield per gram of tissue was calculated for confluent passage-1 MSCs. Results—Successful isolation of BMSCs, AMSCs, MMSCs, and PMSCs was determined on the basis of morphology; expression of CD44 and CD90; no expression of CD34 and CD45; mRNA expression of SOX2, OCT4, and NANOG; and adipogenic and osteogenic differentiation. Proliferative capacity was not significantly different among BMSCs, AMSCs, MMSCs, and PMSCs over a 4-day culture period. Periosteum provided a significantly higher MSC yield per gram of tissue once confluent in passage 1 (mean ± SD of 19,400,000 ± 12,800,000 of PMSCs/g of periosteum obtained in a mean ± SD of 13 ± 1.64 days). Conclusions and Clinical Relevance—Results indicated that canine muscle and perios- teum may be sources of MSCs. Periosteum was a superior tissue source for MSC yield and may be useful in allogenic applications.","author":[{"dropping-particle":"","family":"Kisiel","given":"Agatha H.","non-dropping-particle":"","parse-names":false,"suffix":""},{"dropping-particle":"","family":"McDuffee","given":"Laurie A.","non-dropping-particle":"","parse-names":false,"suffix":""},{"dropping-particle":"","family":"Masaoud","given":"Elmabrok","non-dropping-particle":"","parse-names":false,"suffix":""},{"dropping-particle":"","family":"Bailey","given":"Trina R.","non-dropping-particle":"","parse-names":false,"suffix":""},{"dropping-particle":"","family":"Esparza Gonzalez","given":"Blanca P.","non-dropping-particle":"","parse-names":false,"suffix":""},{"dropping-particle":"","family":"Nino-Fong","given":"Rodolfo","non-dropping-particle":"","parse-names":false,"suffix":""}],"container-title":"American Journal of Veterinary Research","id":"ITEM-1","issue":"8","issued":{"date-parts":[["2012"]]},"page":"1305-1317","title":"Isolation, characterization, and in vitro proliferation of canine mesenchymal stem cells derived from bone marrow, adipose tissue, muscle, and periosteum","type":"article-journal","volume":"73"},"uris":["http://www.mendeley.com/documents/?uuid=7bff95f3-df21-3442-af2c-0336a7a37c96"]}],"mendeley":{"formattedCitation":"&lt;sup&gt;[52]&lt;/sup&gt;","plainTextFormattedCitation":"[52]","previouslyFormattedCitation":"&lt;sup&gt;[52]&lt;/sup&gt;"},"properties":{"noteIndex":0},"schema":"https://github.com/citation-style-language/schema/raw/master/csl-citation.json"}</w:instrText>
      </w:r>
      <w:r w:rsidR="00710E21" w:rsidRPr="00000DD3">
        <w:rPr>
          <w:rFonts w:ascii="Book Antiqua" w:hAnsi="Book Antiqua" w:cstheme="minorHAnsi"/>
        </w:rPr>
        <w:fldChar w:fldCharType="separate"/>
      </w:r>
      <w:r w:rsidR="00BC68DD" w:rsidRPr="00000DD3">
        <w:rPr>
          <w:rFonts w:ascii="Book Antiqua" w:hAnsi="Book Antiqua" w:cstheme="minorHAnsi"/>
          <w:noProof/>
          <w:vertAlign w:val="superscript"/>
        </w:rPr>
        <w:t>[52]</w:t>
      </w:r>
      <w:r w:rsidR="00710E21" w:rsidRPr="00000DD3">
        <w:rPr>
          <w:rFonts w:ascii="Book Antiqua" w:hAnsi="Book Antiqua" w:cstheme="minorHAnsi"/>
        </w:rPr>
        <w:fldChar w:fldCharType="end"/>
      </w:r>
      <w:r w:rsidR="004604C6" w:rsidRPr="00000DD3">
        <w:rPr>
          <w:rFonts w:ascii="Book Antiqua" w:hAnsi="Book Antiqua" w:cstheme="minorHAnsi"/>
        </w:rPr>
        <w:t>, infrapatellar fat pad</w:t>
      </w:r>
      <w:r w:rsidR="00C34C6E"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{"citationItems":[{"id":"ITEM-1","itemData":{"DOI":"10.1186/s13287-017-0639-6","ISSN":"17576512","PMID":"28974260","abstract":"BACKGROUND The dog represents an excellent large animal model for translational cell-based studies. Importantly, the properties of canine multipotent stromal cells (cMSCs) and the ideal tissue source for specific translational studies have yet to be established. The aim of this study was to characterize cMSCs derived from synovium, bone marrow, and adipose tissue using a donor-matched study design and a comprehensive series of in-vitro characterization, differentiation, and immunomodulation assays. METHODS Canine MSCs were isolated from five dogs with cranial cruciate ligament rupture. All 15 cMSC preparations were evaluated using colony forming unit (CFU) assays, flow cytometry analysis, RT-PCR for pluripotency-associated genes, proliferation assays, trilineage differentiation assays, and immunomodulation assays. Data were reported as mean</w:instrText>
      </w:r>
      <w:r w:rsidR="00073C18" w:rsidRPr="00000DD3">
        <w:rPr>
          <w:rFonts w:ascii="Times New Roman" w:hAnsi="Times New Roman" w:cs="Times New Roman"/>
        </w:rPr>
        <w:instrText> </w:instrText>
      </w:r>
      <w:r w:rsidR="00073C18" w:rsidRPr="00000DD3">
        <w:rPr>
          <w:rFonts w:ascii="Book Antiqua" w:hAnsi="Book Antiqua" w:cstheme="minorHAnsi"/>
        </w:rPr>
        <w:instrText>±</w:instrText>
      </w:r>
      <w:r w:rsidR="00073C18" w:rsidRPr="00000DD3">
        <w:rPr>
          <w:rFonts w:ascii="Times New Roman" w:hAnsi="Times New Roman" w:cs="Times New Roman"/>
        </w:rPr>
        <w:instrText> </w:instrText>
      </w:r>
      <w:r w:rsidR="00073C18" w:rsidRPr="00000DD3">
        <w:rPr>
          <w:rFonts w:ascii="Book Antiqua" w:hAnsi="Book Antiqua" w:cstheme="minorHAnsi"/>
        </w:rPr>
        <w:instrText>standard deviation and compared using repeated-measures analysis of variance and Tukey post-hoc test. Significance was established at p</w:instrText>
      </w:r>
      <w:r w:rsidR="00073C18" w:rsidRPr="00000DD3">
        <w:rPr>
          <w:rFonts w:ascii="Times New Roman" w:hAnsi="Times New Roman" w:cs="Times New Roman"/>
        </w:rPr>
        <w:instrText> </w:instrText>
      </w:r>
      <w:r w:rsidR="00073C18" w:rsidRPr="00000DD3">
        <w:rPr>
          <w:rFonts w:ascii="Book Antiqua" w:hAnsi="Book Antiqua" w:cstheme="minorHAnsi"/>
        </w:rPr>
        <w:instrText>&lt;</w:instrText>
      </w:r>
      <w:r w:rsidR="00073C18" w:rsidRPr="00000DD3">
        <w:rPr>
          <w:rFonts w:ascii="Times New Roman" w:hAnsi="Times New Roman" w:cs="Times New Roman"/>
        </w:rPr>
        <w:instrText> </w:instrText>
      </w:r>
      <w:r w:rsidR="00073C18" w:rsidRPr="00000DD3">
        <w:rPr>
          <w:rFonts w:ascii="Book Antiqua" w:hAnsi="Book Antiqua" w:cstheme="minorHAnsi"/>
        </w:rPr>
        <w:instrText>0.05. RESULTS All tissue samples produced plastic adherent, spindle-shaped preparations of cMSCs. Cells were negative for CD34, CD45, and STRO-1 and positive for CD9, CD44, and CD90, whereas the degree to which cells were positive for CD105 was variable depending on tissue of origin. Cells were positive for the pluripotency-associated genes NANOG, OCT4, and SOX2. Accounting for donor and tissue sources, there were significant differences in CFU potential, rate of proliferation, trilineage differentiation, and immunomodulatory response. Synovium and marrow cMSCs exhibited superior early osteogenic activity, but when assessing late-stage osteogenesis no significant differences were detected. Interestingly, bone morphogenic protein-2 (BMP-2) supplementation was necessary for early-stage and late-stage osteogenic differentiation, a finding consistent with other canine studies. Additionally, synovium and adipose cMSCs proliferated more rapidly, displayed higher CFU potential, and formed larger aggregates in chondrogenic assays, although proteoglycan and collagen type II staining were subjectively decreased in adipose pellets as compared to synovial and marrow pellets. Lastly, cMSCs derived from all three tissue sources modulated murine macrophage TNF-α and IL-6 levels in a lipopolysaccharide-stimulated coculture assay. CONCLUSIONS While cMSCs from synovium, marrow, and adipose tissue share a number of similarities, important differences in proliferation and trilineage differentiation …","author":[{"dropping-particle":"","family":"Bearden","given":"Robert N.","non-dropping-particle":"","parse-names":false,"suffix":""},{"dropping-particle":"","family":"Huggins","given":"Shannon S.","non-dropping-particle":"","parse-names":false,"suffix":""},{"dropping-particle":"","family":"Cummings","given":"Kevin J.","non-dropping-particle":"","parse-names":false,"suffix":""},{"dropping-particle":"","family":"Smith","given":"Roger","non-dropping-particle":"","parse-names":false,"suffix":""},{"dropping-particle":"","family":"Gregory","given":"Carl A.","non-dropping-particle":"","parse-names":false,"suffix":""},{"dropping-particle":"","family":"Saunders","given":"William B.","non-dropping-particle":"","parse-names":false,"suffix":""}],"container-title":"Stem Cell Research and Therapy","id":"ITEM-1","issue":"1","issued":{"date-parts":[["2017"]]},"page":"1-22","publisher":"Stem Cell Research &amp; Therapy","title":"In-vitro characterization of canine multipotent stromal cells isolated from synovium, bone marrow, and adipose tissue: A donor-matched comparative study","type":"article-journal","volume":"8"},"uris":["http://www.mendeley.com/documents/?uuid=93ce5912-c717-4e45-a0d6-6e2eb38783bb"]},{"id":"ITEM-2","itemData":{"DOI":"10.1371/journal.pone.0202922","ISBN":"1111111111","ISSN":"19326203","PMID":"30138399","abstract":"Osteoarthritis (OA), a common chronic joint disorder in both humans and canines, is characterized by a progressive loss of articular cartilage. Canines can serve as an animal model of OA for human medicine, and this research can simultaneously establish effective veterinary treatments for canine OA. One attractive treatment that can lead to cartilage regeneration is the use of mesenchymal stem cells (MSCs). However, for canine OA, little information is available regarding the best source of MSCs. The purpose of this study was to identify a promising MSC source for canine cartilage regeneration. We collected synovial, infrapatellar fat pad, inguinal adipose, and bone marrow tissues from six canines and then conducted a donor-matched comparison of the properties of MSCs derived from these four tissues. We examined the surface epitope expression, proliferation capacity, and trilineage differentiation potential of all four populations. Adherent cells derived from all four tissue sources exhibited positivity for CD90 and CD44 and negativity for CD45 and CD11b. The positive rate for CD90 was higher for synovium-derived than for adipose-derived and bone marrow-derived MSCs. Synovium-derived and infrapatellar fat pad-derived MSCs displayed substantial proliferation ability, and all four populations underwent trilineage differentiation. During chondrogenesis, the wet weight was heavier for cartilage pellets derived from synovium MSCs than from the other three sources. The synovium is therefore a promising source for MSCs for canine cartilage regeneration. Our findings provide useful information about canine MSCs that may be applicable to regenerative medicine for treatment of OA.","author":[{"dropping-particle":"","family":"Sasaki","given":"Akari","non-dropping-particle":"","parse-names":false,"suffix":""},{"dropping-particle":"","family":"Mizuno","given":"Mitsuru","non-dropping-particle":"","parse-names":false,"suffix":""},{"dropping-particle":"","family":"Ozeki","given":"Nobutake","non-dropping-particle":"","parse-names":false,"suffix":""},{"dropping-particle":"","family":"Katano","given":"Hisako","non-dropping-particle":"","parse-names":false,"suffix":""},{"dropping-particle":"","family":"Otabe","given":"Koji","non-dropping-particle":"","parse-names":false,"suffix":""},{"dropping-particle":"","family":"Tsuji","given":"Kunikazu","non-dropping-particle":"","parse-names":false,"suffix":""},{"dropping-particle":"","family":"Koga","given":"Hideyuki","non-dropping-particle":"","parse-names":false,"suffix":""},{"dropping-particle":"","family":"Mochizuki","given":"Manabu","non-dropping-particle":"","parse-names":false,"suffix":""},{"dropping-particle":"","family":"Sekiya","given":"Ichiro","non-dropping-particle":"","parse-names":false,"suffix":""}],"container-title":"PLoS ONE","id":"ITEM-2","issue":"8","issued":{"date-parts":[["2018"]]},"page":"1-20","title":"Canine mesenchymal stem cells from synovium have a higher chondrogenic potential than those from infrapatellar fat pad, adipose tissue, and bone marrow","type":"article-journal","volume":"13"},"uris":["http://www.mendeley.com/documents/?uuid=06e018b3-4bb7-4b65-8c48-df24ad3c85ac"]}],"mendeley":{"formattedCitation":"&lt;sup&gt;[40,53]&lt;/sup&gt;","plainTextFormattedCitation":"[40,53]","previouslyFormattedCitation":"&lt;sup&gt;[40,53]&lt;/sup&gt;"},"properties":{"noteIndex":0},"schema":"https://github.com/citation-style-language/schema/raw/master/csl-citation.json"}</w:instrText>
      </w:r>
      <w:r w:rsidR="00C34C6E" w:rsidRPr="00000DD3">
        <w:rPr>
          <w:rFonts w:ascii="Book Antiqua" w:hAnsi="Book Antiqua" w:cstheme="minorHAnsi"/>
        </w:rPr>
        <w:fldChar w:fldCharType="separate"/>
      </w:r>
      <w:r w:rsidR="00BC68DD" w:rsidRPr="00000DD3">
        <w:rPr>
          <w:rFonts w:ascii="Book Antiqua" w:hAnsi="Book Antiqua" w:cstheme="minorHAnsi"/>
          <w:noProof/>
          <w:vertAlign w:val="superscript"/>
        </w:rPr>
        <w:t>[40,53]</w:t>
      </w:r>
      <w:r w:rsidR="00C34C6E" w:rsidRPr="00000DD3">
        <w:rPr>
          <w:rFonts w:ascii="Book Antiqua" w:hAnsi="Book Antiqua" w:cstheme="minorHAnsi"/>
        </w:rPr>
        <w:fldChar w:fldCharType="end"/>
      </w:r>
      <w:r w:rsidR="004604C6" w:rsidRPr="00000DD3">
        <w:rPr>
          <w:rFonts w:ascii="Book Antiqua" w:hAnsi="Book Antiqua" w:cstheme="minorHAnsi"/>
        </w:rPr>
        <w:t>, synovium</w:t>
      </w:r>
      <w:r w:rsidR="00DA5EAF"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{"citationItems":[{"id":"ITEM-1","itemData":{"DOI":"10.1016/j.rvsc.2017.07.004","ISSN":"15322661","PMID":"28711819","abstract":"The objective of this study was to assess the differentiation capability of synoviocytes derived from dogs with inflammatory joint conditions. Cranial cruciate ligament ruptured (CCLr) (n = 12) and medial patella luxated (MPL) (n = 10) knee joints of the dogs were used to collect the synovial membrane (SM). Synoviocytes were enzymatically released from the SM and analyzed by flow cytometry for specific cellular markers (CD44 and CD90) of mesenchymal stem cells (MSCs), while doing histopathology from another part of SM sections. Under specific culture conditions, synoviocytes were forced to differentiate into chondrogenesis, adipogenesis, osteogenesis and osteoclastogenesis to investigate the multipotency. Upon treatments phenotypes of cell cultures were analyzed by histopathology and by semi-quantitative reverse transcriptase polymerase chain reaction for the expression of each differentiation marker genes. Although flow cytometry showing similar MSCs populations in CCLr and MPL synovium, synovial cells derived from CCLr showed higher multipotency compared to MPL-derived samples. Further, synovial changes such as vascularity, mononuclear cell infiltration and cellular hypertrophy were more pronounced in CCLr-derived synovial tissue than in MPL. Taken together, these findings suggested that the differentiation capability of SM-derived multipotent stem cells varies with inflammatory severity occurring in different joint conditions.","author":[{"dropping-particle":"","family":"Wijekoon","given":"H. M.Suranji","non-dropping-particle":"","parse-names":false,"suffix":""},{"dropping-particle":"","family":"Toyota","given":"Kazuhide","non-dropping-particle":"","parse-names":false,"suffix":""},{"dropping-particle":"","family":"Kim","given":"Sangho","non-dropping-particle":"","parse-names":false,"suffix":""},{"dropping-particle":"","family":"Fang","given":"Jing","non-dropping-particle":"","parse-names":false,"suffix":""},{"dropping-particle":"","family":"Bwalya","given":"Eugene C.","non-dropping-particle":"","parse-names":false,"suffix":""},{"dropping-particle":"","family":"Hosoya","given":"Kenji","non-dropping-particle":"","parse-names":false,"suffix":""},{"dropping-particle":"","family":"Okumura","given":"Masahiro","non-dropping-particle":"","parse-names":false,"suffix":""}],"container-title":"Research in Veterinary Science","id":"ITEM-1","issued":{"date-parts":[["2017"]]},"page":"370-377","title":"Differentiation potential of synoviocytes derived from joints with cranial cruciate ligament rupture and medial patella luxation in dogs","type":"article-journal","volume":"114"},"uris":["http://www.mendeley.com/documents/?uuid=6aee5a53-718f-3607-935c-79b294c7654b"]},{"id":"ITEM-2","itemData":{"DOI":"10.1186/s13287-017-0639-6","ISSN":"17576512","PMID":"28974260","abstract":"BACKGROUND The dog represents an excellent large animal model for translational cell-based studies. Importantly, the properties of canine multipotent stromal cells (cMSCs) and the ideal tissue source for specific translational studies have yet to be established. The aim of this study was to characterize cMSCs derived from synovium, bone marrow, and adipose tissue using a donor-matched study design and a comprehensive series of in-vitro characterization, differentiation, and immunomodulation assays. METHODS Canine MSCs were isolated from five dogs with cranial cruciate ligament rupture. All 15 cMSC preparations were evaluated using colony forming unit (CFU) assays, flow cytometry analysis, RT-PCR for pluripotency-associated genes, proliferation assays, trilineage differentiation assays, and immunomodulation assays. Data were reported as mean</w:instrText>
      </w:r>
      <w:r w:rsidR="00073C18" w:rsidRPr="00000DD3">
        <w:rPr>
          <w:rFonts w:ascii="Times New Roman" w:hAnsi="Times New Roman" w:cs="Times New Roman"/>
        </w:rPr>
        <w:instrText> </w:instrText>
      </w:r>
      <w:r w:rsidR="00073C18" w:rsidRPr="00000DD3">
        <w:rPr>
          <w:rFonts w:ascii="Book Antiqua" w:hAnsi="Book Antiqua" w:cstheme="minorHAnsi"/>
        </w:rPr>
        <w:instrText>±</w:instrText>
      </w:r>
      <w:r w:rsidR="00073C18" w:rsidRPr="00000DD3">
        <w:rPr>
          <w:rFonts w:ascii="Times New Roman" w:hAnsi="Times New Roman" w:cs="Times New Roman"/>
        </w:rPr>
        <w:instrText> </w:instrText>
      </w:r>
      <w:r w:rsidR="00073C18" w:rsidRPr="00000DD3">
        <w:rPr>
          <w:rFonts w:ascii="Book Antiqua" w:hAnsi="Book Antiqua" w:cstheme="minorHAnsi"/>
        </w:rPr>
        <w:instrText>standard deviation and compared using repeated-measures analysis of variance and Tukey post-hoc test. Significance was established at p</w:instrText>
      </w:r>
      <w:r w:rsidR="00073C18" w:rsidRPr="00000DD3">
        <w:rPr>
          <w:rFonts w:ascii="Times New Roman" w:hAnsi="Times New Roman" w:cs="Times New Roman"/>
        </w:rPr>
        <w:instrText> </w:instrText>
      </w:r>
      <w:r w:rsidR="00073C18" w:rsidRPr="00000DD3">
        <w:rPr>
          <w:rFonts w:ascii="Book Antiqua" w:hAnsi="Book Antiqua" w:cstheme="minorHAnsi"/>
        </w:rPr>
        <w:instrText>&lt;</w:instrText>
      </w:r>
      <w:r w:rsidR="00073C18" w:rsidRPr="00000DD3">
        <w:rPr>
          <w:rFonts w:ascii="Times New Roman" w:hAnsi="Times New Roman" w:cs="Times New Roman"/>
        </w:rPr>
        <w:instrText> </w:instrText>
      </w:r>
      <w:r w:rsidR="00073C18" w:rsidRPr="00000DD3">
        <w:rPr>
          <w:rFonts w:ascii="Book Antiqua" w:hAnsi="Book Antiqua" w:cstheme="minorHAnsi"/>
        </w:rPr>
        <w:instrText>0.05. RESULTS All tissue samples produced plastic adherent, spindle-shaped preparations of cMSCs. Cells were negative for CD34, CD45, and STRO-1 and positive for CD9, CD44, and CD90, whereas the degree to which cells were positive for CD105 was variable depending on tissue of origin. Cells were positive for the pluripotency-associated genes NANOG, OCT4, and SOX2. Accounting for donor and tissue sources, there were significant differences in CFU potential, rate of proliferation, trilineage differentiation, and immunomodulatory response. Synovium and marrow cMSCs exhibited superior early osteogenic activity, but when assessing late-stage osteogenesis no significant differences were detected. Interestingly, bone morphogenic protein-2 (BMP-2) supplementation was necessary for early-stage and late-stage osteogenic differentiation, a finding consistent with other canine studies. Additionally, synovium and adipose cMSCs proliferated more rapidly, displayed higher CFU potential, and formed larger aggregates in chondrogenic assays, although proteoglycan and collagen type II staining were subjectively decreased in adipose pellets as compared to synovial and marrow pellets. Lastly, cMSCs derived from all three tissue sources modulated murine macrophage TNF-α and IL-6 levels in a lipopolysaccharide-stimulated coculture assay. CONCLUSIONS While cMSCs from synovium, marrow, and adipose tissue share a number of similarities, important differences in proliferation and trilineage differentiation …","author":[{"dropping-particle":"","family":"Bearden","given":"Robert N.","non-dropping-particle":"","parse-names":false,"suffix":""},{"dropping-particle":"","family":"Huggins","given":"Shannon S.","non-dropping-particle":"","parse-names":false,"suffix":""},{"dropping-particle":"","family":"Cummings","given":"Kevin J.","non-dropping-particle":"","parse-names":false,"suffix":""},{"dropping-particle":"","family":"Smith","given":"Roger","non-dropping-particle":"","parse-names":false,"suffix":""},{"dropping-particle":"","family":"Gregory","given":"Carl A.","non-dropping-particle":"","parse-names":false,"suffix":""},{"dropping-particle":"","family":"Saunders","given":"William B.","non-dropping-particle":"","parse-names":false,"suffix":""}],"container-title":"Stem Cell Research and Therapy","id":"ITEM-2","issue":"1","issued":{"date-parts":[["2017"]]},"page":"1-22","publisher":"Stem Cell Research &amp; Therapy","title":"In-vitro characterization of canine multipotent stromal cells isolated from synovium, bone marrow, and adipose tissue: A donor-matched comparative study","type":"article-journal","volume":"8"},"uris":["http://www.mendeley.com/documents/?uuid=93ce5912-c717-4e45-a0d6-6e2eb38783bb"]},{"id":"ITEM-3","itemData":{"DOI":"10.1371/journal.pone.0202922","ISBN":"1111111111","ISSN":"19326203","PMID":"30138399","abstract":"Osteoarthritis (OA), a common chronic joint disorder in both humans and canines, is characterized by a progressive loss of articular cartilage. Canines can serve as an animal model of OA for human medicine, and this research can simultaneously establish effective veterinary treatments for canine OA. One attractive treatment that can lead to cartilage regeneration is the use of mesenchymal stem cells (MSCs). However, for canine OA, little information is available regarding the best source of MSCs. The purpose of this study was to identify a promising MSC source for canine cartilage regeneration. We collected synovial, infrapatellar fat pad, inguinal adipose, and bone marrow tissues from six canines and then conducted a donor-matched comparison of the properties of MSCs derived from these four tissues. We examined the surface epitope expression, proliferation capacity, and trilineage differentiation potential of all four populations. Adherent cells derived from all four tissue sources exhibited positivity for CD90 and CD44 and negativity for CD45 and CD11b. The positive rate for CD90 was higher for synovium-derived than for adipose-derived and bone marrow-derived MSCs. Synovium-derived and infrapatellar fat pad-derived MSCs displayed substantial proliferation ability, and all four populations underwent trilineage differentiation. During chondrogenesis, the wet weight was heavier for cartilage pellets derived from synovium MSCs than from the other three sources. The synovium is therefore a promising source for MSCs for canine cartilage regeneration. Our findings provide useful information about canine MSCs that may be applicable to regenerative medicine for treatment of OA.","author":[{"dropping-particle":"","family":"Sasaki","given":"Akari","non-dropping-particle":"","parse-names":false,"suffix":""},{"dropping-particle":"","family":"Mizuno","given":"Mitsuru","non-dropping-particle":"","parse-names":false,"suffix":""},{"dropping-particle":"","family":"Ozeki","given":"Nobutake","non-dropping-particle":"","parse-names":false,"suffix":""},{"dropping-particle":"","family":"Katano","given":"Hisako","non-dropping-particle":"","parse-names":false,"suffix":""},{"dropping-particle":"","family":"Otabe","given":"Koji","non-dropping-particle":"","parse-names":false,"suffix":""},{"dropping-particle":"","family":"Tsuji","given":"Kunikazu","non-dropping-particle":"","parse-names":false,"suffix":""},{"dropping-particle":"","family":"Koga","given":"Hideyuki","non-dropping-particle":"","parse-names":false,"suffix":""},{"dropping-particle":"","family":"Mochizuki","given":"Manabu","non-dropping-particle":"","parse-names":false,"suffix":""},{"dropping-particle":"","family":"Sekiya","given":"Ichiro","non-dropping-particle":"","parse-names":false,"suffix":""}],"container-title":"PLoS ONE","id":"ITEM-3","issue":"8","issued":{"date-parts":[["2018"]]},"page":"1-20","title":"Canine mesenchymal stem cells from synovium have a higher chondrogenic potential than those from infrapatellar fat pad, adipose tissue, and bone marrow","type":"article-journal","volume":"13"},"uris":["http://www.mendeley.com/documents/?uuid=06e018b3-4bb7-4b65-8c48-df24ad3c85ac"]}],"mendeley":{"formattedCitation":"&lt;sup&gt;[40,53,54]&lt;/sup&gt;","plainTextFormattedCitation":"[40,53,54]","previouslyFormattedCitation":"&lt;sup&gt;[40,53,54]&lt;/sup&gt;"},"properties":{"noteIndex":0},"schema":"https://github.com/citation-style-language/schema/raw/master/csl-citation.json"}</w:instrText>
      </w:r>
      <w:r w:rsidR="00DA5EAF" w:rsidRPr="00000DD3">
        <w:rPr>
          <w:rFonts w:ascii="Book Antiqua" w:hAnsi="Book Antiqua" w:cstheme="minorHAnsi"/>
        </w:rPr>
        <w:fldChar w:fldCharType="separate"/>
      </w:r>
      <w:r w:rsidR="00BC68DD" w:rsidRPr="00000DD3">
        <w:rPr>
          <w:rFonts w:ascii="Book Antiqua" w:hAnsi="Book Antiqua" w:cstheme="minorHAnsi"/>
          <w:noProof/>
          <w:vertAlign w:val="superscript"/>
        </w:rPr>
        <w:t>[40,53,54]</w:t>
      </w:r>
      <w:r w:rsidR="00DA5EAF" w:rsidRPr="00000DD3">
        <w:rPr>
          <w:rFonts w:ascii="Book Antiqua" w:hAnsi="Book Antiqua" w:cstheme="minorHAnsi"/>
        </w:rPr>
        <w:fldChar w:fldCharType="end"/>
      </w:r>
      <w:r w:rsidR="001C4C03" w:rsidRPr="00000DD3">
        <w:rPr>
          <w:rFonts w:ascii="Book Antiqua" w:hAnsi="Book Antiqua" w:cstheme="minorHAnsi"/>
        </w:rPr>
        <w:t>,</w:t>
      </w:r>
      <w:r w:rsidR="00710E21" w:rsidRPr="00000DD3">
        <w:rPr>
          <w:rFonts w:ascii="Book Antiqua" w:hAnsi="Book Antiqua" w:cstheme="minorHAnsi"/>
        </w:rPr>
        <w:t xml:space="preserve"> and</w:t>
      </w:r>
      <w:r w:rsidR="00C34C6E" w:rsidRPr="00000DD3">
        <w:rPr>
          <w:rFonts w:ascii="Book Antiqua" w:hAnsi="Book Antiqua" w:cstheme="minorHAnsi"/>
        </w:rPr>
        <w:t xml:space="preserve"> s</w:t>
      </w:r>
      <w:r w:rsidR="008E6D64" w:rsidRPr="00000DD3">
        <w:rPr>
          <w:rFonts w:ascii="Book Antiqua" w:hAnsi="Book Antiqua" w:cstheme="minorHAnsi"/>
        </w:rPr>
        <w:t>ynovial fluid</w:t>
      </w:r>
      <w:r w:rsidR="008E6D64" w:rsidRPr="00000DD3">
        <w:rPr>
          <w:rFonts w:ascii="Book Antiqua" w:hAnsi="Book Antiqua" w:cstheme="minorHAnsi"/>
        </w:rPr>
        <w:fldChar w:fldCharType="begin" w:fldLock="1"/>
      </w:r>
      <w:r w:rsidR="00120D2C" w:rsidRPr="00000DD3">
        <w:rPr>
          <w:rFonts w:ascii="Book Antiqua" w:hAnsi="Book Antiqua" w:cstheme="minorHAnsi"/>
        </w:rPr>
        <w:instrText>ADDIN CSL_CITATION {"citationItems":[{"id":"ITEM-1","itemData":{"DOI":"10.1371/journal.pone.0043616","ISBN":"1932-6203 (Electronic)\\r1932-6203 (Linking)","ISSN":"19326203","PMID":"22952721","abstract":"OBJECTIVE: Mesenchymal progenitor cells (MPCs) can differentiate into osteoblasts, adipocytes, and chondrocytes, and are in part responsible for maintaining tissue integrity. Recently, a progenitor cell population has been found within the synovial fluid that shares many similarities with bone marrow MPCs. These synovial fluid MPCs (sfMPCs) share the ability to differentiate into bone and fat, with a bias for cartilage differentiation. In this study, sfMPCs were isolated from human and canine synovial fluid collected from normal individuals and those with osteoarthritis (human: clinician-diagnosed, canine: experimental) to compare the differentiation potential of CD90+ vs. CD90- sfMPCs, and to determine if CD90 (Thy-1) is a predictive marker of synovial fluid progenitors with chondrogenic capacity in vitro.\\n\\nMETHODS: sfMPCs were derived from synovial fluid from normal and OA knee joints. These cells were induced to differentiate into chondrocytes and analyzed using quantitative PCR, immunofluorescence, and electron microscopy.\\n\\nRESULTS: The CD90+ subpopulation of sfMPCs had increased chondrogenic potential compared to the CD90- population. Furthermore, sfMPCs derived from healthy joints did not require a micro-mass step for efficient chondrogenesis. Whereas sfMPCs from OA synovial fluid retain the ability to undergo chondrogenic differentiation, they require micro-mass culture conditions.\\n\\nCONCLUSIONS: Overall, this study has demonstrated an increased chondrogenic potential within the CD90+ fraction of human and canine sfMPCs and that this population of cells derived from healthy normal joints do not require a micro-mass step for efficient chondrogenesis, while sfMPCs obtained from OA knee joints do not differentiate efficiently into chondrocytes without the micro-mass procedure. These results reveal a fundamental shift in the chondrogenic ability of cells isolated from arthritic joint fluids, and we speculate that the mechanism behind this change of cell behavior is exposure to the altered milieu of the OA joint fluid, which will be examined in further studies.","author":[{"dropping-particle":"","family":"Krawetz","given":"Roman J.","non-dropping-particle":"","parse-names":false,"suffix":""},{"dropping-particle":"","family":"Wu","given":"Yiru Elizabeth","non-dropping-particle":"","parse-names":false,"suffix":""},{"dropping-particle":"","family":"Martin","given":"Liam","non-dropping-particle":"","parse-names":false,"suffix":""},{"dropping-particle":"","family":"Rattner","given":"Jerome B.","non-dropping-particle":"","parse-names":false,"suffix":""},{"dropping-particle":"","family":"Matyas","given":"John R.","non-dropping-particle":"","parse-names":false,"suffix":""},{"dropping-particle":"","family":"Hart","given":"David A.","non-dropping-particle":"","parse-names":false,"suffix":""}],"container-title":"PLoS ONE","id":"ITEM-1","issue":"8","issued":{"date-parts":[["2012"]]},"page":"e43616","title":"Synovial fluid progenitors expressing CD90+ from normal but not osteoarthritic joints undergo chondrogenic differentiation without micro-mass culture","type":"article-journal","volume":"7"},"uris":["http://www.mendeley.com/documents/?uuid=498e3de0-9144-3924-823e-4a3070408b47"]}],"mendeley":{"formattedCitation":"&lt;sup&gt;[55]&lt;/sup&gt;","plainTextFormattedCitation":"[55]","previouslyFormattedCitation":"&lt;sup&gt;[55]&lt;/sup&gt;"},"properties":{"noteIndex":0},"schema":"https://github.com/citation-style-language/schema/raw/master/csl-citation.json"}</w:instrText>
      </w:r>
      <w:r w:rsidR="008E6D64" w:rsidRPr="00000DD3">
        <w:rPr>
          <w:rFonts w:ascii="Book Antiqua" w:hAnsi="Book Antiqua" w:cstheme="minorHAnsi"/>
        </w:rPr>
        <w:fldChar w:fldCharType="separate"/>
      </w:r>
      <w:r w:rsidR="00BC68DD" w:rsidRPr="00000DD3">
        <w:rPr>
          <w:rFonts w:ascii="Book Antiqua" w:hAnsi="Book Antiqua" w:cstheme="minorHAnsi"/>
          <w:noProof/>
          <w:vertAlign w:val="superscript"/>
        </w:rPr>
        <w:t>[55]</w:t>
      </w:r>
      <w:r w:rsidR="008E6D64" w:rsidRPr="00000DD3">
        <w:rPr>
          <w:rFonts w:ascii="Book Antiqua" w:hAnsi="Book Antiqua" w:cstheme="minorHAnsi"/>
        </w:rPr>
        <w:fldChar w:fldCharType="end"/>
      </w:r>
      <w:r w:rsidR="00F16D19" w:rsidRPr="00000DD3">
        <w:rPr>
          <w:rFonts w:ascii="Book Antiqua" w:hAnsi="Book Antiqua" w:cstheme="minorHAnsi"/>
        </w:rPr>
        <w:t>.</w:t>
      </w:r>
      <w:r w:rsidR="00101BEF" w:rsidRPr="00000DD3">
        <w:rPr>
          <w:rFonts w:ascii="Book Antiqua" w:hAnsi="Book Antiqua" w:cstheme="minorHAnsi"/>
        </w:rPr>
        <w:t xml:space="preserve"> </w:t>
      </w:r>
      <w:r w:rsidR="00C235A4" w:rsidRPr="00000DD3">
        <w:rPr>
          <w:rFonts w:ascii="Book Antiqua" w:hAnsi="Book Antiqua" w:cstheme="minorHAnsi"/>
        </w:rPr>
        <w:t>For research and therapeutic purpose</w:t>
      </w:r>
      <w:r w:rsidR="001C4C03" w:rsidRPr="00000DD3">
        <w:rPr>
          <w:rFonts w:ascii="Book Antiqua" w:hAnsi="Book Antiqua" w:cstheme="minorHAnsi"/>
        </w:rPr>
        <w:t>s</w:t>
      </w:r>
      <w:r w:rsidR="00C235A4" w:rsidRPr="00000DD3">
        <w:rPr>
          <w:rFonts w:ascii="Book Antiqua" w:hAnsi="Book Antiqua" w:cstheme="minorHAnsi"/>
        </w:rPr>
        <w:t>, MSCs are needed in large numbers</w:t>
      </w:r>
      <w:r w:rsidR="00040860" w:rsidRPr="00000DD3">
        <w:rPr>
          <w:rFonts w:ascii="Book Antiqua" w:hAnsi="Book Antiqua" w:cstheme="minorHAnsi"/>
        </w:rPr>
        <w:t xml:space="preserve">, </w:t>
      </w:r>
      <w:r w:rsidR="001C4C03" w:rsidRPr="00000DD3">
        <w:rPr>
          <w:rFonts w:ascii="Book Antiqua" w:hAnsi="Book Antiqua" w:cstheme="minorHAnsi"/>
        </w:rPr>
        <w:t xml:space="preserve">so MSCs must have a </w:t>
      </w:r>
      <w:r w:rsidR="00C235A4" w:rsidRPr="00000DD3">
        <w:rPr>
          <w:rFonts w:ascii="Book Antiqua" w:hAnsi="Book Antiqua" w:cstheme="minorHAnsi"/>
        </w:rPr>
        <w:t>h</w:t>
      </w:r>
      <w:r w:rsidR="00101BEF" w:rsidRPr="00000DD3">
        <w:rPr>
          <w:rFonts w:ascii="Book Antiqua" w:hAnsi="Book Antiqua" w:cstheme="minorHAnsi"/>
        </w:rPr>
        <w:t xml:space="preserve">igh </w:t>
      </w:r>
      <w:r w:rsidR="00F906F6" w:rsidRPr="00000DD3">
        <w:rPr>
          <w:rFonts w:ascii="Book Antiqua" w:hAnsi="Book Antiqua" w:cstheme="minorHAnsi"/>
        </w:rPr>
        <w:t>proliferation ability</w:t>
      </w:r>
      <w:r w:rsidR="00101BEF" w:rsidRPr="00000DD3">
        <w:rPr>
          <w:rFonts w:ascii="Book Antiqua" w:hAnsi="Book Antiqua" w:cstheme="minorHAnsi"/>
        </w:rPr>
        <w:t>.</w:t>
      </w:r>
      <w:r w:rsidR="0043179B" w:rsidRPr="00000DD3">
        <w:rPr>
          <w:rFonts w:ascii="Book Antiqua" w:hAnsi="Book Antiqua" w:cstheme="minorHAnsi"/>
        </w:rPr>
        <w:t xml:space="preserve"> </w:t>
      </w:r>
      <w:r w:rsidR="00C34C6E" w:rsidRPr="00000DD3">
        <w:rPr>
          <w:rFonts w:ascii="Book Antiqua" w:hAnsi="Book Antiqua" w:cstheme="minorHAnsi"/>
        </w:rPr>
        <w:t xml:space="preserve">Some studies </w:t>
      </w:r>
      <w:r w:rsidR="001C4C03" w:rsidRPr="00000DD3">
        <w:rPr>
          <w:rFonts w:ascii="Book Antiqua" w:hAnsi="Book Antiqua" w:cstheme="minorHAnsi"/>
        </w:rPr>
        <w:t xml:space="preserve">have </w:t>
      </w:r>
      <w:r w:rsidR="00C34C6E" w:rsidRPr="00000DD3">
        <w:rPr>
          <w:rFonts w:ascii="Book Antiqua" w:hAnsi="Book Antiqua" w:cstheme="minorHAnsi"/>
        </w:rPr>
        <w:t xml:space="preserve">demonstrated </w:t>
      </w:r>
      <w:r w:rsidR="001C4C03" w:rsidRPr="00000DD3">
        <w:rPr>
          <w:rFonts w:ascii="Book Antiqua" w:hAnsi="Book Antiqua" w:cstheme="minorHAnsi"/>
        </w:rPr>
        <w:t xml:space="preserve">a </w:t>
      </w:r>
      <w:r w:rsidR="00C34C6E" w:rsidRPr="00000DD3">
        <w:rPr>
          <w:rFonts w:ascii="Book Antiqua" w:hAnsi="Book Antiqua" w:cstheme="minorHAnsi"/>
        </w:rPr>
        <w:t>higher proliferation ability</w:t>
      </w:r>
      <w:r w:rsidR="001C4C03" w:rsidRPr="00000DD3">
        <w:rPr>
          <w:rFonts w:ascii="Book Antiqua" w:hAnsi="Book Antiqua" w:cstheme="minorHAnsi"/>
        </w:rPr>
        <w:t xml:space="preserve"> for </w:t>
      </w:r>
      <w:proofErr w:type="spellStart"/>
      <w:r w:rsidR="001C4C03" w:rsidRPr="00000DD3">
        <w:rPr>
          <w:rFonts w:ascii="Book Antiqua" w:hAnsi="Book Antiqua" w:cstheme="minorHAnsi"/>
        </w:rPr>
        <w:t>cMSCs</w:t>
      </w:r>
      <w:proofErr w:type="spellEnd"/>
      <w:r w:rsidR="001C4C03" w:rsidRPr="00000DD3">
        <w:rPr>
          <w:rFonts w:ascii="Book Antiqua" w:hAnsi="Book Antiqua" w:cstheme="minorHAnsi"/>
        </w:rPr>
        <w:t xml:space="preserve"> derived from </w:t>
      </w:r>
      <w:r w:rsidR="00C34C6E" w:rsidRPr="00000DD3">
        <w:rPr>
          <w:rFonts w:ascii="Book Antiqua" w:hAnsi="Book Antiqua" w:cstheme="minorHAnsi"/>
        </w:rPr>
        <w:t>adipose tissue (AD-</w:t>
      </w:r>
      <w:proofErr w:type="spellStart"/>
      <w:r w:rsidR="00C34C6E" w:rsidRPr="00000DD3">
        <w:rPr>
          <w:rFonts w:ascii="Book Antiqua" w:hAnsi="Book Antiqua" w:cstheme="minorHAnsi"/>
        </w:rPr>
        <w:t>cMSCs</w:t>
      </w:r>
      <w:proofErr w:type="spellEnd"/>
      <w:r w:rsidR="00C34C6E" w:rsidRPr="00000DD3">
        <w:rPr>
          <w:rFonts w:ascii="Book Antiqua" w:hAnsi="Book Antiqua" w:cstheme="minorHAnsi"/>
        </w:rPr>
        <w:t>) than</w:t>
      </w:r>
      <w:r w:rsidR="001C4C03" w:rsidRPr="00000DD3">
        <w:rPr>
          <w:rFonts w:ascii="Book Antiqua" w:hAnsi="Book Antiqua" w:cstheme="minorHAnsi"/>
        </w:rPr>
        <w:t xml:space="preserve"> from b</w:t>
      </w:r>
      <w:r w:rsidR="00C34C6E" w:rsidRPr="00000DD3">
        <w:rPr>
          <w:rFonts w:ascii="Book Antiqua" w:hAnsi="Book Antiqua" w:cstheme="minorHAnsi"/>
        </w:rPr>
        <w:t>one marrow (BM-</w:t>
      </w:r>
      <w:proofErr w:type="spellStart"/>
      <w:r w:rsidR="00C34C6E" w:rsidRPr="00000DD3">
        <w:rPr>
          <w:rFonts w:ascii="Book Antiqua" w:hAnsi="Book Antiqua" w:cstheme="minorHAnsi"/>
        </w:rPr>
        <w:t>cMSCs</w:t>
      </w:r>
      <w:proofErr w:type="spellEnd"/>
      <w:r w:rsidR="00C34C6E" w:rsidRPr="00000DD3">
        <w:rPr>
          <w:rFonts w:ascii="Book Antiqua" w:hAnsi="Book Antiqua" w:cstheme="minorHAnsi"/>
        </w:rPr>
        <w:t>)</w:t>
      </w:r>
      <w:r w:rsidR="00C34C6E" w:rsidRPr="00000DD3">
        <w:rPr>
          <w:rFonts w:ascii="Book Antiqua" w:hAnsi="Book Antiqua" w:cstheme="minorHAnsi"/>
        </w:rPr>
        <w:fldChar w:fldCharType="begin" w:fldLock="1"/>
      </w:r>
      <w:r w:rsidR="00120D2C" w:rsidRPr="00000DD3">
        <w:rPr>
          <w:rFonts w:ascii="Book Antiqua" w:hAnsi="Book Antiqua" w:cstheme="minorHAnsi"/>
        </w:rPr>
        <w:instrText>ADDIN CSL_CITATION {"citationItems":[{"id":"ITEM-1","itemData":{"DOI":"10.1007/s11259-012-9523-0","ISBN":"1573-7446 (Electronic)\\r0165-7380 (Linking)","ISSN":"01657380","PMID":"22392598","abstract":"In the dog, mesenchymal stem cells (MSCs) have been shown to reside in the bone marrow (bone marrow-derived mesenchymal stem cells: BM-MSCs) as well as in the adipose tissue (adipose tissue-derived stem cells: ADSCs). Potential application fields for these multipotent MSCs in small animal practice are joint diseases as MSCs of both sources have shown to possess chondrogenic differentiation ability. However, it is not clear whether the chondrogenic differentiation potential of cells of these two distinct tissues is truly equal. Therefore, we compared MSCs of both origins in this study in terms of their chondrogenic differentiation ability and suitability for clinical application. BM-MSCs harvested from the femoral neck and ADSCs from intra-abdominal fat tissue were examined for their morphology, population doubling time (PDT) and CD90 surface antigen expression. RT-PCR served to assess expression of pluripotency marker Oct4 and early differentiation marker genes. Chondrogenic differentiation ability was compared and validated using histochemistry, transmission electron microscopy (TEM) and quantitative RT-PCR. Both cell populations presented a highly similar morphology and marker expression in an undifferentiated stage except that freshly isolated ADSCs demonstrated a significantly faster PDT than BM-MSCs. In contrast, BM-MSCs revealed a morphological superior cartilage formation by the production of a more abundant and structured hyaline matrix and higher expression of lineage specific genes under the applied standard differentiation protocol. However, further investigations are necessary in order to find out if chondrogenic differentiation can be improved in canine ADSCs using different protocols and/or supplements.","author":[{"dropping-particle":"","family":"Reich","given":"Christine M","non-dropping-particle":"","parse-names":false,"suffix":""},{"dropping-particle":"","family":"Raabe","given":"Oksana","non-dropping-particle":"","parse-names":false,"suffix":""},{"dropping-particle":"","family":"Wenisch","given":"Sabine","non-dropping-particle":"","parse-names":false,"suffix":""},{"dropping-particle":"","family":"Bridger","given":"Philip S","non-dropping-particle":"","parse-names":false,"suffix":""},{"dropping-particle":"","family":"Kramer","given":"Martin","non-dropping-particle":"","parse-names":false,"suffix":""},{"dropping-particle":"","family":"Arnhold","given":"Stefan","non-dropping-particle":"","parse-names":false,"suffix":""}],"container-title":"Veterinary Research Communications","id":"ITEM-1","issue":"2","issued":{"date-parts":[["2012"]]},"page":"139-148","title":"Isolation, culture and chondrogenic differentiation of canine adipose tissue- and bone marrow-derived mesenchymal stem cells-A comparative study","type":"article-journal","volume":"36"},"uris":["http://www.mendeley.com/documents/?uuid=7bef8bba-0ea4-3972-a9b4-31813e085455"]},{"id":"ITEM-2","itemData":{"DOI":"10.1371/journal.pone.0167442","ISSN":"19326203","PMID":"27907211","abstract":"Background Mesenchymal stromal cells (MSC) hold promise for both cell replacement and immune modulation strategies owing to their progenitor and non-progenitor functions, respectively. Characterization of MSC from different sources is an important and necessary step before clinical use of these cells is widely adopted. Little is known about the biology and function of canine MSC compared to their mouse or human counterparts. This knowledge-gap impedes development of canine evidence-based MSC technologies. Hypothesis and Objectives We hypothesized that canine adipose tissue (AT) and bone marrow (BM) MSC (derived from the same dogs) will have similar differentiation and immune modulatory profiles. Our objectives were to evaluate progenitor and non-progenitor functions as well as other characteristics of AT- and BM-MSC including 1) proliferation rate, 2) cell surface marker expression, 3) DNA methylation levels, 4) potential for trilineage differentiation towards osteogenic, adipogenic, and chondrogenic cell fates, and 5) immunomodulatory potency in vitro. Results 1) AT-MSC proliferated at more than double the rate of BM-MSC (population doubling times in days) for passage (P) 2, AT: 1.69, BM: 3.81; P3, AT: 1.80, BM: 4.06; P4, AT: 2.37, BM: 5.34; P5, AT: 3.20, BM: 7.21). 2) Canine MSC, regardless of source, strongly expressed cell surface markers MHC I, CD29, CD44, and CD90, and were negative for MHC II and CD45. They also showed moderate expression of CD8 and CD73 and mild expression of CD14. Minor differences were found in expression of CD4 and CD34. 3) Global DNA methylation levels were significantly lower in BM-MSC compared to AT-MSC. 4) Little difference was found between AT- and BM-MSC in their potential for adipogenesis and osteogenesis. Chondrogenesis was poor to absent for both sources in spite of adding varying levels of bone-morphogenic protein to our standard transforming growth factor (TGF-β3)-based induction medium. 5) Immunomodulatory capacity was equal regardless of cell source when tested in mitogen-stimulated lymphocyte reactions. Priming of MSC with pro-inflammatory factors interferon-gamma and/or tumour necrosis factor did not increase the lymphocyte suppressive properties of the MSC compared to untreated MSC. Conclusions/Significance No significant differences were found between AT- and BM-MSC with regard to their immunophenotype, progenitor, and non-progenitor functions. Both MSC populations showed strong adipogenic and osteogenic pote…","author":[{"dropping-particle":"","family":"Russell","given":"Keith A.","non-dropping-particle":"","parse-names":false,"suffix":""},{"dropping-particle":"","family":"Chow","given":"Natalie H.C.","non-dropping-particle":"","parse-names":false,"suffix":""},{"dropping-particle":"","family":"Dukoff","given":"David","non-dropping-particle":"","parse-names":false,"suffix":""},{"dropping-particle":"","family":"Gibson","given":"Thomas W.G.","non-dropping-particle":"","parse-names":false,"suffix":""},{"dropping-particle":"","family":"Marre","given":"Jonathan","non-dropping-particle":"La","parse-names":false,"suffix":""},{"dropping-particle":"","family":"Betts","given":"Dean H.","non-dropping-particle":"","parse-names":false,"suffix":""},{"dropping-particle":"","family":"Koch","given":"Thomas G.","non-dropping-particle":"","parse-names":false,"suffix":""}],"container-title":"PLoS ONE","id":"ITEM-2","issue":"12","issued":{"date-parts":[["2016"]]},"page":"e0167442","title":"Characterization and immunomodulatory effects of canine adipose tissue- and bone marrow-derived mesenchymal stromal cells","type":"article-journal","volume":"11"},"uris":["http://www.mendeley.com/documents/?uuid=54ed6e68-edff-327f-92f1-8478de0264e8"]},{"id":"ITEM-3","itemData":{"DOI":"10.4142/jvs.2012.13.3.299","ISBN":"1976-555X (Electronic)\\n1229-845X (Linking)","ISSN":"1229845X","PMID":"23000587","abstract":"Alternative sources of mesenchymal stem cells (MSCs) for replacing bone marrow (BM) have been extensively investigated in the field of bone tissue engineering. The purpose of this study was to compare the osteogenic potential of canine MSCs derived from adipose tissue (AT), BM, umbilical cord blood (UCB), and Wharton's jelly (WJ) using in vitro culture techniques and in vivo orthotopic implantation assays. After canine MSCs were isolated from various tissues, the proliferation and osteogenic potential along with vascular endothelial growth factor (VEGF) production were measured and compared in vitro. For the in vivo assay, MSCs derived from each type of tissue were mixed with β-tricalcium phosphate and implanted into segmental bone defects in dogs. Among the different types of MSCs, AT-MSCs had a higher proliferation potential and BM-MSCs produced the most VEGF. AT-MSCs and UCB-MSCs showed greater in vitro osteogenic potential compared to the other cells. Radiographic and histological analyses showed that all tested MSCs had similar osteogenic capacities, and the level of new bone formation was much higher with implants containing MSCs than cell-free implants. These results indicate that AT-MSCs, UCB-MSCs, and WJ-MSCs can potentially be used in place of BM-MSCs for clinical bone engineering procedures.","author":[{"dropping-particle":"","family":"Kang","given":"Byung Jae","non-dropping-particle":"","parse-names":false,"suffix":""},{"dropping-particle":"","family":"Ryu","given":"Hak Hyun","non-dropping-particle":"","parse-names":false,"suffix":""},{"dropping-particle":"","family":"Park","given":"Sung Su","non-dropping-particle":"","parse-names":false,"suffix":""},{"dropping-particle":"","family":"Koyama","given":"Yoshihisa","non-dropping-particle":"","parse-names":false,"suffix":""},{"dropping-particle":"","family":"Kikuchi","given":"Masanori","non-dropping-particle":"","parse-names":false,"suffix":""},{"dropping-particle":"","family":"Woo","given":"Heung Myong","non-dropping-particle":"","parse-names":false,"suffix":""},{"dropping-particle":"","family":"Kim","given":"Wan Hee","non-dropping-particle":"","parse-names":false,"suffix":""},{"dropping-particle":"","family":"Kweon","given":"Oh Kyeong","non-dropping-particle":"","parse-names":false,"suffix":""}],"container-title":"Journal of Veterinary Science","id":"ITEM-3","issue":"3","issued":{"date-parts":[["2012"]]},"page":"299-310","title":"Comparing the osteogenic potential of canine mesenchymal stem cells derived from adipose tissues, bone marrow, umbilical cord blood, and Wharton's jelly for treating bone defects","type":"article-journal","volume":"13"},"uris":["http://www.mendeley.com/documents/?uuid=115143d3-f860-34a0-9ace-15ff46b6232f"]}],"mendeley":{"formattedCitation":"&lt;sup&gt;[50,56,57]&lt;/sup&gt;","plainTextFormattedCitation":"[50,56,57]","previouslyFormattedCitation":"&lt;sup&gt;[50,56,57]&lt;/sup&gt;"},"properties":{"noteIndex":0},"schema":"https://github.com/citation-style-language/schema/raw/master/csl-citation.json"}</w:instrText>
      </w:r>
      <w:r w:rsidR="00C34C6E" w:rsidRPr="00000DD3">
        <w:rPr>
          <w:rFonts w:ascii="Book Antiqua" w:hAnsi="Book Antiqua" w:cstheme="minorHAnsi"/>
        </w:rPr>
        <w:fldChar w:fldCharType="separate"/>
      </w:r>
      <w:r w:rsidR="00BC68DD" w:rsidRPr="00000DD3">
        <w:rPr>
          <w:rFonts w:ascii="Book Antiqua" w:hAnsi="Book Antiqua" w:cstheme="minorHAnsi"/>
          <w:noProof/>
          <w:vertAlign w:val="superscript"/>
        </w:rPr>
        <w:t>[50,56,57]</w:t>
      </w:r>
      <w:r w:rsidR="00C34C6E" w:rsidRPr="00000DD3">
        <w:rPr>
          <w:rFonts w:ascii="Book Antiqua" w:hAnsi="Book Antiqua" w:cstheme="minorHAnsi"/>
        </w:rPr>
        <w:fldChar w:fldCharType="end"/>
      </w:r>
      <w:r w:rsidR="00C34C6E" w:rsidRPr="00000DD3">
        <w:rPr>
          <w:rFonts w:ascii="Book Antiqua" w:hAnsi="Book Antiqua" w:cstheme="minorHAnsi"/>
        </w:rPr>
        <w:t xml:space="preserve">. Furthermore, </w:t>
      </w:r>
      <w:r w:rsidR="00977350" w:rsidRPr="00000DD3">
        <w:rPr>
          <w:rFonts w:ascii="Book Antiqua" w:hAnsi="Book Antiqua" w:cstheme="minorHAnsi"/>
        </w:rPr>
        <w:t>the colony-</w:t>
      </w:r>
      <w:r w:rsidR="001C4C03" w:rsidRPr="00000DD3">
        <w:rPr>
          <w:rFonts w:ascii="Book Antiqua" w:hAnsi="Book Antiqua" w:cstheme="minorHAnsi"/>
        </w:rPr>
        <w:t>forming potential and proliferation ability</w:t>
      </w:r>
      <w:r w:rsidR="00977350" w:rsidRPr="00000DD3">
        <w:rPr>
          <w:rFonts w:ascii="Book Antiqua" w:hAnsi="Book Antiqua" w:cstheme="minorHAnsi"/>
        </w:rPr>
        <w:t xml:space="preserve"> is higher in</w:t>
      </w:r>
      <w:r w:rsidR="001C4C03" w:rsidRPr="00000DD3">
        <w:rPr>
          <w:rFonts w:ascii="Book Antiqua" w:hAnsi="Book Antiqua" w:cstheme="minorHAnsi"/>
        </w:rPr>
        <w:t xml:space="preserve"> </w:t>
      </w:r>
      <w:proofErr w:type="spellStart"/>
      <w:r w:rsidR="001C4C03" w:rsidRPr="00000DD3">
        <w:rPr>
          <w:rFonts w:ascii="Book Antiqua" w:hAnsi="Book Antiqua" w:cstheme="minorHAnsi"/>
        </w:rPr>
        <w:t>cMSCs</w:t>
      </w:r>
      <w:proofErr w:type="spellEnd"/>
      <w:r w:rsidR="001C4C03" w:rsidRPr="00000DD3">
        <w:rPr>
          <w:rFonts w:ascii="Book Antiqua" w:hAnsi="Book Antiqua" w:cstheme="minorHAnsi"/>
        </w:rPr>
        <w:t xml:space="preserve"> from </w:t>
      </w:r>
      <w:r w:rsidR="00C34C6E" w:rsidRPr="00000DD3">
        <w:rPr>
          <w:rFonts w:ascii="Book Antiqua" w:hAnsi="Book Antiqua" w:cstheme="minorHAnsi"/>
        </w:rPr>
        <w:t>s</w:t>
      </w:r>
      <w:r w:rsidR="002869B2" w:rsidRPr="00000DD3">
        <w:rPr>
          <w:rFonts w:ascii="Book Antiqua" w:hAnsi="Book Antiqua" w:cstheme="minorHAnsi"/>
        </w:rPr>
        <w:t>ynovium (Sy-</w:t>
      </w:r>
      <w:proofErr w:type="spellStart"/>
      <w:r w:rsidR="002869B2" w:rsidRPr="00000DD3">
        <w:rPr>
          <w:rFonts w:ascii="Book Antiqua" w:hAnsi="Book Antiqua" w:cstheme="minorHAnsi"/>
        </w:rPr>
        <w:t>cMSCs</w:t>
      </w:r>
      <w:proofErr w:type="spellEnd"/>
      <w:r w:rsidR="002869B2" w:rsidRPr="00000DD3">
        <w:rPr>
          <w:rFonts w:ascii="Book Antiqua" w:hAnsi="Book Antiqua" w:cstheme="minorHAnsi"/>
        </w:rPr>
        <w:t xml:space="preserve">) </w:t>
      </w:r>
      <w:r w:rsidR="005D5461" w:rsidRPr="00000DD3">
        <w:rPr>
          <w:rFonts w:ascii="Book Antiqua" w:hAnsi="Book Antiqua" w:cstheme="minorHAnsi"/>
        </w:rPr>
        <w:t>and</w:t>
      </w:r>
      <w:r w:rsidR="001C4C03" w:rsidRPr="00000DD3">
        <w:rPr>
          <w:rFonts w:ascii="Book Antiqua" w:hAnsi="Book Antiqua" w:cstheme="minorHAnsi"/>
        </w:rPr>
        <w:t xml:space="preserve"> from</w:t>
      </w:r>
      <w:r w:rsidR="005D5461" w:rsidRPr="00000DD3">
        <w:rPr>
          <w:rFonts w:ascii="Book Antiqua" w:hAnsi="Book Antiqua" w:cstheme="minorHAnsi"/>
        </w:rPr>
        <w:t xml:space="preserve"> infrapatellar fat pad</w:t>
      </w:r>
      <w:r w:rsidR="001C4C03" w:rsidRPr="00000DD3">
        <w:rPr>
          <w:rFonts w:ascii="Book Antiqua" w:hAnsi="Book Antiqua" w:cstheme="minorHAnsi"/>
        </w:rPr>
        <w:t>s</w:t>
      </w:r>
      <w:r w:rsidR="005D5461" w:rsidRPr="00000DD3">
        <w:rPr>
          <w:rFonts w:ascii="Book Antiqua" w:hAnsi="Book Antiqua" w:cstheme="minorHAnsi"/>
        </w:rPr>
        <w:t xml:space="preserve"> (IF-</w:t>
      </w:r>
      <w:proofErr w:type="spellStart"/>
      <w:r w:rsidR="005D5461" w:rsidRPr="00000DD3">
        <w:rPr>
          <w:rFonts w:ascii="Book Antiqua" w:hAnsi="Book Antiqua" w:cstheme="minorHAnsi"/>
        </w:rPr>
        <w:t>cMSCs</w:t>
      </w:r>
      <w:proofErr w:type="spellEnd"/>
      <w:r w:rsidR="005D5461" w:rsidRPr="00000DD3">
        <w:rPr>
          <w:rFonts w:ascii="Book Antiqua" w:hAnsi="Book Antiqua" w:cstheme="minorHAnsi"/>
        </w:rPr>
        <w:t xml:space="preserve">) </w:t>
      </w:r>
      <w:r w:rsidR="00977350" w:rsidRPr="00000DD3">
        <w:rPr>
          <w:rFonts w:ascii="Book Antiqua" w:hAnsi="Book Antiqua" w:cstheme="minorHAnsi"/>
        </w:rPr>
        <w:t xml:space="preserve">than in </w:t>
      </w:r>
      <w:r w:rsidR="002869B2" w:rsidRPr="00000DD3">
        <w:rPr>
          <w:rFonts w:ascii="Book Antiqua" w:hAnsi="Book Antiqua" w:cstheme="minorHAnsi"/>
        </w:rPr>
        <w:t>AD-</w:t>
      </w:r>
      <w:proofErr w:type="spellStart"/>
      <w:r w:rsidR="002869B2" w:rsidRPr="00000DD3">
        <w:rPr>
          <w:rFonts w:ascii="Book Antiqua" w:hAnsi="Book Antiqua" w:cstheme="minorHAnsi"/>
        </w:rPr>
        <w:t>cMSCs</w:t>
      </w:r>
      <w:proofErr w:type="spellEnd"/>
      <w:r w:rsidR="002869B2" w:rsidRPr="00000DD3">
        <w:rPr>
          <w:rFonts w:ascii="Book Antiqua" w:hAnsi="Book Antiqua" w:cstheme="minorHAnsi"/>
        </w:rPr>
        <w:t xml:space="preserve"> and BM-</w:t>
      </w:r>
      <w:proofErr w:type="spellStart"/>
      <w:r w:rsidR="002869B2" w:rsidRPr="00000DD3">
        <w:rPr>
          <w:rFonts w:ascii="Book Antiqua" w:hAnsi="Book Antiqua" w:cstheme="minorHAnsi"/>
        </w:rPr>
        <w:t>cMSCs</w:t>
      </w:r>
      <w:proofErr w:type="spellEnd"/>
      <w:r w:rsidR="00C34C6E"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{"citationItems":[{"id":"ITEM-1","itemData":{"DOI":"10.1186/s13287-017-0639-6","ISSN":"17576512","PMID":"28974260","abstract":"BACKGROUND The dog represents an excellent large animal model for translational cell-based studies. Importantly, the properties of canine multipotent stromal cells (cMSCs) and the ideal tissue source for specific translational studies have yet to be established. The aim of this study was to characterize cMSCs derived from synovium, bone marrow, and adipose tissue using a donor-matched study design and a comprehensive series of in-vitro characterization, differentiation, and immunomodulation assays. METHODS Canine MSCs were isolated from five dogs with cranial cruciate ligament rupture. All 15 cMSC preparations were evaluated using colony forming unit (CFU) assays, flow cytometry analysis, RT-PCR for pluripotency-associated genes, proliferation assays, trilineage differentiation assays, and immunomodulation assays. Data were reported as mean</w:instrText>
      </w:r>
      <w:r w:rsidR="00073C18" w:rsidRPr="00000DD3">
        <w:rPr>
          <w:rFonts w:ascii="Times New Roman" w:hAnsi="Times New Roman" w:cs="Times New Roman"/>
        </w:rPr>
        <w:instrText> </w:instrText>
      </w:r>
      <w:r w:rsidR="00073C18" w:rsidRPr="00000DD3">
        <w:rPr>
          <w:rFonts w:ascii="Book Antiqua" w:hAnsi="Book Antiqua" w:cstheme="minorHAnsi"/>
        </w:rPr>
        <w:instrText>±</w:instrText>
      </w:r>
      <w:r w:rsidR="00073C18" w:rsidRPr="00000DD3">
        <w:rPr>
          <w:rFonts w:ascii="Times New Roman" w:hAnsi="Times New Roman" w:cs="Times New Roman"/>
        </w:rPr>
        <w:instrText> </w:instrText>
      </w:r>
      <w:r w:rsidR="00073C18" w:rsidRPr="00000DD3">
        <w:rPr>
          <w:rFonts w:ascii="Book Antiqua" w:hAnsi="Book Antiqua" w:cstheme="minorHAnsi"/>
        </w:rPr>
        <w:instrText>standard deviation and compared using repeated-measures analysis of variance and Tukey post-hoc test. Significance was established at p</w:instrText>
      </w:r>
      <w:r w:rsidR="00073C18" w:rsidRPr="00000DD3">
        <w:rPr>
          <w:rFonts w:ascii="Times New Roman" w:hAnsi="Times New Roman" w:cs="Times New Roman"/>
        </w:rPr>
        <w:instrText> </w:instrText>
      </w:r>
      <w:r w:rsidR="00073C18" w:rsidRPr="00000DD3">
        <w:rPr>
          <w:rFonts w:ascii="Book Antiqua" w:hAnsi="Book Antiqua" w:cstheme="minorHAnsi"/>
        </w:rPr>
        <w:instrText>&lt;</w:instrText>
      </w:r>
      <w:r w:rsidR="00073C18" w:rsidRPr="00000DD3">
        <w:rPr>
          <w:rFonts w:ascii="Times New Roman" w:hAnsi="Times New Roman" w:cs="Times New Roman"/>
        </w:rPr>
        <w:instrText> </w:instrText>
      </w:r>
      <w:r w:rsidR="00073C18" w:rsidRPr="00000DD3">
        <w:rPr>
          <w:rFonts w:ascii="Book Antiqua" w:hAnsi="Book Antiqua" w:cstheme="minorHAnsi"/>
        </w:rPr>
        <w:instrText>0.05. RESULTS All tissue samples produced plastic adherent, spindle-shaped preparations of cMSCs. Cells were negative for CD34, CD45, and STRO-1 and positive for CD9, CD44, and CD90, whereas the degree to which cells were positive for CD105 was variable depending on tissue of origin. Cells were positive for the pluripotency-associated genes NANOG, OCT4, and SOX2. Accounting for donor and tissue sources, there were significant differences in CFU potential, rate of proliferation, trilineage differentiation, and immunomodulatory response. Synovium and marrow cMSCs exhibited superior early osteogenic activity, but when assessing late-stage osteogenesis no significant differences were detected. Interestingly, bone morphogenic protein-2 (BMP-2) supplementation was necessary for early-stage and late-stage osteogenic differentiation, a finding consistent with other canine studies. Additionally, synovium and adipose cMSCs proliferated more rapidly, displayed higher CFU potential, and formed larger aggregates in chondrogenic assays, although proteoglycan and collagen type II staining were subjectively decreased in adipose pellets as compared to synovial and marrow pellets. Lastly, cMSCs derived from all three tissue sources modulated murine macrophage TNF-α and IL-6 levels in a lipopolysaccharide-stimulated coculture assay. CONCLUSIONS While cMSCs from synovium, marrow, and adipose tissue share a number of similarities, important differences in proliferation and trilineage differentiation …","author":[{"dropping-particle":"","family":"Bearden","given":"Robert N.","non-dropping-particle":"","parse-names":false,"suffix":""},{"dropping-particle":"","family":"Huggins","given":"Shannon S.","non-dropping-particle":"","parse-names":false,"suffix":""},{"dropping-particle":"","family":"Cummings","given":"Kevin J.","non-dropping-particle":"","parse-names":false,"suffix":""},{"dropping-particle":"","family":"Smith","given":"Roger","non-dropping-particle":"","parse-names":false,"suffix":""},{"dropping-particle":"","family":"Gregory","given":"Carl A.","non-dropping-particle":"","parse-names":false,"suffix":""},{"dropping-particle":"","family":"Saunders","given":"William B.","non-dropping-particle":"","parse-names":false,"suffix":""}],"container-title":"Stem Cell Research and Therapy","id":"ITEM-1","issue":"1","issued":{"date-parts":[["2017"]]},"page":"1-22","publisher":"Stem Cell Research &amp; Therapy","title":"In-vitro characterization of canine multipotent stromal cells isolated from synovium, bone marrow, and adipose tissue: A donor-matched comparative study","type":"article-journal","volume":"8"},"uris":["http://www.mendeley.com/documents/?uuid=93ce5912-c717-4e45-a0d6-6e2eb38783bb"]},{"id":"ITEM-2","itemData":{"DOI":"10.1371/journal.pone.0202922","ISBN":"1111111111","ISSN":"19326203","PMID":"30138399","abstract":"Osteoarthritis (OA), a common chronic joint disorder in both humans and canines, is characterized by a progressive loss of articular cartilage. Canines can serve as an animal model of OA for human medicine, and this research can simultaneously establish effective veterinary treatments for canine OA. One attractive treatment that can lead to cartilage regeneration is the use of mesenchymal stem cells (MSCs). However, for canine OA, little information is available regarding the best source of MSCs. The purpose of this study was to identify a promising MSC source for canine cartilage regeneration. We collected synovial, infrapatellar fat pad, inguinal adipose, and bone marrow tissues from six canines and then conducted a donor-matched comparison of the properties of MSCs derived from these four tissues. We examined the surface epitope expression, proliferation capacity, and trilineage differentiation potential of all four populations. Adherent cells derived from all four tissue sources exhibited positivity for CD90 and CD44 and negativity for CD45 and CD11b. The positive rate for CD90 was higher for synovium-derived than for adipose-derived and bone marrow-derived MSCs. Synovium-derived and infrapatellar fat pad-derived MSCs displayed substantial proliferation ability, and all four populations underwent trilineage differentiation. During chondrogenesis, the wet weight was heavier for cartilage pellets derived from synovium MSCs than from the other three sources. The synovium is therefore a promising source for MSCs for canine cartilage regeneration. Our findings provide useful information about canine MSCs that may be applicable to regenerative medicine for treatment of OA.","author":[{"dropping-particle":"","family":"Sasaki","given":"Akari","non-dropping-particle":"","parse-names":false,"suffix":""},{"dropping-particle":"","family":"Mizuno","given":"Mitsuru","non-dropping-particle":"","parse-names":false,"suffix":""},{"dropping-particle":"","family":"Ozeki","given":"Nobutake","non-dropping-particle":"","parse-names":false,"suffix":""},{"dropping-particle":"","family":"Katano","given":"Hisako","non-dropping-particle":"","parse-names":false,"suffix":""},{"dropping-particle":"","family":"Otabe","given":"Koji","non-dropping-particle":"","parse-names":false,"suffix":""},{"dropping-particle":"","family":"Tsuji","given":"Kunikazu","non-dropping-particle":"","parse-names":false,"suffix":""},{"dropping-particle":"","family":"Koga","given":"Hideyuki","non-dropping-particle":"","parse-names":false,"suffix":""},{"dropping-particle":"","family":"Mochizuki","given":"Manabu","non-dropping-particle":"","parse-names":false,"suffix":""},{"dropping-particle":"","family":"Sekiya","given":"Ichiro","non-dropping-particle":"","parse-names":false,"suffix":""}],"container-title":"PLoS ONE","id":"ITEM-2","issue":"8","issued":{"date-parts":[["2018"]]},"page":"1-20","title":"Canine mesenchymal stem cells from synovium have a higher chondrogenic potential than those from infrapatellar fat pad, adipose tissue, and bone marrow","type":"article-journal","volume":"13"},"uris":["http://www.mendeley.com/documents/?uuid=06e018b3-4bb7-4b65-8c48-df24ad3c85ac"]}],"mendeley":{"formattedCitation":"&lt;sup&gt;[40,53]&lt;/sup&gt;","plainTextFormattedCitation":"[40,53]","previouslyFormattedCitation":"&lt;sup&gt;[40,53]&lt;/sup&gt;"},"properties":{"noteIndex":0},"schema":"https://github.com/citation-style-language/schema/raw/master/csl-citation.json"}</w:instrText>
      </w:r>
      <w:r w:rsidR="00C34C6E" w:rsidRPr="00000DD3">
        <w:rPr>
          <w:rFonts w:ascii="Book Antiqua" w:hAnsi="Book Antiqua" w:cstheme="minorHAnsi"/>
        </w:rPr>
        <w:fldChar w:fldCharType="separate"/>
      </w:r>
      <w:r w:rsidR="00BC68DD" w:rsidRPr="00000DD3">
        <w:rPr>
          <w:rFonts w:ascii="Book Antiqua" w:hAnsi="Book Antiqua" w:cstheme="minorHAnsi"/>
          <w:noProof/>
          <w:vertAlign w:val="superscript"/>
        </w:rPr>
        <w:t>[40,53]</w:t>
      </w:r>
      <w:r w:rsidR="00C34C6E" w:rsidRPr="00000DD3">
        <w:rPr>
          <w:rFonts w:ascii="Book Antiqua" w:hAnsi="Book Antiqua" w:cstheme="minorHAnsi"/>
        </w:rPr>
        <w:fldChar w:fldCharType="end"/>
      </w:r>
      <w:r w:rsidR="005D5461" w:rsidRPr="00000DD3">
        <w:rPr>
          <w:rFonts w:ascii="Book Antiqua" w:hAnsi="Book Antiqua" w:cstheme="minorHAnsi"/>
        </w:rPr>
        <w:t>.</w:t>
      </w:r>
      <w:r w:rsidR="001B6827" w:rsidRPr="00000DD3">
        <w:rPr>
          <w:rFonts w:ascii="Book Antiqua" w:hAnsi="Book Antiqua" w:cstheme="minorHAnsi"/>
        </w:rPr>
        <w:t xml:space="preserve"> </w:t>
      </w:r>
      <w:r w:rsidR="00977350" w:rsidRPr="00000DD3">
        <w:rPr>
          <w:rFonts w:ascii="Book Antiqua" w:hAnsi="Book Antiqua" w:cstheme="minorHAnsi"/>
        </w:rPr>
        <w:t>Notably, further differences are observed depending on</w:t>
      </w:r>
      <w:r w:rsidR="00111F4F" w:rsidRPr="00000DD3">
        <w:rPr>
          <w:rFonts w:ascii="Book Antiqua" w:hAnsi="Book Antiqua" w:cstheme="minorHAnsi"/>
        </w:rPr>
        <w:t xml:space="preserve"> </w:t>
      </w:r>
      <w:r w:rsidR="001B6827" w:rsidRPr="00000DD3">
        <w:rPr>
          <w:rFonts w:ascii="Book Antiqua" w:hAnsi="Book Antiqua" w:cstheme="minorHAnsi"/>
        </w:rPr>
        <w:t xml:space="preserve">the age of </w:t>
      </w:r>
      <w:r w:rsidR="00977350" w:rsidRPr="00000DD3">
        <w:rPr>
          <w:rFonts w:ascii="Book Antiqua" w:hAnsi="Book Antiqua" w:cstheme="minorHAnsi"/>
        </w:rPr>
        <w:t xml:space="preserve">the </w:t>
      </w:r>
      <w:r w:rsidR="001B6827" w:rsidRPr="00000DD3">
        <w:rPr>
          <w:rFonts w:ascii="Book Antiqua" w:hAnsi="Book Antiqua" w:cstheme="minorHAnsi"/>
        </w:rPr>
        <w:t>donor dogs</w:t>
      </w:r>
      <w:r w:rsidR="00795C7C" w:rsidRPr="00000DD3">
        <w:rPr>
          <w:rFonts w:ascii="Book Antiqua" w:hAnsi="Book Antiqua" w:cstheme="minorHAnsi"/>
        </w:rPr>
        <w:t xml:space="preserve"> or </w:t>
      </w:r>
      <w:r w:rsidR="00977350" w:rsidRPr="00000DD3">
        <w:rPr>
          <w:rFonts w:ascii="Book Antiqua" w:hAnsi="Book Antiqua" w:cstheme="minorHAnsi"/>
        </w:rPr>
        <w:t xml:space="preserve">the </w:t>
      </w:r>
      <w:r w:rsidR="00795C7C" w:rsidRPr="00000DD3">
        <w:rPr>
          <w:rFonts w:ascii="Book Antiqua" w:hAnsi="Book Antiqua" w:cstheme="minorHAnsi"/>
        </w:rPr>
        <w:t xml:space="preserve">passage number of </w:t>
      </w:r>
      <w:proofErr w:type="spellStart"/>
      <w:r w:rsidR="00795C7C" w:rsidRPr="00000DD3">
        <w:rPr>
          <w:rFonts w:ascii="Book Antiqua" w:hAnsi="Book Antiqua" w:cstheme="minorHAnsi"/>
        </w:rPr>
        <w:t>cMSCs</w:t>
      </w:r>
      <w:proofErr w:type="spellEnd"/>
      <w:r w:rsidR="001B6827" w:rsidRPr="00000DD3">
        <w:rPr>
          <w:rFonts w:ascii="Book Antiqua" w:hAnsi="Book Antiqua" w:cstheme="minorHAnsi"/>
        </w:rPr>
        <w:t xml:space="preserve"> </w:t>
      </w:r>
      <w:r w:rsidR="00977350" w:rsidRPr="00000DD3">
        <w:rPr>
          <w:rFonts w:ascii="Book Antiqua" w:hAnsi="Book Antiqua" w:cstheme="minorHAnsi"/>
        </w:rPr>
        <w:t>in terms of</w:t>
      </w:r>
      <w:r w:rsidR="001B6827" w:rsidRPr="00000DD3">
        <w:rPr>
          <w:rFonts w:ascii="Book Antiqua" w:hAnsi="Book Antiqua" w:cstheme="minorHAnsi"/>
        </w:rPr>
        <w:t xml:space="preserve"> proliferation capacity</w:t>
      </w:r>
      <w:r w:rsidR="009304AD" w:rsidRPr="00000DD3">
        <w:rPr>
          <w:rFonts w:ascii="Book Antiqua" w:hAnsi="Book Antiqua" w:cstheme="minorHAnsi"/>
        </w:rPr>
        <w:fldChar w:fldCharType="begin" w:fldLock="1"/>
      </w:r>
      <w:r w:rsidR="00120D2C" w:rsidRPr="00000DD3">
        <w:rPr>
          <w:rFonts w:ascii="Book Antiqua" w:hAnsi="Book Antiqua" w:cstheme="minorHAnsi"/>
        </w:rPr>
        <w:instrText>ADDIN CSL_CITATION {"citationItems":[{"id":"ITEM-1","itemData":{"DOI":"10.1002/cbin.10090","ISBN":"1065-6995","ISSN":"10656995","PMID":"23505013","abstract":"Adipose tissue as a stem cell source is ubiquitously available and has several advantages compared to other sources, for example it is easily accessible in large quantities with minimal invasive harvesting procedure, and isolation of adipose-derived mesenchymal stem cells (MSCs) yields a high amount of stem cells, essential for stem cell-based therapies and tissue engineering. We have explored the effect of donor age, and the anatomical origin of the adipose tissue on several aspects of MSCs in dogs, such as cell yield, proliferative ability, multi-differentiation potential, colony-forming capacity, stemness marker expression. We also assessed the effect of cell passaging on the MSCs stemness. We found that the anatomical origin of the adipose tissue and the age of donors have effects only on the proliferative capacity of the MSCs. Moreover, cells show a progressive loss of the stemness characteristics with passages. Cell therapies need a suitable number of cells to use in clinical applications. Characterization of MSCs at different passages, allowed us to demonstrate that, under our culture conditions, the best quantitative and qualitative characteristics are obtained at early passages. Adult MSCs are of particular interest for the therapeutic approach to musculoskeletal diseases, and the dog provides an excellent preclinical model for the development of new approaches in regenerative medicine that might be applied to humans.","author":[{"dropping-particle":"","family":"Guercio","given":"Annalisa","non-dropping-particle":"","parse-names":false,"suffix":""},{"dropping-particle":"","family":"Bella","given":"Santina","non-dropping-particle":"Di","parse-names":false,"suffix":""},{"dropping-particle":"","family":"Casella","given":"Stefania","non-dropping-particle":"","parse-names":false,"suffix":""},{"dropping-particle":"","family":"Marco","given":"Patrizia","non-dropping-particle":"Di","parse-names":false,"suffix":""},{"dropping-particle":"","family":"Russo","given":"Carmelo","non-dropping-particle":"","parse-names":false,"suffix":""},{"dropping-particle":"","family":"Piccione","given":"Giuseppe","non-dropping-particle":"","parse-names":false,"suffix":""}],"container-title":"Cell Biology International","id":"ITEM-1","issue":"8","issued":{"date-parts":[["2013"]]},"page":"789-98","title":"Canine mesenchymal stem cells (MSCs): Characterization in relation to donor age and adipose tissue-harvesting site","type":"article-journal","volume":"37"},"uris":["http://www.mendeley.com/documents/?uuid=c12e3be1-6960-3ee5-a7e9-3aaae73004a2"]},{"id":"ITEM-2","itemData":{"DOI":"10.3727/096368912X636821","ISBN":"1555-3892 (Electronic) 0963-6897 (Linking)","ISSN":"09636897","PMID":"22472645","abstract":"Clinical trials utilizing bone marrow-derived mesenchymal stem cell (BM-MSC) therapies show promise for treating a variety of pathologic conditions. Paramount to optimization of such cell-based therapies is a thorough understanding of MSC biology. Despite the tremendous potential that exists for the clinical use of canine BM-MSCs in veterinary medicine, as well as in preclinical studies for human medicine, relatively little information exists regarding basic biological properties of the cells. In this study, we compared the importance of donor characteristics (age and harvest site) and ex vivo expansion on canine BM-MSC frequency (CFU-f) and differentiation potential. Advancing age was found to have a negative effect on CFU-f as well as osteogenic potential. Site of harvest was also found to have significant effects on MSC properties. MSCs obtained from the humerus were found at the lowest frequency and were least osteogenic compared to those harvested from the tibia, femur, and ilium. Osteogenic potential diminished significantly by the third passage. These results suggest important donor parameters and culture effects to consider in translational studies examining MSC-based regenerative medical strategies.","author":[{"dropping-particle":"","family":"Volk","given":"Susan W.","non-dropping-particle":"","parse-names":false,"suffix":""},{"dropping-particle":"","family":"Wang","given":"Yanjian","non-dropping-particle":"","parse-names":false,"suffix":""},{"dropping-particle":"","family":"Hankenson","given":"Kurt D.","non-dropping-particle":"","parse-names":false,"suffix":""}],"container-title":"Cell Transplantation","id":"ITEM-2","issue":"10","issued":{"date-parts":[["2012"]]},"page":"2189-2200","title":"Effects of donor characteristics and ex vivo expansion on canine mesenchymal stem cell properties: Implications for MSC-based therapies","type":"article-journal","volume":"21"},"uris":["http://www.mendeley.com/documents/?uuid=a38bc415-f802-4c24-a6f3-d4fe410ef15c"]}],"mendeley":{"formattedCitation":"&lt;sup&gt;[58,59]&lt;/sup&gt;","plainTextFormattedCitation":"[58,59]","previouslyFormattedCitation":"&lt;sup&gt;[58,59]&lt;/sup&gt;"},"properties":{"noteIndex":0},"schema":"https://github.com/citation-style-language/schema/raw/master/csl-citation.json"}</w:instrText>
      </w:r>
      <w:r w:rsidR="009304AD" w:rsidRPr="00000DD3">
        <w:rPr>
          <w:rFonts w:ascii="Book Antiqua" w:hAnsi="Book Antiqua" w:cstheme="minorHAnsi"/>
        </w:rPr>
        <w:fldChar w:fldCharType="separate"/>
      </w:r>
      <w:r w:rsidR="00BC68DD" w:rsidRPr="00000DD3">
        <w:rPr>
          <w:rFonts w:ascii="Book Antiqua" w:hAnsi="Book Antiqua" w:cstheme="minorHAnsi"/>
          <w:noProof/>
          <w:vertAlign w:val="superscript"/>
        </w:rPr>
        <w:t>[58,59]</w:t>
      </w:r>
      <w:r w:rsidR="009304AD" w:rsidRPr="00000DD3">
        <w:rPr>
          <w:rFonts w:ascii="Book Antiqua" w:hAnsi="Book Antiqua" w:cstheme="minorHAnsi"/>
        </w:rPr>
        <w:fldChar w:fldCharType="end"/>
      </w:r>
      <w:r w:rsidR="00C34C6E" w:rsidRPr="00000DD3">
        <w:rPr>
          <w:rFonts w:ascii="Book Antiqua" w:hAnsi="Book Antiqua" w:cstheme="minorHAnsi"/>
        </w:rPr>
        <w:t>.</w:t>
      </w:r>
      <w:r w:rsidR="0091517A" w:rsidRPr="00000DD3">
        <w:rPr>
          <w:rFonts w:ascii="Book Antiqua" w:hAnsi="Book Antiqua" w:cstheme="minorHAnsi"/>
        </w:rPr>
        <w:t xml:space="preserve"> </w:t>
      </w:r>
      <w:r w:rsidR="00977350" w:rsidRPr="00000DD3">
        <w:rPr>
          <w:rFonts w:ascii="Book Antiqua" w:hAnsi="Book Antiqua" w:cstheme="minorHAnsi"/>
        </w:rPr>
        <w:t xml:space="preserve">For example, </w:t>
      </w:r>
      <w:proofErr w:type="spellStart"/>
      <w:r w:rsidR="00111F4F" w:rsidRPr="00000DD3">
        <w:rPr>
          <w:rFonts w:ascii="Book Antiqua" w:hAnsi="Book Antiqua" w:cstheme="minorHAnsi"/>
        </w:rPr>
        <w:t>Bertolo</w:t>
      </w:r>
      <w:proofErr w:type="spellEnd"/>
      <w:r w:rsidR="00111F4F" w:rsidRPr="00000DD3">
        <w:rPr>
          <w:rFonts w:ascii="Book Antiqua" w:hAnsi="Book Antiqua" w:cstheme="minorHAnsi"/>
        </w:rPr>
        <w:t xml:space="preserve"> </w:t>
      </w:r>
      <w:r w:rsidR="00A94D33" w:rsidRPr="00000DD3">
        <w:rPr>
          <w:rFonts w:ascii="Book Antiqua" w:eastAsia="黑体" w:hAnsi="Book Antiqua" w:cstheme="minorHAnsi" w:hint="eastAsia"/>
          <w:i/>
          <w:lang w:eastAsia="zh-CN"/>
        </w:rPr>
        <w:t>et al</w:t>
      </w:r>
      <w:r w:rsidR="00A94D33" w:rsidRPr="00000DD3">
        <w:rPr>
          <w:rFonts w:ascii="Book Antiqua" w:hAnsi="Book Antiqua" w:cstheme="minorHAnsi"/>
        </w:rPr>
        <w:fldChar w:fldCharType="begin" w:fldLock="1"/>
      </w:r>
      <w:r w:rsidR="00A94D33" w:rsidRPr="00000DD3">
        <w:rPr>
          <w:rFonts w:ascii="Book Antiqua" w:hAnsi="Book Antiqua" w:cstheme="minorHAnsi"/>
        </w:rPr>
        <w:instrText>ADDIN CSL_CITATION {"citationItems":[{"id":"ITEM-1","itemData":{"DOI":"10.23937/2469-570X/1410005","abstract":"Bone marrow is a major source of mesenchymal stem cells (MSC), which are used in tissue engineering and other autologous stem cell therapies. Studies designed to use large canine models and translate the results to human practice must take into account the ex vivo and in vitro differences in the bone marrow samples. A set of morphological and physiological markers was used to compare MSC derived from canine and human bone marrow. Despite anticlotting treatment, frequent bone marrow clotting was a problem with canine samples, so we developed a protocol for enzymatic digestion of undesirable clots. We compared colony forming units (CFU) assay, population doubling time (PDT), senescenceassociated β-galactosidase (SA-β-Gal) activity, as well as the ability of cells to differentiate to osteogenic, adipogenic and chondrogenic phenotypes. Urokinase digestion resulted in recovery of MSC: 4-fold more CFU from canine and 1.6-fold more from human samples when compared to untreated samples. Canine MSC were less robust in vitro – they divided actively only for four weeks in culture, while human cells divided for longer than eight weeks. After six weeks in culture, canine MSC underwent 17 population doublings of while human cells reached 26. The percentage of senescent cells increased linearly with time, but with a faster rate in canine MSC. Human and canine MSC underwent differentiation to all lineages; however canine MSC had generally lower differentiation potential. In conclusion, the discrepancy between canine and human cultures must be considered in future MSC-based therapies based on dogs as animal model.","author":[{"dropping-particle":"","family":"Bertolo","given":"Alessandro","non-dropping-particle":"","parse-names":false,"suffix":""},{"dropping-particle":"","family":"Schlaefli","given":"P.","non-dropping-particle":"","parse-names":false,"suffix":""},{"dropping-particle":"","family":"Malonzo-Marty","given":"C.","non-dropping-particle":"","parse-names":false,"suffix":""},{"dropping-particle":"","family":"Baur","given":"M.","non-dropping-particle":"","parse-names":false,"suffix":""},{"dropping-particle":"","family":"Pötzel","given":"T.","non-dropping-particle":"","parse-names":false,"suffix":""},{"dropping-particle":"","family":"Steffen","given":"F","non-dropping-particle":"","parse-names":false,"suffix":""},{"dropping-particle":"","family":"Stoyanov","given":"J","non-dropping-particle":"","parse-names":false,"suffix":""}],"container-title":"Int J Stem Cell Res Ther","id":"ITEM-1","issue":"1","issued":{"date-parts":[["2015"]]},"title":"Comparative characterization of canine and human mesenchymal stem cells derived from bone marrow","type":"article-journal","volume":"2"},"uris":["http://www.mendeley.com/documents/?uuid=bbcd9e0e-3ff5-34fb-a009-68c9b5d89a0c"]}],"mendeley":{"formattedCitation":"&lt;sup&gt;[60]&lt;/sup&gt;","plainTextFormattedCitation":"[60]","previouslyFormattedCitation":"&lt;sup&gt;[60]&lt;/sup&gt;"},"properties":{"noteIndex":0},"schema":"https://github.com/citation-style-language/schema/raw/master/csl-citation.json"}</w:instrText>
      </w:r>
      <w:r w:rsidR="00A94D33" w:rsidRPr="00000DD3">
        <w:rPr>
          <w:rFonts w:ascii="Book Antiqua" w:hAnsi="Book Antiqua" w:cstheme="minorHAnsi"/>
        </w:rPr>
        <w:fldChar w:fldCharType="separate"/>
      </w:r>
      <w:r w:rsidR="00A94D33" w:rsidRPr="00000DD3">
        <w:rPr>
          <w:rFonts w:ascii="Book Antiqua" w:hAnsi="Book Antiqua" w:cstheme="minorHAnsi"/>
          <w:noProof/>
          <w:vertAlign w:val="superscript"/>
        </w:rPr>
        <w:t>[60]</w:t>
      </w:r>
      <w:r w:rsidR="00A94D33" w:rsidRPr="00000DD3">
        <w:rPr>
          <w:rFonts w:ascii="Book Antiqua" w:hAnsi="Book Antiqua" w:cstheme="minorHAnsi"/>
        </w:rPr>
        <w:fldChar w:fldCharType="end"/>
      </w:r>
      <w:r w:rsidR="00111F4F" w:rsidRPr="00000DD3">
        <w:rPr>
          <w:rFonts w:ascii="Book Antiqua" w:hAnsi="Book Antiqua" w:cstheme="minorHAnsi"/>
        </w:rPr>
        <w:t xml:space="preserve"> have shown </w:t>
      </w:r>
      <w:r w:rsidR="00977350" w:rsidRPr="00000DD3">
        <w:rPr>
          <w:rFonts w:ascii="Book Antiqua" w:hAnsi="Book Antiqua" w:cstheme="minorHAnsi"/>
        </w:rPr>
        <w:t>a greater tendency for senescence in</w:t>
      </w:r>
      <w:r w:rsidR="00111F4F" w:rsidRPr="00000DD3">
        <w:rPr>
          <w:rFonts w:ascii="Book Antiqua" w:hAnsi="Book Antiqua" w:cstheme="minorHAnsi"/>
        </w:rPr>
        <w:t xml:space="preserve"> </w:t>
      </w:r>
      <w:proofErr w:type="spellStart"/>
      <w:r w:rsidR="00111F4F" w:rsidRPr="00000DD3">
        <w:rPr>
          <w:rFonts w:ascii="Book Antiqua" w:hAnsi="Book Antiqua" w:cstheme="minorHAnsi"/>
        </w:rPr>
        <w:t>cMSCs</w:t>
      </w:r>
      <w:proofErr w:type="spellEnd"/>
      <w:r w:rsidR="00111F4F" w:rsidRPr="00000DD3">
        <w:rPr>
          <w:rFonts w:ascii="Book Antiqua" w:hAnsi="Book Antiqua" w:cstheme="minorHAnsi"/>
        </w:rPr>
        <w:t xml:space="preserve"> </w:t>
      </w:r>
      <w:r w:rsidR="001D027E" w:rsidRPr="00000DD3">
        <w:rPr>
          <w:rFonts w:ascii="Book Antiqua" w:hAnsi="Book Antiqua" w:cstheme="minorHAnsi"/>
        </w:rPr>
        <w:t>than</w:t>
      </w:r>
      <w:r w:rsidR="00977350" w:rsidRPr="00000DD3">
        <w:rPr>
          <w:rFonts w:ascii="Book Antiqua" w:hAnsi="Book Antiqua" w:cstheme="minorHAnsi"/>
        </w:rPr>
        <w:t xml:space="preserve"> in </w:t>
      </w:r>
      <w:r w:rsidR="001D027E" w:rsidRPr="00000DD3">
        <w:rPr>
          <w:rFonts w:ascii="Book Antiqua" w:hAnsi="Book Antiqua" w:cstheme="minorHAnsi"/>
        </w:rPr>
        <w:t xml:space="preserve">human MSCs </w:t>
      </w:r>
      <w:r w:rsidR="00977350" w:rsidRPr="00000DD3">
        <w:rPr>
          <w:rFonts w:ascii="Book Antiqua" w:hAnsi="Book Antiqua" w:cstheme="minorHAnsi"/>
        </w:rPr>
        <w:t xml:space="preserve">when grown in </w:t>
      </w:r>
      <w:r w:rsidR="001D027E" w:rsidRPr="00000DD3">
        <w:rPr>
          <w:rFonts w:ascii="Book Antiqua" w:hAnsi="Book Antiqua" w:cstheme="minorHAnsi"/>
        </w:rPr>
        <w:t xml:space="preserve">monolayer culture. </w:t>
      </w:r>
      <w:r w:rsidR="00977350" w:rsidRPr="00000DD3">
        <w:rPr>
          <w:rFonts w:ascii="Book Antiqua" w:hAnsi="Book Antiqua" w:cstheme="minorHAnsi"/>
        </w:rPr>
        <w:t>These findings suggest that</w:t>
      </w:r>
      <w:r w:rsidR="006B705E" w:rsidRPr="00000DD3">
        <w:rPr>
          <w:rFonts w:ascii="Book Antiqua" w:hAnsi="Book Antiqua" w:cstheme="minorHAnsi"/>
        </w:rPr>
        <w:t xml:space="preserve"> </w:t>
      </w:r>
      <w:r w:rsidR="00977350" w:rsidRPr="00000DD3">
        <w:rPr>
          <w:rFonts w:ascii="Book Antiqua" w:hAnsi="Book Antiqua" w:cstheme="minorHAnsi"/>
        </w:rPr>
        <w:t>the</w:t>
      </w:r>
      <w:r w:rsidR="006B705E" w:rsidRPr="00000DD3">
        <w:rPr>
          <w:rFonts w:ascii="Book Antiqua" w:hAnsi="Book Antiqua" w:cstheme="minorHAnsi"/>
        </w:rPr>
        <w:t xml:space="preserve"> optimal culture conditions</w:t>
      </w:r>
      <w:r w:rsidR="00977350" w:rsidRPr="00000DD3">
        <w:rPr>
          <w:rFonts w:ascii="Book Antiqua" w:hAnsi="Book Antiqua" w:cstheme="minorHAnsi"/>
        </w:rPr>
        <w:t xml:space="preserve"> for</w:t>
      </w:r>
      <w:r w:rsidR="003610D5" w:rsidRPr="00000DD3">
        <w:rPr>
          <w:rFonts w:ascii="Book Antiqua" w:hAnsi="Book Antiqua" w:cstheme="minorHAnsi"/>
        </w:rPr>
        <w:t xml:space="preserve"> </w:t>
      </w:r>
      <w:proofErr w:type="spellStart"/>
      <w:r w:rsidR="003610D5" w:rsidRPr="00000DD3">
        <w:rPr>
          <w:rFonts w:ascii="Book Antiqua" w:hAnsi="Book Antiqua" w:cstheme="minorHAnsi"/>
        </w:rPr>
        <w:t>cMSCs</w:t>
      </w:r>
      <w:proofErr w:type="spellEnd"/>
      <w:r w:rsidR="0035241F" w:rsidRPr="00000DD3">
        <w:rPr>
          <w:rFonts w:ascii="Book Antiqua" w:hAnsi="Book Antiqua" w:cstheme="minorHAnsi"/>
        </w:rPr>
        <w:t xml:space="preserve"> should be reconsidered;</w:t>
      </w:r>
      <w:r w:rsidR="003610D5" w:rsidRPr="00000DD3">
        <w:rPr>
          <w:rFonts w:ascii="Book Antiqua" w:hAnsi="Book Antiqua" w:cstheme="minorHAnsi"/>
        </w:rPr>
        <w:t xml:space="preserve"> for instance,</w:t>
      </w:r>
      <w:r w:rsidR="006B705E" w:rsidRPr="00000DD3">
        <w:rPr>
          <w:rFonts w:ascii="Book Antiqua" w:hAnsi="Book Antiqua" w:cstheme="minorHAnsi"/>
        </w:rPr>
        <w:t xml:space="preserve"> </w:t>
      </w:r>
      <w:r w:rsidR="0035241F" w:rsidRPr="00000DD3">
        <w:rPr>
          <w:rFonts w:ascii="Book Antiqua" w:hAnsi="Book Antiqua" w:cstheme="minorHAnsi"/>
        </w:rPr>
        <w:t xml:space="preserve">the inclusion of supplemental </w:t>
      </w:r>
      <w:r w:rsidR="003610D5" w:rsidRPr="00000DD3">
        <w:rPr>
          <w:rFonts w:ascii="Book Antiqua" w:hAnsi="Book Antiqua" w:cstheme="minorHAnsi"/>
        </w:rPr>
        <w:t>growth factor</w:t>
      </w:r>
      <w:r w:rsidR="0035241F" w:rsidRPr="00000DD3">
        <w:rPr>
          <w:rFonts w:ascii="Book Antiqua" w:hAnsi="Book Antiqua" w:cstheme="minorHAnsi"/>
        </w:rPr>
        <w:t>s,</w:t>
      </w:r>
      <w:r w:rsidR="003610D5" w:rsidRPr="00000DD3">
        <w:rPr>
          <w:rFonts w:ascii="Book Antiqua" w:hAnsi="Book Antiqua" w:cstheme="minorHAnsi"/>
        </w:rPr>
        <w:t xml:space="preserve"> such as fibroblast growth factor-2</w:t>
      </w:r>
      <w:r w:rsidR="00B134E2" w:rsidRPr="00000DD3">
        <w:rPr>
          <w:rFonts w:ascii="Book Antiqua" w:hAnsi="Book Antiqua" w:cstheme="minorHAnsi"/>
        </w:rPr>
        <w:t xml:space="preserve"> (FGF-2)</w:t>
      </w:r>
      <w:r w:rsidR="0035241F" w:rsidRPr="00000DD3">
        <w:rPr>
          <w:rFonts w:ascii="Book Antiqua" w:hAnsi="Book Antiqua" w:cstheme="minorHAnsi"/>
        </w:rPr>
        <w:t>,</w:t>
      </w:r>
      <w:r w:rsidR="003610D5" w:rsidRPr="00000DD3">
        <w:rPr>
          <w:rFonts w:ascii="Book Antiqua" w:hAnsi="Book Antiqua" w:cstheme="minorHAnsi"/>
        </w:rPr>
        <w:t xml:space="preserve"> </w:t>
      </w:r>
      <w:r w:rsidR="0035241F" w:rsidRPr="00000DD3">
        <w:rPr>
          <w:rFonts w:ascii="Book Antiqua" w:hAnsi="Book Antiqua" w:cstheme="minorHAnsi"/>
        </w:rPr>
        <w:t>could</w:t>
      </w:r>
      <w:r w:rsidR="003610D5" w:rsidRPr="00000DD3">
        <w:rPr>
          <w:rFonts w:ascii="Book Antiqua" w:hAnsi="Book Antiqua" w:cstheme="minorHAnsi"/>
        </w:rPr>
        <w:t xml:space="preserve"> increase </w:t>
      </w:r>
      <w:r w:rsidR="0035241F" w:rsidRPr="00000DD3">
        <w:rPr>
          <w:rFonts w:ascii="Book Antiqua" w:hAnsi="Book Antiqua" w:cstheme="minorHAnsi"/>
        </w:rPr>
        <w:t xml:space="preserve">the </w:t>
      </w:r>
      <w:r w:rsidR="003610D5" w:rsidRPr="00000DD3">
        <w:rPr>
          <w:rFonts w:ascii="Book Antiqua" w:hAnsi="Book Antiqua" w:cstheme="minorHAnsi"/>
        </w:rPr>
        <w:t xml:space="preserve">proliferation ability of </w:t>
      </w:r>
      <w:proofErr w:type="spellStart"/>
      <w:r w:rsidR="003610D5" w:rsidRPr="00000DD3">
        <w:rPr>
          <w:rFonts w:ascii="Book Antiqua" w:hAnsi="Book Antiqua" w:cstheme="minorHAnsi"/>
        </w:rPr>
        <w:t>cMSCs</w:t>
      </w:r>
      <w:proofErr w:type="spellEnd"/>
      <w:r w:rsidR="003610D5"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10.1089/ten.TEA.2018.0177","ISSN":"1937-3341","PMID":"30319056","author":[{"dropping-particle":"","family":"Endo","given":"Kentaro","non-dropping-particle":"","parse-names":false,"suffix":""},{"dropping-particle":"","family":"Fujita","given":"Naoki","non-dropping-particle":"","parse-names":false,"suffix":""},{"dropping-particle":"","family":"Nakagawa","given":"Takayuki","non-dropping-particle":"","parse-names":false,"suffix":""},{"dropping-particle":"","family":"Nishimura","given":"Ryohei","non-dropping-particle":"","parse-names":false,"suffix":""}],"container-title":"Tissue Engineering Part A","id":"ITEM-1","issued":{"date-parts":[["2018"]]},"title":"Effect of fibroblast growth factor-2 and serum on canine mesenchymal stem cell chondrogenesis","type":"article-journal"},"uris":["http://www.mendeley.com/documents/?uuid=771186d2-4d19-3b62-9ba8-ad6ff3070ea6"]}],"mendeley":{"formattedCitation":"&lt;sup&gt;[61]&lt;/sup&gt;","plainTextFormattedCitation":"[61]","previouslyFormattedCitation":"&lt;sup&gt;[61]&lt;/sup&gt;"},"properties":{"noteIndex":0},"schema":"https://github.com/citation-style-language/schema/raw/master/csl-citation.json"}</w:instrText>
      </w:r>
      <w:r w:rsidR="003610D5" w:rsidRPr="00000DD3">
        <w:rPr>
          <w:rFonts w:ascii="Book Antiqua" w:hAnsi="Book Antiqua" w:cstheme="minorHAnsi"/>
        </w:rPr>
        <w:fldChar w:fldCharType="separate"/>
      </w:r>
      <w:r w:rsidR="00BC68DD" w:rsidRPr="00000DD3">
        <w:rPr>
          <w:rFonts w:ascii="Book Antiqua" w:hAnsi="Book Antiqua" w:cstheme="minorHAnsi"/>
          <w:noProof/>
          <w:vertAlign w:val="superscript"/>
        </w:rPr>
        <w:t>[61]</w:t>
      </w:r>
      <w:r w:rsidR="003610D5" w:rsidRPr="00000DD3">
        <w:rPr>
          <w:rFonts w:ascii="Book Antiqua" w:hAnsi="Book Antiqua" w:cstheme="minorHAnsi"/>
        </w:rPr>
        <w:fldChar w:fldCharType="end"/>
      </w:r>
      <w:r w:rsidR="003610D5" w:rsidRPr="00000DD3">
        <w:rPr>
          <w:rFonts w:ascii="Book Antiqua" w:hAnsi="Book Antiqua" w:cstheme="minorHAnsi"/>
        </w:rPr>
        <w:t>.</w:t>
      </w:r>
    </w:p>
    <w:p w14:paraId="5AA11002" w14:textId="3F0B8DA1" w:rsidR="004604C6" w:rsidRPr="00000DD3" w:rsidRDefault="0035241F" w:rsidP="00B10567">
      <w:pPr>
        <w:spacing w:line="360" w:lineRule="auto"/>
        <w:ind w:firstLineChars="100" w:firstLine="240"/>
        <w:jc w:val="both"/>
        <w:rPr>
          <w:rFonts w:ascii="Book Antiqua" w:hAnsi="Book Antiqua" w:cstheme="minorHAnsi"/>
        </w:rPr>
      </w:pPr>
      <w:r w:rsidRPr="00000DD3">
        <w:rPr>
          <w:rFonts w:ascii="Book Antiqua" w:hAnsi="Book Antiqua" w:cstheme="minorHAnsi"/>
        </w:rPr>
        <w:t>Table 1 shows the s</w:t>
      </w:r>
      <w:r w:rsidR="004604C6" w:rsidRPr="00000DD3">
        <w:rPr>
          <w:rFonts w:ascii="Book Antiqua" w:hAnsi="Book Antiqua" w:cstheme="minorHAnsi"/>
        </w:rPr>
        <w:t xml:space="preserve">urface marker expression of </w:t>
      </w:r>
      <w:proofErr w:type="spellStart"/>
      <w:r w:rsidR="004604C6" w:rsidRPr="00000DD3">
        <w:rPr>
          <w:rFonts w:ascii="Book Antiqua" w:hAnsi="Book Antiqua" w:cstheme="minorHAnsi"/>
        </w:rPr>
        <w:t>cMSCs</w:t>
      </w:r>
      <w:proofErr w:type="spellEnd"/>
      <w:r w:rsidR="004604C6" w:rsidRPr="00000DD3">
        <w:rPr>
          <w:rFonts w:ascii="Book Antiqua" w:hAnsi="Book Antiqua" w:cstheme="minorHAnsi"/>
        </w:rPr>
        <w:t xml:space="preserve"> derived from various sources. </w:t>
      </w:r>
      <w:r w:rsidRPr="00000DD3">
        <w:rPr>
          <w:rFonts w:ascii="Book Antiqua" w:hAnsi="Book Antiqua" w:cstheme="minorHAnsi"/>
        </w:rPr>
        <w:t xml:space="preserve">The expression </w:t>
      </w:r>
      <w:r w:rsidR="004604C6" w:rsidRPr="00000DD3">
        <w:rPr>
          <w:rFonts w:ascii="Book Antiqua" w:hAnsi="Book Antiqua" w:cstheme="minorHAnsi"/>
        </w:rPr>
        <w:t xml:space="preserve">of cell surface markers is one of the </w:t>
      </w:r>
      <w:r w:rsidRPr="00000DD3">
        <w:rPr>
          <w:rFonts w:ascii="Book Antiqua" w:hAnsi="Book Antiqua" w:cstheme="minorHAnsi"/>
        </w:rPr>
        <w:t xml:space="preserve">identification </w:t>
      </w:r>
      <w:r w:rsidR="004604C6" w:rsidRPr="00000DD3">
        <w:rPr>
          <w:rFonts w:ascii="Book Antiqua" w:hAnsi="Book Antiqua" w:cstheme="minorHAnsi"/>
        </w:rPr>
        <w:t>criteria for MSCs</w:t>
      </w:r>
      <w:r w:rsidR="00401045"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{"citationItems":[{"id":"ITEM-1","itemData":{"DOI":"10.1080/14653240600855905","ISBN":"1465-3249 (Print)\\r1465-3249 (Linking)","ISSN":"14653249","PMID":"16923606","abstract":"The considerable therapeutic potential of human multipotent mesenchymal stromal cells (MSC) has generated markedly increasing interest in a wide variety of biomedical disciplines. However, investigators report studies of MSC using different methods of isolation and expansion, and different approaches to characterizing the cells. Thus it is increasingly difficult to compare and contrast study outcomes, which hinders progress in the field. To begin to address this issue, the Mesenchymal and Tissue Stem Cell Committee of the International Society for Cellular Therapy proposes minimal criteria to define human MSC. First, MSC must be plastic-adherent when maintained in standard culture conditions. Second, MSC must express CD105, CD73 and CD90, and lack expression of CD45, CD34, CD14 or CD11b, CD79alpha or CD19 and HLA-DR surface molecules. Third, MSC must differentiate to osteoblasts, adipocytes and chondroblasts in vitro. While these criteria will probably require modification as new knowledge unfolds, we believe this minimal set of standard criteria will foster a more uniform characterization of MSC and facilitate the exchange of data among investigators.","author":[{"dropping-particle":"","family":"Dominici","given":"M.","non-dropping-particle":"","parse-names":false,"suffix":""},{"dropping-particle":"","family":"Blanc","given":"K.","non-dropping-particle":"Le","parse-names":false,"suffix":""},{"dropping-particle":"","family":"Mueller","given":"I.","non-dropping-particle":"","parse-names":false,"suffix":""},{"dropping-particle":"","family":"Slaper-Cortenbach","given":"I.","non-dropping-particle":"","parse-names":false,"suffix":""},{"dropping-particle":"","family":"Marini","given":"F. C.","non-dropping-particle":"","parse-names":false,"suffix":""},{"dropping-particle":"","family":"Krause","given":"D. S.","non-dropping-particle":"","parse-names":false,"suffix":""},{"dropping-particle":"","family":"Deans","given":"R. J.","non-dropping-particle":"","parse-names":false,"suffix":""},{"dropping-particle":"","family":"Keating","given":"A.","non-dropping-particle":"","parse-names":false,"suffix":""},{"dropping-particle":"","family":"Prockop","given":"D. J.","non-dropping-particle":"","parse-names":false,"suffix":""},{"dropping-particle":"","family":"Horwitz","given":"E. M.","non-dropping-particle":"","parse-names":false,"suffix":""}],"container-title":"Cytotherapy","id":"ITEM-1","issue":"4","issued":{"date-parts":[["2006"]]},"page":"315-317","title":"Minimal criteria for defining multipotent mesenchymal stromal cells. The International Society for Cellular Therapy position statement","type":"article-journal","volume":"8"},"uris":["http://www.mendeley.com/documents/?uuid=7975e2ab-4ffe-3bc1-ad92-d6d1b72e8ac2"]}],"mendeley":{"formattedCitation":"&lt;sup&gt;[45]&lt;/sup&gt;","plainTextFormattedCitation":"[45]","previouslyFormattedCitation":"&lt;sup&gt;[45]&lt;/sup&gt;"},"properties":{"noteIndex":0},"schema":"https://github.com/citation-style-language/schema/raw/master/csl-citation.json"}</w:instrText>
      </w:r>
      <w:r w:rsidR="00401045" w:rsidRPr="00000DD3">
        <w:rPr>
          <w:rFonts w:ascii="Book Antiqua" w:hAnsi="Book Antiqua" w:cstheme="minorHAnsi"/>
        </w:rPr>
        <w:fldChar w:fldCharType="separate"/>
      </w:r>
      <w:r w:rsidR="00BC68DD" w:rsidRPr="00000DD3">
        <w:rPr>
          <w:rFonts w:ascii="Book Antiqua" w:hAnsi="Book Antiqua" w:cstheme="minorHAnsi"/>
          <w:noProof/>
          <w:vertAlign w:val="superscript"/>
        </w:rPr>
        <w:t>[45]</w:t>
      </w:r>
      <w:r w:rsidR="00401045" w:rsidRPr="00000DD3">
        <w:rPr>
          <w:rFonts w:ascii="Book Antiqua" w:hAnsi="Book Antiqua" w:cstheme="minorHAnsi"/>
        </w:rPr>
        <w:fldChar w:fldCharType="end"/>
      </w:r>
      <w:r w:rsidRPr="00000DD3">
        <w:rPr>
          <w:rFonts w:ascii="Book Antiqua" w:hAnsi="Book Antiqua" w:cstheme="minorHAnsi"/>
        </w:rPr>
        <w:t>;</w:t>
      </w:r>
      <w:r w:rsidR="004604C6" w:rsidRPr="00000DD3">
        <w:rPr>
          <w:rFonts w:ascii="Book Antiqua" w:hAnsi="Book Antiqua" w:cstheme="minorHAnsi"/>
        </w:rPr>
        <w:t xml:space="preserve"> however, the criteria</w:t>
      </w:r>
      <w:r w:rsidRPr="00000DD3">
        <w:rPr>
          <w:rFonts w:ascii="Book Antiqua" w:hAnsi="Book Antiqua" w:cstheme="minorHAnsi"/>
        </w:rPr>
        <w:t xml:space="preserve"> used</w:t>
      </w:r>
      <w:r w:rsidR="004604C6" w:rsidRPr="00000DD3">
        <w:rPr>
          <w:rFonts w:ascii="Book Antiqua" w:hAnsi="Book Antiqua" w:cstheme="minorHAnsi"/>
        </w:rPr>
        <w:t xml:space="preserve"> for human MSCs may not be completely compatible with</w:t>
      </w:r>
      <w:r w:rsidR="000427F1" w:rsidRPr="00000DD3">
        <w:rPr>
          <w:rFonts w:ascii="Book Antiqua" w:hAnsi="Book Antiqua" w:cstheme="minorHAnsi"/>
        </w:rPr>
        <w:t xml:space="preserve"> those</w:t>
      </w:r>
      <w:r w:rsidR="00421B62" w:rsidRPr="00000DD3">
        <w:rPr>
          <w:rFonts w:ascii="Book Antiqua" w:hAnsi="Book Antiqua" w:cstheme="minorHAnsi"/>
        </w:rPr>
        <w:t xml:space="preserve"> required</w:t>
      </w:r>
      <w:r w:rsidR="000427F1" w:rsidRPr="00000DD3">
        <w:rPr>
          <w:rFonts w:ascii="Book Antiqua" w:hAnsi="Book Antiqua" w:cstheme="minorHAnsi"/>
        </w:rPr>
        <w:t xml:space="preserve"> for</w:t>
      </w:r>
      <w:r w:rsidR="004604C6" w:rsidRPr="00000DD3">
        <w:rPr>
          <w:rFonts w:ascii="Book Antiqua" w:hAnsi="Book Antiqua" w:cstheme="minorHAnsi"/>
        </w:rPr>
        <w:t xml:space="preserve"> </w:t>
      </w:r>
      <w:proofErr w:type="spellStart"/>
      <w:r w:rsidR="004604C6" w:rsidRPr="00000DD3">
        <w:rPr>
          <w:rFonts w:ascii="Book Antiqua" w:hAnsi="Book Antiqua" w:cstheme="minorHAnsi"/>
        </w:rPr>
        <w:t>cMSCs</w:t>
      </w:r>
      <w:proofErr w:type="spellEnd"/>
      <w:r w:rsidR="004604C6" w:rsidRPr="00000DD3">
        <w:rPr>
          <w:rFonts w:ascii="Book Antiqua" w:hAnsi="Book Antiqua" w:cstheme="minorHAnsi"/>
        </w:rPr>
        <w:t xml:space="preserve"> because of interspecies </w:t>
      </w:r>
      <w:r w:rsidR="000427F1" w:rsidRPr="00000DD3">
        <w:rPr>
          <w:rFonts w:ascii="Book Antiqua" w:hAnsi="Book Antiqua" w:cstheme="minorHAnsi"/>
        </w:rPr>
        <w:t xml:space="preserve">differences </w:t>
      </w:r>
      <w:r w:rsidR="004604C6" w:rsidRPr="00000DD3">
        <w:rPr>
          <w:rFonts w:ascii="Book Antiqua" w:hAnsi="Book Antiqua" w:cstheme="minorHAnsi"/>
        </w:rPr>
        <w:t xml:space="preserve">and the lack of </w:t>
      </w:r>
      <w:r w:rsidR="00401045" w:rsidRPr="00000DD3">
        <w:rPr>
          <w:rFonts w:ascii="Book Antiqua" w:hAnsi="Book Antiqua" w:cstheme="minorHAnsi"/>
        </w:rPr>
        <w:t xml:space="preserve">validated antibodies and controls for </w:t>
      </w:r>
      <w:proofErr w:type="spellStart"/>
      <w:r w:rsidR="00401045" w:rsidRPr="00000DD3">
        <w:rPr>
          <w:rFonts w:ascii="Book Antiqua" w:hAnsi="Book Antiqua" w:cstheme="minorHAnsi"/>
        </w:rPr>
        <w:t>cMSCs</w:t>
      </w:r>
      <w:proofErr w:type="spellEnd"/>
      <w:r w:rsidR="004604C6" w:rsidRPr="00000DD3">
        <w:rPr>
          <w:rFonts w:ascii="Book Antiqua" w:hAnsi="Book Antiqua" w:cstheme="minorHAnsi"/>
        </w:rPr>
        <w:t xml:space="preserve">. </w:t>
      </w:r>
      <w:r w:rsidR="004D6FEE" w:rsidRPr="00000DD3">
        <w:rPr>
          <w:rFonts w:ascii="Book Antiqua" w:hAnsi="Book Antiqua" w:cstheme="minorHAnsi"/>
        </w:rPr>
        <w:t>T</w:t>
      </w:r>
      <w:r w:rsidR="004604C6" w:rsidRPr="00000DD3">
        <w:rPr>
          <w:rFonts w:ascii="Book Antiqua" w:hAnsi="Book Antiqua" w:cstheme="minorHAnsi"/>
        </w:rPr>
        <w:t>he definitive expression of surface antigen</w:t>
      </w:r>
      <w:r w:rsidR="00401045" w:rsidRPr="00000DD3">
        <w:rPr>
          <w:rFonts w:ascii="Book Antiqua" w:hAnsi="Book Antiqua" w:cstheme="minorHAnsi"/>
        </w:rPr>
        <w:t>s</w:t>
      </w:r>
      <w:r w:rsidR="004604C6" w:rsidRPr="00000DD3">
        <w:rPr>
          <w:rFonts w:ascii="Book Antiqua" w:hAnsi="Book Antiqua" w:cstheme="minorHAnsi"/>
        </w:rPr>
        <w:t xml:space="preserve"> </w:t>
      </w:r>
      <w:r w:rsidR="000427F1" w:rsidRPr="00000DD3">
        <w:rPr>
          <w:rFonts w:ascii="Book Antiqua" w:hAnsi="Book Antiqua" w:cstheme="minorHAnsi"/>
        </w:rPr>
        <w:t xml:space="preserve">by </w:t>
      </w:r>
      <w:proofErr w:type="spellStart"/>
      <w:r w:rsidR="004604C6" w:rsidRPr="00000DD3">
        <w:rPr>
          <w:rFonts w:ascii="Book Antiqua" w:hAnsi="Book Antiqua" w:cstheme="minorHAnsi"/>
        </w:rPr>
        <w:t>cMSCs</w:t>
      </w:r>
      <w:proofErr w:type="spellEnd"/>
      <w:r w:rsidR="004604C6" w:rsidRPr="00000DD3">
        <w:rPr>
          <w:rFonts w:ascii="Book Antiqua" w:hAnsi="Book Antiqua" w:cstheme="minorHAnsi"/>
        </w:rPr>
        <w:t xml:space="preserve"> has not been demonstrated</w:t>
      </w:r>
      <w:r w:rsidR="004D6FEE" w:rsidRPr="00000DD3">
        <w:rPr>
          <w:rFonts w:ascii="Book Antiqua" w:hAnsi="Book Antiqua" w:cstheme="minorHAnsi"/>
        </w:rPr>
        <w:t xml:space="preserve">, and </w:t>
      </w:r>
      <w:r w:rsidR="000427F1" w:rsidRPr="00000DD3">
        <w:rPr>
          <w:rFonts w:ascii="Book Antiqua" w:hAnsi="Book Antiqua" w:cstheme="minorHAnsi"/>
        </w:rPr>
        <w:t xml:space="preserve">results for </w:t>
      </w:r>
      <w:proofErr w:type="spellStart"/>
      <w:r w:rsidR="004D6FEE" w:rsidRPr="00000DD3">
        <w:rPr>
          <w:rFonts w:ascii="Book Antiqua" w:hAnsi="Book Antiqua" w:cstheme="minorHAnsi"/>
        </w:rPr>
        <w:t>cMSC</w:t>
      </w:r>
      <w:proofErr w:type="spellEnd"/>
      <w:r w:rsidR="004D6FEE" w:rsidRPr="00000DD3">
        <w:rPr>
          <w:rFonts w:ascii="Book Antiqua" w:hAnsi="Book Antiqua" w:cstheme="minorHAnsi"/>
        </w:rPr>
        <w:t xml:space="preserve"> surface antigen expression </w:t>
      </w:r>
      <w:r w:rsidR="000427F1" w:rsidRPr="00000DD3">
        <w:rPr>
          <w:rFonts w:ascii="Book Antiqua" w:hAnsi="Book Antiqua" w:cstheme="minorHAnsi"/>
        </w:rPr>
        <w:t xml:space="preserve">have </w:t>
      </w:r>
      <w:r w:rsidR="004D6FEE" w:rsidRPr="00000DD3">
        <w:rPr>
          <w:rFonts w:ascii="Book Antiqua" w:hAnsi="Book Antiqua" w:cstheme="minorHAnsi"/>
        </w:rPr>
        <w:t xml:space="preserve">been </w:t>
      </w:r>
      <w:r w:rsidR="000427F1" w:rsidRPr="00000DD3">
        <w:rPr>
          <w:rFonts w:ascii="Book Antiqua" w:hAnsi="Book Antiqua" w:cstheme="minorHAnsi"/>
        </w:rPr>
        <w:t xml:space="preserve">contradictory </w:t>
      </w:r>
      <w:r w:rsidR="004D6FEE" w:rsidRPr="00000DD3">
        <w:rPr>
          <w:rFonts w:ascii="Book Antiqua" w:hAnsi="Book Antiqua" w:cstheme="minorHAnsi"/>
        </w:rPr>
        <w:t>among</w:t>
      </w:r>
      <w:r w:rsidR="00421B62" w:rsidRPr="00000DD3">
        <w:rPr>
          <w:rFonts w:ascii="Book Antiqua" w:hAnsi="Book Antiqua" w:cstheme="minorHAnsi"/>
        </w:rPr>
        <w:t xml:space="preserve"> various</w:t>
      </w:r>
      <w:r w:rsidR="004D6FEE" w:rsidRPr="00000DD3">
        <w:rPr>
          <w:rFonts w:ascii="Book Antiqua" w:hAnsi="Book Antiqua" w:cstheme="minorHAnsi"/>
        </w:rPr>
        <w:t xml:space="preserve"> studies</w:t>
      </w:r>
      <w:r w:rsidR="004604C6" w:rsidRPr="00000DD3">
        <w:rPr>
          <w:rFonts w:ascii="Book Antiqua" w:hAnsi="Book Antiqua" w:cstheme="minorHAnsi"/>
        </w:rPr>
        <w:t>. For example, high</w:t>
      </w:r>
      <w:r w:rsidR="00040860" w:rsidRPr="00000DD3">
        <w:rPr>
          <w:rFonts w:ascii="Book Antiqua" w:hAnsi="Book Antiqua" w:cstheme="minorHAnsi"/>
        </w:rPr>
        <w:t xml:space="preserve"> </w:t>
      </w:r>
      <w:r w:rsidR="004604C6" w:rsidRPr="00000DD3">
        <w:rPr>
          <w:rFonts w:ascii="Book Antiqua" w:hAnsi="Book Antiqua" w:cstheme="minorHAnsi"/>
        </w:rPr>
        <w:t>expression (&gt;</w:t>
      </w:r>
      <w:r w:rsidR="00B10567" w:rsidRPr="00000DD3">
        <w:rPr>
          <w:rFonts w:ascii="Book Antiqua" w:eastAsia="黑体" w:hAnsi="Book Antiqua" w:cstheme="minorHAnsi" w:hint="eastAsia"/>
          <w:lang w:eastAsia="zh-CN"/>
        </w:rPr>
        <w:t xml:space="preserve"> </w:t>
      </w:r>
      <w:r w:rsidR="004604C6" w:rsidRPr="00000DD3">
        <w:rPr>
          <w:rFonts w:ascii="Book Antiqua" w:hAnsi="Book Antiqua" w:cstheme="minorHAnsi"/>
        </w:rPr>
        <w:t xml:space="preserve">90%) of CD90 </w:t>
      </w:r>
      <w:r w:rsidR="000427F1" w:rsidRPr="00000DD3">
        <w:rPr>
          <w:rFonts w:ascii="Book Antiqua" w:hAnsi="Book Antiqua" w:cstheme="minorHAnsi"/>
        </w:rPr>
        <w:t>was reported in</w:t>
      </w:r>
      <w:r w:rsidR="004604C6" w:rsidRPr="00000DD3">
        <w:rPr>
          <w:rFonts w:ascii="Book Antiqua" w:hAnsi="Book Antiqua" w:cstheme="minorHAnsi"/>
        </w:rPr>
        <w:t xml:space="preserve"> </w:t>
      </w:r>
      <w:proofErr w:type="spellStart"/>
      <w:r w:rsidR="004604C6" w:rsidRPr="00000DD3">
        <w:rPr>
          <w:rFonts w:ascii="Book Antiqua" w:hAnsi="Book Antiqua" w:cstheme="minorHAnsi"/>
        </w:rPr>
        <w:t>cMSCs</w:t>
      </w:r>
      <w:proofErr w:type="spellEnd"/>
      <w:r w:rsidR="004604C6" w:rsidRPr="00000DD3">
        <w:rPr>
          <w:rFonts w:ascii="Book Antiqua" w:hAnsi="Book Antiqua" w:cstheme="minorHAnsi"/>
        </w:rPr>
        <w:t xml:space="preserve"> derived from adipose tissue</w:t>
      </w:r>
      <w:r w:rsidR="004604C6" w:rsidRPr="00000DD3">
        <w:rPr>
          <w:rFonts w:ascii="Book Antiqua" w:hAnsi="Book Antiqua" w:cstheme="minorHAnsi"/>
        </w:rPr>
        <w:fldChar w:fldCharType="begin" w:fldLock="1"/>
      </w:r>
      <w:r w:rsidR="006A3361" w:rsidRPr="00000DD3">
        <w:rPr>
          <w:rFonts w:ascii="Book Antiqua" w:hAnsi="Book Antiqua" w:cstheme="minorHAnsi"/>
        </w:rPr>
        <w:instrText>ADDIN CSL_CITATION {"citationItems":[{"id":"ITEM-1","itemData":{"DOI":"10.1007/s11259-012-9523-0","ISBN":"1573-7446 (Electronic)\\r0165-7380 (Linking)","ISSN":"01657380","PMID":"22392598","abstract":"In the dog, mesenchymal stem cells (MSCs) have been shown to reside in the bone marrow (bone marrow-derived mesenchymal stem cells: BM-MSCs) as well as in the adipose tissue (adipose tissue-derived stem cells: ADSCs). Potential application fields for these multipotent MSCs in small animal practice are joint diseases as MSCs of both sources have shown to possess chondrogenic differentiation ability. However, it is not clear whether the chondrogenic differentiation potential of cells of these two distinct tissues is truly equal. Therefore, we compared MSCs of both origins in this study in terms of their chondrogenic differentiation ability and suitability for clinical application. BM-MSCs harvested from the femoral neck and ADSCs from intra-abdominal fat tissue were examined for their morphology, population doubling time (PDT) and CD90 surface antigen expression. RT-PCR served to assess expression of pluripotency marker Oct4 and early differentiation marker genes. Chondrogenic differentiation ability was compared and validated using histochemistry, transmission electron microscopy (TEM) and quantitative RT-PCR. Both cell populations presented a highly similar morphology and marker expression in an undifferentiated stage except that freshly isolated ADSCs demonstrated a significantly faster PDT than BM-MSCs. In contrast, BM-MSCs revealed a morphological superior cartilage formation by the production of a more abundant and structured hyaline matrix and higher expression of lineage specific genes under the applied standard differentiation protocol. However, further investigations are necessary in order to find out if chondrogenic differentiation can be improved in canine ADSCs using different protocols and/or supplements.","author":[{"dropping-particle":"","family":"Reich","given":"Christine M","non-dropping-particle":"","parse-names":false,"suffix":""},{"dropping-particle":"","family":"Raabe","given":"Oksana","non-dropping-particle":"","parse-names":false,"suffix":""},{"dropping-particle":"","family":"Wenisch","given":"Sabine","non-dropping-particle":"","parse-names":false,"suffix":""},{"dropping-particle":"","family":"Bridger","given":"Philip S","non-dropping-particle":"","parse-names":false,"suffix":""},{"dropping-particle":"","family":"Kramer","given":"Martin","non-dropping-particle":"","parse-names":false,"suffix":""},{"dropping-particle":"","family":"Arnhold","given":"Stefan","non-dropping-particle":"","parse-names":false,"suffix":""}],"container-title":"Veterinary Research Communications","id":"ITEM-1","issue":"2","issued":{"date-parts":[["2012"]]},"page":"139-148","title":"Isolation, culture and chondrogenic differentiation of canine adipose tissue- and bone marrow-derived mesenchymal stem cells-A comparative study","type":"article-journal","volume":"36"},"uris":["http://www.mendeley.com/documents/?uuid=7bef8bba-0ea4-3972-a9b4-31813e085455"]},{"id":"ITEM-2","itemData":{"DOI":"10.1371/journal.pone.0167442","ISSN":"19326203","PMID":"27907211","abstract":"Background Mesenchymal stromal cells (MSC) hold promise for both cell replacement and immune modulation strategies owing to their progenitor and non-progenitor functions, respectively. Characterization of MSC from different sources is an important and necessary step before clinical use of these cells is widely adopted. Little is known about the biology and function of canine MSC compared to their mouse or human counterparts. This knowledge-gap impedes development of canine evidence-based MSC technologies. Hypothesis and Objectives We hypothesized that canine adipose tissue (AT) and bone marrow (BM) MSC (derived from the same dogs) will have similar differentiation and immune modulatory profiles. Our objectives were to evaluate progenitor and non-progenitor functions as well as other characteristics of AT- and BM-MSC including 1) proliferation rate, 2) cell surface marker expression, 3) DNA methylation levels, 4) potential for trilineage differentiation towards osteogenic, adipogenic, and chondrogenic cell fates, and 5) immunomodulatory potency in vitro. Results 1) AT-MSC proliferated at more than double the rate of BM-MSC (population doubling times in days) for passage (P) 2, AT: 1.69, BM: 3.81; P3, AT: 1.80, BM: 4.06; P4, AT: 2.37, BM: 5.34; P5, AT: 3.20, BM: 7.21). 2) Canine MSC, regardless of source, strongly expressed cell surface markers MHC I, CD29, CD44, and CD90, and were negative for MHC II and CD45. They also showed moderate expression of CD8 and CD73 and mild expression of CD14. Minor differences were found in expression of CD4 and CD34. 3) Global DNA methylation levels were significantly lower in BM-MSC compared to AT-MSC. 4) Little difference was found between AT- and BM-MSC in their potential for adipogenesis and osteogenesis. Chondrogenesis was poor to absent for both sources in spite of adding varying levels of bone-morphogenic protein to our standard transforming growth factor (TGF-β3)-based induction medium. 5) Immunomodulatory capacity was equal regardless of cell source when tested in mitogen-stimulated lymphocyte reactions. Priming of MSC with pro-inflammatory factors interferon-gamma and/or tumour necrosis factor did not increase the lymphocyte suppressive properties of the MSC compared to untreated MSC. Conclusions/Significance No significant differences were found between AT- and BM-MSC with regard to their immunophenotype, progenitor, and non-progenitor functions. Both MSC populations showed strong adipogenic and osteogenic pote…","author":[{"dropping-particle":"","family":"Russell","given":"Keith A.","non-dropping-particle":"","parse-names":false,"suffix":""},{"dropping-particle":"","family":"Chow","given":"Natalie H.C.","non-dropping-particle":"","parse-names":false,"suffix":""},{"dropping-particle":"","family":"Dukoff","given":"David","non-dropping-particle":"","parse-names":false,"suffix":""},{"dropping-particle":"","family":"Gibson","given":"Thomas W.G.","non-dropping-particle":"","parse-names":false,"suffix":""},{"dropping-particle":"","family":"Marre","given":"Jonathan","non-dropping-particle":"La","parse-names":false,"suffix":""},{"dropping-particle":"","family":"Betts","given":"Dean H.","non-dropping-particle":"","parse-names":false,"suffix":""},{"dropping-particle":"","family":"Koch","given":"Thomas G.","non-dropping-particle":"","parse-names":false,"suffix":""}],"container-title":"PLoS ONE","id":"ITEM-2","issue":"12","issued":{"date-parts":[["2016"]]},"page":"e0167442","title":"Characterization and immunomodulatory effects of canine adipose tissue- and bone marrow-derived mesenchymal stromal cells","type":"article-journal","volume":"11"},"uris":["http://www.mendeley.com/documents/?uuid=54ed6e68-edff-327f-92f1-8478de0264e8"]},{"id":"ITEM-3","itemData":{"DOI":"10.1186/s13287-017-0639-6","ISSN":"17576512","PMID":"28974260","abstract":"BACKGROUND The dog represents an excellent large animal model for translational cell-based studies. Importantly, the properties of canine multipotent stromal cells (cMSCs) and the ideal tissue source for specific translational studies have yet to be established. The aim of this study was to characterize cMSCs derived from synovium, bone marrow, and adipose tissue using a donor-matched study design and a comprehensive series of in-vitro characterization, differentiation, and immunomodulation assays. METHODS Canine MSCs were isolated from five dogs with cranial cruciate ligament rupture. All 15 cMSC preparations were evaluated using colony forming unit (CFU) assays, flow cytometry analysis, RT-PCR for pluripotency-associated genes, proliferation assays, trilineage differentiation assays, and immunomodulation assays. Data were reported as mean</w:instrText>
      </w:r>
      <w:r w:rsidR="006A3361" w:rsidRPr="00000DD3">
        <w:rPr>
          <w:rFonts w:ascii="Times New Roman" w:hAnsi="Times New Roman" w:cs="Times New Roman"/>
        </w:rPr>
        <w:instrText> </w:instrText>
      </w:r>
      <w:r w:rsidR="006A3361" w:rsidRPr="00000DD3">
        <w:rPr>
          <w:rFonts w:ascii="Book Antiqua" w:hAnsi="Book Antiqua" w:cstheme="minorHAnsi"/>
        </w:rPr>
        <w:instrText>±</w:instrText>
      </w:r>
      <w:r w:rsidR="006A3361" w:rsidRPr="00000DD3">
        <w:rPr>
          <w:rFonts w:ascii="Times New Roman" w:hAnsi="Times New Roman" w:cs="Times New Roman"/>
        </w:rPr>
        <w:instrText> </w:instrText>
      </w:r>
      <w:r w:rsidR="006A3361" w:rsidRPr="00000DD3">
        <w:rPr>
          <w:rFonts w:ascii="Book Antiqua" w:hAnsi="Book Antiqua" w:cstheme="minorHAnsi"/>
        </w:rPr>
        <w:instrText>standard deviation and compared using repeated-measures analysis of variance and Tukey post-hoc test. Significance was established at p</w:instrText>
      </w:r>
      <w:r w:rsidR="006A3361" w:rsidRPr="00000DD3">
        <w:rPr>
          <w:rFonts w:ascii="Times New Roman" w:hAnsi="Times New Roman" w:cs="Times New Roman"/>
        </w:rPr>
        <w:instrText> </w:instrText>
      </w:r>
      <w:r w:rsidR="006A3361" w:rsidRPr="00000DD3">
        <w:rPr>
          <w:rFonts w:ascii="Book Antiqua" w:hAnsi="Book Antiqua" w:cstheme="minorHAnsi"/>
        </w:rPr>
        <w:instrText>&lt;</w:instrText>
      </w:r>
      <w:r w:rsidR="006A3361" w:rsidRPr="00000DD3">
        <w:rPr>
          <w:rFonts w:ascii="Times New Roman" w:hAnsi="Times New Roman" w:cs="Times New Roman"/>
        </w:rPr>
        <w:instrText> </w:instrText>
      </w:r>
      <w:r w:rsidR="006A3361" w:rsidRPr="00000DD3">
        <w:rPr>
          <w:rFonts w:ascii="Book Antiqua" w:hAnsi="Book Antiqua" w:cstheme="minorHAnsi"/>
        </w:rPr>
        <w:instrText>0.05. RESULTS All tissue samples produced plastic adherent, spindle-shaped preparations of cMSCs. Cells were negative for CD34, CD45, and STRO-1 and positive for CD9, CD44, and CD90, whereas the degree to which cells were positive for CD105 was variable depending on tissue of origin. Cells were positive for the pluripotency-associated genes NANOG, OCT4, and SOX2. Accounting for donor and tissue sources, there were significant differences in CFU potential, rate of proliferation, trilineage differentiation, and immunomodulatory response. Synovium and marrow cMSCs exhibited superior early osteogenic activity, but when assessing late-stage osteogenesis no significant differences were detected. Interestingly, bone morphogenic protein-2 (BMP-2) supplementation was necessary for early-stage and late-stage osteogenic differentiation, a finding consistent with other canine studies. Additionally, synovium and adipose cMSCs proliferated more rapidly, displayed higher CFU potential, and formed larger aggregates in chondrogenic assays, although proteoglycan and collagen type II staining were subjectively decreased in adipose pellets as compared to synovial and marrow pellets. Lastly, cMSCs derived from all three tissue sources modulated murine macrophage TNF-α and IL-6 levels in a lipopolysaccharide-stimulated coculture assay. CONCLUSIONS While cMSCs from synovium, marrow, and adipose tissue share a number of similarities, important differences in proliferation and trilineage differentiation …","author":[{"dropping-particle":"","family":"Bearden","given":"Robert N.","non-dropping-particle":"","parse-names":false,"suffix":""},{"dropping-particle":"","family":"Huggins","given":"Shannon S.","non-dropping-particle":"","parse-names":false,"suffix":""},{"dropping-particle":"","family":"Cummings","given":"Kevin J.","non-dropping-particle":"","parse-names":false,"suffix":""},{"dropping-particle":"","family":"Smith","given":"Roger","non-dropping-particle":"","parse-names":false,"suffix":""},{"dropping-particle":"","family":"Gregory","given":"Carl A.","non-dropping-particle":"","parse-names":false,"suffix":""},{"dropping-particle":"","family":"Saunders","given":"William B.","non-dropping-particle":"","parse-names":false,"suffix":""}],"container-title":"Stem Cell Research and Therapy","id":"ITEM-3","issue":"1","issued":{"date-parts":[["2017"]]},"page":"1-22","publisher":"Stem Cell Research &amp; Therapy","title":"In-vitro characterization of canine multipotent stromal cells isolated from synovium, bone marrow, and adipose tissue: A donor-matched comparative study","type":"article-journal","volume":"8"},"uris":["http://www.mendeley.com/documents/?uuid=93ce5912-c717-4e45-a0d6-6e2eb38783bb"]},{"id":"ITEM-4","itemData":{"DOI":"10.1089/scd.2007.0153","ISBN":"1557-8534 (Electronic)\\r1547-3287 (Linking)","ISSN":"1547-3287","PMID":"18717642","abstract":"Adipose tissue-derived mesenchymal stem cells (AD-MSCs), which can differentiate into several lineages, have immunomodulatory properties similar to those of bone marrow-derived MSCs. However, the specific mechanism by which the immunomodulatory effect of MSCs occurs is not clear. In this study, we isolated canine AD-MSCs (cAD-MSCs) and induced their development into adipocyte, osteocyte, and neuron-like cells. We then investigated their phenotype and cytokine expression to determine whether they were able to exert an immunomodulatory effect and what the underlying mechanisms of this effect were. cAD-MSCs expressed CD44, CD90, and MHC class I and were also partially positive for the expression of CD34; however, they did not express CD14 and CD45. In addition, they expressed the mRNA of transforming growth factor beta (TGF-beta), IL-6, IL-8, CCL2, CCL5, vascular endothelial growth factor, hepatocyte growth factor (HGF), tissue inhibitor metalloproteinase-1/2, and cyclooxygenase-2 but not that of IL-10. Further, leukocyte proliferation induced by mitogens was suppressed when they were cocultured with irradiated cAD-MSCs, as well as with culture supernatants of cAD-MSCs alone. Moreover, TNF-alpha production significantly decreased, whereas TGF-beta, IL-6, and interferon-gamma production significantly increased in cAD-MSCs that were cocultured with leukocytes. Finally, immonomodulatory factors of MSCs, such as TGF-beta, HGF, prostaglandin E2 (PGE2), and indoleamine 2, 3 dioxygenase (IDO), increased significantly in cAD-MSCs that were cocultured with leukocytes; however, the production of PGE2 and IDO showed different kinetics, and leukocyte proliferation was effectively restored by PGE2 and IDO inhibitors. Taken together, these results indicate that the immunomodulatory effects of cAD-MSCs are associated with soluble factors (TGF-beta, HGF, PGE2, and IDO). Therefore, it is suggested that cAD-MSCs have a potential therapeutic use in the treatment of immune-mediated disease.","author":[{"dropping-particle":"","family":"Kang","given":"Jung Won","non-dropping-particle":"","parse-names":false,"suffix":""},{"dropping-particle":"","family":"Kang","given":"Kyung Sun","non-dropping-particle":"","parse-names":false,"suffix":""},{"dropping-particle":"","family":"Koo","given":"Hye Cheong","non-dropping-particle":"","parse-names":false,"suffix":""},{"dropping-particle":"","family":"Park","given":"Jeong Ran","non-dropping-particle":"","parse-names":false,"suffix":""},{"dropping-particle":"","family":"Choi","given":"Eun Wha","non-dropping-particle":"","parse-names":false,"suffix":""},{"dropping-particle":"","family":"Park","given":"Yong Ho","non-dropping-particle":"","parse-names":false,"suffix":""}],"container-title":"Stem Cells and Development","id":"ITEM-4","issue":"4","issued":{"date-parts":[["2008"]]},"page":"681-694","title":"Soluble factors–mediated immunomodulatory effects of canine adipose tissue–derived mesenchymal stem cells","type":"article-journal","volume":"17"},"uris":["http://www.mendeley.com/documents/?uuid=54c5cfe5-6a36-3939-ba24-5b6f51d8fb48"]}],"mendeley":{"formattedCitation":"&lt;sup&gt;[53,56,57,62]&lt;/sup&gt;","plainTextFormattedCitation":"[53,56,57,62]","previouslyFormattedCitation":"&lt;sup&gt;[53,56,57,62]&lt;/sup&gt;"},"properties":{"noteIndex":0},"schema":"https://github.com/citation-style-language/schema/raw/master/csl-citation.json"}</w:instrText>
      </w:r>
      <w:r w:rsidR="004604C6" w:rsidRPr="00000DD3">
        <w:rPr>
          <w:rFonts w:ascii="Book Antiqua" w:hAnsi="Book Antiqua" w:cstheme="minorHAnsi"/>
        </w:rPr>
        <w:fldChar w:fldCharType="separate"/>
      </w:r>
      <w:r w:rsidR="00BC68DD" w:rsidRPr="00000DD3">
        <w:rPr>
          <w:rFonts w:ascii="Book Antiqua" w:hAnsi="Book Antiqua" w:cstheme="minorHAnsi"/>
          <w:noProof/>
          <w:vertAlign w:val="superscript"/>
        </w:rPr>
        <w:t>[53,56,57,62]</w:t>
      </w:r>
      <w:r w:rsidR="004604C6" w:rsidRPr="00000DD3">
        <w:rPr>
          <w:rFonts w:ascii="Book Antiqua" w:hAnsi="Book Antiqua" w:cstheme="minorHAnsi"/>
        </w:rPr>
        <w:fldChar w:fldCharType="end"/>
      </w:r>
      <w:r w:rsidR="004604C6" w:rsidRPr="00000DD3">
        <w:rPr>
          <w:rFonts w:ascii="Book Antiqua" w:hAnsi="Book Antiqua" w:cstheme="minorHAnsi"/>
        </w:rPr>
        <w:t xml:space="preserve"> and bone marrow</w:t>
      </w:r>
      <w:r w:rsidR="004604C6" w:rsidRPr="00000DD3">
        <w:rPr>
          <w:rFonts w:ascii="Book Antiqua" w:hAnsi="Book Antiqua" w:cstheme="minorHAnsi"/>
        </w:rPr>
        <w:fldChar w:fldCharType="begin" w:fldLock="1"/>
      </w:r>
      <w:r w:rsidR="006A3361" w:rsidRPr="00000DD3">
        <w:rPr>
          <w:rFonts w:ascii="Book Antiqua" w:hAnsi="Book Antiqua" w:cstheme="minorHAnsi"/>
        </w:rPr>
        <w:instrText>ADDIN CSL_CITATION {"citationItems":[{"id":"ITEM-1","itemData":{"DOI":"10.1007/s11259-012-9523-0","ISBN":"1573-7446 (Electronic)\\r0165-7380 (Linking)","ISSN":"01657380","PMID":"22392598","abstract":"In the dog, mesenchymal stem cells (MSCs) have been shown to reside in the bone marrow (bone marrow-derived mesenchymal stem cells: BM-MSCs) as well as in the adipose tissue (adipose tissue-derived stem cells: ADSCs). Potential application fields for these multipotent MSCs in small animal practice are joint diseases as MSCs of both sources have shown to possess chondrogenic differentiation ability. However, it is not clear whether the chondrogenic differentiation potential of cells of these two distinct tissues is truly equal. Therefore, we compared MSCs of both origins in this study in terms of their chondrogenic differentiation ability and suitability for clinical application. BM-MSCs harvested from the femoral neck and ADSCs from intra-abdominal fat tissue were examined for their morphology, population doubling time (PDT) and CD90 surface antigen expression. RT-PCR served to assess expression of pluripotency marker Oct4 and early differentiation marker genes. Chondrogenic differentiation ability was compared and validated using histochemistry, transmission electron microscopy (TEM) and quantitative RT-PCR. Both cell populations presented a highly similar morphology and marker expression in an undifferentiated stage except that freshly isolated ADSCs demonstrated a significantly faster PDT than BM-MSCs. In contrast, BM-MSCs revealed a morphological superior cartilage formation by the production of a more abundant and structured hyaline matrix and higher expression of lineage specific genes under the applied standard differentiation protocol. However, further investigations are necessary in order to find out if chondrogenic differentiation can be improved in canine ADSCs using different protocols and/or supplements.","author":[{"dropping-particle":"","family":"Reich","given":"Christine M","non-dropping-particle":"","parse-names":false,"suffix":""},{"dropping-particle":"","family":"Raabe","given":"Oksana","non-dropping-particle":"","parse-names":false,"suffix":""},{"dropping-particle":"","family":"Wenisch","given":"Sabine","non-dropping-particle":"","parse-names":false,"suffix":""},{"dropping-particle":"","family":"Bridger","given":"Philip S","non-dropping-particle":"","parse-names":false,"suffix":""},{"dropping-particle":"","family":"Kramer","given":"Martin","non-dropping-particle":"","parse-names":false,"suffix":""},{"dropping-particle":"","family":"Arnhold","given":"Stefan","non-dropping-particle":"","parse-names":false,"suffix":""}],"container-title":"Veterinary Research Communications","id":"ITEM-1","issue":"2","issued":{"date-parts":[["2012"]]},"page":"139-148","title":"Isolation, culture and chondrogenic differentiation of canine adipose tissue- and bone marrow-derived mesenchymal stem cells-A comparative study","type":"article-journal","volume":"36"},"uris":["http://www.mendeley.com/documents/?uuid=7bef8bba-0ea4-3972-a9b4-31813e085455"]},{"id":"ITEM-2","itemData":{"DOI":"10.3892/mmr.2018.9172","ISSN":"17913004","PMID":"29916546","author":[{"dropping-particle":"","family":"Zhang","given":"Shuang","non-dropping-particle":"","parse-names":false,"suffix":""},{"dropping-particle":"","family":"Zhao","given":"Chenqiong","non-dropping-particle":"","parse-names":false,"suffix":""},{"dropping-particle":"","family":"Liu","given":"Shi","non-dropping-particle":"","parse-names":false,"suffix":""},{"dropping-particle":"","family":"Wang","given":"Yufeng","non-dropping-particle":"","parse-names":false,"suffix":""},{"dropping-particle":"","family":"Zhao","given":"Yuhua","non-dropping-particle":"","parse-names":false,"suffix":""},{"dropping-particle":"","family":"Guan","given":"Weijun","non-dropping-particle":"","parse-names":false,"suffix":""},{"dropping-particle":"","family":"Zhu","given":"Zhiqiang","non-dropping-particle":"","parse-names":false,"suffix":""}],"container-title":"Molecular Medicine Reports","id":"ITEM-2","issue":"2","issued":{"date-parts":[["2018"]]},"page":"2097-2109","title":"Characteristics and multi-lineage differentiation of bone marrow mesenchymal stem cells derived from the Tibetan mastiff","type":"article-journal","volume":"18"},"uris":["http://www.mendeley.com/documents/?uuid=6ae5bf4c-2f03-3654-ac18-a358677153d3"]},{"id":"ITEM-3","itemData":{"DOI":"10.1038/s41598-018-27737-y","ISSN":"20452322","PMID":"29967404","abstract":"Mesenchymal stem cells (MSCs) and hyaluronic acid (HA) have been found in previous studies to have great potential for medical use. This study aimed to investigate the therapeutic effects of bone marrow mesenchymal stem cells (BMSCs) combined with HA on articular cartilage repair in canines. Twenty-four healthy canines (48 knee-joints), male or female with weight ranging from 5 to 6 kg, were operated on to induce cartilage defect model and divided into 3 groups randomly which received different treatments: BMSCs plus HA (BMSCs-HA), HA alone, and saline. Twenty-eight weeks after treatment, all canines were sacrificed and analyzed by gross appearance, magnetic resonance imaging (MRI), hematoxylin-eosin (HE) staining, Masson staining, toluidine blue staining, type II collagen immunohistochemistry, gross grading scale and histological scores. MSCs plus HA regenerated more cartilage-like tissue than did HA alone or saline. According to the macroscopic evaluation and histological assessment score, treatment with MSCs plus HA also lead to significant improvement in cartilage defects compared to those in the other 2 treatment groups (P &lt; 0.05). These findings suggested that allogeneic BMSCs plus HA rather than HA alone was effective in promoting the formation of cartilage-like tissue for repairing cartilage defect in canines.","author":[{"dropping-particle":"","family":"Li","given":"Lang","non-dropping-particle":"","parse-names":false,"suffix":""},{"dropping-particle":"","family":"Duan","given":"Xin","non-dropping-particle":"","parse-names":false,"suffix":""},{"dropping-particle":"","family":"Fan","given":"Zhaoxin","non-dropping-particle":"","parse-names":false,"suffix":""},{"dropping-particle":"","family":"Chen","given":"Long","non-dropping-particle":"","parse-names":false,"suffix":""},{"dropping-particle":"","family":"Xing","given":"Fei","non-dropping-particle":"","parse-names":false,"suffix":""},{"dropping-particle":"","family":"Xu","given":"Zhao","non-dropping-particle":"","parse-names":false,"suffix":""},{"dropping-particle":"","family":"Chen","given":"Qiang","non-dropping-particle":"","parse-names":false,"suffix":""},{"dropping-particle":"","family":"Xiang","given":"Zhou","non-dropping-particle":"","parse-names":false,"suffix":""}],"container-title":"Scientific Reports","id":"ITEM-3","issue":"1","issued":{"date-parts":[["2018"]]},"page":"9900","title":"Mesenchymal stem cells in combination with hyaluronic acid for articular cartilage defects","type":"article-journal","volume":"8"},"uris":["http://www.mendeley.com/documents/?uuid=5230d377-0e2a-31b0-b125-aea70e2ecce7"]},{"id":"ITEM-4","itemData":{"DOI":"10.1186/s13287-017-0639-6","ISSN":"17576512","PMID":"28974260","abstract":"BACKGROUND The dog represents an excellent large animal model for translational cell-based studies. Importantly, the properties of canine multipotent stromal cells (cMSCs) and the ideal tissue source for specific translational studies have yet to be established. The aim of this study was to characterize cMSCs derived from synovium, bone marrow, and adipose tissue using a donor-matched study design and a comprehensive series of in-vitro characterization, differentiation, and immunomodulation assays. METHODS Canine MSCs were isolated from five dogs with cranial cruciate ligament rupture. All 15 cMSC preparations were evaluated using colony forming unit (CFU) assays, flow cytometry analysis, RT-PCR for pluripotency-associated genes, proliferation assays, trilineage differentiation assays, and immunomodulation assays. Data were reported as mean</w:instrText>
      </w:r>
      <w:r w:rsidR="006A3361" w:rsidRPr="00000DD3">
        <w:rPr>
          <w:rFonts w:ascii="Times New Roman" w:hAnsi="Times New Roman" w:cs="Times New Roman"/>
        </w:rPr>
        <w:instrText> </w:instrText>
      </w:r>
      <w:r w:rsidR="006A3361" w:rsidRPr="00000DD3">
        <w:rPr>
          <w:rFonts w:ascii="Book Antiqua" w:hAnsi="Book Antiqua" w:cstheme="minorHAnsi"/>
        </w:rPr>
        <w:instrText>±</w:instrText>
      </w:r>
      <w:r w:rsidR="006A3361" w:rsidRPr="00000DD3">
        <w:rPr>
          <w:rFonts w:ascii="Times New Roman" w:hAnsi="Times New Roman" w:cs="Times New Roman"/>
        </w:rPr>
        <w:instrText> </w:instrText>
      </w:r>
      <w:r w:rsidR="006A3361" w:rsidRPr="00000DD3">
        <w:rPr>
          <w:rFonts w:ascii="Book Antiqua" w:hAnsi="Book Antiqua" w:cstheme="minorHAnsi"/>
        </w:rPr>
        <w:instrText>standard deviation and compared using repeated-measures analysis of variance and Tukey post-hoc test. Significance was established at p</w:instrText>
      </w:r>
      <w:r w:rsidR="006A3361" w:rsidRPr="00000DD3">
        <w:rPr>
          <w:rFonts w:ascii="Times New Roman" w:hAnsi="Times New Roman" w:cs="Times New Roman"/>
        </w:rPr>
        <w:instrText> </w:instrText>
      </w:r>
      <w:r w:rsidR="006A3361" w:rsidRPr="00000DD3">
        <w:rPr>
          <w:rFonts w:ascii="Book Antiqua" w:hAnsi="Book Antiqua" w:cstheme="minorHAnsi"/>
        </w:rPr>
        <w:instrText>&lt;</w:instrText>
      </w:r>
      <w:r w:rsidR="006A3361" w:rsidRPr="00000DD3">
        <w:rPr>
          <w:rFonts w:ascii="Times New Roman" w:hAnsi="Times New Roman" w:cs="Times New Roman"/>
        </w:rPr>
        <w:instrText> </w:instrText>
      </w:r>
      <w:r w:rsidR="006A3361" w:rsidRPr="00000DD3">
        <w:rPr>
          <w:rFonts w:ascii="Book Antiqua" w:hAnsi="Book Antiqua" w:cstheme="minorHAnsi"/>
        </w:rPr>
        <w:instrText>0.05. RESULTS All tissue samples produced plastic adherent, spindle-shaped preparations of cMSCs. Cells were negative for CD34, CD45, and STRO-1 and positive for CD9, CD44, and CD90, whereas the degree to which cells were positive for CD105 was variable depending on tissue of origin. Cells were positive for the pluripotency-associated genes NANOG, OCT4, and SOX2. Accounting for donor and tissue sources, there were significant differences in CFU potential, rate of proliferation, trilineage differentiation, and immunomodulatory response. Synovium and marrow cMSCs exhibited superior early osteogenic activity, but when assessing late-stage osteogenesis no significant differences were detected. Interestingly, bone morphogenic protein-2 (BMP-2) supplementation was necessary for early-stage and late-stage osteogenic differentiation, a finding consistent with other canine studies. Additionally, synovium and adipose cMSCs proliferated more rapidly, displayed higher CFU potential, and formed larger aggregates in chondrogenic assays, although proteoglycan and collagen type II staining were subjectively decreased in adipose pellets as compared to synovial and marrow pellets. Lastly, cMSCs derived from all three tissue sources modulated murine macrophage TNF-α and IL-6 levels in a lipopolysaccharide-stimulated coculture assay. CONCLUSIONS While cMSCs from synovium, marrow, and adipose tissue share a number of similarities, important differences in proliferation and trilineage differentiation …","author":[{"dropping-particle":"","family":"Bearden","given":"Robert N.","non-dropping-particle":"","parse-names":false,"suffix":""},{"dropping-particle":"","family":"Huggins","given":"Shannon S.","non-dropping-particle":"","parse-names":false,"suffix":""},{"dropping-particle":"","family":"Cummings","given":"Kevin J.","non-dropping-particle":"","parse-names":false,"suffix":""},{"dropping-particle":"","family":"Smith","given":"Roger","non-dropping-particle":"","parse-names":false,"suffix":""},{"dropping-particle":"","family":"Gregory","given":"Carl A.","non-dropping-particle":"","parse-names":false,"suffix":""},{"dropping-particle":"","family":"Saunders","given":"William B.","non-dropping-particle":"","parse-names":false,"suffix":""}],"container-title":"Stem Cell Research and Therapy","id":"ITEM-4","issue":"1","issued":{"date-parts":[["2017"]]},"page":"1-22","publisher":"Stem Cell Research &amp; Therapy","title":"In-vitro characterization of canine multipotent stromal cells isolated from synovium, bone marrow, and adipose tissue: A donor-matched comparative study","type":"article-journal","volume":"8"},"uris":["http://www.mendeley.com/documents/?uuid=93ce5912-c717-4e45-a0d6-6e2eb38783bb"]}],"mendeley":{"formattedCitation":"&lt;sup&gt;[47,53,56,63]&lt;/sup&gt;","plainTextFormattedCitation":"[47,53,56,63]","previouslyFormattedCitation":"&lt;sup&gt;[47,53,56,63]&lt;/sup&gt;"},"properties":{"noteIndex":0},"schema":"https://github.com/citation-style-language/schema/raw/master/csl-citation.json"}</w:instrText>
      </w:r>
      <w:r w:rsidR="004604C6" w:rsidRPr="00000DD3">
        <w:rPr>
          <w:rFonts w:ascii="Book Antiqua" w:hAnsi="Book Antiqua" w:cstheme="minorHAnsi"/>
        </w:rPr>
        <w:fldChar w:fldCharType="separate"/>
      </w:r>
      <w:r w:rsidR="00BC68DD" w:rsidRPr="00000DD3">
        <w:rPr>
          <w:rFonts w:ascii="Book Antiqua" w:hAnsi="Book Antiqua" w:cstheme="minorHAnsi"/>
          <w:noProof/>
          <w:vertAlign w:val="superscript"/>
        </w:rPr>
        <w:t>[47,53,56,63]</w:t>
      </w:r>
      <w:r w:rsidR="004604C6" w:rsidRPr="00000DD3">
        <w:rPr>
          <w:rFonts w:ascii="Book Antiqua" w:hAnsi="Book Antiqua" w:cstheme="minorHAnsi"/>
        </w:rPr>
        <w:fldChar w:fldCharType="end"/>
      </w:r>
      <w:r w:rsidR="004604C6" w:rsidRPr="00000DD3">
        <w:rPr>
          <w:rFonts w:ascii="Book Antiqua" w:hAnsi="Book Antiqua" w:cstheme="minorHAnsi"/>
        </w:rPr>
        <w:t xml:space="preserve"> in some studies, whereas other studies </w:t>
      </w:r>
      <w:r w:rsidR="000427F1" w:rsidRPr="00000DD3">
        <w:rPr>
          <w:rFonts w:ascii="Book Antiqua" w:hAnsi="Book Antiqua" w:cstheme="minorHAnsi"/>
        </w:rPr>
        <w:t>have shown</w:t>
      </w:r>
      <w:r w:rsidR="004604C6" w:rsidRPr="00000DD3">
        <w:rPr>
          <w:rFonts w:ascii="Book Antiqua" w:hAnsi="Book Antiqua" w:cstheme="minorHAnsi"/>
        </w:rPr>
        <w:t xml:space="preserve"> low expression (&lt;</w:t>
      </w:r>
      <w:r w:rsidR="00B10567" w:rsidRPr="00000DD3">
        <w:rPr>
          <w:rFonts w:ascii="Book Antiqua" w:eastAsia="黑体" w:hAnsi="Book Antiqua" w:cstheme="minorHAnsi" w:hint="eastAsia"/>
          <w:lang w:eastAsia="zh-CN"/>
        </w:rPr>
        <w:t xml:space="preserve"> </w:t>
      </w:r>
      <w:r w:rsidR="004604C6" w:rsidRPr="00000DD3">
        <w:rPr>
          <w:rFonts w:ascii="Book Antiqua" w:hAnsi="Book Antiqua" w:cstheme="minorHAnsi"/>
        </w:rPr>
        <w:t xml:space="preserve">40%) of CD90 for </w:t>
      </w:r>
      <w:proofErr w:type="spellStart"/>
      <w:r w:rsidR="004604C6" w:rsidRPr="00000DD3">
        <w:rPr>
          <w:rFonts w:ascii="Book Antiqua" w:hAnsi="Book Antiqua" w:cstheme="minorHAnsi"/>
        </w:rPr>
        <w:t>cMSCs</w:t>
      </w:r>
      <w:proofErr w:type="spellEnd"/>
      <w:r w:rsidR="004604C6" w:rsidRPr="00000DD3">
        <w:rPr>
          <w:rFonts w:ascii="Book Antiqua" w:hAnsi="Book Antiqua" w:cstheme="minorHAnsi"/>
        </w:rPr>
        <w:t xml:space="preserve"> derived from adipose tissue</w:t>
      </w:r>
      <w:r w:rsidR="004604C6"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{"citationItems":[{"id":"ITEM-1","itemData":{"DOI":"10.1016/j.vetimm.2014.06.002","ISBN":"1873-2534 (Electronic)\\r0165-2427 (Linking)","ISSN":"18732534","PMID":"25026887","abstract":"Veterinary adult stem cell therapy is an emerging area of basic and clinical research. Like their human counterparts, veterinary mesenchymal stem cells (MSCs) offer many potential therapeutic benefits. The characterization of canine-derived MSCs, however, is poorly defined compared to human MSCs. Furthermore, little consensus exists regarding the expression of canine MSC cell surface markers. To address this issue, this study investigated characteristics of cultured canine MSCs derived from both adipose tissue and bone marrow. The canine MSCs were obtained from donors of various breeds and ages. A panel of cell surface markers for canine MSCs was selected based on current human and canine literature and the availability of canine-reactive antibodies. Using flow cytometry, canine MSCs were defined to be CD90+CD44+MHC I+CD14-CD29-CD34-MHC II-. Canine MSCs were further characterized using real-time RT-PCR as CD105+CD73+CD14+CD29+MHC II+CD45- at the mRNA level. Among these markers, canine MSCs differed from canine peripheral blood mononuclear cells (PBMCs) by the absence of CD45 expression at the mRNA level. A novel high-throughput canine-specific PCR array was developed and used to identify changes in the gene expression profiles of canine MSCs. Genes including PTPRC, TNF, β2M, TGFβ1, and PDGFRβ, were identified as unique to canine MSCs as compared to canine PBMCs. Our findings will facilitate characterization of canine MSCs for use in research and clinical trials. Moreover, the high-throughput PCR array is a novel tool for characterizing canine MSCs isolated from different tissues and potentially from different laboratories. © 2014.","author":[{"dropping-particle":"","family":"Screven","given":"Rudell","non-dropping-particle":"","parse-names":false,"suffix":""},{"dropping-particle":"","family":"Kenyon","given":"Elizabeth","non-dropping-particle":"","parse-names":false,"suffix":""},{"dropping-particle":"","family":"Myers","given":"Michael J.","non-dropping-particle":"","parse-names":false,"suffix":""},{"dropping-particle":"","family":"Yancy","given":"Haile F.","non-dropping-particle":"","parse-names":false,"suffix":""},{"dropping-particle":"","family":"Skasko","given":"Mark","non-dropping-particle":"","parse-names":false,"suffix":""},{"dropping-particle":"","family":"Boxer","given":"Lynne","non-dropping-particle":"","parse-names":false,"suffix":""},{"dropping-particle":"","family":"Bigley","given":"Elmer C.","non-dropping-particle":"","parse-names":false,"suffix":""},{"dropping-particle":"","family":"Borjesson","given":"Dori L.","non-dropping-particle":"","parse-names":false,"suffix":""},{"dropping-particle":"","family":"Zhu","given":"Min","non-dropping-particle":"","parse-names":false,"suffix":""}],"container-title":"Veterinary Immunology and Immunopathology","id":"ITEM-1","issue":"1-2","issued":{"date-parts":[["2014"]]},"page":"21-31","title":"Immunophenotype and gene expression profile of mesenchymal stem cells derived from canine adipose tissue and bone marrow","type":"article-journal","volume":"161"},"uris":["http://www.mendeley.com/documents/?uuid=d5727772-1149-314b-a927-8edbfbb7a0f2"]},{"id":"ITEM-2","itemData":{"DOI":"10.1186/1746-6148-8-150","ISBN":"1746-6148","ISSN":"1746-6148","PMID":"22937862","abstract":"BACKGROUND: Bone marrow-derived mesenchymal stem cells (BM-MSCs) and adipose tissue-derived mesenchymal stem cells (AT-MSCs) are potential cellular sources of therapeutic stem cells. MSCs are a multipotent population of cells capable of differentiating into a number of mesodermal lineages. Treatment using MSCs appears to be a helpful approach for structural restoration in regenerative medicine. Correct identification of these cells is necessary, but there is inadequate information on the MSC profile of cell surface markers and mRNA expression in dogs. In this study, we performed molecular characterization of canine BM-MSCs and AT-MSCs using immunological and mRNA expression analysis.\\n\\nRESULTS: Samples were confirmed to be multipotent based on their osteogenic and adipogenic differentiation. And these cells were checked as stem cell, hematopoietic and embryonic stem cell (ESC) markers by flow cytometry. BM- and AT-MSCs showed high expression of CD29 and CD44, moderate expression of CD90, and were negative for CD34, CD45, SSEA-3, SSEA-4, TRA-1-60, and TRA-1-81. SSEA-1 was expressed at very low levels in AT-MSCs. Quantitative real-time PCR (qRT-PCR) revealed expression of Oct3/4, Sox2, and Nanog in BM- and AT-MSCs. There was no significant difference in expression of Oct3/4 and Sox2 between BM-MSCs and AT-MSCs. However, Nanog expression was 2.5-fold higher in AT-MSCs than in BM-MSCs. Using immunocytochemical analysis, Oct3/4 and Sox2 proteins were observed in BM- and AT-MSCs.\\n\\nCONCLUSION: Our results provide fundamental information to enable for more reproducible and reliable quality control in the identification of canine BM-MSCs and AT-MSCs by protein and mRNA expression analysis.","author":[{"dropping-particle":"","family":"Takemitsu","given":"Hiroshi","non-dropping-particle":"","parse-names":false,"suffix":""},{"dropping-particle":"","family":"Zhao","given":"Dongwei","non-dropping-particle":"","parse-names":false,"suffix":""},{"dropping-particle":"","family":"Yamamoto","given":"Ichiro","non-dropping-particle":"","parse-names":false,"suffix":""},{"dropping-particle":"","family":"Harada","given":"Yasuji","non-dropping-particle":"","parse-names":false,"suffix":""},{"dropping-particle":"","family":"Michishita","given":"Masaki","non-dropping-particle":"","parse-names":false,"suffix":""},{"dropping-particle":"","family":"Arai","given":"Toshiro","non-dropping-particle":"","parse-names":false,"suffix":""}],"container-title":"BMC veterinary research","id":"ITEM-2","issue":"1","issued":{"date-parts":[["2012"]]},"page":"150","title":"Comparison of bone marrow and adipose tissue-derived canine mesenchymal stem cells.","type":"article-journal","volume":"8"},"uris":["http://www.mendeley.com/documents/?uuid=cf2b9ad8-34e5-4fa5-93af-8fa1c79b3de0"]},{"id":"ITEM-3","itemData":{"DOI":"10.1016/j.rvsc.2010.07.024","ISBN":"0498272796","ISSN":"00345288","PMID":"20732703","abstract":"Adult stem cells are nowadays used for treating several pathologies. A putative stem cell population was found in the adipose tissue of mammals and canine adipose tissue-derived-mesenchymal stem cells (cA-MSC) have been shown to possess the capacity to differentiate into several lineages. The main goal of our research was to fully characterize cA-MSC and examine the effects of cryopreservation on their stemness features. Each sample of cA-MSC was analyzed immediately and then again after being frozen in liquid nitrogen for one year. After the cryopreservation period cells conserved their fibroblast-like morphology, alkaline phosphatase positivity and CD expression but showed a lower proliferation ratio and a lower telomerase activity in comparison with fresh cells. Finally, the cryopreservation protocol did not change the cA-MSC adipogenic, osteogenic and myogenic differentiative potential. Our data demonstrate that stored cA-MSC might represent a promising type of progenitor cell for autologous cellular-based therapies in veterinary medicine. © 2010 Elsevier Ltd.","author":[{"dropping-particle":"","family":"Martinello","given":"T.","non-dropping-particle":"","parse-names":false,"suffix":""},{"dropping-particle":"","family":"Bronzini","given":"I.","non-dropping-particle":"","parse-names":false,"suffix":""},{"dropping-particle":"","family":"Maccatrozzo","given":"L.","non-dropping-particle":"","parse-names":false,"suffix":""},{"dropping-particle":"","family":"Mollo","given":"A.","non-dropping-particle":"","parse-names":false,"suffix":""},{"dropping-particle":"","family":"Sampaolesi","given":"M.","non-dropping-particle":"","parse-names":false,"suffix":""},{"dropping-particle":"","family":"Mascarello","given":"F.","non-dropping-particle":"","parse-names":false,"suffix":""},{"dropping-particle":"","family":"Decaminada","given":"M.","non-dropping-particle":"","parse-names":false,"suffix":""},{"dropping-particle":"","family":"Patruno","given":"M.","non-dropping-particle":"","parse-names":false,"suffix":""}],"container-title":"Research in Veterinary Science","id":"ITEM-3","issue":"1","issued":{"date-parts":[["2011"]]},"page":"18-24","title":"Canine adipose-derived-mesenchymal stem cells do not lose stem features after a long-term cryopreservation","type":"article-journal","volume":"91"},"uris":["http://www.mendeley.com/documents/?uuid=d8086d5b-7bc1-3f00-997f-fa733b6f8f1e"]}],"mendeley":{"formattedCitation":"&lt;sup&gt;[49,64,65]&lt;/sup&gt;","plainTextFormattedCitation":"[49,64,65]","previouslyFormattedCitation":"&lt;sup&gt;[49,64,65]&lt;/sup&gt;"},"properties":{"noteIndex":0},"schema":"https://github.com/citation-style-language/schema/raw/master/csl-citation.json"}</w:instrText>
      </w:r>
      <w:r w:rsidR="004604C6" w:rsidRPr="00000DD3">
        <w:rPr>
          <w:rFonts w:ascii="Book Antiqua" w:hAnsi="Book Antiqua" w:cstheme="minorHAnsi"/>
        </w:rPr>
        <w:fldChar w:fldCharType="separate"/>
      </w:r>
      <w:r w:rsidR="00BC68DD" w:rsidRPr="00000DD3">
        <w:rPr>
          <w:rFonts w:ascii="Book Antiqua" w:hAnsi="Book Antiqua" w:cstheme="minorHAnsi"/>
          <w:noProof/>
          <w:vertAlign w:val="superscript"/>
        </w:rPr>
        <w:t>[49,64,65]</w:t>
      </w:r>
      <w:r w:rsidR="004604C6" w:rsidRPr="00000DD3">
        <w:rPr>
          <w:rFonts w:ascii="Book Antiqua" w:hAnsi="Book Antiqua" w:cstheme="minorHAnsi"/>
        </w:rPr>
        <w:fldChar w:fldCharType="end"/>
      </w:r>
      <w:r w:rsidR="004604C6" w:rsidRPr="00000DD3">
        <w:rPr>
          <w:rFonts w:ascii="Book Antiqua" w:hAnsi="Book Antiqua" w:cstheme="minorHAnsi"/>
        </w:rPr>
        <w:t xml:space="preserve"> and bone marrow</w:t>
      </w:r>
      <w:r w:rsidR="004604C6"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{"citationItems":[{"id":"ITEM-1","itemData":{"DOI":"10.1016/j.vetimm.2014.06.002","ISBN":"1873-2534 (Electronic)\\r0165-2427 (Linking)","ISSN":"18732534","PMID":"25026887","abstract":"Veterinary adult stem cell therapy is an emerging area of basic and clinical research. Like their human counterparts, veterinary mesenchymal stem cells (MSCs) offer many potential therapeutic benefits. The characterization of canine-derived MSCs, however, is poorly defined compared to human MSCs. Furthermore, little consensus exists regarding the expression of canine MSC cell surface markers. To address this issue, this study investigated characteristics of cultured canine MSCs derived from both adipose tissue and bone marrow. The canine MSCs were obtained from donors of various breeds and ages. A panel of cell surface markers for canine MSCs was selected based on current human and canine literature and the availability of canine-reactive antibodies. Using flow cytometry, canine MSCs were defined to be CD90+CD44+MHC I+CD14-CD29-CD34-MHC II-. Canine MSCs were further characterized using real-time RT-PCR as CD105+CD73+CD14+CD29+MHC II+CD45- at the mRNA level. Among these markers, canine MSCs differed from canine peripheral blood mononuclear cells (PBMCs) by the absence of CD45 expression at the mRNA level. A novel high-throughput canine-specific PCR array was developed and used to identify changes in the gene expression profiles of canine MSCs. Genes including PTPRC, TNF, β2M, TGFβ1, and PDGFRβ, were identified as unique to canine MSCs as compared to canine PBMCs. Our findings will facilitate characterization of canine MSCs for use in research and clinical trials. Moreover, the high-throughput PCR array is a novel tool for characterizing canine MSCs isolated from different tissues and potentially from different laboratories. © 2014.","author":[{"dropping-particle":"","family":"Screven","given":"Rudell","non-dropping-particle":"","parse-names":false,"suffix":""},{"dropping-particle":"","family":"Kenyon","given":"Elizabeth","non-dropping-particle":"","parse-names":false,"suffix":""},{"dropping-particle":"","family":"Myers","given":"Michael J.","non-dropping-particle":"","parse-names":false,"suffix":""},{"dropping-particle":"","family":"Yancy","given":"Haile F.","non-dropping-particle":"","parse-names":false,"suffix":""},{"dropping-particle":"","family":"Skasko","given":"Mark","non-dropping-particle":"","parse-names":false,"suffix":""},{"dropping-particle":"","family":"Boxer","given":"Lynne","non-dropping-particle":"","parse-names":false,"suffix":""},{"dropping-particle":"","family":"Bigley","given":"Elmer C.","non-dropping-particle":"","parse-names":false,"suffix":""},{"dropping-particle":"","family":"Borjesson","given":"Dori L.","non-dropping-particle":"","parse-names":false,"suffix":""},{"dropping-particle":"","family":"Zhu","given":"Min","non-dropping-particle":"","parse-names":false,"suffix":""}],"container-title":"Veterinary Immunology and Immunopathology","id":"ITEM-1","issue":"1-2","issued":{"date-parts":[["2014"]]},"page":"21-31","title":"Immunophenotype and gene expression profile of mesenchymal stem cells derived from canine adipose tissue and bone marrow","type":"article-journal","volume":"161"},"uris":["http://www.mendeley.com/documents/?uuid=d5727772-1149-314b-a927-8edbfbb7a0f2"]},{"id":"ITEM-2","itemData":{"DOI":"10.1186/1746-6148-8-150","ISBN":"1746-6148","ISSN":"1746-6148","PMID":"22937862","abstract":"BACKGROUND: Bone marrow-derived mesenchymal stem cells (BM-MSCs) and adipose tissue-derived mesenchymal stem cells (AT-MSCs) are potential cellular sources of therapeutic stem cells. MSCs are a multipotent population of cells capable of differentiating into a number of mesodermal lineages. Treatment using MSCs appears to be a helpful approach for structural restoration in regenerative medicine. Correct identification of these cells is necessary, but there is inadequate information on the MSC profile of cell surface markers and mRNA expression in dogs. In this study, we performed molecular characterization of canine BM-MSCs and AT-MSCs using immunological and mRNA expression analysis.\\n\\nRESULTS: Samples were confirmed to be multipotent based on their osteogenic and adipogenic differentiation. And these cells were checked as stem cell, hematopoietic and embryonic stem cell (ESC) markers by flow cytometry. BM- and AT-MSCs showed high expression of CD29 and CD44, moderate expression of CD90, and were negative for CD34, CD45, SSEA-3, SSEA-4, TRA-1-60, and TRA-1-81. SSEA-1 was expressed at very low levels in AT-MSCs. Quantitative real-time PCR (qRT-PCR) revealed expression of Oct3/4, Sox2, and Nanog in BM- and AT-MSCs. There was no significant difference in expression of Oct3/4 and Sox2 between BM-MSCs and AT-MSCs. However, Nanog expression was 2.5-fold higher in AT-MSCs than in BM-MSCs. Using immunocytochemical analysis, Oct3/4 and Sox2 proteins were observed in BM- and AT-MSCs.\\n\\nCONCLUSION: Our results provide fundamental information to enable for more reproducible and reliable quality control in the identification of canine BM-MSCs and AT-MSCs by protein and mRNA expression analysis.","author":[{"dropping-particle":"","family":"Takemitsu","given":"Hiroshi","non-dropping-particle":"","parse-names":false,"suffix":""},{"dropping-particle":"","family":"Zhao","given":"Dongwei","non-dropping-particle":"","parse-names":false,"suffix":""},{"dropping-particle":"","family":"Yamamoto","given":"Ichiro","non-dropping-particle":"","parse-names":false,"suffix":""},{"dropping-particle":"","family":"Harada","given":"Yasuji","non-dropping-particle":"","parse-names":false,"suffix":""},{"dropping-particle":"","family":"Michishita","given":"Masaki","non-dropping-particle":"","parse-names":false,"suffix":""},{"dropping-particle":"","family":"Arai","given":"Toshiro","non-dropping-particle":"","parse-names":false,"suffix":""}],"container-title":"BMC veterinary research","id":"ITEM-2","issue":"1","issued":{"date-parts":[["2012"]]},"page":"150","title":"Comparison of bone marrow and adipose tissue-derived canine mesenchymal stem cells.","type":"article-journal","volume":"8"},"uris":["http://www.mendeley.com/documents/?uuid=cf2b9ad8-34e5-4fa5-93af-8fa1c79b3de0"]}],"mendeley":{"formattedCitation":"&lt;sup&gt;[49,64]&lt;/sup&gt;","plainTextFormattedCitation":"[49,64]","previouslyFormattedCitation":"&lt;sup&gt;[49,64]&lt;/sup&gt;"},"properties":{"noteIndex":0},"schema":"https://github.com/citation-style-language/schema/raw/master/csl-citation.json"}</w:instrText>
      </w:r>
      <w:r w:rsidR="004604C6" w:rsidRPr="00000DD3">
        <w:rPr>
          <w:rFonts w:ascii="Book Antiqua" w:hAnsi="Book Antiqua" w:cstheme="minorHAnsi"/>
        </w:rPr>
        <w:fldChar w:fldCharType="separate"/>
      </w:r>
      <w:r w:rsidR="00BC68DD" w:rsidRPr="00000DD3">
        <w:rPr>
          <w:rFonts w:ascii="Book Antiqua" w:hAnsi="Book Antiqua" w:cstheme="minorHAnsi"/>
          <w:noProof/>
          <w:vertAlign w:val="superscript"/>
        </w:rPr>
        <w:t>[49,64]</w:t>
      </w:r>
      <w:r w:rsidR="004604C6" w:rsidRPr="00000DD3">
        <w:rPr>
          <w:rFonts w:ascii="Book Antiqua" w:hAnsi="Book Antiqua" w:cstheme="minorHAnsi"/>
        </w:rPr>
        <w:fldChar w:fldCharType="end"/>
      </w:r>
      <w:r w:rsidR="004604C6" w:rsidRPr="00000DD3">
        <w:rPr>
          <w:rFonts w:ascii="Book Antiqua" w:hAnsi="Book Antiqua" w:cstheme="minorHAnsi"/>
        </w:rPr>
        <w:t>.</w:t>
      </w:r>
      <w:r w:rsidR="00624365" w:rsidRPr="00000DD3">
        <w:rPr>
          <w:rFonts w:ascii="Book Antiqua" w:hAnsi="Book Antiqua" w:cstheme="minorHAnsi"/>
        </w:rPr>
        <w:t xml:space="preserve"> </w:t>
      </w:r>
      <w:r w:rsidR="000427F1" w:rsidRPr="00000DD3">
        <w:rPr>
          <w:rFonts w:ascii="Book Antiqua" w:hAnsi="Book Antiqua" w:cstheme="minorHAnsi"/>
        </w:rPr>
        <w:t>S</w:t>
      </w:r>
      <w:r w:rsidR="00401045" w:rsidRPr="00000DD3">
        <w:rPr>
          <w:rFonts w:ascii="Book Antiqua" w:hAnsi="Book Antiqua" w:cstheme="minorHAnsi"/>
        </w:rPr>
        <w:t>urface epitope</w:t>
      </w:r>
      <w:r w:rsidR="00233EC0" w:rsidRPr="00000DD3">
        <w:rPr>
          <w:rFonts w:ascii="Book Antiqua" w:hAnsi="Book Antiqua" w:cstheme="minorHAnsi"/>
        </w:rPr>
        <w:t xml:space="preserve"> expression </w:t>
      </w:r>
      <w:r w:rsidR="000427F1" w:rsidRPr="00000DD3">
        <w:rPr>
          <w:rFonts w:ascii="Book Antiqua" w:hAnsi="Book Antiqua" w:cstheme="minorHAnsi"/>
        </w:rPr>
        <w:t xml:space="preserve">has a known correlation with </w:t>
      </w:r>
      <w:r w:rsidR="003C2DB0" w:rsidRPr="00000DD3">
        <w:rPr>
          <w:rFonts w:ascii="Book Antiqua" w:hAnsi="Book Antiqua" w:cstheme="minorHAnsi"/>
        </w:rPr>
        <w:t xml:space="preserve">differentiation potential and proliferation ability </w:t>
      </w:r>
      <w:r w:rsidR="000427F1" w:rsidRPr="00000DD3">
        <w:rPr>
          <w:rFonts w:ascii="Book Antiqua" w:hAnsi="Book Antiqua" w:cstheme="minorHAnsi"/>
        </w:rPr>
        <w:t>as well as with</w:t>
      </w:r>
      <w:r w:rsidR="005326C9" w:rsidRPr="00000DD3">
        <w:rPr>
          <w:rFonts w:ascii="Book Antiqua" w:hAnsi="Book Antiqua" w:cstheme="minorHAnsi"/>
        </w:rPr>
        <w:t xml:space="preserve"> </w:t>
      </w:r>
      <w:r w:rsidR="003C2DB0" w:rsidRPr="00000DD3">
        <w:rPr>
          <w:rFonts w:ascii="Book Antiqua" w:hAnsi="Book Antiqua" w:cstheme="minorHAnsi"/>
        </w:rPr>
        <w:t>stemness</w:t>
      </w:r>
      <w:r w:rsidR="00120D2C" w:rsidRPr="00000DD3">
        <w:rPr>
          <w:rFonts w:ascii="Book Antiqua" w:hAnsi="Book Antiqua" w:cstheme="minorHAnsi"/>
        </w:rPr>
        <w:fldChar w:fldCharType="begin" w:fldLock="1"/>
      </w:r>
      <w:r w:rsidR="006A3361" w:rsidRPr="00000DD3">
        <w:rPr>
          <w:rFonts w:ascii="Book Antiqua" w:hAnsi="Book Antiqua" w:cstheme="minorHAnsi"/>
        </w:rPr>
        <w:instrText>ADDIN CSL_CITATION {"citationItems":[{"id":"ITEM-1","itemData":{"DOI":"10.1155/2017/1653254","ISBN":"1687-966X (Print)","ISSN":"16879678","PMID":"28757877","abstract":"There has been an increased interest in mesenchymal stem cells from adipose tissue, due to their abundance and accessibility with no ethical concerns. Their multipotent properties make them appropriate for regenerative clinical applications. It has been shown that adipose-derived stem cells (ASCs) may differ between the origin sites. Moreover, a variety of internal and external factors may affect their biological characteristics, as what we aimed to highlight in this review. It has been demonstrated that ASCs secrete multiple trophic factors that are capable of stimulating cell proliferation and differentiation and migration of various cell types. Particular attention should be given to exosomes, since it is known that they contribute to the paracrine effects of MSCs. Secretion of trophic agents by ASCs is thought to be in a greater importance for regenerative medicine applications, rather than cells engraftment to the site of injury and their differentiation ability. The surface marker profile of ASCs seems to be similar to that of the mesenchymal stem cells from bone marrow, although some molecular differences are observed. Thus, in this review, we have attempted to define trophic activity, as well as phenotypic characterization of ASCs, as crucial factors for therapeutic usage.","author":[{"dropping-particle":"","family":"Kocan","given":"Beata","non-dropping-particle":"","parse-names":false,"suffix":""},{"dropping-particle":"","family":"Maziarz","given":"Aleksandra","non-dropping-particle":"","parse-names":false,"suffix":""},{"dropping-particle":"","family":"Tabarkiewicz","given":"Jacek","non-dropping-particle":"","parse-names":false,"suffix":""},{"dropping-particle":"","family":"Ochiya","given":"Takahiro","non-dropping-particle":"","parse-names":false,"suffix":""},{"dropping-particle":"","family":"Banaś-Ząbczyk","given":"Agnieszka","non-dropping-particle":"","parse-names":false,"suffix":""}],"container-title":"Stem Cells International","id":"ITEM-1","issued":{"date-parts":[["2017"]]},"page":"1653254","title":"Trophic activity and phenotype of adipose tissue-derived mesenchymal stem cells as a background of their regenerative potential","type":"article-journal","volume":"2017"},"uris":["http://www.mendeley.com/documents/?uuid=f2b67f72-1e05-4460-9b5d-cd981e8c5903"]},{"id":"ITEM-2","itemData":{"DOI":"10.1007/s00018-016-2229-7","ISBN":"1420-9071 (Electronic)\r1420-682X (Linking)","ISSN":"14209071","PMID":"27141940","abstract":"Mesenchymal stem cells (MSC) are capable of differentiating into cells of multiple cell lineages and have potent paracrine effects. Due to their easy preparation and low immunogenicity, MSC have emerged as an extremely promising therapeutic agent in regenerative medicine for diverse diseases. However, MSC are heterogeneous with respect to phenotype and function in current isolation and cultivation regimes, which often lead to incomparable experimental results. In addition, there may be specific stem cell subpopulations with definite differentiation capacity toward certain lineages in addition to stem cells with multi-differentiation potential. Recent studies have identified several subsets of MSC which exhibit distinct features and biological activities, and enhanced therapeutic potentials for certain diseases. In this review, we give an overview of these subsets for their phenotypic, biological and functional properties.","author":[{"dropping-particle":"","family":"Mo","given":"Miaohua","non-dropping-particle":"","parse-names":false,"suffix":""},{"dropping-particle":"","family":"Wang","given":"Shan","non-dropping-particle":"","parse-names":false,"suffix":""},{"dropping-particle":"","family":"Zhou","given":"Ying","non-dropping-particle":"","parse-names":false,"suffix":""},{"dropping-particle":"","family":"Li","given":"Hong","non-dropping-particle":"","parse-names":false,"suffix":""},{"dropping-particle":"","family":"Wu","given":"Yaojiong","non-dropping-particle":"","parse-names":false,"suffix":""}],"container-title":"Cellular and Molecular Life Sciences","id":"ITEM-2","issue":"17","issued":{"date-parts":[["2016"]]},"page":"3311-3321","publisher":"Springer International Publishing","title":"Mesenchymal stem cell subpopulations: phenotype, property and therapeutic potential","type":"article-journal","volume":"73"},"uris":["http://www.mendeley.com/documents/?uuid=5d36347e-1c85-4565-a522-9881e76a839f"]}],"mendeley":{"formattedCitation":"&lt;sup&gt;[66,67]&lt;/sup&gt;","plainTextFormattedCitation":"[66,67]","previouslyFormattedCitation":"&lt;sup&gt;[66,67]&lt;/sup&gt;"},"properties":{"noteIndex":0},"schema":"https://github.com/citation-style-language/schema/raw/master/csl-citation.json"}</w:instrText>
      </w:r>
      <w:r w:rsidR="00120D2C" w:rsidRPr="00000DD3">
        <w:rPr>
          <w:rFonts w:ascii="Book Antiqua" w:hAnsi="Book Antiqua" w:cstheme="minorHAnsi"/>
        </w:rPr>
        <w:fldChar w:fldCharType="separate"/>
      </w:r>
      <w:r w:rsidR="00120D2C" w:rsidRPr="00000DD3">
        <w:rPr>
          <w:rFonts w:ascii="Book Antiqua" w:hAnsi="Book Antiqua" w:cstheme="minorHAnsi"/>
          <w:noProof/>
          <w:vertAlign w:val="superscript"/>
        </w:rPr>
        <w:t>[66,67]</w:t>
      </w:r>
      <w:r w:rsidR="00120D2C" w:rsidRPr="00000DD3">
        <w:rPr>
          <w:rFonts w:ascii="Book Antiqua" w:hAnsi="Book Antiqua" w:cstheme="minorHAnsi"/>
        </w:rPr>
        <w:fldChar w:fldCharType="end"/>
      </w:r>
      <w:r w:rsidR="000427F1" w:rsidRPr="00000DD3">
        <w:rPr>
          <w:rFonts w:ascii="Book Antiqua" w:hAnsi="Book Antiqua" w:cstheme="minorHAnsi"/>
        </w:rPr>
        <w:t>; therefore,</w:t>
      </w:r>
      <w:r w:rsidR="002E66EC" w:rsidRPr="00000DD3">
        <w:rPr>
          <w:rFonts w:ascii="Book Antiqua" w:hAnsi="Book Antiqua" w:cstheme="minorHAnsi"/>
        </w:rPr>
        <w:t xml:space="preserve"> further studies</w:t>
      </w:r>
      <w:r w:rsidR="000427F1" w:rsidRPr="00000DD3">
        <w:rPr>
          <w:rFonts w:ascii="Book Antiqua" w:hAnsi="Book Antiqua" w:cstheme="minorHAnsi"/>
        </w:rPr>
        <w:t xml:space="preserve"> are needed to</w:t>
      </w:r>
      <w:r w:rsidR="002E66EC" w:rsidRPr="00000DD3">
        <w:rPr>
          <w:rFonts w:ascii="Book Antiqua" w:hAnsi="Book Antiqua" w:cstheme="minorHAnsi"/>
        </w:rPr>
        <w:t xml:space="preserve"> identify appropriate antibody sets for </w:t>
      </w:r>
      <w:proofErr w:type="spellStart"/>
      <w:r w:rsidR="002E66EC" w:rsidRPr="00000DD3">
        <w:rPr>
          <w:rFonts w:ascii="Book Antiqua" w:hAnsi="Book Antiqua" w:cstheme="minorHAnsi"/>
        </w:rPr>
        <w:t>cMSC</w:t>
      </w:r>
      <w:proofErr w:type="spellEnd"/>
      <w:r w:rsidR="002E66EC" w:rsidRPr="00000DD3">
        <w:rPr>
          <w:rFonts w:ascii="Book Antiqua" w:hAnsi="Book Antiqua" w:cstheme="minorHAnsi"/>
        </w:rPr>
        <w:t xml:space="preserve"> characterization.</w:t>
      </w:r>
    </w:p>
    <w:p w14:paraId="6FF00433" w14:textId="77777777" w:rsidR="004604C6" w:rsidRPr="00000DD3" w:rsidRDefault="004604C6" w:rsidP="00874B98">
      <w:pPr>
        <w:spacing w:line="360" w:lineRule="auto"/>
        <w:jc w:val="both"/>
        <w:rPr>
          <w:rFonts w:ascii="Book Antiqua" w:hAnsi="Book Antiqua" w:cstheme="minorHAnsi"/>
        </w:rPr>
      </w:pPr>
    </w:p>
    <w:p w14:paraId="65DE12CF" w14:textId="675377EB" w:rsidR="004604C6" w:rsidRPr="00000DD3" w:rsidRDefault="00A456C4" w:rsidP="00B10567">
      <w:pPr>
        <w:pStyle w:val="aa"/>
        <w:spacing w:line="360" w:lineRule="auto"/>
        <w:ind w:leftChars="0" w:left="0"/>
        <w:jc w:val="both"/>
        <w:rPr>
          <w:rFonts w:ascii="Book Antiqua" w:hAnsi="Book Antiqua" w:cstheme="minorHAnsi"/>
          <w:b/>
          <w:i/>
        </w:rPr>
      </w:pPr>
      <w:r w:rsidRPr="00000DD3">
        <w:rPr>
          <w:rFonts w:ascii="Book Antiqua" w:hAnsi="Book Antiqua" w:cstheme="minorHAnsi"/>
          <w:b/>
          <w:i/>
        </w:rPr>
        <w:t xml:space="preserve">Differentiation potential of </w:t>
      </w:r>
      <w:proofErr w:type="spellStart"/>
      <w:r w:rsidRPr="00000DD3">
        <w:rPr>
          <w:rFonts w:ascii="Book Antiqua" w:hAnsi="Book Antiqua" w:cstheme="minorHAnsi"/>
          <w:b/>
          <w:i/>
        </w:rPr>
        <w:t>cMSCs</w:t>
      </w:r>
      <w:proofErr w:type="spellEnd"/>
    </w:p>
    <w:p w14:paraId="70400431" w14:textId="2EC64F94" w:rsidR="001C2226" w:rsidRPr="00000DD3" w:rsidRDefault="009B2947" w:rsidP="00874B98">
      <w:pPr>
        <w:spacing w:line="360" w:lineRule="auto"/>
        <w:jc w:val="both"/>
        <w:rPr>
          <w:rFonts w:ascii="Book Antiqua" w:hAnsi="Book Antiqua" w:cstheme="minorHAnsi"/>
        </w:rPr>
      </w:pPr>
      <w:r w:rsidRPr="00000DD3">
        <w:rPr>
          <w:rFonts w:ascii="Book Antiqua" w:hAnsi="Book Antiqua" w:cstheme="minorHAnsi"/>
        </w:rPr>
        <w:t xml:space="preserve">Multipotent differentiation potential is one of the defined criteria proposed by ISCT and </w:t>
      </w:r>
      <w:r w:rsidR="00EC6264" w:rsidRPr="00000DD3">
        <w:rPr>
          <w:rFonts w:ascii="Book Antiqua" w:hAnsi="Book Antiqua" w:cstheme="minorHAnsi"/>
        </w:rPr>
        <w:t xml:space="preserve">is a </w:t>
      </w:r>
      <w:r w:rsidRPr="00000DD3">
        <w:rPr>
          <w:rFonts w:ascii="Book Antiqua" w:hAnsi="Book Antiqua" w:cstheme="minorHAnsi"/>
        </w:rPr>
        <w:t>crucial characteristic of MSCs use</w:t>
      </w:r>
      <w:r w:rsidR="00EC6264" w:rsidRPr="00000DD3">
        <w:rPr>
          <w:rFonts w:ascii="Book Antiqua" w:hAnsi="Book Antiqua" w:cstheme="minorHAnsi"/>
        </w:rPr>
        <w:t>d</w:t>
      </w:r>
      <w:r w:rsidRPr="00000DD3">
        <w:rPr>
          <w:rFonts w:ascii="Book Antiqua" w:hAnsi="Book Antiqua" w:cstheme="minorHAnsi"/>
        </w:rPr>
        <w:t xml:space="preserve"> in regenerative therapy. Adipogenesis, </w:t>
      </w:r>
      <w:r w:rsidR="002B5095" w:rsidRPr="00000DD3">
        <w:rPr>
          <w:rFonts w:ascii="Book Antiqua" w:hAnsi="Book Antiqua" w:cstheme="minorHAnsi"/>
        </w:rPr>
        <w:t>o</w:t>
      </w:r>
      <w:r w:rsidRPr="00000DD3">
        <w:rPr>
          <w:rFonts w:ascii="Book Antiqua" w:hAnsi="Book Antiqua" w:cstheme="minorHAnsi"/>
        </w:rPr>
        <w:t>steogenesis</w:t>
      </w:r>
      <w:r w:rsidR="00EC6264" w:rsidRPr="00000DD3">
        <w:rPr>
          <w:rFonts w:ascii="Book Antiqua" w:hAnsi="Book Antiqua" w:cstheme="minorHAnsi"/>
        </w:rPr>
        <w:t>,</w:t>
      </w:r>
      <w:r w:rsidRPr="00000DD3">
        <w:rPr>
          <w:rFonts w:ascii="Book Antiqua" w:hAnsi="Book Antiqua" w:cstheme="minorHAnsi"/>
        </w:rPr>
        <w:t xml:space="preserve"> and chondrogenesis in </w:t>
      </w:r>
      <w:proofErr w:type="spellStart"/>
      <w:r w:rsidRPr="00000DD3">
        <w:rPr>
          <w:rFonts w:ascii="Book Antiqua" w:hAnsi="Book Antiqua" w:cstheme="minorHAnsi"/>
        </w:rPr>
        <w:t>cMSC</w:t>
      </w:r>
      <w:proofErr w:type="spellEnd"/>
      <w:r w:rsidRPr="00000DD3">
        <w:rPr>
          <w:rFonts w:ascii="Book Antiqua" w:hAnsi="Book Antiqua" w:cstheme="minorHAnsi"/>
        </w:rPr>
        <w:t xml:space="preserve"> studies are validated </w:t>
      </w:r>
      <w:r w:rsidR="00EC6264" w:rsidRPr="00000DD3">
        <w:rPr>
          <w:rFonts w:ascii="Book Antiqua" w:hAnsi="Book Antiqua" w:cstheme="minorHAnsi"/>
        </w:rPr>
        <w:t xml:space="preserve">by </w:t>
      </w:r>
      <w:r w:rsidR="00B10803" w:rsidRPr="00000DD3">
        <w:rPr>
          <w:rFonts w:ascii="Book Antiqua" w:hAnsi="Book Antiqua" w:cstheme="minorHAnsi"/>
        </w:rPr>
        <w:t xml:space="preserve">specific </w:t>
      </w:r>
      <w:r w:rsidRPr="00000DD3">
        <w:rPr>
          <w:rFonts w:ascii="Book Antiqua" w:hAnsi="Book Antiqua" w:cstheme="minorHAnsi"/>
        </w:rPr>
        <w:t xml:space="preserve">staining or </w:t>
      </w:r>
      <w:r w:rsidR="00EC6264" w:rsidRPr="00000DD3">
        <w:rPr>
          <w:rFonts w:ascii="Book Antiqua" w:hAnsi="Book Antiqua" w:cstheme="minorHAnsi"/>
        </w:rPr>
        <w:t xml:space="preserve">analysis of </w:t>
      </w:r>
      <w:r w:rsidRPr="00000DD3">
        <w:rPr>
          <w:rFonts w:ascii="Book Antiqua" w:hAnsi="Book Antiqua" w:cstheme="minorHAnsi"/>
        </w:rPr>
        <w:t>mRNA expression</w:t>
      </w:r>
      <w:r w:rsidR="00EA78A8" w:rsidRPr="00000DD3">
        <w:rPr>
          <w:rFonts w:ascii="Book Antiqua" w:hAnsi="Book Antiqua" w:cstheme="minorHAnsi"/>
        </w:rPr>
        <w:t xml:space="preserve"> (Figure </w:t>
      </w:r>
      <w:r w:rsidR="00BD4F0F" w:rsidRPr="00000DD3">
        <w:rPr>
          <w:rFonts w:ascii="Book Antiqua" w:hAnsi="Book Antiqua" w:cstheme="minorHAnsi"/>
        </w:rPr>
        <w:t>3</w:t>
      </w:r>
      <w:r w:rsidR="00B10567" w:rsidRPr="00000DD3">
        <w:rPr>
          <w:rFonts w:ascii="Book Antiqua" w:eastAsia="黑体" w:hAnsi="Book Antiqua" w:cstheme="minorHAnsi" w:hint="eastAsia"/>
          <w:lang w:eastAsia="zh-CN"/>
        </w:rPr>
        <w:t xml:space="preserve"> and</w:t>
      </w:r>
      <w:r w:rsidR="00712B45" w:rsidRPr="00000DD3">
        <w:rPr>
          <w:rFonts w:ascii="Book Antiqua" w:hAnsi="Book Antiqua" w:cstheme="minorHAnsi"/>
        </w:rPr>
        <w:t xml:space="preserve"> Table 2</w:t>
      </w:r>
      <w:r w:rsidR="00EA78A8" w:rsidRPr="00000DD3">
        <w:rPr>
          <w:rFonts w:ascii="Book Antiqua" w:hAnsi="Book Antiqua" w:cstheme="minorHAnsi"/>
        </w:rPr>
        <w:t>)</w:t>
      </w:r>
      <w:r w:rsidRPr="00000DD3">
        <w:rPr>
          <w:rFonts w:ascii="Book Antiqua" w:hAnsi="Book Antiqua" w:cstheme="minorHAnsi"/>
        </w:rPr>
        <w:t xml:space="preserve">. </w:t>
      </w:r>
    </w:p>
    <w:p w14:paraId="5D0EC6DD" w14:textId="2B142E30" w:rsidR="00B10803" w:rsidRPr="00000DD3" w:rsidRDefault="001C2226" w:rsidP="009E6380">
      <w:pPr>
        <w:spacing w:line="360" w:lineRule="auto"/>
        <w:ind w:firstLineChars="100" w:firstLine="240"/>
        <w:jc w:val="both"/>
        <w:rPr>
          <w:rFonts w:ascii="Book Antiqua" w:hAnsi="Book Antiqua" w:cstheme="minorHAnsi"/>
        </w:rPr>
      </w:pPr>
      <w:r w:rsidRPr="00000DD3">
        <w:rPr>
          <w:rFonts w:ascii="Book Antiqua" w:hAnsi="Book Antiqua" w:cstheme="minorHAnsi"/>
          <w:i/>
        </w:rPr>
        <w:t>In vitro</w:t>
      </w:r>
      <w:r w:rsidRPr="00000DD3">
        <w:rPr>
          <w:rFonts w:ascii="Book Antiqua" w:hAnsi="Book Antiqua" w:cstheme="minorHAnsi"/>
        </w:rPr>
        <w:t xml:space="preserve"> adipogenesis of </w:t>
      </w:r>
      <w:proofErr w:type="spellStart"/>
      <w:r w:rsidRPr="00000DD3">
        <w:rPr>
          <w:rFonts w:ascii="Book Antiqua" w:hAnsi="Book Antiqua" w:cstheme="minorHAnsi"/>
        </w:rPr>
        <w:t>cMSCs</w:t>
      </w:r>
      <w:proofErr w:type="spellEnd"/>
      <w:r w:rsidRPr="00000DD3">
        <w:rPr>
          <w:rFonts w:ascii="Book Antiqua" w:hAnsi="Book Antiqua" w:cstheme="minorHAnsi"/>
        </w:rPr>
        <w:t xml:space="preserve"> has been confirmed for AD-</w:t>
      </w:r>
      <w:proofErr w:type="spellStart"/>
      <w:r w:rsidRPr="00000DD3">
        <w:rPr>
          <w:rFonts w:ascii="Book Antiqua" w:hAnsi="Book Antiqua" w:cstheme="minorHAnsi"/>
        </w:rPr>
        <w:t>cMSCs</w:t>
      </w:r>
      <w:proofErr w:type="spellEnd"/>
      <w:r w:rsidRPr="00000DD3">
        <w:rPr>
          <w:rFonts w:ascii="Book Antiqua" w:hAnsi="Book Antiqua" w:cstheme="minorHAnsi"/>
        </w:rPr>
        <w:t>, BM-</w:t>
      </w:r>
      <w:proofErr w:type="spellStart"/>
      <w:r w:rsidRPr="00000DD3">
        <w:rPr>
          <w:rFonts w:ascii="Book Antiqua" w:hAnsi="Book Antiqua" w:cstheme="minorHAnsi"/>
        </w:rPr>
        <w:t>cMSCs</w:t>
      </w:r>
      <w:proofErr w:type="spellEnd"/>
      <w:r w:rsidRPr="00000DD3">
        <w:rPr>
          <w:rFonts w:ascii="Book Antiqua" w:hAnsi="Book Antiqua" w:cstheme="minorHAnsi"/>
        </w:rPr>
        <w:t>, Sy-</w:t>
      </w:r>
      <w:proofErr w:type="spellStart"/>
      <w:r w:rsidRPr="00000DD3">
        <w:rPr>
          <w:rFonts w:ascii="Book Antiqua" w:hAnsi="Book Antiqua" w:cstheme="minorHAnsi"/>
        </w:rPr>
        <w:t>cMSCs</w:t>
      </w:r>
      <w:proofErr w:type="spellEnd"/>
      <w:r w:rsidR="00DF2C3D" w:rsidRPr="00000DD3">
        <w:rPr>
          <w:rFonts w:ascii="Book Antiqua" w:hAnsi="Book Antiqua" w:cstheme="minorHAnsi"/>
        </w:rPr>
        <w:t>,</w:t>
      </w:r>
      <w:r w:rsidRPr="00000DD3">
        <w:rPr>
          <w:rFonts w:ascii="Book Antiqua" w:hAnsi="Book Antiqua" w:cstheme="minorHAnsi"/>
        </w:rPr>
        <w:t xml:space="preserve"> and IF-</w:t>
      </w:r>
      <w:proofErr w:type="spellStart"/>
      <w:r w:rsidRPr="00000DD3">
        <w:rPr>
          <w:rFonts w:ascii="Book Antiqua" w:hAnsi="Book Antiqua" w:cstheme="minorHAnsi"/>
        </w:rPr>
        <w:t>cMSCs</w:t>
      </w:r>
      <w:proofErr w:type="spellEnd"/>
      <w:r w:rsidR="00712B45" w:rsidRPr="00000DD3">
        <w:rPr>
          <w:rFonts w:ascii="Book Antiqua" w:hAnsi="Book Antiqua" w:cstheme="minorHAnsi"/>
        </w:rPr>
        <w:t xml:space="preserve"> (Table 2)</w:t>
      </w:r>
      <w:r w:rsidRPr="00000DD3">
        <w:rPr>
          <w:rFonts w:ascii="Book Antiqua" w:hAnsi="Book Antiqua" w:cstheme="minorHAnsi"/>
        </w:rPr>
        <w:t>. The formation of oil lipid droplets is verified with oil red-</w:t>
      </w:r>
      <w:r w:rsidR="00421B62" w:rsidRPr="00000DD3">
        <w:rPr>
          <w:rFonts w:ascii="Book Antiqua" w:hAnsi="Book Antiqua" w:cstheme="minorHAnsi"/>
        </w:rPr>
        <w:t>O</w:t>
      </w:r>
      <w:r w:rsidRPr="00000DD3">
        <w:rPr>
          <w:rFonts w:ascii="Book Antiqua" w:hAnsi="Book Antiqua" w:cstheme="minorHAnsi"/>
        </w:rPr>
        <w:t xml:space="preserve"> staining</w:t>
      </w:r>
      <w:r w:rsidR="00DF2C3D" w:rsidRPr="00000DD3">
        <w:rPr>
          <w:rFonts w:ascii="Book Antiqua" w:hAnsi="Book Antiqua" w:cstheme="minorHAnsi"/>
        </w:rPr>
        <w:t xml:space="preserve">; however, </w:t>
      </w:r>
      <w:proofErr w:type="spellStart"/>
      <w:r w:rsidRPr="00000DD3">
        <w:rPr>
          <w:rFonts w:ascii="Book Antiqua" w:hAnsi="Book Antiqua" w:cstheme="minorHAnsi"/>
        </w:rPr>
        <w:t>cMSCs</w:t>
      </w:r>
      <w:proofErr w:type="spellEnd"/>
      <w:r w:rsidRPr="00000DD3">
        <w:rPr>
          <w:rFonts w:ascii="Book Antiqua" w:hAnsi="Book Antiqua" w:cstheme="minorHAnsi"/>
        </w:rPr>
        <w:t xml:space="preserve"> sometimes cannot sufficiently differentiate into adipocytes in the induction medium </w:t>
      </w:r>
      <w:r w:rsidR="00DF2C3D" w:rsidRPr="00000DD3">
        <w:rPr>
          <w:rFonts w:ascii="Book Antiqua" w:hAnsi="Book Antiqua" w:cstheme="minorHAnsi"/>
        </w:rPr>
        <w:t xml:space="preserve">used </w:t>
      </w:r>
      <w:r w:rsidRPr="00000DD3">
        <w:rPr>
          <w:rFonts w:ascii="Book Antiqua" w:hAnsi="Book Antiqua" w:cstheme="minorHAnsi"/>
        </w:rPr>
        <w:t xml:space="preserve">for </w:t>
      </w:r>
      <w:proofErr w:type="spellStart"/>
      <w:r w:rsidRPr="00000DD3">
        <w:rPr>
          <w:rFonts w:ascii="Book Antiqua" w:hAnsi="Book Antiqua" w:cstheme="minorHAnsi"/>
        </w:rPr>
        <w:t>adipogenic</w:t>
      </w:r>
      <w:proofErr w:type="spellEnd"/>
      <w:r w:rsidRPr="00000DD3">
        <w:rPr>
          <w:rFonts w:ascii="Book Antiqua" w:hAnsi="Book Antiqua" w:cstheme="minorHAnsi"/>
        </w:rPr>
        <w:t xml:space="preserve"> differentiation of human MSCs</w:t>
      </w:r>
      <w:r w:rsidR="00DF2C3D" w:rsidRPr="00000DD3">
        <w:rPr>
          <w:rFonts w:ascii="Book Antiqua" w:hAnsi="Book Antiqua" w:cstheme="minorHAnsi"/>
        </w:rPr>
        <w:t xml:space="preserve">, so the induction media </w:t>
      </w:r>
      <w:r w:rsidRPr="00000DD3">
        <w:rPr>
          <w:rFonts w:ascii="Book Antiqua" w:hAnsi="Book Antiqua" w:cstheme="minorHAnsi"/>
        </w:rPr>
        <w:t xml:space="preserve">need </w:t>
      </w:r>
      <w:r w:rsidR="00DF2C3D" w:rsidRPr="00000DD3">
        <w:rPr>
          <w:rFonts w:ascii="Book Antiqua" w:hAnsi="Book Antiqua" w:cstheme="minorHAnsi"/>
        </w:rPr>
        <w:t xml:space="preserve">to be optimized </w:t>
      </w:r>
      <w:r w:rsidRPr="00000DD3">
        <w:rPr>
          <w:rFonts w:ascii="Book Antiqua" w:hAnsi="Book Antiqua" w:cstheme="minorHAnsi"/>
        </w:rPr>
        <w:t xml:space="preserve">for </w:t>
      </w:r>
      <w:proofErr w:type="spellStart"/>
      <w:r w:rsidRPr="00000DD3">
        <w:rPr>
          <w:rFonts w:ascii="Book Antiqua" w:hAnsi="Book Antiqua" w:cstheme="minorHAnsi"/>
        </w:rPr>
        <w:t>cMSCs</w:t>
      </w:r>
      <w:proofErr w:type="spellEnd"/>
      <w:r w:rsidRPr="00000DD3">
        <w:rPr>
          <w:rFonts w:ascii="Book Antiqua" w:hAnsi="Book Antiqua" w:cstheme="minorHAnsi"/>
        </w:rPr>
        <w:t xml:space="preserve">. Neupane </w:t>
      </w:r>
      <w:r w:rsidR="00A94D33" w:rsidRPr="00000DD3">
        <w:rPr>
          <w:rFonts w:ascii="Book Antiqua" w:eastAsia="黑体" w:hAnsi="Book Antiqua" w:cstheme="minorHAnsi" w:hint="eastAsia"/>
          <w:i/>
          <w:lang w:eastAsia="zh-CN"/>
        </w:rPr>
        <w:t xml:space="preserve">et </w:t>
      </w:r>
      <w:proofErr w:type="gramStart"/>
      <w:r w:rsidR="00A94D33" w:rsidRPr="00000DD3">
        <w:rPr>
          <w:rFonts w:ascii="Book Antiqua" w:eastAsia="黑体" w:hAnsi="Book Antiqua" w:cstheme="minorHAnsi" w:hint="eastAsia"/>
          <w:i/>
          <w:lang w:eastAsia="zh-CN"/>
        </w:rPr>
        <w:t>al</w:t>
      </w:r>
      <w:r w:rsidR="00A94D33" w:rsidRPr="00000DD3">
        <w:rPr>
          <w:rFonts w:ascii="Book Antiqua" w:eastAsia="黑体" w:hAnsi="Book Antiqua" w:cstheme="minorHAnsi" w:hint="eastAsia"/>
          <w:vertAlign w:val="superscript"/>
          <w:lang w:eastAsia="zh-CN"/>
        </w:rPr>
        <w:t>[</w:t>
      </w:r>
      <w:proofErr w:type="gramEnd"/>
      <w:r w:rsidR="00A94D33" w:rsidRPr="00000DD3">
        <w:rPr>
          <w:rFonts w:ascii="Book Antiqua" w:eastAsia="黑体" w:hAnsi="Book Antiqua" w:cstheme="minorHAnsi" w:hint="eastAsia"/>
          <w:vertAlign w:val="superscript"/>
          <w:lang w:eastAsia="zh-CN"/>
        </w:rPr>
        <w:t>68]</w:t>
      </w:r>
      <w:r w:rsidRPr="00000DD3">
        <w:rPr>
          <w:rFonts w:ascii="Book Antiqua" w:hAnsi="Book Antiqua" w:cstheme="minorHAnsi"/>
        </w:rPr>
        <w:t xml:space="preserve"> utilized rabbit serum, rosiglitazone</w:t>
      </w:r>
      <w:r w:rsidR="003A040F" w:rsidRPr="00000DD3">
        <w:rPr>
          <w:rFonts w:ascii="Book Antiqua" w:hAnsi="Book Antiqua" w:cstheme="minorHAnsi"/>
        </w:rPr>
        <w:t>,</w:t>
      </w:r>
      <w:r w:rsidRPr="00000DD3">
        <w:rPr>
          <w:rFonts w:ascii="Book Antiqua" w:hAnsi="Book Antiqua" w:cstheme="minorHAnsi"/>
        </w:rPr>
        <w:t xml:space="preserve"> and </w:t>
      </w:r>
      <w:r w:rsidR="00DF2C3D" w:rsidRPr="00000DD3">
        <w:rPr>
          <w:rFonts w:ascii="Book Antiqua" w:hAnsi="Book Antiqua" w:cstheme="minorHAnsi"/>
        </w:rPr>
        <w:t xml:space="preserve">a </w:t>
      </w:r>
      <w:r w:rsidRPr="00000DD3">
        <w:rPr>
          <w:rFonts w:ascii="Book Antiqua" w:hAnsi="Book Antiqua" w:cstheme="minorHAnsi"/>
        </w:rPr>
        <w:t>higher glucose concentration in the</w:t>
      </w:r>
      <w:r w:rsidR="00DF2C3D" w:rsidRPr="00000DD3">
        <w:rPr>
          <w:rFonts w:ascii="Book Antiqua" w:hAnsi="Book Antiqua" w:cstheme="minorHAnsi"/>
        </w:rPr>
        <w:t>ir</w:t>
      </w:r>
      <w:r w:rsidRPr="00000DD3">
        <w:rPr>
          <w:rFonts w:ascii="Book Antiqua" w:hAnsi="Book Antiqua" w:cstheme="minorHAnsi"/>
        </w:rPr>
        <w:t xml:space="preserve"> medium </w:t>
      </w:r>
      <w:r w:rsidR="00DF2C3D" w:rsidRPr="00000DD3">
        <w:rPr>
          <w:rFonts w:ascii="Book Antiqua" w:hAnsi="Book Antiqua" w:cstheme="minorHAnsi"/>
        </w:rPr>
        <w:t xml:space="preserve">to promote the </w:t>
      </w:r>
      <w:proofErr w:type="spellStart"/>
      <w:r w:rsidRPr="00000DD3">
        <w:rPr>
          <w:rFonts w:ascii="Book Antiqua" w:hAnsi="Book Antiqua" w:cstheme="minorHAnsi"/>
        </w:rPr>
        <w:t>adipogenic</w:t>
      </w:r>
      <w:proofErr w:type="spellEnd"/>
      <w:r w:rsidRPr="00000DD3">
        <w:rPr>
          <w:rFonts w:ascii="Book Antiqua" w:hAnsi="Book Antiqua" w:cstheme="minorHAnsi"/>
        </w:rPr>
        <w:t xml:space="preserve"> differentiation of AD-</w:t>
      </w:r>
      <w:proofErr w:type="spellStart"/>
      <w:r w:rsidRPr="00000DD3">
        <w:rPr>
          <w:rFonts w:ascii="Book Antiqua" w:hAnsi="Book Antiqua" w:cstheme="minorHAnsi"/>
        </w:rPr>
        <w:t>cMSCs</w:t>
      </w:r>
      <w:proofErr w:type="spellEnd"/>
      <w:r w:rsidRPr="00000DD3">
        <w:rPr>
          <w:rFonts w:ascii="Book Antiqua" w:hAnsi="Book Antiqua" w:cstheme="minorHAnsi"/>
        </w:rPr>
        <w:t xml:space="preserve">. The optimized induction medium increased </w:t>
      </w:r>
      <w:r w:rsidR="00DF2C3D" w:rsidRPr="00000DD3">
        <w:rPr>
          <w:rFonts w:ascii="Book Antiqua" w:hAnsi="Book Antiqua" w:cstheme="minorHAnsi"/>
        </w:rPr>
        <w:t xml:space="preserve">the </w:t>
      </w:r>
      <w:r w:rsidRPr="00000DD3">
        <w:rPr>
          <w:rFonts w:ascii="Book Antiqua" w:hAnsi="Book Antiqua" w:cstheme="minorHAnsi"/>
        </w:rPr>
        <w:t>numbers and size</w:t>
      </w:r>
      <w:r w:rsidR="00DF2C3D" w:rsidRPr="00000DD3">
        <w:rPr>
          <w:rFonts w:ascii="Book Antiqua" w:hAnsi="Book Antiqua" w:cstheme="minorHAnsi"/>
        </w:rPr>
        <w:t>s</w:t>
      </w:r>
      <w:r w:rsidRPr="00000DD3">
        <w:rPr>
          <w:rFonts w:ascii="Book Antiqua" w:hAnsi="Book Antiqua" w:cstheme="minorHAnsi"/>
        </w:rPr>
        <w:t xml:space="preserve"> of fat globules and </w:t>
      </w:r>
      <w:r w:rsidR="00DF2C3D" w:rsidRPr="00000DD3">
        <w:rPr>
          <w:rFonts w:ascii="Book Antiqua" w:hAnsi="Book Antiqua" w:cstheme="minorHAnsi"/>
        </w:rPr>
        <w:t xml:space="preserve">the </w:t>
      </w:r>
      <w:r w:rsidRPr="00000DD3">
        <w:rPr>
          <w:rFonts w:ascii="Book Antiqua" w:hAnsi="Book Antiqua" w:cstheme="minorHAnsi"/>
        </w:rPr>
        <w:t xml:space="preserve">expression of </w:t>
      </w:r>
      <w:proofErr w:type="spellStart"/>
      <w:r w:rsidRPr="00000DD3">
        <w:rPr>
          <w:rFonts w:ascii="Book Antiqua" w:hAnsi="Book Antiqua" w:cstheme="minorHAnsi"/>
        </w:rPr>
        <w:t>adipogenic</w:t>
      </w:r>
      <w:proofErr w:type="spellEnd"/>
      <w:r w:rsidRPr="00000DD3">
        <w:rPr>
          <w:rFonts w:ascii="Book Antiqua" w:hAnsi="Book Antiqua" w:cstheme="minorHAnsi"/>
        </w:rPr>
        <w:t xml:space="preserve"> transcription factors</w:t>
      </w:r>
      <w:r w:rsidR="00DF2C3D" w:rsidRPr="00000DD3">
        <w:rPr>
          <w:rFonts w:ascii="Book Antiqua" w:hAnsi="Book Antiqua" w:cstheme="minorHAnsi"/>
        </w:rPr>
        <w:t>,</w:t>
      </w:r>
      <w:r w:rsidRPr="00000DD3">
        <w:rPr>
          <w:rFonts w:ascii="Book Antiqua" w:hAnsi="Book Antiqua" w:cstheme="minorHAnsi"/>
        </w:rPr>
        <w:t xml:space="preserve"> such as PPARγ2, </w:t>
      </w:r>
      <w:r w:rsidR="00DF2C3D" w:rsidRPr="00000DD3">
        <w:rPr>
          <w:rFonts w:ascii="Book Antiqua" w:hAnsi="Book Antiqua" w:cstheme="minorHAnsi"/>
        </w:rPr>
        <w:t xml:space="preserve">when </w:t>
      </w:r>
      <w:r w:rsidRPr="00000DD3">
        <w:rPr>
          <w:rFonts w:ascii="Book Antiqua" w:hAnsi="Book Antiqua" w:cstheme="minorHAnsi"/>
        </w:rPr>
        <w:t xml:space="preserve">compared to the conventional </w:t>
      </w:r>
      <w:proofErr w:type="spellStart"/>
      <w:r w:rsidRPr="00000DD3">
        <w:rPr>
          <w:rFonts w:ascii="Book Antiqua" w:hAnsi="Book Antiqua" w:cstheme="minorHAnsi"/>
        </w:rPr>
        <w:t>adipogenic</w:t>
      </w:r>
      <w:proofErr w:type="spellEnd"/>
      <w:r w:rsidRPr="00000DD3">
        <w:rPr>
          <w:rFonts w:ascii="Book Antiqua" w:hAnsi="Book Antiqua" w:cstheme="minorHAnsi"/>
        </w:rPr>
        <w:t xml:space="preserve"> differentiation medium </w:t>
      </w:r>
      <w:r w:rsidR="00DF2C3D" w:rsidRPr="00000DD3">
        <w:rPr>
          <w:rFonts w:ascii="Book Antiqua" w:hAnsi="Book Antiqua" w:cstheme="minorHAnsi"/>
        </w:rPr>
        <w:t xml:space="preserve">used </w:t>
      </w:r>
      <w:r w:rsidRPr="00000DD3">
        <w:rPr>
          <w:rFonts w:ascii="Book Antiqua" w:hAnsi="Book Antiqua" w:cstheme="minorHAnsi"/>
        </w:rPr>
        <w:t>for human MSCs</w:t>
      </w:r>
      <w:r w:rsidRPr="00000DD3">
        <w:rPr>
          <w:rFonts w:ascii="Book Antiqua" w:hAnsi="Book Antiqua" w:cstheme="minorHAnsi"/>
        </w:rPr>
        <w:fldChar w:fldCharType="begin" w:fldLock="1"/>
      </w:r>
      <w:r w:rsidR="006A3361" w:rsidRPr="00000DD3">
        <w:rPr>
          <w:rFonts w:ascii="Book Antiqua" w:hAnsi="Book Antiqua" w:cstheme="minorHAnsi"/>
        </w:rPr>
        <w:instrText>ADDIN CSL_CITATION {"citationItems":[{"id":"ITEM-1","itemData":{"DOI":"10.1089/ten.tea.2007.0207","ISBN":"1937-3341 (Print)","ISSN":"1937-3341","PMID":"19230125","abstract":"This study is the first documentation of the isolation and extensive characterization of mesenchymal stem cells from canine adipose tissue. Methods previously used by our group to isolate and differentiate human adipose-derived mesenchymal stem cells (hAD-MSCs) have been modified and optimized for derivation of similar cells from canine adipose tissues. The canine adipose tissue-derived mesenchymal stem cells (cAD-MSCs) showed lower proliferation ability and were refractory to osteogenic and adipogenic differentiation under conditions employed to differentiate hAD-MSCs. The differentiation of cAD-MSCs into osteoblasts and adipocytes was effectively achieved under modified conditions, by using laminin-coated plates and peroxisome proliferative activated receptor, gamma (PPARgamma) ligands, respectively. The formation of micromass was sufficient to induce chondrogenesis, unlike hAD-MSCs, which require transforming growth factor beta (TGF-beta). These cells displayed anchorage-independent growth in soft agar, and their colony-forming efficiency in plastic was comparable with human counterparts. The cAD-MSCs expressed genes associated with pluripotency, while their differentiated progeny expressed appropriate lineage-specific genes. The optimization of growth and differentiation of cAD-MSCs should facilitate future stem cell-based reparative and regenerative studies in dogs. The dog is a promising biomedical model that is suitable for evaluation of novel therapies such as those employing stem cells in experimental and in spontaneous disease settings.","author":[{"dropping-particle":"","family":"Neupane","given":"Manish","non-dropping-particle":"","parse-names":false,"suffix":""},{"dropping-particle":"","family":"Chang","given":"Chia Cheng","non-dropping-particle":"","parse-names":false,"suffix":""},{"dropping-particle":"","family":"Kiupel","given":"Matti","non-dropping-particle":"","parse-names":false,"suffix":""},{"dropping-particle":"","family":"Yuzbasiyan-Gurkan","given":"Vilma","non-dropping-particle":"","parse-names":false,"suffix":""}],"container-title":"Tissue Engineering Part A","id":"ITEM-1","issue":"6","issued":{"date-parts":[["2008"]]},"page":"1007-1015","title":"Isolation and characterization of canine adipose–derived mesenchymal stem cells","type":"article-journal","volume":"14"},"uris":["http://www.mendeley.com/documents/?uuid=b7420c69-d164-48bd-8d2a-53f203867c3e"]}],"mendeley":{"formattedCitation":"&lt;sup&gt;[68]&lt;/sup&gt;","plainTextFormattedCitation":"[68]","previouslyFormattedCitation":"&lt;sup&gt;[68]&lt;/sup&gt;"},"properties":{"noteIndex":0},"schema":"https://github.com/citation-style-language/schema/raw/master/csl-citation.json"}</w:instrText>
      </w:r>
      <w:r w:rsidRPr="00000DD3">
        <w:rPr>
          <w:rFonts w:ascii="Book Antiqua" w:hAnsi="Book Antiqua" w:cstheme="minorHAnsi"/>
        </w:rPr>
        <w:fldChar w:fldCharType="separate"/>
      </w:r>
      <w:r w:rsidR="007D3D74" w:rsidRPr="00000DD3">
        <w:rPr>
          <w:rFonts w:ascii="Book Antiqua" w:hAnsi="Book Antiqua" w:cstheme="minorHAnsi"/>
          <w:noProof/>
          <w:vertAlign w:val="superscript"/>
        </w:rPr>
        <w:t>[68]</w:t>
      </w:r>
      <w:r w:rsidRPr="00000DD3">
        <w:rPr>
          <w:rFonts w:ascii="Book Antiqua" w:hAnsi="Book Antiqua" w:cstheme="minorHAnsi"/>
        </w:rPr>
        <w:fldChar w:fldCharType="end"/>
      </w:r>
      <w:r w:rsidRPr="00000DD3">
        <w:rPr>
          <w:rFonts w:ascii="Book Antiqua" w:hAnsi="Book Antiqua" w:cstheme="minorHAnsi"/>
        </w:rPr>
        <w:t xml:space="preserve">. </w:t>
      </w:r>
      <w:r w:rsidR="00DF2C3D" w:rsidRPr="00000DD3">
        <w:rPr>
          <w:rFonts w:ascii="Book Antiqua" w:hAnsi="Book Antiqua" w:cstheme="minorHAnsi"/>
        </w:rPr>
        <w:t xml:space="preserve">A higher </w:t>
      </w:r>
      <w:proofErr w:type="spellStart"/>
      <w:r w:rsidR="00DF2C3D" w:rsidRPr="00000DD3">
        <w:rPr>
          <w:rFonts w:ascii="Book Antiqua" w:hAnsi="Book Antiqua" w:cstheme="minorHAnsi"/>
        </w:rPr>
        <w:t>a</w:t>
      </w:r>
      <w:r w:rsidRPr="00000DD3">
        <w:rPr>
          <w:rFonts w:ascii="Book Antiqua" w:hAnsi="Book Antiqua" w:cstheme="minorHAnsi"/>
        </w:rPr>
        <w:t>dipogenic</w:t>
      </w:r>
      <w:proofErr w:type="spellEnd"/>
      <w:r w:rsidRPr="00000DD3">
        <w:rPr>
          <w:rFonts w:ascii="Book Antiqua" w:hAnsi="Book Antiqua" w:cstheme="minorHAnsi"/>
        </w:rPr>
        <w:t xml:space="preserve"> differentiation ability</w:t>
      </w:r>
      <w:r w:rsidR="00DF2C3D" w:rsidRPr="00000DD3">
        <w:rPr>
          <w:rFonts w:ascii="Book Antiqua" w:hAnsi="Book Antiqua" w:cstheme="minorHAnsi"/>
        </w:rPr>
        <w:t xml:space="preserve"> has been reported for</w:t>
      </w:r>
      <w:r w:rsidRPr="00000DD3">
        <w:rPr>
          <w:rFonts w:ascii="Book Antiqua" w:hAnsi="Book Antiqua" w:cstheme="minorHAnsi"/>
        </w:rPr>
        <w:t xml:space="preserve"> AD-</w:t>
      </w:r>
      <w:proofErr w:type="spellStart"/>
      <w:r w:rsidRPr="00000DD3">
        <w:rPr>
          <w:rFonts w:ascii="Book Antiqua" w:hAnsi="Book Antiqua" w:cstheme="minorHAnsi"/>
        </w:rPr>
        <w:t>cMSCs</w:t>
      </w:r>
      <w:proofErr w:type="spellEnd"/>
      <w:r w:rsidRPr="00000DD3">
        <w:rPr>
          <w:rFonts w:ascii="Book Antiqua" w:hAnsi="Book Antiqua" w:cstheme="minorHAnsi"/>
        </w:rPr>
        <w:t xml:space="preserve"> and IF-</w:t>
      </w:r>
      <w:proofErr w:type="spellStart"/>
      <w:r w:rsidR="0022207C" w:rsidRPr="00000DD3">
        <w:rPr>
          <w:rFonts w:ascii="Book Antiqua" w:hAnsi="Book Antiqua" w:cstheme="minorHAnsi"/>
        </w:rPr>
        <w:t>c</w:t>
      </w:r>
      <w:r w:rsidRPr="00000DD3">
        <w:rPr>
          <w:rFonts w:ascii="Book Antiqua" w:hAnsi="Book Antiqua" w:cstheme="minorHAnsi"/>
        </w:rPr>
        <w:t>MSCs</w:t>
      </w:r>
      <w:proofErr w:type="spellEnd"/>
      <w:r w:rsidRPr="00000DD3">
        <w:rPr>
          <w:rFonts w:ascii="Book Antiqua" w:hAnsi="Book Antiqua" w:cstheme="minorHAnsi"/>
        </w:rPr>
        <w:t xml:space="preserve"> than </w:t>
      </w:r>
      <w:r w:rsidR="006D5231" w:rsidRPr="00000DD3">
        <w:rPr>
          <w:rFonts w:ascii="Book Antiqua" w:hAnsi="Book Antiqua" w:cstheme="minorHAnsi"/>
        </w:rPr>
        <w:t>for</w:t>
      </w:r>
      <w:r w:rsidRPr="00000DD3">
        <w:rPr>
          <w:rFonts w:ascii="Book Antiqua" w:hAnsi="Book Antiqua" w:cstheme="minorHAnsi"/>
        </w:rPr>
        <w:t xml:space="preserve"> BM-</w:t>
      </w:r>
      <w:proofErr w:type="spellStart"/>
      <w:r w:rsidRPr="00000DD3">
        <w:rPr>
          <w:rFonts w:ascii="Book Antiqua" w:hAnsi="Book Antiqua" w:cstheme="minorHAnsi"/>
        </w:rPr>
        <w:t>cMSCs</w:t>
      </w:r>
      <w:proofErr w:type="spellEnd"/>
      <w:r w:rsidRPr="00000DD3">
        <w:rPr>
          <w:rFonts w:ascii="Book Antiqua" w:hAnsi="Book Antiqua" w:cstheme="minorHAnsi"/>
        </w:rPr>
        <w:t xml:space="preserve"> and Sy-</w:t>
      </w:r>
      <w:proofErr w:type="spellStart"/>
      <w:r w:rsidRPr="00000DD3">
        <w:rPr>
          <w:rFonts w:ascii="Book Antiqua" w:hAnsi="Book Antiqua" w:cstheme="minorHAnsi"/>
        </w:rPr>
        <w:t>cMSCs</w:t>
      </w:r>
      <w:proofErr w:type="spellEnd"/>
      <w:r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{"citationItems":[{"id":"ITEM-1","itemData":{"DOI":"10.1371/journal.pone.0202922","ISBN":"1111111111","ISSN":"19326203","PMID":"30138399","abstract":"Osteoarthritis (OA), a common chronic joint disorder in both humans and canines, is characterized by a progressive loss of articular cartilage. Canines can serve as an animal model of OA for human medicine, and this research can simultaneously establish effective veterinary treatments for canine OA. One attractive treatment that can lead to cartilage regeneration is the use of mesenchymal stem cells (MSCs). However, for canine OA, little information is available regarding the best source of MSCs. The purpose of this study was to identify a promising MSC source for canine cartilage regeneration. We collected synovial, infrapatellar fat pad, inguinal adipose, and bone marrow tissues from six canines and then conducted a donor-matched comparison of the properties of MSCs derived from these four tissues. We examined the surface epitope expression, proliferation capacity, and trilineage differentiation potential of all four populations. Adherent cells derived from all four tissue sources exhibited positivity for CD90 and CD44 and negativity for CD45 and CD11b. The positive rate for CD90 was higher for synovium-derived than for adipose-derived and bone marrow-derived MSCs. Synovium-derived and infrapatellar fat pad-derived MSCs displayed substantial proliferation ability, and all four populations underwent trilineage differentiation. During chondrogenesis, the wet weight was heavier for cartilage pellets derived from synovium MSCs than from the other three sources. The synovium is therefore a promising source for MSCs for canine cartilage regeneration. Our findings provide useful information about canine MSCs that may be applicable to regenerative medicine for treatment of OA.","author":[{"dropping-particle":"","family":"Sasaki","given":"Akari","non-dropping-particle":"","parse-names":false,"suffix":""},{"dropping-particle":"","family":"Mizuno","given":"Mitsuru","non-dropping-particle":"","parse-names":false,"suffix":""},{"dropping-particle":"","family":"Ozeki","given":"Nobutake","non-dropping-particle":"","parse-names":false,"suffix":""},{"dropping-particle":"","family":"Katano","given":"Hisako","non-dropping-particle":"","parse-names":false,"suffix":""},{"dropping-particle":"","family":"Otabe","given":"Koji","non-dropping-particle":"","parse-names":false,"suffix":""},{"dropping-particle":"","family":"Tsuji","given":"Kunikazu","non-dropping-particle":"","parse-names":false,"suffix":""},{"dropping-particle":"","family":"Koga","given":"Hideyuki","non-dropping-particle":"","parse-names":false,"suffix":""},{"dropping-particle":"","family":"Mochizuki","given":"Manabu","non-dropping-particle":"","parse-names":false,"suffix":""},{"dropping-particle":"","family":"Sekiya","given":"Ichiro","non-dropping-particle":"","parse-names":false,"suffix":""}],"container-title":"PLoS ONE","id":"ITEM-1","issue":"8","issued":{"date-parts":[["2018"]]},"page":"1-20","title":"Canine mesenchymal stem cells from synovium have a higher chondrogenic potential than those from infrapatellar fat pad, adipose tissue, and bone marrow","type":"article-journal","volume":"13"},"uris":["http://www.mendeley.com/documents/?uuid=06e018b3-4bb7-4b65-8c48-df24ad3c85ac"]},{"id":"ITEM-2","itemData":{"DOI":"10.1016/j.vetimm.2014.06.002","ISBN":"1873-2534 (Electronic)\\r0165-2427 (Linking)","ISSN":"18732534","PMID":"25026887","abstract":"Veterinary adult stem cell therapy is an emerging area of basic and clinical research. Like their human counterparts, veterinary mesenchymal stem cells (MSCs) offer many potential therapeutic benefits. The characterization of canine-derived MSCs, however, is poorly defined compared to human MSCs. Furthermore, little consensus exists regarding the expression of canine MSC cell surface markers. To address this issue, this study investigated characteristics of cultured canine MSCs derived from both adipose tissue and bone marrow. The canine MSCs were obtained from donors of various breeds and ages. A panel of cell surface markers for canine MSCs was selected based on current human and canine literature and the availability of canine-reactive antibodies. Using flow cytometry, canine MSCs were defined to be CD90+CD44+MHC I+CD14-CD29-CD34-MHC II-. Canine MSCs were further characterized using real-time RT-PCR as CD105+CD73+CD14+CD29+MHC II+CD45- at the mRNA level. Among these markers, canine MSCs differed from canine peripheral blood mononuclear cells (PBMCs) by the absence of CD45 expression at the mRNA level. A novel high-throughput canine-specific PCR array was developed and used to identify changes in the gene expression profiles of canine MSCs. Genes including PTPRC, TNF, β2M, TGFβ1, and PDGFRβ, were identified as unique to canine MSCs as compared to canine PBMCs. Our findings will facilitate characterization of canine MSCs for use in research and clinical trials. Moreover, the high-throughput PCR array is a novel tool for characterizing canine MSCs isolated from different tissues and potentially from different laboratories. © 2014.","author":[{"dropping-particle":"","family":"Screven","given":"Rudell","non-dropping-particle":"","parse-names":false,"suffix":""},{"dropping-particle":"","family":"Kenyon","given":"Elizabeth","non-dropping-particle":"","parse-names":false,"suffix":""},{"dropping-particle":"","family":"Myers","given":"Michael J.","non-dropping-particle":"","parse-names":false,"suffix":""},{"dropping-particle":"","family":"Yancy","given":"Haile F.","non-dropping-particle":"","parse-names":false,"suffix":""},{"dropping-particle":"","family":"Skasko","given":"Mark","non-dropping-particle":"","parse-names":false,"suffix":""},{"dropping-particle":"","family":"Boxer","given":"Lynne","non-dropping-particle":"","parse-names":false,"suffix":""},{"dropping-particle":"","family":"Bigley","given":"Elmer C.","non-dropping-particle":"","parse-names":false,"suffix":""},{"dropping-particle":"","family":"Borjesson","given":"Dori L.","non-dropping-particle":"","parse-names":false,"suffix":""},{"dropping-particle":"","family":"Zhu","given":"Min","non-dropping-particle":"","parse-names":false,"suffix":""}],"container-title":"Veterinary Immunology and Immunopathology","id":"ITEM-2","issue":"1-2","issued":{"date-parts":[["2014"]]},"page":"21-31","title":"Immunophenotype and gene expression profile of mesenchymal stem cells derived from canine adipose tissue and bone marrow","type":"article-journal","volume":"161"},"uris":["http://www.mendeley.com/documents/?uuid=d5727772-1149-314b-a927-8edbfbb7a0f2"]},{"id":"ITEM-3","itemData":{"DOI":"10.1186/s13287-017-0639-6","ISSN":"17576512","PMID":"28974260","abstract":"BACKGROUND The dog represents an excellent large animal model for translational cell-based studies. Importantly, the properties of canine multipotent stromal cells (cMSCs) and the ideal tissue source for specific translational studies have yet to be established. The aim of this study was to characterize cMSCs derived from synovium, bone marrow, and adipose tissue using a donor-matched study design and a comprehensive series of in-vitro characterization, differentiation, and immunomodulation assays. METHODS Canine MSCs were isolated from five dogs with cranial cruciate ligament rupture. All 15 cMSC preparations were evaluated using colony forming unit (CFU) assays, flow cytometry analysis, RT-PCR for pluripotency-associated genes, proliferation assays, trilineage differentiation assays, and immunomodulation assays. Data were reported as mean</w:instrText>
      </w:r>
      <w:r w:rsidR="00073C18" w:rsidRPr="00000DD3">
        <w:rPr>
          <w:rFonts w:ascii="Times New Roman" w:hAnsi="Times New Roman" w:cs="Times New Roman"/>
        </w:rPr>
        <w:instrText> </w:instrText>
      </w:r>
      <w:r w:rsidR="00073C18" w:rsidRPr="00000DD3">
        <w:rPr>
          <w:rFonts w:ascii="Book Antiqua" w:hAnsi="Book Antiqua" w:cstheme="minorHAnsi"/>
        </w:rPr>
        <w:instrText>±</w:instrText>
      </w:r>
      <w:r w:rsidR="00073C18" w:rsidRPr="00000DD3">
        <w:rPr>
          <w:rFonts w:ascii="Times New Roman" w:hAnsi="Times New Roman" w:cs="Times New Roman"/>
        </w:rPr>
        <w:instrText> </w:instrText>
      </w:r>
      <w:r w:rsidR="00073C18" w:rsidRPr="00000DD3">
        <w:rPr>
          <w:rFonts w:ascii="Book Antiqua" w:hAnsi="Book Antiqua" w:cstheme="minorHAnsi"/>
        </w:rPr>
        <w:instrText>standard deviation and compared using repeated-measures analysis of variance and Tukey post-hoc test. Significance was established at p</w:instrText>
      </w:r>
      <w:r w:rsidR="00073C18" w:rsidRPr="00000DD3">
        <w:rPr>
          <w:rFonts w:ascii="Times New Roman" w:hAnsi="Times New Roman" w:cs="Times New Roman"/>
        </w:rPr>
        <w:instrText> </w:instrText>
      </w:r>
      <w:r w:rsidR="00073C18" w:rsidRPr="00000DD3">
        <w:rPr>
          <w:rFonts w:ascii="Book Antiqua" w:hAnsi="Book Antiqua" w:cstheme="minorHAnsi"/>
        </w:rPr>
        <w:instrText>&lt;</w:instrText>
      </w:r>
      <w:r w:rsidR="00073C18" w:rsidRPr="00000DD3">
        <w:rPr>
          <w:rFonts w:ascii="Times New Roman" w:hAnsi="Times New Roman" w:cs="Times New Roman"/>
        </w:rPr>
        <w:instrText> </w:instrText>
      </w:r>
      <w:r w:rsidR="00073C18" w:rsidRPr="00000DD3">
        <w:rPr>
          <w:rFonts w:ascii="Book Antiqua" w:hAnsi="Book Antiqua" w:cstheme="minorHAnsi"/>
        </w:rPr>
        <w:instrText>0.05. RESULTS All tissue samples produced plastic adherent, spindle-shaped preparations of cMSCs. Cells were negative for CD34, CD45, and STRO-1 and positive for CD9, CD44, and CD90, whereas the degree to which cells were positive for CD105 was variable depending on tissue of origin. Cells were positive for the pluripotency-associated genes NANOG, OCT4, and SOX2. Accounting for donor and tissue sources, there were significant differences in CFU potential, rate of proliferation, trilineage differentiation, and immunomodulatory response. Synovium and marrow cMSCs exhibited superior early osteogenic activity, but when assessing late-stage osteogenesis no significant differences were detected. Interestingly, bone morphogenic protein-2 (BMP-2) supplementation was necessary for early-stage and late-stage osteogenic differentiation, a finding consistent with other canine studies. Additionally, synovium and adipose cMSCs proliferated more rapidly, displayed higher CFU potential, and formed larger aggregates in chondrogenic assays, although proteoglycan and collagen type II staining were subjectively decreased in adipose pellets as compared to synovial and marrow pellets. Lastly, cMSCs derived from all three tissue sources modulated murine macrophage TNF-α and IL-6 levels in a lipopolysaccharide-stimulated coculture assay. CONCLUSIONS While cMSCs from synovium, marrow, and adipose tissue share a number of similarities, important differences in proliferation and trilineage differentiation …","author":[{"dropping-particle":"","family":"Bearden","given":"Robert N.","non-dropping-particle":"","parse-names":false,"suffix":""},{"dropping-particle":"","family":"Huggins","given":"Shannon S.","non-dropping-particle":"","parse-names":false,"suffix":""},{"dropping-particle":"","family":"Cummings","given":"Kevin J.","non-dropping-particle":"","parse-names":false,"suffix":""},{"dropping-particle":"","family":"Smith","given":"Roger","non-dropping-particle":"","parse-names":false,"suffix":""},{"dropping-particle":"","family":"Gregory","given":"Carl A.","non-dropping-particle":"","parse-names":false,"suffix":""},{"dropping-particle":"","family":"Saunders","given":"William B.","non-dropping-particle":"","parse-names":false,"suffix":""}],"container-title":"Stem Cell Research and Therapy","id":"ITEM-3","issue":"1","issued":{"date-parts":[["2017"]]},"page":"1-22","publisher":"Stem Cell Research &amp; Therapy","title":"In-vitro characterization of canine multipotent stromal cells isolated from synovium, bone marrow, and adipose tissue: A donor-matched comparative study","type":"article-journal","volume":"8"},"uris":["http://www.mendeley.com/documents/?uuid=93ce5912-c717-4e45-a0d6-6e2eb38783bb"]}],"mendeley":{"formattedCitation":"&lt;sup&gt;[40,49,53]&lt;/sup&gt;","plainTextFormattedCitation":"[40,49,53]","previouslyFormattedCitation":"&lt;sup&gt;[40,49,53]&lt;/sup&gt;"},"properties":{"noteIndex":0},"schema":"https://github.com/citation-style-language/schema/raw/master/csl-citation.json"}</w:instrText>
      </w:r>
      <w:r w:rsidRPr="00000DD3">
        <w:rPr>
          <w:rFonts w:ascii="Book Antiqua" w:hAnsi="Book Antiqua" w:cstheme="minorHAnsi"/>
        </w:rPr>
        <w:fldChar w:fldCharType="separate"/>
      </w:r>
      <w:r w:rsidR="00BC68DD" w:rsidRPr="00000DD3">
        <w:rPr>
          <w:rFonts w:ascii="Book Antiqua" w:hAnsi="Book Antiqua" w:cstheme="minorHAnsi"/>
          <w:noProof/>
          <w:vertAlign w:val="superscript"/>
        </w:rPr>
        <w:t>[40,49,53]</w:t>
      </w:r>
      <w:r w:rsidRPr="00000DD3">
        <w:rPr>
          <w:rFonts w:ascii="Book Antiqua" w:hAnsi="Book Antiqua" w:cstheme="minorHAnsi"/>
        </w:rPr>
        <w:fldChar w:fldCharType="end"/>
      </w:r>
      <w:r w:rsidRPr="00000DD3">
        <w:rPr>
          <w:rFonts w:ascii="Book Antiqua" w:hAnsi="Book Antiqua" w:cstheme="minorHAnsi"/>
        </w:rPr>
        <w:t xml:space="preserve">. </w:t>
      </w:r>
    </w:p>
    <w:p w14:paraId="18CB9A53" w14:textId="18DE66F0" w:rsidR="00D83884" w:rsidRPr="00000DD3" w:rsidRDefault="006D5231" w:rsidP="009E6380">
      <w:pPr>
        <w:spacing w:line="360" w:lineRule="auto"/>
        <w:ind w:firstLineChars="100" w:firstLine="240"/>
        <w:jc w:val="both"/>
        <w:rPr>
          <w:rFonts w:ascii="Book Antiqua" w:hAnsi="Book Antiqua" w:cstheme="minorHAnsi"/>
        </w:rPr>
      </w:pPr>
      <w:r w:rsidRPr="00000DD3">
        <w:rPr>
          <w:rFonts w:ascii="Book Antiqua" w:hAnsi="Book Antiqua" w:cstheme="minorHAnsi"/>
        </w:rPr>
        <w:t xml:space="preserve">During </w:t>
      </w:r>
      <w:r w:rsidR="009B2947" w:rsidRPr="00000DD3">
        <w:rPr>
          <w:rFonts w:ascii="Book Antiqua" w:hAnsi="Book Antiqua" w:cstheme="minorHAnsi"/>
        </w:rPr>
        <w:t xml:space="preserve">osteogenic differentiation, the morphology of </w:t>
      </w:r>
      <w:proofErr w:type="spellStart"/>
      <w:r w:rsidR="009B2947" w:rsidRPr="00000DD3">
        <w:rPr>
          <w:rFonts w:ascii="Book Antiqua" w:hAnsi="Book Antiqua" w:cstheme="minorHAnsi"/>
        </w:rPr>
        <w:t>cMSCs</w:t>
      </w:r>
      <w:proofErr w:type="spellEnd"/>
      <w:r w:rsidR="009B2947" w:rsidRPr="00000DD3">
        <w:rPr>
          <w:rFonts w:ascii="Book Antiqua" w:hAnsi="Book Antiqua" w:cstheme="minorHAnsi"/>
        </w:rPr>
        <w:t xml:space="preserve"> </w:t>
      </w:r>
      <w:r w:rsidRPr="00000DD3">
        <w:rPr>
          <w:rFonts w:ascii="Book Antiqua" w:hAnsi="Book Antiqua" w:cstheme="minorHAnsi"/>
        </w:rPr>
        <w:t xml:space="preserve">progresses </w:t>
      </w:r>
      <w:r w:rsidR="009B2947" w:rsidRPr="00000DD3">
        <w:rPr>
          <w:rFonts w:ascii="Book Antiqua" w:hAnsi="Book Antiqua" w:cstheme="minorHAnsi"/>
        </w:rPr>
        <w:t xml:space="preserve">from a fibroblast-like shape to a cuboidal-like appearance, </w:t>
      </w:r>
      <w:r w:rsidRPr="00000DD3">
        <w:rPr>
          <w:rFonts w:ascii="Book Antiqua" w:hAnsi="Book Antiqua" w:cstheme="minorHAnsi"/>
        </w:rPr>
        <w:t>together with the formation of</w:t>
      </w:r>
      <w:r w:rsidR="009B2947" w:rsidRPr="00000DD3">
        <w:rPr>
          <w:rFonts w:ascii="Book Antiqua" w:hAnsi="Book Antiqua" w:cstheme="minorHAnsi"/>
        </w:rPr>
        <w:t xml:space="preserve"> aggregates </w:t>
      </w:r>
      <w:r w:rsidRPr="00000DD3">
        <w:rPr>
          <w:rFonts w:ascii="Book Antiqua" w:hAnsi="Book Antiqua" w:cstheme="minorHAnsi"/>
        </w:rPr>
        <w:t xml:space="preserve">that </w:t>
      </w:r>
      <w:r w:rsidR="009B2947" w:rsidRPr="00000DD3">
        <w:rPr>
          <w:rFonts w:ascii="Book Antiqua" w:hAnsi="Book Antiqua" w:cstheme="minorHAnsi"/>
        </w:rPr>
        <w:t xml:space="preserve">stain with </w:t>
      </w:r>
      <w:r w:rsidR="00B10803" w:rsidRPr="00000DD3">
        <w:rPr>
          <w:rFonts w:ascii="Book Antiqua" w:hAnsi="Book Antiqua" w:cstheme="minorHAnsi"/>
        </w:rPr>
        <w:t>v</w:t>
      </w:r>
      <w:r w:rsidR="009B2947" w:rsidRPr="00000DD3">
        <w:rPr>
          <w:rFonts w:ascii="Book Antiqua" w:hAnsi="Book Antiqua" w:cstheme="minorHAnsi"/>
        </w:rPr>
        <w:t xml:space="preserve">on </w:t>
      </w:r>
      <w:proofErr w:type="spellStart"/>
      <w:r w:rsidR="009B2947" w:rsidRPr="00000DD3">
        <w:rPr>
          <w:rFonts w:ascii="Book Antiqua" w:hAnsi="Book Antiqua" w:cstheme="minorHAnsi"/>
        </w:rPr>
        <w:t>Kossa</w:t>
      </w:r>
      <w:proofErr w:type="spellEnd"/>
      <w:r w:rsidR="009B2947" w:rsidRPr="00000DD3">
        <w:rPr>
          <w:rFonts w:ascii="Book Antiqua" w:hAnsi="Book Antiqua" w:cstheme="minorHAnsi"/>
        </w:rPr>
        <w:t xml:space="preserve"> or </w:t>
      </w:r>
      <w:r w:rsidR="00B10803" w:rsidRPr="00000DD3">
        <w:rPr>
          <w:rFonts w:ascii="Book Antiqua" w:hAnsi="Book Antiqua" w:cstheme="minorHAnsi"/>
        </w:rPr>
        <w:t>a</w:t>
      </w:r>
      <w:r w:rsidR="009B2947" w:rsidRPr="00000DD3">
        <w:rPr>
          <w:rFonts w:ascii="Book Antiqua" w:hAnsi="Book Antiqua" w:cstheme="minorHAnsi"/>
        </w:rPr>
        <w:t>lizarin red st</w:t>
      </w:r>
      <w:r w:rsidR="00F8260A" w:rsidRPr="00000DD3">
        <w:rPr>
          <w:rFonts w:ascii="Book Antiqua" w:hAnsi="Book Antiqua" w:cstheme="minorHAnsi"/>
        </w:rPr>
        <w:t>a</w:t>
      </w:r>
      <w:r w:rsidR="009B2947" w:rsidRPr="00000DD3">
        <w:rPr>
          <w:rFonts w:ascii="Book Antiqua" w:hAnsi="Book Antiqua" w:cstheme="minorHAnsi"/>
        </w:rPr>
        <w:t>in</w:t>
      </w:r>
      <w:r w:rsidR="00421B62" w:rsidRPr="00000DD3">
        <w:rPr>
          <w:rFonts w:ascii="Book Antiqua" w:hAnsi="Book Antiqua" w:cstheme="minorHAnsi"/>
        </w:rPr>
        <w:t>s</w:t>
      </w:r>
      <w:r w:rsidR="009B2947" w:rsidRPr="00000DD3">
        <w:rPr>
          <w:rFonts w:ascii="Book Antiqua" w:hAnsi="Book Antiqua" w:cstheme="minorHAnsi"/>
        </w:rPr>
        <w:fldChar w:fldCharType="begin" w:fldLock="1"/>
      </w:r>
      <w:r w:rsidR="006A3361" w:rsidRPr="00000DD3">
        <w:rPr>
          <w:rFonts w:ascii="Book Antiqua" w:hAnsi="Book Antiqua" w:cstheme="minorHAnsi"/>
        </w:rPr>
        <w:instrText>ADDIN CSL_CITATION {"citationItems":[{"id":"ITEM-1","itemData":{"DOI":"10.2460/ajvr.73.8.1305.","PMID":"22849692","abstract":"Objective—To isolate and characterize mesenchymal stem cells (MSCs) from canine muscle and periosteum and compare proliferative capacities of bone marrow–, adipose tissue–, muscle-, and periosteum-derived MSCs (BMSCs, AMSCs, MMSCs, and PMSCs, respectively). Sample—7 canine cadavers. Procedures—MSCs were characterized on the basis of morphology, immunofluorescence of MSC-associated cell surface markers, and expression of pluripotency-associated tran- scription factors. Morphological and histochemical methods were used to evaluate differen- tiation of MSCs cultured in adipogenic, osteogenic, and chondrogenic media. Messenger ri- bonucleic acid expression of alkaline phosphatase, RUNX2, OSTERIX, and OSTEOPONTIN were evaluated as markers for osteogenic differentiation. Passage-1 MSCs were counted at 24, 48, 72, and 96 hours to determine tissue-specific MSC proliferative capacity. Mes- enchymal stem cell yield per gram of tissue was calculated for confluent passage-1 MSCs. Results—Successful isolation of BMSCs, AMSCs, MMSCs, and PMSCs was determined on the basis of morphology; expression of CD44 and CD90; no expression of CD34 and CD45; mRNA expression of SOX2, OCT4, and NANOG; and adipogenic and osteogenic differentiation. Proliferative capacity was not significantly different among BMSCs, AMSCs, MMSCs, and PMSCs over a 4-day culture period. Periosteum provided a significantly higher MSC yield per gram of tissue once confluent in passage 1 (mean ± SD of 19,400,000 ± 12,800,000 of PMSCs/g of periosteum obtained in a mean ± SD of 13 ± 1.64 days). Conclusions and Clinical Relevance—Results indicated that canine muscle and perios- teum may be sources of MSCs. Periosteum was a superior tissue source for MSC yield and may be useful in allogenic applications.","author":[{"dropping-particle":"","family":"Kisiel","given":"Agatha H.","non-dropping-particle":"","parse-names":false,"suffix":""},{"dropping-particle":"","family":"McDuffee","given":"Laurie A.","non-dropping-particle":"","parse-names":false,"suffix":""},{"dropping-particle":"","family":"Masaoud","given":"Elmabrok","non-dropping-particle":"","parse-names":false,"suffix":""},{"dropping-particle":"","family":"Bailey","given":"Trina R.","non-dropping-particle":"","parse-names":false,"suffix":""},{"dropping-particle":"","family":"Esparza Gonzalez","given":"Blanca P.","non-dropping-particle":"","parse-names":false,"suffix":""},{"dropping-particle":"","family":"Nino-Fong","given":"Rodolfo","non-dropping-particle":"","parse-names":false,"suffix":""}],"container-title":"American Journal of Veterinary Research","id":"ITEM-1","issue":"8","issued":{"date-parts":[["2012"]]},"page":"1305-1317","title":"Isolation, characterization, and in vitro proliferation of canine mesenchymal stem cells derived from bone marrow, adipose tissue, muscle, and periosteum","type":"article-journal","volume":"73"},"uris":["http://www.mendeley.com/documents/?uuid=7bff95f3-df21-3442-af2c-0336a7a37c96"]},{"id":"ITEM-2","itemData":{"DOI":"10.1002/cbin.10090","ISBN":"1065-6995","ISSN":"10656995","PMID":"23505013","abstract":"Adipose tissue as a stem cell source is ubiquitously available and has several advantages compared to other sources, for example it is easily accessible in large quantities with minimal invasive harvesting procedure, and isolation of adipose-derived mesenchymal stem cells (MSCs) yields a high amount of stem cells, essential for stem cell-based therapies and tissue engineering. We have explored the effect of donor age, and the anatomical origin of the adipose tissue on several aspects of MSCs in dogs, such as cell yield, proliferative ability, multi-differentiation potential, colony-forming capacity, stemness marker expression. We also assessed the effect of cell passaging on the MSCs stemness. We found that the anatomical origin of the adipose tissue and the age of donors have effects only on the proliferative capacity of the MSCs. Moreover, cells show a progressive loss of the stemness characteristics with passages. Cell therapies need a suitable number of cells to use in clinical applications. Characterization of MSCs at different passages, allowed us to demonstrate that, under our culture conditions, the best quantitative and qualitative characteristics are obtained at early passages. Adult MSCs are of particular interest for the therapeutic approach to musculoskeletal diseases, and the dog provides an excellent preclinical model for the development of new approaches in regenerative medicine that might be applied to humans.","author":[{"dropping-particle":"","family":"Guercio","given":"Annalisa","non-dropping-particle":"","parse-names":false,"suffix":""},{"dropping-particle":"","family":"Bella","given":"Santina","non-dropping-particle":"Di","parse-names":false,"suffix":""},{"dropping-particle":"","family":"Casella","given":"Stefania","non-dropping-particle":"","parse-names":false,"suffix":""},{"dropping-particle":"","family":"Marco","given":"Patrizia","non-dropping-particle":"Di","parse-names":false,"suffix":""},{"dropping-particle":"","family":"Russo","given":"Carmelo","non-dropping-particle":"","parse-names":false,"suffix":""},{"dropping-particle":"","family":"Piccione","given":"Giuseppe","non-dropping-particle":"","parse-names":false,"suffix":""}],"container-title":"Cell Biology International","id":"ITEM-2","issue":"8","issued":{"date-parts":[["2013"]]},"page":"789-98","title":"Canine mesenchymal stem cells (MSCs): Characterization in relation to donor age and adipose tissue-harvesting site","type":"article-journal","volume":"37"},"uris":["http://www.mendeley.com/documents/?uuid=c12e3be1-6960-3ee5-a7e9-3aaae73004a2"]},{"id":"ITEM-3","itemData":{"DOI":"10.1089/ten.tea.2007.0207","ISBN":"1937-3341 (Print)","ISSN":"1937-3341","PMID":"19230125","abstract":"This study is the first documentation of the isolation and extensive characterization of mesenchymal stem cells from canine adipose tissue. Methods previously used by our group to isolate and differentiate human adipose-derived mesenchymal stem cells (hAD-MSCs) have been modified and optimized for derivation of similar cells from canine adipose tissues. The canine adipose tissue-derived mesenchymal stem cells (cAD-MSCs) showed lower proliferation ability and were refractory to osteogenic and adipogenic differentiation under conditions employed to differentiate hAD-MSCs. The differentiation of cAD-MSCs into osteoblasts and adipocytes was effectively achieved under modified conditions, by using laminin-coated plates and peroxisome proliferative activated receptor, gamma (PPARgamma) ligands, respectively. The formation of micromass was sufficient to induce chondrogenesis, unlike hAD-MSCs, which require transforming growth factor beta (TGF-beta). These cells displayed anchorage-independent growth in soft agar, and their colony-forming efficiency in plastic was comparable with human counterparts. The cAD-MSCs expressed genes associated with pluripotency, while their differentiated progeny expressed appropriate lineage-specific genes. The optimization of growth and differentiation of cAD-MSCs should facilitate future stem cell-based reparative and regenerative studies in dogs. The dog is a promising biomedical model that is suitable for evaluation of novel therapies such as those employing stem cells in experimental and in spontaneous disease settings.","author":[{"dropping-particle":"","family":"Neupane","given":"Manish","non-dropping-particle":"","parse-names":false,"suffix":""},{"dropping-particle":"","family":"Chang","given":"Chia Cheng","non-dropping-particle":"","parse-names":false,"suffix":""},{"dropping-particle":"","family":"Kiupel","given":"Matti","non-dropping-particle":"","parse-names":false,"suffix":""},{"dropping-particle":"","family":"Yuzbasiyan-Gurkan","given":"Vilma","non-dropping-particle":"","parse-names":false,"suffix":""}],"container-title":"Tissue Engineering Part A","id":"ITEM-3","issue":"6","issued":{"date-parts":[["2008"]]},"page":"1007-1015","title":"Isolation and characterization of canine adipose–derived mesenchymal stem cells","type":"article-journal","volume":"14"},"uris":["http://www.mendeley.com/documents/?uuid=b7420c69-d164-48bd-8d2a-53f203867c3e"]},{"id":"ITEM-4","itemData":{"DOI":"10.1007/s00418-007-0337-z","ISBN":"0948-6143 (Print)\\r0948-6143 (Linking)","ISSN":"09486143","PMID":"17922135","abstract":"Musculoskeletal diseases with osteochondrotic articular cartilage defects, such as osteoarthritis, are an increasing problem for humans and companion animals which necessitates the development of novel and improved therapeutic strategies. Canine mesenchymal stem cells (cMSCs) offer significant promise as a multipotent source for cell-based therapies and could form the basis for the differentiation and cultivation of tissue grafts to replace damaged tissue. However, no comprehensive analysis has been undertaken to characterize the ultrastructure of in vitro differentiated cMSCs. The main goal of this paper was to focus on cMSCs and to analyse their differentiation capacity. To achieve this aim, bone marrow cMSCs from three canine patients were isolated, expanded in monolayer culture and characterized with respect to their ability for osteogenic, adipogenic and chondrogenic differentiation capacities. cMSCs showed proliferative potential and were capable of osteogenic, adipogenic and chondrogenic differentiation. cMSCs treated with the osteogenic induction medium differentiated into osteoblasts, produced typical bone matrix components, beta1-integrins and upregulated the osteogenic specific transcription factor Cbfa-1. cMSCs treated with the adipogenic induction medium showed typical adipocyte morphology, produced adiponectin, collagen type I and beta1-integrins, and upregulated the adipogenic specific transcription factor PPAR-gamma. cMSCs treated with the chondrogenic induction medium exhibited a round to oval shape, produced a cartilage-specific extracellular matrix, beta1-integrins and upregulated the chondrogenic specific transcription factor Sox9. These results demonstrate, at the biochemical, morphological and ultrastructural levels, the multipotency of cMSCs and thus highlight their potential therapeutic value for cell-based tissue engineering.","author":[{"dropping-particle":"","family":"Csaki","given":"C.","non-dropping-particle":"","parse-names":false,"suffix":""},{"dropping-particle":"","family":"Matis","given":"U.","non-dropping-particle":"","parse-names":false,"suffix":""},{"dropping-particle":"","family":"Mobasheri","given":"A.","non-dropping-particle":"","parse-names":false,"suffix":""},{"dropping-particle":"","family":"Ye","given":"H.","non-dropping-particle":"","parse-names":false,"suffix":""},{"dropping-particle":"","family":"Shakibaei","given":"M.","non-dropping-particle":"","parse-names":false,"suffix":""}],"container-title":"Histochemistry and Cell Biology","id":"ITEM-4","issue":"6","issued":{"date-parts":[["2007"]]},"page":"507-520","title":"Chondrogenesis, osteogenesis and adipogenesis of canine mesenchymal stem cells: A biochemical, morphological and ultrastructural study","type":"article-journal","volume":"128"},"uris":["http://www.mendeley.com/documents/?uuid=253957ac-50e8-41fe-ba4c-5d44812ae75e"]}],"mendeley":{"formattedCitation":"&lt;sup&gt;[46,52,58,68]&lt;/sup&gt;","plainTextFormattedCitation":"[46,52,58,68]","previouslyFormattedCitation":"&lt;sup&gt;[46,52,58,68]&lt;/sup&gt;"},"properties":{"noteIndex":0},"schema":"https://github.com/citation-style-language/schema/raw/master/csl-citation.json"}</w:instrText>
      </w:r>
      <w:r w:rsidR="009B2947" w:rsidRPr="00000DD3">
        <w:rPr>
          <w:rFonts w:ascii="Book Antiqua" w:hAnsi="Book Antiqua" w:cstheme="minorHAnsi"/>
        </w:rPr>
        <w:fldChar w:fldCharType="separate"/>
      </w:r>
      <w:r w:rsidR="007D3D74" w:rsidRPr="00000DD3">
        <w:rPr>
          <w:rFonts w:ascii="Book Antiqua" w:hAnsi="Book Antiqua" w:cstheme="minorHAnsi"/>
          <w:noProof/>
          <w:vertAlign w:val="superscript"/>
        </w:rPr>
        <w:t>[46,52,58,68]</w:t>
      </w:r>
      <w:r w:rsidR="009B2947" w:rsidRPr="00000DD3">
        <w:rPr>
          <w:rFonts w:ascii="Book Antiqua" w:hAnsi="Book Antiqua" w:cstheme="minorHAnsi"/>
        </w:rPr>
        <w:fldChar w:fldCharType="end"/>
      </w:r>
      <w:r w:rsidR="009B2947" w:rsidRPr="00000DD3">
        <w:rPr>
          <w:rFonts w:ascii="Book Antiqua" w:hAnsi="Book Antiqua" w:cstheme="minorHAnsi"/>
        </w:rPr>
        <w:t xml:space="preserve">. Unlike human MSCs, </w:t>
      </w:r>
      <w:proofErr w:type="spellStart"/>
      <w:r w:rsidR="009B2947" w:rsidRPr="00000DD3">
        <w:rPr>
          <w:rFonts w:ascii="Book Antiqua" w:hAnsi="Book Antiqua" w:cstheme="minorHAnsi"/>
        </w:rPr>
        <w:t>cMSCs</w:t>
      </w:r>
      <w:proofErr w:type="spellEnd"/>
      <w:r w:rsidR="009B2947" w:rsidRPr="00000DD3">
        <w:rPr>
          <w:rFonts w:ascii="Book Antiqua" w:hAnsi="Book Antiqua" w:cstheme="minorHAnsi"/>
        </w:rPr>
        <w:t xml:space="preserve"> have been known to roll up into a sheet and become easily detached from culture dishes during mineralization assays</w:t>
      </w:r>
      <w:r w:rsidR="009B2947" w:rsidRPr="00000DD3">
        <w:rPr>
          <w:rFonts w:ascii="Book Antiqua" w:hAnsi="Book Antiqua" w:cstheme="minorHAnsi"/>
        </w:rPr>
        <w:fldChar w:fldCharType="begin" w:fldLock="1"/>
      </w:r>
      <w:r w:rsidR="006A3361" w:rsidRPr="00000DD3">
        <w:rPr>
          <w:rFonts w:ascii="Book Antiqua" w:hAnsi="Book Antiqua" w:cstheme="minorHAnsi"/>
        </w:rPr>
        <w:instrText>ADDIN CSL_CITATION {"citationItems":[{"id":"ITEM-1","itemData":{"DOI":"10.1089/ten.tea.2007.0207","ISBN":"1937-3341 (Print)","ISSN":"1937-3341","PMID":"19230125","abstract":"This study is the first documentation of the isolation and extensive characterization of mesenchymal stem cells from canine adipose tissue. Methods previously used by our group to isolate and differentiate human adipose-derived mesenchymal stem cells (hAD-MSCs) have been modified and optimized for derivation of similar cells from canine adipose tissues. The canine adipose tissue-derived mesenchymal stem cells (cAD-MSCs) showed lower proliferation ability and were refractory to osteogenic and adipogenic differentiation under conditions employed to differentiate hAD-MSCs. The differentiation of cAD-MSCs into osteoblasts and adipocytes was effectively achieved under modified conditions, by using laminin-coated plates and peroxisome proliferative activated receptor, gamma (PPARgamma) ligands, respectively. The formation of micromass was sufficient to induce chondrogenesis, unlike hAD-MSCs, which require transforming growth factor beta (TGF-beta). These cells displayed anchorage-independent growth in soft agar, and their colony-forming efficiency in plastic was comparable with human counterparts. The cAD-MSCs expressed genes associated with pluripotency, while their differentiated progeny expressed appropriate lineage-specific genes. The optimization of growth and differentiation of cAD-MSCs should facilitate future stem cell-based reparative and regenerative studies in dogs. The dog is a promising biomedical model that is suitable for evaluation of novel therapies such as those employing stem cells in experimental and in spontaneous disease settings.","author":[{"dropping-particle":"","family":"Neupane","given":"Manish","non-dropping-particle":"","parse-names":false,"suffix":""},{"dropping-particle":"","family":"Chang","given":"Chia Cheng","non-dropping-particle":"","parse-names":false,"suffix":""},{"dropping-particle":"","family":"Kiupel","given":"Matti","non-dropping-particle":"","parse-names":false,"suffix":""},{"dropping-particle":"","family":"Yuzbasiyan-Gurkan","given":"Vilma","non-dropping-particle":"","parse-names":false,"suffix":""}],"container-title":"Tissue Engineering Part A","id":"ITEM-1","issue":"6","issued":{"date-parts":[["2008"]]},"page":"1007-1015","title":"Isolation and characterization of canine adipose–derived mesenchymal stem cells","type":"article-journal","volume":"14"},"uris":["http://www.mendeley.com/documents/?uuid=b7420c69-d164-48bd-8d2a-53f203867c3e"]},{"id":"ITEM-2","itemData":{"DOI":"10.1002/cbin.10090","ISBN":"1065-6995","ISSN":"10656995","PMID":"23505013","abstract":"Adipose tissue as a stem cell source is ubiquitously available and has several advantages compared to other sources, for example it is easily accessible in large quantities with minimal invasive harvesting procedure, and isolation of adipose-derived mesenchymal stem cells (MSCs) yields a high amount of stem cells, essential for stem cell-based therapies and tissue engineering. We have explored the effect of donor age, and the anatomical origin of the adipose tissue on several aspects of MSCs in dogs, such as cell yield, proliferative ability, multi-differentiation potential, colony-forming capacity, stemness marker expression. We also assessed the effect of cell passaging on the MSCs stemness. We found that the anatomical origin of the adipose tissue and the age of donors have effects only on the proliferative capacity of the MSCs. Moreover, cells show a progressive loss of the stemness characteristics with passages. Cell therapies need a suitable number of cells to use in clinical applications. Characterization of MSCs at different passages, allowed us to demonstrate that, under our culture conditions, the best quantitative and qualitative characteristics are obtained at early passages. Adult MSCs are of particular interest for the therapeutic approach to musculoskeletal diseases, and the dog provides an excellent preclinical model for the development of new approaches in regenerative medicine that might be applied to humans.","author":[{"dropping-particle":"","family":"Guercio","given":"Annalisa","non-dropping-particle":"","parse-names":false,"suffix":""},{"dropping-particle":"","family":"Bella","given":"Santina","non-dropping-particle":"Di","parse-names":false,"suffix":""},{"dropping-particle":"","family":"Casella","given":"Stefania","non-dropping-particle":"","parse-names":false,"suffix":""},{"dropping-particle":"","family":"Marco","given":"Patrizia","non-dropping-particle":"Di","parse-names":false,"suffix":""},{"dropping-particle":"","family":"Russo","given":"Carmelo","non-dropping-particle":"","parse-names":false,"suffix":""},{"dropping-particle":"","family":"Piccione","given":"Giuseppe","non-dropping-particle":"","parse-names":false,"suffix":""}],"container-title":"Cell Biology International","id":"ITEM-2","issue":"8","issued":{"date-parts":[["2013"]]},"page":"789-98","title":"Canine mesenchymal stem cells (MSCs): Characterization in relation to donor age and adipose tissue-harvesting site","type":"article-journal","volume":"37"},"uris":["http://www.mendeley.com/documents/?uuid=c12e3be1-6960-3ee5-a7e9-3aaae73004a2"]},{"id":"ITEM-3","itemData":{"DOI":"10.1186/s13287-017-0639-6","ISSN":"17576512","PMID":"28974260","abstract":"BACKGROUND The dog represents an excellent large animal model for translational cell-based studies. Importantly, the properties of canine multipotent stromal cells (cMSCs) and the ideal tissue source for specific translational studies have yet to be established. The aim of this study was to characterize cMSCs derived from synovium, bone marrow, and adipose tissue using a donor-matched study design and a comprehensive series of in-vitro characterization, differentiation, and immunomodulation assays. METHODS Canine MSCs were isolated from five dogs with cranial cruciate ligament rupture. All 15 cMSC preparations were evaluated using colony forming unit (CFU) assays, flow cytometry analysis, RT-PCR for pluripotency-associated genes, proliferation assays, trilineage differentiation assays, and immunomodulation assays. Data were reported as mean</w:instrText>
      </w:r>
      <w:r w:rsidR="006A3361" w:rsidRPr="00000DD3">
        <w:rPr>
          <w:rFonts w:ascii="Times New Roman" w:hAnsi="Times New Roman" w:cs="Times New Roman"/>
        </w:rPr>
        <w:instrText> </w:instrText>
      </w:r>
      <w:r w:rsidR="006A3361" w:rsidRPr="00000DD3">
        <w:rPr>
          <w:rFonts w:ascii="Book Antiqua" w:hAnsi="Book Antiqua" w:cstheme="minorHAnsi"/>
        </w:rPr>
        <w:instrText>±</w:instrText>
      </w:r>
      <w:r w:rsidR="006A3361" w:rsidRPr="00000DD3">
        <w:rPr>
          <w:rFonts w:ascii="Times New Roman" w:hAnsi="Times New Roman" w:cs="Times New Roman"/>
        </w:rPr>
        <w:instrText> </w:instrText>
      </w:r>
      <w:r w:rsidR="006A3361" w:rsidRPr="00000DD3">
        <w:rPr>
          <w:rFonts w:ascii="Book Antiqua" w:hAnsi="Book Antiqua" w:cstheme="minorHAnsi"/>
        </w:rPr>
        <w:instrText>standard deviation and compared using repeated-measures analysis of variance and Tukey post-hoc test. Significance was established at p</w:instrText>
      </w:r>
      <w:r w:rsidR="006A3361" w:rsidRPr="00000DD3">
        <w:rPr>
          <w:rFonts w:ascii="Times New Roman" w:hAnsi="Times New Roman" w:cs="Times New Roman"/>
        </w:rPr>
        <w:instrText> </w:instrText>
      </w:r>
      <w:r w:rsidR="006A3361" w:rsidRPr="00000DD3">
        <w:rPr>
          <w:rFonts w:ascii="Book Antiqua" w:hAnsi="Book Antiqua" w:cstheme="minorHAnsi"/>
        </w:rPr>
        <w:instrText>&lt;</w:instrText>
      </w:r>
      <w:r w:rsidR="006A3361" w:rsidRPr="00000DD3">
        <w:rPr>
          <w:rFonts w:ascii="Times New Roman" w:hAnsi="Times New Roman" w:cs="Times New Roman"/>
        </w:rPr>
        <w:instrText> </w:instrText>
      </w:r>
      <w:r w:rsidR="006A3361" w:rsidRPr="00000DD3">
        <w:rPr>
          <w:rFonts w:ascii="Book Antiqua" w:hAnsi="Book Antiqua" w:cstheme="minorHAnsi"/>
        </w:rPr>
        <w:instrText>0.05. RESULTS All tissue samples produced plastic adherent, spindle-shaped preparations of cMSCs. Cells were negative for CD34, CD45, and STRO-1 and positive for CD9, CD44, and CD90, whereas the degree to which cells were positive for CD105 was variable depending on tissue of origin. Cells were positive for the pluripotency-associated genes NANOG, OCT4, and SOX2. Accounting for donor and tissue sources, there were significant differences in CFU potential, rate of proliferation, trilineage differentiation, and immunomodulatory response. Synovium and marrow cMSCs exhibited superior early osteogenic activity, but when assessing late-stage osteogenesis no significant differences were detected. Interestingly, bone morphogenic protein-2 (BMP-2) supplementation was necessary for early-stage and late-stage osteogenic differentiation, a finding consistent with other canine studies. Additionally, synovium and adipose cMSCs proliferated more rapidly, displayed higher CFU potential, and formed larger aggregates in chondrogenic assays, although proteoglycan and collagen type II staining were subjectively decreased in adipose pellets as compared to synovial and marrow pellets. Lastly, cMSCs derived from all three tissue sources modulated murine macrophage TNF-α and IL-6 levels in a lipopolysaccharide-stimulated coculture assay. CONCLUSIONS While cMSCs from synovium, marrow, and adipose tissue share a number of similarities, important differences in proliferation and trilineage differentiation …","author":[{"dropping-particle":"","family":"Bearden","given":"Robert N.","non-dropping-particle":"","parse-names":false,"suffix":""},{"dropping-particle":"","family":"Huggins","given":"Shannon S.","non-dropping-particle":"","parse-names":false,"suffix":""},{"dropping-particle":"","family":"Cummings","given":"Kevin J.","non-dropping-particle":"","parse-names":false,"suffix":""},{"dropping-particle":"","family":"Smith","given":"Roger","non-dropping-particle":"","parse-names":false,"suffix":""},{"dropping-particle":"","family":"Gregory","given":"Carl A.","non-dropping-particle":"","parse-names":false,"suffix":""},{"dropping-particle":"","family":"Saunders","given":"William B.","non-dropping-particle":"","parse-names":false,"suffix":""}],"container-title":"Stem Cell Research and Therapy","id":"ITEM-3","issue":"1","issued":{"date-parts":[["2017"]]},"page":"1-22","publisher":"Stem Cell Research &amp; Therapy","title":"In-vitro characterization of canine multipotent stromal cells isolated from synovium, bone marrow, and adipose tissue: A donor-matched comparative study","type":"article-journal","volume":"8"},"uris":["http://www.mendeley.com/documents/?uuid=93ce5912-c717-4e45-a0d6-6e2eb38783bb"]},{"id":"ITEM-4","itemData":{"DOI":"10.1371/journal.pone.0202922","ISBN":"1111111111","ISSN":"19326203","PMID":"30138399","abstract":"Osteoarthritis (OA), a common chronic joint disorder in both humans and canines, is characterized by a progressive loss of articular cartilage. Canines can serve as an animal model of OA for human medicine, and this research can simultaneously establish effective veterinary treatments for canine OA. One attractive treatment that can lead to cartilage regeneration is the use of mesenchymal stem cells (MSCs). However, for canine OA, little information is available regarding the best source of MSCs. The purpose of this study was to identify a promising MSC source for canine cartilage regeneration. We collected synovial, infrapatellar fat pad, inguinal adipose, and bone marrow tissues from six canines and then conducted a donor-matched comparison of the properties of MSCs derived from these four tissues. We examined the surface epitope expression, proliferation capacity, and trilineage differentiation potential of all four populations. Adherent cells derived from all four tissue sources exhibited positivity for CD90 and CD44 and negativity for CD45 and CD11b. The positive rate for CD90 was higher for synovium-derived than for adipose-derived and bone marrow-derived MSCs. Synovium-derived and infrapatellar fat pad-derived MSCs displayed substantial proliferation ability, and all four populations underwent trilineage differentiation. During chondrogenesis, the wet weight was heavier for cartilage pellets derived from synovium MSCs than from the other three sources. The synovium is therefore a promising source for MSCs for canine cartilage regeneration. Our findings provide useful information about canine MSCs that may be applicable to regenerative medicine for treatment of OA.","author":[{"dropping-particle":"","family":"Sasaki","given":"Akari","non-dropping-particle":"","parse-names":false,"suffix":""},{"dropping-particle":"","family":"Mizuno","given":"Mitsuru","non-dropping-particle":"","parse-names":false,"suffix":""},{"dropping-particle":"","family":"Ozeki","given":"Nobutake","non-dropping-particle":"","parse-names":false,"suffix":""},{"dropping-particle":"","family":"Katano","given":"Hisako","non-dropping-particle":"","parse-names":false,"suffix":""},{"dropping-particle":"","family":"Otabe","given":"Koji","non-dropping-particle":"","parse-names":false,"suffix":""},{"dropping-particle":"","family":"Tsuji","given":"Kunikazu","non-dropping-particle":"","parse-names":false,"suffix":""},{"dropping-particle":"","family":"Koga","given":"Hideyuki","non-dropping-particle":"","parse-names":false,"suffix":""},{"dropping-particle":"","family":"Mochizuki","given":"Manabu","non-dropping-particle":"","parse-names":false,"suffix":""},{"dropping-particle":"","family":"Sekiya","given":"Ichiro","non-dropping-particle":"","parse-names":false,"suffix":""}],"container-title":"PLoS ONE","id":"ITEM-4","issue":"8","issued":{"date-parts":[["2018"]]},"page":"1-20","title":"Canine mesenchymal stem cells from synovium have a higher chondrogenic potential than those from infrapatellar fat pad, adipose tissue, and bone marrow","type":"article-journal","volume":"13"},"uris":["http://www.mendeley.com/documents/?uuid=06e018b3-4bb7-4b65-8c48-df24ad3c85ac"]}],"mendeley":{"formattedCitation":"&lt;sup&gt;[40,53,58,68]&lt;/sup&gt;","plainTextFormattedCitation":"[40,53,58,68]","previouslyFormattedCitation":"&lt;sup&gt;[40,53,58,68]&lt;/sup&gt;"},"properties":{"noteIndex":0},"schema":"https://github.com/citation-style-language/schema/raw/master/csl-citation.json"}</w:instrText>
      </w:r>
      <w:r w:rsidR="009B2947" w:rsidRPr="00000DD3">
        <w:rPr>
          <w:rFonts w:ascii="Book Antiqua" w:hAnsi="Book Antiqua" w:cstheme="minorHAnsi"/>
        </w:rPr>
        <w:fldChar w:fldCharType="separate"/>
      </w:r>
      <w:r w:rsidR="007D3D74" w:rsidRPr="00000DD3">
        <w:rPr>
          <w:rFonts w:ascii="Book Antiqua" w:hAnsi="Book Antiqua" w:cstheme="minorHAnsi"/>
          <w:noProof/>
          <w:vertAlign w:val="superscript"/>
        </w:rPr>
        <w:t>[40,53,58,68]</w:t>
      </w:r>
      <w:r w:rsidR="009B2947" w:rsidRPr="00000DD3">
        <w:rPr>
          <w:rFonts w:ascii="Book Antiqua" w:hAnsi="Book Antiqua" w:cstheme="minorHAnsi"/>
        </w:rPr>
        <w:fldChar w:fldCharType="end"/>
      </w:r>
      <w:r w:rsidR="009B2947" w:rsidRPr="00000DD3">
        <w:rPr>
          <w:rFonts w:ascii="Book Antiqua" w:hAnsi="Book Antiqua" w:cstheme="minorHAnsi"/>
        </w:rPr>
        <w:t>. BM-</w:t>
      </w:r>
      <w:proofErr w:type="spellStart"/>
      <w:r w:rsidR="009B2947" w:rsidRPr="00000DD3">
        <w:rPr>
          <w:rFonts w:ascii="Book Antiqua" w:hAnsi="Book Antiqua" w:cstheme="minorHAnsi"/>
        </w:rPr>
        <w:t>cMSCs</w:t>
      </w:r>
      <w:proofErr w:type="spellEnd"/>
      <w:r w:rsidR="009B2947" w:rsidRPr="00000DD3">
        <w:rPr>
          <w:rFonts w:ascii="Book Antiqua" w:hAnsi="Book Antiqua" w:cstheme="minorHAnsi"/>
        </w:rPr>
        <w:t xml:space="preserve"> </w:t>
      </w:r>
      <w:r w:rsidRPr="00000DD3">
        <w:rPr>
          <w:rFonts w:ascii="Book Antiqua" w:hAnsi="Book Antiqua" w:cstheme="minorHAnsi"/>
        </w:rPr>
        <w:t>have shown</w:t>
      </w:r>
      <w:r w:rsidR="009B2947" w:rsidRPr="00000DD3">
        <w:rPr>
          <w:rFonts w:ascii="Book Antiqua" w:hAnsi="Book Antiqua" w:cstheme="minorHAnsi"/>
        </w:rPr>
        <w:t xml:space="preserve"> superiority in osteogenic differentiation in some </w:t>
      </w:r>
      <w:r w:rsidRPr="00000DD3">
        <w:rPr>
          <w:rFonts w:ascii="Book Antiqua" w:hAnsi="Book Antiqua" w:cstheme="minorHAnsi"/>
        </w:rPr>
        <w:t>studies</w:t>
      </w:r>
      <w:r w:rsidR="009B2947" w:rsidRPr="00000DD3">
        <w:rPr>
          <w:rFonts w:ascii="Book Antiqua" w:hAnsi="Book Antiqua" w:cstheme="minorHAnsi"/>
        </w:rPr>
        <w:t xml:space="preserve">, </w:t>
      </w:r>
      <w:r w:rsidRPr="00000DD3">
        <w:rPr>
          <w:rFonts w:ascii="Book Antiqua" w:hAnsi="Book Antiqua" w:cstheme="minorHAnsi"/>
        </w:rPr>
        <w:t xml:space="preserve">when </w:t>
      </w:r>
      <w:r w:rsidR="009B2947" w:rsidRPr="00000DD3">
        <w:rPr>
          <w:rFonts w:ascii="Book Antiqua" w:hAnsi="Book Antiqua" w:cstheme="minorHAnsi"/>
        </w:rPr>
        <w:t>compared to AD-</w:t>
      </w:r>
      <w:proofErr w:type="spellStart"/>
      <w:r w:rsidR="009B2947" w:rsidRPr="00000DD3">
        <w:rPr>
          <w:rFonts w:ascii="Book Antiqua" w:hAnsi="Book Antiqua" w:cstheme="minorHAnsi"/>
        </w:rPr>
        <w:t>cMSCs</w:t>
      </w:r>
      <w:proofErr w:type="spellEnd"/>
      <w:r w:rsidR="009B2947" w:rsidRPr="00000DD3">
        <w:rPr>
          <w:rFonts w:ascii="Book Antiqua" w:hAnsi="Book Antiqua" w:cstheme="minorHAnsi"/>
        </w:rPr>
        <w:t>, Sy-</w:t>
      </w:r>
      <w:proofErr w:type="spellStart"/>
      <w:r w:rsidR="009B2947" w:rsidRPr="00000DD3">
        <w:rPr>
          <w:rFonts w:ascii="Book Antiqua" w:hAnsi="Book Antiqua" w:cstheme="minorHAnsi"/>
        </w:rPr>
        <w:t>cMSCs</w:t>
      </w:r>
      <w:proofErr w:type="spellEnd"/>
      <w:r w:rsidRPr="00000DD3">
        <w:rPr>
          <w:rFonts w:ascii="Book Antiqua" w:hAnsi="Book Antiqua" w:cstheme="minorHAnsi"/>
        </w:rPr>
        <w:t>,</w:t>
      </w:r>
      <w:r w:rsidR="009B2947" w:rsidRPr="00000DD3">
        <w:rPr>
          <w:rFonts w:ascii="Book Antiqua" w:hAnsi="Book Antiqua" w:cstheme="minorHAnsi"/>
        </w:rPr>
        <w:t xml:space="preserve"> and IF-</w:t>
      </w:r>
      <w:proofErr w:type="spellStart"/>
      <w:r w:rsidR="009B2947" w:rsidRPr="00000DD3">
        <w:rPr>
          <w:rFonts w:ascii="Book Antiqua" w:hAnsi="Book Antiqua" w:cstheme="minorHAnsi"/>
        </w:rPr>
        <w:t>cMSCs</w:t>
      </w:r>
      <w:proofErr w:type="spellEnd"/>
      <w:r w:rsidR="009B2947"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{"citationItems":[{"id":"ITEM-1","itemData":{"DOI":"10.1016/j.vetimm.2014.06.002","ISBN":"1873-2534 (Electronic)\\r0165-2427 (Linking)","ISSN":"18732534","PMID":"25026887","abstract":"Veterinary adult stem cell therapy is an emerging area of basic and clinical research. Like their human counterparts, veterinary mesenchymal stem cells (MSCs) offer many potential therapeutic benefits. The characterization of canine-derived MSCs, however, is poorly defined compared to human MSCs. Furthermore, little consensus exists regarding the expression of canine MSC cell surface markers. To address this issue, this study investigated characteristics of cultured canine MSCs derived from both adipose tissue and bone marrow. The canine MSCs were obtained from donors of various breeds and ages. A panel of cell surface markers for canine MSCs was selected based on current human and canine literature and the availability of canine-reactive antibodies. Using flow cytometry, canine MSCs were defined to be CD90+CD44+MHC I+CD14-CD29-CD34-MHC II-. Canine MSCs were further characterized using real-time RT-PCR as CD105+CD73+CD14+CD29+MHC II+CD45- at the mRNA level. Among these markers, canine MSCs differed from canine peripheral blood mononuclear cells (PBMCs) by the absence of CD45 expression at the mRNA level. A novel high-throughput canine-specific PCR array was developed and used to identify changes in the gene expression profiles of canine MSCs. Genes including PTPRC, TNF, β2M, TGFβ1, and PDGFRβ, were identified as unique to canine MSCs as compared to canine PBMCs. Our findings will facilitate characterization of canine MSCs for use in research and clinical trials. Moreover, the high-throughput PCR array is a novel tool for characterizing canine MSCs isolated from different tissues and potentially from different laboratories. © 2014.","author":[{"dropping-particle":"","family":"Screven","given":"Rudell","non-dropping-particle":"","parse-names":false,"suffix":""},{"dropping-particle":"","family":"Kenyon","given":"Elizabeth","non-dropping-particle":"","parse-names":false,"suffix":""},{"dropping-particle":"","family":"Myers","given":"Michael J.","non-dropping-particle":"","parse-names":false,"suffix":""},{"dropping-particle":"","family":"Yancy","given":"Haile F.","non-dropping-particle":"","parse-names":false,"suffix":""},{"dropping-particle":"","family":"Skasko","given":"Mark","non-dropping-particle":"","parse-names":false,"suffix":""},{"dropping-particle":"","family":"Boxer","given":"Lynne","non-dropping-particle":"","parse-names":false,"suffix":""},{"dropping-particle":"","family":"Bigley","given":"Elmer C.","non-dropping-particle":"","parse-names":false,"suffix":""},{"dropping-particle":"","family":"Borjesson","given":"Dori L.","non-dropping-particle":"","parse-names":false,"suffix":""},{"dropping-particle":"","family":"Zhu","given":"Min","non-dropping-particle":"","parse-names":false,"suffix":""}],"container-title":"Veterinary Immunology and Immunopathology","id":"ITEM-1","issue":"1-2","issued":{"date-parts":[["2014"]]},"page":"21-31","title":"Immunophenotype and gene expression profile of mesenchymal stem cells derived from canine adipose tissue and bone marrow","type":"article-journal","volume":"161"},"uris":["http://www.mendeley.com/documents/?uuid=d5727772-1149-314b-a927-8edbfbb7a0f2"]},{"id":"ITEM-2","itemData":{"DOI":"10.1186/s13287-017-0639-6","ISSN":"17576512","PMID":"28974260","abstract":"BACKGROUND The dog represents an excellent large animal model for translational cell-based studies. Importantly, the properties of canine multipotent stromal cells (cMSCs) and the ideal tissue source for specific translational studies have yet to be established. The aim of this study was to characterize cMSCs derived from synovium, bone marrow, and adipose tissue using a donor-matched study design and a comprehensive series of in-vitro characterization, differentiation, and immunomodulation assays. METHODS Canine MSCs were isolated from five dogs with cranial cruciate ligament rupture. All 15 cMSC preparations were evaluated using colony forming unit (CFU) assays, flow cytometry analysis, RT-PCR for pluripotency-associated genes, proliferation assays, trilineage differentiation assays, and immunomodulation assays. Data were reported as mean</w:instrText>
      </w:r>
      <w:r w:rsidR="00073C18" w:rsidRPr="00000DD3">
        <w:rPr>
          <w:rFonts w:ascii="Times New Roman" w:hAnsi="Times New Roman" w:cs="Times New Roman"/>
        </w:rPr>
        <w:instrText> </w:instrText>
      </w:r>
      <w:r w:rsidR="00073C18" w:rsidRPr="00000DD3">
        <w:rPr>
          <w:rFonts w:ascii="Book Antiqua" w:hAnsi="Book Antiqua" w:cstheme="minorHAnsi"/>
        </w:rPr>
        <w:instrText>±</w:instrText>
      </w:r>
      <w:r w:rsidR="00073C18" w:rsidRPr="00000DD3">
        <w:rPr>
          <w:rFonts w:ascii="Times New Roman" w:hAnsi="Times New Roman" w:cs="Times New Roman"/>
        </w:rPr>
        <w:instrText> </w:instrText>
      </w:r>
      <w:r w:rsidR="00073C18" w:rsidRPr="00000DD3">
        <w:rPr>
          <w:rFonts w:ascii="Book Antiqua" w:hAnsi="Book Antiqua" w:cstheme="minorHAnsi"/>
        </w:rPr>
        <w:instrText>standard deviation and compared using repeated-measures analysis of variance and Tukey post-hoc test. Significance was established at p</w:instrText>
      </w:r>
      <w:r w:rsidR="00073C18" w:rsidRPr="00000DD3">
        <w:rPr>
          <w:rFonts w:ascii="Times New Roman" w:hAnsi="Times New Roman" w:cs="Times New Roman"/>
        </w:rPr>
        <w:instrText> </w:instrText>
      </w:r>
      <w:r w:rsidR="00073C18" w:rsidRPr="00000DD3">
        <w:rPr>
          <w:rFonts w:ascii="Book Antiqua" w:hAnsi="Book Antiqua" w:cstheme="minorHAnsi"/>
        </w:rPr>
        <w:instrText>&lt;</w:instrText>
      </w:r>
      <w:r w:rsidR="00073C18" w:rsidRPr="00000DD3">
        <w:rPr>
          <w:rFonts w:ascii="Times New Roman" w:hAnsi="Times New Roman" w:cs="Times New Roman"/>
        </w:rPr>
        <w:instrText> </w:instrText>
      </w:r>
      <w:r w:rsidR="00073C18" w:rsidRPr="00000DD3">
        <w:rPr>
          <w:rFonts w:ascii="Book Antiqua" w:hAnsi="Book Antiqua" w:cstheme="minorHAnsi"/>
        </w:rPr>
        <w:instrText>0.05. RESULTS All tissue samples produced plastic adherent, spindle-shaped preparations of cMSCs. Cells were negative for CD34, CD45, and STRO-1 and positive for CD9, CD44, and CD90, whereas the degree to which cells were positive for CD105 was variable depending on tissue of origin. Cells were positive for the pluripotency-associated genes NANOG, OCT4, and SOX2. Accounting for donor and tissue sources, there were significant differences in CFU potential, rate of proliferation, trilineage differentiation, and immunomodulatory response. Synovium and marrow cMSCs exhibited superior early osteogenic activity, but when assessing late-stage osteogenesis no significant differences were detected. Interestingly, bone morphogenic protein-2 (BMP-2) supplementation was necessary for early-stage and late-stage osteogenic differentiation, a finding consistent with other canine studies. Additionally, synovium and adipose cMSCs proliferated more rapidly, displayed higher CFU potential, and formed larger aggregates in chondrogenic assays, although proteoglycan and collagen type II staining were subjectively decreased in adipose pellets as compared to synovial and marrow pellets. Lastly, cMSCs derived from all three tissue sources modulated murine macrophage TNF-α and IL-6 levels in a lipopolysaccharide-stimulated coculture assay. CONCLUSIONS While cMSCs from synovium, marrow, and adipose tissue share a number of similarities, important differences in proliferation and trilineage differentiation …","author":[{"dropping-particle":"","family":"Bearden","given":"Robert N.","non-dropping-particle":"","parse-names":false,"suffix":""},{"dropping-particle":"","family":"Huggins","given":"Shannon S.","non-dropping-particle":"","parse-names":false,"suffix":""},{"dropping-particle":"","family":"Cummings","given":"Kevin J.","non-dropping-particle":"","parse-names":false,"suffix":""},{"dropping-particle":"","family":"Smith","given":"Roger","non-dropping-particle":"","parse-names":false,"suffix":""},{"dropping-particle":"","family":"Gregory","given":"Carl A.","non-dropping-particle":"","parse-names":false,"suffix":""},{"dropping-particle":"","family":"Saunders","given":"William B.","non-dropping-particle":"","parse-names":false,"suffix":""}],"container-title":"Stem Cell Research and Therapy","id":"ITEM-2","issue":"1","issued":{"date-parts":[["2017"]]},"page":"1-22","publisher":"Stem Cell Research &amp; Therapy","title":"In-vitro characterization of canine multipotent stromal cells isolated from synovium, bone marrow, and adipose tissue: A donor-matched comparative study","type":"article-journal","volume":"8"},"uris":["http://www.mendeley.com/documents/?uuid=93ce5912-c717-4e45-a0d6-6e2eb38783bb"]},{"id":"ITEM-3","itemData":{"DOI":"10.1371/journal.pone.0202922","ISBN":"1111111111","ISSN":"19326203","PMID":"30138399","abstract":"Osteoarthritis (OA), a common chronic joint disorder in both humans and canines, is characterized by a progressive loss of articular cartilage. Canines can serve as an animal model of OA for human medicine, and this research can simultaneously establish effective veterinary treatments for canine OA. One attractive treatment that can lead to cartilage regeneration is the use of mesenchymal stem cells (MSCs). However, for canine OA, little information is available regarding the best source of MSCs. The purpose of this study was to identify a promising MSC source for canine cartilage regeneration. We collected synovial, infrapatellar fat pad, inguinal adipose, and bone marrow tissues from six canines and then conducted a donor-matched comparison of the properties of MSCs derived from these four tissues. We examined the surface epitope expression, proliferation capacity, and trilineage differentiation potential of all four populations. Adherent cells derived from all four tissue sources exhibited positivity for CD90 and CD44 and negativity for CD45 and CD11b. The positive rate for CD90 was higher for synovium-derived than for adipose-derived and bone marrow-derived MSCs. Synovium-derived and infrapatellar fat pad-derived MSCs displayed substantial proliferation ability, and all four populations underwent trilineage differentiation. During chondrogenesis, the wet weight was heavier for cartilage pellets derived from synovium MSCs than from the other three sources. The synovium is therefore a promising source for MSCs for canine cartilage regeneration. Our findings provide useful information about canine MSCs that may be applicable to regenerative medicine for treatment of OA.","author":[{"dropping-particle":"","family":"Sasaki","given":"Akari","non-dropping-particle":"","parse-names":false,"suffix":""},{"dropping-particle":"","family":"Mizuno","given":"Mitsuru","non-dropping-particle":"","parse-names":false,"suffix":""},{"dropping-particle":"","family":"Ozeki","given":"Nobutake","non-dropping-particle":"","parse-names":false,"suffix":""},{"dropping-particle":"","family":"Katano","given":"Hisako","non-dropping-particle":"","parse-names":false,"suffix":""},{"dropping-particle":"","family":"Otabe","given":"Koji","non-dropping-particle":"","parse-names":false,"suffix":""},{"dropping-particle":"","family":"Tsuji","given":"Kunikazu","non-dropping-particle":"","parse-names":false,"suffix":""},{"dropping-particle":"","family":"Koga","given":"Hideyuki","non-dropping-particle":"","parse-names":false,"suffix":""},{"dropping-particle":"","family":"Mochizuki","given":"Manabu","non-dropping-particle":"","parse-names":false,"suffix":""},{"dropping-particle":"","family":"Sekiya","given":"Ichiro","non-dropping-particle":"","parse-names":false,"suffix":""}],"container-title":"PLoS ONE","id":"ITEM-3","issue":"8","issued":{"date-parts":[["2018"]]},"page":"1-20","title":"Canine mesenchymal stem cells from synovium have a higher chondrogenic potential than those from infrapatellar fat pad, adipose tissue, and bone marrow","type":"article-journal","volume":"13"},"uris":["http://www.mendeley.com/documents/?uuid=06e018b3-4bb7-4b65-8c48-df24ad3c85ac"]}],"mendeley":{"formattedCitation":"&lt;sup&gt;[40,49,53]&lt;/sup&gt;","plainTextFormattedCitation":"[40,49,53]","previouslyFormattedCitation":"&lt;sup&gt;[40,49,53]&lt;/sup&gt;"},"properties":{"noteIndex":0},"schema":"https://github.com/citation-style-language/schema/raw/master/csl-citation.json"}</w:instrText>
      </w:r>
      <w:r w:rsidR="009B2947" w:rsidRPr="00000DD3">
        <w:rPr>
          <w:rFonts w:ascii="Book Antiqua" w:hAnsi="Book Antiqua" w:cstheme="minorHAnsi"/>
        </w:rPr>
        <w:fldChar w:fldCharType="separate"/>
      </w:r>
      <w:r w:rsidR="00BC68DD" w:rsidRPr="00000DD3">
        <w:rPr>
          <w:rFonts w:ascii="Book Antiqua" w:hAnsi="Book Antiqua" w:cstheme="minorHAnsi"/>
          <w:noProof/>
          <w:vertAlign w:val="superscript"/>
        </w:rPr>
        <w:t>[40,49,53]</w:t>
      </w:r>
      <w:r w:rsidR="009B2947" w:rsidRPr="00000DD3">
        <w:rPr>
          <w:rFonts w:ascii="Book Antiqua" w:hAnsi="Book Antiqua" w:cstheme="minorHAnsi"/>
        </w:rPr>
        <w:fldChar w:fldCharType="end"/>
      </w:r>
      <w:r w:rsidR="009B2947" w:rsidRPr="00000DD3">
        <w:rPr>
          <w:rFonts w:ascii="Book Antiqua" w:hAnsi="Book Antiqua" w:cstheme="minorHAnsi"/>
        </w:rPr>
        <w:t xml:space="preserve">. </w:t>
      </w:r>
      <w:r w:rsidRPr="00000DD3">
        <w:rPr>
          <w:rFonts w:ascii="Book Antiqua" w:hAnsi="Book Antiqua" w:cstheme="minorHAnsi"/>
        </w:rPr>
        <w:t xml:space="preserve">However, </w:t>
      </w:r>
      <w:r w:rsidR="009B2947" w:rsidRPr="00000DD3">
        <w:rPr>
          <w:rFonts w:ascii="Book Antiqua" w:hAnsi="Book Antiqua" w:cstheme="minorHAnsi"/>
        </w:rPr>
        <w:t xml:space="preserve">Kang </w:t>
      </w:r>
      <w:r w:rsidR="00A94D33" w:rsidRPr="00000DD3">
        <w:rPr>
          <w:rFonts w:ascii="Book Antiqua" w:eastAsia="黑体" w:hAnsi="Book Antiqua" w:cstheme="minorHAnsi" w:hint="eastAsia"/>
          <w:i/>
          <w:lang w:eastAsia="zh-CN"/>
        </w:rPr>
        <w:t>et al</w:t>
      </w:r>
      <w:r w:rsidR="00A94D33" w:rsidRPr="00000DD3">
        <w:rPr>
          <w:rFonts w:ascii="Book Antiqua" w:hAnsi="Book Antiqua" w:cstheme="minorHAnsi"/>
        </w:rPr>
        <w:fldChar w:fldCharType="begin" w:fldLock="1"/>
      </w:r>
      <w:r w:rsidR="00A94D33" w:rsidRPr="00000DD3">
        <w:rPr>
          <w:rFonts w:ascii="Book Antiqua" w:hAnsi="Book Antiqua" w:cstheme="minorHAnsi"/>
        </w:rPr>
        <w:instrText>ADDIN CSL_CITATION {"citationItems":[{"id":"ITEM-1","itemData":{"DOI":"10.4142/jvs.2012.13.3.299","ISBN":"1976-555X (Electronic)\\n1229-845X (Linking)","ISSN":"1229845X","PMID":"23000587","abstract":"Alternative sources of mesenchymal stem cells (MSCs) for replacing bone marrow (BM) have been extensively investigated in the field of bone tissue engineering. The purpose of this study was to compare the osteogenic potential of canine MSCs derived from adipose tissue (AT), BM, umbilical cord blood (UCB), and Wharton's jelly (WJ) using in vitro culture techniques and in vivo orthotopic implantation assays. After canine MSCs were isolated from various tissues, the proliferation and osteogenic potential along with vascular endothelial growth factor (VEGF) production were measured and compared in vitro. For the in vivo assay, MSCs derived from each type of tissue were mixed with β-tricalcium phosphate and implanted into segmental bone defects in dogs. Among the different types of MSCs, AT-MSCs had a higher proliferation potential and BM-MSCs produced the most VEGF. AT-MSCs and UCB-MSCs showed greater in vitro osteogenic potential compared to the other cells. Radiographic and histological analyses showed that all tested MSCs had similar osteogenic capacities, and the level of new bone formation was much higher with implants containing MSCs than cell-free implants. These results indicate that AT-MSCs, UCB-MSCs, and WJ-MSCs can potentially be used in place of BM-MSCs for clinical bone engineering procedures.","author":[{"dropping-particle":"","family":"Kang","given":"Byung Jae","non-dropping-particle":"","parse-names":false,"suffix":""},{"dropping-particle":"","family":"Ryu","given":"Hak Hyun","non-dropping-particle":"","parse-names":false,"suffix":""},{"dropping-particle":"","family":"Park","given":"Sung Su","non-dropping-particle":"","parse-names":false,"suffix":""},{"dropping-particle":"","family":"Koyama","given":"Yoshihisa","non-dropping-particle":"","parse-names":false,"suffix":""},{"dropping-particle":"","family":"Kikuchi","given":"Masanori","non-dropping-particle":"","parse-names":false,"suffix":""},{"dropping-particle":"","family":"Woo","given":"Heung Myong","non-dropping-particle":"","parse-names":false,"suffix":""},{"dropping-particle":"","family":"Kim","given":"Wan Hee","non-dropping-particle":"","parse-names":false,"suffix":""},{"dropping-particle":"","family":"Kweon","given":"Oh Kyeong","non-dropping-particle":"","parse-names":false,"suffix":""}],"container-title":"Journal of Veterinary Science","id":"ITEM-1","issue":"3","issued":{"date-parts":[["2012"]]},"page":"299-310","title":"Comparing the osteogenic potential of canine mesenchymal stem cells derived from adipose tissues, bone marrow, umbilical cord blood, and Wharton's jelly for treating bone defects","type":"article-journal","volume":"13"},"uris":["http://www.mendeley.com/documents/?uuid=115143d3-f860-34a0-9ace-15ff46b6232f"]}],"mendeley":{"formattedCitation":"&lt;sup&gt;[50]&lt;/sup&gt;","plainTextFormattedCitation":"[50]","previouslyFormattedCitation":"&lt;sup&gt;[50]&lt;/sup&gt;"},"properties":{"noteIndex":0},"schema":"https://github.com/citation-style-language/schema/raw/master/csl-citation.json"}</w:instrText>
      </w:r>
      <w:r w:rsidR="00A94D33" w:rsidRPr="00000DD3">
        <w:rPr>
          <w:rFonts w:ascii="Book Antiqua" w:hAnsi="Book Antiqua" w:cstheme="minorHAnsi"/>
        </w:rPr>
        <w:fldChar w:fldCharType="separate"/>
      </w:r>
      <w:r w:rsidR="00A94D33" w:rsidRPr="00000DD3">
        <w:rPr>
          <w:rFonts w:ascii="Book Antiqua" w:hAnsi="Book Antiqua" w:cstheme="minorHAnsi"/>
          <w:noProof/>
          <w:vertAlign w:val="superscript"/>
        </w:rPr>
        <w:t>[50]</w:t>
      </w:r>
      <w:r w:rsidR="00A94D33" w:rsidRPr="00000DD3">
        <w:rPr>
          <w:rFonts w:ascii="Book Antiqua" w:hAnsi="Book Antiqua" w:cstheme="minorHAnsi"/>
        </w:rPr>
        <w:fldChar w:fldCharType="end"/>
      </w:r>
      <w:r w:rsidR="009B2947" w:rsidRPr="00000DD3">
        <w:rPr>
          <w:rFonts w:ascii="Book Antiqua" w:hAnsi="Book Antiqua" w:cstheme="minorHAnsi"/>
        </w:rPr>
        <w:t xml:space="preserve"> showed </w:t>
      </w:r>
      <w:r w:rsidRPr="00000DD3">
        <w:rPr>
          <w:rFonts w:ascii="Book Antiqua" w:hAnsi="Book Antiqua" w:cstheme="minorHAnsi"/>
        </w:rPr>
        <w:t xml:space="preserve">a </w:t>
      </w:r>
      <w:r w:rsidR="009B2947" w:rsidRPr="00000DD3">
        <w:rPr>
          <w:rFonts w:ascii="Book Antiqua" w:hAnsi="Book Antiqua" w:cstheme="minorHAnsi"/>
        </w:rPr>
        <w:t>great</w:t>
      </w:r>
      <w:r w:rsidRPr="00000DD3">
        <w:rPr>
          <w:rFonts w:ascii="Book Antiqua" w:hAnsi="Book Antiqua" w:cstheme="minorHAnsi"/>
        </w:rPr>
        <w:t>er</w:t>
      </w:r>
      <w:r w:rsidR="009B2947" w:rsidRPr="00000DD3">
        <w:rPr>
          <w:rFonts w:ascii="Book Antiqua" w:hAnsi="Book Antiqua" w:cstheme="minorHAnsi"/>
        </w:rPr>
        <w:t xml:space="preserve"> osteogenic ability of AD-</w:t>
      </w:r>
      <w:proofErr w:type="spellStart"/>
      <w:r w:rsidR="009B2947" w:rsidRPr="00000DD3">
        <w:rPr>
          <w:rFonts w:ascii="Book Antiqua" w:hAnsi="Book Antiqua" w:cstheme="minorHAnsi"/>
        </w:rPr>
        <w:t>cMSCs</w:t>
      </w:r>
      <w:proofErr w:type="spellEnd"/>
      <w:r w:rsidR="009B2947" w:rsidRPr="00000DD3">
        <w:rPr>
          <w:rFonts w:ascii="Book Antiqua" w:hAnsi="Book Antiqua" w:cstheme="minorHAnsi"/>
        </w:rPr>
        <w:t xml:space="preserve"> </w:t>
      </w:r>
      <w:r w:rsidR="00421B62" w:rsidRPr="00000DD3">
        <w:rPr>
          <w:rFonts w:ascii="Book Antiqua" w:hAnsi="Book Antiqua" w:cstheme="minorHAnsi"/>
        </w:rPr>
        <w:t xml:space="preserve">when </w:t>
      </w:r>
      <w:r w:rsidR="009B2947" w:rsidRPr="00000DD3">
        <w:rPr>
          <w:rFonts w:ascii="Book Antiqua" w:hAnsi="Book Antiqua" w:cstheme="minorHAnsi"/>
        </w:rPr>
        <w:t xml:space="preserve">compared </w:t>
      </w:r>
      <w:r w:rsidR="00421B62" w:rsidRPr="00000DD3">
        <w:rPr>
          <w:rFonts w:ascii="Book Antiqua" w:hAnsi="Book Antiqua" w:cstheme="minorHAnsi"/>
        </w:rPr>
        <w:t xml:space="preserve">with </w:t>
      </w:r>
      <w:r w:rsidR="009B2947" w:rsidRPr="00000DD3">
        <w:rPr>
          <w:rFonts w:ascii="Book Antiqua" w:hAnsi="Book Antiqua" w:cstheme="minorHAnsi"/>
        </w:rPr>
        <w:t>BM-</w:t>
      </w:r>
      <w:proofErr w:type="spellStart"/>
      <w:r w:rsidR="009B2947" w:rsidRPr="00000DD3">
        <w:rPr>
          <w:rFonts w:ascii="Book Antiqua" w:hAnsi="Book Antiqua" w:cstheme="minorHAnsi"/>
        </w:rPr>
        <w:t>cMSCs</w:t>
      </w:r>
      <w:proofErr w:type="spellEnd"/>
      <w:r w:rsidR="009B2947" w:rsidRPr="00000DD3">
        <w:rPr>
          <w:rFonts w:ascii="Book Antiqua" w:hAnsi="Book Antiqua" w:cstheme="minorHAnsi"/>
        </w:rPr>
        <w:t xml:space="preserve"> and Wharton’s jelly-derived </w:t>
      </w:r>
      <w:proofErr w:type="spellStart"/>
      <w:r w:rsidR="009B2947" w:rsidRPr="00000DD3">
        <w:rPr>
          <w:rFonts w:ascii="Book Antiqua" w:hAnsi="Book Antiqua" w:cstheme="minorHAnsi"/>
        </w:rPr>
        <w:t>cMSCs</w:t>
      </w:r>
      <w:proofErr w:type="spellEnd"/>
      <w:r w:rsidR="009B2947" w:rsidRPr="00000DD3">
        <w:rPr>
          <w:rFonts w:ascii="Book Antiqua" w:hAnsi="Book Antiqua" w:cstheme="minorHAnsi"/>
        </w:rPr>
        <w:t xml:space="preserve">. </w:t>
      </w:r>
    </w:p>
    <w:p w14:paraId="2430C039" w14:textId="2EDAB9DC" w:rsidR="005C6734" w:rsidRPr="00000DD3" w:rsidRDefault="006D5231" w:rsidP="009E6380">
      <w:pPr>
        <w:spacing w:line="360" w:lineRule="auto"/>
        <w:ind w:firstLineChars="100" w:firstLine="240"/>
        <w:jc w:val="both"/>
        <w:rPr>
          <w:rFonts w:ascii="Book Antiqua" w:hAnsi="Book Antiqua" w:cstheme="minorHAnsi"/>
        </w:rPr>
      </w:pPr>
      <w:r w:rsidRPr="00000DD3">
        <w:rPr>
          <w:rFonts w:ascii="Book Antiqua" w:hAnsi="Book Antiqua" w:cstheme="minorHAnsi"/>
        </w:rPr>
        <w:t>The c</w:t>
      </w:r>
      <w:r w:rsidR="009B2947" w:rsidRPr="00000DD3">
        <w:rPr>
          <w:rFonts w:ascii="Book Antiqua" w:hAnsi="Book Antiqua" w:cstheme="minorHAnsi"/>
        </w:rPr>
        <w:t>hondrogen</w:t>
      </w:r>
      <w:r w:rsidR="006A37F0" w:rsidRPr="00000DD3">
        <w:rPr>
          <w:rFonts w:ascii="Book Antiqua" w:hAnsi="Book Antiqua" w:cstheme="minorHAnsi"/>
        </w:rPr>
        <w:t>ic differentiation potency</w:t>
      </w:r>
      <w:r w:rsidR="009B2947" w:rsidRPr="00000DD3">
        <w:rPr>
          <w:rFonts w:ascii="Book Antiqua" w:hAnsi="Book Antiqua" w:cstheme="minorHAnsi"/>
        </w:rPr>
        <w:t xml:space="preserve"> is </w:t>
      </w:r>
      <w:r w:rsidR="006A37F0" w:rsidRPr="00000DD3">
        <w:rPr>
          <w:rFonts w:ascii="Book Antiqua" w:hAnsi="Book Antiqua" w:cstheme="minorHAnsi"/>
        </w:rPr>
        <w:t xml:space="preserve">a </w:t>
      </w:r>
      <w:r w:rsidR="00B10803" w:rsidRPr="00000DD3">
        <w:rPr>
          <w:rFonts w:ascii="Book Antiqua" w:hAnsi="Book Antiqua" w:cstheme="minorHAnsi"/>
        </w:rPr>
        <w:t>crucial characteristic</w:t>
      </w:r>
      <w:r w:rsidR="009B2947" w:rsidRPr="00000DD3">
        <w:rPr>
          <w:rFonts w:ascii="Book Antiqua" w:hAnsi="Book Antiqua" w:cstheme="minorHAnsi"/>
        </w:rPr>
        <w:t xml:space="preserve"> of </w:t>
      </w:r>
      <w:proofErr w:type="spellStart"/>
      <w:r w:rsidR="009B2947" w:rsidRPr="00000DD3">
        <w:rPr>
          <w:rFonts w:ascii="Book Antiqua" w:hAnsi="Book Antiqua" w:cstheme="minorHAnsi"/>
        </w:rPr>
        <w:t>cMSCs</w:t>
      </w:r>
      <w:proofErr w:type="spellEnd"/>
      <w:r w:rsidR="009B2947" w:rsidRPr="00000DD3">
        <w:rPr>
          <w:rFonts w:ascii="Book Antiqua" w:hAnsi="Book Antiqua" w:cstheme="minorHAnsi"/>
        </w:rPr>
        <w:t xml:space="preserve"> </w:t>
      </w:r>
      <w:r w:rsidRPr="00000DD3">
        <w:rPr>
          <w:rFonts w:ascii="Book Antiqua" w:hAnsi="Book Antiqua" w:cstheme="minorHAnsi"/>
        </w:rPr>
        <w:t xml:space="preserve">intended </w:t>
      </w:r>
      <w:r w:rsidR="009B2947" w:rsidRPr="00000DD3">
        <w:rPr>
          <w:rFonts w:ascii="Book Antiqua" w:hAnsi="Book Antiqua" w:cstheme="minorHAnsi"/>
        </w:rPr>
        <w:t>for use in cartilage regenerative therapy.</w:t>
      </w:r>
      <w:r w:rsidR="009B3598" w:rsidRPr="00000DD3">
        <w:rPr>
          <w:rFonts w:ascii="Book Antiqua" w:hAnsi="Book Antiqua" w:cstheme="minorHAnsi"/>
        </w:rPr>
        <w:t xml:space="preserve"> </w:t>
      </w:r>
      <w:r w:rsidR="006A37F0" w:rsidRPr="00000DD3">
        <w:rPr>
          <w:rFonts w:ascii="Book Antiqua" w:hAnsi="Book Antiqua" w:cstheme="minorHAnsi"/>
          <w:i/>
        </w:rPr>
        <w:t>In vivo</w:t>
      </w:r>
      <w:r w:rsidR="006A37F0" w:rsidRPr="00000DD3">
        <w:rPr>
          <w:rFonts w:ascii="Book Antiqua" w:hAnsi="Book Antiqua" w:cstheme="minorHAnsi"/>
        </w:rPr>
        <w:t xml:space="preserve"> cartilage formation </w:t>
      </w:r>
      <w:r w:rsidR="00CF6AE1" w:rsidRPr="00000DD3">
        <w:rPr>
          <w:rFonts w:ascii="Book Antiqua" w:hAnsi="Book Antiqua" w:cstheme="minorHAnsi"/>
        </w:rPr>
        <w:t xml:space="preserve">during </w:t>
      </w:r>
      <w:r w:rsidR="00D94F8B" w:rsidRPr="00000DD3">
        <w:rPr>
          <w:rFonts w:ascii="Book Antiqua" w:hAnsi="Book Antiqua" w:cstheme="minorHAnsi"/>
        </w:rPr>
        <w:t>embryogenesis is initiated by condensation of cells</w:t>
      </w:r>
      <w:r w:rsidRPr="00000DD3">
        <w:rPr>
          <w:rFonts w:ascii="Book Antiqua" w:hAnsi="Book Antiqua" w:cstheme="minorHAnsi"/>
        </w:rPr>
        <w:t>,</w:t>
      </w:r>
      <w:r w:rsidR="00D94F8B" w:rsidRPr="00000DD3">
        <w:rPr>
          <w:rFonts w:ascii="Book Antiqua" w:hAnsi="Book Antiqua" w:cstheme="minorHAnsi"/>
        </w:rPr>
        <w:t xml:space="preserve"> and </w:t>
      </w:r>
      <w:r w:rsidRPr="00000DD3">
        <w:rPr>
          <w:rFonts w:ascii="Book Antiqua" w:hAnsi="Book Antiqua" w:cstheme="minorHAnsi"/>
        </w:rPr>
        <w:t xml:space="preserve">the </w:t>
      </w:r>
      <w:r w:rsidR="00D94F8B" w:rsidRPr="00000DD3">
        <w:rPr>
          <w:rFonts w:ascii="Book Antiqua" w:hAnsi="Book Antiqua" w:cstheme="minorHAnsi"/>
        </w:rPr>
        <w:t>cell</w:t>
      </w:r>
      <w:r w:rsidRPr="00000DD3">
        <w:rPr>
          <w:rFonts w:ascii="Book Antiqua" w:hAnsi="Book Antiqua" w:cstheme="minorHAnsi"/>
        </w:rPr>
        <w:t>-</w:t>
      </w:r>
      <w:r w:rsidR="00D94F8B" w:rsidRPr="00000DD3">
        <w:rPr>
          <w:rFonts w:ascii="Book Antiqua" w:hAnsi="Book Antiqua" w:cstheme="minorHAnsi"/>
        </w:rPr>
        <w:t>to</w:t>
      </w:r>
      <w:r w:rsidRPr="00000DD3">
        <w:rPr>
          <w:rFonts w:ascii="Book Antiqua" w:hAnsi="Book Antiqua" w:cstheme="minorHAnsi"/>
        </w:rPr>
        <w:t>-</w:t>
      </w:r>
      <w:r w:rsidR="00D94F8B" w:rsidRPr="00000DD3">
        <w:rPr>
          <w:rFonts w:ascii="Book Antiqua" w:hAnsi="Book Antiqua" w:cstheme="minorHAnsi"/>
        </w:rPr>
        <w:t xml:space="preserve">cell contacts </w:t>
      </w:r>
      <w:r w:rsidRPr="00000DD3">
        <w:rPr>
          <w:rFonts w:ascii="Book Antiqua" w:hAnsi="Book Antiqua" w:cstheme="minorHAnsi"/>
        </w:rPr>
        <w:t xml:space="preserve">induced by </w:t>
      </w:r>
      <w:r w:rsidR="00D94F8B" w:rsidRPr="00000DD3">
        <w:rPr>
          <w:rFonts w:ascii="Book Antiqua" w:hAnsi="Book Antiqua" w:cstheme="minorHAnsi"/>
        </w:rPr>
        <w:t xml:space="preserve">condensation </w:t>
      </w:r>
      <w:r w:rsidRPr="00000DD3">
        <w:rPr>
          <w:rFonts w:ascii="Book Antiqua" w:hAnsi="Book Antiqua" w:cstheme="minorHAnsi"/>
        </w:rPr>
        <w:t xml:space="preserve">are </w:t>
      </w:r>
      <w:r w:rsidR="00D94F8B" w:rsidRPr="00000DD3">
        <w:rPr>
          <w:rFonts w:ascii="Book Antiqua" w:hAnsi="Book Antiqua" w:cstheme="minorHAnsi"/>
        </w:rPr>
        <w:t xml:space="preserve">crucial for </w:t>
      </w:r>
      <w:r w:rsidRPr="00000DD3">
        <w:rPr>
          <w:rFonts w:ascii="Book Antiqua" w:hAnsi="Book Antiqua" w:cstheme="minorHAnsi"/>
        </w:rPr>
        <w:t xml:space="preserve">the </w:t>
      </w:r>
      <w:r w:rsidR="00D94F8B" w:rsidRPr="00000DD3">
        <w:rPr>
          <w:rFonts w:ascii="Book Antiqua" w:hAnsi="Book Antiqua" w:cstheme="minorHAnsi"/>
        </w:rPr>
        <w:t>onset of chondrogenesis</w:t>
      </w:r>
      <w:r w:rsidR="004F63AA" w:rsidRPr="00000DD3">
        <w:rPr>
          <w:rFonts w:ascii="Book Antiqua" w:hAnsi="Book Antiqua" w:cstheme="minorHAnsi"/>
        </w:rPr>
        <w:fldChar w:fldCharType="begin" w:fldLock="1"/>
      </w:r>
      <w:r w:rsidR="001D5C27" w:rsidRPr="00000DD3">
        <w:rPr>
          <w:rFonts w:ascii="Book Antiqua" w:hAnsi="Book Antiqua" w:cstheme="minorHAnsi"/>
        </w:rPr>
        <w:instrText>ADDIN CSL_CITATION {"citationItems":[{"id":"ITEM-1","itemData":{"DOI":"10.1016/j.bone.2018.10.004","ISSN":"87563282","PMID":"30296494","abstract":"Within the last decade epigenetics has emerged as fundamental regulator of numerous cellular processes, including those orchestrating embryonic and fetal development. As such, epigenetic factors play especially crucial roles in endochondral ossification, the process by which bone tissue is created, as well during articular cartilage formation. In this review, we summarize the recent discoveries that characterize how DNA methylation, histone post-translational modifications and non-coding RNA (e.g., miRNA and lcnRNA) epigenetically regulate endochondral ossification and chondrogenesis.","author":[{"dropping-particle":"","family":"Allas","given":"Lyess","non-dropping-particle":"","parse-names":false,"suffix":""},{"dropping-particle":"","family":"Boumédiene","given":"Karim","non-dropping-particle":"","parse-names":false,"suffix":""},{"dropping-particle":"","family":"Baugé","given":"Catherine","non-dropping-particle":"","parse-names":false,"suffix":""}],"container-title":"Bone","id":"ITEM-1","issued":{"date-parts":[["2019"]]},"page":"523-532","publisher":"Elsevier","title":"Epigenetic dynamic during endochondral ossification and articular cartilage development","type":"article-journal","volume":"120"},"uris":["http://www.mendeley.com/documents/?uuid=f83be065-6f88-4b8f-ba88-0b7f0159085c"]}],"mendeley":{"formattedCitation":"&lt;sup&gt;[69]&lt;/sup&gt;","plainTextFormattedCitation":"[69]","previouslyFormattedCitation":"&lt;sup&gt;[69]&lt;/sup&gt;"},"properties":{"noteIndex":0},"schema":"https://github.com/citation-style-language/schema/raw/master/csl-citation.json"}</w:instrText>
      </w:r>
      <w:r w:rsidR="004F63AA" w:rsidRPr="00000DD3">
        <w:rPr>
          <w:rFonts w:ascii="Book Antiqua" w:hAnsi="Book Antiqua" w:cstheme="minorHAnsi"/>
        </w:rPr>
        <w:fldChar w:fldCharType="separate"/>
      </w:r>
      <w:r w:rsidR="007D3D74" w:rsidRPr="00000DD3">
        <w:rPr>
          <w:rFonts w:ascii="Book Antiqua" w:hAnsi="Book Antiqua" w:cstheme="minorHAnsi"/>
          <w:noProof/>
          <w:vertAlign w:val="superscript"/>
        </w:rPr>
        <w:t>[69]</w:t>
      </w:r>
      <w:r w:rsidR="004F63AA" w:rsidRPr="00000DD3">
        <w:rPr>
          <w:rFonts w:ascii="Book Antiqua" w:hAnsi="Book Antiqua" w:cstheme="minorHAnsi"/>
        </w:rPr>
        <w:fldChar w:fldCharType="end"/>
      </w:r>
      <w:r w:rsidR="00D94F8B" w:rsidRPr="00000DD3">
        <w:rPr>
          <w:rFonts w:ascii="Book Antiqua" w:hAnsi="Book Antiqua" w:cstheme="minorHAnsi"/>
        </w:rPr>
        <w:t>.</w:t>
      </w:r>
      <w:r w:rsidR="008B7F4B" w:rsidRPr="00000DD3">
        <w:rPr>
          <w:rFonts w:ascii="Book Antiqua" w:hAnsi="Book Antiqua" w:cstheme="minorHAnsi"/>
        </w:rPr>
        <w:t xml:space="preserve"> </w:t>
      </w:r>
      <w:r w:rsidR="005C6734" w:rsidRPr="00000DD3">
        <w:rPr>
          <w:rFonts w:ascii="Book Antiqua" w:hAnsi="Book Antiqua" w:cstheme="minorHAnsi"/>
        </w:rPr>
        <w:t>The growth factor</w:t>
      </w:r>
      <w:r w:rsidR="004D7695" w:rsidRPr="00000DD3">
        <w:rPr>
          <w:rFonts w:ascii="Book Antiqua" w:hAnsi="Book Antiqua" w:cstheme="minorHAnsi"/>
        </w:rPr>
        <w:t xml:space="preserve"> transforming growth factor-β</w:t>
      </w:r>
      <w:r w:rsidR="005C6734" w:rsidRPr="00000DD3">
        <w:rPr>
          <w:rFonts w:ascii="Book Antiqua" w:hAnsi="Book Antiqua" w:cstheme="minorHAnsi"/>
        </w:rPr>
        <w:t xml:space="preserve"> </w:t>
      </w:r>
      <w:r w:rsidR="004D7695" w:rsidRPr="00000DD3">
        <w:rPr>
          <w:rFonts w:ascii="Book Antiqua" w:hAnsi="Book Antiqua" w:cstheme="minorHAnsi"/>
        </w:rPr>
        <w:t>(</w:t>
      </w:r>
      <w:r w:rsidR="00D94F8B" w:rsidRPr="00000DD3">
        <w:rPr>
          <w:rFonts w:ascii="Book Antiqua" w:hAnsi="Book Antiqua" w:cstheme="minorHAnsi"/>
        </w:rPr>
        <w:t>TGF-β</w:t>
      </w:r>
      <w:r w:rsidR="004D7695" w:rsidRPr="00000DD3">
        <w:rPr>
          <w:rFonts w:ascii="Book Antiqua" w:hAnsi="Book Antiqua" w:cstheme="minorHAnsi"/>
        </w:rPr>
        <w:t>)</w:t>
      </w:r>
      <w:r w:rsidR="00D94F8B" w:rsidRPr="00000DD3">
        <w:rPr>
          <w:rFonts w:ascii="Book Antiqua" w:hAnsi="Book Antiqua" w:cstheme="minorHAnsi"/>
        </w:rPr>
        <w:t xml:space="preserve"> is </w:t>
      </w:r>
      <w:r w:rsidR="004A6472" w:rsidRPr="00000DD3">
        <w:rPr>
          <w:rFonts w:ascii="Book Antiqua" w:hAnsi="Book Antiqua" w:cstheme="minorHAnsi"/>
        </w:rPr>
        <w:t>cr</w:t>
      </w:r>
      <w:r w:rsidR="005C7880" w:rsidRPr="00000DD3">
        <w:rPr>
          <w:rFonts w:ascii="Book Antiqua" w:hAnsi="Book Antiqua" w:cstheme="minorHAnsi"/>
        </w:rPr>
        <w:t>u</w:t>
      </w:r>
      <w:r w:rsidR="004A6472" w:rsidRPr="00000DD3">
        <w:rPr>
          <w:rFonts w:ascii="Book Antiqua" w:hAnsi="Book Antiqua" w:cstheme="minorHAnsi"/>
        </w:rPr>
        <w:t>c</w:t>
      </w:r>
      <w:r w:rsidR="005C7880" w:rsidRPr="00000DD3">
        <w:rPr>
          <w:rFonts w:ascii="Book Antiqua" w:hAnsi="Book Antiqua" w:cstheme="minorHAnsi"/>
        </w:rPr>
        <w:t>i</w:t>
      </w:r>
      <w:r w:rsidR="004A6472" w:rsidRPr="00000DD3">
        <w:rPr>
          <w:rFonts w:ascii="Book Antiqua" w:hAnsi="Book Antiqua" w:cstheme="minorHAnsi"/>
        </w:rPr>
        <w:t>al</w:t>
      </w:r>
      <w:r w:rsidR="00D94F8B" w:rsidRPr="00000DD3">
        <w:rPr>
          <w:rFonts w:ascii="Book Antiqua" w:hAnsi="Book Antiqua" w:cstheme="minorHAnsi"/>
        </w:rPr>
        <w:t xml:space="preserve"> for the formation of </w:t>
      </w:r>
      <w:r w:rsidR="003456C0" w:rsidRPr="00000DD3">
        <w:rPr>
          <w:rFonts w:ascii="Book Antiqua" w:hAnsi="Book Antiqua" w:cstheme="minorHAnsi"/>
        </w:rPr>
        <w:t>three-dimensional aggregate</w:t>
      </w:r>
      <w:r w:rsidR="005C6734" w:rsidRPr="00000DD3">
        <w:rPr>
          <w:rFonts w:ascii="Book Antiqua" w:hAnsi="Book Antiqua" w:cstheme="minorHAnsi"/>
        </w:rPr>
        <w:t>s</w:t>
      </w:r>
      <w:r w:rsidR="003456C0" w:rsidRPr="00000DD3">
        <w:rPr>
          <w:rFonts w:ascii="Book Antiqua" w:hAnsi="Book Antiqua" w:cstheme="minorHAnsi"/>
        </w:rPr>
        <w:t xml:space="preserve"> </w:t>
      </w:r>
      <w:r w:rsidR="005C6734" w:rsidRPr="00000DD3">
        <w:rPr>
          <w:rFonts w:ascii="Book Antiqua" w:hAnsi="Book Antiqua" w:cstheme="minorHAnsi"/>
        </w:rPr>
        <w:t xml:space="preserve">during </w:t>
      </w:r>
      <w:r w:rsidR="003456C0" w:rsidRPr="00000DD3">
        <w:rPr>
          <w:rFonts w:ascii="Book Antiqua" w:hAnsi="Book Antiqua" w:cstheme="minorHAnsi"/>
        </w:rPr>
        <w:t xml:space="preserve">chondrogenesis </w:t>
      </w:r>
      <w:r w:rsidR="005C6734" w:rsidRPr="00000DD3">
        <w:rPr>
          <w:rFonts w:ascii="Book Antiqua" w:hAnsi="Book Antiqua" w:cstheme="minorHAnsi"/>
        </w:rPr>
        <w:t xml:space="preserve">in </w:t>
      </w:r>
      <w:r w:rsidR="003456C0" w:rsidRPr="00000DD3">
        <w:rPr>
          <w:rFonts w:ascii="Book Antiqua" w:hAnsi="Book Antiqua" w:cstheme="minorHAnsi"/>
        </w:rPr>
        <w:t>human MSCs</w:t>
      </w:r>
      <w:r w:rsidR="00686A41" w:rsidRPr="00000DD3">
        <w:rPr>
          <w:rFonts w:ascii="Book Antiqua" w:hAnsi="Book Antiqua" w:cstheme="minorHAnsi"/>
        </w:rPr>
        <w:fldChar w:fldCharType="begin" w:fldLock="1"/>
      </w:r>
      <w:r w:rsidR="006A3361" w:rsidRPr="00000DD3">
        <w:rPr>
          <w:rFonts w:ascii="Book Antiqua" w:hAnsi="Book Antiqua" w:cstheme="minorHAnsi"/>
        </w:rPr>
        <w:instrText>ADDIN CSL_CITATION {"citationItems":[{"id":"ITEM-1","itemData":{"DOI":"10.17576/jsm-2018-4710-11","ISSN":"01266039","author":[{"dropping-particle":"","family":"Omar","given":"Siti Nurhadis Che","non-dropping-particle":"","parse-names":false,"suffix":""},{"dropping-particle":"","family":"Goh","given":"Bee See","non-dropping-particle":"","parse-names":false,"suffix":""},{"dropping-particle":"","family":"Ubaidah","given":"Muhammad Azhan","non-dropping-particle":"","parse-names":false,"suffix":""},{"dropping-particle":"","family":"Khairoji","given":"Khairul Anuar","non-dropping-particle":"","parse-names":false,"suffix":""},{"dropping-particle":"","family":"Sulaiman","given":"Shamsul","non-dropping-particle":"","parse-names":false,"suffix":""},{"dropping-particle":"","family":"Saim","given":"Lokman","non-dropping-particle":"","parse-names":false,"suffix":""},{"dropping-particle":"","family":"Chua","given":"Kien-Hui","non-dropping-particle":"","parse-names":false,"suffix":""}],"container-title":"Sains Malaysiana","id":"ITEM-1","issue":"10","issued":{"date-parts":[["2018"]]},"page":"2349-2358","title":"Transforming growth factor beta 3 induced human adipose-derived stem cells for auricular chondrogenesis","type":"article-journal","volume":"47"},"uris":["http://www.mendeley.com/documents/?uuid=a6d9981d-be09-42ca-9449-8fbf3849d33c"]}],"mendeley":{"formattedCitation":"&lt;sup&gt;[70]&lt;/sup&gt;","plainTextFormattedCitation":"[70]","previouslyFormattedCitation":"&lt;sup&gt;[70]&lt;/sup&gt;"},"properties":{"noteIndex":0},"schema":"https://github.com/citation-style-language/schema/raw/master/csl-citation.json"}</w:instrText>
      </w:r>
      <w:r w:rsidR="00686A41" w:rsidRPr="00000DD3">
        <w:rPr>
          <w:rFonts w:ascii="Book Antiqua" w:hAnsi="Book Antiqua" w:cstheme="minorHAnsi"/>
        </w:rPr>
        <w:fldChar w:fldCharType="separate"/>
      </w:r>
      <w:r w:rsidR="00686A41" w:rsidRPr="00000DD3">
        <w:rPr>
          <w:rFonts w:ascii="Book Antiqua" w:hAnsi="Book Antiqua" w:cstheme="minorHAnsi"/>
          <w:noProof/>
          <w:vertAlign w:val="superscript"/>
        </w:rPr>
        <w:t>[70]</w:t>
      </w:r>
      <w:r w:rsidR="00686A41" w:rsidRPr="00000DD3">
        <w:rPr>
          <w:rFonts w:ascii="Book Antiqua" w:hAnsi="Book Antiqua" w:cstheme="minorHAnsi"/>
        </w:rPr>
        <w:fldChar w:fldCharType="end"/>
      </w:r>
      <w:r w:rsidR="005C6734" w:rsidRPr="00000DD3">
        <w:rPr>
          <w:rFonts w:ascii="Book Antiqua" w:hAnsi="Book Antiqua" w:cstheme="minorHAnsi"/>
        </w:rPr>
        <w:t>, whereas</w:t>
      </w:r>
      <w:r w:rsidR="003456C0" w:rsidRPr="00000DD3">
        <w:rPr>
          <w:rFonts w:ascii="Book Antiqua" w:hAnsi="Book Antiqua" w:cstheme="minorHAnsi"/>
        </w:rPr>
        <w:t xml:space="preserve"> </w:t>
      </w:r>
      <w:proofErr w:type="spellStart"/>
      <w:r w:rsidR="004E06DB" w:rsidRPr="00000DD3">
        <w:rPr>
          <w:rFonts w:ascii="Book Antiqua" w:hAnsi="Book Antiqua" w:cstheme="minorHAnsi"/>
        </w:rPr>
        <w:t>cMSCs</w:t>
      </w:r>
      <w:proofErr w:type="spellEnd"/>
      <w:r w:rsidR="004E06DB" w:rsidRPr="00000DD3">
        <w:rPr>
          <w:rFonts w:ascii="Book Antiqua" w:hAnsi="Book Antiqua" w:cstheme="minorHAnsi"/>
        </w:rPr>
        <w:t xml:space="preserve"> </w:t>
      </w:r>
      <w:r w:rsidR="005C6734" w:rsidRPr="00000DD3">
        <w:rPr>
          <w:rFonts w:ascii="Book Antiqua" w:hAnsi="Book Antiqua" w:cstheme="minorHAnsi"/>
        </w:rPr>
        <w:t xml:space="preserve">intrinsically </w:t>
      </w:r>
      <w:r w:rsidR="004E06DB" w:rsidRPr="00000DD3">
        <w:rPr>
          <w:rFonts w:ascii="Book Antiqua" w:hAnsi="Book Antiqua" w:cstheme="minorHAnsi"/>
        </w:rPr>
        <w:t xml:space="preserve">aggregate in </w:t>
      </w:r>
      <w:proofErr w:type="spellStart"/>
      <w:r w:rsidR="004E06DB" w:rsidRPr="00000DD3">
        <w:rPr>
          <w:rFonts w:ascii="Book Antiqua" w:hAnsi="Book Antiqua" w:cstheme="minorHAnsi"/>
        </w:rPr>
        <w:t>micromass</w:t>
      </w:r>
      <w:proofErr w:type="spellEnd"/>
      <w:r w:rsidR="004E06DB" w:rsidRPr="00000DD3">
        <w:rPr>
          <w:rFonts w:ascii="Book Antiqua" w:hAnsi="Book Antiqua" w:cstheme="minorHAnsi"/>
        </w:rPr>
        <w:t xml:space="preserve"> culture </w:t>
      </w:r>
      <w:r w:rsidR="005C6734" w:rsidRPr="00000DD3">
        <w:rPr>
          <w:rFonts w:ascii="Book Antiqua" w:hAnsi="Book Antiqua" w:cstheme="minorHAnsi"/>
        </w:rPr>
        <w:t xml:space="preserve">even in the absence of </w:t>
      </w:r>
      <w:r w:rsidR="004E06DB" w:rsidRPr="00000DD3">
        <w:rPr>
          <w:rFonts w:ascii="Book Antiqua" w:hAnsi="Book Antiqua" w:cstheme="minorHAnsi"/>
        </w:rPr>
        <w:t>TGF</w:t>
      </w:r>
      <w:r w:rsidR="006865E8" w:rsidRPr="00000DD3">
        <w:rPr>
          <w:rFonts w:ascii="Book Antiqua" w:hAnsi="Book Antiqua" w:cstheme="minorHAnsi"/>
        </w:rPr>
        <w:t>-</w:t>
      </w:r>
      <w:r w:rsidR="004E06DB" w:rsidRPr="00000DD3">
        <w:rPr>
          <w:rFonts w:ascii="Book Antiqua" w:hAnsi="Book Antiqua" w:cstheme="minorHAnsi"/>
        </w:rPr>
        <w:t>β</w:t>
      </w:r>
      <w:r w:rsidR="00075D85" w:rsidRPr="00000DD3">
        <w:rPr>
          <w:rFonts w:ascii="Book Antiqua" w:hAnsi="Book Antiqua" w:cstheme="minorHAnsi"/>
        </w:rPr>
        <w:fldChar w:fldCharType="begin" w:fldLock="1"/>
      </w:r>
      <w:r w:rsidR="006A3361" w:rsidRPr="00000DD3">
        <w:rPr>
          <w:rFonts w:ascii="Book Antiqua" w:hAnsi="Book Antiqua" w:cstheme="minorHAnsi"/>
        </w:rPr>
        <w:instrText>ADDIN CSL_CITATION {"citationItems":[{"id":"ITEM-1","itemData":{"DOI":"10.1089/ten.tea.2007.0207","ISBN":"1937-3341 (Print)","ISSN":"1937-3341","PMID":"19230125","abstract":"This study is the first documentation of the isolation and extensive characterization of mesenchymal stem cells from canine adipose tissue. Methods previously used by our group to isolate and differentiate human adipose-derived mesenchymal stem cells (hAD-MSCs) have been modified and optimized for derivation of similar cells from canine adipose tissues. The canine adipose tissue-derived mesenchymal stem cells (cAD-MSCs) showed lower proliferation ability and were refractory to osteogenic and adipogenic differentiation under conditions employed to differentiate hAD-MSCs. The differentiation of cAD-MSCs into osteoblasts and adipocytes was effectively achieved under modified conditions, by using laminin-coated plates and peroxisome proliferative activated receptor, gamma (PPARgamma) ligands, respectively. The formation of micromass was sufficient to induce chondrogenesis, unlike hAD-MSCs, which require transforming growth factor beta (TGF-beta). These cells displayed anchorage-independent growth in soft agar, and their colony-forming efficiency in plastic was comparable with human counterparts. The cAD-MSCs expressed genes associated with pluripotency, while their differentiated progeny expressed appropriate lineage-specific genes. The optimization of growth and differentiation of cAD-MSCs should facilitate future stem cell-based reparative and regenerative studies in dogs. The dog is a promising biomedical model that is suitable for evaluation of novel therapies such as those employing stem cells in experimental and in spontaneous disease settings.","author":[{"dropping-particle":"","family":"Neupane","given":"Manish","non-dropping-particle":"","parse-names":false,"suffix":""},{"dropping-particle":"","family":"Chang","given":"Chia Cheng","non-dropping-particle":"","parse-names":false,"suffix":""},{"dropping-particle":"","family":"Kiupel","given":"Matti","non-dropping-particle":"","parse-names":false,"suffix":""},{"dropping-particle":"","family":"Yuzbasiyan-Gurkan","given":"Vilma","non-dropping-particle":"","parse-names":false,"suffix":""}],"container-title":"Tissue Engineering Part A","id":"ITEM-1","issue":"6","issued":{"date-parts":[["2008"]]},"page":"1007-1015","title":"Isolation and characterization of canine adipose–derived mesenchymal stem cells","type":"article-journal","volume":"14"},"uris":["http://www.mendeley.com/documents/?uuid=b7420c69-d164-48bd-8d2a-53f203867c3e"]},{"id":"ITEM-2","itemData":{"DOI":"10.2460/ajvr.73.8.1305.","PMID":"22849692","abstract":"Objective—To isolate and characterize mesenchymal stem cells (MSCs) from canine muscle and periosteum and compare proliferative capacities of bone marrow–, adipose tissue–, muscle-, and periosteum-derived MSCs (BMSCs, AMSCs, MMSCs, and PMSCs, respectively). Sample—7 canine cadavers. Procedures—MSCs were characterized on the basis of morphology, immunofluorescence of MSC-associated cell surface markers, and expression of pluripotency-associated tran- scription factors. Morphological and histochemical methods were used to evaluate differen- tiation of MSCs cultured in adipogenic, osteogenic, and chondrogenic media. Messenger ri- bonucleic acid expression of alkaline phosphatase, RUNX2, OSTERIX, and OSTEOPONTIN were evaluated as markers for osteogenic differentiation. Passage-1 MSCs were counted at 24, 48, 72, and 96 hours to determine tissue-specific MSC proliferative capacity. Mes- enchymal stem cell yield per gram of tissue was calculated for confluent passage-1 MSCs. Results—Successful isolation of BMSCs, AMSCs, MMSCs, and PMSCs was determined on the basis of morphology; expression of CD44 and CD90; no expression of CD34 and CD45; mRNA expression of SOX2, OCT4, and NANOG; and adipogenic and osteogenic differentiation. Proliferative capacity was not significantly different among BMSCs, AMSCs, MMSCs, and PMSCs over a 4-day culture period. Periosteum provided a significantly higher MSC yield per gram of tissue once confluent in passage 1 (mean ± SD of 19,400,000 ± 12,800,000 of PMSCs/g of periosteum obtained in a mean ± SD of 13 ± 1.64 days). Conclusions and Clinical Relevance—Results indicated that canine muscle and perios- teum may be sources of MSCs. Periosteum was a superior tissue source for MSC yield and may be useful in allogenic applications.","author":[{"dropping-particle":"","family":"Kisiel","given":"Agatha H.","non-dropping-particle":"","parse-names":false,"suffix":""},{"dropping-particle":"","family":"McDuffee","given":"Laurie A.","non-dropping-particle":"","parse-names":false,"suffix":""},{"dropping-particle":"","family":"Masaoud","given":"Elmabrok","non-dropping-particle":"","parse-names":false,"suffix":""},{"dropping-particle":"","family":"Bailey","given":"Trina R.","non-dropping-particle":"","parse-names":false,"suffix":""},{"dropping-particle":"","family":"Esparza Gonzalez","given":"Blanca P.","non-dropping-particle":"","parse-names":false,"suffix":""},{"dropping-particle":"","family":"Nino-Fong","given":"Rodolfo","non-dropping-particle":"","parse-names":false,"suffix":""}],"container-title":"American Journal of Veterinary Research","id":"ITEM-2","issue":"8","issued":{"date-parts":[["2012"]]},"page":"1305-1317","title":"Isolation, characterization, and in vitro proliferation of canine mesenchymal stem cells derived from bone marrow, adipose tissue, muscle, and periosteum","type":"article-journal","volume":"73"},"uris":["http://www.mendeley.com/documents/?uuid=7bff95f3-df21-3442-af2c-0336a7a37c96"]}],"mendeley":{"formattedCitation":"&lt;sup&gt;[52,68]&lt;/sup&gt;","plainTextFormattedCitation":"[52,68]","previouslyFormattedCitation":"&lt;sup&gt;[52,68]&lt;/sup&gt;"},"properties":{"noteIndex":0},"schema":"https://github.com/citation-style-language/schema/raw/master/csl-citation.json"}</w:instrText>
      </w:r>
      <w:r w:rsidR="00075D85" w:rsidRPr="00000DD3">
        <w:rPr>
          <w:rFonts w:ascii="Book Antiqua" w:hAnsi="Book Antiqua" w:cstheme="minorHAnsi"/>
        </w:rPr>
        <w:fldChar w:fldCharType="separate"/>
      </w:r>
      <w:r w:rsidR="007D3D74" w:rsidRPr="00000DD3">
        <w:rPr>
          <w:rFonts w:ascii="Book Antiqua" w:hAnsi="Book Antiqua" w:cstheme="minorHAnsi"/>
          <w:noProof/>
          <w:vertAlign w:val="superscript"/>
        </w:rPr>
        <w:t>[52,68]</w:t>
      </w:r>
      <w:r w:rsidR="00075D85" w:rsidRPr="00000DD3">
        <w:rPr>
          <w:rFonts w:ascii="Book Antiqua" w:hAnsi="Book Antiqua" w:cstheme="minorHAnsi"/>
        </w:rPr>
        <w:fldChar w:fldCharType="end"/>
      </w:r>
      <w:r w:rsidR="004E06DB" w:rsidRPr="00000DD3">
        <w:rPr>
          <w:rFonts w:ascii="Book Antiqua" w:hAnsi="Book Antiqua" w:cstheme="minorHAnsi"/>
        </w:rPr>
        <w:t>.</w:t>
      </w:r>
      <w:r w:rsidR="006865E8" w:rsidRPr="00000DD3">
        <w:rPr>
          <w:rFonts w:ascii="Book Antiqua" w:hAnsi="Book Antiqua" w:cstheme="minorHAnsi"/>
        </w:rPr>
        <w:t xml:space="preserve"> </w:t>
      </w:r>
      <w:r w:rsidR="00BE5E73" w:rsidRPr="00000DD3">
        <w:rPr>
          <w:rFonts w:ascii="Book Antiqua" w:hAnsi="Book Antiqua" w:cstheme="minorHAnsi"/>
        </w:rPr>
        <w:t>Nevertheless</w:t>
      </w:r>
      <w:r w:rsidR="009B2947" w:rsidRPr="00000DD3">
        <w:rPr>
          <w:rFonts w:ascii="Book Antiqua" w:hAnsi="Book Antiqua" w:cstheme="minorHAnsi"/>
        </w:rPr>
        <w:t>, some stud</w:t>
      </w:r>
      <w:r w:rsidR="00BE5E73" w:rsidRPr="00000DD3">
        <w:rPr>
          <w:rFonts w:ascii="Book Antiqua" w:hAnsi="Book Antiqua" w:cstheme="minorHAnsi"/>
        </w:rPr>
        <w:t>ies</w:t>
      </w:r>
      <w:r w:rsidR="009B2947" w:rsidRPr="00000DD3">
        <w:rPr>
          <w:rFonts w:ascii="Book Antiqua" w:hAnsi="Book Antiqua" w:cstheme="minorHAnsi"/>
        </w:rPr>
        <w:t xml:space="preserve"> </w:t>
      </w:r>
      <w:r w:rsidR="005C6734" w:rsidRPr="00000DD3">
        <w:rPr>
          <w:rFonts w:ascii="Book Antiqua" w:hAnsi="Book Antiqua" w:cstheme="minorHAnsi"/>
        </w:rPr>
        <w:t xml:space="preserve">have reported </w:t>
      </w:r>
      <w:r w:rsidR="00CB7E1D" w:rsidRPr="00000DD3">
        <w:rPr>
          <w:rFonts w:ascii="Book Antiqua" w:hAnsi="Book Antiqua" w:cstheme="minorHAnsi"/>
        </w:rPr>
        <w:t xml:space="preserve">difficulties </w:t>
      </w:r>
      <w:r w:rsidR="009B2947" w:rsidRPr="00000DD3">
        <w:rPr>
          <w:rFonts w:ascii="Book Antiqua" w:hAnsi="Book Antiqua" w:cstheme="minorHAnsi"/>
        </w:rPr>
        <w:t xml:space="preserve">in attaining substantial chondrogenic differentiation of </w:t>
      </w:r>
      <w:proofErr w:type="spellStart"/>
      <w:r w:rsidR="009B2947" w:rsidRPr="00000DD3">
        <w:rPr>
          <w:rFonts w:ascii="Book Antiqua" w:hAnsi="Book Antiqua" w:cstheme="minorHAnsi"/>
        </w:rPr>
        <w:t>cMSCs</w:t>
      </w:r>
      <w:proofErr w:type="spellEnd"/>
      <w:r w:rsidR="00536692" w:rsidRPr="00000DD3">
        <w:rPr>
          <w:rFonts w:ascii="Book Antiqua" w:hAnsi="Book Antiqua" w:cstheme="minorHAnsi"/>
        </w:rPr>
        <w:fldChar w:fldCharType="begin" w:fldLock="1"/>
      </w:r>
      <w:r w:rsidR="00120D2C" w:rsidRPr="00000DD3">
        <w:rPr>
          <w:rFonts w:ascii="Book Antiqua" w:hAnsi="Book Antiqua" w:cstheme="minorHAnsi"/>
        </w:rPr>
        <w:instrText>ADDIN CSL_CITATION {"citationItems":[{"id":"ITEM-1","itemData":{"DOI":"10.1007/s11259-012-9523-0","ISBN":"1573-7446 (Electronic)\\r0165-7380 (Linking)","ISSN":"01657380","PMID":"22392598","abstract":"In the dog, mesenchymal stem cells (MSCs) have been shown to reside in the bone marrow (bone marrow-derived mesenchymal stem cells: BM-MSCs) as well as in the adipose tissue (adipose tissue-derived stem cells: ADSCs). Potential application fields for these multipotent MSCs in small animal practice are joint diseases as MSCs of both sources have shown to possess chondrogenic differentiation ability. However, it is not clear whether the chondrogenic differentiation potential of cells of these two distinct tissues is truly equal. Therefore, we compared MSCs of both origins in this study in terms of their chondrogenic differentiation ability and suitability for clinical application. BM-MSCs harvested from the femoral neck and ADSCs from intra-abdominal fat tissue were examined for their morphology, population doubling time (PDT) and CD90 surface antigen expression. RT-PCR served to assess expression of pluripotency marker Oct4 and early differentiation marker genes. Chondrogenic differentiation ability was compared and validated using histochemistry, transmission electron microscopy (TEM) and quantitative RT-PCR. Both cell populations presented a highly similar morphology and marker expression in an undifferentiated stage except that freshly isolated ADSCs demonstrated a significantly faster PDT than BM-MSCs. In contrast, BM-MSCs revealed a morphological superior cartilage formation by the production of a more abundant and structured hyaline matrix and higher expression of lineage specific genes under the applied standard differentiation protocol. However, further investigations are necessary in order to find out if chondrogenic differentiation can be improved in canine ADSCs using different protocols and/or supplements.","author":[{"dropping-particle":"","family":"Reich","given":"Christine M","non-dropping-particle":"","parse-names":false,"suffix":""},{"dropping-particle":"","family":"Raabe","given":"Oksana","non-dropping-particle":"","parse-names":false,"suffix":""},{"dropping-particle":"","family":"Wenisch","given":"Sabine","non-dropping-particle":"","parse-names":false,"suffix":""},{"dropping-particle":"","family":"Bridger","given":"Philip S","non-dropping-particle":"","parse-names":false,"suffix":""},{"dropping-particle":"","family":"Kramer","given":"Martin","non-dropping-particle":"","parse-names":false,"suffix":""},{"dropping-particle":"","family":"Arnhold","given":"Stefan","non-dropping-particle":"","parse-names":false,"suffix":""}],"container-title":"Veterinary Research Communications","id":"ITEM-1","issue":"2","issued":{"date-parts":[["2012"]]},"page":"139-148","title":"Isolation, culture and chondrogenic differentiation of canine adipose tissue- and bone marrow-derived mesenchymal stem cells-A comparative study","type":"article-journal","volume":"36"},"uris":["http://www.mendeley.com/documents/?uuid=7bef8bba-0ea4-3972-a9b4-31813e085455"]},{"id":"ITEM-2","itemData":{"DOI":"10.1371/journal.pone.0167442","ISSN":"19326203","PMID":"27907211","abstract":"Background Mesenchymal stromal cells (MSC) hold promise for both cell replacement and immune modulation strategies owing to their progenitor and non-progenitor functions, respectively. Characterization of MSC from different sources is an important and necessary step before clinical use of these cells is widely adopted. Little is known about the biology and function of canine MSC compared to their mouse or human counterparts. This knowledge-gap impedes development of canine evidence-based MSC technologies. Hypothesis and Objectives We hypothesized that canine adipose tissue (AT) and bone marrow (BM) MSC (derived from the same dogs) will have similar differentiation and immune modulatory profiles. Our objectives were to evaluate progenitor and non-progenitor functions as well as other characteristics of AT- and BM-MSC including 1) proliferation rate, 2) cell surface marker expression, 3) DNA methylation levels, 4) potential for trilineage differentiation towards osteogenic, adipogenic, and chondrogenic cell fates, and 5) immunomodulatory potency in vitro. Results 1) AT-MSC proliferated at more than double the rate of BM-MSC (population doubling times in days) for passage (P) 2, AT: 1.69, BM: 3.81; P3, AT: 1.80, BM: 4.06; P4, AT: 2.37, BM: 5.34; P5, AT: 3.20, BM: 7.21). 2) Canine MSC, regardless of source, strongly expressed cell surface markers MHC I, CD29, CD44, and CD90, and were negative for MHC II and CD45. They also showed moderate expression of CD8 and CD73 and mild expression of CD14. Minor differences were found in expression of CD4 and CD34. 3) Global DNA methylation levels were significantly lower in BM-MSC compared to AT-MSC. 4) Little difference was found between AT- and BM-MSC in their potential for adipogenesis and osteogenesis. Chondrogenesis was poor to absent for both sources in spite of adding varying levels of bone-morphogenic protein to our standard transforming growth factor (TGF-β3)-based induction medium. 5) Immunomodulatory capacity was equal regardless of cell source when tested in mitogen-stimulated lymphocyte reactions. Priming of MSC with pro-inflammatory factors interferon-gamma and/or tumour necrosis factor did not increase the lymphocyte suppressive properties of the MSC compared to untreated MSC. Conclusions/Significance No significant differences were found between AT- and BM-MSC with regard to their immunophenotype, progenitor, and non-progenitor functions. Both MSC populations showed strong adipogenic and osteogenic pote…","author":[{"dropping-particle":"","family":"Russell","given":"Keith A.","non-dropping-particle":"","parse-names":false,"suffix":""},{"dropping-particle":"","family":"Chow","given":"Natalie H.C.","non-dropping-particle":"","parse-names":false,"suffix":""},{"dropping-particle":"","family":"Dukoff","given":"David","non-dropping-particle":"","parse-names":false,"suffix":""},{"dropping-particle":"","family":"Gibson","given":"Thomas W.G.","non-dropping-particle":"","parse-names":false,"suffix":""},{"dropping-particle":"","family":"Marre","given":"Jonathan","non-dropping-particle":"La","parse-names":false,"suffix":""},{"dropping-particle":"","family":"Betts","given":"Dean H.","non-dropping-particle":"","parse-names":false,"suffix":""},{"dropping-particle":"","family":"Koch","given":"Thomas G.","non-dropping-particle":"","parse-names":false,"suffix":""}],"container-title":"PLoS ONE","id":"ITEM-2","issue":"12","issued":{"date-parts":[["2016"]]},"page":"e0167442","title":"Characterization and immunomodulatory effects of canine adipose tissue- and bone marrow-derived mesenchymal stromal cells","type":"article-journal","volume":"11"},"uris":["http://www.mendeley.com/documents/?uuid=54ed6e68-edff-327f-92f1-8478de0264e8"]},{"id":"ITEM-3","itemData":{"DOI":"10.2460/ajvr.73.8.1305.","PMID":"22849692","abstract":"Objective—To isolate and characterize mesenchymal stem cells (MSCs) from canine muscle and periosteum and compare proliferative capacities of bone marrow–, adipose tissue–, muscle-, and periosteum-derived MSCs (BMSCs, AMSCs, MMSCs, and PMSCs, respectively). Sample—7 canine cadavers. Procedures—MSCs were characterized on the basis of morphology, immunofluorescence of MSC-associated cell surface markers, and expression of pluripotency-associated tran- scription factors. Morphological and histochemical methods were used to evaluate differen- tiation of MSCs cultured in adipogenic, osteogenic, and chondrogenic media. Messenger ri- bonucleic acid expression of alkaline phosphatase, RUNX2, OSTERIX, and OSTEOPONTIN were evaluated as markers for osteogenic differentiation. Passage-1 MSCs were counted at 24, 48, 72, and 96 hours to determine tissue-specific MSC proliferative capacity. Mes- enchymal stem cell yield per gram of tissue was calculated for confluent passage-1 MSCs. Results—Successful isolation of BMSCs, AMSCs, MMSCs, and PMSCs was determined on the basis of morphology; expression of CD44 and CD90; no expression of CD34 and CD45; mRNA expression of SOX2, OCT4, and NANOG; and adipogenic and osteogenic differentiation. Proliferative capacity was not significantly different among BMSCs, AMSCs, MMSCs, and PMSCs over a 4-day culture period. Periosteum provided a significantly higher MSC yield per gram of tissue once confluent in passage 1 (mean ± SD of 19,400,000 ± 12,800,000 of PMSCs/g of periosteum obtained in a mean ± SD of 13 ± 1.64 days). Conclusions and Clinical Relevance—Results indicated that canine muscle and perios- teum may be sources of MSCs. Periosteum was a superior tissue source for MSC yield and may be useful in allogenic applications.","author":[{"dropping-particle":"","family":"Kisiel","given":"Agatha H.","non-dropping-particle":"","parse-names":false,"suffix":""},{"dropping-particle":"","family":"McDuffee","given":"Laurie A.","non-dropping-particle":"","parse-names":false,"suffix":""},{"dropping-particle":"","family":"Masaoud","given":"Elmabrok","non-dropping-particle":"","parse-names":false,"suffix":""},{"dropping-particle":"","family":"Bailey","given":"Trina R.","non-dropping-particle":"","parse-names":false,"suffix":""},{"dropping-particle":"","family":"Esparza Gonzalez","given":"Blanca P.","non-dropping-particle":"","parse-names":false,"suffix":""},{"dropping-particle":"","family":"Nino-Fong","given":"Rodolfo","non-dropping-particle":"","parse-names":false,"suffix":""}],"container-title":"American Journal of Veterinary Research","id":"ITEM-3","issue":"8","issued":{"date-parts":[["2012"]]},"page":"1305-1317","title":"Isolation, characterization, and in vitro proliferation of canine mesenchymal stem cells derived from bone marrow, adipose tissue, muscle, and periosteum","type":"article-journal","volume":"73"},"uris":["http://www.mendeley.com/documents/?uuid=7bff95f3-df21-3442-af2c-0336a7a37c96"]},{"id":"ITEM-4","itemData":{"DOI":"10.23937/2469-570X/1410005","abstract":"Bone marrow is a major source of mesenchymal stem cells (MSC), which are used in tissue engineering and other autologous stem cell therapies. Studies designed to use large canine models and translate the results to human practice must take into account the ex vivo and in vitro differences in the bone marrow samples. A set of morphological and physiological markers was used to compare MSC derived from canine and human bone marrow. Despite anticlotting treatment, frequent bone marrow clotting was a problem with canine samples, so we developed a protocol for enzymatic digestion of undesirable clots. We compared colony forming units (CFU) assay, population doubling time (PDT), senescenceassociated β-galactosidase (SA-β-Gal) activity, as well as the ability of cells to differentiate to osteogenic, adipogenic and chondrogenic phenotypes. Urokinase digestion resulted in recovery of MSC: 4-fold more CFU from canine and 1.6-fold more from human samples when compared to untreated samples. Canine MSC were less robust in vitro – they divided actively only for four weeks in culture, while human cells divided for longer than eight weeks. After six weeks in culture, canine MSC underwent 17 population doublings of while human cells reached 26. The percentage of senescent cells increased linearly with time, but with a faster rate in canine MSC. Human and canine MSC underwent differentiation to all lineages; however canine MSC had generally lower differentiation potential. In conclusion, the discrepancy between canine and human cultures must be considered in future MSC-based therapies based on dogs as animal model.","author":[{"dropping-particle":"","family":"Bertolo","given":"Alessandro","non-dropping-particle":"","parse-names":false,"suffix":""},{"dropping-particle":"","family":"Schlaefli","given":"P.","non-dropping-particle":"","parse-names":false,"suffix":""},{"dropping-particle":"","family":"Malonzo-Marty","given":"C.","non-dropping-particle":"","parse-names":false,"suffix":""},{"dropping-particle":"","family":"Baur","given":"M.","non-dropping-particle":"","parse-names":false,"suffix":""},{"dropping-particle":"","family":"Pötzel","given":"T.","non-dropping-particle":"","parse-names":false,"suffix":""},{"dropping-particle":"","family":"Steffen","given":"F","non-dropping-particle":"","parse-names":false,"suffix":""},{"dropping-particle":"","family":"Stoyanov","given":"J","non-dropping-particle":"","parse-names":false,"suffix":""}],"container-title":"Int J Stem Cell Res Ther","id":"ITEM-4","issue":"1","issued":{"date-parts":[["2015"]]},"title":"Comparative characterization of canine and human mesenchymal stem cells derived from bone marrow","type":"article-journal","volume":"2"},"uris":["http://www.mendeley.com/documents/?uuid=bbcd9e0e-3ff5-34fb-a009-68c9b5d89a0c"]}],"mendeley":{"formattedCitation":"&lt;sup&gt;[52,56,57,60]&lt;/sup&gt;","plainTextFormattedCitation":"[52,56,57,60]","previouslyFormattedCitation":"&lt;sup&gt;[52,56,57,60]&lt;/sup&gt;"},"properties":{"noteIndex":0},"schema":"https://github.com/citation-style-language/schema/raw/master/csl-citation.json"}</w:instrText>
      </w:r>
      <w:r w:rsidR="00536692" w:rsidRPr="00000DD3">
        <w:rPr>
          <w:rFonts w:ascii="Book Antiqua" w:hAnsi="Book Antiqua" w:cstheme="minorHAnsi"/>
        </w:rPr>
        <w:fldChar w:fldCharType="separate"/>
      </w:r>
      <w:r w:rsidR="00BC68DD" w:rsidRPr="00000DD3">
        <w:rPr>
          <w:rFonts w:ascii="Book Antiqua" w:hAnsi="Book Antiqua" w:cstheme="minorHAnsi"/>
          <w:noProof/>
          <w:vertAlign w:val="superscript"/>
        </w:rPr>
        <w:t>[52,56,57,60]</w:t>
      </w:r>
      <w:r w:rsidR="00536692" w:rsidRPr="00000DD3">
        <w:rPr>
          <w:rFonts w:ascii="Book Antiqua" w:hAnsi="Book Antiqua" w:cstheme="minorHAnsi"/>
        </w:rPr>
        <w:fldChar w:fldCharType="end"/>
      </w:r>
      <w:r w:rsidR="009B2947" w:rsidRPr="00000DD3">
        <w:rPr>
          <w:rFonts w:ascii="Book Antiqua" w:hAnsi="Book Antiqua" w:cstheme="minorHAnsi"/>
        </w:rPr>
        <w:t>.</w:t>
      </w:r>
      <w:r w:rsidR="008D6365" w:rsidRPr="00000DD3">
        <w:rPr>
          <w:rFonts w:ascii="Book Antiqua" w:hAnsi="Book Antiqua" w:cstheme="minorHAnsi"/>
        </w:rPr>
        <w:t xml:space="preserve"> </w:t>
      </w:r>
    </w:p>
    <w:p w14:paraId="655EB82A" w14:textId="025D9106" w:rsidR="002F499C" w:rsidRPr="00000DD3" w:rsidRDefault="00120DB6" w:rsidP="009E6380">
      <w:pPr>
        <w:spacing w:line="360" w:lineRule="auto"/>
        <w:ind w:firstLineChars="100" w:firstLine="240"/>
        <w:jc w:val="both"/>
        <w:rPr>
          <w:rFonts w:ascii="Book Antiqua" w:hAnsi="Book Antiqua" w:cstheme="minorHAnsi"/>
        </w:rPr>
      </w:pPr>
      <w:r w:rsidRPr="00000DD3">
        <w:rPr>
          <w:rFonts w:ascii="Book Antiqua" w:hAnsi="Book Antiqua" w:cstheme="minorHAnsi"/>
        </w:rPr>
        <w:t xml:space="preserve">Since </w:t>
      </w:r>
      <w:r w:rsidR="008D6365" w:rsidRPr="00000DD3">
        <w:rPr>
          <w:rFonts w:ascii="Book Antiqua" w:hAnsi="Book Antiqua" w:cstheme="minorHAnsi"/>
        </w:rPr>
        <w:t>no definit</w:t>
      </w:r>
      <w:r w:rsidR="00CB7E1D" w:rsidRPr="00000DD3">
        <w:rPr>
          <w:rFonts w:ascii="Book Antiqua" w:hAnsi="Book Antiqua" w:cstheme="minorHAnsi"/>
        </w:rPr>
        <w:t>iv</w:t>
      </w:r>
      <w:r w:rsidR="008D6365" w:rsidRPr="00000DD3">
        <w:rPr>
          <w:rFonts w:ascii="Book Antiqua" w:hAnsi="Book Antiqua" w:cstheme="minorHAnsi"/>
        </w:rPr>
        <w:t>e methods</w:t>
      </w:r>
      <w:r w:rsidR="005C6734" w:rsidRPr="00000DD3">
        <w:rPr>
          <w:rFonts w:ascii="Book Antiqua" w:hAnsi="Book Antiqua" w:cstheme="minorHAnsi"/>
        </w:rPr>
        <w:t xml:space="preserve"> have been established</w:t>
      </w:r>
      <w:r w:rsidR="008D6365" w:rsidRPr="00000DD3">
        <w:rPr>
          <w:rFonts w:ascii="Book Antiqua" w:hAnsi="Book Antiqua" w:cstheme="minorHAnsi"/>
        </w:rPr>
        <w:t xml:space="preserve"> for chondrogenic differentiation of </w:t>
      </w:r>
      <w:proofErr w:type="spellStart"/>
      <w:r w:rsidR="008D6365" w:rsidRPr="00000DD3">
        <w:rPr>
          <w:rFonts w:ascii="Book Antiqua" w:hAnsi="Book Antiqua" w:cstheme="minorHAnsi"/>
        </w:rPr>
        <w:t>cMSCs</w:t>
      </w:r>
      <w:proofErr w:type="spellEnd"/>
      <w:r w:rsidRPr="00000DD3">
        <w:rPr>
          <w:rFonts w:ascii="Book Antiqua" w:hAnsi="Book Antiqua" w:cstheme="minorHAnsi"/>
        </w:rPr>
        <w:t>,</w:t>
      </w:r>
      <w:r w:rsidR="005C6734" w:rsidRPr="00000DD3">
        <w:rPr>
          <w:rFonts w:ascii="Book Antiqua" w:hAnsi="Book Antiqua" w:cstheme="minorHAnsi"/>
        </w:rPr>
        <w:t xml:space="preserve"> </w:t>
      </w:r>
      <w:r w:rsidR="00CB7E1D" w:rsidRPr="00000DD3">
        <w:rPr>
          <w:rFonts w:ascii="Book Antiqua" w:hAnsi="Book Antiqua" w:cstheme="minorHAnsi"/>
        </w:rPr>
        <w:t>the various studies have all used different</w:t>
      </w:r>
      <w:r w:rsidRPr="00000DD3">
        <w:rPr>
          <w:rFonts w:ascii="Book Antiqua" w:hAnsi="Book Antiqua" w:cstheme="minorHAnsi"/>
        </w:rPr>
        <w:t xml:space="preserve"> tissue source</w:t>
      </w:r>
      <w:r w:rsidR="005C6734" w:rsidRPr="00000DD3">
        <w:rPr>
          <w:rFonts w:ascii="Book Antiqua" w:hAnsi="Book Antiqua" w:cstheme="minorHAnsi"/>
        </w:rPr>
        <w:t xml:space="preserve"> origin</w:t>
      </w:r>
      <w:r w:rsidRPr="00000DD3">
        <w:rPr>
          <w:rFonts w:ascii="Book Antiqua" w:hAnsi="Book Antiqua" w:cstheme="minorHAnsi"/>
        </w:rPr>
        <w:t>s, growth factors</w:t>
      </w:r>
      <w:r w:rsidR="005C6734" w:rsidRPr="00000DD3">
        <w:rPr>
          <w:rFonts w:ascii="Book Antiqua" w:hAnsi="Book Antiqua" w:cstheme="minorHAnsi"/>
        </w:rPr>
        <w:t>,</w:t>
      </w:r>
      <w:r w:rsidRPr="00000DD3">
        <w:rPr>
          <w:rFonts w:ascii="Book Antiqua" w:hAnsi="Book Antiqua" w:cstheme="minorHAnsi"/>
        </w:rPr>
        <w:t xml:space="preserve"> and culture methods. </w:t>
      </w:r>
      <w:r w:rsidR="005C6734" w:rsidRPr="00000DD3">
        <w:rPr>
          <w:rFonts w:ascii="Book Antiqua" w:hAnsi="Book Antiqua" w:cstheme="minorHAnsi"/>
        </w:rPr>
        <w:t>The c</w:t>
      </w:r>
      <w:r w:rsidR="002C4976" w:rsidRPr="00000DD3">
        <w:rPr>
          <w:rFonts w:ascii="Book Antiqua" w:hAnsi="Book Antiqua" w:cstheme="minorHAnsi"/>
        </w:rPr>
        <w:t xml:space="preserve">hondrogenic differentiation potential </w:t>
      </w:r>
      <w:r w:rsidR="005C6734" w:rsidRPr="00000DD3">
        <w:rPr>
          <w:rFonts w:ascii="Book Antiqua" w:hAnsi="Book Antiqua" w:cstheme="minorHAnsi"/>
        </w:rPr>
        <w:t xml:space="preserve">of </w:t>
      </w:r>
      <w:proofErr w:type="spellStart"/>
      <w:r w:rsidR="005C6734" w:rsidRPr="00000DD3">
        <w:rPr>
          <w:rFonts w:ascii="Book Antiqua" w:hAnsi="Book Antiqua" w:cstheme="minorHAnsi"/>
        </w:rPr>
        <w:t>cMSCs</w:t>
      </w:r>
      <w:proofErr w:type="spellEnd"/>
      <w:r w:rsidR="005C6734" w:rsidRPr="00000DD3">
        <w:rPr>
          <w:rFonts w:ascii="Book Antiqua" w:hAnsi="Book Antiqua" w:cstheme="minorHAnsi"/>
        </w:rPr>
        <w:t xml:space="preserve"> </w:t>
      </w:r>
      <w:r w:rsidR="002C4976" w:rsidRPr="00000DD3">
        <w:rPr>
          <w:rFonts w:ascii="Book Antiqua" w:hAnsi="Book Antiqua" w:cstheme="minorHAnsi"/>
        </w:rPr>
        <w:t xml:space="preserve">varies </w:t>
      </w:r>
      <w:r w:rsidR="00CB7E1D" w:rsidRPr="00000DD3">
        <w:rPr>
          <w:rFonts w:ascii="Book Antiqua" w:hAnsi="Book Antiqua" w:cstheme="minorHAnsi"/>
        </w:rPr>
        <w:t xml:space="preserve">with the </w:t>
      </w:r>
      <w:r w:rsidR="0086714C" w:rsidRPr="00000DD3">
        <w:rPr>
          <w:rFonts w:ascii="Book Antiqua" w:hAnsi="Book Antiqua" w:cstheme="minorHAnsi"/>
        </w:rPr>
        <w:t>tissue source</w:t>
      </w:r>
      <w:r w:rsidR="005C6734" w:rsidRPr="00000DD3">
        <w:rPr>
          <w:rFonts w:ascii="Book Antiqua" w:hAnsi="Book Antiqua" w:cstheme="minorHAnsi"/>
        </w:rPr>
        <w:t xml:space="preserve"> origin, </w:t>
      </w:r>
      <w:r w:rsidR="00CB7E1D" w:rsidRPr="00000DD3">
        <w:rPr>
          <w:rFonts w:ascii="Book Antiqua" w:hAnsi="Book Antiqua" w:cstheme="minorHAnsi"/>
        </w:rPr>
        <w:t>as indicated by the larger cartilage pellets obtained from differentiating</w:t>
      </w:r>
      <w:r w:rsidR="0086714C" w:rsidRPr="00000DD3">
        <w:rPr>
          <w:rFonts w:ascii="Book Antiqua" w:hAnsi="Book Antiqua" w:cstheme="minorHAnsi"/>
        </w:rPr>
        <w:t xml:space="preserve"> Sy-</w:t>
      </w:r>
      <w:proofErr w:type="spellStart"/>
      <w:r w:rsidR="0086714C" w:rsidRPr="00000DD3">
        <w:rPr>
          <w:rFonts w:ascii="Book Antiqua" w:hAnsi="Book Antiqua" w:cstheme="minorHAnsi"/>
        </w:rPr>
        <w:t>cMSCs</w:t>
      </w:r>
      <w:proofErr w:type="spellEnd"/>
      <w:r w:rsidR="0086714C" w:rsidRPr="00000DD3">
        <w:rPr>
          <w:rFonts w:ascii="Book Antiqua" w:hAnsi="Book Antiqua" w:cstheme="minorHAnsi"/>
        </w:rPr>
        <w:t xml:space="preserve"> and IF-</w:t>
      </w:r>
      <w:proofErr w:type="spellStart"/>
      <w:r w:rsidR="0086714C" w:rsidRPr="00000DD3">
        <w:rPr>
          <w:rFonts w:ascii="Book Antiqua" w:hAnsi="Book Antiqua" w:cstheme="minorHAnsi"/>
        </w:rPr>
        <w:t>cMSCs</w:t>
      </w:r>
      <w:proofErr w:type="spellEnd"/>
      <w:r w:rsidR="0086714C" w:rsidRPr="00000DD3">
        <w:rPr>
          <w:rFonts w:ascii="Book Antiqua" w:hAnsi="Book Antiqua" w:cstheme="minorHAnsi"/>
        </w:rPr>
        <w:t xml:space="preserve"> </w:t>
      </w:r>
      <w:r w:rsidR="00CB7E1D" w:rsidRPr="00000DD3">
        <w:rPr>
          <w:rFonts w:ascii="Book Antiqua" w:hAnsi="Book Antiqua" w:cstheme="minorHAnsi"/>
        </w:rPr>
        <w:t xml:space="preserve">than from differentiating </w:t>
      </w:r>
      <w:r w:rsidR="0086714C" w:rsidRPr="00000DD3">
        <w:rPr>
          <w:rFonts w:ascii="Book Antiqua" w:hAnsi="Book Antiqua" w:cstheme="minorHAnsi"/>
        </w:rPr>
        <w:t>BM-</w:t>
      </w:r>
      <w:proofErr w:type="spellStart"/>
      <w:r w:rsidR="0086714C" w:rsidRPr="00000DD3">
        <w:rPr>
          <w:rFonts w:ascii="Book Antiqua" w:hAnsi="Book Antiqua" w:cstheme="minorHAnsi"/>
        </w:rPr>
        <w:t>cMSCs</w:t>
      </w:r>
      <w:proofErr w:type="spellEnd"/>
      <w:r w:rsidR="0086714C" w:rsidRPr="00000DD3">
        <w:rPr>
          <w:rFonts w:ascii="Book Antiqua" w:hAnsi="Book Antiqua" w:cstheme="minorHAnsi"/>
        </w:rPr>
        <w:t xml:space="preserve"> and AD-</w:t>
      </w:r>
      <w:proofErr w:type="spellStart"/>
      <w:r w:rsidR="004C1E60" w:rsidRPr="00000DD3">
        <w:rPr>
          <w:rFonts w:ascii="Book Antiqua" w:hAnsi="Book Antiqua" w:cstheme="minorHAnsi"/>
        </w:rPr>
        <w:t>c</w:t>
      </w:r>
      <w:r w:rsidR="0086714C" w:rsidRPr="00000DD3">
        <w:rPr>
          <w:rFonts w:ascii="Book Antiqua" w:hAnsi="Book Antiqua" w:cstheme="minorHAnsi"/>
        </w:rPr>
        <w:t>MSCs</w:t>
      </w:r>
      <w:proofErr w:type="spellEnd"/>
      <w:r w:rsidR="0086714C"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{"citationItems":[{"id":"ITEM-1","itemData":{"DOI":"10.1371/journal.pone.0202922","ISBN":"1111111111","ISSN":"19326203","PMID":"30138399","abstract":"Osteoarthritis (OA), a common chronic joint disorder in both humans and canines, is characterized by a progressive loss of articular cartilage. Canines can serve as an animal model of OA for human medicine, and this research can simultaneously establish effective veterinary treatments for canine OA. One attractive treatment that can lead to cartilage regeneration is the use of mesenchymal stem cells (MSCs). However, for canine OA, little information is available regarding the best source of MSCs. The purpose of this study was to identify a promising MSC source for canine cartilage regeneration. We collected synovial, infrapatellar fat pad, inguinal adipose, and bone marrow tissues from six canines and then conducted a donor-matched comparison of the properties of MSCs derived from these four tissues. We examined the surface epitope expression, proliferation capacity, and trilineage differentiation potential of all four populations. Adherent cells derived from all four tissue sources exhibited positivity for CD90 and CD44 and negativity for CD45 and CD11b. The positive rate for CD90 was higher for synovium-derived than for adipose-derived and bone marrow-derived MSCs. Synovium-derived and infrapatellar fat pad-derived MSCs displayed substantial proliferation ability, and all four populations underwent trilineage differentiation. During chondrogenesis, the wet weight was heavier for cartilage pellets derived from synovium MSCs than from the other three sources. The synovium is therefore a promising source for MSCs for canine cartilage regeneration. Our findings provide useful information about canine MSCs that may be applicable to regenerative medicine for treatment of OA.","author":[{"dropping-particle":"","family":"Sasaki","given":"Akari","non-dropping-particle":"","parse-names":false,"suffix":""},{"dropping-particle":"","family":"Mizuno","given":"Mitsuru","non-dropping-particle":"","parse-names":false,"suffix":""},{"dropping-particle":"","family":"Ozeki","given":"Nobutake","non-dropping-particle":"","parse-names":false,"suffix":""},{"dropping-particle":"","family":"Katano","given":"Hisako","non-dropping-particle":"","parse-names":false,"suffix":""},{"dropping-particle":"","family":"Otabe","given":"Koji","non-dropping-particle":"","parse-names":false,"suffix":""},{"dropping-particle":"","family":"Tsuji","given":"Kunikazu","non-dropping-particle":"","parse-names":false,"suffix":""},{"dropping-particle":"","family":"Koga","given":"Hideyuki","non-dropping-particle":"","parse-names":false,"suffix":""},{"dropping-particle":"","family":"Mochizuki","given":"Manabu","non-dropping-particle":"","parse-names":false,"suffix":""},{"dropping-particle":"","family":"Sekiya","given":"Ichiro","non-dropping-particle":"","parse-names":false,"suffix":""}],"container-title":"PLoS ONE","id":"ITEM-1","issue":"8","issued":{"date-parts":[["2018"]]},"page":"1-20","title":"Canine mesenchymal stem cells from synovium have a higher chondrogenic potential than those from infrapatellar fat pad, adipose tissue, and bone marrow","type":"article-journal","volume":"13"},"uris":["http://www.mendeley.com/documents/?uuid=06e018b3-4bb7-4b65-8c48-df24ad3c85ac"]},{"id":"ITEM-2","itemData":{"DOI":"10.1186/s13287-017-0639-6","ISSN":"17576512","PMID":"28974260","abstract":"BACKGROUND The dog represents an excellent large animal model for translational cell-based studies. Importantly, the properties of canine multipotent stromal cells (cMSCs) and the ideal tissue source for specific translational studies have yet to be established. The aim of this study was to characterize cMSCs derived from synovium, bone marrow, and adipose tissue using a donor-matched study design and a comprehensive series of in-vitro characterization, differentiation, and immunomodulation assays. METHODS Canine MSCs were isolated from five dogs with cranial cruciate ligament rupture. All 15 cMSC preparations were evaluated using colony forming unit (CFU) assays, flow cytometry analysis, RT-PCR for pluripotency-associated genes, proliferation assays, trilineage differentiation assays, and immunomodulation assays. Data were reported as mean</w:instrText>
      </w:r>
      <w:r w:rsidR="00073C18" w:rsidRPr="00000DD3">
        <w:rPr>
          <w:rFonts w:ascii="Times New Roman" w:hAnsi="Times New Roman" w:cs="Times New Roman"/>
        </w:rPr>
        <w:instrText> </w:instrText>
      </w:r>
      <w:r w:rsidR="00073C18" w:rsidRPr="00000DD3">
        <w:rPr>
          <w:rFonts w:ascii="Book Antiqua" w:hAnsi="Book Antiqua" w:cstheme="minorHAnsi"/>
        </w:rPr>
        <w:instrText>±</w:instrText>
      </w:r>
      <w:r w:rsidR="00073C18" w:rsidRPr="00000DD3">
        <w:rPr>
          <w:rFonts w:ascii="Times New Roman" w:hAnsi="Times New Roman" w:cs="Times New Roman"/>
        </w:rPr>
        <w:instrText> </w:instrText>
      </w:r>
      <w:r w:rsidR="00073C18" w:rsidRPr="00000DD3">
        <w:rPr>
          <w:rFonts w:ascii="Book Antiqua" w:hAnsi="Book Antiqua" w:cstheme="minorHAnsi"/>
        </w:rPr>
        <w:instrText>standard deviation and compared using repeated-measures analysis of variance and Tukey post-hoc test. Significance was established at p</w:instrText>
      </w:r>
      <w:r w:rsidR="00073C18" w:rsidRPr="00000DD3">
        <w:rPr>
          <w:rFonts w:ascii="Times New Roman" w:hAnsi="Times New Roman" w:cs="Times New Roman"/>
        </w:rPr>
        <w:instrText> </w:instrText>
      </w:r>
      <w:r w:rsidR="00073C18" w:rsidRPr="00000DD3">
        <w:rPr>
          <w:rFonts w:ascii="Book Antiqua" w:hAnsi="Book Antiqua" w:cstheme="minorHAnsi"/>
        </w:rPr>
        <w:instrText>&lt;</w:instrText>
      </w:r>
      <w:r w:rsidR="00073C18" w:rsidRPr="00000DD3">
        <w:rPr>
          <w:rFonts w:ascii="Times New Roman" w:hAnsi="Times New Roman" w:cs="Times New Roman"/>
        </w:rPr>
        <w:instrText> </w:instrText>
      </w:r>
      <w:r w:rsidR="00073C18" w:rsidRPr="00000DD3">
        <w:rPr>
          <w:rFonts w:ascii="Book Antiqua" w:hAnsi="Book Antiqua" w:cstheme="minorHAnsi"/>
        </w:rPr>
        <w:instrText>0.05. RESULTS All tissue samples produced plastic adherent, spindle-shaped preparations of cMSCs. Cells were negative for CD34, CD45, and STRO-1 and positive for CD9, CD44, and CD90, whereas the degree to which cells were positive for CD105 was variable depending on tissue of origin. Cells were positive for the pluripotency-associated genes NANOG, OCT4, and SOX2. Accounting for donor and tissue sources, there were significant differences in CFU potential, rate of proliferation, trilineage differentiation, and immunomodulatory response. Synovium and marrow cMSCs exhibited superior early osteogenic activity, but when assessing late-stage osteogenesis no significant differences were detected. Interestingly, bone morphogenic protein-2 (BMP-2) supplementation was necessary for early-stage and late-stage osteogenic differentiation, a finding consistent with other canine studies. Additionally, synovium and adipose cMSCs proliferated more rapidly, displayed higher CFU potential, and formed larger aggregates in chondrogenic assays, although proteoglycan and collagen type II staining were subjectively decreased in adipose pellets as compared to synovial and marrow pellets. Lastly, cMSCs derived from all three tissue sources modulated murine macrophage TNF-α and IL-6 levels in a lipopolysaccharide-stimulated coculture assay. CONCLUSIONS While cMSCs from synovium, marrow, and adipose tissue share a number of similarities, important differences in proliferation and trilineage differentiation …","author":[{"dropping-particle":"","family":"Bearden","given":"Robert N.","non-dropping-particle":"","parse-names":false,"suffix":""},{"dropping-particle":"","family":"Huggins","given":"Shannon S.","non-dropping-particle":"","parse-names":false,"suffix":""},{"dropping-particle":"","family":"Cummings","given":"Kevin J.","non-dropping-particle":"","parse-names":false,"suffix":""},{"dropping-particle":"","family":"Smith","given":"Roger","non-dropping-particle":"","parse-names":false,"suffix":""},{"dropping-particle":"","family":"Gregory","given":"Carl A.","non-dropping-particle":"","parse-names":false,"suffix":""},{"dropping-particle":"","family":"Saunders","given":"William B.","non-dropping-particle":"","parse-names":false,"suffix":""}],"container-title":"Stem Cell Research and Therapy","id":"ITEM-2","issue":"1","issued":{"date-parts":[["2017"]]},"page":"1-22","publisher":"Stem Cell Research &amp; Therapy","title":"In-vitro characterization of canine multipotent stromal cells isolated from synovium, bone marrow, and adipose tissue: A donor-matched comparative study","type":"article-journal","volume":"8"},"uris":["http://www.mendeley.com/documents/?uuid=93ce5912-c717-4e45-a0d6-6e2eb38783bb"]}],"mendeley":{"formattedCitation":"&lt;sup&gt;[40,53]&lt;/sup&gt;","plainTextFormattedCitation":"[40,53]","previouslyFormattedCitation":"&lt;sup&gt;[40,53]&lt;/sup&gt;"},"properties":{"noteIndex":0},"schema":"https://github.com/citation-style-language/schema/raw/master/csl-citation.json"}</w:instrText>
      </w:r>
      <w:r w:rsidR="0086714C" w:rsidRPr="00000DD3">
        <w:rPr>
          <w:rFonts w:ascii="Book Antiqua" w:hAnsi="Book Antiqua" w:cstheme="minorHAnsi"/>
        </w:rPr>
        <w:fldChar w:fldCharType="separate"/>
      </w:r>
      <w:r w:rsidR="00BC68DD" w:rsidRPr="00000DD3">
        <w:rPr>
          <w:rFonts w:ascii="Book Antiqua" w:hAnsi="Book Antiqua" w:cstheme="minorHAnsi"/>
          <w:noProof/>
          <w:vertAlign w:val="superscript"/>
        </w:rPr>
        <w:t>[40,53]</w:t>
      </w:r>
      <w:r w:rsidR="0086714C" w:rsidRPr="00000DD3">
        <w:rPr>
          <w:rFonts w:ascii="Book Antiqua" w:hAnsi="Book Antiqua" w:cstheme="minorHAnsi"/>
        </w:rPr>
        <w:fldChar w:fldCharType="end"/>
      </w:r>
      <w:r w:rsidR="0086714C" w:rsidRPr="00000DD3">
        <w:rPr>
          <w:rFonts w:ascii="Book Antiqua" w:hAnsi="Book Antiqua" w:cstheme="minorHAnsi"/>
        </w:rPr>
        <w:t>.</w:t>
      </w:r>
      <w:r w:rsidR="00B14517" w:rsidRPr="00000DD3">
        <w:rPr>
          <w:rFonts w:ascii="Book Antiqua" w:hAnsi="Book Antiqua" w:cstheme="minorHAnsi"/>
        </w:rPr>
        <w:t xml:space="preserve"> </w:t>
      </w:r>
      <w:r w:rsidR="00CE50C6" w:rsidRPr="00000DD3">
        <w:rPr>
          <w:rFonts w:ascii="Book Antiqua" w:hAnsi="Book Antiqua" w:cstheme="minorHAnsi"/>
        </w:rPr>
        <w:t xml:space="preserve">The </w:t>
      </w:r>
      <w:r w:rsidR="00CD313C" w:rsidRPr="00000DD3">
        <w:rPr>
          <w:rFonts w:ascii="Book Antiqua" w:hAnsi="Book Antiqua" w:cstheme="minorHAnsi"/>
        </w:rPr>
        <w:t>c</w:t>
      </w:r>
      <w:r w:rsidR="00477727" w:rsidRPr="00000DD3">
        <w:rPr>
          <w:rFonts w:ascii="Book Antiqua" w:hAnsi="Book Antiqua" w:cstheme="minorHAnsi"/>
        </w:rPr>
        <w:t xml:space="preserve">artilage pellets </w:t>
      </w:r>
      <w:r w:rsidR="00CE50C6" w:rsidRPr="00000DD3">
        <w:rPr>
          <w:rFonts w:ascii="Book Antiqua" w:hAnsi="Book Antiqua" w:cstheme="minorHAnsi"/>
        </w:rPr>
        <w:t xml:space="preserve">that </w:t>
      </w:r>
      <w:r w:rsidR="00477727" w:rsidRPr="00000DD3">
        <w:rPr>
          <w:rFonts w:ascii="Book Antiqua" w:hAnsi="Book Antiqua" w:cstheme="minorHAnsi"/>
        </w:rPr>
        <w:t>differentiate from BM-</w:t>
      </w:r>
      <w:proofErr w:type="spellStart"/>
      <w:r w:rsidR="009F085A" w:rsidRPr="00000DD3">
        <w:rPr>
          <w:rFonts w:ascii="Book Antiqua" w:hAnsi="Book Antiqua" w:cstheme="minorHAnsi"/>
        </w:rPr>
        <w:t>c</w:t>
      </w:r>
      <w:r w:rsidR="00477727" w:rsidRPr="00000DD3">
        <w:rPr>
          <w:rFonts w:ascii="Book Antiqua" w:hAnsi="Book Antiqua" w:cstheme="minorHAnsi"/>
        </w:rPr>
        <w:t>MSCs</w:t>
      </w:r>
      <w:proofErr w:type="spellEnd"/>
      <w:r w:rsidR="00CD313C" w:rsidRPr="00000DD3">
        <w:rPr>
          <w:rFonts w:ascii="Book Antiqua" w:hAnsi="Book Antiqua" w:cstheme="minorHAnsi"/>
        </w:rPr>
        <w:t xml:space="preserve"> are small, </w:t>
      </w:r>
      <w:r w:rsidR="00CE50C6" w:rsidRPr="00000DD3">
        <w:rPr>
          <w:rFonts w:ascii="Book Antiqua" w:hAnsi="Book Antiqua" w:cstheme="minorHAnsi"/>
        </w:rPr>
        <w:t xml:space="preserve">but </w:t>
      </w:r>
      <w:r w:rsidR="00CD313C" w:rsidRPr="00000DD3">
        <w:rPr>
          <w:rFonts w:ascii="Book Antiqua" w:hAnsi="Book Antiqua" w:cstheme="minorHAnsi"/>
        </w:rPr>
        <w:t>they</w:t>
      </w:r>
      <w:r w:rsidR="00477727" w:rsidRPr="00000DD3">
        <w:rPr>
          <w:rFonts w:ascii="Book Antiqua" w:hAnsi="Book Antiqua" w:cstheme="minorHAnsi"/>
        </w:rPr>
        <w:t xml:space="preserve"> </w:t>
      </w:r>
      <w:r w:rsidR="00CE50C6" w:rsidRPr="00000DD3">
        <w:rPr>
          <w:rFonts w:ascii="Book Antiqua" w:hAnsi="Book Antiqua" w:cstheme="minorHAnsi"/>
        </w:rPr>
        <w:t>show</w:t>
      </w:r>
      <w:r w:rsidR="008D6365" w:rsidRPr="00000DD3">
        <w:rPr>
          <w:rFonts w:ascii="Book Antiqua" w:hAnsi="Book Antiqua" w:cstheme="minorHAnsi"/>
        </w:rPr>
        <w:t xml:space="preserve"> </w:t>
      </w:r>
      <w:r w:rsidR="00477727" w:rsidRPr="00000DD3">
        <w:rPr>
          <w:rFonts w:ascii="Book Antiqua" w:hAnsi="Book Antiqua" w:cstheme="minorHAnsi"/>
        </w:rPr>
        <w:t>intens</w:t>
      </w:r>
      <w:r w:rsidR="00863D0A" w:rsidRPr="00000DD3">
        <w:rPr>
          <w:rFonts w:ascii="Book Antiqua" w:hAnsi="Book Antiqua" w:cstheme="minorHAnsi"/>
        </w:rPr>
        <w:t xml:space="preserve">e staining </w:t>
      </w:r>
      <w:r w:rsidR="00CE50C6" w:rsidRPr="00000DD3">
        <w:rPr>
          <w:rFonts w:ascii="Book Antiqua" w:hAnsi="Book Antiqua" w:cstheme="minorHAnsi"/>
        </w:rPr>
        <w:t xml:space="preserve">with </w:t>
      </w:r>
      <w:r w:rsidR="009F085A" w:rsidRPr="00000DD3">
        <w:rPr>
          <w:rFonts w:ascii="Book Antiqua" w:hAnsi="Book Antiqua" w:cstheme="minorHAnsi"/>
        </w:rPr>
        <w:t xml:space="preserve">toluidine blue, </w:t>
      </w:r>
      <w:proofErr w:type="spellStart"/>
      <w:r w:rsidR="009F085A" w:rsidRPr="00000DD3">
        <w:rPr>
          <w:rFonts w:ascii="Book Antiqua" w:hAnsi="Book Antiqua" w:cstheme="minorHAnsi"/>
        </w:rPr>
        <w:t>alcian</w:t>
      </w:r>
      <w:proofErr w:type="spellEnd"/>
      <w:r w:rsidR="009F085A" w:rsidRPr="00000DD3">
        <w:rPr>
          <w:rFonts w:ascii="Book Antiqua" w:hAnsi="Book Antiqua" w:cstheme="minorHAnsi"/>
        </w:rPr>
        <w:t xml:space="preserve"> blue</w:t>
      </w:r>
      <w:r w:rsidR="00CE50C6" w:rsidRPr="00000DD3">
        <w:rPr>
          <w:rFonts w:ascii="Book Antiqua" w:hAnsi="Book Antiqua" w:cstheme="minorHAnsi"/>
        </w:rPr>
        <w:t>,</w:t>
      </w:r>
      <w:r w:rsidR="00863D0A" w:rsidRPr="00000DD3">
        <w:rPr>
          <w:rFonts w:ascii="Book Antiqua" w:hAnsi="Book Antiqua" w:cstheme="minorHAnsi"/>
        </w:rPr>
        <w:t xml:space="preserve"> </w:t>
      </w:r>
      <w:r w:rsidR="009F085A" w:rsidRPr="00000DD3">
        <w:rPr>
          <w:rFonts w:ascii="Book Antiqua" w:hAnsi="Book Antiqua" w:cstheme="minorHAnsi"/>
        </w:rPr>
        <w:t>or</w:t>
      </w:r>
      <w:r w:rsidR="00863D0A" w:rsidRPr="00000DD3">
        <w:rPr>
          <w:rFonts w:ascii="Book Antiqua" w:hAnsi="Book Antiqua" w:cstheme="minorHAnsi"/>
        </w:rPr>
        <w:t xml:space="preserve"> collagen type</w:t>
      </w:r>
      <w:r w:rsidR="00DB00CB" w:rsidRPr="00000DD3">
        <w:rPr>
          <w:rFonts w:ascii="Book Antiqua" w:hAnsi="Book Antiqua" w:cstheme="minorHAnsi"/>
        </w:rPr>
        <w:t xml:space="preserve"> II</w:t>
      </w:r>
      <w:r w:rsidR="00CE50C6" w:rsidRPr="00000DD3">
        <w:rPr>
          <w:rFonts w:ascii="Book Antiqua" w:hAnsi="Book Antiqua" w:cstheme="minorHAnsi"/>
        </w:rPr>
        <w:t xml:space="preserve"> </w:t>
      </w:r>
      <w:r w:rsidR="00877BB3" w:rsidRPr="00000DD3">
        <w:rPr>
          <w:rFonts w:ascii="Book Antiqua" w:hAnsi="Book Antiqua" w:cstheme="minorHAnsi"/>
        </w:rPr>
        <w:t xml:space="preserve">antibody </w:t>
      </w:r>
      <w:r w:rsidR="00CE50C6" w:rsidRPr="00000DD3">
        <w:rPr>
          <w:rFonts w:ascii="Book Antiqua" w:hAnsi="Book Antiqua" w:cstheme="minorHAnsi"/>
        </w:rPr>
        <w:t>when compared</w:t>
      </w:r>
      <w:r w:rsidR="00CD313C" w:rsidRPr="00000DD3">
        <w:rPr>
          <w:rFonts w:ascii="Book Antiqua" w:hAnsi="Book Antiqua" w:cstheme="minorHAnsi"/>
        </w:rPr>
        <w:t xml:space="preserve"> to cartilage pellets differentiated from Sy-</w:t>
      </w:r>
      <w:proofErr w:type="spellStart"/>
      <w:r w:rsidR="00CD313C" w:rsidRPr="00000DD3">
        <w:rPr>
          <w:rFonts w:ascii="Book Antiqua" w:hAnsi="Book Antiqua" w:cstheme="minorHAnsi"/>
        </w:rPr>
        <w:t>cMSCs</w:t>
      </w:r>
      <w:proofErr w:type="spellEnd"/>
      <w:r w:rsidR="00CD313C" w:rsidRPr="00000DD3">
        <w:rPr>
          <w:rFonts w:ascii="Book Antiqua" w:hAnsi="Book Antiqua" w:cstheme="minorHAnsi"/>
        </w:rPr>
        <w:t>, IF-</w:t>
      </w:r>
      <w:proofErr w:type="spellStart"/>
      <w:r w:rsidR="00CD313C" w:rsidRPr="00000DD3">
        <w:rPr>
          <w:rFonts w:ascii="Book Antiqua" w:hAnsi="Book Antiqua" w:cstheme="minorHAnsi"/>
        </w:rPr>
        <w:t>cMSCs</w:t>
      </w:r>
      <w:proofErr w:type="spellEnd"/>
      <w:r w:rsidR="00CE50C6" w:rsidRPr="00000DD3">
        <w:rPr>
          <w:rFonts w:ascii="Book Antiqua" w:hAnsi="Book Antiqua" w:cstheme="minorHAnsi"/>
        </w:rPr>
        <w:t>,</w:t>
      </w:r>
      <w:r w:rsidR="00CD313C" w:rsidRPr="00000DD3">
        <w:rPr>
          <w:rFonts w:ascii="Book Antiqua" w:hAnsi="Book Antiqua" w:cstheme="minorHAnsi"/>
        </w:rPr>
        <w:t xml:space="preserve"> </w:t>
      </w:r>
      <w:r w:rsidR="00CE50C6" w:rsidRPr="00000DD3">
        <w:rPr>
          <w:rFonts w:ascii="Book Antiqua" w:hAnsi="Book Antiqua" w:cstheme="minorHAnsi"/>
        </w:rPr>
        <w:t xml:space="preserve">or </w:t>
      </w:r>
      <w:r w:rsidR="00CD313C" w:rsidRPr="00000DD3">
        <w:rPr>
          <w:rFonts w:ascii="Book Antiqua" w:hAnsi="Book Antiqua" w:cstheme="minorHAnsi"/>
        </w:rPr>
        <w:t>AD-</w:t>
      </w:r>
      <w:proofErr w:type="spellStart"/>
      <w:r w:rsidR="00CD313C" w:rsidRPr="00000DD3">
        <w:rPr>
          <w:rFonts w:ascii="Book Antiqua" w:hAnsi="Book Antiqua" w:cstheme="minorHAnsi"/>
        </w:rPr>
        <w:t>cMSCs</w:t>
      </w:r>
      <w:proofErr w:type="spellEnd"/>
      <w:r w:rsidR="009F085A"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{"citationItems":[{"id":"ITEM-1","itemData":{"DOI":"10.1007/s11259-012-9523-0","ISBN":"1573-7446 (Electronic)\\r0165-7380 (Linking)","ISSN":"01657380","PMID":"22392598","abstract":"In the dog, mesenchymal stem cells (MSCs) have been shown to reside in the bone marrow (bone marrow-derived mesenchymal stem cells: BM-MSCs) as well as in the adipose tissue (adipose tissue-derived stem cells: ADSCs). Potential application fields for these multipotent MSCs in small animal practice are joint diseases as MSCs of both sources have shown to possess chondrogenic differentiation ability. However, it is not clear whether the chondrogenic differentiation potential of cells of these two distinct tissues is truly equal. Therefore, we compared MSCs of both origins in this study in terms of their chondrogenic differentiation ability and suitability for clinical application. BM-MSCs harvested from the femoral neck and ADSCs from intra-abdominal fat tissue were examined for their morphology, population doubling time (PDT) and CD90 surface antigen expression. RT-PCR served to assess expression of pluripotency marker Oct4 and early differentiation marker genes. Chondrogenic differentiation ability was compared and validated using histochemistry, transmission electron microscopy (TEM) and quantitative RT-PCR. Both cell populations presented a highly similar morphology and marker expression in an undifferentiated stage except that freshly isolated ADSCs demonstrated a significantly faster PDT than BM-MSCs. In contrast, BM-MSCs revealed a morphological superior cartilage formation by the production of a more abundant and structured hyaline matrix and higher expression of lineage specific genes under the applied standard differentiation protocol. However, further investigations are necessary in order to find out if chondrogenic differentiation can be improved in canine ADSCs using different protocols and/or supplements.","author":[{"dropping-particle":"","family":"Reich","given":"Christine M","non-dropping-particle":"","parse-names":false,"suffix":""},{"dropping-particle":"","family":"Raabe","given":"Oksana","non-dropping-particle":"","parse-names":false,"suffix":""},{"dropping-particle":"","family":"Wenisch","given":"Sabine","non-dropping-particle":"","parse-names":false,"suffix":""},{"dropping-particle":"","family":"Bridger","given":"Philip S","non-dropping-particle":"","parse-names":false,"suffix":""},{"dropping-particle":"","family":"Kramer","given":"Martin","non-dropping-particle":"","parse-names":false,"suffix":""},{"dropping-particle":"","family":"Arnhold","given":"Stefan","non-dropping-particle":"","parse-names":false,"suffix":""}],"container-title":"Veterinary Research Communications","id":"ITEM-1","issue":"2","issued":{"date-parts":[["2012"]]},"page":"139-148","title":"Isolation, culture and chondrogenic differentiation of canine adipose tissue- and bone marrow-derived mesenchymal stem cells-A comparative study","type":"article-journal","volume":"36"},"uris":["http://www.mendeley.com/documents/?uuid=7bef8bba-0ea4-3972-a9b4-31813e085455"]},{"id":"ITEM-2","itemData":{"DOI":"10.1186/s13287-017-0639-6","ISSN":"17576512","PMID":"28974260","abstract":"BACKGROUND The dog represents an excellent large animal model for translational cell-based studies. Importantly, the properties of canine multipotent stromal cells (cMSCs) and the ideal tissue source for specific translational studies have yet to be established. The aim of this study was to characterize cMSCs derived from synovium, bone marrow, and adipose tissue using a donor-matched study design and a comprehensive series of in-vitro characterization, differentiation, and immunomodulation assays. METHODS Canine MSCs were isolated from five dogs with cranial cruciate ligament rupture. All 15 cMSC preparations were evaluated using colony forming unit (CFU) assays, flow cytometry analysis, RT-PCR for pluripotency-associated genes, proliferation assays, trilineage differentiation assays, and immunomodulation assays. Data were reported as mean</w:instrText>
      </w:r>
      <w:r w:rsidR="00073C18" w:rsidRPr="00000DD3">
        <w:rPr>
          <w:rFonts w:ascii="Times New Roman" w:hAnsi="Times New Roman" w:cs="Times New Roman"/>
        </w:rPr>
        <w:instrText> </w:instrText>
      </w:r>
      <w:r w:rsidR="00073C18" w:rsidRPr="00000DD3">
        <w:rPr>
          <w:rFonts w:ascii="Book Antiqua" w:hAnsi="Book Antiqua" w:cstheme="minorHAnsi"/>
        </w:rPr>
        <w:instrText>±</w:instrText>
      </w:r>
      <w:r w:rsidR="00073C18" w:rsidRPr="00000DD3">
        <w:rPr>
          <w:rFonts w:ascii="Times New Roman" w:hAnsi="Times New Roman" w:cs="Times New Roman"/>
        </w:rPr>
        <w:instrText> </w:instrText>
      </w:r>
      <w:r w:rsidR="00073C18" w:rsidRPr="00000DD3">
        <w:rPr>
          <w:rFonts w:ascii="Book Antiqua" w:hAnsi="Book Antiqua" w:cstheme="minorHAnsi"/>
        </w:rPr>
        <w:instrText>standard deviation and compared using repeated-measures analysis of variance and Tukey post-hoc test. Significance was established at p</w:instrText>
      </w:r>
      <w:r w:rsidR="00073C18" w:rsidRPr="00000DD3">
        <w:rPr>
          <w:rFonts w:ascii="Times New Roman" w:hAnsi="Times New Roman" w:cs="Times New Roman"/>
        </w:rPr>
        <w:instrText> </w:instrText>
      </w:r>
      <w:r w:rsidR="00073C18" w:rsidRPr="00000DD3">
        <w:rPr>
          <w:rFonts w:ascii="Book Antiqua" w:hAnsi="Book Antiqua" w:cstheme="minorHAnsi"/>
        </w:rPr>
        <w:instrText>&lt;</w:instrText>
      </w:r>
      <w:r w:rsidR="00073C18" w:rsidRPr="00000DD3">
        <w:rPr>
          <w:rFonts w:ascii="Times New Roman" w:hAnsi="Times New Roman" w:cs="Times New Roman"/>
        </w:rPr>
        <w:instrText> </w:instrText>
      </w:r>
      <w:r w:rsidR="00073C18" w:rsidRPr="00000DD3">
        <w:rPr>
          <w:rFonts w:ascii="Book Antiqua" w:hAnsi="Book Antiqua" w:cstheme="minorHAnsi"/>
        </w:rPr>
        <w:instrText>0.05. RESULTS All tissue samples produced plastic adherent, spindle-shaped preparations of cMSCs. Cells were negative for CD34, CD45, and STRO-1 and positive for CD9, CD44, and CD90, whereas the degree to which cells were positive for CD105 was variable depending on tissue of origin. Cells were positive for the pluripotency-associated genes NANOG, OCT4, and SOX2. Accounting for donor and tissue sources, there were significant differences in CFU potential, rate of proliferation, trilineage differentiation, and immunomodulatory response. Synovium and marrow cMSCs exhibited superior early osteogenic activity, but when assessing late-stage osteogenesis no significant differences were detected. Interestingly, bone morphogenic protein-2 (BMP-2) supplementation was necessary for early-stage and late-stage osteogenic differentiation, a finding consistent with other canine studies. Additionally, synovium and adipose cMSCs proliferated more rapidly, displayed higher CFU potential, and formed larger aggregates in chondrogenic assays, although proteoglycan and collagen type II staining were subjectively decreased in adipose pellets as compared to synovial and marrow pellets. Lastly, cMSCs derived from all three tissue sources modulated murine macrophage TNF-α and IL-6 levels in a lipopolysaccharide-stimulated coculture assay. CONCLUSIONS While cMSCs from synovium, marrow, and adipose tissue share a number of similarities, important differences in proliferation and trilineage differentiation …","author":[{"dropping-particle":"","family":"Bearden","given":"Robert N.","non-dropping-particle":"","parse-names":false,"suffix":""},{"dropping-particle":"","family":"Huggins","given":"Shannon S.","non-dropping-particle":"","parse-names":false,"suffix":""},{"dropping-particle":"","family":"Cummings","given":"Kevin J.","non-dropping-particle":"","parse-names":false,"suffix":""},{"dropping-particle":"","family":"Smith","given":"Roger","non-dropping-particle":"","parse-names":false,"suffix":""},{"dropping-particle":"","family":"Gregory","given":"Carl A.","non-dropping-particle":"","parse-names":false,"suffix":""},{"dropping-particle":"","family":"Saunders","given":"William B.","non-dropping-particle":"","parse-names":false,"suffix":""}],"container-title":"Stem Cell Research and Therapy","id":"ITEM-2","issue":"1","issued":{"date-parts":[["2017"]]},"page":"1-22","publisher":"Stem Cell Research &amp; Therapy","title":"In-vitro characterization of canine multipotent stromal cells isolated from synovium, bone marrow, and adipose tissue: A donor-matched comparative study","type":"article-journal","volume":"8"},"uris":["http://www.mendeley.com/documents/?uuid=93ce5912-c717-4e45-a0d6-6e2eb38783bb"]}],"mendeley":{"formattedCitation":"&lt;sup&gt;[53,56]&lt;/sup&gt;","plainTextFormattedCitation":"[53,56]","previouslyFormattedCitation":"&lt;sup&gt;[53,56]&lt;/sup&gt;"},"properties":{"noteIndex":0},"schema":"https://github.com/citation-style-language/schema/raw/master/csl-citation.json"}</w:instrText>
      </w:r>
      <w:r w:rsidR="009F085A" w:rsidRPr="00000DD3">
        <w:rPr>
          <w:rFonts w:ascii="Book Antiqua" w:hAnsi="Book Antiqua" w:cstheme="minorHAnsi"/>
        </w:rPr>
        <w:fldChar w:fldCharType="separate"/>
      </w:r>
      <w:r w:rsidR="00BC68DD" w:rsidRPr="00000DD3">
        <w:rPr>
          <w:rFonts w:ascii="Book Antiqua" w:hAnsi="Book Antiqua" w:cstheme="minorHAnsi"/>
          <w:noProof/>
          <w:vertAlign w:val="superscript"/>
        </w:rPr>
        <w:t>[53,56]</w:t>
      </w:r>
      <w:r w:rsidR="009F085A" w:rsidRPr="00000DD3">
        <w:rPr>
          <w:rFonts w:ascii="Book Antiqua" w:hAnsi="Book Antiqua" w:cstheme="minorHAnsi"/>
        </w:rPr>
        <w:fldChar w:fldCharType="end"/>
      </w:r>
      <w:r w:rsidR="00CD313C" w:rsidRPr="00000DD3">
        <w:rPr>
          <w:rFonts w:ascii="Book Antiqua" w:hAnsi="Book Antiqua" w:cstheme="minorHAnsi"/>
        </w:rPr>
        <w:t>.</w:t>
      </w:r>
      <w:r w:rsidR="00FA17C3" w:rsidRPr="00000DD3">
        <w:rPr>
          <w:rFonts w:ascii="Book Antiqua" w:hAnsi="Book Antiqua" w:cstheme="minorHAnsi"/>
        </w:rPr>
        <w:t xml:space="preserve"> </w:t>
      </w:r>
      <w:r w:rsidR="00CE50C6" w:rsidRPr="00000DD3">
        <w:rPr>
          <w:rFonts w:ascii="Book Antiqua" w:hAnsi="Book Antiqua" w:cstheme="minorHAnsi"/>
        </w:rPr>
        <w:t>Conversely</w:t>
      </w:r>
      <w:r w:rsidR="00074EC4" w:rsidRPr="00000DD3">
        <w:rPr>
          <w:rFonts w:ascii="Book Antiqua" w:hAnsi="Book Antiqua" w:cstheme="minorHAnsi"/>
        </w:rPr>
        <w:t xml:space="preserve">, </w:t>
      </w:r>
      <w:r w:rsidR="00CD313C" w:rsidRPr="00000DD3">
        <w:rPr>
          <w:rFonts w:ascii="Book Antiqua" w:hAnsi="Book Antiqua" w:cstheme="minorHAnsi"/>
        </w:rPr>
        <w:t>AD-</w:t>
      </w:r>
      <w:proofErr w:type="spellStart"/>
      <w:r w:rsidR="00CD313C" w:rsidRPr="00000DD3">
        <w:rPr>
          <w:rFonts w:ascii="Book Antiqua" w:hAnsi="Book Antiqua" w:cstheme="minorHAnsi"/>
        </w:rPr>
        <w:t>cMSCs</w:t>
      </w:r>
      <w:proofErr w:type="spellEnd"/>
      <w:r w:rsidR="00CE50C6" w:rsidRPr="00000DD3">
        <w:rPr>
          <w:rFonts w:ascii="Book Antiqua" w:hAnsi="Book Antiqua" w:cstheme="minorHAnsi"/>
        </w:rPr>
        <w:t xml:space="preserve">, despite their abundance and ready availability, form only </w:t>
      </w:r>
      <w:r w:rsidR="00FA17C3" w:rsidRPr="00000DD3">
        <w:rPr>
          <w:rFonts w:ascii="Book Antiqua" w:hAnsi="Book Antiqua" w:cstheme="minorHAnsi"/>
        </w:rPr>
        <w:t xml:space="preserve">small cartilage pellets </w:t>
      </w:r>
      <w:r w:rsidR="00CE50C6" w:rsidRPr="00000DD3">
        <w:rPr>
          <w:rFonts w:ascii="Book Antiqua" w:hAnsi="Book Antiqua" w:cstheme="minorHAnsi"/>
        </w:rPr>
        <w:t>that show</w:t>
      </w:r>
      <w:r w:rsidR="00FA17C3" w:rsidRPr="00000DD3">
        <w:rPr>
          <w:rFonts w:ascii="Book Antiqua" w:hAnsi="Book Antiqua" w:cstheme="minorHAnsi"/>
        </w:rPr>
        <w:t xml:space="preserve"> low stainability </w:t>
      </w:r>
      <w:r w:rsidR="00CE50C6" w:rsidRPr="00000DD3">
        <w:rPr>
          <w:rFonts w:ascii="Book Antiqua" w:hAnsi="Book Antiqua" w:cstheme="minorHAnsi"/>
        </w:rPr>
        <w:t xml:space="preserve">with </w:t>
      </w:r>
      <w:r w:rsidR="00FA17C3" w:rsidRPr="00000DD3">
        <w:rPr>
          <w:rFonts w:ascii="Book Antiqua" w:hAnsi="Book Antiqua" w:cstheme="minorHAnsi"/>
        </w:rPr>
        <w:t>toluidine blue</w:t>
      </w:r>
      <w:r w:rsidR="00074EC4" w:rsidRPr="00000DD3">
        <w:rPr>
          <w:rFonts w:ascii="Book Antiqua" w:hAnsi="Book Antiqua" w:cstheme="minorHAnsi"/>
        </w:rPr>
        <w:t xml:space="preserve">, </w:t>
      </w:r>
      <w:proofErr w:type="spellStart"/>
      <w:r w:rsidR="00074EC4" w:rsidRPr="00000DD3">
        <w:rPr>
          <w:rFonts w:ascii="Book Antiqua" w:hAnsi="Book Antiqua" w:cstheme="minorHAnsi"/>
        </w:rPr>
        <w:t>alcian</w:t>
      </w:r>
      <w:proofErr w:type="spellEnd"/>
      <w:r w:rsidR="00074EC4" w:rsidRPr="00000DD3">
        <w:rPr>
          <w:rFonts w:ascii="Book Antiqua" w:hAnsi="Book Antiqua" w:cstheme="minorHAnsi"/>
        </w:rPr>
        <w:t xml:space="preserve"> blue</w:t>
      </w:r>
      <w:r w:rsidR="00CE50C6" w:rsidRPr="00000DD3">
        <w:rPr>
          <w:rFonts w:ascii="Book Antiqua" w:hAnsi="Book Antiqua" w:cstheme="minorHAnsi"/>
        </w:rPr>
        <w:t>,</w:t>
      </w:r>
      <w:r w:rsidR="00FA17C3" w:rsidRPr="00000DD3">
        <w:rPr>
          <w:rFonts w:ascii="Book Antiqua" w:hAnsi="Book Antiqua" w:cstheme="minorHAnsi"/>
        </w:rPr>
        <w:t xml:space="preserve"> or collagen type</w:t>
      </w:r>
      <w:r w:rsidR="00DB00CB" w:rsidRPr="00000DD3">
        <w:rPr>
          <w:rFonts w:ascii="Book Antiqua" w:hAnsi="Book Antiqua" w:cstheme="minorHAnsi"/>
        </w:rPr>
        <w:t xml:space="preserve"> II</w:t>
      </w:r>
      <w:r w:rsidR="00CE50C6" w:rsidRPr="00000DD3">
        <w:rPr>
          <w:rFonts w:ascii="Book Antiqua" w:hAnsi="Book Antiqua" w:cstheme="minorHAnsi"/>
        </w:rPr>
        <w:t xml:space="preserve"> </w:t>
      </w:r>
      <w:r w:rsidR="00877BB3" w:rsidRPr="00000DD3">
        <w:rPr>
          <w:rFonts w:ascii="Book Antiqua" w:hAnsi="Book Antiqua" w:cstheme="minorHAnsi"/>
        </w:rPr>
        <w:t>antibody and</w:t>
      </w:r>
      <w:r w:rsidR="004C1E60" w:rsidRPr="00000DD3">
        <w:rPr>
          <w:rFonts w:ascii="Book Antiqua" w:hAnsi="Book Antiqua" w:cstheme="minorHAnsi"/>
        </w:rPr>
        <w:t xml:space="preserve"> </w:t>
      </w:r>
      <w:r w:rsidR="00D2716A" w:rsidRPr="00000DD3">
        <w:rPr>
          <w:rFonts w:ascii="Book Antiqua" w:hAnsi="Book Antiqua" w:cstheme="minorHAnsi"/>
        </w:rPr>
        <w:t>that</w:t>
      </w:r>
      <w:r w:rsidR="00877BB3" w:rsidRPr="00000DD3">
        <w:rPr>
          <w:rFonts w:ascii="Book Antiqua" w:hAnsi="Book Antiqua" w:cstheme="minorHAnsi"/>
        </w:rPr>
        <w:t xml:space="preserve"> </w:t>
      </w:r>
      <w:r w:rsidR="004C1E60" w:rsidRPr="00000DD3">
        <w:rPr>
          <w:rFonts w:ascii="Book Antiqua" w:hAnsi="Book Antiqua" w:cstheme="minorHAnsi"/>
        </w:rPr>
        <w:t xml:space="preserve">sometimes </w:t>
      </w:r>
      <w:r w:rsidR="00877BB3" w:rsidRPr="00000DD3">
        <w:rPr>
          <w:rFonts w:ascii="Book Antiqua" w:hAnsi="Book Antiqua" w:cstheme="minorHAnsi"/>
        </w:rPr>
        <w:t>show</w:t>
      </w:r>
      <w:r w:rsidR="004C1E60" w:rsidRPr="00000DD3">
        <w:rPr>
          <w:rFonts w:ascii="Book Antiqua" w:hAnsi="Book Antiqua" w:cstheme="minorHAnsi"/>
        </w:rPr>
        <w:t xml:space="preserve"> signs of necrosis</w:t>
      </w:r>
      <w:r w:rsidR="004C1E60"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{"citationItems":[{"id":"ITEM-1","itemData":{"DOI":"10.1371/journal.pone.0202922","ISBN":"1111111111","ISSN":"19326203","PMID":"30138399","abstract":"Osteoarthritis (OA), a common chronic joint disorder in both humans and canines, is characterized by a progressive loss of articular cartilage. Canines can serve as an animal model of OA for human medicine, and this research can simultaneously establish effective veterinary treatments for canine OA. One attractive treatment that can lead to cartilage regeneration is the use of mesenchymal stem cells (MSCs). However, for canine OA, little information is available regarding the best source of MSCs. The purpose of this study was to identify a promising MSC source for canine cartilage regeneration. We collected synovial, infrapatellar fat pad, inguinal adipose, and bone marrow tissues from six canines and then conducted a donor-matched comparison of the properties of MSCs derived from these four tissues. We examined the surface epitope expression, proliferation capacity, and trilineage differentiation potential of all four populations. Adherent cells derived from all four tissue sources exhibited positivity for CD90 and CD44 and negativity for CD45 and CD11b. The positive rate for CD90 was higher for synovium-derived than for adipose-derived and bone marrow-derived MSCs. Synovium-derived and infrapatellar fat pad-derived MSCs displayed substantial proliferation ability, and all four populations underwent trilineage differentiation. During chondrogenesis, the wet weight was heavier for cartilage pellets derived from synovium MSCs than from the other three sources. The synovium is therefore a promising source for MSCs for canine cartilage regeneration. Our findings provide useful information about canine MSCs that may be applicable to regenerative medicine for treatment of OA.","author":[{"dropping-particle":"","family":"Sasaki","given":"Akari","non-dropping-particle":"","parse-names":false,"suffix":""},{"dropping-particle":"","family":"Mizuno","given":"Mitsuru","non-dropping-particle":"","parse-names":false,"suffix":""},{"dropping-particle":"","family":"Ozeki","given":"Nobutake","non-dropping-particle":"","parse-names":false,"suffix":""},{"dropping-particle":"","family":"Katano","given":"Hisako","non-dropping-particle":"","parse-names":false,"suffix":""},{"dropping-particle":"","family":"Otabe","given":"Koji","non-dropping-particle":"","parse-names":false,"suffix":""},{"dropping-particle":"","family":"Tsuji","given":"Kunikazu","non-dropping-particle":"","parse-names":false,"suffix":""},{"dropping-particle":"","family":"Koga","given":"Hideyuki","non-dropping-particle":"","parse-names":false,"suffix":""},{"dropping-particle":"","family":"Mochizuki","given":"Manabu","non-dropping-particle":"","parse-names":false,"suffix":""},{"dropping-particle":"","family":"Sekiya","given":"Ichiro","non-dropping-particle":"","parse-names":false,"suffix":""}],"container-title":"PLoS ONE","id":"ITEM-1","issue":"8","issued":{"date-parts":[["2018"]]},"page":"1-20","title":"Canine mesenchymal stem cells from synovium have a higher chondrogenic potential than those from infrapatellar fat pad, adipose tissue, and bone marrow","type":"article-journal","volume":"13"},"uris":["http://www.mendeley.com/documents/?uuid=06e018b3-4bb7-4b65-8c48-df24ad3c85ac"]},{"id":"ITEM-2","itemData":{"DOI":"10.1007/s11259-012-9523-0","ISBN":"1573-7446 (Electronic)\\r0165-7380 (Linking)","ISSN":"01657380","PMID":"22392598","abstract":"In the dog, mesenchymal stem cells (MSCs) have been shown to reside in the bone marrow (bone marrow-derived mesenchymal stem cells: BM-MSCs) as well as in the adipose tissue (adipose tissue-derived stem cells: ADSCs). Potential application fields for these multipotent MSCs in small animal practice are joint diseases as MSCs of both sources have shown to possess chondrogenic differentiation ability. However, it is not clear whether the chondrogenic differentiation potential of cells of these two distinct tissues is truly equal. Therefore, we compared MSCs of both origins in this study in terms of their chondrogenic differentiation ability and suitability for clinical application. BM-MSCs harvested from the femoral neck and ADSCs from intra-abdominal fat tissue were examined for their morphology, population doubling time (PDT) and CD90 surface antigen expression. RT-PCR served to assess expression of pluripotency marker Oct4 and early differentiation marker genes. Chondrogenic differentiation ability was compared and validated using histochemistry, transmission electron microscopy (TEM) and quantitative RT-PCR. Both cell populations presented a highly similar morphology and marker expression in an undifferentiated stage except that freshly isolated ADSCs demonstrated a significantly faster PDT than BM-MSCs. In contrast, BM-MSCs revealed a morphological superior cartilage formation by the production of a more abundant and structured hyaline matrix and higher expression of lineage specific genes under the applied standard differentiation protocol. However, further investigations are necessary in order to find out if chondrogenic differentiation can be improved in canine ADSCs using different protocols and/or supplements.","author":[{"dropping-particle":"","family":"Reich","given":"Christine M","non-dropping-particle":"","parse-names":false,"suffix":""},{"dropping-particle":"","family":"Raabe","given":"Oksana","non-dropping-particle":"","parse-names":false,"suffix":""},{"dropping-particle":"","family":"Wenisch","given":"Sabine","non-dropping-particle":"","parse-names":false,"suffix":""},{"dropping-particle":"","family":"Bridger","given":"Philip S","non-dropping-particle":"","parse-names":false,"suffix":""},{"dropping-particle":"","family":"Kramer","given":"Martin","non-dropping-particle":"","parse-names":false,"suffix":""},{"dropping-particle":"","family":"Arnhold","given":"Stefan","non-dropping-particle":"","parse-names":false,"suffix":""}],"container-title":"Veterinary Research Communications","id":"ITEM-2","issue":"2","issued":{"date-parts":[["2012"]]},"page":"139-148","title":"Isolation, culture and chondrogenic differentiation of canine adipose tissue- and bone marrow-derived mesenchymal stem cells-A comparative study","type":"article-journal","volume":"36"},"uris":["http://www.mendeley.com/documents/?uuid=7bef8bba-0ea4-3972-a9b4-31813e085455"]}],"mendeley":{"formattedCitation":"&lt;sup&gt;[40,56]&lt;/sup&gt;","plainTextFormattedCitation":"[40,56]","previouslyFormattedCitation":"&lt;sup&gt;[40,56]&lt;/sup&gt;"},"properties":{"noteIndex":0},"schema":"https://github.com/citation-style-language/schema/raw/master/csl-citation.json"}</w:instrText>
      </w:r>
      <w:r w:rsidR="004C1E60" w:rsidRPr="00000DD3">
        <w:rPr>
          <w:rFonts w:ascii="Book Antiqua" w:hAnsi="Book Antiqua" w:cstheme="minorHAnsi"/>
        </w:rPr>
        <w:fldChar w:fldCharType="separate"/>
      </w:r>
      <w:r w:rsidR="00BC68DD" w:rsidRPr="00000DD3">
        <w:rPr>
          <w:rFonts w:ascii="Book Antiqua" w:hAnsi="Book Antiqua" w:cstheme="minorHAnsi"/>
          <w:noProof/>
          <w:vertAlign w:val="superscript"/>
        </w:rPr>
        <w:t>[40,56]</w:t>
      </w:r>
      <w:r w:rsidR="004C1E60" w:rsidRPr="00000DD3">
        <w:rPr>
          <w:rFonts w:ascii="Book Antiqua" w:hAnsi="Book Antiqua" w:cstheme="minorHAnsi"/>
        </w:rPr>
        <w:fldChar w:fldCharType="end"/>
      </w:r>
      <w:r w:rsidR="00606979" w:rsidRPr="00000DD3">
        <w:rPr>
          <w:rFonts w:ascii="Book Antiqua" w:hAnsi="Book Antiqua" w:cstheme="minorHAnsi"/>
        </w:rPr>
        <w:t>.</w:t>
      </w:r>
      <w:r w:rsidR="00981AD8" w:rsidRPr="00000DD3">
        <w:rPr>
          <w:rFonts w:ascii="Book Antiqua" w:hAnsi="Book Antiqua" w:cstheme="minorHAnsi"/>
        </w:rPr>
        <w:t xml:space="preserve"> </w:t>
      </w:r>
      <w:r w:rsidR="00877BB3" w:rsidRPr="00000DD3">
        <w:rPr>
          <w:rFonts w:ascii="Book Antiqua" w:hAnsi="Book Antiqua" w:cstheme="minorHAnsi"/>
        </w:rPr>
        <w:t xml:space="preserve">Human </w:t>
      </w:r>
      <w:r w:rsidR="00981AD8" w:rsidRPr="00000DD3">
        <w:rPr>
          <w:rFonts w:ascii="Book Antiqua" w:hAnsi="Book Antiqua" w:cstheme="minorHAnsi"/>
        </w:rPr>
        <w:t xml:space="preserve">Sy-MSCs and BM-MSCs </w:t>
      </w:r>
      <w:r w:rsidR="00877BB3" w:rsidRPr="00000DD3">
        <w:rPr>
          <w:rFonts w:ascii="Book Antiqua" w:hAnsi="Book Antiqua" w:cstheme="minorHAnsi"/>
        </w:rPr>
        <w:t>are</w:t>
      </w:r>
      <w:r w:rsidR="00981AD8" w:rsidRPr="00000DD3">
        <w:rPr>
          <w:rFonts w:ascii="Book Antiqua" w:hAnsi="Book Antiqua" w:cstheme="minorHAnsi"/>
        </w:rPr>
        <w:t xml:space="preserve"> also </w:t>
      </w:r>
      <w:r w:rsidR="00877BB3" w:rsidRPr="00000DD3">
        <w:rPr>
          <w:rFonts w:ascii="Book Antiqua" w:hAnsi="Book Antiqua" w:cstheme="minorHAnsi"/>
        </w:rPr>
        <w:t xml:space="preserve">known to </w:t>
      </w:r>
      <w:r w:rsidR="00981AD8" w:rsidRPr="00000DD3">
        <w:rPr>
          <w:rFonts w:ascii="Book Antiqua" w:hAnsi="Book Antiqua" w:cstheme="minorHAnsi"/>
        </w:rPr>
        <w:t xml:space="preserve">have higher chondrogenic differentiation capacity </w:t>
      </w:r>
      <w:r w:rsidR="00877BB3" w:rsidRPr="00000DD3">
        <w:rPr>
          <w:rFonts w:ascii="Book Antiqua" w:hAnsi="Book Antiqua" w:cstheme="minorHAnsi"/>
        </w:rPr>
        <w:t xml:space="preserve">when compared with </w:t>
      </w:r>
      <w:r w:rsidR="00981AD8" w:rsidRPr="00000DD3">
        <w:rPr>
          <w:rFonts w:ascii="Book Antiqua" w:hAnsi="Book Antiqua" w:cstheme="minorHAnsi"/>
        </w:rPr>
        <w:t>AD-MSCs</w:t>
      </w:r>
      <w:r w:rsidR="00FC6216" w:rsidRPr="00000DD3">
        <w:rPr>
          <w:rFonts w:ascii="Book Antiqua" w:hAnsi="Book Antiqua" w:cstheme="minorHAnsi"/>
        </w:rPr>
        <w:fldChar w:fldCharType="begin" w:fldLock="1"/>
      </w:r>
      <w:r w:rsidR="006A3361" w:rsidRPr="00000DD3">
        <w:rPr>
          <w:rFonts w:ascii="Book Antiqua" w:hAnsi="Book Antiqua" w:cstheme="minorHAnsi"/>
        </w:rPr>
        <w:instrText>ADDIN CSL_CITATION {"citationItems":[{"id":"ITEM-1","itemData":{"DOI":"10.1155/2016/6969726","ISSN":"1687-966X","PMID":"27781068","abstract":"Autologous chondrocyte implantation (ACI) is a cell-based therapy that has been used clinically for over 20 years to treat cartilage injuries more efficiently in order to negate or delay the need for joint replacement surgery. In this time, very little has changed in the ACI procedure, but now many centres are considering or using alternative cell sources for cartilage repair, in particular mesenchymal stem cells (MSCs). In this study, we have tested the chondrogenic potential of donor-matched MSCs derived from bone marrow (BM), infrapatellar fat pad (FP), and subcutaneous fat (SCF), compared to chondrocytes. We have confirmed that there is a chondrogenic potency hierarchy ranging across these cell types, with the most potent being chondrocytes, followed by FP-MSCs, BM-MSCs, and lastly SCF-MSCs. We have also examined gene expression and surface marker profiles in a predictive model to identify cells with enhanced chondrogenic potential. In doing so, we have shown that Sox-9, Alk-1, and Coll X expressions, as well as immunopositivity for CD49c and CD39, have predictive value for all of the cell types tested in indicating chondrogenic potency. The findings from this study have significant clinical implications for the refinement and development of novel cell-based cartilage repair strategies.","author":[{"dropping-particle":"","family":"Garcia","given":"John","non-dropping-particle":"","parse-names":false,"suffix":""},{"dropping-particle":"","family":"Mennan","given":"Claire","non-dropping-particle":"","parse-names":false,"suffix":""},{"dropping-particle":"","family":"McCarthy","given":"Helen S.","non-dropping-particle":"","parse-names":false,"suffix":""},{"dropping-particle":"","family":"Roberts","given":"Sally","non-dropping-particle":"","parse-names":false,"suffix":""},{"dropping-particle":"","family":"Richardson","given":"James B.","non-dropping-particle":"","parse-names":false,"suffix":""},{"dropping-particle":"","family":"Wright","given":"Karina T.","non-dropping-particle":"","parse-names":false,"suffix":""}],"container-title":"Stem Cells International","id":"ITEM-1","issued":{"date-parts":[["2016"]]},"page":"6969726","title":"Chondrogenic potency analyses of donor-matched chondrocytes and mesenchymal stem cells derived from bone marrow, infrapatellar fat pad, and subcutaneous fat","type":"article-journal","volume":"2016"},"uris":["http://www.mendeley.com/documents/?uuid=dd38884b-935f-4b86-b850-9a2e5f481ab7"]},{"id":"ITEM-2","itemData":{"DOI":"10.3389/fgene.2016.00213","ISSN":"16648021","PMID":"28066501","abstract":"Current cell-based repair strategies have proven unsuccessful for treating cartilage defects and osteoarthritic lesions, consequently advances in innovative therapeutics are required and mesenchymal stem cell-based (MSC) therapies are an expanding area of investigation. MSCs are capable of differentiating into multiple cell lineages and exerting paracrine effects. Due to their easy isolation, expansion and low immunogenicity, MSCs are an attractive option for regenerative medicine for joint repair. Recent studies have identified several MSC tissue reservoirs including in adipose tissue, bone marrow, cartilage, periosteum and muscle. MSCs isolated from these discrete tissue niches exhibit distinct biological activities, and have enhanced regenerative potentials for different tissue types. Each MSC type has advantages and disadvantages for cartilage repair and their use in a clinical setting is a balance between expediency and effectiveness. In this review we explore the challenges associated with cartilage repair and regeneration using MSC-based cell therapies and provide an overview of phenotype, biological activities and functional properties for each MSC population. This paper also specifically explores the therapeutic potential of each type of MSC, particularly focusing on which cells are capable of producing stratified hyaline-like articular cartilage regeneration. Finally we highlight areas for future investigation. Given that patients present with a variety of problems it is unlikely that cartilage regeneration will be a simple ‘one size fits all’, but more likely an array of solutions that need to applied systematically to achieve regeneration of a biomechanically competent repair tissue.","author":[{"dropping-particle":"","family":"Fellows","given":"Christopher R.","non-dropping-particle":"","parse-names":false,"suffix":""},{"dropping-particle":"","family":"Matta","given":"Csaba","non-dropping-particle":"","parse-names":false,"suffix":""},{"dropping-particle":"","family":"Zakany","given":"Roza","non-dropping-particle":"","parse-names":false,"suffix":""},{"dropping-particle":"","family":"Khan","given":"Ilyas M.","non-dropping-particle":"","parse-names":false,"suffix":""},{"dropping-particle":"","family":"Mobasheri","given":"Ali","non-dropping-particle":"","parse-names":false,"suffix":""}],"container-title":"Frontiers in Genetics","id":"ITEM-2","issued":{"date-parts":[["2016"]]},"page":"1-20","title":"Adipose, bone marrow and synovial joint-derived mesenchymal stem cells for cartilage repair","type":"article-journal","volume":"7"},"uris":["http://www.mendeley.com/documents/?uuid=ecfe1d25-c8eb-4c7d-9628-db74b17376f2"]},{"id":"ITEM-3","itemData":{"DOI":"10.1002/art.21212","ISBN":"0004-3591 (Print)\\r0004-3591 (Linking)","ISSN":"00043591","PMID":"16052568","abstract":"OBJECTIVE: To compare the properties of human mesenchymal stem cells (MSCs) isolated from bone marrow, synovium, periosteum, skeletal muscle, and adipose tissue.\\n\\nMETHODS: Human mesenchymal tissues were obtained from 8 donors during knee surgery for ligament injury. After collagenase digestion or gradient-density separation, nucleated cells were plated at an appropriate density for expansion at the maximum rate without colony-to-colony contact. Yield, expandability, differentiation potential, and epitope profile were compared among MSCs from the 5 different tissue sources.\\n\\nRESULTS: Colony number per 10(3) nucleated cells was lower, and cell number per colony was higher, in bone marrow than in other mesenchymal tissues. When the cells were replated at low density every 14 days, bone marrow-, synovium-, and periosteum-derived cells retained their proliferation ability even at passage 10. In chondrogenesis studies in which the cells were pelleted and cultured in vitro, pellets from bone marrow-, synovium-, and periosteum-derived cells were shown to be larger and stained more extensively for cartilage matrix. Synovium-derived cells, in particular, had the greatest ability for chondrogenesis. In adipogenesis experiments, the frequency of oil red O-positive colonies was highest in synovium- and adipose tissue-derived cells. In studies of osteogenesis, the rate of alizarin red-positive colonies was highest in bone marrow-, synovium-, and periosteum-derived cells. For epitope profiling, 15 surface antigens were measured. Most appeared to have similar epitope profiles irrespective of cell source.\\n\\nCONCLUSION: Our findings indicate that there are significant differences in MSC properties according to tissue source, beyond donor and experimental variation. Superiority of synovium as a potential source of MSCs for clinical applications was demonstrated.","author":[{"dropping-particle":"","family":"Sakaguchi","given":"Yusuke","non-dropping-particle":"","parse-names":false,"suffix":""},{"dropping-particle":"","family":"Sekiya","given":"Ichiro","non-dropping-particle":"","parse-names":false,"suffix":""},{"dropping-particle":"","family":"Yagishita","given":"Kazuyoshi","non-dropping-particle":"","parse-names":false,"suffix":""},{"dropping-particle":"","family":"Muneta","given":"Takeshi","non-dropping-particle":"","parse-names":false,"suffix":""}],"container-title":"Arthritis and Rheumatism","id":"ITEM-3","issue":"8","issued":{"date-parts":[["2005"]]},"page":"2521-2529","title":"Comparison of human stem cells derived from various mesenchymal tissues: Superiority of synovium as a cell source","type":"article-journal","volume":"52"},"uris":["http://www.mendeley.com/documents/?uuid=dec05c5a-2c19-47e4-b14b-5a8a1ad7c16f"]}],"mendeley":{"formattedCitation":"&lt;sup&gt;[44,71,72]&lt;/sup&gt;","plainTextFormattedCitation":"[44,71,72]","previouslyFormattedCitation":"&lt;sup&gt;[44,71,72]&lt;/sup&gt;"},"properties":{"noteIndex":0},"schema":"https://github.com/citation-style-language/schema/raw/master/csl-citation.json"}</w:instrText>
      </w:r>
      <w:r w:rsidR="00FC6216" w:rsidRPr="00000DD3">
        <w:rPr>
          <w:rFonts w:ascii="Book Antiqua" w:hAnsi="Book Antiqua" w:cstheme="minorHAnsi"/>
        </w:rPr>
        <w:fldChar w:fldCharType="separate"/>
      </w:r>
      <w:r w:rsidR="00FC6216" w:rsidRPr="00000DD3">
        <w:rPr>
          <w:rFonts w:ascii="Book Antiqua" w:hAnsi="Book Antiqua" w:cstheme="minorHAnsi"/>
          <w:noProof/>
          <w:vertAlign w:val="superscript"/>
        </w:rPr>
        <w:t>[44,71,72]</w:t>
      </w:r>
      <w:r w:rsidR="00FC6216" w:rsidRPr="00000DD3">
        <w:rPr>
          <w:rFonts w:ascii="Book Antiqua" w:hAnsi="Book Antiqua" w:cstheme="minorHAnsi"/>
        </w:rPr>
        <w:fldChar w:fldCharType="end"/>
      </w:r>
      <w:r w:rsidR="00981AD8" w:rsidRPr="00000DD3">
        <w:rPr>
          <w:rFonts w:ascii="Book Antiqua" w:hAnsi="Book Antiqua" w:cstheme="minorHAnsi"/>
        </w:rPr>
        <w:t>.</w:t>
      </w:r>
      <w:r w:rsidR="00252969" w:rsidRPr="00000DD3">
        <w:rPr>
          <w:rFonts w:ascii="Book Antiqua" w:hAnsi="Book Antiqua" w:cstheme="minorHAnsi"/>
        </w:rPr>
        <w:t xml:space="preserve"> </w:t>
      </w:r>
      <w:r w:rsidR="00213AFF" w:rsidRPr="00000DD3">
        <w:rPr>
          <w:rFonts w:ascii="Book Antiqua" w:hAnsi="Book Antiqua" w:cstheme="minorHAnsi"/>
        </w:rPr>
        <w:t xml:space="preserve">Interestingly, </w:t>
      </w:r>
      <w:proofErr w:type="spellStart"/>
      <w:r w:rsidR="00213AFF" w:rsidRPr="00000DD3">
        <w:rPr>
          <w:rFonts w:ascii="Book Antiqua" w:hAnsi="Book Antiqua" w:cstheme="minorHAnsi"/>
        </w:rPr>
        <w:t>Bertolo</w:t>
      </w:r>
      <w:proofErr w:type="spellEnd"/>
      <w:r w:rsidR="00213AFF" w:rsidRPr="00000DD3">
        <w:rPr>
          <w:rFonts w:ascii="Book Antiqua" w:hAnsi="Book Antiqua" w:cstheme="minorHAnsi"/>
        </w:rPr>
        <w:t xml:space="preserve"> </w:t>
      </w:r>
      <w:r w:rsidR="00A94D33" w:rsidRPr="00000DD3">
        <w:rPr>
          <w:rFonts w:ascii="Book Antiqua" w:eastAsia="黑体" w:hAnsi="Book Antiqua" w:cstheme="minorHAnsi" w:hint="eastAsia"/>
          <w:i/>
          <w:lang w:eastAsia="zh-CN"/>
        </w:rPr>
        <w:t>et al</w:t>
      </w:r>
      <w:r w:rsidR="00A94D33" w:rsidRPr="00000DD3">
        <w:rPr>
          <w:rFonts w:ascii="Book Antiqua" w:hAnsi="Book Antiqua" w:cstheme="minorHAnsi"/>
        </w:rPr>
        <w:fldChar w:fldCharType="begin" w:fldLock="1"/>
      </w:r>
      <w:r w:rsidR="00A94D33" w:rsidRPr="00000DD3">
        <w:rPr>
          <w:rFonts w:ascii="Book Antiqua" w:hAnsi="Book Antiqua" w:cstheme="minorHAnsi"/>
        </w:rPr>
        <w:instrText>ADDIN CSL_CITATION {"citationItems":[{"id":"ITEM-1","itemData":{"DOI":"10.3727/096368914X685294","ISSN":"09636897","PMID":"25375819","abstract":"The study of canine bone marrow-derived mesenchymal stem cells (MSC) has a prominent position in veterinary cell-based applications. Yet the plethora of breeds, their different life spans and inter-breed variations provide unclearness on what can be achieved specifically by such therapies. In this study, we compared a set of morphological, physiological, and genetic markers of MSC derived from large dog breeds, namely: Border collie, German shepherd, Labrador, Malinois, Golden retriever and Hovawart. We compared colony forming units (CFU) assay, population doubling time (PDT), senescence-associated beta-galactosidase (SA-beta-Gal) activity, telomere length and gene expression of MSC, as well as the ability of cells to differentiate to osteogenic, adipogenic and chondrogenic phenotypes. The influence of the culture media alpha-MEM, low glucose DMEM and high glucose DMEM, used in cell isolation and expansion, was investigated in presence and absence of basic Fibroblast Growth Factor (bFGF). Initial cell yield was not affected by culturing medium, but MSC expanded best in alpha-MEM supplemented with bFGF. After isolation, the number of MSC was similar among breeds - as shown by equivalent CFU - except in the Hovawart samples, which had fivefold less CFU. Telomere lengths was similar among breeds. MSC divided actively only for four weeks in culture (PDT = ~50 hours/division), except Border collie cells divided for longer time than cells from other groups. The percentage of senescent cells increased linearly in all breeds with time, with a faster rate in German shepherd, Labrador and Golden retriever. Border collie cells underwent efficient osteogenic differentiation, Hovawart cells performed the best in chondrogenic differentiation and Labrador cells in both, while German shepherd cells had the lower differentiation potential. MSC from all breed preserved the same adipogenic differentiation potential. In conclusion, despite variations, isolated MSC can be expanded and differentiated in vitro and all breeds are eligible for MSC-based therapies.","author":[{"dropping-particle":"","family":"Bertolo","given":"Alessandro","non-dropping-particle":"","parse-names":false,"suffix":""},{"dropping-particle":"","family":"Steffen","given":"Frank","non-dropping-particle":"","parse-names":false,"suffix":""},{"dropping-particle":"","family":"Malonzo-Marty","given":"Cherry","non-dropping-particle":"","parse-names":false,"suffix":""},{"dropping-particle":"","family":"Stoyanov","given":"Jivko","non-dropping-particle":"","parse-names":false,"suffix":""}],"container-title":"Cell Transplantation","id":"ITEM-1","issue":"10","issued":{"date-parts":[["2015"]]},"page":"1969-1980","title":"Canine mesenchymal stem cell potential and the importance of dog breed: Implication for cell-based therapies","type":"article-journal","volume":"24"},"uris":["http://www.mendeley.com/documents/?uuid=e9c4273c-2cfa-452a-9552-03da3ae7c70c"]}],"mendeley":{"formattedCitation":"&lt;sup&gt;[73]&lt;/sup&gt;","plainTextFormattedCitation":"[73]","previouslyFormattedCitation":"&lt;sup&gt;[73]&lt;/sup&gt;"},"properties":{"noteIndex":0},"schema":"https://github.com/citation-style-language/schema/raw/master/csl-citation.json"}</w:instrText>
      </w:r>
      <w:r w:rsidR="00A94D33" w:rsidRPr="00000DD3">
        <w:rPr>
          <w:rFonts w:ascii="Book Antiqua" w:hAnsi="Book Antiqua" w:cstheme="minorHAnsi"/>
        </w:rPr>
        <w:fldChar w:fldCharType="separate"/>
      </w:r>
      <w:r w:rsidR="00A94D33" w:rsidRPr="00000DD3">
        <w:rPr>
          <w:rFonts w:ascii="Book Antiqua" w:hAnsi="Book Antiqua" w:cstheme="minorHAnsi"/>
          <w:noProof/>
          <w:vertAlign w:val="superscript"/>
        </w:rPr>
        <w:t>[73]</w:t>
      </w:r>
      <w:r w:rsidR="00A94D33" w:rsidRPr="00000DD3">
        <w:rPr>
          <w:rFonts w:ascii="Book Antiqua" w:hAnsi="Book Antiqua" w:cstheme="minorHAnsi"/>
        </w:rPr>
        <w:fldChar w:fldCharType="end"/>
      </w:r>
      <w:r w:rsidR="00213AFF" w:rsidRPr="00000DD3">
        <w:rPr>
          <w:rFonts w:ascii="Book Antiqua" w:hAnsi="Book Antiqua" w:cstheme="minorHAnsi"/>
        </w:rPr>
        <w:t xml:space="preserve"> </w:t>
      </w:r>
      <w:r w:rsidR="00D7290C" w:rsidRPr="00000DD3">
        <w:rPr>
          <w:rFonts w:ascii="Book Antiqua" w:hAnsi="Book Antiqua" w:cstheme="minorHAnsi"/>
        </w:rPr>
        <w:t xml:space="preserve">showed that </w:t>
      </w:r>
      <w:proofErr w:type="spellStart"/>
      <w:r w:rsidR="00877BB3" w:rsidRPr="00000DD3">
        <w:rPr>
          <w:rFonts w:ascii="Book Antiqua" w:hAnsi="Book Antiqua" w:cstheme="minorHAnsi"/>
        </w:rPr>
        <w:t>cMSCs</w:t>
      </w:r>
      <w:proofErr w:type="spellEnd"/>
      <w:r w:rsidR="00877BB3" w:rsidRPr="00000DD3">
        <w:rPr>
          <w:rFonts w:ascii="Book Antiqua" w:hAnsi="Book Antiqua" w:cstheme="minorHAnsi"/>
        </w:rPr>
        <w:t xml:space="preserve"> from different </w:t>
      </w:r>
      <w:r w:rsidR="00D7290C" w:rsidRPr="00000DD3">
        <w:rPr>
          <w:rFonts w:ascii="Book Antiqua" w:hAnsi="Book Antiqua" w:cstheme="minorHAnsi"/>
        </w:rPr>
        <w:t xml:space="preserve">dog breeds can also </w:t>
      </w:r>
      <w:r w:rsidR="00877BB3" w:rsidRPr="00000DD3">
        <w:rPr>
          <w:rFonts w:ascii="Book Antiqua" w:hAnsi="Book Antiqua" w:cstheme="minorHAnsi"/>
        </w:rPr>
        <w:t>vary in their</w:t>
      </w:r>
      <w:r w:rsidR="006D26D8" w:rsidRPr="00000DD3">
        <w:rPr>
          <w:rFonts w:ascii="Book Antiqua" w:hAnsi="Book Antiqua" w:cstheme="minorHAnsi"/>
        </w:rPr>
        <w:t xml:space="preserve"> differentiation potential.</w:t>
      </w:r>
      <w:r w:rsidR="002F499C" w:rsidRPr="00000DD3">
        <w:rPr>
          <w:rFonts w:ascii="Book Antiqua" w:hAnsi="Book Antiqua" w:cstheme="minorHAnsi"/>
        </w:rPr>
        <w:t xml:space="preserve"> </w:t>
      </w:r>
    </w:p>
    <w:p w14:paraId="279E10A6" w14:textId="4FF15129" w:rsidR="00D2716A" w:rsidRPr="00000DD3" w:rsidRDefault="00877BB3" w:rsidP="009E6380">
      <w:pPr>
        <w:spacing w:line="360" w:lineRule="auto"/>
        <w:ind w:firstLineChars="100" w:firstLine="240"/>
        <w:jc w:val="both"/>
        <w:rPr>
          <w:rFonts w:ascii="Book Antiqua" w:hAnsi="Book Antiqua" w:cstheme="minorHAnsi"/>
        </w:rPr>
      </w:pPr>
      <w:r w:rsidRPr="00000DD3">
        <w:rPr>
          <w:rFonts w:ascii="Book Antiqua" w:hAnsi="Book Antiqua" w:cstheme="minorHAnsi"/>
        </w:rPr>
        <w:t>C</w:t>
      </w:r>
      <w:r w:rsidR="00FF4F6A" w:rsidRPr="00000DD3">
        <w:rPr>
          <w:rFonts w:ascii="Book Antiqua" w:hAnsi="Book Antiqua" w:cstheme="minorHAnsi"/>
        </w:rPr>
        <w:t xml:space="preserve">hondrogenic differentiation </w:t>
      </w:r>
      <w:r w:rsidR="00A14708" w:rsidRPr="00000DD3">
        <w:rPr>
          <w:rFonts w:ascii="Book Antiqua" w:hAnsi="Book Antiqua" w:cstheme="minorHAnsi"/>
        </w:rPr>
        <w:t xml:space="preserve">can be enhanced </w:t>
      </w:r>
      <w:r w:rsidR="00A14708" w:rsidRPr="00000DD3">
        <w:rPr>
          <w:rFonts w:ascii="Book Antiqua" w:hAnsi="Book Antiqua" w:cstheme="minorHAnsi"/>
          <w:i/>
        </w:rPr>
        <w:t xml:space="preserve">in vitro </w:t>
      </w:r>
      <w:r w:rsidR="00A14708" w:rsidRPr="00000DD3">
        <w:rPr>
          <w:rFonts w:ascii="Book Antiqua" w:hAnsi="Book Antiqua" w:cstheme="minorHAnsi"/>
        </w:rPr>
        <w:t xml:space="preserve">by </w:t>
      </w:r>
      <w:r w:rsidR="00A22F0C" w:rsidRPr="00000DD3">
        <w:rPr>
          <w:rFonts w:ascii="Book Antiqua" w:hAnsi="Book Antiqua" w:cstheme="minorHAnsi"/>
        </w:rPr>
        <w:t xml:space="preserve">supplementing the culture medium with </w:t>
      </w:r>
      <w:r w:rsidR="00A14708" w:rsidRPr="00000DD3">
        <w:rPr>
          <w:rFonts w:ascii="Book Antiqua" w:hAnsi="Book Antiqua" w:cstheme="minorHAnsi"/>
        </w:rPr>
        <w:t>growth factor</w:t>
      </w:r>
      <w:r w:rsidR="00A22F0C" w:rsidRPr="00000DD3">
        <w:rPr>
          <w:rFonts w:ascii="Book Antiqua" w:hAnsi="Book Antiqua" w:cstheme="minorHAnsi"/>
        </w:rPr>
        <w:t>s, such as</w:t>
      </w:r>
      <w:r w:rsidR="00A14708" w:rsidRPr="00000DD3">
        <w:rPr>
          <w:rFonts w:ascii="Book Antiqua" w:hAnsi="Book Antiqua" w:cstheme="minorHAnsi"/>
        </w:rPr>
        <w:t xml:space="preserve"> TGF-β</w:t>
      </w:r>
      <w:r w:rsidR="002F499C" w:rsidRPr="00000DD3">
        <w:rPr>
          <w:rFonts w:ascii="Book Antiqua" w:hAnsi="Book Antiqua" w:cstheme="minorHAnsi"/>
        </w:rPr>
        <w:t xml:space="preserve"> </w:t>
      </w:r>
      <w:r w:rsidR="00A14708" w:rsidRPr="00000DD3">
        <w:rPr>
          <w:rFonts w:ascii="Book Antiqua" w:hAnsi="Book Antiqua" w:cstheme="minorHAnsi"/>
        </w:rPr>
        <w:t>and bone morphogenic protein (BMP).</w:t>
      </w:r>
      <w:r w:rsidR="00AB3E56" w:rsidRPr="00000DD3">
        <w:rPr>
          <w:rFonts w:ascii="Book Antiqua" w:hAnsi="Book Antiqua" w:cstheme="minorHAnsi"/>
        </w:rPr>
        <w:t xml:space="preserve"> TGF-β</w:t>
      </w:r>
      <w:r w:rsidR="00A22F0C" w:rsidRPr="00000DD3">
        <w:rPr>
          <w:rFonts w:ascii="Book Antiqua" w:hAnsi="Book Antiqua" w:cstheme="minorHAnsi"/>
        </w:rPr>
        <w:t>, which</w:t>
      </w:r>
      <w:r w:rsidR="00AB3E56" w:rsidRPr="00000DD3">
        <w:rPr>
          <w:rFonts w:ascii="Book Antiqua" w:hAnsi="Book Antiqua" w:cstheme="minorHAnsi"/>
        </w:rPr>
        <w:t xml:space="preserve"> is crucial </w:t>
      </w:r>
      <w:r w:rsidR="00016299" w:rsidRPr="00000DD3">
        <w:rPr>
          <w:rFonts w:ascii="Book Antiqua" w:hAnsi="Book Antiqua" w:cstheme="minorHAnsi"/>
        </w:rPr>
        <w:t>for chondrogenic differentiation of MSCs</w:t>
      </w:r>
      <w:r w:rsidR="00A22F0C" w:rsidRPr="00000DD3">
        <w:rPr>
          <w:rFonts w:ascii="Book Antiqua" w:hAnsi="Book Antiqua" w:cstheme="minorHAnsi"/>
        </w:rPr>
        <w:t>, exists as three</w:t>
      </w:r>
      <w:r w:rsidR="00016299" w:rsidRPr="00000DD3">
        <w:rPr>
          <w:rFonts w:ascii="Book Antiqua" w:hAnsi="Book Antiqua" w:cstheme="minorHAnsi"/>
        </w:rPr>
        <w:t xml:space="preserve"> isoforms</w:t>
      </w:r>
      <w:r w:rsidR="00A22F0C" w:rsidRPr="00000DD3">
        <w:rPr>
          <w:rFonts w:ascii="Book Antiqua" w:hAnsi="Book Antiqua" w:cstheme="minorHAnsi"/>
        </w:rPr>
        <w:t>:</w:t>
      </w:r>
      <w:r w:rsidR="00016299" w:rsidRPr="00000DD3">
        <w:rPr>
          <w:rFonts w:ascii="Book Antiqua" w:hAnsi="Book Antiqua" w:cstheme="minorHAnsi"/>
        </w:rPr>
        <w:t xml:space="preserve"> TGF-β1, TGF-β2</w:t>
      </w:r>
      <w:r w:rsidR="00A22F0C" w:rsidRPr="00000DD3">
        <w:rPr>
          <w:rFonts w:ascii="Book Antiqua" w:hAnsi="Book Antiqua" w:cstheme="minorHAnsi"/>
        </w:rPr>
        <w:t>,</w:t>
      </w:r>
      <w:r w:rsidR="00016299" w:rsidRPr="00000DD3">
        <w:rPr>
          <w:rFonts w:ascii="Book Antiqua" w:hAnsi="Book Antiqua" w:cstheme="minorHAnsi"/>
        </w:rPr>
        <w:t xml:space="preserve"> and TGF-β3</w:t>
      </w:r>
      <w:r w:rsidR="00A22F0C" w:rsidRPr="00000DD3">
        <w:rPr>
          <w:rFonts w:ascii="Book Antiqua" w:hAnsi="Book Antiqua" w:cstheme="minorHAnsi"/>
        </w:rPr>
        <w:t>. Of these,</w:t>
      </w:r>
      <w:r w:rsidR="00016299" w:rsidRPr="00000DD3">
        <w:rPr>
          <w:rFonts w:ascii="Book Antiqua" w:hAnsi="Book Antiqua" w:cstheme="minorHAnsi"/>
        </w:rPr>
        <w:t xml:space="preserve"> TGF-β1</w:t>
      </w:r>
      <w:r w:rsidR="008A03DC"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{"citationItems":[{"id":"ITEM-1","itemData":{"DOI":"10.1007/s11259-012-9523-0","ISBN":"1573-7446 (Electronic)\\r0165-7380 (Linking)","ISSN":"01657380","PMID":"22392598","abstract":"In the dog, mesenchymal stem cells (MSCs) have been shown to reside in the bone marrow (bone marrow-derived mesenchymal stem cells: BM-MSCs) as well as in the adipose tissue (adipose tissue-derived stem cells: ADSCs). Potential application fields for these multipotent MSCs in small animal practice are joint diseases as MSCs of both sources have shown to possess chondrogenic differentiation ability. However, it is not clear whether the chondrogenic differentiation potential of cells of these two distinct tissues is truly equal. Therefore, we compared MSCs of both origins in this study in terms of their chondrogenic differentiation ability and suitability for clinical application. BM-MSCs harvested from the femoral neck and ADSCs from intra-abdominal fat tissue were examined for their morphology, population doubling time (PDT) and CD90 surface antigen expression. RT-PCR served to assess expression of pluripotency marker Oct4 and early differentiation marker genes. Chondrogenic differentiation ability was compared and validated using histochemistry, transmission electron microscopy (TEM) and quantitative RT-PCR. Both cell populations presented a highly similar morphology and marker expression in an undifferentiated stage except that freshly isolated ADSCs demonstrated a significantly faster PDT than BM-MSCs. In contrast, BM-MSCs revealed a morphological superior cartilage formation by the production of a more abundant and structured hyaline matrix and higher expression of lineage specific genes under the applied standard differentiation protocol. However, further investigations are necessary in order to find out if chondrogenic differentiation can be improved in canine ADSCs using different protocols and/or supplements.","author":[{"dropping-particle":"","family":"Reich","given":"Christine M","non-dropping-particle":"","parse-names":false,"suffix":""},{"dropping-particle":"","family":"Raabe","given":"Oksana","non-dropping-particle":"","parse-names":false,"suffix":""},{"dropping-particle":"","family":"Wenisch","given":"Sabine","non-dropping-particle":"","parse-names":false,"suffix":""},{"dropping-particle":"","family":"Bridger","given":"Philip S","non-dropping-particle":"","parse-names":false,"suffix":""},{"dropping-particle":"","family":"Kramer","given":"Martin","non-dropping-particle":"","parse-names":false,"suffix":""},{"dropping-particle":"","family":"Arnhold","given":"Stefan","non-dropping-particle":"","parse-names":false,"suffix":""}],"container-title":"Veterinary Research Communications","id":"ITEM-1","issue":"2","issued":{"date-parts":[["2012"]]},"page":"139-148","title":"Isolation, culture and chondrogenic differentiation of canine adipose tissue- and bone marrow-derived mesenchymal stem cells-A comparative study","type":"article-journal","volume":"36"},"uris":["http://www.mendeley.com/documents/?uuid=7bef8bba-0ea4-3972-a9b4-31813e085455"]},{"id":"ITEM-2","itemData":{"DOI":"10.2460/ajvr.73.8.1305.","PMID":"22849692","abstract":"Objective—To isolate and characterize mesenchymal stem cells (MSCs) from canine muscle and periosteum and compare proliferative capacities of bone marrow–, adipose tissue–, muscle-, and periosteum-derived MSCs (BMSCs, AMSCs, MMSCs, and PMSCs, respectively). Sample—7 canine cadavers. Procedures—MSCs were characterized on the basis of morphology, immunofluorescence of MSC-associated cell surface markers, and expression of pluripotency-associated tran- scription factors. Morphological and histochemical methods were used to evaluate differen- tiation of MSCs cultured in adipogenic, osteogenic, and chondrogenic media. Messenger ri- bonucleic acid expression of alkaline phosphatase, RUNX2, OSTERIX, and OSTEOPONTIN were evaluated as markers for osteogenic differentiation. Passage-1 MSCs were counted at 24, 48, 72, and 96 hours to determine tissue-specific MSC proliferative capacity. Mes- enchymal stem cell yield per gram of tissue was calculated for confluent passage-1 MSCs. Results—Successful isolation of BMSCs, AMSCs, MMSCs, and PMSCs was determined on the basis of morphology; expression of CD44 and CD90; no expression of CD34 and CD45; mRNA expression of SOX2, OCT4, and NANOG; and adipogenic and osteogenic differentiation. Proliferative capacity was not significantly different among BMSCs, AMSCs, MMSCs, and PMSCs over a 4-day culture period. Periosteum provided a significantly higher MSC yield per gram of tissue once confluent in passage 1 (mean ± SD of 19,400,000 ± 12,800,000 of PMSCs/g of periosteum obtained in a mean ± SD of 13 ± 1.64 days). Conclusions and Clinical Relevance—Results indicated that canine muscle and perios- teum may be sources of MSCs. Periosteum was a superior tissue source for MSC yield and may be useful in allogenic applications.","author":[{"dropping-particle":"","family":"Kisiel","given":"Agatha H.","non-dropping-particle":"","parse-names":false,"suffix":""},{"dropping-particle":"","family":"McDuffee","given":"Laurie A.","non-dropping-particle":"","parse-names":false,"suffix":""},{"dropping-particle":"","family":"Masaoud","given":"Elmabrok","non-dropping-particle":"","parse-names":false,"suffix":""},{"dropping-particle":"","family":"Bailey","given":"Trina R.","non-dropping-particle":"","parse-names":false,"suffix":""},{"dropping-particle":"","family":"Esparza Gonzalez","given":"Blanca P.","non-dropping-particle":"","parse-names":false,"suffix":""},{"dropping-particle":"","family":"Nino-Fong","given":"Rodolfo","non-dropping-particle":"","parse-names":false,"suffix":""}],"container-title":"American Journal of Veterinary Research","id":"ITEM-2","issue":"8","issued":{"date-parts":[["2012"]]},"page":"1305-1317","title":"Isolation, characterization, and in vitro proliferation of canine mesenchymal stem cells derived from bone marrow, adipose tissue, muscle, and periosteum","type":"article-journal","volume":"73"},"uris":["http://www.mendeley.com/documents/?uuid=7bff95f3-df21-3442-af2c-0336a7a37c96"]},{"id":"ITEM-3","itemData":{"DOI":"10.3727/096368909X481764","ISBN":"1555-3892 (Electronic)\\r0963-6897 (Linking)","ISSN":"09636897","PMID":"19995482","abstract":"Adipose tissue may represent a potential source of adult stem cells for tissue engineering applications in veterinary medicine. It can be obtained in large quantities, under local anesthesia, and with minimal discomfort. In this study, canine adipose tissue was obtained by biopsy from subcutaneous adipose tissue or by suction-assisted lipectomy (i.e., liposuction). Adipose tissue was processed to obtain a fibroblast-like population of cells similar to human adipose-derived stem cells (hASCs). These canine adipose-derived stem cells (cASCs) can be maintained in vitro for extended periods with stable population doubling and low levels of senescence. Immunofluorescence and flow cytometry show that the majority of cASCs are of mesodermal or mesenchymal origin. cASCs are able to differentiate in vitro into adipogenic, chondrogenic, myogenic, and osteogenic cells in the presence of lineage-specific induction factors. In conclusion, like human lipoaspirate, canine adipose tissue may also contain multipotent cells and represent an important stem cell source both for veterinary cell therapy as well as preclinical studies.","author":[{"dropping-particle":"","family":"Vieira","given":"N. M.","non-dropping-particle":"","parse-names":false,"suffix":""},{"dropping-particle":"","family":"Brandalise","given":"V.","non-dropping-particle":"","parse-names":false,"suffix":""},{"dropping-particle":"","family":"Zucconi","given":"E.","non-dropping-particle":"","parse-names":false,"suffix":""},{"dropping-particle":"","family":"Secco","given":"M.","non-dropping-particle":"","parse-names":false,"suffix":""},{"dropping-particle":"","family":"Strauss","given":"B. E.","non-dropping-particle":"","parse-names":false,"suffix":""},{"dropping-particle":"","family":"Zatz","given":"Mayana","non-dropping-particle":"","parse-names":false,"suffix":""}],"container-title":"Cell Transplantation","id":"ITEM-3","issue":"3","issued":{"date-parts":[["2010","3","1"]]},"page":"279-289","publisher":"SAGE PublicationsSage CA: Los Angeles, CA","title":"Isolation, characterization, and differentiation potential of canine adipose-derived stem cells","type":"article-journal","volume":"19"},"uris":["http://www.mendeley.com/documents/?uuid=22c258a0-6a2a-3069-ac65-aeceb84babc6"]},{"id":"ITEM-4","itemData":{"DOI":"10.1089/ten.TEA.2018.0177","ISSN":"1937-3341","PMID":"30319056","author":[{"dropping-particle":"","family":"Endo","given":"Kentaro","non-dropping-particle":"","parse-names":false,"suffix":""},{"dropping-particle":"","family":"Fujita","given":"Naoki","non-dropping-particle":"","parse-names":false,"suffix":""},{"dropping-particle":"","family":"Nakagawa","given":"Takayuki","non-dropping-particle":"","parse-names":false,"suffix":""},{"dropping-particle":"","family":"Nishimura","given":"Ryohei","non-dropping-particle":"","parse-names":false,"suffix":""}],"container-title":"Tissue Engineering Part A","id":"ITEM-4","issued":{"date-parts":[["2018"]]},"title":"Effect of fibroblast growth factor-2 and serum on canine mesenchymal stem cell chondrogenesis","type":"article-journal"},"uris":["http://www.mendeley.com/documents/?uuid=771186d2-4d19-3b62-9ba8-ad6ff3070ea6"]}],"mendeley":{"formattedCitation":"&lt;sup&gt;[48,52,56,61]&lt;/sup&gt;","plainTextFormattedCitation":"[48,52,56,61]","previouslyFormattedCitation":"&lt;sup&gt;[48,52,56,61]&lt;/sup&gt;"},"properties":{"noteIndex":0},"schema":"https://github.com/citation-style-language/schema/raw/master/csl-citation.json"}</w:instrText>
      </w:r>
      <w:r w:rsidR="008A03DC" w:rsidRPr="00000DD3">
        <w:rPr>
          <w:rFonts w:ascii="Book Antiqua" w:hAnsi="Book Antiqua" w:cstheme="minorHAnsi"/>
        </w:rPr>
        <w:fldChar w:fldCharType="separate"/>
      </w:r>
      <w:r w:rsidR="00BC68DD" w:rsidRPr="00000DD3">
        <w:rPr>
          <w:rFonts w:ascii="Book Antiqua" w:hAnsi="Book Antiqua" w:cstheme="minorHAnsi"/>
          <w:noProof/>
          <w:vertAlign w:val="superscript"/>
        </w:rPr>
        <w:t>[48,52,56,61]</w:t>
      </w:r>
      <w:r w:rsidR="008A03DC" w:rsidRPr="00000DD3">
        <w:rPr>
          <w:rFonts w:ascii="Book Antiqua" w:hAnsi="Book Antiqua" w:cstheme="minorHAnsi"/>
        </w:rPr>
        <w:fldChar w:fldCharType="end"/>
      </w:r>
      <w:r w:rsidR="00016299" w:rsidRPr="00000DD3">
        <w:rPr>
          <w:rFonts w:ascii="Book Antiqua" w:hAnsi="Book Antiqua" w:cstheme="minorHAnsi"/>
        </w:rPr>
        <w:t xml:space="preserve"> or TGF-β3</w:t>
      </w:r>
      <w:r w:rsidR="008A03DC" w:rsidRPr="00000DD3">
        <w:rPr>
          <w:rFonts w:ascii="Book Antiqua" w:hAnsi="Book Antiqua" w:cstheme="minorHAnsi"/>
        </w:rPr>
        <w:fldChar w:fldCharType="begin" w:fldLock="1"/>
      </w:r>
      <w:r w:rsidR="00120D2C" w:rsidRPr="00000DD3">
        <w:rPr>
          <w:rFonts w:ascii="Book Antiqua" w:hAnsi="Book Antiqua" w:cstheme="minorHAnsi"/>
        </w:rPr>
        <w:instrText>ADDIN CSL_CITATION {"citationItems":[{"id":"ITEM-1","itemData":{"DOI":"10.1371/journal.pone.0167442","ISSN":"19326203","PMID":"27907211","abstract":"Background Mesenchymal stromal cells (MSC) hold promise for both cell replacement and immune modulation strategies owing to their progenitor and non-progenitor functions, respectively. Characterization of MSC from different sources is an important and necessary step before clinical use of these cells is widely adopted. Little is known about the biology and function of canine MSC compared to their mouse or human counterparts. This knowledge-gap impedes development of canine evidence-based MSC technologies. Hypothesis and Objectives We hypothesized that canine adipose tissue (AT) and bone marrow (BM) MSC (derived from the same dogs) will have similar differentiation and immune modulatory profiles. Our objectives were to evaluate progenitor and non-progenitor functions as well as other characteristics of AT- and BM-MSC including 1) proliferation rate, 2) cell surface marker expression, 3) DNA methylation levels, 4) potential for trilineage differentiation towards osteogenic, adipogenic, and chondrogenic cell fates, and 5) immunomodulatory potency in vitro. Results 1) AT-MSC proliferated at more than double the rate of BM-MSC (population doubling times in days) for passage (P) 2, AT: 1.69, BM: 3.81; P3, AT: 1.80, BM: 4.06; P4, AT: 2.37, BM: 5.34; P5, AT: 3.20, BM: 7.21). 2) Canine MSC, regardless of source, strongly expressed cell surface markers MHC I, CD29, CD44, and CD90, and were negative for MHC II and CD45. They also showed moderate expression of CD8 and CD73 and mild expression of CD14. Minor differences were found in expression of CD4 and CD34. 3) Global DNA methylation levels were significantly lower in BM-MSC compared to AT-MSC. 4) Little difference was found between AT- and BM-MSC in their potential for adipogenesis and osteogenesis. Chondrogenesis was poor to absent for both sources in spite of adding varying levels of bone-morphogenic protein to our standard transforming growth factor (TGF-β3)-based induction medium. 5) Immunomodulatory capacity was equal regardless of cell source when tested in mitogen-stimulated lymphocyte reactions. Priming of MSC with pro-inflammatory factors interferon-gamma and/or tumour necrosis factor did not increase the lymphocyte suppressive properties of the MSC compared to untreated MSC. Conclusions/Significance No significant differences were found between AT- and BM-MSC with regard to their immunophenotype, progenitor, and non-progenitor functions. Both MSC populations showed strong adipogenic and osteogenic pote…","author":[{"dropping-particle":"","family":"Russell","given":"Keith A.","non-dropping-particle":"","parse-names":false,"suffix":""},{"dropping-particle":"","family":"Chow","given":"Natalie H.C.","non-dropping-particle":"","parse-names":false,"suffix":""},{"dropping-particle":"","family":"Dukoff","given":"David","non-dropping-particle":"","parse-names":false,"suffix":""},{"dropping-particle":"","family":"Gibson","given":"Thomas W.G.","non-dropping-particle":"","parse-names":false,"suffix":""},{"dropping-particle":"","family":"Marre","given":"Jonathan","non-dropping-particle":"La","parse-names":false,"suffix":""},{"dropping-particle":"","family":"Betts","given":"Dean H.","non-dropping-particle":"","parse-names":false,"suffix":""},{"dropping-particle":"","family":"Koch","given":"Thomas G.","non-dropping-particle":"","parse-names":false,"suffix":""}],"container-title":"PLoS ONE","id":"ITEM-1","issue":"12","issued":{"date-parts":[["2016"]]},"page":"e0167442","title":"Characterization and immunomodulatory effects of canine adipose tissue- and bone marrow-derived mesenchymal stromal cells","type":"article-journal","volume":"11"},"uris":["http://www.mendeley.com/documents/?uuid=54ed6e68-edff-327f-92f1-8478de0264e8"]},{"id":"ITEM-2","itemData":{"DOI":"10.1016/j.vetimm.2014.06.002","ISBN":"1873-2534 (Electronic)\\r0165-2427 (Linking)","ISSN":"18732534","PMID":"25026887","abstract":"Veterinary adult stem cell therapy is an emerging area of basic and clinical research. Like their human counterparts, veterinary mesenchymal stem cells (MSCs) offer many potential therapeutic benefits. The characterization of canine-derived MSCs, however, is poorly defined compared to human MSCs. Furthermore, little consensus exists regarding the expression of canine MSC cell surface markers. To address this issue, this study investigated characteristics of cultured canine MSCs derived from both adipose tissue and bone marrow. The canine MSCs were obtained from donors of various breeds and ages. A panel of cell surface markers for canine MSCs was selected based on current human and canine literature and the availability of canine-reactive antibodies. Using flow cytometry, canine MSCs were defined to be CD90+CD44+MHC I+CD14-CD29-CD34-MHC II-. Canine MSCs were further characterized using real-time RT-PCR as CD105+CD73+CD14+CD29+MHC II+CD45- at the mRNA level. Among these markers, canine MSCs differed from canine peripheral blood mononuclear cells (PBMCs) by the absence of CD45 expression at the mRNA level. A novel high-throughput canine-specific PCR array was developed and used to identify changes in the gene expression profiles of canine MSCs. Genes including PTPRC, TNF, β2M, TGFβ1, and PDGFRβ, were identified as unique to canine MSCs as compared to canine PBMCs. Our findings will facilitate characterization of canine MSCs for use in research and clinical trials. Moreover, the high-throughput PCR array is a novel tool for characterizing canine MSCs isolated from different tissues and potentially from different laboratories. © 2014.","author":[{"dropping-particle":"","family":"Screven","given":"Rudell","non-dropping-particle":"","parse-names":false,"suffix":""},{"dropping-particle":"","family":"Kenyon","given":"Elizabeth","non-dropping-particle":"","parse-names":false,"suffix":""},{"dropping-particle":"","family":"Myers","given":"Michael J.","non-dropping-particle":"","parse-names":false,"suffix":""},{"dropping-particle":"","family":"Yancy","given":"Haile F.","non-dropping-particle":"","parse-names":false,"suffix":""},{"dropping-particle":"","family":"Skasko","given":"Mark","non-dropping-particle":"","parse-names":false,"suffix":""},{"dropping-particle":"","family":"Boxer","given":"Lynne","non-dropping-particle":"","parse-names":false,"suffix":""},{"dropping-particle":"","family":"Bigley","given":"Elmer C.","non-dropping-particle":"","parse-names":false,"suffix":""},{"dropping-particle":"","family":"Borjesson","given":"Dori L.","non-dropping-particle":"","parse-names":false,"suffix":""},{"dropping-particle":"","family":"Zhu","given":"Min","non-dropping-particle":"","parse-names":false,"suffix":""}],"container-title":"Veterinary Immunology and Immunopathology","id":"ITEM-2","issue":"1-2","issued":{"date-parts":[["2014"]]},"page":"21-31","title":"Immunophenotype and gene expression profile of mesenchymal stem cells derived from canine adipose tissue and bone marrow","type":"article-journal","volume":"161"},"uris":["http://www.mendeley.com/documents/?uuid=d5727772-1149-314b-a927-8edbfbb7a0f2"]},{"id":"ITEM-3","itemData":{"DOI":"10.3892/mmr.2018.9172","ISSN":"17913004","PMID":"29916546","author":[{"dropping-particle":"","family":"Zhang","given":"Shuang","non-dropping-particle":"","parse-names":false,"suffix":""},{"dropping-particle":"","family":"Zhao","given":"Chenqiong","non-dropping-particle":"","parse-names":false,"suffix":""},{"dropping-particle":"","family":"Liu","given":"Shi","non-dropping-particle":"","parse-names":false,"suffix":""},{"dropping-particle":"","family":"Wang","given":"Yufeng","non-dropping-particle":"","parse-names":false,"suffix":""},{"dropping-particle":"","family":"Zhao","given":"Yuhua","non-dropping-particle":"","parse-names":false,"suffix":""},{"dropping-particle":"","family":"Guan","given":"Weijun","non-dropping-particle":"","parse-names":false,"suffix":""},{"dropping-particle":"","family":"Zhu","given":"Zhiqiang","non-dropping-particle":"","parse-names":false,"suffix":""}],"container-title":"Molecular Medicine Reports","id":"ITEM-3","issue":"2","issued":{"date-parts":[["2018"]]},"page":"2097-2109","title":"Characteristics and multi-lineage differentiation of bone marrow mesenchymal stem cells derived from the Tibetan mastiff","type":"article-journal","volume":"18"},"uris":["http://www.mendeley.com/documents/?uuid=6ae5bf4c-2f03-3654-ac18-a358677153d3"]}],"mendeley":{"formattedCitation":"&lt;sup&gt;[47,49,57]&lt;/sup&gt;","plainTextFormattedCitation":"[47,49,57]","previouslyFormattedCitation":"&lt;sup&gt;[47,49,57]&lt;/sup&gt;"},"properties":{"noteIndex":0},"schema":"https://github.com/citation-style-language/schema/raw/master/csl-citation.json"}</w:instrText>
      </w:r>
      <w:r w:rsidR="008A03DC" w:rsidRPr="00000DD3">
        <w:rPr>
          <w:rFonts w:ascii="Book Antiqua" w:hAnsi="Book Antiqua" w:cstheme="minorHAnsi"/>
        </w:rPr>
        <w:fldChar w:fldCharType="separate"/>
      </w:r>
      <w:r w:rsidR="00BC68DD" w:rsidRPr="00000DD3">
        <w:rPr>
          <w:rFonts w:ascii="Book Antiqua" w:hAnsi="Book Antiqua" w:cstheme="minorHAnsi"/>
          <w:noProof/>
          <w:vertAlign w:val="superscript"/>
        </w:rPr>
        <w:t>[47,49,57]</w:t>
      </w:r>
      <w:r w:rsidR="008A03DC" w:rsidRPr="00000DD3">
        <w:rPr>
          <w:rFonts w:ascii="Book Antiqua" w:hAnsi="Book Antiqua" w:cstheme="minorHAnsi"/>
        </w:rPr>
        <w:fldChar w:fldCharType="end"/>
      </w:r>
      <w:r w:rsidR="00016299" w:rsidRPr="00000DD3">
        <w:rPr>
          <w:rFonts w:ascii="Book Antiqua" w:hAnsi="Book Antiqua" w:cstheme="minorHAnsi"/>
        </w:rPr>
        <w:t xml:space="preserve"> </w:t>
      </w:r>
      <w:r w:rsidR="00A22F0C" w:rsidRPr="00000DD3">
        <w:rPr>
          <w:rFonts w:ascii="Book Antiqua" w:hAnsi="Book Antiqua" w:cstheme="minorHAnsi"/>
        </w:rPr>
        <w:t>have been the most commonly</w:t>
      </w:r>
      <w:r w:rsidR="00016299" w:rsidRPr="00000DD3">
        <w:rPr>
          <w:rFonts w:ascii="Book Antiqua" w:hAnsi="Book Antiqua" w:cstheme="minorHAnsi"/>
        </w:rPr>
        <w:t xml:space="preserve"> used</w:t>
      </w:r>
      <w:r w:rsidR="0014735D" w:rsidRPr="00000DD3">
        <w:rPr>
          <w:rFonts w:ascii="Book Antiqua" w:hAnsi="Book Antiqua" w:cstheme="minorHAnsi"/>
        </w:rPr>
        <w:t xml:space="preserve"> </w:t>
      </w:r>
      <w:r w:rsidR="00A22F0C" w:rsidRPr="00000DD3">
        <w:rPr>
          <w:rFonts w:ascii="Book Antiqua" w:hAnsi="Book Antiqua" w:cstheme="minorHAnsi"/>
        </w:rPr>
        <w:t>in studies of</w:t>
      </w:r>
      <w:r w:rsidR="00016299" w:rsidRPr="00000DD3">
        <w:rPr>
          <w:rFonts w:ascii="Book Antiqua" w:hAnsi="Book Antiqua" w:cstheme="minorHAnsi"/>
        </w:rPr>
        <w:t xml:space="preserve"> chondrogenesis </w:t>
      </w:r>
      <w:r w:rsidR="00A22F0C" w:rsidRPr="00000DD3">
        <w:rPr>
          <w:rFonts w:ascii="Book Antiqua" w:hAnsi="Book Antiqua" w:cstheme="minorHAnsi"/>
        </w:rPr>
        <w:t xml:space="preserve">in </w:t>
      </w:r>
      <w:proofErr w:type="spellStart"/>
      <w:r w:rsidR="00016299" w:rsidRPr="00000DD3">
        <w:rPr>
          <w:rFonts w:ascii="Book Antiqua" w:hAnsi="Book Antiqua" w:cstheme="minorHAnsi"/>
        </w:rPr>
        <w:t>cMSCs</w:t>
      </w:r>
      <w:proofErr w:type="spellEnd"/>
      <w:r w:rsidR="00016299" w:rsidRPr="00000DD3">
        <w:rPr>
          <w:rFonts w:ascii="Book Antiqua" w:hAnsi="Book Antiqua" w:cstheme="minorHAnsi"/>
        </w:rPr>
        <w:t>.</w:t>
      </w:r>
      <w:r w:rsidR="0014735D" w:rsidRPr="00000DD3">
        <w:rPr>
          <w:rFonts w:ascii="Book Antiqua" w:hAnsi="Book Antiqua" w:cstheme="minorHAnsi"/>
        </w:rPr>
        <w:t xml:space="preserve"> TGF-β3 is reported to </w:t>
      </w:r>
      <w:r w:rsidR="00A22F0C" w:rsidRPr="00000DD3">
        <w:rPr>
          <w:rFonts w:ascii="Book Antiqua" w:hAnsi="Book Antiqua" w:cstheme="minorHAnsi"/>
        </w:rPr>
        <w:t>result in</w:t>
      </w:r>
      <w:r w:rsidR="0014735D" w:rsidRPr="00000DD3">
        <w:rPr>
          <w:rFonts w:ascii="Book Antiqua" w:hAnsi="Book Antiqua" w:cstheme="minorHAnsi"/>
        </w:rPr>
        <w:t xml:space="preserve"> higher and </w:t>
      </w:r>
      <w:r w:rsidR="00A22F0C" w:rsidRPr="00000DD3">
        <w:rPr>
          <w:rFonts w:ascii="Book Antiqua" w:hAnsi="Book Antiqua" w:cstheme="minorHAnsi"/>
        </w:rPr>
        <w:t xml:space="preserve">more </w:t>
      </w:r>
      <w:r w:rsidR="0014735D" w:rsidRPr="00000DD3">
        <w:rPr>
          <w:rFonts w:ascii="Book Antiqua" w:hAnsi="Book Antiqua" w:cstheme="minorHAnsi"/>
        </w:rPr>
        <w:t>rapid chondrogenic differentiation in human</w:t>
      </w:r>
      <w:r w:rsidR="00D2716A" w:rsidRPr="00000DD3">
        <w:rPr>
          <w:rFonts w:ascii="Book Antiqua" w:hAnsi="Book Antiqua" w:cstheme="minorHAnsi"/>
        </w:rPr>
        <w:t xml:space="preserve"> MSC</w:t>
      </w:r>
      <w:r w:rsidR="0014735D" w:rsidRPr="00000DD3">
        <w:rPr>
          <w:rFonts w:ascii="Book Antiqua" w:hAnsi="Book Antiqua" w:cstheme="minorHAnsi"/>
        </w:rPr>
        <w:t>s</w:t>
      </w:r>
      <w:r w:rsidR="00DD5433" w:rsidRPr="00000DD3">
        <w:rPr>
          <w:rFonts w:ascii="Book Antiqua" w:hAnsi="Book Antiqua" w:cstheme="minorHAnsi"/>
        </w:rPr>
        <w:fldChar w:fldCharType="begin" w:fldLock="1"/>
      </w:r>
      <w:r w:rsidR="0096551B" w:rsidRPr="00000DD3">
        <w:rPr>
          <w:rFonts w:ascii="Book Antiqua" w:hAnsi="Book Antiqua" w:cstheme="minorHAnsi"/>
        </w:rPr>
        <w:instrText>ADDIN CSL_CITATION {"citationItems":[{"id":"ITEM-1","itemData":{"DOI":"10.1016/j.csbj.2018.10.014","ISSN":"20010370","PMID":"30524668","abstract":"Due to an unmet clinical need of curative treatments for osteoarthritic patients, tissue engineering strategies that propose the development of cartilage tissue replacements from stem cells have emerged. Some of these strategies are based on the internalization of magnetic nanoparticles into stem cells to then initiate the chondrogenesis via magnetic compaction. A major difficulty is to drive the chondrogenic differentiation of the cells such as they produce an extracellular matrix free of hypertrophic collagen. An additional difficulty has to be overcome when nanoparticles are used, knowing that a high dose of nanoparticles can limit the chondrogenesis. We here propose a gene-based analysis of the effects of chemical factors (growth factors, hypoxia) on the chondrogenic differentiation of human mesenchymal stem cells both with and without nanoparticles. We focus on the synthesis of two of the most important constituents present in the cartilaginous extracellular matrix (Collagen II and Aggrecan) and on the expression of collagen X, the signature of hypertrophic cartilage, in order to provide a quantitative index of the type of cartilage produced (i.e. hyaline, hypertrophic). We demonstrate that by applying specific environmental conditions, gene expression can be directed toward the production of hyaline cartilage, with limited hypertrophy. Besides, a combination of the growth factors IGF-1, TGF-β3, with a hypoxic conditioning remarkably reduced the impact of high nanoparticles concentration.","author":[{"dropping-particle":"","family":"Walle","given":"Aurore","non-dropping-particle":"Van de","parse-names":false,"suffix":""},{"dropping-particle":"","family":"Faissal","given":"Waïss","non-dropping-particle":"","parse-names":false,"suffix":""},{"dropping-particle":"","family":"Wilhelm","given":"Claire","non-dropping-particle":"","parse-names":false,"suffix":""},{"dropping-particle":"","family":"Luciani","given":"Nathalie","non-dropping-particle":"","parse-names":false,"suffix":""}],"container-title":"Computational and Structural Biotechnology Journal","id":"ITEM-1","issued":{"date-parts":[["2018"]]},"page":"532-542","title":"Role of growth factors and oxygen to limit hypertrophy and impact of high magnetic nanoparticles dose during stem cell chondrogenesis","type":"article-journal","volume":"16"},"uris":["http://www.mendeley.com/documents/?uuid=a7a197bd-15d1-41bd-83c3-641b85b4dafb"]}],"mendeley":{"formattedCitation":"&lt;sup&gt;[74]&lt;/sup&gt;","plainTextFormattedCitation":"[74]","previouslyFormattedCitation":"&lt;sup&gt;[74]&lt;/sup&gt;"},"properties":{"noteIndex":0},"schema":"https://github.com/citation-style-language/schema/raw/master/csl-citation.json"}</w:instrText>
      </w:r>
      <w:r w:rsidR="00DD5433" w:rsidRPr="00000DD3">
        <w:rPr>
          <w:rFonts w:ascii="Book Antiqua" w:hAnsi="Book Antiqua" w:cstheme="minorHAnsi"/>
        </w:rPr>
        <w:fldChar w:fldCharType="separate"/>
      </w:r>
      <w:r w:rsidR="00DD5433" w:rsidRPr="00000DD3">
        <w:rPr>
          <w:rFonts w:ascii="Book Antiqua" w:hAnsi="Book Antiqua" w:cstheme="minorHAnsi"/>
          <w:noProof/>
          <w:vertAlign w:val="superscript"/>
        </w:rPr>
        <w:t>[74]</w:t>
      </w:r>
      <w:r w:rsidR="00DD5433" w:rsidRPr="00000DD3">
        <w:rPr>
          <w:rFonts w:ascii="Book Antiqua" w:hAnsi="Book Antiqua" w:cstheme="minorHAnsi"/>
        </w:rPr>
        <w:fldChar w:fldCharType="end"/>
      </w:r>
      <w:r w:rsidR="00A22F0C" w:rsidRPr="00000DD3">
        <w:rPr>
          <w:rFonts w:ascii="Book Antiqua" w:hAnsi="Book Antiqua" w:cstheme="minorHAnsi"/>
        </w:rPr>
        <w:t xml:space="preserve">, but </w:t>
      </w:r>
      <w:r w:rsidR="00466401" w:rsidRPr="00000DD3">
        <w:rPr>
          <w:rFonts w:ascii="Book Antiqua" w:hAnsi="Book Antiqua" w:cstheme="minorHAnsi"/>
        </w:rPr>
        <w:t xml:space="preserve">the optimal TGF-β isoform for chondrogenesis </w:t>
      </w:r>
      <w:r w:rsidR="0005501B" w:rsidRPr="00000DD3">
        <w:rPr>
          <w:rFonts w:ascii="Book Antiqua" w:hAnsi="Book Antiqua" w:cstheme="minorHAnsi"/>
        </w:rPr>
        <w:t xml:space="preserve">in </w:t>
      </w:r>
      <w:proofErr w:type="spellStart"/>
      <w:r w:rsidR="00466401" w:rsidRPr="00000DD3">
        <w:rPr>
          <w:rFonts w:ascii="Book Antiqua" w:hAnsi="Book Antiqua" w:cstheme="minorHAnsi"/>
        </w:rPr>
        <w:t>cMSCs</w:t>
      </w:r>
      <w:proofErr w:type="spellEnd"/>
      <w:r w:rsidR="00466401" w:rsidRPr="00000DD3">
        <w:rPr>
          <w:rFonts w:ascii="Book Antiqua" w:hAnsi="Book Antiqua" w:cstheme="minorHAnsi"/>
        </w:rPr>
        <w:t xml:space="preserve"> remains to be elucidated.</w:t>
      </w:r>
      <w:r w:rsidR="00616B33" w:rsidRPr="00000DD3">
        <w:rPr>
          <w:rFonts w:ascii="Book Antiqua" w:hAnsi="Book Antiqua" w:cstheme="minorHAnsi"/>
        </w:rPr>
        <w:t xml:space="preserve"> </w:t>
      </w:r>
    </w:p>
    <w:p w14:paraId="212B2DCF" w14:textId="4F1B0F52" w:rsidR="00016299" w:rsidRPr="00000DD3" w:rsidRDefault="00616B33" w:rsidP="009E6380">
      <w:pPr>
        <w:spacing w:line="360" w:lineRule="auto"/>
        <w:ind w:firstLineChars="100" w:firstLine="240"/>
        <w:jc w:val="both"/>
        <w:rPr>
          <w:rFonts w:ascii="Book Antiqua" w:hAnsi="Book Antiqua" w:cstheme="minorHAnsi"/>
        </w:rPr>
      </w:pPr>
      <w:r w:rsidRPr="00000DD3">
        <w:rPr>
          <w:rFonts w:ascii="Book Antiqua" w:hAnsi="Book Antiqua" w:cstheme="minorHAnsi"/>
        </w:rPr>
        <w:t>BMP</w:t>
      </w:r>
      <w:r w:rsidR="0005501B" w:rsidRPr="00000DD3">
        <w:rPr>
          <w:rFonts w:ascii="Book Antiqua" w:hAnsi="Book Antiqua" w:cstheme="minorHAnsi"/>
        </w:rPr>
        <w:t>s</w:t>
      </w:r>
      <w:r w:rsidRPr="00000DD3">
        <w:rPr>
          <w:rFonts w:ascii="Book Antiqua" w:hAnsi="Book Antiqua" w:cstheme="minorHAnsi"/>
        </w:rPr>
        <w:t xml:space="preserve"> </w:t>
      </w:r>
      <w:r w:rsidR="0005501B" w:rsidRPr="00000DD3">
        <w:rPr>
          <w:rFonts w:ascii="Book Antiqua" w:hAnsi="Book Antiqua" w:cstheme="minorHAnsi"/>
        </w:rPr>
        <w:t xml:space="preserve">have </w:t>
      </w:r>
      <w:r w:rsidRPr="00000DD3">
        <w:rPr>
          <w:rFonts w:ascii="Book Antiqua" w:hAnsi="Book Antiqua" w:cstheme="minorHAnsi"/>
        </w:rPr>
        <w:t>been reported to promote chondrogenesis</w:t>
      </w:r>
      <w:r w:rsidR="00C07A22" w:rsidRPr="00000DD3">
        <w:rPr>
          <w:rFonts w:ascii="Book Antiqua" w:hAnsi="Book Antiqua" w:cstheme="minorHAnsi"/>
        </w:rPr>
        <w:fldChar w:fldCharType="begin" w:fldLock="1"/>
      </w:r>
      <w:r w:rsidR="0096551B" w:rsidRPr="00000DD3">
        <w:rPr>
          <w:rFonts w:ascii="Book Antiqua" w:hAnsi="Book Antiqua" w:cstheme="minorHAnsi"/>
        </w:rPr>
        <w:instrText>ADDIN CSL_CITATION {"citationItems":[{"id":"ITEM-1","itemData":{"DOI":"10.1007/s00264-014-2619-0","ISBN":"03412695 (ISSN)","ISSN":"14325195","PMID":"25512139","abstract":"PURPOSE: The use of stem cells in regenerative medicine offers hope to treat numerous orthopaedic disorders, including articular cartilage defects. Although much research has been carried out on chondrogenesis, this complicated process is still not well understood and much more research is needed. The present review provides an overview of the stages of chondrogenesis and describes the effects of various growth factors, which act during the multiple steps involved in stem cell-directed differentiation towards chondrocytes.\\n\\nMETHODS: The current literature on stem cell-directed chondrogenesis, in particular the role of members of the transforming growth factor-β (TGF-β) superfamily-TGF-βs, bone morphogenetic proteins (BMPs) and fibroblast growth factors (FGFs)-is reviewed and discussed.\\n\\nRESULTS: Numerous studies have reported the chondrogenic potential of both adult- and embryonic-like stem cells and the role of growth factors in programming differentiation of these cells towards chondrocytes. Mesenchymal stem cells (MSCs) are adult multipotent stem cells, whereas induced pluripotent stem cells (iPSC) are reprogrammed pluripotent cells. Although better understanding of the processes involved in the development of cartilage tissues is necessary, both cell types may be of value in the clinical treatment of cartilage injuries or osteoarthritic cartilage lesions.\\n\\nCONCLUSIONS: MSCs and iPSCs both present unique characteristics. However, at present, it is still unclear which cell type is most suitable in the treatment of cartilage injuries.","author":[{"dropping-particle":"","family":"Augustyniak","given":"Ewelina","non-dropping-particle":"","parse-names":false,"suffix":""},{"dropping-particle":"","family":"Trzeciak","given":"Tomasz","non-dropping-particle":"","parse-names":false,"suffix":""},{"dropping-particle":"","family":"Richter","given":"Magdalena","non-dropping-particle":"","parse-names":false,"suffix":""},{"dropping-particle":"","family":"Kaczmarczyk","given":"Jacek","non-dropping-particle":"","parse-names":false,"suffix":""},{"dropping-particle":"","family":"Suchorska","given":"Wiktoria","non-dropping-particle":"","parse-names":false,"suffix":""}],"container-title":"International Orthopaedics","id":"ITEM-1","issue":"5","issued":{"date-parts":[["2015"]]},"page":"995-1003","title":"The role of growth factors in stem cell-directed chondrogenesis: a real hope for damaged cartilage regeneration","type":"article-journal","volume":"39"},"uris":["http://www.mendeley.com/documents/?uuid=108d039a-0e9a-47c9-9ceb-ec082e8607aa"]}],"mendeley":{"formattedCitation":"&lt;sup&gt;[75]&lt;/sup&gt;","plainTextFormattedCitation":"[75]","previouslyFormattedCitation":"&lt;sup&gt;[75]&lt;/sup&gt;"},"properties":{"noteIndex":0},"schema":"https://github.com/citation-style-language/schema/raw/master/csl-citation.json"}</w:instrText>
      </w:r>
      <w:r w:rsidR="00C07A22" w:rsidRPr="00000DD3">
        <w:rPr>
          <w:rFonts w:ascii="Book Antiqua" w:hAnsi="Book Antiqua" w:cstheme="minorHAnsi"/>
        </w:rPr>
        <w:fldChar w:fldCharType="separate"/>
      </w:r>
      <w:r w:rsidR="00DD5433" w:rsidRPr="00000DD3">
        <w:rPr>
          <w:rFonts w:ascii="Book Antiqua" w:hAnsi="Book Antiqua" w:cstheme="minorHAnsi"/>
          <w:noProof/>
          <w:vertAlign w:val="superscript"/>
        </w:rPr>
        <w:t>[75]</w:t>
      </w:r>
      <w:r w:rsidR="00C07A22" w:rsidRPr="00000DD3">
        <w:rPr>
          <w:rFonts w:ascii="Book Antiqua" w:hAnsi="Book Antiqua" w:cstheme="minorHAnsi"/>
        </w:rPr>
        <w:fldChar w:fldCharType="end"/>
      </w:r>
      <w:r w:rsidR="0005501B" w:rsidRPr="00000DD3">
        <w:rPr>
          <w:rFonts w:ascii="Book Antiqua" w:hAnsi="Book Antiqua" w:cstheme="minorHAnsi"/>
        </w:rPr>
        <w:t>,</w:t>
      </w:r>
      <w:r w:rsidRPr="00000DD3">
        <w:rPr>
          <w:rFonts w:ascii="Book Antiqua" w:hAnsi="Book Antiqua" w:cstheme="minorHAnsi"/>
        </w:rPr>
        <w:t xml:space="preserve"> </w:t>
      </w:r>
      <w:r w:rsidR="00AC6443" w:rsidRPr="00000DD3">
        <w:rPr>
          <w:rFonts w:ascii="Book Antiqua" w:hAnsi="Book Antiqua" w:cstheme="minorHAnsi"/>
        </w:rPr>
        <w:t>and</w:t>
      </w:r>
      <w:r w:rsidR="00DD4716" w:rsidRPr="00000DD3">
        <w:rPr>
          <w:rFonts w:ascii="Book Antiqua" w:hAnsi="Book Antiqua" w:cstheme="minorHAnsi"/>
        </w:rPr>
        <w:t xml:space="preserve"> </w:t>
      </w:r>
      <w:r w:rsidR="0005501B" w:rsidRPr="00000DD3">
        <w:rPr>
          <w:rFonts w:ascii="Book Antiqua" w:hAnsi="Book Antiqua" w:cstheme="minorHAnsi"/>
        </w:rPr>
        <w:t xml:space="preserve">a greater stimulation of </w:t>
      </w:r>
      <w:r w:rsidR="00C07A22" w:rsidRPr="00000DD3">
        <w:rPr>
          <w:rFonts w:ascii="Book Antiqua" w:hAnsi="Book Antiqua" w:cstheme="minorHAnsi"/>
        </w:rPr>
        <w:t>chondrogenesis in human MSCs</w:t>
      </w:r>
      <w:r w:rsidR="00DD4716" w:rsidRPr="00000DD3">
        <w:rPr>
          <w:rFonts w:ascii="Book Antiqua" w:hAnsi="Book Antiqua" w:cstheme="minorHAnsi"/>
        </w:rPr>
        <w:t xml:space="preserve"> </w:t>
      </w:r>
      <w:r w:rsidR="0005501B" w:rsidRPr="00000DD3">
        <w:rPr>
          <w:rFonts w:ascii="Book Antiqua" w:hAnsi="Book Antiqua" w:cstheme="minorHAnsi"/>
        </w:rPr>
        <w:t xml:space="preserve">has been reported for BMP-2 </w:t>
      </w:r>
      <w:r w:rsidR="00C07A22" w:rsidRPr="00000DD3">
        <w:rPr>
          <w:rFonts w:ascii="Book Antiqua" w:hAnsi="Book Antiqua" w:cstheme="minorHAnsi"/>
        </w:rPr>
        <w:t xml:space="preserve">than </w:t>
      </w:r>
      <w:r w:rsidR="0005501B" w:rsidRPr="00000DD3">
        <w:rPr>
          <w:rFonts w:ascii="Book Antiqua" w:hAnsi="Book Antiqua" w:cstheme="minorHAnsi"/>
        </w:rPr>
        <w:t xml:space="preserve">for </w:t>
      </w:r>
      <w:r w:rsidR="00C07A22" w:rsidRPr="00000DD3">
        <w:rPr>
          <w:rFonts w:ascii="Book Antiqua" w:hAnsi="Book Antiqua" w:cstheme="minorHAnsi"/>
        </w:rPr>
        <w:t xml:space="preserve">BMP-4 </w:t>
      </w:r>
      <w:r w:rsidR="0005501B" w:rsidRPr="00000DD3">
        <w:rPr>
          <w:rFonts w:ascii="Book Antiqua" w:hAnsi="Book Antiqua" w:cstheme="minorHAnsi"/>
        </w:rPr>
        <w:t xml:space="preserve">or </w:t>
      </w:r>
      <w:r w:rsidR="00C07A22" w:rsidRPr="00000DD3">
        <w:rPr>
          <w:rFonts w:ascii="Book Antiqua" w:hAnsi="Book Antiqua" w:cstheme="minorHAnsi"/>
        </w:rPr>
        <w:t>BMP-6</w:t>
      </w:r>
      <w:r w:rsidR="00C07A22" w:rsidRPr="00000DD3">
        <w:rPr>
          <w:rFonts w:ascii="Book Antiqua" w:hAnsi="Book Antiqua" w:cstheme="minorHAnsi"/>
        </w:rPr>
        <w:fldChar w:fldCharType="begin" w:fldLock="1"/>
      </w:r>
      <w:r w:rsidR="006A3361" w:rsidRPr="00000DD3">
        <w:rPr>
          <w:rFonts w:ascii="Book Antiqua" w:hAnsi="Book Antiqua" w:cstheme="minorHAnsi"/>
        </w:rPr>
        <w:instrText>ADDIN CSL_CITATION {"citationItems":[{"id":"ITEM-1","itemData":{"DOI":"10.1007/s00441-004-1075-3","ISBN":"0302-766X (Print)\\r0302-766X (Linking)","ISSN":"0302766X","PMID":"15778851","abstract":"The human adult stem cells from bone marrow stroma referred to as mesenchymal stem cells or marrow stromal cells (MSCs) are of interest because they are easily isolated and expanded and are capable of multipotential differentiation. Here, we examined the ability of recombinant human bone morphogenetic protein (BMP)-2, -4, and -6 to enhance in vitro cartilage formation of MSCs. Human MSCs were isolated from bone marrow taken from normal adult donors. The cells were pelleted and cultured for 21 days in chondrogenic medium containing transforming growth factor beta3 and dexamethasone with or without BMP-2, -4, or -6. All the BMPs tested increased chondrogenic differentiation as assayed by immunohistochemistry and by the size and weight of the cartilage synthesized. However, BMP-2 was the most effective. Microarray analyses of approximately 12,000 genes and reverse transcription-polymerase chain reaction assays established that the critical genes for cartilage synthesis were expressed in the expected time sequence in response to BMP-2. The tissue engineering of autologous cartilage derived from MSCs in vitro for transplantation will be a future alternative for patients with cartilage injuries. To obtain large amounts of cartilage rich in proteoglycans, the use of BMP-2 is recommended, instead of BMP-4 or -6.","author":[{"dropping-particle":"","family":"Sekiya","given":"Ichiro","non-dropping-particle":"","parse-names":false,"suffix":""},{"dropping-particle":"","family":"Larson","given":"Benjamin L.","non-dropping-particle":"","parse-names":false,"suffix":""},{"dropping-particle":"","family":"Vuoristo","given":"Jussi T.","non-dropping-particle":"","parse-names":false,"suffix":""},{"dropping-particle":"","family":"Reger","given":"Roxanne L.","non-dropping-particle":"","parse-names":false,"suffix":""},{"dropping-particle":"","family":"Prockop","given":"Darwin J.","non-dropping-particle":"","parse-names":false,"suffix":""}],"container-title":"Cell and Tissue Research","id":"ITEM-1","issue":"2","issued":{"date-parts":[["2005"]]},"page":"269-276","title":"Comparison of effect of BMP-2, -4, and -6 on in vitro cartilage formation of human adult stem cells from bone marrow stroma","type":"article-journal","volume":"320"},"uris":["http://www.mendeley.com/documents/?uuid=eb80490a-806f-42c5-8b7b-39e5bdfd08fd"]}],"mendeley":{"formattedCitation":"&lt;sup&gt;[76]&lt;/sup&gt;","plainTextFormattedCitation":"[76]","previouslyFormattedCitation":"&lt;sup&gt;[76]&lt;/sup&gt;"},"properties":{"noteIndex":0},"schema":"https://github.com/citation-style-language/schema/raw/master/csl-citation.json"}</w:instrText>
      </w:r>
      <w:r w:rsidR="00C07A22" w:rsidRPr="00000DD3">
        <w:rPr>
          <w:rFonts w:ascii="Book Antiqua" w:hAnsi="Book Antiqua" w:cstheme="minorHAnsi"/>
        </w:rPr>
        <w:fldChar w:fldCharType="separate"/>
      </w:r>
      <w:r w:rsidR="00DD5433" w:rsidRPr="00000DD3">
        <w:rPr>
          <w:rFonts w:ascii="Book Antiqua" w:hAnsi="Book Antiqua" w:cstheme="minorHAnsi"/>
          <w:noProof/>
          <w:vertAlign w:val="superscript"/>
        </w:rPr>
        <w:t>[76]</w:t>
      </w:r>
      <w:r w:rsidR="00C07A22" w:rsidRPr="00000DD3">
        <w:rPr>
          <w:rFonts w:ascii="Book Antiqua" w:hAnsi="Book Antiqua" w:cstheme="minorHAnsi"/>
        </w:rPr>
        <w:fldChar w:fldCharType="end"/>
      </w:r>
      <w:r w:rsidR="00C07A22" w:rsidRPr="00000DD3">
        <w:rPr>
          <w:rFonts w:ascii="Book Antiqua" w:hAnsi="Book Antiqua" w:cstheme="minorHAnsi"/>
        </w:rPr>
        <w:t>.</w:t>
      </w:r>
      <w:r w:rsidR="00501FA9" w:rsidRPr="00000DD3">
        <w:rPr>
          <w:rFonts w:ascii="Book Antiqua" w:hAnsi="Book Antiqua" w:cstheme="minorHAnsi"/>
        </w:rPr>
        <w:t xml:space="preserve"> </w:t>
      </w:r>
      <w:r w:rsidR="0005501B" w:rsidRPr="00000DD3">
        <w:rPr>
          <w:rFonts w:ascii="Book Antiqua" w:hAnsi="Book Antiqua" w:cstheme="minorHAnsi"/>
        </w:rPr>
        <w:t>In addition to</w:t>
      </w:r>
      <w:r w:rsidR="00501FA9" w:rsidRPr="00000DD3">
        <w:rPr>
          <w:rFonts w:ascii="Book Antiqua" w:hAnsi="Book Antiqua" w:cstheme="minorHAnsi"/>
        </w:rPr>
        <w:t xml:space="preserve"> promoting chondrogenesis, BMPs can</w:t>
      </w:r>
      <w:r w:rsidR="0005501B" w:rsidRPr="00000DD3">
        <w:rPr>
          <w:rFonts w:ascii="Book Antiqua" w:hAnsi="Book Antiqua" w:cstheme="minorHAnsi"/>
        </w:rPr>
        <w:t xml:space="preserve"> also</w:t>
      </w:r>
      <w:r w:rsidR="00501FA9" w:rsidRPr="00000DD3">
        <w:rPr>
          <w:rFonts w:ascii="Book Antiqua" w:hAnsi="Book Antiqua" w:cstheme="minorHAnsi"/>
        </w:rPr>
        <w:t xml:space="preserve"> stimulate endochondral ossification</w:t>
      </w:r>
      <w:r w:rsidR="0096551B" w:rsidRPr="00000DD3">
        <w:rPr>
          <w:rFonts w:ascii="Book Antiqua" w:hAnsi="Book Antiqua" w:cstheme="minorHAnsi"/>
        </w:rPr>
        <w:fldChar w:fldCharType="begin" w:fldLock="1"/>
      </w:r>
      <w:r w:rsidR="004D4631" w:rsidRPr="00000DD3">
        <w:rPr>
          <w:rFonts w:ascii="Book Antiqua" w:hAnsi="Book Antiqua" w:cstheme="minorHAnsi"/>
        </w:rPr>
        <w:instrText>ADDIN CSL_CITATION {"citationItems":[{"id":"ITEM-1","itemData":{"DOI":"10.1038/nrendo.2016.12","ISBN":"1759-5029","ISSN":"17595037","PMID":"26893264","abstract":"Since the identification in 1988 of bone morphogenetic protein 2 (BMP2) as a potent inducer of bone and cartilage formation, BMP superfamily signalling has become one of the most heavily investigated topics in vertebrate skeletal biology. Whereas a large part of this research has focused on the roles of BMP2, BMP4 and BMP7 in the formation and repair of endochondral bone, a large number of BMP superfamily molecules have now been implicated in almost all aspects of bone, cartilage and joint biology. As modulating BMP signalling is currently a major therapeutic target, our rapidly expanding knowledge of how BMP superfamily signalling affects most tissue types of the skeletal system creates enormous potential to translate basic research findings into successful clinical therapies that improve bone mass or quality, ameliorate diseases of skeletal overgrowth, and repair damage to bone and joints. This Review examines the genetic evidence implicating BMP superfamily signalling in vertebrate bone and joint development, discusses a selection of human skeletal disorders associated with altered BMP signalling and summarizes the status of modulating the BMP pathway as a therapeutic target for skeletal trauma and disease.","author":[{"dropping-particle":"","family":"Salazar","given":"Valerie S.","non-dropping-particle":"","parse-names":false,"suffix":""},{"dropping-particle":"","family":"Gamer","given":"Laura W.","non-dropping-particle":"","parse-names":false,"suffix":""},{"dropping-particle":"","family":"Rosen","given":"Vicki","non-dropping-particle":"","parse-names":false,"suffix":""}],"container-title":"Nature Reviews Endocrinology","id":"ITEM-1","issue":"4","issued":{"date-parts":[["2016"]]},"page":"203-221","publisher":"Nature Publishing Group","title":"BMP signalling in skeletal development, disease and repair","type":"article-journal","volume":"12"},"uris":["http://www.mendeley.com/documents/?uuid=146b65a5-e2f7-4a81-81bd-01ed742846df"]}],"mendeley":{"formattedCitation":"&lt;sup&gt;[77]&lt;/sup&gt;","plainTextFormattedCitation":"[77]","previouslyFormattedCitation":"&lt;sup&gt;[77]&lt;/sup&gt;"},"properties":{"noteIndex":0},"schema":"https://github.com/citation-style-language/schema/raw/master/csl-citation.json"}</w:instrText>
      </w:r>
      <w:r w:rsidR="0096551B" w:rsidRPr="00000DD3">
        <w:rPr>
          <w:rFonts w:ascii="Book Antiqua" w:hAnsi="Book Antiqua" w:cstheme="minorHAnsi"/>
        </w:rPr>
        <w:fldChar w:fldCharType="separate"/>
      </w:r>
      <w:r w:rsidR="0096551B" w:rsidRPr="00000DD3">
        <w:rPr>
          <w:rFonts w:ascii="Book Antiqua" w:hAnsi="Book Antiqua" w:cstheme="minorHAnsi"/>
          <w:noProof/>
          <w:vertAlign w:val="superscript"/>
        </w:rPr>
        <w:t>[77]</w:t>
      </w:r>
      <w:r w:rsidR="0096551B" w:rsidRPr="00000DD3">
        <w:rPr>
          <w:rFonts w:ascii="Book Antiqua" w:hAnsi="Book Antiqua" w:cstheme="minorHAnsi"/>
        </w:rPr>
        <w:fldChar w:fldCharType="end"/>
      </w:r>
      <w:r w:rsidR="00501FA9" w:rsidRPr="00000DD3">
        <w:rPr>
          <w:rFonts w:ascii="Book Antiqua" w:hAnsi="Book Antiqua" w:cstheme="minorHAnsi"/>
        </w:rPr>
        <w:t>.</w:t>
      </w:r>
      <w:r w:rsidR="00AF0F74" w:rsidRPr="00000DD3">
        <w:rPr>
          <w:rFonts w:ascii="Book Antiqua" w:hAnsi="Book Antiqua" w:cstheme="minorHAnsi"/>
        </w:rPr>
        <w:t xml:space="preserve"> </w:t>
      </w:r>
      <w:r w:rsidR="0005501B" w:rsidRPr="00000DD3">
        <w:rPr>
          <w:rFonts w:ascii="Book Antiqua" w:hAnsi="Book Antiqua" w:cstheme="minorHAnsi"/>
        </w:rPr>
        <w:t>M</w:t>
      </w:r>
      <w:r w:rsidR="006271DF" w:rsidRPr="00000DD3">
        <w:rPr>
          <w:rFonts w:ascii="Book Antiqua" w:hAnsi="Book Antiqua" w:cstheme="minorHAnsi"/>
        </w:rPr>
        <w:t xml:space="preserve">any studies of </w:t>
      </w:r>
      <w:proofErr w:type="spellStart"/>
      <w:r w:rsidR="006271DF" w:rsidRPr="00000DD3">
        <w:rPr>
          <w:rFonts w:ascii="Book Antiqua" w:hAnsi="Book Antiqua" w:cstheme="minorHAnsi"/>
        </w:rPr>
        <w:t>cMSCs</w:t>
      </w:r>
      <w:proofErr w:type="spellEnd"/>
      <w:r w:rsidR="006271DF" w:rsidRPr="00000DD3">
        <w:rPr>
          <w:rFonts w:ascii="Book Antiqua" w:hAnsi="Book Antiqua" w:cstheme="minorHAnsi"/>
        </w:rPr>
        <w:t xml:space="preserve"> have shown the efficacy of BMPs for osteogenesis</w:t>
      </w:r>
      <w:r w:rsidR="00711C92" w:rsidRPr="00000DD3">
        <w:rPr>
          <w:rFonts w:ascii="Book Antiqua" w:hAnsi="Book Antiqua" w:cstheme="minorHAnsi"/>
        </w:rPr>
        <w:fldChar w:fldCharType="begin" w:fldLock="1"/>
      </w:r>
      <w:r w:rsidR="0096551B" w:rsidRPr="00000DD3">
        <w:rPr>
          <w:rFonts w:ascii="Book Antiqua" w:hAnsi="Book Antiqua" w:cstheme="minorHAnsi"/>
        </w:rPr>
        <w:instrText>ADDIN CSL_CITATION {"citationItems":[{"id":"ITEM-1","itemData":{"DOI":"10.1186/s13287-017-0639-6","ISSN":"17576512","PMID":"28974260","abstract":"BACKGROUND The dog represents an excellent large animal model for translational cell-based studies. Importantly, the properties of canine multipotent stromal cells (cMSCs) and the ideal tissue source for specific translational studies have yet to be established. The aim of this study was to characterize cMSCs derived from synovium, bone marrow, and adipose tissue using a donor-matched study design and a comprehensive series of in-vitro characterization, differentiation, and immunomodulation assays. METHODS Canine MSCs were isolated from five dogs with cranial cruciate ligament rupture. All 15 cMSC preparations were evaluated using colony forming unit (CFU) assays, flow cytometry analysis, RT-PCR for pluripotency-associated genes, proliferation assays, trilineage differentiation assays, and immunomodulation assays. Data were reported as mean</w:instrText>
      </w:r>
      <w:r w:rsidR="0096551B" w:rsidRPr="00000DD3">
        <w:rPr>
          <w:rFonts w:ascii="Times New Roman" w:hAnsi="Times New Roman" w:cs="Times New Roman"/>
        </w:rPr>
        <w:instrText> </w:instrText>
      </w:r>
      <w:r w:rsidR="0096551B" w:rsidRPr="00000DD3">
        <w:rPr>
          <w:rFonts w:ascii="Book Antiqua" w:hAnsi="Book Antiqua" w:cstheme="minorHAnsi"/>
        </w:rPr>
        <w:instrText>±</w:instrText>
      </w:r>
      <w:r w:rsidR="0096551B" w:rsidRPr="00000DD3">
        <w:rPr>
          <w:rFonts w:ascii="Times New Roman" w:hAnsi="Times New Roman" w:cs="Times New Roman"/>
        </w:rPr>
        <w:instrText> </w:instrText>
      </w:r>
      <w:r w:rsidR="0096551B" w:rsidRPr="00000DD3">
        <w:rPr>
          <w:rFonts w:ascii="Book Antiqua" w:hAnsi="Book Antiqua" w:cstheme="minorHAnsi"/>
        </w:rPr>
        <w:instrText>standard deviation and compared using repeated-measures analysis of variance and Tukey post-hoc test. Significance was established at p</w:instrText>
      </w:r>
      <w:r w:rsidR="0096551B" w:rsidRPr="00000DD3">
        <w:rPr>
          <w:rFonts w:ascii="Times New Roman" w:hAnsi="Times New Roman" w:cs="Times New Roman"/>
        </w:rPr>
        <w:instrText> </w:instrText>
      </w:r>
      <w:r w:rsidR="0096551B" w:rsidRPr="00000DD3">
        <w:rPr>
          <w:rFonts w:ascii="Book Antiqua" w:hAnsi="Book Antiqua" w:cstheme="minorHAnsi"/>
        </w:rPr>
        <w:instrText>&lt;</w:instrText>
      </w:r>
      <w:r w:rsidR="0096551B" w:rsidRPr="00000DD3">
        <w:rPr>
          <w:rFonts w:ascii="Times New Roman" w:hAnsi="Times New Roman" w:cs="Times New Roman"/>
        </w:rPr>
        <w:instrText> </w:instrText>
      </w:r>
      <w:r w:rsidR="0096551B" w:rsidRPr="00000DD3">
        <w:rPr>
          <w:rFonts w:ascii="Book Antiqua" w:hAnsi="Book Antiqua" w:cstheme="minorHAnsi"/>
        </w:rPr>
        <w:instrText>0.05. RESULTS All tissue samples produced plastic adherent, spindle-shaped preparations of cMSCs. Cells were negative for CD34, CD45, and STRO-1 and positive for CD9, CD44, and CD90, whereas the degree to which cells were positive for CD105 was variable depending on tissue of origin. Cells were positive for the pluripotency-associated genes NANOG, OCT4, and SOX2. Accounting for donor and tissue sources, there were significant differences in CFU potential, rate of proliferation, trilineage differentiation, and immunomodulatory response. Synovium and marrow cMSCs exhibited superior early osteogenic activity, but when assessing late-stage osteogenesis no significant differences were detected. Interestingly, bone morphogenic protein-2 (BMP-2) supplementation was necessary for early-stage and late-stage osteogenic differentiation, a finding consistent with other canine studies. Additionally, synovium and adipose cMSCs proliferated more rapidly, displayed higher CFU potential, and formed larger aggregates in chondrogenic assays, although proteoglycan and collagen type II staining were subjectively decreased in adipose pellets as compared to synovial and marrow pellets. Lastly, cMSCs derived from all three tissue sources modulated murine macrophage TNF-α and IL-6 levels in a lipopolysaccharide-stimulated coculture assay. CONCLUSIONS While cMSCs from synovium, marrow, and adipose tissue share a number of similarities, important differences in proliferation and trilineage differentiation …","author":[{"dropping-particle":"","family":"Bearden","given":"Robert N.","non-dropping-particle":"","parse-names":false,"suffix":""},{"dropping-particle":"","family":"Huggins","given":"Shannon S.","non-dropping-particle":"","parse-names":false,"suffix":""},{"dropping-particle":"","family":"Cummings","given":"Kevin J.","non-dropping-particle":"","parse-names":false,"suffix":""},{"dropping-particle":"","family":"Smith","given":"Roger","non-dropping-particle":"","parse-names":false,"suffix":""},{"dropping-particle":"","family":"Gregory","given":"Carl A.","non-dropping-particle":"","parse-names":false,"suffix":""},{"dropping-particle":"","family":"Saunders","given":"William B.","non-dropping-particle":"","parse-names":false,"suffix":""}],"container-title":"Stem Cell Research and Therapy","id":"ITEM-1","issue":"1","issued":{"date-parts":[["2017"]]},"page":"1-22","publisher":"Stem Cell Research &amp; Therapy","title":"In-vitro characterization of canine multipotent stromal cells isolated from synovium, bone marrow, and adipose tissue: A donor-matched comparative study","type":"article-journal","volume":"8"},"uris":["http://www.mendeley.com/documents/?uuid=93ce5912-c717-4e45-a0d6-6e2eb38783bb"]},{"id":"ITEM-2","itemData":{"PMID":"16273904","abstract":"To examine age-related efficacy of bone morphogenetic protein (BMP)-2, ascorbate, and dexamethasone as osteogenic inducers in canine marrow-derived stromal cells (MSCs). Samples of femoral bone marrow obtained from 15 skeletally immature (&lt; 1 year old) and 4 skeletally mature (&gt; 1.5 years old) dogs. First-passage canine MSC cultures were treated with 100 microg of ascorbate phosphate/mL, 10(-7)M dexamethasone, 100 ng of BMP-2/mL, or a combination of these osteoinducers. On day 6, cultures were harvested for quantitation of alkaline phosphatase (ALP) activity and isolation of RNA to prepare cDNA for real-time polymerase chain reaction analyses of osteoblast markers. Early markers of osteogenesis were induced in canine MSCs by BMP-2 but not dexamethasone. In young dogs, the combination of BMP-2 and ascorbate yielded the highest ALP mRNA concentrations and activity. This combination also induced significant increases in mRNA for osteopontin and runt-domain transcription factor 2. In comparison to MSCs from immature dogs, those from mature dogs had diminished ALP activity in response to BMP and ascorbate. Results for cultures treated with 3,4-dehydroproline suggested that ascorbate-induced production of extracellular matrix was important for maximal BMP-2 response in canine MSCs. BMP-2 was capable of inducing markers of osteogenesis in short-term cultures of canine MSCs. In MSCs obtained from skeletally immature dogs, ascorbate was required for maximal effects of BMP These results define optimal conditions for stem cell osteogenesis in dogs and will facilitate development of stem cell-based treatments for dogs with fractures.","author":[{"dropping-particle":"","family":"Volk","given":"Susan W.","non-dropping-particle":"","parse-names":false,"suffix":""},{"dropping-particle":"","family":"Diefenderfer","given":"David L.","non-dropping-particle":"","parse-names":false,"suffix":""},{"dropping-particle":"","family":"Christopher","given":"Scott A.","non-dropping-particle":"","parse-names":false,"suffix":""},{"dropping-particle":"","family":"Haskins","given":"Mark E.","non-dropping-particle":"","parse-names":false,"suffix":""},{"dropping-particle":"","family":"Leboy","given":"Phoebe S.","non-dropping-particle":"","parse-names":false,"suffix":""}],"container-title":"American Journal Of Veterinary Research","id":"ITEM-2","issue":"10","issued":{"date-parts":[["2005"]]},"page":"1729-1737","title":"Effects of osteogenic inducers on cultures of canine mesenchymal stem cells.","type":"article-journal","volume":"66"},"uris":["http://www.mendeley.com/documents/?uuid=cb835a8b-3ec3-498c-baa8-c14a8c6862b6"]}],"mendeley":{"formattedCitation":"&lt;sup&gt;[53,78]&lt;/sup&gt;","plainTextFormattedCitation":"[53,78]","previouslyFormattedCitation":"&lt;sup&gt;[53,78]&lt;/sup&gt;"},"properties":{"noteIndex":0},"schema":"https://github.com/citation-style-language/schema/raw/master/csl-citation.json"}</w:instrText>
      </w:r>
      <w:r w:rsidR="00711C92" w:rsidRPr="00000DD3">
        <w:rPr>
          <w:rFonts w:ascii="Book Antiqua" w:hAnsi="Book Antiqua" w:cstheme="minorHAnsi"/>
        </w:rPr>
        <w:fldChar w:fldCharType="separate"/>
      </w:r>
      <w:r w:rsidR="00DD5433" w:rsidRPr="00000DD3">
        <w:rPr>
          <w:rFonts w:ascii="Book Antiqua" w:hAnsi="Book Antiqua" w:cstheme="minorHAnsi"/>
          <w:noProof/>
          <w:vertAlign w:val="superscript"/>
        </w:rPr>
        <w:t>[53,78]</w:t>
      </w:r>
      <w:r w:rsidR="00711C92" w:rsidRPr="00000DD3">
        <w:rPr>
          <w:rFonts w:ascii="Book Antiqua" w:hAnsi="Book Antiqua" w:cstheme="minorHAnsi"/>
        </w:rPr>
        <w:fldChar w:fldCharType="end"/>
      </w:r>
      <w:r w:rsidR="006271DF" w:rsidRPr="00000DD3">
        <w:rPr>
          <w:rFonts w:ascii="Book Antiqua" w:hAnsi="Book Antiqua" w:cstheme="minorHAnsi"/>
        </w:rPr>
        <w:t>,</w:t>
      </w:r>
      <w:r w:rsidR="00E76A1D" w:rsidRPr="00000DD3">
        <w:rPr>
          <w:rFonts w:ascii="Book Antiqua" w:hAnsi="Book Antiqua" w:cstheme="minorHAnsi"/>
        </w:rPr>
        <w:t xml:space="preserve"> </w:t>
      </w:r>
      <w:r w:rsidR="0005501B" w:rsidRPr="00000DD3">
        <w:rPr>
          <w:rFonts w:ascii="Book Antiqua" w:hAnsi="Book Antiqua" w:cstheme="minorHAnsi"/>
        </w:rPr>
        <w:t>although one</w:t>
      </w:r>
      <w:r w:rsidR="00E76A1D" w:rsidRPr="00000DD3">
        <w:rPr>
          <w:rFonts w:ascii="Book Antiqua" w:hAnsi="Book Antiqua" w:cstheme="minorHAnsi"/>
        </w:rPr>
        <w:t xml:space="preserve"> </w:t>
      </w:r>
      <w:r w:rsidR="00393CFA" w:rsidRPr="00000DD3">
        <w:rPr>
          <w:rFonts w:ascii="Book Antiqua" w:hAnsi="Book Antiqua" w:cstheme="minorHAnsi"/>
        </w:rPr>
        <w:t xml:space="preserve">study </w:t>
      </w:r>
      <w:r w:rsidR="0005501B" w:rsidRPr="00000DD3">
        <w:rPr>
          <w:rFonts w:ascii="Book Antiqua" w:hAnsi="Book Antiqua" w:cstheme="minorHAnsi"/>
        </w:rPr>
        <w:t xml:space="preserve">reported </w:t>
      </w:r>
      <w:r w:rsidR="00E76A1D" w:rsidRPr="00000DD3">
        <w:rPr>
          <w:rFonts w:ascii="Book Antiqua" w:hAnsi="Book Antiqua" w:cstheme="minorHAnsi"/>
        </w:rPr>
        <w:t xml:space="preserve">no improvement </w:t>
      </w:r>
      <w:r w:rsidR="0005501B" w:rsidRPr="00000DD3">
        <w:rPr>
          <w:rFonts w:ascii="Book Antiqua" w:hAnsi="Book Antiqua" w:cstheme="minorHAnsi"/>
        </w:rPr>
        <w:t xml:space="preserve">in </w:t>
      </w:r>
      <w:r w:rsidR="00E76A1D" w:rsidRPr="00000DD3">
        <w:rPr>
          <w:rFonts w:ascii="Book Antiqua" w:hAnsi="Book Antiqua" w:cstheme="minorHAnsi"/>
        </w:rPr>
        <w:t xml:space="preserve">chondrogenesis </w:t>
      </w:r>
      <w:r w:rsidR="0005501B" w:rsidRPr="00000DD3">
        <w:rPr>
          <w:rFonts w:ascii="Book Antiqua" w:hAnsi="Book Antiqua" w:cstheme="minorHAnsi"/>
        </w:rPr>
        <w:t xml:space="preserve">by </w:t>
      </w:r>
      <w:r w:rsidR="00E76A1D" w:rsidRPr="00000DD3">
        <w:rPr>
          <w:rFonts w:ascii="Book Antiqua" w:hAnsi="Book Antiqua" w:cstheme="minorHAnsi"/>
        </w:rPr>
        <w:t>BM-</w:t>
      </w:r>
      <w:proofErr w:type="spellStart"/>
      <w:r w:rsidR="00E76A1D" w:rsidRPr="00000DD3">
        <w:rPr>
          <w:rFonts w:ascii="Book Antiqua" w:hAnsi="Book Antiqua" w:cstheme="minorHAnsi"/>
        </w:rPr>
        <w:t>cMSCs</w:t>
      </w:r>
      <w:proofErr w:type="spellEnd"/>
      <w:r w:rsidR="0005501B" w:rsidRPr="00000DD3">
        <w:rPr>
          <w:rFonts w:ascii="Book Antiqua" w:hAnsi="Book Antiqua" w:cstheme="minorHAnsi"/>
        </w:rPr>
        <w:t xml:space="preserve"> or</w:t>
      </w:r>
      <w:r w:rsidR="00E76A1D" w:rsidRPr="00000DD3">
        <w:rPr>
          <w:rFonts w:ascii="Book Antiqua" w:hAnsi="Book Antiqua" w:cstheme="minorHAnsi"/>
        </w:rPr>
        <w:t xml:space="preserve"> AD-</w:t>
      </w:r>
      <w:proofErr w:type="spellStart"/>
      <w:r w:rsidR="00E76A1D" w:rsidRPr="00000DD3">
        <w:rPr>
          <w:rFonts w:ascii="Book Antiqua" w:hAnsi="Book Antiqua" w:cstheme="minorHAnsi"/>
        </w:rPr>
        <w:t>cMSCs</w:t>
      </w:r>
      <w:proofErr w:type="spellEnd"/>
      <w:r w:rsidR="001902D5"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{"citationItems":[{"id":"ITEM-1","itemData":{"DOI":"10.1007/s11259-012-9523-0","ISBN":"1573-7446 (Electronic)\\r0165-7380 (Linking)","ISSN":"01657380","PMID":"22392598","abstract":"In the dog, mesenchymal stem cells (MSCs) have been shown to reside in the bone marrow (bone marrow-derived mesenchymal stem cells: BM-MSCs) as well as in the adipose tissue (adipose tissue-derived stem cells: ADSCs). Potential application fields for these multipotent MSCs in small animal practice are joint diseases as MSCs of both sources have shown to possess chondrogenic differentiation ability. However, it is not clear whether the chondrogenic differentiation potential of cells of these two distinct tissues is truly equal. Therefore, we compared MSCs of both origins in this study in terms of their chondrogenic differentiation ability and suitability for clinical application. BM-MSCs harvested from the femoral neck and ADSCs from intra-abdominal fat tissue were examined for their morphology, population doubling time (PDT) and CD90 surface antigen expression. RT-PCR served to assess expression of pluripotency marker Oct4 and early differentiation marker genes. Chondrogenic differentiation ability was compared and validated using histochemistry, transmission electron microscopy (TEM) and quantitative RT-PCR. Both cell populations presented a highly similar morphology and marker expression in an undifferentiated stage except that freshly isolated ADSCs demonstrated a significantly faster PDT than BM-MSCs. In contrast, BM-MSCs revealed a morphological superior cartilage formation by the production of a more abundant and structured hyaline matrix and higher expression of lineage specific genes under the applied standard differentiation protocol. However, further investigations are necessary in order to find out if chondrogenic differentiation can be improved in canine ADSCs using different protocols and/or supplements.","author":[{"dropping-particle":"","family":"Reich","given":"Christine M","non-dropping-particle":"","parse-names":false,"suffix":""},{"dropping-particle":"","family":"Raabe","given":"Oksana","non-dropping-particle":"","parse-names":false,"suffix":""},{"dropping-particle":"","family":"Wenisch","given":"Sabine","non-dropping-particle":"","parse-names":false,"suffix":""},{"dropping-particle":"","family":"Bridger","given":"Philip S","non-dropping-particle":"","parse-names":false,"suffix":""},{"dropping-particle":"","family":"Kramer","given":"Martin","non-dropping-particle":"","parse-names":false,"suffix":""},{"dropping-particle":"","family":"Arnhold","given":"Stefan","non-dropping-particle":"","parse-names":false,"suffix":""}],"container-title":"Veterinary Research Communications","id":"ITEM-1","issue":"2","issued":{"date-parts":[["2012"]]},"page":"139-148","title":"Isolation, culture and chondrogenic differentiation of canine adipose tissue- and bone marrow-derived mesenchymal stem cells-A comparative study","type":"article-journal","volume":"36"},"uris":["http://www.mendeley.com/documents/?uuid=7bef8bba-0ea4-3972-a9b4-31813e085455"]}],"mendeley":{"formattedCitation":"&lt;sup&gt;[56]&lt;/sup&gt;","plainTextFormattedCitation":"[56]","previouslyFormattedCitation":"&lt;sup&gt;[56]&lt;/sup&gt;"},"properties":{"noteIndex":0},"schema":"https://github.com/citation-style-language/schema/raw/master/csl-citation.json"}</w:instrText>
      </w:r>
      <w:r w:rsidR="001902D5" w:rsidRPr="00000DD3">
        <w:rPr>
          <w:rFonts w:ascii="Book Antiqua" w:hAnsi="Book Antiqua" w:cstheme="minorHAnsi"/>
        </w:rPr>
        <w:fldChar w:fldCharType="separate"/>
      </w:r>
      <w:r w:rsidR="00BC68DD" w:rsidRPr="00000DD3">
        <w:rPr>
          <w:rFonts w:ascii="Book Antiqua" w:hAnsi="Book Antiqua" w:cstheme="minorHAnsi"/>
          <w:noProof/>
          <w:vertAlign w:val="superscript"/>
        </w:rPr>
        <w:t>[56]</w:t>
      </w:r>
      <w:r w:rsidR="001902D5" w:rsidRPr="00000DD3">
        <w:rPr>
          <w:rFonts w:ascii="Book Antiqua" w:hAnsi="Book Antiqua" w:cstheme="minorHAnsi"/>
        </w:rPr>
        <w:fldChar w:fldCharType="end"/>
      </w:r>
      <w:r w:rsidR="0005501B" w:rsidRPr="00000DD3">
        <w:rPr>
          <w:rFonts w:ascii="Book Antiqua" w:hAnsi="Book Antiqua" w:cstheme="minorHAnsi"/>
        </w:rPr>
        <w:t xml:space="preserve"> in response to BMP-2. Therefore, the</w:t>
      </w:r>
      <w:r w:rsidR="00122E82" w:rsidRPr="00000DD3">
        <w:rPr>
          <w:rFonts w:ascii="Book Antiqua" w:hAnsi="Book Antiqua" w:cstheme="minorHAnsi"/>
        </w:rPr>
        <w:t xml:space="preserve"> effectiveness of BMPs </w:t>
      </w:r>
      <w:r w:rsidR="00651B5B" w:rsidRPr="00000DD3">
        <w:rPr>
          <w:rFonts w:ascii="Book Antiqua" w:hAnsi="Book Antiqua" w:cstheme="minorHAnsi"/>
        </w:rPr>
        <w:t>at</w:t>
      </w:r>
      <w:r w:rsidR="0005501B" w:rsidRPr="00000DD3">
        <w:rPr>
          <w:rFonts w:ascii="Book Antiqua" w:hAnsi="Book Antiqua" w:cstheme="minorHAnsi"/>
        </w:rPr>
        <w:t xml:space="preserve"> inducing </w:t>
      </w:r>
      <w:r w:rsidR="00122E82" w:rsidRPr="00000DD3">
        <w:rPr>
          <w:rFonts w:ascii="Book Antiqua" w:hAnsi="Book Antiqua" w:cstheme="minorHAnsi"/>
        </w:rPr>
        <w:t xml:space="preserve">chondrogenesis </w:t>
      </w:r>
      <w:r w:rsidR="0005501B" w:rsidRPr="00000DD3">
        <w:rPr>
          <w:rFonts w:ascii="Book Antiqua" w:hAnsi="Book Antiqua" w:cstheme="minorHAnsi"/>
        </w:rPr>
        <w:t xml:space="preserve">in </w:t>
      </w:r>
      <w:proofErr w:type="spellStart"/>
      <w:r w:rsidR="00122E82" w:rsidRPr="00000DD3">
        <w:rPr>
          <w:rFonts w:ascii="Book Antiqua" w:hAnsi="Book Antiqua" w:cstheme="minorHAnsi"/>
        </w:rPr>
        <w:t>cMSCs</w:t>
      </w:r>
      <w:proofErr w:type="spellEnd"/>
      <w:r w:rsidR="00122E82" w:rsidRPr="00000DD3">
        <w:rPr>
          <w:rFonts w:ascii="Book Antiqua" w:hAnsi="Book Antiqua" w:cstheme="minorHAnsi"/>
        </w:rPr>
        <w:t xml:space="preserve"> </w:t>
      </w:r>
      <w:r w:rsidR="00651B5B" w:rsidRPr="00000DD3">
        <w:rPr>
          <w:rFonts w:ascii="Book Antiqua" w:hAnsi="Book Antiqua" w:cstheme="minorHAnsi"/>
        </w:rPr>
        <w:t>remains</w:t>
      </w:r>
      <w:r w:rsidR="00122E82" w:rsidRPr="00000DD3">
        <w:rPr>
          <w:rFonts w:ascii="Book Antiqua" w:hAnsi="Book Antiqua" w:cstheme="minorHAnsi"/>
        </w:rPr>
        <w:t xml:space="preserve"> un</w:t>
      </w:r>
      <w:r w:rsidR="005C7880" w:rsidRPr="00000DD3">
        <w:rPr>
          <w:rFonts w:ascii="Book Antiqua" w:hAnsi="Book Antiqua" w:cstheme="minorHAnsi"/>
        </w:rPr>
        <w:t>clear</w:t>
      </w:r>
      <w:r w:rsidR="00122E82" w:rsidRPr="00000DD3">
        <w:rPr>
          <w:rFonts w:ascii="Book Antiqua" w:hAnsi="Book Antiqua" w:cstheme="minorHAnsi"/>
        </w:rPr>
        <w:t>.</w:t>
      </w:r>
    </w:p>
    <w:p w14:paraId="2D2DAB08" w14:textId="45BF68F2" w:rsidR="00E0300A" w:rsidRPr="00000DD3" w:rsidRDefault="00651B5B" w:rsidP="009E6380">
      <w:pPr>
        <w:spacing w:line="360" w:lineRule="auto"/>
        <w:ind w:firstLineChars="100" w:firstLine="240"/>
        <w:jc w:val="both"/>
        <w:rPr>
          <w:rFonts w:ascii="Book Antiqua" w:hAnsi="Book Antiqua" w:cstheme="minorHAnsi"/>
        </w:rPr>
      </w:pPr>
      <w:r w:rsidRPr="00000DD3">
        <w:rPr>
          <w:rFonts w:ascii="Book Antiqua" w:hAnsi="Book Antiqua" w:cstheme="minorHAnsi"/>
        </w:rPr>
        <w:t>C</w:t>
      </w:r>
      <w:r w:rsidR="006F1894" w:rsidRPr="00000DD3">
        <w:rPr>
          <w:rFonts w:ascii="Book Antiqua" w:hAnsi="Book Antiqua" w:cstheme="minorHAnsi"/>
        </w:rPr>
        <w:t>hondrogenic differentiation</w:t>
      </w:r>
      <w:r w:rsidR="00A56BFA" w:rsidRPr="00000DD3">
        <w:rPr>
          <w:rFonts w:ascii="Book Antiqua" w:hAnsi="Book Antiqua" w:cstheme="minorHAnsi"/>
        </w:rPr>
        <w:t xml:space="preserve"> ability</w:t>
      </w:r>
      <w:r w:rsidR="006F1894" w:rsidRPr="00000DD3">
        <w:rPr>
          <w:rFonts w:ascii="Book Antiqua" w:hAnsi="Book Antiqua" w:cstheme="minorHAnsi"/>
        </w:rPr>
        <w:t xml:space="preserve"> </w:t>
      </w:r>
      <w:r w:rsidR="00A56BFA" w:rsidRPr="00000DD3">
        <w:rPr>
          <w:rFonts w:ascii="Book Antiqua" w:hAnsi="Book Antiqua" w:cstheme="minorHAnsi"/>
        </w:rPr>
        <w:t>decreases</w:t>
      </w:r>
      <w:r w:rsidR="006426E5" w:rsidRPr="00000DD3">
        <w:rPr>
          <w:rFonts w:ascii="Book Antiqua" w:hAnsi="Book Antiqua" w:cstheme="minorHAnsi"/>
        </w:rPr>
        <w:t xml:space="preserve"> with</w:t>
      </w:r>
      <w:r w:rsidR="00A56BFA" w:rsidRPr="00000DD3">
        <w:rPr>
          <w:rFonts w:ascii="Book Antiqua" w:hAnsi="Book Antiqua" w:cstheme="minorHAnsi"/>
        </w:rPr>
        <w:t xml:space="preserve"> the loss of</w:t>
      </w:r>
      <w:r w:rsidR="006F1894" w:rsidRPr="00000DD3">
        <w:rPr>
          <w:rFonts w:ascii="Book Antiqua" w:hAnsi="Book Antiqua" w:cstheme="minorHAnsi"/>
        </w:rPr>
        <w:t xml:space="preserve"> CD90 </w:t>
      </w:r>
      <w:r w:rsidR="00A56BFA" w:rsidRPr="00000DD3">
        <w:rPr>
          <w:rFonts w:ascii="Book Antiqua" w:hAnsi="Book Antiqua" w:cstheme="minorHAnsi"/>
        </w:rPr>
        <w:t xml:space="preserve">in </w:t>
      </w:r>
      <w:r w:rsidR="006426E5" w:rsidRPr="00000DD3">
        <w:rPr>
          <w:rFonts w:ascii="Book Antiqua" w:hAnsi="Book Antiqua" w:cstheme="minorHAnsi"/>
        </w:rPr>
        <w:t>human MSCs</w:t>
      </w:r>
      <w:r w:rsidR="004D4631" w:rsidRPr="00000DD3">
        <w:rPr>
          <w:rFonts w:ascii="Book Antiqua" w:hAnsi="Book Antiqua" w:cstheme="minorHAnsi"/>
        </w:rPr>
        <w:fldChar w:fldCharType="begin" w:fldLock="1"/>
      </w:r>
      <w:r w:rsidR="006A3361" w:rsidRPr="00000DD3">
        <w:rPr>
          <w:rFonts w:ascii="Book Antiqua" w:hAnsi="Book Antiqua" w:cstheme="minorHAnsi"/>
        </w:rPr>
        <w:instrText>ADDIN CSL_CITATION {"citationItems":[{"id":"ITEM-1","itemData":{"DOI":"10.1002/art.23418","ISBN":"0004-3591 (Print)\\n0004-3591 (Linking)","ISSN":"00043591","PMID":"18438859","abstract":"OBJECTIVE: Synovial mesenchymal stem cells (MSCs) are an attractive cell source for cartilage regeneration because of their high chondrogenic ability. In this study, we examined the synovium of patients with medial compartment knee osteoarthritis (OA) to determine the proportion of MSCs in relation to cellular compartmentalization, and to identify the culture parameters that could affect the chondrogenic potential of synovial MSCs.\\n\\nMETHODS: Human synovium was collected from 4 different harvest sites in the knees of patients with medial compartment OA. Each synovial tissue sample was divided into 2 parts, one for histologic assessment and the other for analysis of the cell size, surface epitopes, and chondrogenic potential of colony-forming cells in vitro.\\n\\nRESULTS: The numbers of alpha-smooth muscle actin-positive vessels and CD31+ endothelial cells were higher in the medial outer region than in the other regions of OA synovial tissue. The numbers of these cells correlated with the number of colony-forming cells. In parallel with increasing duration of the preculture period, the size of the cells increased, while the chondrogenic potential decreased, and this was correlated with expression of CD90.\\n\\nCONCLUSION: Medial compartment knee OA demonstrates variability in the distribution of vessels, which results in a varying distribution of MSCs. The preculture period should be utilized to assess both the potential for expansion and the chondrogenic potential of MSCs.","author":[{"dropping-particle":"","family":"Nagase","given":"Tsuyoshi","non-dropping-particle":"","parse-names":false,"suffix":""},{"dropping-particle":"","family":"Muneta","given":"Takeshi","non-dropping-particle":"","parse-names":false,"suffix":""},{"dropping-particle":"","family":"Ju","given":"Young Jin","non-dropping-particle":"","parse-names":false,"suffix":""},{"dropping-particle":"","family":"Hara","given":"Kenji","non-dropping-particle":"","parse-names":false,"suffix":""},{"dropping-particle":"","family":"Morito","given":"Toshiyuki","non-dropping-particle":"","parse-names":false,"suffix":""},{"dropping-particle":"","family":"Koga","given":"Hideyuki","non-dropping-particle":"","parse-names":false,"suffix":""},{"dropping-particle":"","family":"Nimura","given":"Akimoto","non-dropping-particle":"","parse-names":false,"suffix":""},{"dropping-particle":"","family":"Mochizuki","given":"Tomoyuki","non-dropping-particle":"","parse-names":false,"suffix":""},{"dropping-particle":"","family":"Sekiya","given":"Ichiro","non-dropping-particle":"","parse-names":false,"suffix":""}],"container-title":"Arthritis and Rheumatism","id":"ITEM-1","issue":"5","issued":{"date-parts":[["2008"]]},"page":"1389-98","title":"Analysis of the chondrogenic potential of human synovial stem cells according to harvest site and culture parameters in knees with medial compartment osteoarthritis","type":"article-journal","volume":"58"},"uris":["http://www.mendeley.com/documents/?uuid=88fb024b-8c8c-31cd-9783-2574db2d1b6b"]},{"id":"ITEM-2","itemData":{"DOI":"10.1371/journal.pone.0129096","ISSN":"19326203","PMID":"26053045","abstract":"Mesenchymal stem cells (MSCs) have the ability to differentiate into a variety of lineages and to renew themselves without malignant changes, and thus hold potential for many clinical applications. However, it has not been well characterized how different the properties of MSCs are depending on the tissue source in which they resided. We previously reported a novel technique for the prospective MSC isolation from bone marrow, and revealed that a combination of cell surface markers (LNGFR and THY-1) allows the isolation of highly enriched MSC populations. In this study, we isolated LNGFR(+) THY-1 (+) MSCs from synovium using flow cytometry. The results show that the synovium tissue contained a significantly larger percentage of LNGFR (+) THY-1 (+) MSCs. We examined the colony formation and differentiation abilities of bone marrow-derived MSCs (BM-MSCs) and synovium-derived MSCs (SYN-MSCs) isolated from the same patients. Both types of MSCs exhibited a marked propensity to differentiate into specific lineages. BM-MSCs were preferentially differentiated into bone, while in the SYN-MSC culture, enhanced adipogenic and chondrogenic differentiation was observed. These data suggest that the tissue from which MSCs are isolated should be tailored according to their intended clinical therapeutic application.","author":[{"dropping-particle":"","family":"Ogata","given":"Yusuke","non-dropping-particle":"","parse-names":false,"suffix":""},{"dropping-particle":"","family":"Mabuchi","given":"Yo","non-dropping-particle":"","parse-names":false,"suffix":""},{"dropping-particle":"","family":"Yoshida","given":"Mayu","non-dropping-particle":"","parse-names":false,"suffix":""},{"dropping-particle":"","family":"Suto","given":"Eriko Grace","non-dropping-particle":"","parse-names":false,"suffix":""},{"dropping-particle":"","family":"Suzuki","given":"Nobuharu","non-dropping-particle":"","parse-names":false,"suffix":""},{"dropping-particle":"","family":"Muneta","given":"Takeshi","non-dropping-particle":"","parse-names":false,"suffix":""},{"dropping-particle":"","family":"Sekiya","given":"Ichiro","non-dropping-particle":"","parse-names":false,"suffix":""},{"dropping-particle":"","family":"Akazawa","given":"Chihiro","non-dropping-particle":"","parse-names":false,"suffix":""}],"container-title":"PLoS ONE","id":"ITEM-2","issue":"6","issued":{"date-parts":[["2015"]]},"page":"e0129096","title":"Purified human synovium mesenchymal stem cells as a good resource for cartilage regeneration","type":"article-journal","volume":"10"},"uris":["http://www.mendeley.com/documents/?uuid=bd81c4ab-5aba-44c8-aafd-243f3403679c"]}],"mendeley":{"formattedCitation":"&lt;sup&gt;[79,80]&lt;/sup&gt;","plainTextFormattedCitation":"[79,80]","previouslyFormattedCitation":"&lt;sup&gt;[79,80]&lt;/sup&gt;"},"properties":{"noteIndex":0},"schema":"https://github.com/citation-style-language/schema/raw/master/csl-citation.json"}</w:instrText>
      </w:r>
      <w:r w:rsidR="004D4631" w:rsidRPr="00000DD3">
        <w:rPr>
          <w:rFonts w:ascii="Book Antiqua" w:hAnsi="Book Antiqua" w:cstheme="minorHAnsi"/>
        </w:rPr>
        <w:fldChar w:fldCharType="separate"/>
      </w:r>
      <w:r w:rsidR="004D4631" w:rsidRPr="00000DD3">
        <w:rPr>
          <w:rFonts w:ascii="Book Antiqua" w:hAnsi="Book Antiqua" w:cstheme="minorHAnsi"/>
          <w:noProof/>
          <w:vertAlign w:val="superscript"/>
        </w:rPr>
        <w:t>[79,80]</w:t>
      </w:r>
      <w:r w:rsidR="004D4631" w:rsidRPr="00000DD3">
        <w:rPr>
          <w:rFonts w:ascii="Book Antiqua" w:hAnsi="Book Antiqua" w:cstheme="minorHAnsi"/>
        </w:rPr>
        <w:fldChar w:fldCharType="end"/>
      </w:r>
      <w:r w:rsidR="00A56BFA" w:rsidRPr="00000DD3">
        <w:rPr>
          <w:rFonts w:ascii="Book Antiqua" w:hAnsi="Book Antiqua" w:cstheme="minorHAnsi"/>
        </w:rPr>
        <w:t xml:space="preserve"> and </w:t>
      </w:r>
      <w:proofErr w:type="spellStart"/>
      <w:r w:rsidR="00A56BFA" w:rsidRPr="00000DD3">
        <w:rPr>
          <w:rFonts w:ascii="Book Antiqua" w:hAnsi="Book Antiqua" w:cstheme="minorHAnsi"/>
        </w:rPr>
        <w:t>cMSCs</w:t>
      </w:r>
      <w:proofErr w:type="spellEnd"/>
      <w:r w:rsidRPr="00000DD3">
        <w:rPr>
          <w:rFonts w:ascii="Book Antiqua" w:hAnsi="Book Antiqua" w:cstheme="minorHAnsi"/>
        </w:rPr>
        <w:fldChar w:fldCharType="begin" w:fldLock="1"/>
      </w:r>
      <w:r w:rsidR="00120D2C" w:rsidRPr="00000DD3">
        <w:rPr>
          <w:rFonts w:ascii="Book Antiqua" w:hAnsi="Book Antiqua" w:cstheme="minorHAnsi"/>
        </w:rPr>
        <w:instrText>ADDIN CSL_CITATION {"citationItems":[{"id":"ITEM-1","itemData":{"DOI":"10.1371/journal.pone.0043616","ISBN":"1932-6203 (Electronic)\\r1932-6203 (Linking)","ISSN":"19326203","PMID":"22952721","abstract":"OBJECTIVE: Mesenchymal progenitor cells (MPCs) can differentiate into osteoblasts, adipocytes, and chondrocytes, and are in part responsible for maintaining tissue integrity. Recently, a progenitor cell population has been found within the synovial fluid that shares many similarities with bone marrow MPCs. These synovial fluid MPCs (sfMPCs) share the ability to differentiate into bone and fat, with a bias for cartilage differentiation. In this study, sfMPCs were isolated from human and canine synovial fluid collected from normal individuals and those with osteoarthritis (human: clinician-diagnosed, canine: experimental) to compare the differentiation potential of CD90+ vs. CD90- sfMPCs, and to determine if CD90 (Thy-1) is a predictive marker of synovial fluid progenitors with chondrogenic capacity in vitro.\\n\\nMETHODS: sfMPCs were derived from synovial fluid from normal and OA knee joints. These cells were induced to differentiate into chondrocytes and analyzed using quantitative PCR, immunofluorescence, and electron microscopy.\\n\\nRESULTS: The CD90+ subpopulation of sfMPCs had increased chondrogenic potential compared to the CD90- population. Furthermore, sfMPCs derived from healthy joints did not require a micro-mass step for efficient chondrogenesis. Whereas sfMPCs from OA synovial fluid retain the ability to undergo chondrogenic differentiation, they require micro-mass culture conditions.\\n\\nCONCLUSIONS: Overall, this study has demonstrated an increased chondrogenic potential within the CD90+ fraction of human and canine sfMPCs and that this population of cells derived from healthy normal joints do not require a micro-mass step for efficient chondrogenesis, while sfMPCs obtained from OA knee joints do not differentiate efficiently into chondrocytes without the micro-mass procedure. These results reveal a fundamental shift in the chondrogenic ability of cells isolated from arthritic joint fluids, and we speculate that the mechanism behind this change of cell behavior is exposure to the altered milieu of the OA joint fluid, which will be examined in further studies.","author":[{"dropping-particle":"","family":"Krawetz","given":"Roman J.","non-dropping-particle":"","parse-names":false,"suffix":""},{"dropping-particle":"","family":"Wu","given":"Yiru Elizabeth","non-dropping-particle":"","parse-names":false,"suffix":""},{"dropping-particle":"","family":"Martin","given":"Liam","non-dropping-particle":"","parse-names":false,"suffix":""},{"dropping-particle":"","family":"Rattner","given":"Jerome B.","non-dropping-particle":"","parse-names":false,"suffix":""},{"dropping-particle":"","family":"Matyas","given":"John R.","non-dropping-particle":"","parse-names":false,"suffix":""},{"dropping-particle":"","family":"Hart","given":"David A.","non-dropping-particle":"","parse-names":false,"suffix":""}],"container-title":"PLoS ONE","id":"ITEM-1","issue":"8","issued":{"date-parts":[["2012"]]},"page":"e43616","title":"Synovial fluid progenitors expressing CD90+ from normal but not osteoarthritic joints undergo chondrogenic differentiation without micro-mass culture","type":"article-journal","volume":"7"},"uris":["http://www.mendeley.com/documents/?uuid=498e3de0-9144-3924-823e-4a3070408b47"]}],"mendeley":{"formattedCitation":"&lt;sup&gt;[55]&lt;/sup&gt;","plainTextFormattedCitation":"[55]","previouslyFormattedCitation":"&lt;sup&gt;[55]&lt;/sup&gt;"},"properties":{"noteIndex":0},"schema":"https://github.com/citation-style-language/schema/raw/master/csl-citation.json"}</w:instrText>
      </w:r>
      <w:r w:rsidRPr="00000DD3">
        <w:rPr>
          <w:rFonts w:ascii="Book Antiqua" w:hAnsi="Book Antiqua" w:cstheme="minorHAnsi"/>
        </w:rPr>
        <w:fldChar w:fldCharType="separate"/>
      </w:r>
      <w:r w:rsidR="00BC68DD" w:rsidRPr="00000DD3">
        <w:rPr>
          <w:rFonts w:ascii="Book Antiqua" w:hAnsi="Book Antiqua" w:cstheme="minorHAnsi"/>
          <w:noProof/>
          <w:vertAlign w:val="superscript"/>
        </w:rPr>
        <w:t>[55]</w:t>
      </w:r>
      <w:r w:rsidRPr="00000DD3">
        <w:rPr>
          <w:rFonts w:ascii="Book Antiqua" w:hAnsi="Book Antiqua" w:cstheme="minorHAnsi"/>
        </w:rPr>
        <w:fldChar w:fldCharType="end"/>
      </w:r>
      <w:r w:rsidRPr="00000DD3">
        <w:rPr>
          <w:rFonts w:ascii="Book Antiqua" w:hAnsi="Book Antiqua" w:cstheme="minorHAnsi"/>
        </w:rPr>
        <w:t xml:space="preserve">, indicating the importance of surface epitope expressions. </w:t>
      </w:r>
      <w:r w:rsidR="00A56BFA" w:rsidRPr="00000DD3">
        <w:rPr>
          <w:rFonts w:ascii="Book Antiqua" w:hAnsi="Book Antiqua" w:cstheme="minorHAnsi"/>
        </w:rPr>
        <w:t xml:space="preserve">Therefore, </w:t>
      </w:r>
      <w:r w:rsidRPr="00000DD3">
        <w:rPr>
          <w:rFonts w:ascii="Book Antiqua" w:hAnsi="Book Antiqua" w:cstheme="minorHAnsi"/>
        </w:rPr>
        <w:t xml:space="preserve">the </w:t>
      </w:r>
      <w:r w:rsidR="00A56BFA" w:rsidRPr="00000DD3">
        <w:rPr>
          <w:rFonts w:ascii="Book Antiqua" w:hAnsi="Book Antiqua" w:cstheme="minorHAnsi"/>
        </w:rPr>
        <w:t>initial cell selection may improve</w:t>
      </w:r>
      <w:r w:rsidRPr="00000DD3">
        <w:rPr>
          <w:rFonts w:ascii="Book Antiqua" w:hAnsi="Book Antiqua" w:cstheme="minorHAnsi"/>
        </w:rPr>
        <w:t xml:space="preserve"> the </w:t>
      </w:r>
      <w:r w:rsidR="00A56BFA" w:rsidRPr="00000DD3">
        <w:rPr>
          <w:rFonts w:ascii="Book Antiqua" w:hAnsi="Book Antiqua" w:cstheme="minorHAnsi"/>
        </w:rPr>
        <w:t xml:space="preserve">chondrogenic </w:t>
      </w:r>
      <w:r w:rsidR="00AB6FBE" w:rsidRPr="00000DD3">
        <w:rPr>
          <w:rFonts w:ascii="Book Antiqua" w:hAnsi="Book Antiqua" w:cstheme="minorHAnsi"/>
        </w:rPr>
        <w:t>potential</w:t>
      </w:r>
      <w:r w:rsidR="00A56BFA" w:rsidRPr="00000DD3">
        <w:rPr>
          <w:rFonts w:ascii="Book Antiqua" w:hAnsi="Book Antiqua" w:cstheme="minorHAnsi"/>
        </w:rPr>
        <w:t xml:space="preserve"> of MSCs. </w:t>
      </w:r>
      <w:r w:rsidRPr="00000DD3">
        <w:rPr>
          <w:rFonts w:ascii="Book Antiqua" w:hAnsi="Book Antiqua" w:cstheme="minorHAnsi"/>
        </w:rPr>
        <w:t xml:space="preserve">The </w:t>
      </w:r>
      <w:r w:rsidR="00E0300A" w:rsidRPr="00000DD3">
        <w:rPr>
          <w:rFonts w:ascii="Book Antiqua" w:hAnsi="Book Antiqua" w:cstheme="minorHAnsi"/>
          <w:i/>
        </w:rPr>
        <w:t>in vitro</w:t>
      </w:r>
      <w:r w:rsidR="00E0300A" w:rsidRPr="00000DD3">
        <w:rPr>
          <w:rFonts w:ascii="Book Antiqua" w:hAnsi="Book Antiqua" w:cstheme="minorHAnsi"/>
        </w:rPr>
        <w:t xml:space="preserve"> </w:t>
      </w:r>
      <w:r w:rsidR="00192CA4" w:rsidRPr="00000DD3">
        <w:rPr>
          <w:rFonts w:ascii="Book Antiqua" w:hAnsi="Book Antiqua" w:cstheme="minorHAnsi"/>
        </w:rPr>
        <w:t xml:space="preserve">expansion of </w:t>
      </w:r>
      <w:r w:rsidR="00786F6C" w:rsidRPr="00000DD3">
        <w:rPr>
          <w:rFonts w:ascii="Book Antiqua" w:hAnsi="Book Antiqua" w:cstheme="minorHAnsi"/>
        </w:rPr>
        <w:t xml:space="preserve">human MSCs, </w:t>
      </w:r>
      <w:r w:rsidR="00E331ED" w:rsidRPr="00000DD3">
        <w:rPr>
          <w:rFonts w:ascii="Book Antiqua" w:hAnsi="Book Antiqua" w:cstheme="minorHAnsi"/>
        </w:rPr>
        <w:t>rabbit</w:t>
      </w:r>
      <w:r w:rsidR="003C20E3" w:rsidRPr="00000DD3">
        <w:rPr>
          <w:rFonts w:ascii="Book Antiqua" w:hAnsi="Book Antiqua" w:cstheme="minorHAnsi"/>
        </w:rPr>
        <w:t xml:space="preserve"> </w:t>
      </w:r>
      <w:r w:rsidR="00192CA4" w:rsidRPr="00000DD3">
        <w:rPr>
          <w:rFonts w:ascii="Book Antiqua" w:hAnsi="Book Antiqua" w:cstheme="minorHAnsi"/>
        </w:rPr>
        <w:t>MSCs</w:t>
      </w:r>
      <w:r w:rsidRPr="00000DD3">
        <w:rPr>
          <w:rFonts w:ascii="Book Antiqua" w:hAnsi="Book Antiqua" w:cstheme="minorHAnsi"/>
        </w:rPr>
        <w:t>,</w:t>
      </w:r>
      <w:r w:rsidR="003C20E3" w:rsidRPr="00000DD3">
        <w:rPr>
          <w:rFonts w:ascii="Book Antiqua" w:hAnsi="Book Antiqua" w:cstheme="minorHAnsi"/>
        </w:rPr>
        <w:t xml:space="preserve"> and </w:t>
      </w:r>
      <w:proofErr w:type="spellStart"/>
      <w:r w:rsidR="003C20E3" w:rsidRPr="00000DD3">
        <w:rPr>
          <w:rFonts w:ascii="Book Antiqua" w:hAnsi="Book Antiqua" w:cstheme="minorHAnsi"/>
        </w:rPr>
        <w:t>cMSCs</w:t>
      </w:r>
      <w:proofErr w:type="spellEnd"/>
      <w:r w:rsidRPr="00000DD3">
        <w:rPr>
          <w:rFonts w:ascii="Book Antiqua" w:hAnsi="Book Antiqua" w:cstheme="minorHAnsi"/>
        </w:rPr>
        <w:t xml:space="preserve"> in culture</w:t>
      </w:r>
      <w:r w:rsidR="00192CA4" w:rsidRPr="00000DD3">
        <w:rPr>
          <w:rFonts w:ascii="Book Antiqua" w:hAnsi="Book Antiqua" w:cstheme="minorHAnsi"/>
        </w:rPr>
        <w:t xml:space="preserve"> </w:t>
      </w:r>
      <w:r w:rsidRPr="00000DD3">
        <w:rPr>
          <w:rFonts w:ascii="Book Antiqua" w:hAnsi="Book Antiqua" w:cstheme="minorHAnsi"/>
        </w:rPr>
        <w:t xml:space="preserve">also </w:t>
      </w:r>
      <w:r w:rsidR="00192CA4" w:rsidRPr="00000DD3">
        <w:rPr>
          <w:rFonts w:ascii="Book Antiqua" w:hAnsi="Book Antiqua" w:cstheme="minorHAnsi"/>
        </w:rPr>
        <w:t>impairs chondrogenic differentiation</w:t>
      </w:r>
      <w:r w:rsidR="004C57AD" w:rsidRPr="00000DD3">
        <w:rPr>
          <w:rFonts w:ascii="Book Antiqua" w:hAnsi="Book Antiqua" w:cstheme="minorHAnsi"/>
        </w:rPr>
        <w:t xml:space="preserve"> potential</w:t>
      </w:r>
      <w:r w:rsidR="00B920B8" w:rsidRPr="00000DD3">
        <w:rPr>
          <w:rFonts w:ascii="Book Antiqua" w:hAnsi="Book Antiqua" w:cstheme="minorHAnsi"/>
        </w:rPr>
        <w:fldChar w:fldCharType="begin" w:fldLock="1"/>
      </w:r>
      <w:r w:rsidR="006A3361" w:rsidRPr="00000DD3">
        <w:rPr>
          <w:rFonts w:ascii="Book Antiqua" w:hAnsi="Book Antiqua" w:cstheme="minorHAnsi"/>
        </w:rPr>
        <w:instrText>ADDIN CSL_CITATION {"citationItems":[{"id":"ITEM-1","itemData":{"DOI":"10.3389/fgene.2016.00213","ISSN":"16648021","PMID":"28066501","abstract":"Current cell-based repair strategies have proven unsuccessful for treating cartilage defects and osteoarthritic lesions, consequently advances in innovative therapeutics are required and mesenchymal stem cell-based (MSC) therapies are an expanding area of investigation. MSCs are capable of differentiating into multiple cell lineages and exerting paracrine effects. Due to their easy isolation, expansion and low immunogenicity, MSCs are an attractive option for regenerative medicine for joint repair. Recent studies have identified several MSC tissue reservoirs including in adipose tissue, bone marrow, cartilage, periosteum and muscle. MSCs isolated from these discrete tissue niches exhibit distinct biological activities, and have enhanced regenerative potentials for different tissue types. Each MSC type has advantages and disadvantages for cartilage repair and their use in a clinical setting is a balance between expediency and effectiveness. In this review we explore the challenges associated with cartilage repair and regeneration using MSC-based cell therapies and provide an overview of phenotype, biological activities and functional properties for each MSC population. This paper also specifically explores the therapeutic potential of each type of MSC, particularly focusing on which cells are capable of producing stratified hyaline-like articular cartilage regeneration. Finally we highlight areas for future investigation. Given that patients present with a variety of problems it is unlikely that cartilage regeneration will be a simple ‘one size fits all’, but more likely an array of solutions that need to applied systematically to achieve regeneration of a biomechanically competent repair tissue.","author":[{"dropping-particle":"","family":"Fellows","given":"Christopher R.","non-dropping-particle":"","parse-names":false,"suffix":""},{"dropping-particle":"","family":"Matta","given":"Csaba","non-dropping-particle":"","parse-names":false,"suffix":""},{"dropping-particle":"","family":"Zakany","given":"Roza","non-dropping-particle":"","parse-names":false,"suffix":""},{"dropping-particle":"","family":"Khan","given":"Ilyas M.","non-dropping-particle":"","parse-names":false,"suffix":""},{"dropping-particle":"","family":"Mobasheri","given":"Ali","non-dropping-particle":"","parse-names":false,"suffix":""}],"container-title":"Frontiers in Genetics","id":"ITEM-1","issued":{"date-parts":[["2016"]]},"page":"1-20","title":"Adipose, bone marrow and synovial joint-derived mesenchymal stem cells for cartilage repair","type":"article-journal","volume":"7"},"uris":["http://www.mendeley.com/documents/?uuid=ecfe1d25-c8eb-4c7d-9628-db74b17376f2"]},{"id":"ITEM-2","itemData":{"DOI":"10.1186/s13036-018-0119-2","ISSN":"17541611","PMID":"30479659","author":[{"dropping-particle":"","family":"Shen","given":"Chong","non-dropping-particle":"","parse-names":false,"suffix":""},{"dropping-particle":"","family":"Jiang","given":"Tongmeng","non-dropping-particle":"","parse-names":false,"suffix":""},{"dropping-particle":"","family":"Zhu","given":"Bo","non-dropping-particle":"","parse-names":false,"suffix":""},{"dropping-particle":"","family":"Le","given":"Yiguan","non-dropping-particle":"","parse-names":false,"suffix":""},{"dropping-particle":"","family":"Liu","given":"Jianwei","non-dropping-particle":"","parse-names":false,"suffix":""},{"dropping-particle":"","family":"Qin","given":"Zainen","non-dropping-particle":"","parse-names":false,"suffix":""},{"dropping-particle":"","family":"Chen","given":"Haimin","non-dropping-particle":"","parse-names":false,"suffix":""},{"dropping-particle":"","family":"Zhong","given":"Gang","non-dropping-particle":"","parse-names":false,"suffix":""},{"dropping-particle":"","family":"Zheng","given":"Li","non-dropping-particle":"","parse-names":false,"suffix":""},{"dropping-particle":"","family":"Zhao","given":"Jinmin","non-dropping-particle":"","parse-names":false,"suffix":""},{"dropping-particle":"","family":"Zhang","given":"Xingdong","non-dropping-particle":"","parse-names":false,"suffix":""}],"container-title":"Journal of Biological Engineering","id":"ITEM-2","issue":"1","issued":{"date-parts":[["2018"]]},"publisher":"Journal of Biological Engineering","title":"In vitro culture expansion impairs chondrogenic differentiation and the therapeutic effect of mesenchymal stem cells by regulating the unfolded protein response","type":"article-journal","volume":"12"},"uris":["http://www.mendeley.com/documents/?uuid=b3a8decf-ce97-4b6e-b257-c62dc61c73e7"]},{"id":"ITEM-3","itemData":{"DOI":"10.1038/cddis.2017.215","ISBN":"0167-5699 (Print)","ISSN":"20414889","PMID":"28569773","abstract":"In vitro cultured autologous mesenchymal stem cells (MSCs) within passage 5 have been approved for clinical application in stem cell-based treatment of cartilage defects. However, their chondrogenic potential has not yet been questioned or verified. In this study, the chondrogenic potential of bone marrow MSCs at passage 3 (P3 BMSCs) was investigated both in cartilage repair and in vitro, with freshly isolated bone marrow mononuclear cells (BMMNCs) as controls. The results showed that P3 BMSCs were inferior to BMMNCs not only in their chondrogenic differentiation ability but also as candidates for long-term repair of cartilage defects. Compared with BMMNCs, P3 BMSCs presented a decay in telomerase activity and a change in chromosomal morphology with potential anomalous karyotypes, indicating senescence. In addition, interindividual variability in P3 BMSCs is much higher than in BMMNCs, demonstrating genomic instability. Interestingly, remarkable downregulation in cell cycle, DNA replication and mismatch repair (MMR) pathways as well as in multiple genes associated with telomerase activity and chromosomal stability were found in P3 BMSCs. This result indicates that telomerase and chromosome anomalies might originate from expansion, leading to impaired stemness and pluripotency of stem cells. In vitro culture and expansion are not recommended for cell-based therapy, and fresh BMMNCs are the first choice.","author":[{"dropping-particle":"","family":"Jiang","given":"Tongmeng","non-dropping-particle":"","parse-names":false,"suffix":""},{"dropping-particle":"","family":"Xu","given":"Guojie","non-dropping-particle":"","parse-names":false,"suffix":""},{"dropping-particle":"","family":"Wang","given":"Qiuyan","non-dropping-particle":"","parse-names":false,"suffix":""},{"dropping-particle":"","family":"Yang","given":"Lihui","non-dropping-particle":"","parse-names":false,"suffix":""},{"dropping-particle":"","family":"Zheng","given":"Li","non-dropping-particle":"","parse-names":false,"suffix":""},{"dropping-particle":"","family":"Zhao","given":"Jinmin","non-dropping-particle":"","parse-names":false,"suffix":""},{"dropping-particle":"","family":"Zhang","given":"Xingdong","non-dropping-particle":"","parse-names":false,"suffix":""}],"container-title":"Cell Death and Disease","id":"ITEM-3","issue":"6","issued":{"date-parts":[["2017"]]},"page":"e2851","title":"In vitro expansion impaired the stemness of early passage mesenchymal stem cells for treatment of cartilage defects","type":"article-journal","volume":"8"},"uris":["http://www.mendeley.com/documents/?uuid=ecf1a1c0-2c89-3142-87ff-85f528590be3"]},{"id":"ITEM-4","itemData":{"DOI":"10.1292/jvms.18-0202","ISSN":"13477439","PMID":"30210068","abstract":"© 2018 The Japanese Society of Veterinary Science. Although chondroinductive growth factors are considered necessary for chondrogenesis of bone marrow-derived mesenchymal stem cells (BMSC), independent and spontaneous chondrogenesis has been previously demonstrated in adult horses, bovine calves and adult human BMSC. Surprisingly, adult canine BMSC under similar culture conditions previously failed to demonstrate chondrogenesis. The present study evaluated independent chondrogenic potential of BMSC sourced from three young dogs in the absence of known chondroinductive factors. BMSC were culture expanded in 10% DMEM up to third passage (P3). At each passage, the phenotype of BMSC was evaluated by RT-PCR gel electrophoresis and qPCR. BMSC exhibited a chondrogenic phenotype in the absence of dexamethasone and TGF-β1 as verified by the expression of Sox-9, type II collagen and aggrecan. Sox-9 was significantly downregulated (P&lt;0.05) from P1−P3 compared to P0 while type II and X collagen, and aggrecan were significantly downregulated at P3 compared to P0. There was a significant (P&lt;0.01) negative correlation between passaging and Sox-9, type II collagen and aggrecan gene expression. These results indicate that independent chondrogenic potential and phenotype retention of BMSC decreases in a passage-dependent pattern. Therefore, caution should be exercised for future experiments evaluating the chondrogenic potential of BMSC after extensive expansion cultures in 10% DMEM.","author":[{"dropping-particle":"","family":"Bwalya","given":"E.C.","non-dropping-particle":"","parse-names":false,"suffix":""},{"dropping-particle":"","family":"Wijekoon","given":"H.M.S.","non-dropping-particle":"","parse-names":false,"suffix":""},{"dropping-particle":"","family":"Fang","given":"J.","non-dropping-particle":"","parse-names":false,"suffix":""},{"dropping-particle":"","family":"Kim","given":"S.","non-dropping-particle":"","parse-names":false,"suffix":""},{"dropping-particle":"","family":"Hosoya","given":"K.","non-dropping-particle":"","parse-names":false,"suffix":""},{"dropping-particle":"","family":"Okumura","given":"M.","non-dropping-particle":"","parse-names":false,"suffix":""}],"container-title":"Journal of Veterinary Medical Science","id":"ITEM-4","issue":"11","issued":{"date-parts":[["2018"]]},"page":"1681-1687","title":"Independent chondrogenic potential of canine bone marrow-derived mesenchymal stem cells in monolayer expansion cultures decreases in a passage-dependent pattern","type":"article-journal","volume":"80"},"uris":["http://www.mendeley.com/documents/?uuid=379fa3b7-7bca-44f8-92d3-7bb1cf0cb657"]}],"mendeley":{"formattedCitation":"&lt;sup&gt;[44,81–83]&lt;/sup&gt;","plainTextFormattedCitation":"[44,81–83]","previouslyFormattedCitation":"&lt;sup&gt;[44,81–83]&lt;/sup&gt;"},"properties":{"noteIndex":0},"schema":"https://github.com/citation-style-language/schema/raw/master/csl-citation.json"}</w:instrText>
      </w:r>
      <w:r w:rsidR="00B920B8" w:rsidRPr="00000DD3">
        <w:rPr>
          <w:rFonts w:ascii="Book Antiqua" w:hAnsi="Book Antiqua" w:cstheme="minorHAnsi"/>
        </w:rPr>
        <w:fldChar w:fldCharType="separate"/>
      </w:r>
      <w:r w:rsidR="00B920B8" w:rsidRPr="00000DD3">
        <w:rPr>
          <w:rFonts w:ascii="Book Antiqua" w:hAnsi="Book Antiqua" w:cstheme="minorHAnsi"/>
          <w:noProof/>
          <w:vertAlign w:val="superscript"/>
        </w:rPr>
        <w:t>[44,81–83]</w:t>
      </w:r>
      <w:r w:rsidR="00B920B8" w:rsidRPr="00000DD3">
        <w:rPr>
          <w:rFonts w:ascii="Book Antiqua" w:hAnsi="Book Antiqua" w:cstheme="minorHAnsi"/>
        </w:rPr>
        <w:fldChar w:fldCharType="end"/>
      </w:r>
      <w:r w:rsidR="00192CA4" w:rsidRPr="00000DD3">
        <w:rPr>
          <w:rFonts w:ascii="Book Antiqua" w:hAnsi="Book Antiqua" w:cstheme="minorHAnsi"/>
        </w:rPr>
        <w:t>.</w:t>
      </w:r>
      <w:r w:rsidR="00AB574E" w:rsidRPr="00000DD3">
        <w:rPr>
          <w:rFonts w:ascii="Book Antiqua" w:hAnsi="Book Antiqua" w:cstheme="minorHAnsi"/>
        </w:rPr>
        <w:t xml:space="preserve"> </w:t>
      </w:r>
      <w:r w:rsidR="00E83714" w:rsidRPr="00000DD3">
        <w:rPr>
          <w:rFonts w:ascii="Book Antiqua" w:hAnsi="Book Antiqua" w:cstheme="minorHAnsi"/>
        </w:rPr>
        <w:t xml:space="preserve">Moreover, </w:t>
      </w:r>
      <w:r w:rsidRPr="00000DD3">
        <w:rPr>
          <w:rFonts w:ascii="Book Antiqua" w:hAnsi="Book Antiqua" w:cstheme="minorHAnsi"/>
        </w:rPr>
        <w:t xml:space="preserve">senescence is reportedly more rapid in </w:t>
      </w:r>
      <w:proofErr w:type="spellStart"/>
      <w:r w:rsidR="00E83714" w:rsidRPr="00000DD3">
        <w:rPr>
          <w:rFonts w:ascii="Book Antiqua" w:hAnsi="Book Antiqua" w:cstheme="minorHAnsi"/>
        </w:rPr>
        <w:t>cMSCs</w:t>
      </w:r>
      <w:proofErr w:type="spellEnd"/>
      <w:r w:rsidR="00E83714" w:rsidRPr="00000DD3">
        <w:rPr>
          <w:rFonts w:ascii="Book Antiqua" w:hAnsi="Book Antiqua" w:cstheme="minorHAnsi"/>
        </w:rPr>
        <w:t xml:space="preserve"> </w:t>
      </w:r>
      <w:r w:rsidRPr="00000DD3">
        <w:rPr>
          <w:rFonts w:ascii="Book Antiqua" w:hAnsi="Book Antiqua" w:cstheme="minorHAnsi"/>
        </w:rPr>
        <w:t>than in</w:t>
      </w:r>
      <w:r w:rsidR="00E83714" w:rsidRPr="00000DD3">
        <w:rPr>
          <w:rFonts w:ascii="Book Antiqua" w:hAnsi="Book Antiqua" w:cstheme="minorHAnsi"/>
        </w:rPr>
        <w:t xml:space="preserve"> human MSCs</w:t>
      </w:r>
      <w:r w:rsidR="00D2716A" w:rsidRPr="00000DD3">
        <w:rPr>
          <w:rFonts w:ascii="Book Antiqua" w:hAnsi="Book Antiqua" w:cstheme="minorHAnsi"/>
        </w:rPr>
        <w:t>,</w:t>
      </w:r>
      <w:r w:rsidR="00E83714" w:rsidRPr="00000DD3">
        <w:rPr>
          <w:rFonts w:ascii="Book Antiqua" w:hAnsi="Book Antiqua" w:cstheme="minorHAnsi"/>
        </w:rPr>
        <w:t xml:space="preserve"> particularly after passage</w:t>
      </w:r>
      <w:r w:rsidR="00D2716A" w:rsidRPr="00000DD3">
        <w:rPr>
          <w:rFonts w:ascii="Book Antiqua" w:hAnsi="Book Antiqua" w:cstheme="minorHAnsi"/>
        </w:rPr>
        <w:t xml:space="preserve"> </w:t>
      </w:r>
      <w:r w:rsidR="00E83714" w:rsidRPr="00000DD3">
        <w:rPr>
          <w:rFonts w:ascii="Book Antiqua" w:hAnsi="Book Antiqua" w:cstheme="minorHAnsi"/>
        </w:rPr>
        <w:t>3</w:t>
      </w:r>
      <w:r w:rsidR="00E83714" w:rsidRPr="00000DD3">
        <w:rPr>
          <w:rFonts w:ascii="Book Antiqua" w:hAnsi="Book Antiqua" w:cstheme="minorHAnsi"/>
        </w:rPr>
        <w:fldChar w:fldCharType="begin" w:fldLock="1"/>
      </w:r>
      <w:r w:rsidR="00120D2C" w:rsidRPr="00000DD3">
        <w:rPr>
          <w:rFonts w:ascii="Book Antiqua" w:hAnsi="Book Antiqua" w:cstheme="minorHAnsi"/>
        </w:rPr>
        <w:instrText>ADDIN CSL_CITATION {"citationItems":[{"id":"ITEM-1","itemData":{"DOI":"10.23937/2469-570X/1410005","abstract":"Bone marrow is a major source of mesenchymal stem cells (MSC), which are used in tissue engineering and other autologous stem cell therapies. Studies designed to use large canine models and translate the results to human practice must take into account the ex vivo and in vitro differences in the bone marrow samples. A set of morphological and physiological markers was used to compare MSC derived from canine and human bone marrow. Despite anticlotting treatment, frequent bone marrow clotting was a problem with canine samples, so we developed a protocol for enzymatic digestion of undesirable clots. We compared colony forming units (CFU) assay, population doubling time (PDT), senescenceassociated β-galactosidase (SA-β-Gal) activity, as well as the ability of cells to differentiate to osteogenic, adipogenic and chondrogenic phenotypes. Urokinase digestion resulted in recovery of MSC: 4-fold more CFU from canine and 1.6-fold more from human samples when compared to untreated samples. Canine MSC were less robust in vitro – they divided actively only for four weeks in culture, while human cells divided for longer than eight weeks. After six weeks in culture, canine MSC underwent 17 population doublings of while human cells reached 26. The percentage of senescent cells increased linearly with time, but with a faster rate in canine MSC. Human and canine MSC underwent differentiation to all lineages; however canine MSC had generally lower differentiation potential. In conclusion, the discrepancy between canine and human cultures must be considered in future MSC-based therapies based on dogs as animal model.","author":[{"dropping-particle":"","family":"Bertolo","given":"Alessandro","non-dropping-particle":"","parse-names":false,"suffix":""},{"dropping-particle":"","family":"Schlaefli","given":"P.","non-dropping-particle":"","parse-names":false,"suffix":""},{"dropping-particle":"","family":"Malonzo-Marty","given":"C.","non-dropping-particle":"","parse-names":false,"suffix":""},{"dropping-particle":"","family":"Baur","given":"M.","non-dropping-particle":"","parse-names":false,"suffix":""},{"dropping-particle":"","family":"Pötzel","given":"T.","non-dropping-particle":"","parse-names":false,"suffix":""},{"dropping-particle":"","family":"Steffen","given":"F","non-dropping-particle":"","parse-names":false,"suffix":""},{"dropping-particle":"","family":"Stoyanov","given":"J","non-dropping-particle":"","parse-names":false,"suffix":""}],"container-title":"Int J Stem Cell Res Ther","id":"ITEM-1","issue":"1","issued":{"date-parts":[["2015"]]},"title":"Comparative characterization of canine and human mesenchymal stem cells derived from bone marrow","type":"article-journal","volume":"2"},"uris":["http://www.mendeley.com/documents/?uuid=bbcd9e0e-3ff5-34fb-a009-68c9b5d89a0c"]}],"mendeley":{"formattedCitation":"&lt;sup&gt;[60]&lt;/sup&gt;","plainTextFormattedCitation":"[60]","previouslyFormattedCitation":"&lt;sup&gt;[60]&lt;/sup&gt;"},"properties":{"noteIndex":0},"schema":"https://github.com/citation-style-language/schema/raw/master/csl-citation.json"}</w:instrText>
      </w:r>
      <w:r w:rsidR="00E83714" w:rsidRPr="00000DD3">
        <w:rPr>
          <w:rFonts w:ascii="Book Antiqua" w:hAnsi="Book Antiqua" w:cstheme="minorHAnsi"/>
        </w:rPr>
        <w:fldChar w:fldCharType="separate"/>
      </w:r>
      <w:r w:rsidR="00BC68DD" w:rsidRPr="00000DD3">
        <w:rPr>
          <w:rFonts w:ascii="Book Antiqua" w:hAnsi="Book Antiqua" w:cstheme="minorHAnsi"/>
          <w:noProof/>
          <w:vertAlign w:val="superscript"/>
        </w:rPr>
        <w:t>[60]</w:t>
      </w:r>
      <w:r w:rsidR="00E83714" w:rsidRPr="00000DD3">
        <w:rPr>
          <w:rFonts w:ascii="Book Antiqua" w:hAnsi="Book Antiqua" w:cstheme="minorHAnsi"/>
        </w:rPr>
        <w:fldChar w:fldCharType="end"/>
      </w:r>
      <w:r w:rsidR="00E83714" w:rsidRPr="00000DD3">
        <w:rPr>
          <w:rFonts w:ascii="Book Antiqua" w:hAnsi="Book Antiqua" w:cstheme="minorHAnsi"/>
        </w:rPr>
        <w:t>.</w:t>
      </w:r>
      <w:r w:rsidR="00B43155" w:rsidRPr="00000DD3">
        <w:rPr>
          <w:rFonts w:ascii="Book Antiqua" w:hAnsi="Book Antiqua" w:cstheme="minorHAnsi"/>
        </w:rPr>
        <w:t xml:space="preserve"> </w:t>
      </w:r>
      <w:r w:rsidR="00AB574E" w:rsidRPr="00000DD3">
        <w:rPr>
          <w:rFonts w:ascii="Book Antiqua" w:hAnsi="Book Antiqua" w:cstheme="minorHAnsi"/>
        </w:rPr>
        <w:t xml:space="preserve">Sekiya </w:t>
      </w:r>
      <w:r w:rsidR="00A94D33" w:rsidRPr="00000DD3">
        <w:rPr>
          <w:rFonts w:ascii="Book Antiqua" w:eastAsia="黑体" w:hAnsi="Book Antiqua" w:cstheme="minorHAnsi" w:hint="eastAsia"/>
          <w:i/>
          <w:lang w:eastAsia="zh-CN"/>
        </w:rPr>
        <w:t>et al</w:t>
      </w:r>
      <w:r w:rsidR="00A94D33" w:rsidRPr="00000DD3">
        <w:rPr>
          <w:rFonts w:ascii="Book Antiqua" w:hAnsi="Book Antiqua" w:cstheme="minorHAnsi"/>
        </w:rPr>
        <w:fldChar w:fldCharType="begin" w:fldLock="1"/>
      </w:r>
      <w:r w:rsidR="00A94D33" w:rsidRPr="00000DD3">
        <w:rPr>
          <w:rFonts w:ascii="Book Antiqua" w:hAnsi="Book Antiqua" w:cstheme="minorHAnsi"/>
        </w:rPr>
        <w:instrText>ADDIN CSL_CITATION {"citationItems":[{"id":"ITEM-1","itemData":{"DOI":"10.1006/bbrc.2001.4898","ISBN":"0006-291X","ISSN":"0006291X","PMID":"11394894","abstract":"Marrow stromal cells (MSCs) can differentiate into several mesenchymal lineages. MSCs were recently shown to form cartilage in micromass cultures with serum-free medium containing TGF-β and dexamethasone. Here we found that addition of BMP-6 increased the weight of the pellets about 10-fold and they stained more extensively for proteoglycans. mRNAs for type II procollagen and type X collagen were detected at 1 week and the levels were increased at 3 weeks. We also compared two subpopulation of cultures of MSCs: Small and rapidly self-renewing cells (RS cells) and the large, more mature and slowly replicating cells (mMSCs). The cartilage pellets prepared from cultures enriched for RS cells were about 2.5-fold larger, stained more extensively for proteoglycans, and had levels of mRNA for type II procollagen that were 1.6-fold higher. Also, RS cells retained more of their chondrogenic potential as the cells were passaged. © 2001 Academic Press.","author":[{"dropping-particle":"","family":"Sekiya","given":"Ichiro","non-dropping-particle":"","parse-names":false,"suffix":""},{"dropping-particle":"","family":"Colter","given":"David C.","non-dropping-particle":"","parse-names":false,"suffix":""},{"dropping-particle":"","family":"Prockop","given":"Darwin J.","non-dropping-particle":"","parse-names":false,"suffix":""}],"container-title":"Biochemical and Biophysical Research Communications","id":"ITEM-1","issue":"2","issued":{"date-parts":[["2001"]]},"page":"411-418","title":"BMP-6 enhances chondrogenesis in a subpopulation of human marrow stromal cells","type":"article-journal","volume":"284"},"uris":["http://www.mendeley.com/documents/?uuid=baf882bf-ceb9-3040-8ae3-7032f0e41707"]}],"mendeley":{"formattedCitation":"&lt;sup&gt;[84]&lt;/sup&gt;","plainTextFormattedCitation":"[84]","previouslyFormattedCitation":"&lt;sup&gt;[84]&lt;/sup&gt;"},"properties":{"noteIndex":0},"schema":"https://github.com/citation-style-language/schema/raw/master/csl-citation.json"}</w:instrText>
      </w:r>
      <w:r w:rsidR="00A94D33" w:rsidRPr="00000DD3">
        <w:rPr>
          <w:rFonts w:ascii="Book Antiqua" w:hAnsi="Book Antiqua" w:cstheme="minorHAnsi"/>
        </w:rPr>
        <w:fldChar w:fldCharType="separate"/>
      </w:r>
      <w:r w:rsidR="00A94D33" w:rsidRPr="00000DD3">
        <w:rPr>
          <w:rFonts w:ascii="Book Antiqua" w:hAnsi="Book Antiqua" w:cstheme="minorHAnsi"/>
          <w:noProof/>
          <w:vertAlign w:val="superscript"/>
        </w:rPr>
        <w:t>[84]</w:t>
      </w:r>
      <w:r w:rsidR="00A94D33" w:rsidRPr="00000DD3">
        <w:rPr>
          <w:rFonts w:ascii="Book Antiqua" w:hAnsi="Book Antiqua" w:cstheme="minorHAnsi"/>
        </w:rPr>
        <w:fldChar w:fldCharType="end"/>
      </w:r>
      <w:r w:rsidR="00AB574E" w:rsidRPr="00000DD3">
        <w:rPr>
          <w:rFonts w:ascii="Book Antiqua" w:hAnsi="Book Antiqua" w:cstheme="minorHAnsi"/>
        </w:rPr>
        <w:t xml:space="preserve"> reported that cartilage pellets were larger, </w:t>
      </w:r>
      <w:r w:rsidR="0048621F" w:rsidRPr="00000DD3">
        <w:rPr>
          <w:rFonts w:ascii="Book Antiqua" w:hAnsi="Book Antiqua" w:cstheme="minorHAnsi"/>
        </w:rPr>
        <w:t xml:space="preserve">stained </w:t>
      </w:r>
      <w:r w:rsidR="00AB574E" w:rsidRPr="00000DD3">
        <w:rPr>
          <w:rFonts w:ascii="Book Antiqua" w:hAnsi="Book Antiqua" w:cstheme="minorHAnsi"/>
        </w:rPr>
        <w:t>more extensively for proteoglycans</w:t>
      </w:r>
      <w:r w:rsidR="00F13144" w:rsidRPr="00000DD3">
        <w:rPr>
          <w:rFonts w:ascii="Book Antiqua" w:hAnsi="Book Antiqua" w:cstheme="minorHAnsi"/>
        </w:rPr>
        <w:t>,</w:t>
      </w:r>
      <w:r w:rsidR="00AB574E" w:rsidRPr="00000DD3">
        <w:rPr>
          <w:rFonts w:ascii="Book Antiqua" w:hAnsi="Book Antiqua" w:cstheme="minorHAnsi"/>
        </w:rPr>
        <w:t xml:space="preserve"> and </w:t>
      </w:r>
      <w:r w:rsidR="00F13144" w:rsidRPr="00000DD3">
        <w:rPr>
          <w:rFonts w:ascii="Book Antiqua" w:hAnsi="Book Antiqua" w:cstheme="minorHAnsi"/>
        </w:rPr>
        <w:t xml:space="preserve">expressed </w:t>
      </w:r>
      <w:r w:rsidR="00AB574E" w:rsidRPr="00000DD3">
        <w:rPr>
          <w:rFonts w:ascii="Book Antiqua" w:hAnsi="Book Antiqua" w:cstheme="minorHAnsi"/>
        </w:rPr>
        <w:t>higher levels of mRNA for type II</w:t>
      </w:r>
      <w:r w:rsidR="009D6304" w:rsidRPr="00000DD3">
        <w:rPr>
          <w:rFonts w:ascii="Book Antiqua" w:hAnsi="Book Antiqua" w:cstheme="minorHAnsi"/>
        </w:rPr>
        <w:t xml:space="preserve"> </w:t>
      </w:r>
      <w:r w:rsidR="00AB574E" w:rsidRPr="00000DD3">
        <w:rPr>
          <w:rFonts w:ascii="Book Antiqua" w:hAnsi="Book Antiqua" w:cstheme="minorHAnsi"/>
        </w:rPr>
        <w:t xml:space="preserve">procollagen </w:t>
      </w:r>
      <w:r w:rsidR="00F13144" w:rsidRPr="00000DD3">
        <w:rPr>
          <w:rFonts w:ascii="Book Antiqua" w:hAnsi="Book Antiqua" w:cstheme="minorHAnsi"/>
        </w:rPr>
        <w:t xml:space="preserve">when prepared from cultures enriched for small and rapidly self-renewing cells </w:t>
      </w:r>
      <w:r w:rsidR="00AB574E" w:rsidRPr="00000DD3">
        <w:rPr>
          <w:rFonts w:ascii="Book Antiqua" w:hAnsi="Book Antiqua" w:cstheme="minorHAnsi"/>
        </w:rPr>
        <w:t xml:space="preserve">than </w:t>
      </w:r>
      <w:r w:rsidR="00F13144" w:rsidRPr="00000DD3">
        <w:rPr>
          <w:rFonts w:ascii="Book Antiqua" w:hAnsi="Book Antiqua" w:cstheme="minorHAnsi"/>
        </w:rPr>
        <w:t xml:space="preserve">from cultures containing </w:t>
      </w:r>
      <w:r w:rsidR="00AB574E" w:rsidRPr="00000DD3">
        <w:rPr>
          <w:rFonts w:ascii="Book Antiqua" w:hAnsi="Book Antiqua" w:cstheme="minorHAnsi"/>
        </w:rPr>
        <w:t>more mature and slowly replicating cells.</w:t>
      </w:r>
      <w:r w:rsidR="00501FA9" w:rsidRPr="00000DD3">
        <w:rPr>
          <w:rFonts w:ascii="Book Antiqua" w:hAnsi="Book Antiqua" w:cstheme="minorHAnsi"/>
        </w:rPr>
        <w:t xml:space="preserve"> </w:t>
      </w:r>
      <w:r w:rsidR="00F13144" w:rsidRPr="00000DD3">
        <w:rPr>
          <w:rFonts w:ascii="Book Antiqua" w:hAnsi="Book Antiqua" w:cstheme="minorHAnsi"/>
        </w:rPr>
        <w:t>The</w:t>
      </w:r>
      <w:r w:rsidR="00FC79DC" w:rsidRPr="00000DD3">
        <w:rPr>
          <w:rFonts w:ascii="Book Antiqua" w:hAnsi="Book Antiqua" w:cstheme="minorHAnsi"/>
        </w:rPr>
        <w:t xml:space="preserve"> smaller and </w:t>
      </w:r>
      <w:r w:rsidR="00F13144" w:rsidRPr="00000DD3">
        <w:rPr>
          <w:rFonts w:ascii="Book Antiqua" w:hAnsi="Book Antiqua" w:cstheme="minorHAnsi"/>
        </w:rPr>
        <w:t xml:space="preserve">more </w:t>
      </w:r>
      <w:r w:rsidR="00FC79DC" w:rsidRPr="00000DD3">
        <w:rPr>
          <w:rFonts w:ascii="Book Antiqua" w:hAnsi="Book Antiqua" w:cstheme="minorHAnsi"/>
        </w:rPr>
        <w:t>rapidly proliferating cells</w:t>
      </w:r>
      <w:r w:rsidR="00F13144" w:rsidRPr="00000DD3">
        <w:rPr>
          <w:rFonts w:ascii="Book Antiqua" w:hAnsi="Book Antiqua" w:cstheme="minorHAnsi"/>
        </w:rPr>
        <w:t xml:space="preserve"> can be produced using</w:t>
      </w:r>
      <w:r w:rsidR="00B134E2" w:rsidRPr="00000DD3">
        <w:rPr>
          <w:rFonts w:ascii="Book Antiqua" w:hAnsi="Book Antiqua" w:cstheme="minorHAnsi"/>
        </w:rPr>
        <w:t xml:space="preserve"> </w:t>
      </w:r>
      <w:r w:rsidR="00FC79DC" w:rsidRPr="00000DD3">
        <w:rPr>
          <w:rFonts w:ascii="Book Antiqua" w:hAnsi="Book Antiqua" w:cstheme="minorHAnsi"/>
        </w:rPr>
        <w:t>FGF-2</w:t>
      </w:r>
      <w:r w:rsidR="00B134E2" w:rsidRPr="00000DD3">
        <w:rPr>
          <w:rFonts w:ascii="Book Antiqua" w:hAnsi="Book Antiqua" w:cstheme="minorHAnsi"/>
        </w:rPr>
        <w:t xml:space="preserve"> </w:t>
      </w:r>
      <w:r w:rsidR="00FC79DC" w:rsidRPr="00000DD3">
        <w:rPr>
          <w:rFonts w:ascii="Book Antiqua" w:hAnsi="Book Antiqua" w:cstheme="minorHAnsi"/>
        </w:rPr>
        <w:t xml:space="preserve">during monolayer culture of </w:t>
      </w:r>
      <w:proofErr w:type="spellStart"/>
      <w:r w:rsidR="00FC79DC" w:rsidRPr="00000DD3">
        <w:rPr>
          <w:rFonts w:ascii="Book Antiqua" w:hAnsi="Book Antiqua" w:cstheme="minorHAnsi"/>
        </w:rPr>
        <w:t>cMSCs</w:t>
      </w:r>
      <w:proofErr w:type="spellEnd"/>
      <w:r w:rsidR="00FC79DC"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10.1089/ten.TEA.2018.0177","ISSN":"1937-3341","PMID":"30319056","author":[{"dropping-particle":"","family":"Endo","given":"Kentaro","non-dropping-particle":"","parse-names":false,"suffix":""},{"dropping-particle":"","family":"Fujita","given":"Naoki","non-dropping-particle":"","parse-names":false,"suffix":""},{"dropping-particle":"","family":"Nakagawa","given":"Takayuki","non-dropping-particle":"","parse-names":false,"suffix":""},{"dropping-particle":"","family":"Nishimura","given":"Ryohei","non-dropping-particle":"","parse-names":false,"suffix":""}],"container-title":"Tissue Engineering Part A","id":"ITEM-1","issued":{"date-parts":[["2018"]]},"title":"Effect of fibroblast growth factor-2 and serum on canine mesenchymal stem cell chondrogenesis","type":"article-journal"},"uris":["http://www.mendeley.com/documents/?uuid=771186d2-4d19-3b62-9ba8-ad6ff3070ea6"]}],"mendeley":{"formattedCitation":"&lt;sup&gt;[61]&lt;/sup&gt;","plainTextFormattedCitation":"[61]","previouslyFormattedCitation":"&lt;sup&gt;[61]&lt;/sup&gt;"},"properties":{"noteIndex":0},"schema":"https://github.com/citation-style-language/schema/raw/master/csl-citation.json"}</w:instrText>
      </w:r>
      <w:r w:rsidR="00FC79DC" w:rsidRPr="00000DD3">
        <w:rPr>
          <w:rFonts w:ascii="Book Antiqua" w:hAnsi="Book Antiqua" w:cstheme="minorHAnsi"/>
        </w:rPr>
        <w:fldChar w:fldCharType="separate"/>
      </w:r>
      <w:r w:rsidR="00BC68DD" w:rsidRPr="00000DD3">
        <w:rPr>
          <w:rFonts w:ascii="Book Antiqua" w:hAnsi="Book Antiqua" w:cstheme="minorHAnsi"/>
          <w:noProof/>
          <w:vertAlign w:val="superscript"/>
        </w:rPr>
        <w:t>[61]</w:t>
      </w:r>
      <w:r w:rsidR="00FC79DC" w:rsidRPr="00000DD3">
        <w:rPr>
          <w:rFonts w:ascii="Book Antiqua" w:hAnsi="Book Antiqua" w:cstheme="minorHAnsi"/>
        </w:rPr>
        <w:fldChar w:fldCharType="end"/>
      </w:r>
      <w:r w:rsidR="00FC79DC" w:rsidRPr="00000DD3">
        <w:rPr>
          <w:rFonts w:ascii="Book Antiqua" w:hAnsi="Book Antiqua" w:cstheme="minorHAnsi"/>
        </w:rPr>
        <w:t>.</w:t>
      </w:r>
      <w:r w:rsidR="00307CD6" w:rsidRPr="00000DD3">
        <w:rPr>
          <w:rFonts w:ascii="Book Antiqua" w:hAnsi="Book Antiqua" w:cstheme="minorHAnsi"/>
        </w:rPr>
        <w:t xml:space="preserve"> F</w:t>
      </w:r>
      <w:r w:rsidR="00FC79DC" w:rsidRPr="00000DD3">
        <w:rPr>
          <w:rFonts w:ascii="Book Antiqua" w:hAnsi="Book Antiqua" w:cstheme="minorHAnsi"/>
        </w:rPr>
        <w:t>GF-2 preconditioning</w:t>
      </w:r>
      <w:r w:rsidR="003258B5" w:rsidRPr="00000DD3">
        <w:rPr>
          <w:rFonts w:ascii="Book Antiqua" w:hAnsi="Book Antiqua" w:cstheme="minorHAnsi"/>
        </w:rPr>
        <w:t xml:space="preserve"> </w:t>
      </w:r>
      <w:r w:rsidR="00F13144" w:rsidRPr="00000DD3">
        <w:rPr>
          <w:rFonts w:ascii="Book Antiqua" w:hAnsi="Book Antiqua" w:cstheme="minorHAnsi"/>
        </w:rPr>
        <w:t xml:space="preserve">of </w:t>
      </w:r>
      <w:proofErr w:type="spellStart"/>
      <w:r w:rsidR="003258B5" w:rsidRPr="00000DD3">
        <w:rPr>
          <w:rFonts w:ascii="Book Antiqua" w:hAnsi="Book Antiqua" w:cstheme="minorHAnsi"/>
        </w:rPr>
        <w:t>cMSCs</w:t>
      </w:r>
      <w:proofErr w:type="spellEnd"/>
      <w:r w:rsidR="00FC79DC" w:rsidRPr="00000DD3">
        <w:rPr>
          <w:rFonts w:ascii="Book Antiqua" w:hAnsi="Book Antiqua" w:cstheme="minorHAnsi"/>
        </w:rPr>
        <w:t xml:space="preserve"> also improved </w:t>
      </w:r>
      <w:r w:rsidR="00F13144" w:rsidRPr="00000DD3">
        <w:rPr>
          <w:rFonts w:ascii="Book Antiqua" w:hAnsi="Book Antiqua" w:cstheme="minorHAnsi"/>
        </w:rPr>
        <w:t xml:space="preserve">their </w:t>
      </w:r>
      <w:r w:rsidR="00FC79DC" w:rsidRPr="00000DD3">
        <w:rPr>
          <w:rFonts w:ascii="Book Antiqua" w:hAnsi="Book Antiqua" w:cstheme="minorHAnsi"/>
        </w:rPr>
        <w:t>chondrogenic differentiation potential</w:t>
      </w:r>
      <w:r w:rsidR="00F13144" w:rsidRPr="00000DD3">
        <w:rPr>
          <w:rFonts w:ascii="Book Antiqua" w:hAnsi="Book Antiqua" w:cstheme="minorHAnsi"/>
        </w:rPr>
        <w:fldChar w:fldCharType="begin" w:fldLock="1"/>
      </w:r>
      <w:r w:rsidR="00073C18" w:rsidRPr="00000DD3">
        <w:rPr>
          <w:rFonts w:ascii="Book Antiqua" w:hAnsi="Book Antiqua" w:cstheme="minorHAnsi"/>
        </w:rPr>
        <w:instrText>ADDIN CSL_CITATION {"citationItems":[{"id":"ITEM-1","itemData":{"DOI":"10.1089/ten.TEA.2018.0177","ISSN":"1937-3341","PMID":"30319056","author":[{"dropping-particle":"","family":"Endo","given":"Kentaro","non-dropping-particle":"","parse-names":false,"suffix":""},{"dropping-particle":"","family":"Fujita","given":"Naoki","non-dropping-particle":"","parse-names":false,"suffix":""},{"dropping-particle":"","family":"Nakagawa","given":"Takayuki","non-dropping-particle":"","parse-names":false,"suffix":""},{"dropping-particle":"","family":"Nishimura","given":"Ryohei","non-dropping-particle":"","parse-names":false,"suffix":""}],"container-title":"Tissue Engineering Part A","id":"ITEM-1","issued":{"date-parts":[["2018"]]},"title":"Effect of fibroblast growth factor-2 and serum on canine mesenchymal stem cell chondrogenesis","type":"article-journal"},"uris":["http://www.mendeley.com/documents/?uuid=771186d2-4d19-3b62-9ba8-ad6ff3070ea6"]}],"mendeley":{"formattedCitation":"&lt;sup&gt;[61]&lt;/sup&gt;","plainTextFormattedCitation":"[61]","previouslyFormattedCitation":"&lt;sup&gt;[61]&lt;/sup&gt;"},"properties":{"noteIndex":0},"schema":"https://github.com/citation-style-language/schema/raw/master/csl-citation.json"}</w:instrText>
      </w:r>
      <w:r w:rsidR="00F13144" w:rsidRPr="00000DD3">
        <w:rPr>
          <w:rFonts w:ascii="Book Antiqua" w:hAnsi="Book Antiqua" w:cstheme="minorHAnsi"/>
        </w:rPr>
        <w:fldChar w:fldCharType="separate"/>
      </w:r>
      <w:r w:rsidR="00BC68DD" w:rsidRPr="00000DD3">
        <w:rPr>
          <w:rFonts w:ascii="Book Antiqua" w:hAnsi="Book Antiqua" w:cstheme="minorHAnsi"/>
          <w:noProof/>
          <w:vertAlign w:val="superscript"/>
        </w:rPr>
        <w:t>[61]</w:t>
      </w:r>
      <w:r w:rsidR="00F13144" w:rsidRPr="00000DD3">
        <w:rPr>
          <w:rFonts w:ascii="Book Antiqua" w:hAnsi="Book Antiqua" w:cstheme="minorHAnsi"/>
        </w:rPr>
        <w:fldChar w:fldCharType="end"/>
      </w:r>
      <w:r w:rsidR="00F13144" w:rsidRPr="00000DD3">
        <w:rPr>
          <w:rFonts w:ascii="Book Antiqua" w:hAnsi="Book Antiqua" w:cstheme="minorHAnsi"/>
        </w:rPr>
        <w:t xml:space="preserve"> in a similar fashion to that observed for</w:t>
      </w:r>
      <w:r w:rsidR="003258B5" w:rsidRPr="00000DD3">
        <w:rPr>
          <w:rFonts w:ascii="Book Antiqua" w:hAnsi="Book Antiqua" w:cstheme="minorHAnsi"/>
        </w:rPr>
        <w:t xml:space="preserve"> human MSCs</w:t>
      </w:r>
      <w:r w:rsidR="003258B5" w:rsidRPr="00000DD3">
        <w:rPr>
          <w:rFonts w:ascii="Book Antiqua" w:hAnsi="Book Antiqua" w:cstheme="minorHAnsi"/>
        </w:rPr>
        <w:fldChar w:fldCharType="begin" w:fldLock="1"/>
      </w:r>
      <w:r w:rsidR="0048647D" w:rsidRPr="00000DD3">
        <w:rPr>
          <w:rFonts w:ascii="Book Antiqua" w:hAnsi="Book Antiqua" w:cstheme="minorHAnsi"/>
        </w:rPr>
        <w:instrText>ADDIN CSL_CITATION {"citationItems":[{"id":"ITEM-1","itemData":{"DOI":"10.1089/ten.TEA.2009.0100","ISBN":"1937-335X (Electronic)\\r1937-3341 (Linking)","ISSN":"1937-335X","PMID":"19842915","abstract":"We compared human mesenchymal stem cells (hMSCs), expanded long term with and without fibroblast growth factor (FGF) supplementation, with respect to proliferation, and the ability to undergo chondrogenesis in vitro. hMSCs expanded in FGF-supplemented medium proliferated more rapidly than the control cells. Aggregates of FGF-treated cells exhibited chondrogenic differentiation at all passages tested although, in some preparations, differentiation was diminished after seventh passage. Aggregates made with control cells differentiated along the chondrogenic lineage after first passage but exhibited only marginal differentiation after fourth and failed to form cartilage after seventh passage. Microarray analysis of gene expression identified 334 transcripts differentially expressed in fourth passage control cells that had reduced chondrogenic potential, compared with the fourth passage FGF-treated cells that retained this capacity, and 243 transcripts that were differentially expressed when comparing them to the first passage control cells that were also capable of differentiating into chondrocytes. The intersection of these analyses yielded 49 transcripts differentially expressed in cells that exhibited chondrogenic differentiation in vitro compared with the cells that did not. Among these, angiopoietin 1, secreted frizzled-related protein 1, and six transmembrane epithelial antigen of the prostate 1 appear to be of higher relevance. These preliminary data must now be validated to verify whether different gene expression profiles translate into functional differences. In summary, these findings suggest that the chondrogenic potential of hMSCs is vulnerable to cell expansion and that care should be exercised when expanding these cells for cartilage tissue engineering applications. Supplementation with FGF-2 allows reaching target cell numbers more rapidly and extends the level of expansion within which these cells are useful for tissue-engineered cartilage repair.","author":[{"dropping-particle":"","family":"Solchaga","given":"Luis A","non-dropping-particle":"","parse-names":false,"suffix":""},{"dropping-particle":"","family":"Penick","given":"Kitsie","non-dropping-particle":"","parse-names":false,"suffix":""},{"dropping-particle":"","family":"Goldberg","given":"Victor M","non-dropping-particle":"","parse-names":false,"suffix":""},{"dropping-particle":"","family":"Caplan","given":"Arnold I","non-dropping-particle":"","parse-names":false,"suffix":""},{"dropping-particle":"","family":"Welter","given":"Jean F","non-dropping-particle":"","parse-names":false,"suffix":""}],"container-title":"Tissue engineering. Part A","id":"ITEM-1","issue":"3","issued":{"date-parts":[["2010"]]},"page":"1009-19","title":"Fibroblast growth factor-2 enhances proliferation and delays loss of chondrogenic potential in human adult bone-marrow-derived mesenchymal stem cells.","type":"article-journal","volume":"16"},"uris":["http://www.mendeley.com/documents/?uuid=478dbd78-a216-46ea-9ee0-e34bcc61934b"]}],"mendeley":{"formattedCitation":"&lt;sup&gt;[85]&lt;/sup&gt;","plainTextFormattedCitation":"[85]","previouslyFormattedCitation":"&lt;sup&gt;[85]&lt;/sup&gt;"},"properties":{"noteIndex":0},"schema":"https://github.com/citation-style-language/schema/raw/master/csl-citation.json"}</w:instrText>
      </w:r>
      <w:r w:rsidR="003258B5" w:rsidRPr="00000DD3">
        <w:rPr>
          <w:rFonts w:ascii="Book Antiqua" w:hAnsi="Book Antiqua" w:cstheme="minorHAnsi"/>
        </w:rPr>
        <w:fldChar w:fldCharType="separate"/>
      </w:r>
      <w:r w:rsidR="00B920B8" w:rsidRPr="00000DD3">
        <w:rPr>
          <w:rFonts w:ascii="Book Antiqua" w:hAnsi="Book Antiqua" w:cstheme="minorHAnsi"/>
          <w:noProof/>
          <w:vertAlign w:val="superscript"/>
        </w:rPr>
        <w:t>[85]</w:t>
      </w:r>
      <w:r w:rsidR="003258B5" w:rsidRPr="00000DD3">
        <w:rPr>
          <w:rFonts w:ascii="Book Antiqua" w:hAnsi="Book Antiqua" w:cstheme="minorHAnsi"/>
        </w:rPr>
        <w:fldChar w:fldCharType="end"/>
      </w:r>
      <w:r w:rsidR="00FC79DC" w:rsidRPr="00000DD3">
        <w:rPr>
          <w:rFonts w:ascii="Book Antiqua" w:hAnsi="Book Antiqua" w:cstheme="minorHAnsi"/>
        </w:rPr>
        <w:t xml:space="preserve">. </w:t>
      </w:r>
      <w:r w:rsidR="00AB574E" w:rsidRPr="00000DD3">
        <w:rPr>
          <w:rFonts w:ascii="Book Antiqua" w:hAnsi="Book Antiqua" w:cstheme="minorHAnsi"/>
        </w:rPr>
        <w:t>T</w:t>
      </w:r>
      <w:r w:rsidR="00755091" w:rsidRPr="00000DD3">
        <w:rPr>
          <w:rFonts w:ascii="Book Antiqua" w:hAnsi="Book Antiqua" w:cstheme="minorHAnsi"/>
        </w:rPr>
        <w:t>herefore</w:t>
      </w:r>
      <w:r w:rsidR="00DD199E" w:rsidRPr="00000DD3">
        <w:rPr>
          <w:rFonts w:ascii="Book Antiqua" w:hAnsi="Book Antiqua" w:cstheme="minorHAnsi"/>
        </w:rPr>
        <w:t xml:space="preserve">, it is </w:t>
      </w:r>
      <w:r w:rsidR="00F13144" w:rsidRPr="00000DD3">
        <w:rPr>
          <w:rFonts w:ascii="Book Antiqua" w:hAnsi="Book Antiqua" w:cstheme="minorHAnsi"/>
        </w:rPr>
        <w:t xml:space="preserve">worthwhile </w:t>
      </w:r>
      <w:r w:rsidR="00DD199E" w:rsidRPr="00000DD3">
        <w:rPr>
          <w:rFonts w:ascii="Book Antiqua" w:hAnsi="Book Antiqua" w:cstheme="minorHAnsi"/>
        </w:rPr>
        <w:t xml:space="preserve">to consider the use of FGF-2 preconditioning for </w:t>
      </w:r>
      <w:proofErr w:type="spellStart"/>
      <w:r w:rsidR="00DD199E" w:rsidRPr="00000DD3">
        <w:rPr>
          <w:rFonts w:ascii="Book Antiqua" w:hAnsi="Book Antiqua" w:cstheme="minorHAnsi"/>
        </w:rPr>
        <w:t>cMSC</w:t>
      </w:r>
      <w:proofErr w:type="spellEnd"/>
      <w:r w:rsidR="00DD199E" w:rsidRPr="00000DD3">
        <w:rPr>
          <w:rFonts w:ascii="Book Antiqua" w:hAnsi="Book Antiqua" w:cstheme="minorHAnsi"/>
        </w:rPr>
        <w:t xml:space="preserve"> expansion</w:t>
      </w:r>
      <w:r w:rsidR="009D6304" w:rsidRPr="00000DD3">
        <w:rPr>
          <w:rFonts w:ascii="Book Antiqua" w:hAnsi="Book Antiqua" w:cstheme="minorHAnsi"/>
        </w:rPr>
        <w:t>,</w:t>
      </w:r>
      <w:r w:rsidR="00DD199E" w:rsidRPr="00000DD3">
        <w:rPr>
          <w:rFonts w:ascii="Book Antiqua" w:hAnsi="Book Antiqua" w:cstheme="minorHAnsi"/>
        </w:rPr>
        <w:t xml:space="preserve"> </w:t>
      </w:r>
      <w:r w:rsidR="00F13144" w:rsidRPr="00000DD3">
        <w:rPr>
          <w:rFonts w:ascii="Book Antiqua" w:hAnsi="Book Antiqua" w:cstheme="minorHAnsi"/>
        </w:rPr>
        <w:t>as well as the</w:t>
      </w:r>
      <w:r w:rsidR="00065299" w:rsidRPr="00000DD3">
        <w:rPr>
          <w:rFonts w:ascii="Book Antiqua" w:hAnsi="Book Antiqua" w:cstheme="minorHAnsi"/>
        </w:rPr>
        <w:t xml:space="preserve"> use of </w:t>
      </w:r>
      <w:proofErr w:type="spellStart"/>
      <w:r w:rsidR="00755091" w:rsidRPr="00000DD3">
        <w:rPr>
          <w:rFonts w:ascii="Book Antiqua" w:hAnsi="Book Antiqua" w:cstheme="minorHAnsi"/>
        </w:rPr>
        <w:t>cMSCs</w:t>
      </w:r>
      <w:proofErr w:type="spellEnd"/>
      <w:r w:rsidR="00755091" w:rsidRPr="00000DD3">
        <w:rPr>
          <w:rFonts w:ascii="Book Antiqua" w:hAnsi="Book Antiqua" w:cstheme="minorHAnsi"/>
        </w:rPr>
        <w:t xml:space="preserve"> </w:t>
      </w:r>
      <w:r w:rsidR="00F13144" w:rsidRPr="00000DD3">
        <w:rPr>
          <w:rFonts w:ascii="Book Antiqua" w:hAnsi="Book Antiqua" w:cstheme="minorHAnsi"/>
        </w:rPr>
        <w:t xml:space="preserve">at </w:t>
      </w:r>
      <w:r w:rsidR="00870BC1" w:rsidRPr="00000DD3">
        <w:rPr>
          <w:rFonts w:ascii="Book Antiqua" w:hAnsi="Book Antiqua" w:cstheme="minorHAnsi"/>
        </w:rPr>
        <w:t>early passage</w:t>
      </w:r>
      <w:r w:rsidR="00F13144" w:rsidRPr="00000DD3">
        <w:rPr>
          <w:rFonts w:ascii="Book Antiqua" w:hAnsi="Book Antiqua" w:cstheme="minorHAnsi"/>
        </w:rPr>
        <w:t>s,</w:t>
      </w:r>
      <w:r w:rsidR="00902979" w:rsidRPr="00000DD3">
        <w:rPr>
          <w:rFonts w:ascii="Book Antiqua" w:hAnsi="Book Antiqua" w:cstheme="minorHAnsi"/>
        </w:rPr>
        <w:t xml:space="preserve"> for cartilage</w:t>
      </w:r>
      <w:r w:rsidR="00F02562" w:rsidRPr="00000DD3">
        <w:rPr>
          <w:rFonts w:ascii="Book Antiqua" w:hAnsi="Book Antiqua" w:cstheme="minorHAnsi"/>
        </w:rPr>
        <w:t xml:space="preserve"> regenerative therapy</w:t>
      </w:r>
      <w:r w:rsidR="00DD199E" w:rsidRPr="00000DD3">
        <w:rPr>
          <w:rFonts w:ascii="Book Antiqua" w:hAnsi="Book Antiqua" w:cstheme="minorHAnsi"/>
        </w:rPr>
        <w:t>.</w:t>
      </w:r>
    </w:p>
    <w:p w14:paraId="09B1E598" w14:textId="77777777" w:rsidR="00120DB6" w:rsidRPr="00000DD3" w:rsidRDefault="00120DB6" w:rsidP="00874B98">
      <w:pPr>
        <w:spacing w:line="360" w:lineRule="auto"/>
        <w:jc w:val="both"/>
        <w:rPr>
          <w:rFonts w:ascii="Book Antiqua" w:hAnsi="Book Antiqua" w:cstheme="minorHAnsi"/>
          <w:b/>
        </w:rPr>
      </w:pPr>
    </w:p>
    <w:p w14:paraId="6AECCC3D" w14:textId="4F8F7F48" w:rsidR="00C71FAD" w:rsidRPr="00000DD3" w:rsidRDefault="009E6380" w:rsidP="009E6380">
      <w:pPr>
        <w:pStyle w:val="aa"/>
        <w:spacing w:line="360" w:lineRule="auto"/>
        <w:ind w:leftChars="0" w:left="0"/>
        <w:jc w:val="both"/>
        <w:rPr>
          <w:rFonts w:ascii="Book Antiqua" w:hAnsi="Book Antiqua" w:cstheme="minorHAnsi"/>
          <w:b/>
        </w:rPr>
      </w:pPr>
      <w:r w:rsidRPr="00000DD3">
        <w:rPr>
          <w:rFonts w:ascii="Book Antiqua" w:hAnsi="Book Antiqua" w:cstheme="minorHAnsi"/>
          <w:b/>
          <w:i/>
        </w:rPr>
        <w:t>IN VIVO</w:t>
      </w:r>
      <w:r w:rsidRPr="00000DD3">
        <w:rPr>
          <w:rFonts w:ascii="Book Antiqua" w:hAnsi="Book Antiqua" w:cstheme="minorHAnsi"/>
          <w:b/>
        </w:rPr>
        <w:t xml:space="preserve"> STUDY OF CARTILAGE REGENERATION WITH </w:t>
      </w:r>
      <w:proofErr w:type="spellStart"/>
      <w:r w:rsidR="0097379E" w:rsidRPr="00000DD3">
        <w:rPr>
          <w:rFonts w:ascii="Book Antiqua" w:hAnsi="Book Antiqua" w:cstheme="minorHAnsi"/>
          <w:b/>
        </w:rPr>
        <w:t>c</w:t>
      </w:r>
      <w:r w:rsidRPr="00000DD3">
        <w:rPr>
          <w:rFonts w:ascii="Book Antiqua" w:hAnsi="Book Antiqua" w:cstheme="minorHAnsi"/>
          <w:b/>
        </w:rPr>
        <w:t>MSC</w:t>
      </w:r>
      <w:r w:rsidR="0097379E" w:rsidRPr="00000DD3">
        <w:rPr>
          <w:rFonts w:ascii="Book Antiqua" w:hAnsi="Book Antiqua" w:cstheme="minorHAnsi"/>
          <w:b/>
        </w:rPr>
        <w:t>s</w:t>
      </w:r>
      <w:proofErr w:type="spellEnd"/>
    </w:p>
    <w:p w14:paraId="176F980E" w14:textId="1904B068" w:rsidR="009B5A43" w:rsidRPr="00000DD3" w:rsidRDefault="00966943" w:rsidP="00874B98">
      <w:pPr>
        <w:spacing w:line="360" w:lineRule="auto"/>
        <w:jc w:val="both"/>
        <w:rPr>
          <w:rFonts w:ascii="Book Antiqua" w:hAnsi="Book Antiqua" w:cstheme="minorHAnsi"/>
        </w:rPr>
      </w:pPr>
      <w:r w:rsidRPr="00000DD3">
        <w:rPr>
          <w:rFonts w:ascii="Book Antiqua" w:hAnsi="Book Antiqua" w:cstheme="minorHAnsi"/>
        </w:rPr>
        <w:t xml:space="preserve">While </w:t>
      </w:r>
      <w:r w:rsidRPr="00000DD3">
        <w:rPr>
          <w:rFonts w:ascii="Book Antiqua" w:hAnsi="Book Antiqua" w:cstheme="minorHAnsi"/>
          <w:i/>
        </w:rPr>
        <w:t>in vitro</w:t>
      </w:r>
      <w:r w:rsidRPr="00000DD3">
        <w:rPr>
          <w:rFonts w:ascii="Book Antiqua" w:hAnsi="Book Antiqua" w:cstheme="minorHAnsi"/>
        </w:rPr>
        <w:t xml:space="preserve"> studies provide a substantial amount of information about the potential of MSCs for cartilage repair,</w:t>
      </w:r>
      <w:r w:rsidR="00951129" w:rsidRPr="00000DD3">
        <w:rPr>
          <w:rFonts w:ascii="Book Antiqua" w:hAnsi="Book Antiqua" w:cstheme="minorHAnsi"/>
        </w:rPr>
        <w:t xml:space="preserve"> evaluation of the</w:t>
      </w:r>
      <w:r w:rsidRPr="00000DD3">
        <w:rPr>
          <w:rFonts w:ascii="Book Antiqua" w:hAnsi="Book Antiqua" w:cstheme="minorHAnsi"/>
          <w:i/>
        </w:rPr>
        <w:t xml:space="preserve"> in vivo</w:t>
      </w:r>
      <w:r w:rsidRPr="00000DD3">
        <w:rPr>
          <w:rFonts w:ascii="Book Antiqua" w:hAnsi="Book Antiqua" w:cstheme="minorHAnsi"/>
        </w:rPr>
        <w:t xml:space="preserve"> behavior and function</w:t>
      </w:r>
      <w:r w:rsidR="009D6304" w:rsidRPr="00000DD3">
        <w:rPr>
          <w:rFonts w:ascii="Book Antiqua" w:hAnsi="Book Antiqua" w:cstheme="minorHAnsi"/>
        </w:rPr>
        <w:t xml:space="preserve"> of the</w:t>
      </w:r>
      <w:r w:rsidR="00951129" w:rsidRPr="00000DD3">
        <w:rPr>
          <w:rFonts w:ascii="Book Antiqua" w:hAnsi="Book Antiqua" w:cstheme="minorHAnsi"/>
        </w:rPr>
        <w:t>se</w:t>
      </w:r>
      <w:r w:rsidR="009D6304" w:rsidRPr="00000DD3">
        <w:rPr>
          <w:rFonts w:ascii="Book Antiqua" w:hAnsi="Book Antiqua" w:cstheme="minorHAnsi"/>
        </w:rPr>
        <w:t xml:space="preserve"> cells</w:t>
      </w:r>
      <w:r w:rsidR="006777FF" w:rsidRPr="00000DD3">
        <w:rPr>
          <w:rFonts w:ascii="Book Antiqua" w:hAnsi="Book Antiqua" w:cstheme="minorHAnsi"/>
        </w:rPr>
        <w:t xml:space="preserve"> </w:t>
      </w:r>
      <w:r w:rsidR="00951129" w:rsidRPr="00000DD3">
        <w:rPr>
          <w:rFonts w:ascii="Book Antiqua" w:hAnsi="Book Antiqua" w:cstheme="minorHAnsi"/>
        </w:rPr>
        <w:t>is also required</w:t>
      </w:r>
      <w:r w:rsidRPr="00000DD3">
        <w:rPr>
          <w:rFonts w:ascii="Book Antiqua" w:hAnsi="Book Antiqua" w:cstheme="minorHAnsi"/>
        </w:rPr>
        <w:t>.</w:t>
      </w:r>
      <w:r w:rsidR="009C26B7" w:rsidRPr="00000DD3">
        <w:rPr>
          <w:rFonts w:ascii="Book Antiqua" w:hAnsi="Book Antiqua" w:cstheme="minorHAnsi"/>
        </w:rPr>
        <w:t xml:space="preserve"> </w:t>
      </w:r>
      <w:r w:rsidR="00A363A8" w:rsidRPr="00000DD3">
        <w:rPr>
          <w:rFonts w:ascii="Book Antiqua" w:hAnsi="Book Antiqua" w:cstheme="minorHAnsi"/>
          <w:i/>
        </w:rPr>
        <w:t>In vivo</w:t>
      </w:r>
      <w:r w:rsidR="00A363A8" w:rsidRPr="00000DD3">
        <w:rPr>
          <w:rFonts w:ascii="Book Antiqua" w:hAnsi="Book Antiqua" w:cstheme="minorHAnsi"/>
        </w:rPr>
        <w:t xml:space="preserve"> studies of </w:t>
      </w:r>
      <w:proofErr w:type="spellStart"/>
      <w:r w:rsidR="00A363A8" w:rsidRPr="00000DD3">
        <w:rPr>
          <w:rFonts w:ascii="Book Antiqua" w:hAnsi="Book Antiqua" w:cstheme="minorHAnsi"/>
        </w:rPr>
        <w:t>cMSCs</w:t>
      </w:r>
      <w:proofErr w:type="spellEnd"/>
      <w:r w:rsidR="00A363A8" w:rsidRPr="00000DD3">
        <w:rPr>
          <w:rFonts w:ascii="Book Antiqua" w:hAnsi="Book Antiqua" w:cstheme="minorHAnsi"/>
        </w:rPr>
        <w:t xml:space="preserve"> for cartilage regeneration</w:t>
      </w:r>
      <w:r w:rsidR="00B60BBF" w:rsidRPr="00000DD3">
        <w:rPr>
          <w:rFonts w:ascii="Book Antiqua" w:hAnsi="Book Antiqua" w:cstheme="minorHAnsi"/>
        </w:rPr>
        <w:t xml:space="preserve"> </w:t>
      </w:r>
      <w:r w:rsidR="002D7944" w:rsidRPr="00000DD3">
        <w:rPr>
          <w:rFonts w:ascii="Book Antiqua" w:hAnsi="Book Antiqua" w:cstheme="minorHAnsi"/>
        </w:rPr>
        <w:t xml:space="preserve">have </w:t>
      </w:r>
      <w:r w:rsidR="00951129" w:rsidRPr="00000DD3">
        <w:rPr>
          <w:rFonts w:ascii="Book Antiqua" w:hAnsi="Book Antiqua" w:cstheme="minorHAnsi"/>
        </w:rPr>
        <w:t xml:space="preserve">involved the use of </w:t>
      </w:r>
      <w:r w:rsidR="0050009C" w:rsidRPr="00000DD3">
        <w:rPr>
          <w:rFonts w:ascii="Book Antiqua" w:hAnsi="Book Antiqua" w:cstheme="minorHAnsi"/>
        </w:rPr>
        <w:t xml:space="preserve">surgically induced </w:t>
      </w:r>
      <w:r w:rsidR="00817DF9" w:rsidRPr="00000DD3">
        <w:rPr>
          <w:rFonts w:ascii="Book Antiqua" w:hAnsi="Book Antiqua" w:cstheme="minorHAnsi"/>
        </w:rPr>
        <w:t>cartilage defect</w:t>
      </w:r>
      <w:r w:rsidR="0050009C" w:rsidRPr="00000DD3">
        <w:rPr>
          <w:rFonts w:ascii="Book Antiqua" w:hAnsi="Book Antiqua" w:cstheme="minorHAnsi"/>
        </w:rPr>
        <w:t xml:space="preserve"> models</w:t>
      </w:r>
      <w:r w:rsidR="00951129" w:rsidRPr="00000DD3">
        <w:rPr>
          <w:rFonts w:ascii="Book Antiqua" w:hAnsi="Book Antiqua" w:cstheme="minorHAnsi"/>
        </w:rPr>
        <w:t>,</w:t>
      </w:r>
      <w:r w:rsidR="0050009C" w:rsidRPr="00000DD3">
        <w:rPr>
          <w:rFonts w:ascii="Book Antiqua" w:hAnsi="Book Antiqua" w:cstheme="minorHAnsi"/>
        </w:rPr>
        <w:t xml:space="preserve"> including</w:t>
      </w:r>
      <w:r w:rsidR="00B60BBF" w:rsidRPr="00000DD3">
        <w:rPr>
          <w:rFonts w:ascii="Book Antiqua" w:hAnsi="Book Antiqua" w:cstheme="minorHAnsi"/>
        </w:rPr>
        <w:t xml:space="preserve"> partial-thickness cartilage defect models</w:t>
      </w:r>
      <w:r w:rsidR="00863832" w:rsidRPr="00000DD3">
        <w:rPr>
          <w:rFonts w:ascii="Book Antiqua" w:hAnsi="Book Antiqua" w:cstheme="minorHAnsi"/>
        </w:rPr>
        <w:fldChar w:fldCharType="begin" w:fldLock="1"/>
      </w:r>
      <w:r w:rsidR="00AB78A8" w:rsidRPr="00000DD3">
        <w:rPr>
          <w:rFonts w:ascii="Book Antiqua" w:hAnsi="Book Antiqua" w:cstheme="minorHAnsi"/>
        </w:rPr>
        <w:instrText>ADDIN CSL_CITATION {"citationItems":[{"id":"ITEM-1","itemData":{"abstract":"Objective: This study investigates the effect of intra-articular injection of autologous mesenchymal stem cells (MSCs) on healing of partial thickness chondral defects in dogs as an experimental animal model. Patients and methods: Methodology: A partial thickness cartilage defect was created on the cartilage covering the lateral femoral condoyle in 24 stifle joint of 12 domestic mongrel dogs. MSCs were harvested in a separate procedure and then injected intra-articularly in the cell treated groups. Animals were divided equally into three groups according to the intra-articular injection. Group one, represented the control group. Animals of this group were operated on but did not receive any intra-articular injections. Group two, animals were injected intra-articularly one day after creating the chondral defect. Group three, animals were injected intra-articularly one month after creating the chondral defect. Results: Animals were sacrificed at 1, 2, 6, and 8 weeks for morphological and histological analysis. All animals were assessed clinically and sacrificed for morphological and histological evaluation. Clinical recovery was significantly better in the two cell treated groups than the control and better in the early injected group than the late one. Histologically, tissue of the control group at the region of defect was fibro-cartilaginous in nature. In the early injected group, the healed area showed differentiated chondrocytes surrounded by lacunae with homogenous hyaline matrix forming hyaline cartilage. In the late injected group, the tissue appeared more cellular than fibrous. The surface layers and cells were typical of fibro-hyaline cartilage. Conclusion: The obtained results prove that the use of I/A injection of autologous MSCs is a viable option for treating partial cartilage defects.","author":[{"dropping-particle":"","family":"El-Tookhy","given":"","non-dropping-particle":"","parse-names":false,"suffix":""},{"dropping-particle":"","family":"Abou Elkheir","given":"W","non-dropping-particle":"","parse-names":false,"suffix":""},{"dropping-particle":"","family":"Mokbel","given":"A","non-dropping-particle":"","parse-names":false,"suffix":""},{"dropping-particle":"","family":"Osman","given":"A","non-dropping-particle":"","parse-names":false,"suffix":""}],"container-title":"The Egyptian Rheumatologist","id":"ITEM-1","issue":"2","issued":{"date-parts":[["2008"]]},"page":"1-10","title":"Intra-articular injection of autologous mesenchymal stem cells in experimental chondral defects in dogs","type":"article-journal","volume":"30"},"uris":["http://www.mendeley.com/documents/?uuid=4978aaeb-90c9-3130-a8cb-24732a405c22"]},{"id":"ITEM-2","itemData":{"ISBN":"0392-856X (Print)\\r0392-856X (Linking)","ISSN":"0392856X","PMID":"21385540","abstract":"Objective: This study was intended to verify the likelihood of homing of intra-articularily infected mesenchymal stem cells (MSCs) and its involvement in the healing process of experimentally induced, acute and chronic, partial chondral defects in dogs. Methods: Partial thickness chondral defects were created on the lateral femoral condyle of stifle joint in domestic mongrel dogs. MSCs were harvested in a separate procedure, labelled with green fluorescent protein (GFP) using monster GFP vector and suspended in buffer phosphate solution for intra-articular (IA) injection. Dogs were divided into three groups. Group I, served as the control. The dogs in the two cell-treated groups received a single IA injection of MSCs one day (Group II) and one month (Group III) after creating the defect. Sacrifice was scheduled at 2 and 8 weeks post-surgery for group I, and 2 and 8 weeks post-treatment, for the cell-treated groups. Morphological, histological, and fluorescence analysis was performed. Results: Recovery was significant both clinically and histologically in the two cell-treated groups (Group Il and III) compared to the control (Group I), (p&lt;0.001). In the meantime, Group-II showed better results at 8 weeks than Group III (p=0.01). Homing was confirmed by the incorporation of injected GFP-labelled MSCs within the newly formed cartilage. Conclusion: The obtained results prove that the use of IA injection of autologous MSCs is a viable option for treating partial cartilage defects. Cell labelling gave evidence to the certainty of cell homing within the neocartilage of all treated cases and the participation in the reparative process. © Copyright Clinical and Experimental Rheumatology 2011.","author":[{"dropping-particle":"","family":"Mokbel","given":"A.","non-dropping-particle":"","parse-names":false,"suffix":""},{"dropping-particle":"","family":"El-Tookhy","given":"O.","non-dropping-particle":"","parse-names":false,"suffix":""},{"dropping-particle":"","family":"Shamaa","given":"A. A.","non-dropping-particle":"","parse-names":false,"suffix":""},{"dropping-particle":"","family":"Sabry","given":"D.","non-dropping-particle":"","parse-names":false,"suffix":""},{"dropping-particle":"","family":"Rashed","given":"L.","non-dropping-particle":"","parse-names":false,"suffix":""},{"dropping-particle":"","family":"Mostafa","given":"A.","non-dropping-particle":"","parse-names":false,"suffix":""}],"container-title":"Clinical and Experimental Rheumatology","id":"ITEM-2","issue":"2","issued":{"date-parts":[["2011"]]},"page":"275-284","title":"Homing and efficacy of intra-articular injection of autologous mesenchymal stem cells in experimental chondral defects in dogs","type":"article-journal","volume":"29"},"uris":["http://www.mendeley.com/documents/?uuid=34242ab3-e496-3871-9026-0522cb392679"]},{"id":"ITEM-3","itemData":{"DOI":"10.4172/2157-7633.1000314","ISBN":"8133964121","ISSN":"21577633","abstract":"Objective: The purpose of this study was to evaluate effectiveness of intra-articular injection of synovium-derived mesenchymal stem cells (SMSCs) and hyaluronic acid (HA) for the treatment of articular cartilage defects in a canine model. Methods: Forty-eight knees of 24 beagle dogs were randomly assigned to 16 groups (n=3) according to both the number of injected SMSCs (0.5×105 cells, 5×106 cells, 5×107 cells) and the concentration of HA (0%, 0.01%, 0.1%, 0.5%). A partial-thickness cartilage defect was created in the medial femoral condyle under arthroscopy. After seven weeks, autologous SMSCs with or without 1 ml HA were percutaneously injected into the injured knee. In the control group, 1 ml saline was injected. Twelve weeks after the injection, evaluation was performed using the International Cartilage Repair Society (ICRS) visual assessment scale and the modified O’Driscoll histological score. Results: The mean ICRS visual assessment scale and the mean modified O’Driscoll histological score were 1.0 ± 0.00 and 11.0 ± 0.00 in the control group. On the other hand, the mean ICRS visual assessment scale and the mean modified O’Driscoll histological score were 7.3 ± 3.21 and 30.7 ± 7.23 in the group injected with 5×106 cells and 0.01% HA. Conclusion: Intra-articular injection of SMSCs with HA may be effective for stimulating articular cartilage repair. Our results suggest that there is an ideal combination of the number of SMSCs and the concentration of HA for promoting articular cartilage repair.","author":[{"dropping-particle":"","family":"Miki","given":"Shinya","non-dropping-particle":"","parse-names":false,"suffix":""},{"dropping-particle":"","family":"Takao","given":"Masato","non-dropping-particle":"","parse-names":false,"suffix":""},{"dropping-particle":"","family":"Miyamoto","given":"Wataru","non-dropping-particle":"","parse-names":false,"suffix":""},{"dropping-particle":"","family":"Matsushita","given":"Takashi","non-dropping-particle":"","parse-names":false,"suffix":""},{"dropping-particle":"","family":"Kawano","given":"Hirotaka","non-dropping-particle":"","parse-names":false,"suffix":""}],"container-title":"Journal of Stem Cell Research &amp; Therapy","id":"ITEM-3","issue":"11","issued":{"date-parts":[["2015"]]},"page":"1000314","title":"Intra-articular injection of synovium-derived mesenchymal stem cells with hyaluronic acid can repair articular cartilage defects in a canine model","type":"article-journal","volume":"5"},"uris":["http://www.mendeley.com/documents/?uuid=70dcb9b6-95be-3da0-aba0-aacc505c6024"]},{"id":"ITEM-4","itemData":{"DOI":"10.1038/s41598-018-27737-y","ISSN":"20452322","PMID":"29967404","abstract":"Mesenchymal stem cells (MSCs) and hyaluronic acid (HA) have been found in previous studies to have great potential for medical use. This study aimed to investigate the therapeutic effects of bone marrow mesenchymal stem cells (BMSCs) combined with HA on articular cartilage repair in canines. Twenty-four healthy canines (48 knee-joints), male or female with weight ranging from 5 to 6 kg, were operated on to induce cartilage defect model and divided into 3 groups randomly which received different treatments: BMSCs plus HA (BMSCs-HA), HA alone, and saline. Twenty-eight weeks after treatment, all canines were sacrificed and analyzed by gross appearance, magnetic resonance imaging (MRI), hematoxylin-eosin (HE) staining, Masson staining, toluidine blue staining, type II collagen immunohistochemistry, gross grading scale and histological scores. MSCs plus HA regenerated more cartilage-like tissue than did HA alone or saline. According to the macroscopic evaluation and histological assessment score, treatment with MSCs plus HA also lead to significant improvement in cartilage defects compared to those in the other 2 treatment groups (P &lt; 0.05). These findings suggested that allogeneic BMSCs plus HA rather than HA alone was effective in promoting the formation of cartilage-like tissue for repairing cartilage defect in canines.","author":[{"dropping-particle":"","family":"Li","given":"Lang","non-dropping-particle":"","parse-names":false,"suffix":""},{"dropping-particle":"","family":"Duan","given":"Xin","non-dropping-particle":"","parse-names":false,"suffix":""},{"dropping-particle":"","family":"Fan","given":"Zhaoxin","non-dropping-particle":"","parse-names":false,"suffix":""},{"dropping-particle":"","family":"Chen","given":"Long","non-dropping-particle":"","parse-names":false,"suffix":""},{"dropping-particle":"","family":"Xing","given":"Fei","non-dropping-particle":"","parse-names":false,"suffix":""},{"dropping-particle":"","family":"Xu","given":"Zhao","non-dropping-particle":"","parse-names":false,"suffix":""},{"dropping-particle":"","family":"Chen","given":"Qiang","non-dropping-particle":"","parse-names":false,"suffix":""},{"dropping-particle":"","family":"Xiang","given":"Zhou","non-dropping-particle":"","parse-names":false,"suffix":""}],"container-title":"Scientific Reports","id":"ITEM-4","issue":"1","issued":{"date-parts":[["2018"]]},"page":"9900","title":"Mesenchymal stem cells in combination with hyaluronic acid for articular cartilage defects","type":"article-journal","volume":"8"},"uris":["http://www.mendeley.com/documents/?uuid=5230d377-0e2a-31b0-b125-aea70e2ecce7"]},{"id":"ITEM-5","itemData":{"DOI":"10.1155/2018/1983025","ISSN":"1687-966X","PMID":"29861739","abstract":"Objective . The aim of this study was to assess the efficacy of canine umbilical cord mesenchymal stem cells (UC-MSCs) on the treatment of knee osteoarthritis in dogs. Methods . Eight dogs were evenly assigned to two groups. The canine model of knee osteoarthritis was established by surgical manipulation of knee articular cartilage on these eight dogs. UC-MSCs were isolated from umbilical cord Wharton’s jelly by 0.1% type collagenase I and identified by immunofluorescence staining and adipogenic and osteogenic differentiation in vitro . A suspension of allogeneic UC-MSCs (1 × 10 6 ) and an equal amount of physiological saline was injected into the cavitas articularis in the treated and untreated control groups, respectively, on days 1 and 3 posttreatment. The structure of the canine knee joint was observed by magnetic resonance imaging (MRI), B-mode ultrasonography, and X-ray imaging at the 3rd, 7th, 14th, and 28th days after treatment. Concurrently, the levels of IL-6, IL-7, and TNF- α in the blood of the examined dogs were measured. Moreover, the recovery of cartilage and patella surface in the treated group and untreated group was compared using a scanning electron microscope (SEM) after a 35-day treatment. Results . Results revealed that the isolated cells were UC-MSCs, because they were positive for CD44 and negative for CD34 surface markers, and the cells were differentiated into adipocytes and osteoblasts. Imaging technology showed that as treatment time increased, the high signal in the MRI T2-weighted images decreased, the echo-free space in B ultrasonography images disappeared basically, and the continuous linear hypoechoic region at the trochlear sulcus thickened. On X-ray images, the serrate defect at the ventral cortex of the patella improved, and the low-density gap of the ventral patella and trochlear crest gradually increased in the treated group. On the contrary, the high signal in the MRI T2-weighted images and the echo-free space in B ultrasonography images still increased after a 14-day treatment in the untreated control group, and the linear hypoechoic region was discontinuous. On the X-ray images, there was no improvement in the serrate defect of the ventral cortex of the patella. Results for inflammatory factors showed that the blood levels of IL-6, IL-7, and TNF- α of the untreated control group were significantly higher than those of the treated group ( P &lt; 0.05 ) 7–14 days posttreatment. The result of SEM showed that the cartil…","author":[{"dropping-particle":"","family":"Zhang","given":"Bei Ying","non-dropping-particle":"","parse-names":false,"suffix":""},{"dropping-particle":"","family":"Wang","given":"Bing Yun","non-dropping-particle":"","parse-names":false,"suffix":""},{"dropping-particle":"","family":"Li","given":"Shao Chuan","non-dropping-particle":"","parse-names":false,"suffix":""},{"dropping-particle":"","family":"Luo","given":"Dong Zhang","non-dropping-particle":"","parse-names":false,"suffix":""},{"dropping-particle":"","family":"Zhan","given":"Xiaoshu","non-dropping-particle":"","parse-names":false,"suffix":""},{"dropping-particle":"","family":"Chen","given":"Sheng Feng","non-dropping-particle":"","parse-names":false,"suffix":""},{"dropping-particle":"","family":"Chen","given":"Zhi Sheng","non-dropping-particle":"","parse-names":false,"suffix":""},{"dropping-particle":"","family":"Liu","given":"Can Ying","non-dropping-particle":"","parse-names":false,"suffix":""},{"dropping-particle":"","family":"Ji","given":"Hui Qin","non-dropping-particle":"","parse-names":false,"suffix":""},{"dropping-particle":"","family":"Bai","given":"Yin Shan","non-dropping-particle":"","parse-names":false,"suffix":""},{"dropping-particle":"","family":"Li","given":"Dong Sheng","non-dropping-particle":"","parse-names":false,"suffix":""},{"dropping-particle":"","family":"He","given":"Yang","non-dropping-particle":"","parse-names":false,"suffix":""}],"container-title":"Stem Cells International","id":"ITEM-5","issued":{"date-parts":[["2018"]]},"title":"Evaluation of the curative effect of umbilical cord mesenchymal stem cell therapy for knee arthritis in dogs using imaging technology","type":"article-journal","volume":"2018"},"uris":["http://www.mendeley.com/documents/?uuid=a0503553-9dce-3dfb-b23b-6e90091290cf"]}],"mendeley":{"formattedCitation":"&lt;sup&gt;[51,63,86–88]&lt;/sup&gt;","manualFormatting":"[62,85–87]","plainTextFormattedCitation":"[51,63,86–88]","previouslyFormattedCitation":"&lt;sup&gt;[51,63,86–88]&lt;/sup&gt;"},"properties":{"noteIndex":0},"schema":"https://github.com/citation-style-language/schema/raw/master/csl-citation.json"}</w:instrText>
      </w:r>
      <w:r w:rsidR="00863832" w:rsidRPr="00000DD3">
        <w:rPr>
          <w:rFonts w:ascii="Book Antiqua" w:hAnsi="Book Antiqua" w:cstheme="minorHAnsi"/>
        </w:rPr>
        <w:fldChar w:fldCharType="separate"/>
      </w:r>
      <w:r w:rsidR="00712B45" w:rsidRPr="00000DD3">
        <w:rPr>
          <w:rFonts w:ascii="Book Antiqua" w:hAnsi="Book Antiqua" w:cstheme="minorHAnsi"/>
          <w:noProof/>
          <w:vertAlign w:val="superscript"/>
        </w:rPr>
        <w:t>[62,85–87]</w:t>
      </w:r>
      <w:r w:rsidR="00863832" w:rsidRPr="00000DD3">
        <w:rPr>
          <w:rFonts w:ascii="Book Antiqua" w:hAnsi="Book Antiqua" w:cstheme="minorHAnsi"/>
        </w:rPr>
        <w:fldChar w:fldCharType="end"/>
      </w:r>
      <w:r w:rsidR="00623003" w:rsidRPr="00000DD3">
        <w:rPr>
          <w:rFonts w:ascii="Book Antiqua" w:hAnsi="Book Antiqua" w:cstheme="minorHAnsi"/>
        </w:rPr>
        <w:t xml:space="preserve"> (Figure 4A)</w:t>
      </w:r>
      <w:r w:rsidR="00B60BBF" w:rsidRPr="00000DD3">
        <w:rPr>
          <w:rFonts w:ascii="Book Antiqua" w:hAnsi="Book Antiqua" w:cstheme="minorHAnsi"/>
        </w:rPr>
        <w:t>, full-thickness cartilage defect models</w:t>
      </w:r>
      <w:r w:rsidR="00D342EC" w:rsidRPr="00000DD3">
        <w:rPr>
          <w:rFonts w:ascii="Book Antiqua" w:hAnsi="Book Antiqua" w:cstheme="minorHAnsi"/>
        </w:rPr>
        <w:fldChar w:fldCharType="begin" w:fldLock="1"/>
      </w:r>
      <w:r w:rsidR="004D4631" w:rsidRPr="00000DD3">
        <w:rPr>
          <w:rFonts w:ascii="Book Antiqua" w:hAnsi="Book Antiqua" w:cstheme="minorHAnsi"/>
        </w:rPr>
        <w:instrText>ADDIN CSL_CITATION {"citationItems":[{"id":"ITEM-1","itemData":{"DOI":"10.1016/j.msec.2013.05.040","ISBN":"0928-4931","ISSN":"09284931","PMID":"23910301","abstract":"The limited repair potential of articular cartilage, which hardly heals after injury or debilitating osteoarthritis, is a clinical challenge. The aim of this work was to develop a novel type I collagen (Col)/glycosaminoglycan (GAGs)-porous titanium biphasic scaffold (CGT) and verify its ability to repair osteochondral defects in an animal model with bone marrow stem cells (bMSCs) in the chondral phase. The biphasic scaffold was composed of Col/GAGs as chondral phasic and porous titanium as subchondral phasic. Twenty-four full-thickness defects through the articular cartilage and into the subchondral bone were prepared by drilling into the surface of the femoral patellar groove. Animals were assigned to one of the three groups: 1) CGT with bMSCs (CGTM), 2) only CGT, and 3) no implantation (control). The defect areas were examined grossly, histologically and by micro-CT. The most satisfied cartilage repairing result was in the CGTM group, while CGT alone was better than the control group. Abundant subchondral bone formation was observed in the CGTM and CGT groups but not the control group. Our findings demonstrate that a composite based on a novel biphasic scaffold combined with bMSCs shows a high potential to repair large osteochondral defects in a canine model. © 2013 Elsevier B.V.","author":[{"dropping-particle":"","family":"Duan","given":"Xin","non-dropping-particle":"","parse-names":false,"suffix":""},{"dropping-particle":"","family":"Zhu","given":"Xiangdong","non-dropping-particle":"","parse-names":false,"suffix":""},{"dropping-particle":"","family":"Dong","given":"Xingxing","non-dropping-particle":"","parse-names":false,"suffix":""},{"dropping-particle":"","family":"Yang","given":"Jing","non-dropping-particle":"","parse-names":false,"suffix":""},{"dropping-particle":"","family":"Huang","given":"Fuguo","non-dropping-particle":"","parse-names":false,"suffix":""},{"dropping-particle":"","family":"Cen","given":"Shiqiang","non-dropping-particle":"","parse-names":false,"suffix":""},{"dropping-particle":"","family":"Leung","given":"Frankie","non-dropping-particle":"","parse-names":false,"suffix":""},{"dropping-particle":"","family":"Fan","given":"Hongsong","non-dropping-particle":"","parse-names":false,"suffix":""},{"dropping-particle":"","family":"Xiang","given":"Zhou","non-dropping-particle":"","parse-names":false,"suffix":""}],"container-title":"Materials Science and Engineering C","id":"ITEM-1","issue":"7","issued":{"date-parts":[["2013"]]},"page":"3951-7","title":"Repair of large osteochondral defects in a beagle model with a novel type i collagen/glycosaminoglycan-porous titanium biphasic scaffold","type":"article-journal","volume":"33"},"uris":["http://www.mendeley.com/documents/?uuid=738c2258-7ce5-3b18-8365-d7a16fe9c37c"]}],"mendeley":{"formattedCitation":"&lt;sup&gt;[89]&lt;/sup&gt;","plainTextFormattedCitation":"[89]","previouslyFormattedCitation":"&lt;sup&gt;[89]&lt;/sup&gt;"},"properties":{"noteIndex":0},"schema":"https://github.com/citation-style-language/schema/raw/master/csl-citation.json"}</w:instrText>
      </w:r>
      <w:r w:rsidR="00D342EC" w:rsidRPr="00000DD3">
        <w:rPr>
          <w:rFonts w:ascii="Book Antiqua" w:hAnsi="Book Antiqua" w:cstheme="minorHAnsi"/>
        </w:rPr>
        <w:fldChar w:fldCharType="separate"/>
      </w:r>
      <w:r w:rsidR="004D4631" w:rsidRPr="00000DD3">
        <w:rPr>
          <w:rFonts w:ascii="Book Antiqua" w:hAnsi="Book Antiqua" w:cstheme="minorHAnsi"/>
          <w:noProof/>
          <w:vertAlign w:val="superscript"/>
        </w:rPr>
        <w:t>[</w:t>
      </w:r>
      <w:r w:rsidR="00A777F7" w:rsidRPr="00000DD3">
        <w:rPr>
          <w:rFonts w:ascii="Book Antiqua" w:eastAsia="黑体" w:hAnsi="Book Antiqua" w:cstheme="minorHAnsi" w:hint="eastAsia"/>
          <w:noProof/>
          <w:vertAlign w:val="superscript"/>
          <w:lang w:eastAsia="zh-CN"/>
        </w:rPr>
        <w:t>88,</w:t>
      </w:r>
      <w:r w:rsidR="004D4631" w:rsidRPr="00000DD3">
        <w:rPr>
          <w:rFonts w:ascii="Book Antiqua" w:hAnsi="Book Antiqua" w:cstheme="minorHAnsi"/>
          <w:noProof/>
          <w:vertAlign w:val="superscript"/>
        </w:rPr>
        <w:t>89]</w:t>
      </w:r>
      <w:r w:rsidR="00D342EC" w:rsidRPr="00000DD3">
        <w:rPr>
          <w:rFonts w:ascii="Book Antiqua" w:hAnsi="Book Antiqua" w:cstheme="minorHAnsi"/>
        </w:rPr>
        <w:fldChar w:fldCharType="end"/>
      </w:r>
      <w:r w:rsidR="00623003" w:rsidRPr="00000DD3">
        <w:rPr>
          <w:rFonts w:ascii="Book Antiqua" w:hAnsi="Book Antiqua" w:cstheme="minorHAnsi"/>
        </w:rPr>
        <w:t xml:space="preserve"> (Figure 4B)</w:t>
      </w:r>
      <w:r w:rsidR="00B60BBF" w:rsidRPr="00000DD3">
        <w:rPr>
          <w:rFonts w:ascii="Book Antiqua" w:hAnsi="Book Antiqua" w:cstheme="minorHAnsi"/>
        </w:rPr>
        <w:t xml:space="preserve"> </w:t>
      </w:r>
      <w:r w:rsidR="0050009C" w:rsidRPr="00000DD3">
        <w:rPr>
          <w:rFonts w:ascii="Book Antiqua" w:hAnsi="Book Antiqua" w:cstheme="minorHAnsi"/>
        </w:rPr>
        <w:t>and</w:t>
      </w:r>
      <w:r w:rsidR="00B60BBF" w:rsidRPr="00000DD3">
        <w:rPr>
          <w:rFonts w:ascii="Book Antiqua" w:hAnsi="Book Antiqua" w:cstheme="minorHAnsi"/>
        </w:rPr>
        <w:t xml:space="preserve"> cranial cruciate ligament transection models</w:t>
      </w:r>
      <w:r w:rsidR="00863832" w:rsidRPr="00000DD3">
        <w:rPr>
          <w:rFonts w:ascii="Book Antiqua" w:hAnsi="Book Antiqua" w:cstheme="minorHAnsi"/>
        </w:rPr>
        <w:fldChar w:fldCharType="begin" w:fldLock="1"/>
      </w:r>
      <w:r w:rsidR="004D4631" w:rsidRPr="00000DD3">
        <w:rPr>
          <w:rFonts w:ascii="Book Antiqua" w:hAnsi="Book Antiqua" w:cstheme="minorHAnsi"/>
        </w:rPr>
        <w:instrText>ADDIN CSL_CITATION {"citationItems":[{"id":"ITEM-1","itemData":{"DOI":"10.1186/s13018-016-0342-9","ISBN":"1749-799x","ISSN":"1749799X","PMID":"26768536","abstract":"Background: The purpose of this study is to investigate the clinical effects of platelet-rich plasma (PRP) and adipose-derived mesenchymal stem cell (MSC) as the fundamental treatment of osteoarthritis (OA). Methods: Twenty four Beagle dogs were used as cranial cruciate ligament transection models. The dogs were divided into four groups ( n = 6) according to the intra-articular injection materials: the control group with phosphate-buffered saline (PBS), the PRP group with PRP, the MSC group with MSCs emerged in PBS, and the MSC and PRP co-treatment (MP) group with MSCs and PRP. Results: Lameness score, focal compression strength, articular extracellular matrix (ECM) compositions, histopathology, and real-time PCR were used to evaluate the effects of PRP and MSCs on canine OA. In the order of MP, PRP, and MSC group, these all showed positive effects on the evaluated categories. The lameness scores were lower, and the focal compression strengths of the affected femoral articular surface cartilages were higher than those in the OA control group. Also, the inflammatory changes, when evaluated with Mankin scoring and histomorphologic examination, were significantly ameliorated with the treatment of PRP and/or MSCs. The glycosaminoglycan and collagen composition of extracellular matrix was more favorable in the test groups. The ECM-related genes significantly increased through the up-regulation, while the protein expressions of inflammatory cytokines were decreased through the inhibitory effects of PRP and MSCs on chondrocyte apoptosis and inflammatory cytokines. Conclusions: Taken together, this study suggests that PRP and MSCs treatments have a beneficial effect on OA via the stimulation of ECM synthesis and chondrocyte proliferation and via the inhibition of inflammatory reaction.","author":[{"dropping-particle":"","family":"Yun","given":"Sungho","non-dropping-particle":"","parse-names":false,"suffix":""},{"dropping-particle":"","family":"Ku","given":"Sae Kwang","non-dropping-particle":"","parse-names":false,"suffix":""},{"dropping-particle":"","family":"Kwon","given":"Young Sam","non-dropping-particle":"","parse-names":false,"suffix":""}],"container-title":"Journal of Orthopaedic Surgery and Research","id":"ITEM-1","issue":"9","issued":{"date-parts":[["2016"]]},"title":"Adipose-derived mesenchymal stem cells and platelet-rich plasma synergistically ameliorate the surgical-induced osteoarthritis in Beagle dogs","type":"article-journal","volume":"11"},"uris":["http://www.mendeley.com/documents/?uuid=a31ec701-ff6d-38f2-8dab-b30027be293d"]}],"mendeley":{"formattedCitation":"&lt;sup&gt;[90]&lt;/sup&gt;","plainTextFormattedCitation":"[90]","previouslyFormattedCitation":"&lt;sup&gt;[90]&lt;/sup&gt;"},"properties":{"noteIndex":0},"schema":"https://github.com/citation-style-language/schema/raw/master/csl-citation.json"}</w:instrText>
      </w:r>
      <w:r w:rsidR="00863832" w:rsidRPr="00000DD3">
        <w:rPr>
          <w:rFonts w:ascii="Book Antiqua" w:hAnsi="Book Antiqua" w:cstheme="minorHAnsi"/>
        </w:rPr>
        <w:fldChar w:fldCharType="separate"/>
      </w:r>
      <w:r w:rsidR="004D4631" w:rsidRPr="00000DD3">
        <w:rPr>
          <w:rFonts w:ascii="Book Antiqua" w:hAnsi="Book Antiqua" w:cstheme="minorHAnsi"/>
          <w:noProof/>
          <w:vertAlign w:val="superscript"/>
        </w:rPr>
        <w:t>[90]</w:t>
      </w:r>
      <w:r w:rsidR="00863832" w:rsidRPr="00000DD3">
        <w:rPr>
          <w:rFonts w:ascii="Book Antiqua" w:hAnsi="Book Antiqua" w:cstheme="minorHAnsi"/>
        </w:rPr>
        <w:fldChar w:fldCharType="end"/>
      </w:r>
      <w:r w:rsidR="00BE6437" w:rsidRPr="00000DD3">
        <w:rPr>
          <w:rFonts w:ascii="Book Antiqua" w:hAnsi="Book Antiqua" w:cstheme="minorHAnsi"/>
        </w:rPr>
        <w:t xml:space="preserve">. </w:t>
      </w:r>
      <w:r w:rsidR="000C5A24" w:rsidRPr="00000DD3">
        <w:rPr>
          <w:rFonts w:ascii="Book Antiqua" w:hAnsi="Book Antiqua" w:cstheme="minorHAnsi"/>
        </w:rPr>
        <w:t xml:space="preserve">(Table </w:t>
      </w:r>
      <w:r w:rsidR="00712B45" w:rsidRPr="00000DD3">
        <w:rPr>
          <w:rFonts w:ascii="Book Antiqua" w:hAnsi="Book Antiqua" w:cstheme="minorHAnsi"/>
        </w:rPr>
        <w:t>3</w:t>
      </w:r>
      <w:r w:rsidR="000C5A24" w:rsidRPr="00000DD3">
        <w:rPr>
          <w:rFonts w:ascii="Book Antiqua" w:hAnsi="Book Antiqua" w:cstheme="minorHAnsi"/>
        </w:rPr>
        <w:t>)</w:t>
      </w:r>
      <w:r w:rsidR="0050009C" w:rsidRPr="00000DD3">
        <w:rPr>
          <w:rFonts w:ascii="Book Antiqua" w:hAnsi="Book Antiqua" w:cstheme="minorHAnsi"/>
        </w:rPr>
        <w:t xml:space="preserve"> </w:t>
      </w:r>
      <w:r w:rsidR="00817DF9" w:rsidRPr="00000DD3">
        <w:rPr>
          <w:rFonts w:ascii="Book Antiqua" w:hAnsi="Book Antiqua" w:cstheme="minorHAnsi"/>
        </w:rPr>
        <w:t>In every model, i</w:t>
      </w:r>
      <w:r w:rsidR="0050009C" w:rsidRPr="00000DD3">
        <w:rPr>
          <w:rFonts w:ascii="Book Antiqua" w:hAnsi="Book Antiqua" w:cstheme="minorHAnsi"/>
        </w:rPr>
        <w:t>ntraarticular autologous</w:t>
      </w:r>
      <w:r w:rsidR="008A03DC" w:rsidRPr="00000DD3">
        <w:rPr>
          <w:rFonts w:ascii="Book Antiqua" w:hAnsi="Book Antiqua" w:cstheme="minorHAnsi"/>
        </w:rPr>
        <w:fldChar w:fldCharType="begin" w:fldLock="1"/>
      </w:r>
      <w:r w:rsidR="00AB78A8" w:rsidRPr="00000DD3">
        <w:rPr>
          <w:rFonts w:ascii="Book Antiqua" w:hAnsi="Book Antiqua" w:cstheme="minorHAnsi"/>
        </w:rPr>
        <w:instrText>ADDIN CSL_CITATION {"citationItems":[{"id":"ITEM-1","itemData":{"abstract":"Objective: This study investigates the effect of intra-articular injection of autologous mesenchymal stem cells (MSCs) on healing of partial thickness chondral defects in dogs as an experimental animal model. Patients and methods: Methodology: A partial thickness cartilage defect was created on the cartilage covering the lateral femoral condoyle in 24 stifle joint of 12 domestic mongrel dogs. MSCs were harvested in a separate procedure and then injected intra-articularly in the cell treated groups. Animals were divided equally into three groups according to the intra-articular injection. Group one, represented the control group. Animals of this group were operated on but did not receive any intra-articular injections. Group two, animals were injected intra-articularly one day after creating the chondral defect. Group three, animals were injected intra-articularly one month after creating the chondral defect. Results: Animals were sacrificed at 1, 2, 6, and 8 weeks for morphological and histological analysis. All animals were assessed clinically and sacrificed for morphological and histological evaluation. Clinical recovery was significantly better in the two cell treated groups than the control and better in the early injected group than the late one. Histologically, tissue of the control group at the region of defect was fibro-cartilaginous in nature. In the early injected group, the healed area showed differentiated chondrocytes surrounded by lacunae with homogenous hyaline matrix forming hyaline cartilage. In the late injected group, the tissue appeared more cellular than fibrous. The surface layers and cells were typical of fibro-hyaline cartilage. Conclusion: The obtained results prove that the use of I/A injection of autologous MSCs is a viable option for treating partial cartilage defects.","author":[{"dropping-particle":"","family":"El-Tookhy","given":"","non-dropping-particle":"","parse-names":false,"suffix":""},{"dropping-particle":"","family":"Abou Elkheir","given":"W","non-dropping-particle":"","parse-names":false,"suffix":""},{"dropping-particle":"","family":"Mokbel","given":"A","non-dropping-particle":"","parse-names":false,"suffix":""},{"dropping-particle":"","family":"Osman","given":"A","non-dropping-particle":"","parse-names":false,"suffix":""}],"container-title":"The Egyptian Rheumatologist","id":"ITEM-1","issue":"2","issued":{"date-parts":[["2008"]]},"page":"1-10","title":"Intra-articular injection of autologous mesenchymal stem cells in experimental chondral defects in dogs","type":"article-journal","volume":"30"},"uris":["http://www.mendeley.com/documents/?uuid=4978aaeb-90c9-3130-a8cb-24732a405c22"]},{"id":"ITEM-2","itemData":{"ISBN":"0392-856X (Print)\\r0392-856X (Linking)","ISSN":"0392856X","PMID":"21385540","abstract":"Objective: This study was intended to verify the likelihood of homing of intra-articularily infected mesenchymal stem cells (MSCs) and its involvement in the healing process of experimentally induced, acute and chronic, partial chondral defects in dogs. Methods: Partial thickness chondral defects were created on the lateral femoral condyle of stifle joint in domestic mongrel dogs. MSCs were harvested in a separate procedure, labelled with green fluorescent protein (GFP) using monster GFP vector and suspended in buffer phosphate solution for intra-articular (IA) injection. Dogs were divided into three groups. Group I, served as the control. The dogs in the two cell-treated groups received a single IA injection of MSCs one day (Group II) and one month (Group III) after creating the defect. Sacrifice was scheduled at 2 and 8 weeks post-surgery for group I, and 2 and 8 weeks post-treatment, for the cell-treated groups. Morphological, histological, and fluorescence analysis was performed. Results: Recovery was significant both clinically and histologically in the two cell-treated groups (Group Il and III) compared to the control (Group I), (p&lt;0.001). In the meantime, Group-II showed better results at 8 weeks than Group III (p=0.01). Homing was confirmed by the incorporation of injected GFP-labelled MSCs within the newly formed cartilage. Conclusion: The obtained results prove that the use of IA injection of autologous MSCs is a viable option for treating partial cartilage defects. Cell labelling gave evidence to the certainty of cell homing within the neocartilage of all treated cases and the participation in the reparative process. © Copyright Clinical and Experimental Rheumatology 2011.","author":[{"dropping-particle":"","family":"Mokbel","given":"A.","non-dropping-particle":"","parse-names":false,"suffix":""},{"dropping-particle":"","family":"El-Tookhy","given":"O.","non-dropping-particle":"","parse-names":false,"suffix":""},{"dropping-particle":"","family":"Shamaa","given":"A. A.","non-dropping-particle":"","parse-names":false,"suffix":""},{"dropping-particle":"","family":"Sabry","given":"D.","non-dropping-particle":"","parse-names":false,"suffix":""},{"dropping-particle":"","family":"Rashed","given":"L.","non-dropping-particle":"","parse-names":false,"suffix":""},{"dropping-particle":"","family":"Mostafa","given":"A.","non-dropping-particle":"","parse-names":false,"suffix":""}],"container-title":"Clinical and Experimental Rheumatology","id":"ITEM-2","issue":"2","issued":{"date-parts":[["2011"]]},"page":"275-284","title":"Homing and efficacy of intra-articular injection of autologous mesenchymal stem cells in experimental chondral defects in dogs","type":"article-journal","volume":"29"},"uris":["http://www.mendeley.com/documents/?uuid=34242ab3-e496-3871-9026-0522cb392679"]},{"id":"ITEM-3","itemData":{"DOI":"10.4172/2157-7633.1000314","ISBN":"8133964121","ISSN":"21577633","abstract":"Objective: The purpose of this study was to evaluate effectiveness of intra-articular injection of synovium-derived mesenchymal stem cells (SMSCs) and hyaluronic acid (HA) for the treatment of articular cartilage defects in a canine model. Methods: Forty-eight knees of 24 beagle dogs were randomly assigned to 16 groups (n=3) according to both the number of injected SMSCs (0.5×105 cells, 5×106 cells, 5×107 cells) and the concentration of HA (0%, 0.01%, 0.1%, 0.5%). A partial-thickness cartilage defect was created in the medial femoral condyle under arthroscopy. After seven weeks, autologous SMSCs with or without 1 ml HA were percutaneously injected into the injured knee. In the control group, 1 ml saline was injected. Twelve weeks after the injection, evaluation was performed using the International Cartilage Repair Society (ICRS) visual assessment scale and the modified O’Driscoll histological score. Results: The mean ICRS visual assessment scale and the mean modified O’Driscoll histological score were 1.0 ± 0.00 and 11.0 ± 0.00 in the control group. On the other hand, the mean ICRS visual assessment scale and the mean modified O’Driscoll histological score were 7.3 ± 3.21 and 30.7 ± 7.23 in the group injected with 5×106 cells and 0.01% HA. Conclusion: Intra-articular injection of SMSCs with HA may be effective for stimulating articular cartilage repair. Our results suggest that there is an ideal combination of the number of SMSCs and the concentration of HA for promoting articular cartilage repair.","author":[{"dropping-particle":"","family":"Miki","given":"Shinya","non-dropping-particle":"","parse-names":false,"suffix":""},{"dropping-particle":"","family":"Takao","given":"Masato","non-dropping-particle":"","parse-names":false,"suffix":""},{"dropping-particle":"","family":"Miyamoto","given":"Wataru","non-dropping-particle":"","parse-names":false,"suffix":""},{"dropping-particle":"","family":"Matsushita","given":"Takashi","non-dropping-particle":"","parse-names":false,"suffix":""},{"dropping-particle":"","family":"Kawano","given":"Hirotaka","non-dropping-particle":"","parse-names":false,"suffix":""}],"container-title":"Journal of Stem Cell Research &amp; Therapy","id":"ITEM-3","issue":"11","issued":{"date-parts":[["2015"]]},"page":"1000314","title":"Intra-articular injection of synovium-derived mesenchymal stem cells with hyaluronic acid can repair articular cartilage defects in a canine model","type":"article-journal","volume":"5"},"uris":["http://www.mendeley.com/documents/?uuid=70dcb9b6-95be-3da0-aba0-aacc505c6024"]}],"mendeley":{"formattedCitation":"&lt;sup&gt;[86–88]&lt;/sup&gt;","plainTextFormattedCitation":"[86–88]","previouslyFormattedCitation":"&lt;sup&gt;[86–88]&lt;/sup&gt;"},"properties":{"noteIndex":0},"schema":"https://github.com/citation-style-language/schema/raw/master/csl-citation.json"}</w:instrText>
      </w:r>
      <w:r w:rsidR="008A03DC" w:rsidRPr="00000DD3">
        <w:rPr>
          <w:rFonts w:ascii="Book Antiqua" w:hAnsi="Book Antiqua" w:cstheme="minorHAnsi"/>
        </w:rPr>
        <w:fldChar w:fldCharType="separate"/>
      </w:r>
      <w:r w:rsidR="004D4631" w:rsidRPr="00000DD3">
        <w:rPr>
          <w:rFonts w:ascii="Book Antiqua" w:hAnsi="Book Antiqua" w:cstheme="minorHAnsi"/>
          <w:noProof/>
          <w:vertAlign w:val="superscript"/>
        </w:rPr>
        <w:t>[86–88]</w:t>
      </w:r>
      <w:r w:rsidR="008A03DC" w:rsidRPr="00000DD3">
        <w:rPr>
          <w:rFonts w:ascii="Book Antiqua" w:hAnsi="Book Antiqua" w:cstheme="minorHAnsi"/>
        </w:rPr>
        <w:fldChar w:fldCharType="end"/>
      </w:r>
      <w:r w:rsidR="0050009C" w:rsidRPr="00000DD3">
        <w:rPr>
          <w:rFonts w:ascii="Book Antiqua" w:hAnsi="Book Antiqua" w:cstheme="minorHAnsi"/>
        </w:rPr>
        <w:t xml:space="preserve"> or allogeneic</w:t>
      </w:r>
      <w:r w:rsidR="008A03DC" w:rsidRPr="00000DD3">
        <w:rPr>
          <w:rFonts w:ascii="Book Antiqua" w:hAnsi="Book Antiqua" w:cstheme="minorHAnsi"/>
        </w:rPr>
        <w:fldChar w:fldCharType="begin" w:fldLock="1"/>
      </w:r>
      <w:r w:rsidR="006A3361" w:rsidRPr="00000DD3">
        <w:rPr>
          <w:rFonts w:ascii="Book Antiqua" w:hAnsi="Book Antiqua" w:cstheme="minorHAnsi"/>
        </w:rPr>
        <w:instrText>ADDIN CSL_CITATION {"citationItems":[{"id":"ITEM-1","itemData":{"DOI":"10.1155/2018/1983025","ISSN":"1687-966X","PMID":"29861739","abstract":"Objective . The aim of this study was to assess the efficacy of canine umbilical cord mesenchymal stem cells (UC-MSCs) on the treatment of knee osteoarthritis in dogs. Methods . Eight dogs were evenly assigned to two groups. The canine model of knee osteoarthritis was established by surgical manipulation of knee articular cartilage on these eight dogs. UC-MSCs were isolated from umbilical cord Wharton’s jelly by 0.1% type collagenase I and identified by immunofluorescence staining and adipogenic and osteogenic differentiation in vitro . A suspension of allogeneic UC-MSCs (1 × 10 6 ) and an equal amount of physiological saline was injected into the cavitas articularis in the treated and untreated control groups, respectively, on days 1 and 3 posttreatment. The structure of the canine knee joint was observed by magnetic resonance imaging (MRI), B-mode ultrasonography, and X-ray imaging at the 3rd, 7th, 14th, and 28th days after treatment. Concurrently, the levels of IL-6, IL-7, and TNF- α in the blood of the examined dogs were measured. Moreover, the recovery of cartilage and patella surface in the treated group and untreated group was compared using a scanning electron microscope (SEM) after a 35-day treatment. Results . Results revealed that the isolated cells were UC-MSCs, because they were positive for CD44 and negative for CD34 surface markers, and the cells were differentiated into adipocytes and osteoblasts. Imaging technology showed that as treatment time increased, the high signal in the MRI T2-weighted images decreased, the echo-free space in B ultrasonography images disappeared basically, and the continuous linear hypoechoic region at the trochlear sulcus thickened. On X-ray images, the serrate defect at the ventral cortex of the patella improved, and the low-density gap of the ventral patella and trochlear crest gradually increased in the treated group. On the contrary, the high signal in the MRI T2-weighted images and the echo-free space in B ultrasonography images still increased after a 14-day treatment in the untreated control group, and the linear hypoechoic region was discontinuous. On the X-ray images, there was no improvement in the serrate defect of the ventral cortex of the patella. Results for inflammatory factors showed that the blood levels of IL-6, IL-7, and TNF- α of the untreated control group were significantly higher than those of the treated group ( P &lt; 0.05 ) 7–14 days posttreatment. The result of SEM showed that the cartil…","author":[{"dropping-particle":"","family":"Zhang","given":"Bei Ying","non-dropping-particle":"","parse-names":false,"suffix":""},{"dropping-particle":"","family":"Wang","given":"Bing Yun","non-dropping-particle":"","parse-names":false,"suffix":""},{"dropping-particle":"","family":"Li","given":"Shao Chuan","non-dropping-particle":"","parse-names":false,"suffix":""},{"dropping-particle":"","family":"Luo","given":"Dong Zhang","non-dropping-particle":"","parse-names":false,"suffix":""},{"dropping-particle":"","family":"Zhan","given":"Xiaoshu","non-dropping-particle":"","parse-names":false,"suffix":""},{"dropping-particle":"","family":"Chen","given":"Sheng Feng","non-dropping-particle":"","parse-names":false,"suffix":""},{"dropping-particle":"","family":"Chen","given":"Zhi Sheng","non-dropping-particle":"","parse-names":false,"suffix":""},{"dropping-particle":"","family":"Liu","given":"Can Ying","non-dropping-particle":"","parse-names":false,"suffix":""},{"dropping-particle":"","family":"Ji","given":"Hui Qin","non-dropping-particle":"","parse-names":false,"suffix":""},{"dropping-particle":"","family":"Bai","given":"Yin Shan","non-dropping-particle":"","parse-names":false,"suffix":""},{"dropping-particle":"","family":"Li","given":"Dong Sheng","non-dropping-particle":"","parse-names":false,"suffix":""},{"dropping-particle":"","family":"He","given":"Yang","non-dropping-particle":"","parse-names":false,"suffix":""}],"container-title":"Stem Cells International","id":"ITEM-1","issued":{"date-parts":[["2018"]]},"title":"Evaluation of the curative effect of umbilical cord mesenchymal stem cell therapy for knee arthritis in dogs using imaging technology","type":"article-journal","volume":"2018"},"uris":["http://www.mendeley.com/documents/?uuid=a0503553-9dce-3dfb-b23b-6e90091290cf"]},{"id":"ITEM-2","itemData":{"DOI":"10.1038/s41598-018-27737-y","ISSN":"20452322","PMID":"29967404","abstract":"Mesenchymal stem cells (MSCs) and hyaluronic acid (HA) have been found in previous studies to have great potential for medical use. This study aimed to investigate the therapeutic effects of bone marrow mesenchymal stem cells (BMSCs) combined with HA on articular cartilage repair in canines. Twenty-four healthy canines (48 knee-joints), male or female with weight ranging from 5 to 6 kg, were operated on to induce cartilage defect model and divided into 3 groups randomly which received different treatments: BMSCs plus HA (BMSCs-HA), HA alone, and saline. Twenty-eight weeks after treatment, all canines were sacrificed and analyzed by gross appearance, magnetic resonance imaging (MRI), hematoxylin-eosin (HE) staining, Masson staining, toluidine blue staining, type II collagen immunohistochemistry, gross grading scale and histological scores. MSCs plus HA regenerated more cartilage-like tissue than did HA alone or saline. According to the macroscopic evaluation and histological assessment score, treatment with MSCs plus HA also lead to significant improvement in cartilage defects compared to those in the other 2 treatment groups (P &lt; 0.05). These findings suggested that allogeneic BMSCs plus HA rather than HA alone was effective in promoting the formation of cartilage-like tissue for repairing cartilage defect in canines.","author":[{"dropping-particle":"","family":"Li","given":"Lang","non-dropping-particle":"","parse-names":false,"suffix":""},{"dropping-particle":"","family":"Duan","given":"Xin","non-dropping-particle":"","parse-names":false,"suffix":""},{"dropping-particle":"","family":"Fan","given":"Zhaoxin","non-dropping-particle":"","parse-names":false,"suffix":""},{"dropping-particle":"","family":"Chen","given":"Long","non-dropping-particle":"","parse-names":false,"suffix":""},{"dropping-particle":"","family":"Xing","given":"Fei","non-dropping-particle":"","parse-names":false,"suffix":""},{"dropping-particle":"","family":"Xu","given":"Zhao","non-dropping-particle":"","parse-names":false,"suffix":""},{"dropping-particle":"","family":"Chen","given":"Qiang","non-dropping-particle":"","parse-names":false,"suffix":""},{"dropping-particle":"","family":"Xiang","given":"Zhou","non-dropping-particle":"","parse-names":false,"suffix":""}],"container-title":"Scientific Reports","id":"ITEM-2","issue":"1","issued":{"date-parts":[["2018"]]},"page":"9900","title":"Mesenchymal stem cells in combination with hyaluronic acid for articular cartilage defects","type":"article-journal","volume":"8"},"uris":["http://www.mendeley.com/documents/?uuid=5230d377-0e2a-31b0-b125-aea70e2ecce7"]},{"id":"ITEM-3","itemData":{"DOI":"10.1016/j.msec.2013.05.040","ISBN":"0928-4931","ISSN":"09284931","PMID":"23910301","abstract":"The limited repair potential of articular cartilage, which hardly heals after injury or debilitating osteoarthritis, is a clinical challenge. The aim of this work was to develop a novel type I collagen (Col)/glycosaminoglycan (GAGs)-porous titanium biphasic scaffold (CGT) and verify its ability to repair osteochondral defects in an animal model with bone marrow stem cells (bMSCs) in the chondral phase. The biphasic scaffold was composed of Col/GAGs as chondral phasic and porous titanium as subchondral phasic. Twenty-four full-thickness defects through the articular cartilage and into the subchondral bone were prepared by drilling into the surface of the femoral patellar groove. Animals were assigned to one of the three groups: 1) CGT with bMSCs (CGTM), 2) only CGT, and 3) no implantation (control). The defect areas were examined grossly, histologically and by micro-CT. The most satisfied cartilage repairing result was in the CGTM group, while CGT alone was better than the control group. Abundant subchondral bone formation was observed in the CGTM and CGT groups but not the control group. Our findings demonstrate that a composite based on a novel biphasic scaffold combined with bMSCs shows a high potential to repair large osteochondral defects in a canine model. © 2013 Elsevier B.V.","author":[{"dropping-particle":"","family":"Duan","given":"Xin","non-dropping-particle":"","parse-names":false,"suffix":""},{"dropping-particle":"","family":"Zhu","given":"Xiangdong","non-dropping-particle":"","parse-names":false,"suffix":""},{"dropping-particle":"","family":"Dong","given":"Xingxing","non-dropping-particle":"","parse-names":false,"suffix":""},{"dropping-particle":"","family":"Yang","given":"Jing","non-dropping-particle":"","parse-names":false,"suffix":""},{"dropping-particle":"","family":"Huang","given":"Fuguo","non-dropping-particle":"","parse-names":false,"suffix":""},{"dropping-particle":"","family":"Cen","given":"Shiqiang","non-dropping-particle":"","parse-names":false,"suffix":""},{"dropping-particle":"","family":"Leung","given":"Frankie","non-dropping-particle":"","parse-names":false,"suffix":""},{"dropping-particle":"","family":"Fan","given":"Hongsong","non-dropping-particle":"","parse-names":false,"suffix":""},{"dropping-particle":"","family":"Xiang","given":"Zhou","non-dropping-particle":"","parse-names":false,"suffix":""}],"container-title":"Materials Science and Engineering C","id":"ITEM-3","issue":"7","issued":{"date-parts":[["2013"]]},"page":"3951-7","title":"Repair of large osteochondral defects in a beagle model with a novel type i collagen/glycosaminoglycan-porous titanium biphasic scaffold","type":"article-journal","volume":"33"},"uris":["http://www.mendeley.com/documents/?uuid=738c2258-7ce5-3b18-8365-d7a16fe9c37c"]}],"mendeley":{"formattedCitation":"&lt;sup&gt;[51,63,89]&lt;/sup&gt;","plainTextFormattedCitation":"[51,63,89]","previouslyFormattedCitation":"&lt;sup&gt;[51,63,89]&lt;/sup&gt;"},"properties":{"noteIndex":0},"schema":"https://github.com/citation-style-language/schema/raw/master/csl-citation.json"}</w:instrText>
      </w:r>
      <w:r w:rsidR="008A03DC" w:rsidRPr="00000DD3">
        <w:rPr>
          <w:rFonts w:ascii="Book Antiqua" w:hAnsi="Book Antiqua" w:cstheme="minorHAnsi"/>
        </w:rPr>
        <w:fldChar w:fldCharType="separate"/>
      </w:r>
      <w:r w:rsidR="004D4631" w:rsidRPr="00000DD3">
        <w:rPr>
          <w:rFonts w:ascii="Book Antiqua" w:hAnsi="Book Antiqua" w:cstheme="minorHAnsi"/>
          <w:noProof/>
          <w:vertAlign w:val="superscript"/>
        </w:rPr>
        <w:t>[51,63,89]</w:t>
      </w:r>
      <w:r w:rsidR="008A03DC" w:rsidRPr="00000DD3">
        <w:rPr>
          <w:rFonts w:ascii="Book Antiqua" w:hAnsi="Book Antiqua" w:cstheme="minorHAnsi"/>
        </w:rPr>
        <w:fldChar w:fldCharType="end"/>
      </w:r>
      <w:r w:rsidR="0050009C" w:rsidRPr="00000DD3">
        <w:rPr>
          <w:rFonts w:ascii="Book Antiqua" w:hAnsi="Book Antiqua" w:cstheme="minorHAnsi"/>
        </w:rPr>
        <w:t xml:space="preserve"> </w:t>
      </w:r>
      <w:proofErr w:type="spellStart"/>
      <w:r w:rsidR="0050009C" w:rsidRPr="00000DD3">
        <w:rPr>
          <w:rFonts w:ascii="Book Antiqua" w:hAnsi="Book Antiqua" w:cstheme="minorHAnsi"/>
        </w:rPr>
        <w:t>cMSC</w:t>
      </w:r>
      <w:proofErr w:type="spellEnd"/>
      <w:r w:rsidR="0050009C" w:rsidRPr="00000DD3">
        <w:rPr>
          <w:rFonts w:ascii="Book Antiqua" w:hAnsi="Book Antiqua" w:cstheme="minorHAnsi"/>
        </w:rPr>
        <w:t xml:space="preserve"> injection demonstrated excellent regenerative effects</w:t>
      </w:r>
      <w:r w:rsidR="00951129" w:rsidRPr="00000DD3">
        <w:rPr>
          <w:rFonts w:ascii="Book Antiqua" w:hAnsi="Book Antiqua" w:cstheme="minorHAnsi"/>
        </w:rPr>
        <w:t>,</w:t>
      </w:r>
      <w:r w:rsidR="0074387A" w:rsidRPr="00000DD3">
        <w:rPr>
          <w:rFonts w:ascii="Book Antiqua" w:hAnsi="Book Antiqua" w:cstheme="minorHAnsi"/>
        </w:rPr>
        <w:t xml:space="preserve"> </w:t>
      </w:r>
      <w:r w:rsidR="0050009C" w:rsidRPr="00000DD3">
        <w:rPr>
          <w:rFonts w:ascii="Book Antiqua" w:hAnsi="Book Antiqua" w:cstheme="minorHAnsi"/>
        </w:rPr>
        <w:t>including hyaline-like cartilage regeneration</w:t>
      </w:r>
      <w:r w:rsidR="00951129" w:rsidRPr="00000DD3">
        <w:rPr>
          <w:rFonts w:ascii="Book Antiqua" w:hAnsi="Book Antiqua" w:cstheme="minorHAnsi"/>
        </w:rPr>
        <w:t>,</w:t>
      </w:r>
      <w:r w:rsidR="0050009C" w:rsidRPr="00000DD3">
        <w:rPr>
          <w:rFonts w:ascii="Book Antiqua" w:hAnsi="Book Antiqua" w:cstheme="minorHAnsi"/>
        </w:rPr>
        <w:t xml:space="preserve"> </w:t>
      </w:r>
      <w:r w:rsidR="00951129" w:rsidRPr="00000DD3">
        <w:rPr>
          <w:rFonts w:ascii="Book Antiqua" w:hAnsi="Book Antiqua" w:cstheme="minorHAnsi"/>
        </w:rPr>
        <w:t>when compared with control groups</w:t>
      </w:r>
      <w:r w:rsidR="0050009C" w:rsidRPr="00000DD3">
        <w:rPr>
          <w:rFonts w:ascii="Book Antiqua" w:hAnsi="Book Antiqua" w:cstheme="minorHAnsi"/>
        </w:rPr>
        <w:t>.</w:t>
      </w:r>
    </w:p>
    <w:p w14:paraId="101D5034" w14:textId="318E53B2" w:rsidR="009B5A43" w:rsidRPr="00000DD3" w:rsidRDefault="00CE1529" w:rsidP="00F37CFD">
      <w:pPr>
        <w:spacing w:line="360" w:lineRule="auto"/>
        <w:ind w:firstLineChars="100" w:firstLine="240"/>
        <w:jc w:val="both"/>
        <w:rPr>
          <w:rFonts w:ascii="Book Antiqua" w:hAnsi="Book Antiqua" w:cstheme="minorHAnsi"/>
        </w:rPr>
      </w:pPr>
      <w:r w:rsidRPr="00000DD3">
        <w:rPr>
          <w:rFonts w:ascii="Book Antiqua" w:hAnsi="Book Antiqua" w:cstheme="minorHAnsi"/>
        </w:rPr>
        <w:t>El-</w:t>
      </w:r>
      <w:proofErr w:type="spellStart"/>
      <w:r w:rsidRPr="00000DD3">
        <w:rPr>
          <w:rFonts w:ascii="Book Antiqua" w:hAnsi="Book Antiqua" w:cstheme="minorHAnsi"/>
        </w:rPr>
        <w:t>Tookhy</w:t>
      </w:r>
      <w:proofErr w:type="spellEnd"/>
      <w:r w:rsidRPr="00000DD3">
        <w:rPr>
          <w:rFonts w:ascii="Book Antiqua" w:hAnsi="Book Antiqua" w:cstheme="minorHAnsi"/>
        </w:rPr>
        <w:t xml:space="preserve"> </w:t>
      </w:r>
      <w:r w:rsidR="00300553" w:rsidRPr="00000DD3">
        <w:rPr>
          <w:rFonts w:ascii="Book Antiqua" w:eastAsia="黑体" w:hAnsi="Book Antiqua" w:cstheme="minorHAnsi" w:hint="eastAsia"/>
          <w:i/>
          <w:lang w:eastAsia="zh-CN"/>
        </w:rPr>
        <w:t>et al</w:t>
      </w:r>
      <w:r w:rsidR="00300553" w:rsidRPr="00000DD3">
        <w:rPr>
          <w:rFonts w:ascii="Book Antiqua" w:hAnsi="Book Antiqua" w:cstheme="minorHAnsi"/>
        </w:rPr>
        <w:fldChar w:fldCharType="begin" w:fldLock="1"/>
      </w:r>
      <w:r w:rsidR="00300553" w:rsidRPr="00000DD3">
        <w:rPr>
          <w:rFonts w:ascii="Book Antiqua" w:hAnsi="Book Antiqua" w:cstheme="minorHAnsi"/>
        </w:rPr>
        <w:instrText>ADDIN CSL_CITATION {"citationItems":[{"id":"ITEM-1","itemData":{"abstract":"Objective: This study investigates the effect of intra-articular injection of autologous mesenchymal stem cells (MSCs) on healing of partial thickness chondral defects in dogs as an experimental animal model. Patients and methods: Methodology: A partial thickness cartilage defect was created on the cartilage covering the lateral femoral condoyle in 24 stifle joint of 12 domestic mongrel dogs. MSCs were harvested in a separate procedure and then injected intra-articularly in the cell treated groups. Animals were divided equally into three groups according to the intra-articular injection. Group one, represented the control group. Animals of this group were operated on but did not receive any intra-articular injections. Group two, animals were injected intra-articularly one day after creating the chondral defect. Group three, animals were injected intra-articularly one month after creating the chondral defect. Results: Animals were sacrificed at 1, 2, 6, and 8 weeks for morphological and histological analysis. All animals were assessed clinically and sacrificed for morphological and histological evaluation. Clinical recovery was significantly better in the two cell treated groups than the control and better in the early injected group than the late one. Histologically, tissue of the control group at the region of defect was fibro-cartilaginous in nature. In the early injected group, the healed area showed differentiated chondrocytes surrounded by lacunae with homogenous hyaline matrix forming hyaline cartilage. In the late injected group, the tissue appeared more cellular than fibrous. The surface layers and cells were typical of fibro-hyaline cartilage. Conclusion: The obtained results prove that the use of I/A injection of autologous MSCs is a viable option for treating partial cartilage defects.","author":[{"dropping-particle":"","family":"El-Tookhy","given":"","non-dropping-particle":"","parse-names":false,"suffix":""},{"dropping-particle":"","family":"Abou Elkheir","given":"W","non-dropping-particle":"","parse-names":false,"suffix":""},{"dropping-particle":"","family":"Mokbel","given":"A","non-dropping-particle":"","parse-names":false,"suffix":""},{"dropping-particle":"","family":"Osman","given":"A","non-dropping-particle":"","parse-names":false,"suffix":""}],"container-title":"The Egyptian Rheumatologist","id":"ITEM-1","issue":"2","issued":{"date-parts":[["2008"]]},"page":"1-10","title":"Intra-articular injection of autologous mesenchymal stem cells in experimental chondral defects in dogs","type":"article-journal","volume":"30"},"uris":["http://www.mendeley.com/documents/?uuid=4978aaeb-90c9-3130-a8cb-24732a405c22"]}],"mendeley":{"formattedCitation":"&lt;sup&gt;[86]&lt;/sup&gt;","plainTextFormattedCitation":"[86]","previouslyFormattedCitation":"&lt;sup&gt;[86]&lt;/sup&gt;"},"properties":{"noteIndex":0},"schema":"https://github.com/citation-style-language/schema/raw/master/csl-citation.json"}</w:instrText>
      </w:r>
      <w:r w:rsidR="00300553" w:rsidRPr="00000DD3">
        <w:rPr>
          <w:rFonts w:ascii="Book Antiqua" w:hAnsi="Book Antiqua" w:cstheme="minorHAnsi"/>
        </w:rPr>
        <w:fldChar w:fldCharType="separate"/>
      </w:r>
      <w:r w:rsidR="00300553" w:rsidRPr="00000DD3">
        <w:rPr>
          <w:rFonts w:ascii="Book Antiqua" w:hAnsi="Book Antiqua" w:cstheme="minorHAnsi"/>
          <w:noProof/>
          <w:vertAlign w:val="superscript"/>
        </w:rPr>
        <w:t>[86]</w:t>
      </w:r>
      <w:r w:rsidR="00300553" w:rsidRPr="00000DD3">
        <w:rPr>
          <w:rFonts w:ascii="Book Antiqua" w:hAnsi="Book Antiqua" w:cstheme="minorHAnsi"/>
        </w:rPr>
        <w:fldChar w:fldCharType="end"/>
      </w:r>
      <w:r w:rsidRPr="00000DD3">
        <w:rPr>
          <w:rFonts w:ascii="Book Antiqua" w:hAnsi="Book Antiqua" w:cstheme="minorHAnsi"/>
        </w:rPr>
        <w:t xml:space="preserve"> reported that earl</w:t>
      </w:r>
      <w:r w:rsidR="005D339E" w:rsidRPr="00000DD3">
        <w:rPr>
          <w:rFonts w:ascii="Book Antiqua" w:hAnsi="Book Antiqua" w:cstheme="minorHAnsi"/>
        </w:rPr>
        <w:t>ier</w:t>
      </w:r>
      <w:r w:rsidRPr="00000DD3">
        <w:rPr>
          <w:rFonts w:ascii="Book Antiqua" w:hAnsi="Book Antiqua" w:cstheme="minorHAnsi"/>
        </w:rPr>
        <w:t xml:space="preserve"> injection</w:t>
      </w:r>
      <w:r w:rsidR="00951129" w:rsidRPr="00000DD3">
        <w:rPr>
          <w:rFonts w:ascii="Book Antiqua" w:hAnsi="Book Antiqua" w:cstheme="minorHAnsi"/>
        </w:rPr>
        <w:t>s</w:t>
      </w:r>
      <w:r w:rsidRPr="00000DD3">
        <w:rPr>
          <w:rFonts w:ascii="Book Antiqua" w:hAnsi="Book Antiqua" w:cstheme="minorHAnsi"/>
        </w:rPr>
        <w:t xml:space="preserve"> </w:t>
      </w:r>
      <w:r w:rsidR="005D339E" w:rsidRPr="00000DD3">
        <w:rPr>
          <w:rFonts w:ascii="Book Antiqua" w:hAnsi="Book Antiqua" w:cstheme="minorHAnsi"/>
        </w:rPr>
        <w:t xml:space="preserve">of </w:t>
      </w:r>
      <w:r w:rsidR="00401AEA" w:rsidRPr="00000DD3">
        <w:rPr>
          <w:rFonts w:ascii="Book Antiqua" w:hAnsi="Book Antiqua" w:cstheme="minorHAnsi"/>
        </w:rPr>
        <w:t>BM-</w:t>
      </w:r>
      <w:proofErr w:type="spellStart"/>
      <w:r w:rsidR="005D339E" w:rsidRPr="00000DD3">
        <w:rPr>
          <w:rFonts w:ascii="Book Antiqua" w:hAnsi="Book Antiqua" w:cstheme="minorHAnsi"/>
        </w:rPr>
        <w:t>cMSCs</w:t>
      </w:r>
      <w:proofErr w:type="spellEnd"/>
      <w:r w:rsidR="005D339E" w:rsidRPr="00000DD3">
        <w:rPr>
          <w:rFonts w:ascii="Book Antiqua" w:hAnsi="Book Antiqua" w:cstheme="minorHAnsi"/>
        </w:rPr>
        <w:t xml:space="preserve"> </w:t>
      </w:r>
      <w:r w:rsidRPr="00000DD3">
        <w:rPr>
          <w:rFonts w:ascii="Book Antiqua" w:hAnsi="Book Antiqua" w:cstheme="minorHAnsi"/>
        </w:rPr>
        <w:t>(</w:t>
      </w:r>
      <w:r w:rsidR="00951129" w:rsidRPr="00000DD3">
        <w:rPr>
          <w:rFonts w:ascii="Book Antiqua" w:hAnsi="Book Antiqua" w:cstheme="minorHAnsi"/>
          <w:i/>
        </w:rPr>
        <w:t>i.e.</w:t>
      </w:r>
      <w:r w:rsidR="00951129" w:rsidRPr="00000DD3">
        <w:rPr>
          <w:rFonts w:ascii="Book Antiqua" w:hAnsi="Book Antiqua" w:cstheme="minorHAnsi"/>
        </w:rPr>
        <w:t xml:space="preserve">, </w:t>
      </w:r>
      <w:r w:rsidRPr="00000DD3">
        <w:rPr>
          <w:rFonts w:ascii="Book Antiqua" w:hAnsi="Book Antiqua" w:cstheme="minorHAnsi"/>
        </w:rPr>
        <w:t xml:space="preserve">one day after creating the chondral defect) </w:t>
      </w:r>
      <w:r w:rsidR="00951129" w:rsidRPr="00000DD3">
        <w:rPr>
          <w:rFonts w:ascii="Book Antiqua" w:hAnsi="Book Antiqua" w:cstheme="minorHAnsi"/>
        </w:rPr>
        <w:t xml:space="preserve">resulted in </w:t>
      </w:r>
      <w:r w:rsidR="005D339E" w:rsidRPr="00000DD3">
        <w:rPr>
          <w:rFonts w:ascii="Book Antiqua" w:hAnsi="Book Antiqua" w:cstheme="minorHAnsi"/>
        </w:rPr>
        <w:t xml:space="preserve">hyaline cartilage regeneration in the defect area, </w:t>
      </w:r>
      <w:r w:rsidR="00951129" w:rsidRPr="00000DD3">
        <w:rPr>
          <w:rFonts w:ascii="Book Antiqua" w:hAnsi="Book Antiqua" w:cstheme="minorHAnsi"/>
        </w:rPr>
        <w:t xml:space="preserve">whereas </w:t>
      </w:r>
      <w:r w:rsidR="00A749BF" w:rsidRPr="00000DD3">
        <w:rPr>
          <w:rFonts w:ascii="Book Antiqua" w:hAnsi="Book Antiqua" w:cstheme="minorHAnsi"/>
        </w:rPr>
        <w:t xml:space="preserve">the therapeutic effect of </w:t>
      </w:r>
      <w:r w:rsidR="00951129" w:rsidRPr="00000DD3">
        <w:rPr>
          <w:rFonts w:ascii="Book Antiqua" w:hAnsi="Book Antiqua" w:cstheme="minorHAnsi"/>
        </w:rPr>
        <w:t xml:space="preserve">a </w:t>
      </w:r>
      <w:r w:rsidR="005D339E" w:rsidRPr="00000DD3">
        <w:rPr>
          <w:rFonts w:ascii="Book Antiqua" w:hAnsi="Book Antiqua" w:cstheme="minorHAnsi"/>
        </w:rPr>
        <w:t>later injection (</w:t>
      </w:r>
      <w:r w:rsidR="00951129" w:rsidRPr="00000DD3">
        <w:rPr>
          <w:rFonts w:ascii="Book Antiqua" w:hAnsi="Book Antiqua" w:cstheme="minorHAnsi"/>
          <w:i/>
        </w:rPr>
        <w:t>i.e</w:t>
      </w:r>
      <w:r w:rsidR="00951129" w:rsidRPr="00000DD3">
        <w:rPr>
          <w:rFonts w:ascii="Book Antiqua" w:hAnsi="Book Antiqua" w:cstheme="minorHAnsi"/>
        </w:rPr>
        <w:t xml:space="preserve">., </w:t>
      </w:r>
      <w:r w:rsidR="005D339E" w:rsidRPr="00000DD3">
        <w:rPr>
          <w:rFonts w:ascii="Book Antiqua" w:hAnsi="Book Antiqua" w:cstheme="minorHAnsi"/>
        </w:rPr>
        <w:t xml:space="preserve">one month after creating the chondral defect) </w:t>
      </w:r>
      <w:r w:rsidR="00D17C5B" w:rsidRPr="00000DD3">
        <w:rPr>
          <w:rFonts w:ascii="Book Antiqua" w:hAnsi="Book Antiqua" w:cstheme="minorHAnsi"/>
        </w:rPr>
        <w:t>was limited to</w:t>
      </w:r>
      <w:r w:rsidR="005D339E" w:rsidRPr="00000DD3">
        <w:rPr>
          <w:rFonts w:ascii="Book Antiqua" w:hAnsi="Book Antiqua" w:cstheme="minorHAnsi"/>
        </w:rPr>
        <w:t xml:space="preserve"> fibro-hyaline cartilage regeneration</w:t>
      </w:r>
      <w:r w:rsidR="005D339E" w:rsidRPr="00000DD3">
        <w:rPr>
          <w:rFonts w:ascii="Book Antiqua" w:hAnsi="Book Antiqua" w:cstheme="minorHAnsi"/>
        </w:rPr>
        <w:fldChar w:fldCharType="begin" w:fldLock="1"/>
      </w:r>
      <w:r w:rsidR="00AB78A8" w:rsidRPr="00000DD3">
        <w:rPr>
          <w:rFonts w:ascii="Book Antiqua" w:hAnsi="Book Antiqua" w:cstheme="minorHAnsi"/>
        </w:rPr>
        <w:instrText>ADDIN CSL_CITATION {"citationItems":[{"id":"ITEM-1","itemData":{"abstract":"Objective: This study investigates the effect of intra-articular injection of autologous mesenchymal stem cells (MSCs) on healing of partial thickness chondral defects in dogs as an experimental animal model. Patients and methods: Methodology: A partial thickness cartilage defect was created on the cartilage covering the lateral femoral condoyle in 24 stifle joint of 12 domestic mongrel dogs. MSCs were harvested in a separate procedure and then injected intra-articularly in the cell treated groups. Animals were divided equally into three groups according to the intra-articular injection. Group one, represented the control group. Animals of this group were operated on but did not receive any intra-articular injections. Group two, animals were injected intra-articularly one day after creating the chondral defect. Group three, animals were injected intra-articularly one month after creating the chondral defect. Results: Animals were sacrificed at 1, 2, 6, and 8 weeks for morphological and histological analysis. All animals were assessed clinically and sacrificed for morphological and histological evaluation. Clinical recovery was significantly better in the two cell treated groups than the control and better in the early injected group than the late one. Histologically, tissue of the control group at the region of defect was fibro-cartilaginous in nature. In the early injected group, the healed area showed differentiated chondrocytes surrounded by lacunae with homogenous hyaline matrix forming hyaline cartilage. In the late injected group, the tissue appeared more cellular than fibrous. The surface layers and cells were typical of fibro-hyaline cartilage. Conclusion: The obtained results prove that the use of I/A injection of autologous MSCs is a viable option for treating partial cartilage defects.","author":[{"dropping-particle":"","family":"El-Tookhy","given":"","non-dropping-particle":"","parse-names":false,"suffix":""},{"dropping-particle":"","family":"Abou Elkheir","given":"W","non-dropping-particle":"","parse-names":false,"suffix":""},{"dropping-particle":"","family":"Mokbel","given":"A","non-dropping-particle":"","parse-names":false,"suffix":""},{"dropping-particle":"","family":"Osman","given":"A","non-dropping-particle":"","parse-names":false,"suffix":""}],"container-title":"The Egyptian Rheumatologist","id":"ITEM-1","issue":"2","issued":{"date-parts":[["2008"]]},"page":"1-10","title":"Intra-articular injection of autologous mesenchymal stem cells in experimental chondral defects in dogs","type":"article-journal","volume":"30"},"uris":["http://www.mendeley.com/documents/?uuid=4978aaeb-90c9-3130-a8cb-24732a405c22"]}],"mendeley":{"formattedCitation":"&lt;sup&gt;[86]&lt;/sup&gt;","plainTextFormattedCitation":"[86]","previouslyFormattedCitation":"&lt;sup&gt;[86]&lt;/sup&gt;"},"properties":{"noteIndex":0},"schema":"https://github.com/citation-style-language/schema/raw/master/csl-citation.json"}</w:instrText>
      </w:r>
      <w:r w:rsidR="005D339E" w:rsidRPr="00000DD3">
        <w:rPr>
          <w:rFonts w:ascii="Book Antiqua" w:hAnsi="Book Antiqua" w:cstheme="minorHAnsi"/>
        </w:rPr>
        <w:fldChar w:fldCharType="separate"/>
      </w:r>
      <w:r w:rsidR="004D4631" w:rsidRPr="00000DD3">
        <w:rPr>
          <w:rFonts w:ascii="Book Antiqua" w:hAnsi="Book Antiqua" w:cstheme="minorHAnsi"/>
          <w:noProof/>
          <w:vertAlign w:val="superscript"/>
        </w:rPr>
        <w:t>[86]</w:t>
      </w:r>
      <w:r w:rsidR="005D339E" w:rsidRPr="00000DD3">
        <w:rPr>
          <w:rFonts w:ascii="Book Antiqua" w:hAnsi="Book Antiqua" w:cstheme="minorHAnsi"/>
        </w:rPr>
        <w:fldChar w:fldCharType="end"/>
      </w:r>
      <w:r w:rsidR="00E22AFD" w:rsidRPr="00000DD3">
        <w:rPr>
          <w:rFonts w:ascii="Book Antiqua" w:hAnsi="Book Antiqua" w:cstheme="minorHAnsi"/>
        </w:rPr>
        <w:t xml:space="preserve">. </w:t>
      </w:r>
      <w:r w:rsidR="00951129" w:rsidRPr="00000DD3">
        <w:rPr>
          <w:rFonts w:ascii="Book Antiqua" w:hAnsi="Book Antiqua" w:cstheme="minorHAnsi"/>
        </w:rPr>
        <w:t>S</w:t>
      </w:r>
      <w:r w:rsidR="00401AEA" w:rsidRPr="00000DD3">
        <w:rPr>
          <w:rFonts w:ascii="Book Antiqua" w:hAnsi="Book Antiqua" w:cstheme="minorHAnsi"/>
        </w:rPr>
        <w:t>imilar results were reported for AD-</w:t>
      </w:r>
      <w:proofErr w:type="spellStart"/>
      <w:r w:rsidR="00401AEA" w:rsidRPr="00000DD3">
        <w:rPr>
          <w:rFonts w:ascii="Book Antiqua" w:hAnsi="Book Antiqua" w:cstheme="minorHAnsi"/>
        </w:rPr>
        <w:t>cMSCs</w:t>
      </w:r>
      <w:proofErr w:type="spellEnd"/>
      <w:r w:rsidR="00401AEA" w:rsidRPr="00000DD3">
        <w:rPr>
          <w:rFonts w:ascii="Book Antiqua" w:hAnsi="Book Antiqua" w:cstheme="minorHAnsi"/>
        </w:rPr>
        <w:fldChar w:fldCharType="begin" w:fldLock="1"/>
      </w:r>
      <w:r w:rsidR="004D4631" w:rsidRPr="00000DD3">
        <w:rPr>
          <w:rFonts w:ascii="Book Antiqua" w:hAnsi="Book Antiqua" w:cstheme="minorHAnsi"/>
        </w:rPr>
        <w:instrText>ADDIN CSL_CITATION {"citationItems":[{"id":"ITEM-1","itemData":{"ISBN":"0392-856X (Print)\\r0392-856X (Linking)","ISSN":"0392856X","PMID":"21385540","abstract":"Objective: This study was intended to verify the likelihood of homing of intra-articularily infected mesenchymal stem cells (MSCs) and its involvement in the healing process of experimentally induced, acute and chronic, partial chondral defects in dogs. Methods: Partial thickness chondral defects were created on the lateral femoral condyle of stifle joint in domestic mongrel dogs. MSCs were harvested in a separate procedure, labelled with green fluorescent protein (GFP) using monster GFP vector and suspended in buffer phosphate solution for intra-articular (IA) injection. Dogs were divided into three groups. Group I, served as the control. The dogs in the two cell-treated groups received a single IA injection of MSCs one day (Group II) and one month (Group III) after creating the defect. Sacrifice was scheduled at 2 and 8 weeks post-surgery for group I, and 2 and 8 weeks post-treatment, for the cell-treated groups. Morphological, histological, and fluorescence analysis was performed. Results: Recovery was significant both clinically and histologically in the two cell-treated groups (Group Il and III) compared to the control (Group I), (p&lt;0.001). In the meantime, Group-II showed better results at 8 weeks than Group III (p=0.01). Homing was confirmed by the incorporation of injected GFP-labelled MSCs within the newly formed cartilage. Conclusion: The obtained results prove that the use of IA injection of autologous MSCs is a viable option for treating partial cartilage defects. Cell labelling gave evidence to the certainty of cell homing within the neocartilage of all treated cases and the participation in the reparative process. © Copyright Clinical and Experimental Rheumatology 2011.","author":[{"dropping-particle":"","family":"Mokbel","given":"A.","non-dropping-particle":"","parse-names":false,"suffix":""},{"dropping-particle":"","family":"El-Tookhy","given":"O.","non-dropping-particle":"","parse-names":false,"suffix":""},{"dropping-particle":"","family":"Shamaa","given":"A. A.","non-dropping-particle":"","parse-names":false,"suffix":""},{"dropping-particle":"","family":"Sabry","given":"D.","non-dropping-particle":"","parse-names":false,"suffix":""},{"dropping-particle":"","family":"Rashed","given":"L.","non-dropping-particle":"","parse-names":false,"suffix":""},{"dropping-particle":"","family":"Mostafa","given":"A.","non-dropping-particle":"","parse-names":false,"suffix":""}],"container-title":"Clinical and Experimental Rheumatology","id":"ITEM-1","issue":"2","issued":{"date-parts":[["2011"]]},"page":"275-284","title":"Homing and efficacy of intra-articular injection of autologous mesenchymal stem cells in experimental chondral defects in dogs","type":"article-journal","volume":"29"},"uris":["http://www.mendeley.com/documents/?uuid=34242ab3-e496-3871-9026-0522cb392679"]}],"mendeley":{"formattedCitation":"&lt;sup&gt;[87]&lt;/sup&gt;","plainTextFormattedCitation":"[87]","previouslyFormattedCitation":"&lt;sup&gt;[87]&lt;/sup&gt;"},"properties":{"noteIndex":0},"schema":"https://github.com/citation-style-language/schema/raw/master/csl-citation.json"}</w:instrText>
      </w:r>
      <w:r w:rsidR="00401AEA" w:rsidRPr="00000DD3">
        <w:rPr>
          <w:rFonts w:ascii="Book Antiqua" w:hAnsi="Book Antiqua" w:cstheme="minorHAnsi"/>
        </w:rPr>
        <w:fldChar w:fldCharType="separate"/>
      </w:r>
      <w:r w:rsidR="004D4631" w:rsidRPr="00000DD3">
        <w:rPr>
          <w:rFonts w:ascii="Book Antiqua" w:hAnsi="Book Antiqua" w:cstheme="minorHAnsi"/>
          <w:noProof/>
          <w:vertAlign w:val="superscript"/>
        </w:rPr>
        <w:t>[87]</w:t>
      </w:r>
      <w:r w:rsidR="00401AEA" w:rsidRPr="00000DD3">
        <w:rPr>
          <w:rFonts w:ascii="Book Antiqua" w:hAnsi="Book Antiqua" w:cstheme="minorHAnsi"/>
        </w:rPr>
        <w:fldChar w:fldCharType="end"/>
      </w:r>
      <w:r w:rsidR="00401AEA" w:rsidRPr="00000DD3">
        <w:rPr>
          <w:rFonts w:ascii="Book Antiqua" w:hAnsi="Book Antiqua" w:cstheme="minorHAnsi"/>
        </w:rPr>
        <w:t xml:space="preserve">. </w:t>
      </w:r>
      <w:r w:rsidR="004C204F" w:rsidRPr="00000DD3">
        <w:rPr>
          <w:rFonts w:ascii="Book Antiqua" w:hAnsi="Book Antiqua" w:cstheme="minorHAnsi"/>
        </w:rPr>
        <w:t>Th</w:t>
      </w:r>
      <w:r w:rsidR="00E22AFD" w:rsidRPr="00000DD3">
        <w:rPr>
          <w:rFonts w:ascii="Book Antiqua" w:hAnsi="Book Antiqua" w:cstheme="minorHAnsi"/>
        </w:rPr>
        <w:t>ese</w:t>
      </w:r>
      <w:r w:rsidR="004C204F" w:rsidRPr="00000DD3">
        <w:rPr>
          <w:rFonts w:ascii="Book Antiqua" w:hAnsi="Book Antiqua" w:cstheme="minorHAnsi"/>
        </w:rPr>
        <w:t xml:space="preserve"> </w:t>
      </w:r>
      <w:r w:rsidR="00951129" w:rsidRPr="00000DD3">
        <w:rPr>
          <w:rFonts w:ascii="Book Antiqua" w:hAnsi="Book Antiqua" w:cstheme="minorHAnsi"/>
        </w:rPr>
        <w:t xml:space="preserve">findings </w:t>
      </w:r>
      <w:r w:rsidR="004C204F" w:rsidRPr="00000DD3">
        <w:rPr>
          <w:rFonts w:ascii="Book Antiqua" w:hAnsi="Book Antiqua" w:cstheme="minorHAnsi"/>
        </w:rPr>
        <w:t xml:space="preserve">suggest that injured tissue may express specific receptors or ligands </w:t>
      </w:r>
      <w:r w:rsidR="00951129" w:rsidRPr="00000DD3">
        <w:rPr>
          <w:rFonts w:ascii="Book Antiqua" w:hAnsi="Book Antiqua" w:cstheme="minorHAnsi"/>
        </w:rPr>
        <w:t xml:space="preserve">that </w:t>
      </w:r>
      <w:r w:rsidR="004C204F" w:rsidRPr="00000DD3">
        <w:rPr>
          <w:rFonts w:ascii="Book Antiqua" w:hAnsi="Book Antiqua" w:cstheme="minorHAnsi"/>
        </w:rPr>
        <w:t xml:space="preserve">promote </w:t>
      </w:r>
      <w:r w:rsidR="00951129" w:rsidRPr="00000DD3">
        <w:rPr>
          <w:rFonts w:ascii="Book Antiqua" w:hAnsi="Book Antiqua" w:cstheme="minorHAnsi"/>
        </w:rPr>
        <w:t xml:space="preserve">the </w:t>
      </w:r>
      <w:r w:rsidR="004C204F" w:rsidRPr="00000DD3">
        <w:rPr>
          <w:rFonts w:ascii="Book Antiqua" w:hAnsi="Book Antiqua" w:cstheme="minorHAnsi"/>
        </w:rPr>
        <w:t>adhesion or infiltration of MSCs to the defect site</w:t>
      </w:r>
      <w:r w:rsidR="00494828" w:rsidRPr="00000DD3">
        <w:rPr>
          <w:rFonts w:ascii="Book Antiqua" w:hAnsi="Book Antiqua" w:cstheme="minorHAnsi"/>
        </w:rPr>
        <w:t xml:space="preserve"> in </w:t>
      </w:r>
      <w:r w:rsidR="00951129" w:rsidRPr="00000DD3">
        <w:rPr>
          <w:rFonts w:ascii="Book Antiqua" w:hAnsi="Book Antiqua" w:cstheme="minorHAnsi"/>
        </w:rPr>
        <w:t xml:space="preserve">the </w:t>
      </w:r>
      <w:r w:rsidR="00494828" w:rsidRPr="00000DD3">
        <w:rPr>
          <w:rFonts w:ascii="Book Antiqua" w:hAnsi="Book Antiqua" w:cstheme="minorHAnsi"/>
        </w:rPr>
        <w:t>early phase of injury</w:t>
      </w:r>
      <w:r w:rsidR="004C204F" w:rsidRPr="00000DD3">
        <w:rPr>
          <w:rFonts w:ascii="Book Antiqua" w:hAnsi="Book Antiqua" w:cstheme="minorHAnsi"/>
        </w:rPr>
        <w:t xml:space="preserve"> </w:t>
      </w:r>
      <w:r w:rsidR="00494828" w:rsidRPr="00000DD3">
        <w:rPr>
          <w:rFonts w:ascii="Book Antiqua" w:hAnsi="Book Antiqua" w:cstheme="minorHAnsi"/>
        </w:rPr>
        <w:t>and</w:t>
      </w:r>
      <w:r w:rsidR="0048621F" w:rsidRPr="00000DD3">
        <w:rPr>
          <w:rFonts w:ascii="Book Antiqua" w:hAnsi="Book Antiqua" w:cstheme="minorHAnsi"/>
        </w:rPr>
        <w:t xml:space="preserve"> that</w:t>
      </w:r>
      <w:r w:rsidR="00494828" w:rsidRPr="00000DD3">
        <w:rPr>
          <w:rFonts w:ascii="Book Antiqua" w:hAnsi="Book Antiqua" w:cstheme="minorHAnsi"/>
        </w:rPr>
        <w:t xml:space="preserve"> these </w:t>
      </w:r>
      <w:r w:rsidR="001A096A" w:rsidRPr="00000DD3">
        <w:rPr>
          <w:rFonts w:ascii="Book Antiqua" w:hAnsi="Book Antiqua" w:cstheme="minorHAnsi"/>
        </w:rPr>
        <w:t xml:space="preserve">receptors or ligands </w:t>
      </w:r>
      <w:r w:rsidR="00494828" w:rsidRPr="00000DD3">
        <w:rPr>
          <w:rFonts w:ascii="Book Antiqua" w:hAnsi="Book Antiqua" w:cstheme="minorHAnsi"/>
        </w:rPr>
        <w:t xml:space="preserve">may be down-regulated </w:t>
      </w:r>
      <w:r w:rsidR="001A096A" w:rsidRPr="00000DD3">
        <w:rPr>
          <w:rFonts w:ascii="Book Antiqua" w:hAnsi="Book Antiqua" w:cstheme="minorHAnsi"/>
        </w:rPr>
        <w:t>as time progresses after the injury.</w:t>
      </w:r>
    </w:p>
    <w:p w14:paraId="1CF81FD0" w14:textId="49275ED2" w:rsidR="002F5C2F" w:rsidRPr="00000DD3" w:rsidRDefault="004A294E" w:rsidP="00300553">
      <w:pPr>
        <w:spacing w:line="360" w:lineRule="auto"/>
        <w:ind w:firstLineChars="100" w:firstLine="240"/>
        <w:jc w:val="both"/>
        <w:rPr>
          <w:rFonts w:ascii="Book Antiqua" w:hAnsi="Book Antiqua" w:cstheme="minorHAnsi"/>
        </w:rPr>
      </w:pPr>
      <w:proofErr w:type="spellStart"/>
      <w:r w:rsidRPr="00000DD3">
        <w:rPr>
          <w:rFonts w:ascii="Book Antiqua" w:hAnsi="Book Antiqua" w:cstheme="minorHAnsi"/>
        </w:rPr>
        <w:t>Mokbel</w:t>
      </w:r>
      <w:proofErr w:type="spellEnd"/>
      <w:r w:rsidRPr="00000DD3">
        <w:rPr>
          <w:rFonts w:ascii="Book Antiqua" w:hAnsi="Book Antiqua" w:cstheme="minorHAnsi"/>
        </w:rPr>
        <w:t xml:space="preserve"> </w:t>
      </w:r>
      <w:r w:rsidR="00300553" w:rsidRPr="00000DD3">
        <w:rPr>
          <w:rFonts w:ascii="Book Antiqua" w:eastAsia="黑体" w:hAnsi="Book Antiqua" w:cstheme="minorHAnsi" w:hint="eastAsia"/>
          <w:i/>
          <w:lang w:eastAsia="zh-CN"/>
        </w:rPr>
        <w:t>et al</w:t>
      </w:r>
      <w:r w:rsidR="00300553" w:rsidRPr="00000DD3">
        <w:rPr>
          <w:rFonts w:ascii="Book Antiqua" w:hAnsi="Book Antiqua" w:cstheme="minorHAnsi"/>
        </w:rPr>
        <w:fldChar w:fldCharType="begin" w:fldLock="1"/>
      </w:r>
      <w:r w:rsidR="00300553" w:rsidRPr="00000DD3">
        <w:rPr>
          <w:rFonts w:ascii="Book Antiqua" w:hAnsi="Book Antiqua" w:cstheme="minorHAnsi"/>
        </w:rPr>
        <w:instrText>ADDIN CSL_CITATION {"citationItems":[{"id":"ITEM-1","itemData":{"ISBN":"0392-856X (Print)\\r0392-856X (Linking)","ISSN":"0392856X","PMID":"21385540","abstract":"Objective: This study was intended to verify the likelihood of homing of intra-articularily infected mesenchymal stem cells (MSCs) and its involvement in the healing process of experimentally induced, acute and chronic, partial chondral defects in dogs. Methods: Partial thickness chondral defects were created on the lateral femoral condyle of stifle joint in domestic mongrel dogs. MSCs were harvested in a separate procedure, labelled with green fluorescent protein (GFP) using monster GFP vector and suspended in buffer phosphate solution for intra-articular (IA) injection. Dogs were divided into three groups. Group I, served as the control. The dogs in the two cell-treated groups received a single IA injection of MSCs one day (Group II) and one month (Group III) after creating the defect. Sacrifice was scheduled at 2 and 8 weeks post-surgery for group I, and 2 and 8 weeks post-treatment, for the cell-treated groups. Morphological, histological, and fluorescence analysis was performed. Results: Recovery was significant both clinically and histologically in the two cell-treated groups (Group Il and III) compared to the control (Group I), (p&lt;0.001). In the meantime, Group-II showed better results at 8 weeks than Group III (p=0.01). Homing was confirmed by the incorporation of injected GFP-labelled MSCs within the newly formed cartilage. Conclusion: The obtained results prove that the use of IA injection of autologous MSCs is a viable option for treating partial cartilage defects. Cell labelling gave evidence to the certainty of cell homing within the neocartilage of all treated cases and the participation in the reparative process. © Copyright Clinical and Experimental Rheumatology 2011.","author":[{"dropping-particle":"","family":"Mokbel","given":"A.","non-dropping-particle":"","parse-names":false,"suffix":""},{"dropping-particle":"","family":"El-Tookhy","given":"O.","non-dropping-particle":"","parse-names":false,"suffix":""},{"dropping-particle":"","family":"Shamaa","given":"A. A.","non-dropping-particle":"","parse-names":false,"suffix":""},{"dropping-particle":"","family":"Sabry","given":"D.","non-dropping-particle":"","parse-names":false,"suffix":""},{"dropping-particle":"","family":"Rashed","given":"L.","non-dropping-particle":"","parse-names":false,"suffix":""},{"dropping-particle":"","family":"Mostafa","given":"A.","non-dropping-particle":"","parse-names":false,"suffix":""}],"container-title":"Clinical and Experimental Rheumatology","id":"ITEM-1","issue":"2","issued":{"date-parts":[["2011"]]},"page":"275-284","title":"Homing and efficacy of intra-articular injection of autologous mesenchymal stem cells in experimental chondral defects in dogs","type":"article-journal","volume":"29"},"uris":["http://www.mendeley.com/documents/?uuid=34242ab3-e496-3871-9026-0522cb392679"]}],"mendeley":{"formattedCitation":"&lt;sup&gt;[87]&lt;/sup&gt;","plainTextFormattedCitation":"[87]","previouslyFormattedCitation":"&lt;sup&gt;[87]&lt;/sup&gt;"},"properties":{"noteIndex":0},"schema":"https://github.com/citation-style-language/schema/raw/master/csl-citation.json"}</w:instrText>
      </w:r>
      <w:r w:rsidR="00300553" w:rsidRPr="00000DD3">
        <w:rPr>
          <w:rFonts w:ascii="Book Antiqua" w:hAnsi="Book Antiqua" w:cstheme="minorHAnsi"/>
        </w:rPr>
        <w:fldChar w:fldCharType="separate"/>
      </w:r>
      <w:r w:rsidR="00300553" w:rsidRPr="00000DD3">
        <w:rPr>
          <w:rFonts w:ascii="Book Antiqua" w:hAnsi="Book Antiqua" w:cstheme="minorHAnsi"/>
          <w:noProof/>
          <w:vertAlign w:val="superscript"/>
        </w:rPr>
        <w:t>[87]</w:t>
      </w:r>
      <w:r w:rsidR="00300553" w:rsidRPr="00000DD3">
        <w:rPr>
          <w:rFonts w:ascii="Book Antiqua" w:hAnsi="Book Antiqua" w:cstheme="minorHAnsi"/>
        </w:rPr>
        <w:fldChar w:fldCharType="end"/>
      </w:r>
      <w:r w:rsidRPr="00000DD3">
        <w:rPr>
          <w:rFonts w:ascii="Book Antiqua" w:hAnsi="Book Antiqua" w:cstheme="minorHAnsi"/>
        </w:rPr>
        <w:t xml:space="preserve"> </w:t>
      </w:r>
      <w:r w:rsidR="001A096A" w:rsidRPr="00000DD3">
        <w:rPr>
          <w:rFonts w:ascii="Book Antiqua" w:hAnsi="Book Antiqua" w:cstheme="minorHAnsi"/>
        </w:rPr>
        <w:t xml:space="preserve">showed </w:t>
      </w:r>
      <w:r w:rsidRPr="00000DD3">
        <w:rPr>
          <w:rFonts w:ascii="Book Antiqua" w:hAnsi="Book Antiqua" w:cstheme="minorHAnsi"/>
        </w:rPr>
        <w:t xml:space="preserve">the homing of </w:t>
      </w:r>
      <w:proofErr w:type="spellStart"/>
      <w:r w:rsidRPr="00000DD3">
        <w:rPr>
          <w:rFonts w:ascii="Book Antiqua" w:hAnsi="Book Antiqua" w:cstheme="minorHAnsi"/>
        </w:rPr>
        <w:t>cMSCs</w:t>
      </w:r>
      <w:proofErr w:type="spellEnd"/>
      <w:r w:rsidR="004301DA" w:rsidRPr="00000DD3">
        <w:rPr>
          <w:rFonts w:ascii="Book Antiqua" w:hAnsi="Book Antiqua" w:cstheme="minorHAnsi"/>
        </w:rPr>
        <w:t xml:space="preserve"> in dog</w:t>
      </w:r>
      <w:r w:rsidR="00FA62F5" w:rsidRPr="00000DD3">
        <w:rPr>
          <w:rFonts w:ascii="Book Antiqua" w:hAnsi="Book Antiqua" w:cstheme="minorHAnsi"/>
        </w:rPr>
        <w:t xml:space="preserve"> stifle joints</w:t>
      </w:r>
      <w:r w:rsidR="000B006F" w:rsidRPr="00000DD3">
        <w:rPr>
          <w:rFonts w:ascii="Book Antiqua" w:hAnsi="Book Antiqua" w:cstheme="minorHAnsi"/>
        </w:rPr>
        <w:t xml:space="preserve"> with a partial thickness chondral defect</w:t>
      </w:r>
      <w:r w:rsidRPr="00000DD3">
        <w:rPr>
          <w:rFonts w:ascii="Book Antiqua" w:hAnsi="Book Antiqua" w:cstheme="minorHAnsi"/>
        </w:rPr>
        <w:t xml:space="preserve"> after intraarticular injection</w:t>
      </w:r>
      <w:r w:rsidR="00FA62F5" w:rsidRPr="00000DD3">
        <w:rPr>
          <w:rFonts w:ascii="Book Antiqua" w:hAnsi="Book Antiqua" w:cstheme="minorHAnsi"/>
        </w:rPr>
        <w:t xml:space="preserve"> of autologous AD-</w:t>
      </w:r>
      <w:proofErr w:type="spellStart"/>
      <w:r w:rsidR="00FA62F5" w:rsidRPr="00000DD3">
        <w:rPr>
          <w:rFonts w:ascii="Book Antiqua" w:hAnsi="Book Antiqua" w:cstheme="minorHAnsi"/>
        </w:rPr>
        <w:t>cMSCs</w:t>
      </w:r>
      <w:proofErr w:type="spellEnd"/>
      <w:r w:rsidRPr="00000DD3">
        <w:rPr>
          <w:rFonts w:ascii="Book Antiqua" w:hAnsi="Book Antiqua" w:cstheme="minorHAnsi"/>
        </w:rPr>
        <w:t xml:space="preserve"> </w:t>
      </w:r>
      <w:r w:rsidR="0000292D" w:rsidRPr="00000DD3">
        <w:rPr>
          <w:rFonts w:ascii="Book Antiqua" w:hAnsi="Book Antiqua" w:cstheme="minorHAnsi"/>
        </w:rPr>
        <w:t>labelled with</w:t>
      </w:r>
      <w:r w:rsidRPr="00000DD3">
        <w:rPr>
          <w:rFonts w:ascii="Book Antiqua" w:hAnsi="Book Antiqua" w:cstheme="minorHAnsi"/>
        </w:rPr>
        <w:t xml:space="preserve"> </w:t>
      </w:r>
      <w:r w:rsidR="0000292D" w:rsidRPr="00000DD3">
        <w:rPr>
          <w:rFonts w:ascii="Book Antiqua" w:hAnsi="Book Antiqua" w:cstheme="minorHAnsi"/>
        </w:rPr>
        <w:t>green fluorescent protein</w:t>
      </w:r>
      <w:r w:rsidR="001A096A" w:rsidRPr="00000DD3">
        <w:rPr>
          <w:rFonts w:ascii="Book Antiqua" w:hAnsi="Book Antiqua" w:cstheme="minorHAnsi"/>
        </w:rPr>
        <w:t>. They detected</w:t>
      </w:r>
      <w:r w:rsidRPr="00000DD3">
        <w:rPr>
          <w:rFonts w:ascii="Book Antiqua" w:hAnsi="Book Antiqua" w:cstheme="minorHAnsi"/>
        </w:rPr>
        <w:t xml:space="preserve"> </w:t>
      </w:r>
      <w:r w:rsidR="00FA62F5" w:rsidRPr="00000DD3">
        <w:rPr>
          <w:rFonts w:ascii="Book Antiqua" w:hAnsi="Book Antiqua" w:cstheme="minorHAnsi"/>
        </w:rPr>
        <w:t>labelled cells</w:t>
      </w:r>
      <w:r w:rsidR="00AA3D18" w:rsidRPr="00000DD3">
        <w:rPr>
          <w:rFonts w:ascii="Book Antiqua" w:hAnsi="Book Antiqua" w:cstheme="minorHAnsi"/>
        </w:rPr>
        <w:t xml:space="preserve"> in the neocartilage</w:t>
      </w:r>
      <w:r w:rsidR="00300553" w:rsidRPr="00000DD3">
        <w:rPr>
          <w:rFonts w:ascii="Book Antiqua" w:hAnsi="Book Antiqua" w:cstheme="minorHAnsi"/>
        </w:rPr>
        <w:t xml:space="preserve"> at 8 </w:t>
      </w:r>
      <w:proofErr w:type="spellStart"/>
      <w:r w:rsidR="00300553" w:rsidRPr="00000DD3">
        <w:rPr>
          <w:rFonts w:ascii="Book Antiqua" w:hAnsi="Book Antiqua" w:cstheme="minorHAnsi"/>
        </w:rPr>
        <w:t>wk</w:t>
      </w:r>
      <w:proofErr w:type="spellEnd"/>
      <w:r w:rsidR="007D536E" w:rsidRPr="00000DD3">
        <w:rPr>
          <w:rFonts w:ascii="Book Antiqua" w:hAnsi="Book Antiqua" w:cstheme="minorHAnsi"/>
        </w:rPr>
        <w:t xml:space="preserve"> after </w:t>
      </w:r>
      <w:r w:rsidR="000B006F" w:rsidRPr="00000DD3">
        <w:rPr>
          <w:rFonts w:ascii="Book Antiqua" w:hAnsi="Book Antiqua" w:cstheme="minorHAnsi"/>
        </w:rPr>
        <w:t xml:space="preserve">the </w:t>
      </w:r>
      <w:proofErr w:type="spellStart"/>
      <w:r w:rsidR="000B006F" w:rsidRPr="00000DD3">
        <w:rPr>
          <w:rFonts w:ascii="Book Antiqua" w:hAnsi="Book Antiqua" w:cstheme="minorHAnsi"/>
        </w:rPr>
        <w:t>cMSC</w:t>
      </w:r>
      <w:proofErr w:type="spellEnd"/>
      <w:r w:rsidR="000B006F" w:rsidRPr="00000DD3">
        <w:rPr>
          <w:rFonts w:ascii="Book Antiqua" w:hAnsi="Book Antiqua" w:cstheme="minorHAnsi"/>
        </w:rPr>
        <w:t xml:space="preserve"> injection</w:t>
      </w:r>
      <w:r w:rsidR="00AA3D18" w:rsidRPr="00000DD3">
        <w:rPr>
          <w:rFonts w:ascii="Book Antiqua" w:hAnsi="Book Antiqua" w:cstheme="minorHAnsi"/>
        </w:rPr>
        <w:fldChar w:fldCharType="begin" w:fldLock="1"/>
      </w:r>
      <w:r w:rsidR="004D4631" w:rsidRPr="00000DD3">
        <w:rPr>
          <w:rFonts w:ascii="Book Antiqua" w:hAnsi="Book Antiqua" w:cstheme="minorHAnsi"/>
        </w:rPr>
        <w:instrText>ADDIN CSL_CITATION {"citationItems":[{"id":"ITEM-1","itemData":{"ISBN":"0392-856X (Print)\\r0392-856X (Linking)","ISSN":"0392856X","PMID":"21385540","abstract":"Objective: This study was intended to verify the likelihood of homing of intra-articularily infected mesenchymal stem cells (MSCs) and its involvement in the healing process of experimentally induced, acute and chronic, partial chondral defects in dogs. Methods: Partial thickness chondral defects were created on the lateral femoral condyle of stifle joint in domestic mongrel dogs. MSCs were harvested in a separate procedure, labelled with green fluorescent protein (GFP) using monster GFP vector and suspended in buffer phosphate solution for intra-articular (IA) injection. Dogs were divided into three groups. Group I, served as the control. The dogs in the two cell-treated groups received a single IA injection of MSCs one day (Group II) and one month (Group III) after creating the defect. Sacrifice was scheduled at 2 and 8 weeks post-surgery for group I, and 2 and 8 weeks post-treatment, for the cell-treated groups. Morphological, histological, and fluorescence analysis was performed. Results: Recovery was significant both clinically and histologically in the two cell-treated groups (Group Il and III) compared to the control (Group I), (p&lt;0.001). In the meantime, Group-II showed better results at 8 weeks than Group III (p=0.01). Homing was confirmed by the incorporation of injected GFP-labelled MSCs within the newly formed cartilage. Conclusion: The obtained results prove that the use of IA injection of autologous MSCs is a viable option for treating partial cartilage defects. Cell labelling gave evidence to the certainty of cell homing within the neocartilage of all treated cases and the participation in the reparative process. © Copyright Clinical and Experimental Rheumatology 2011.","author":[{"dropping-particle":"","family":"Mokbel","given":"A.","non-dropping-particle":"","parse-names":false,"suffix":""},{"dropping-particle":"","family":"El-Tookhy","given":"O.","non-dropping-particle":"","parse-names":false,"suffix":""},{"dropping-particle":"","family":"Shamaa","given":"A. A.","non-dropping-particle":"","parse-names":false,"suffix":""},{"dropping-particle":"","family":"Sabry","given":"D.","non-dropping-particle":"","parse-names":false,"suffix":""},{"dropping-particle":"","family":"Rashed","given":"L.","non-dropping-particle":"","parse-names":false,"suffix":""},{"dropping-particle":"","family":"Mostafa","given":"A.","non-dropping-particle":"","parse-names":false,"suffix":""}],"container-title":"Clinical and Experimental Rheumatology","id":"ITEM-1","issue":"2","issued":{"date-parts":[["2011"]]},"page":"275-284","title":"Homing and efficacy of intra-articular injection of autologous mesenchymal stem cells in experimental chondral defects in dogs","type":"article-journal","volume":"29"},"uris":["http://www.mendeley.com/documents/?uuid=34242ab3-e496-3871-9026-0522cb392679"]}],"mendeley":{"formattedCitation":"&lt;sup&gt;[87]&lt;/sup&gt;","plainTextFormattedCitation":"[87]","previouslyFormattedCitation":"&lt;sup&gt;[87]&lt;/sup&gt;"},"properties":{"noteIndex":0},"schema":"https://github.com/citation-style-language/schema/raw/master/csl-citation.json"}</w:instrText>
      </w:r>
      <w:r w:rsidR="00AA3D18" w:rsidRPr="00000DD3">
        <w:rPr>
          <w:rFonts w:ascii="Book Antiqua" w:hAnsi="Book Antiqua" w:cstheme="minorHAnsi"/>
        </w:rPr>
        <w:fldChar w:fldCharType="separate"/>
      </w:r>
      <w:r w:rsidR="004D4631" w:rsidRPr="00000DD3">
        <w:rPr>
          <w:rFonts w:ascii="Book Antiqua" w:hAnsi="Book Antiqua" w:cstheme="minorHAnsi"/>
          <w:noProof/>
          <w:vertAlign w:val="superscript"/>
        </w:rPr>
        <w:t>[87]</w:t>
      </w:r>
      <w:r w:rsidR="00AA3D18" w:rsidRPr="00000DD3">
        <w:rPr>
          <w:rFonts w:ascii="Book Antiqua" w:hAnsi="Book Antiqua" w:cstheme="minorHAnsi"/>
        </w:rPr>
        <w:fldChar w:fldCharType="end"/>
      </w:r>
      <w:r w:rsidR="00AA3D18" w:rsidRPr="00000DD3">
        <w:rPr>
          <w:rFonts w:ascii="Book Antiqua" w:hAnsi="Book Antiqua" w:cstheme="minorHAnsi"/>
        </w:rPr>
        <w:t xml:space="preserve">. </w:t>
      </w:r>
      <w:r w:rsidR="000674FC" w:rsidRPr="00000DD3">
        <w:rPr>
          <w:rFonts w:ascii="Book Antiqua" w:hAnsi="Book Antiqua" w:cstheme="minorHAnsi"/>
        </w:rPr>
        <w:t xml:space="preserve">Koga </w:t>
      </w:r>
      <w:r w:rsidR="00300553" w:rsidRPr="00000DD3">
        <w:rPr>
          <w:rFonts w:ascii="Book Antiqua" w:eastAsia="黑体" w:hAnsi="Book Antiqua" w:cstheme="minorHAnsi" w:hint="eastAsia"/>
          <w:i/>
          <w:lang w:eastAsia="zh-CN"/>
        </w:rPr>
        <w:t>et al</w:t>
      </w:r>
      <w:r w:rsidR="00300553" w:rsidRPr="00000DD3">
        <w:rPr>
          <w:rFonts w:ascii="Book Antiqua" w:hAnsi="Book Antiqua" w:cstheme="minorHAnsi"/>
        </w:rPr>
        <w:fldChar w:fldCharType="begin" w:fldLock="1"/>
      </w:r>
      <w:r w:rsidR="00300553" w:rsidRPr="00000DD3">
        <w:rPr>
          <w:rFonts w:ascii="Book Antiqua" w:hAnsi="Book Antiqua" w:cstheme="minorHAnsi"/>
        </w:rPr>
        <w:instrText>ADDIN CSL_CITATION {"citationItems":[{"id":"ITEM-1","itemData":{"DOI":"10.1186/ar2460","ISBN":"1478-6354","ISSN":"14786354","PMID":"18664254","abstract":"INTRODUCTION: Current cell therapy for cartilage regeneration requires invasive procedures, periosteal coverage and scaffold use. We have developed a novel transplantation method with synovial mesenchymal stem cells (MSCs) to adhere to the cartilage defect.\\n\\nMETHODS: For ex vivo analysis in rabbits, the cartilage defect was faced upward, filled with synovial MSC suspension, and held stationary for 2.5 to 15 minutes. The number of attached cells was examined. For in vivo analysis in rabbits, an autologous synovial MSC suspension was placed on the cartilage defect, and the position was maintained for 10 minutes to adhere the cells to the defect. For the control, either the same cell suspension was injected intra-articularly or the defects were left empty. The three groups were compared macroscopically and histologically. For ex vivo analysis in humans, in addition to the similar experiment in rabbits, the expression and effects of neutralizing antibodies for adhesion molecules were examined.\\n\\nRESULTS: Ex vivo analysis in rabbits demonstrated that the number of attached cells increased in a time-dependent manner, and more than 60% of cells attached within 10 minutes. The in vivo study showed that a large number of transplanted synovial MSCs attached to the defect at 1 day, and the cartilage defect improved at 24 weeks. The histological score was consistently better than the scores of the two control groups (same cell suspension injected intra-articularly or defects left empty) at 4, 12, and 24 weeks. Ex vivo analysis in humans provided similar results to those in rabbits. Intercellular adhesion molecule 1-positive cells increased between 1 minute and 10 minutes, and neutralizing antibodies for intercellular adhesion molecule 1, vascular cell adhesion molecule 1 and activated leukocyte-cell adhesion molecule inhibited the attachment.\\n\\nCONCLUSION: Placing MSC suspension on the cartilage defect for 10 minutes resulted in adherence of &gt;60% of synovial MSCs to the defect, and promoted cartilage regeneration. This adherent method makes it possible to adhere MSCs with low invasion, without periosteal coverage, and without a scaffold.","author":[{"dropping-particle":"","family":"Koga","given":"Hideyuki","non-dropping-particle":"","parse-names":false,"suffix":""},{"dropping-particle":"","family":"Shimaya","given":"Masayuki","non-dropping-particle":"","parse-names":false,"suffix":""},{"dropping-particle":"","family":"Muneta","given":"Takeshi","non-dropping-particle":"","parse-names":false,"suffix":""},{"dropping-particle":"","family":"Nimura","given":"Akimoto","non-dropping-particle":"","parse-names":false,"suffix":""},{"dropping-particle":"","family":"Morito","given":"Toshiyuki","non-dropping-particle":"","parse-names":false,"suffix":""},{"dropping-particle":"","family":"Hayashi","given":"Masaya","non-dropping-particle":"","parse-names":false,"suffix":""},{"dropping-particle":"","family":"Suzuki","given":"Shiro","non-dropping-particle":"","parse-names":false,"suffix":""},{"dropping-particle":"","family":"Ju","given":"Young Jin","non-dropping-particle":"","parse-names":false,"suffix":""},{"dropping-particle":"","family":"Mochizuki","given":"Tomoyuki","non-dropping-particle":"","parse-names":false,"suffix":""},{"dropping-particle":"","family":"Sekiya","given":"Ichiro","non-dropping-particle":"","parse-names":false,"suffix":""}],"container-title":"Arthritis Research and Therapy","id":"ITEM-1","issue":"4","issued":{"date-parts":[["2008"]]},"page":"R84","title":"Local adherent technique for transplanting mesenchymal stem cells as a potential treatment of cartilage defect","type":"article-journal","volume":"10"},"uris":["http://www.mendeley.com/documents/?uuid=96ba5cee-45ac-451d-a0e9-c8c1bb0114f9"]}],"mendeley":{"formattedCitation":"&lt;sup&gt;[91]&lt;/sup&gt;","plainTextFormattedCitation":"[91]","previouslyFormattedCitation":"&lt;sup&gt;[91]&lt;/sup&gt;"},"properties":{"noteIndex":0},"schema":"https://github.com/citation-style-language/schema/raw/master/csl-citation.json"}</w:instrText>
      </w:r>
      <w:r w:rsidR="00300553" w:rsidRPr="00000DD3">
        <w:rPr>
          <w:rFonts w:ascii="Book Antiqua" w:hAnsi="Book Antiqua" w:cstheme="minorHAnsi"/>
        </w:rPr>
        <w:fldChar w:fldCharType="separate"/>
      </w:r>
      <w:r w:rsidR="00300553" w:rsidRPr="00000DD3">
        <w:rPr>
          <w:rFonts w:ascii="Book Antiqua" w:hAnsi="Book Antiqua" w:cstheme="minorHAnsi"/>
          <w:noProof/>
          <w:vertAlign w:val="superscript"/>
        </w:rPr>
        <w:t>[91]</w:t>
      </w:r>
      <w:r w:rsidR="00300553" w:rsidRPr="00000DD3">
        <w:rPr>
          <w:rFonts w:ascii="Book Antiqua" w:hAnsi="Book Antiqua" w:cstheme="minorHAnsi"/>
        </w:rPr>
        <w:fldChar w:fldCharType="end"/>
      </w:r>
      <w:r w:rsidR="000674FC" w:rsidRPr="00000DD3">
        <w:rPr>
          <w:rFonts w:ascii="Book Antiqua" w:hAnsi="Book Antiqua" w:cstheme="minorHAnsi"/>
        </w:rPr>
        <w:t xml:space="preserve"> showed that human synovial MSCs attached to the chondral defect in</w:t>
      </w:r>
      <w:r w:rsidR="00C55634" w:rsidRPr="00000DD3">
        <w:rPr>
          <w:rFonts w:ascii="Book Antiqua" w:hAnsi="Book Antiqua" w:cstheme="minorHAnsi"/>
        </w:rPr>
        <w:t xml:space="preserve"> knee</w:t>
      </w:r>
      <w:r w:rsidR="000674FC" w:rsidRPr="00000DD3">
        <w:rPr>
          <w:rFonts w:ascii="Book Antiqua" w:hAnsi="Book Antiqua" w:cstheme="minorHAnsi"/>
        </w:rPr>
        <w:t xml:space="preserve"> joints of human</w:t>
      </w:r>
      <w:r w:rsidR="001A096A" w:rsidRPr="00000DD3">
        <w:rPr>
          <w:rFonts w:ascii="Book Antiqua" w:hAnsi="Book Antiqua" w:cstheme="minorHAnsi"/>
        </w:rPr>
        <w:t>s</w:t>
      </w:r>
      <w:r w:rsidR="000674FC" w:rsidRPr="00000DD3">
        <w:rPr>
          <w:rFonts w:ascii="Book Antiqua" w:hAnsi="Book Antiqua" w:cstheme="minorHAnsi"/>
        </w:rPr>
        <w:t xml:space="preserve"> and rabbit</w:t>
      </w:r>
      <w:r w:rsidR="001A096A" w:rsidRPr="00000DD3">
        <w:rPr>
          <w:rFonts w:ascii="Book Antiqua" w:hAnsi="Book Antiqua" w:cstheme="minorHAnsi"/>
        </w:rPr>
        <w:t>s</w:t>
      </w:r>
      <w:r w:rsidR="000674FC" w:rsidRPr="00000DD3">
        <w:rPr>
          <w:rFonts w:ascii="Book Antiqua" w:hAnsi="Book Antiqua" w:cstheme="minorHAnsi"/>
        </w:rPr>
        <w:t xml:space="preserve"> after</w:t>
      </w:r>
      <w:r w:rsidR="001A096A" w:rsidRPr="00000DD3">
        <w:rPr>
          <w:rFonts w:ascii="Book Antiqua" w:hAnsi="Book Antiqua" w:cstheme="minorHAnsi"/>
        </w:rPr>
        <w:t xml:space="preserve"> placement of an</w:t>
      </w:r>
      <w:r w:rsidR="000674FC" w:rsidRPr="00000DD3">
        <w:rPr>
          <w:rFonts w:ascii="Book Antiqua" w:hAnsi="Book Antiqua" w:cstheme="minorHAnsi"/>
        </w:rPr>
        <w:t xml:space="preserve"> MSC suspension </w:t>
      </w:r>
      <w:r w:rsidR="001A096A" w:rsidRPr="00000DD3">
        <w:rPr>
          <w:rFonts w:ascii="Book Antiqua" w:hAnsi="Book Antiqua" w:cstheme="minorHAnsi"/>
        </w:rPr>
        <w:t>on</w:t>
      </w:r>
      <w:r w:rsidR="000674FC" w:rsidRPr="00000DD3">
        <w:rPr>
          <w:rFonts w:ascii="Book Antiqua" w:hAnsi="Book Antiqua" w:cstheme="minorHAnsi"/>
        </w:rPr>
        <w:t xml:space="preserve"> the defect for 10 min, and</w:t>
      </w:r>
      <w:r w:rsidR="001A096A" w:rsidRPr="00000DD3">
        <w:rPr>
          <w:rFonts w:ascii="Book Antiqua" w:hAnsi="Book Antiqua" w:cstheme="minorHAnsi"/>
        </w:rPr>
        <w:t xml:space="preserve"> the</w:t>
      </w:r>
      <w:r w:rsidR="000674FC" w:rsidRPr="00000DD3">
        <w:rPr>
          <w:rFonts w:ascii="Book Antiqua" w:hAnsi="Book Antiqua" w:cstheme="minorHAnsi"/>
        </w:rPr>
        <w:t xml:space="preserve"> MSCs </w:t>
      </w:r>
      <w:r w:rsidR="001A096A" w:rsidRPr="00000DD3">
        <w:rPr>
          <w:rFonts w:ascii="Book Antiqua" w:hAnsi="Book Antiqua" w:cstheme="minorHAnsi"/>
        </w:rPr>
        <w:t xml:space="preserve">that </w:t>
      </w:r>
      <w:r w:rsidR="000674FC" w:rsidRPr="00000DD3">
        <w:rPr>
          <w:rFonts w:ascii="Book Antiqua" w:hAnsi="Book Antiqua" w:cstheme="minorHAnsi"/>
        </w:rPr>
        <w:t xml:space="preserve">attached to the chondral defect expressed </w:t>
      </w:r>
      <w:r w:rsidR="00C55634" w:rsidRPr="00000DD3">
        <w:rPr>
          <w:rFonts w:ascii="Book Antiqua" w:hAnsi="Book Antiqua" w:cstheme="minorHAnsi"/>
        </w:rPr>
        <w:t xml:space="preserve">several </w:t>
      </w:r>
      <w:r w:rsidR="000674FC" w:rsidRPr="00000DD3">
        <w:rPr>
          <w:rFonts w:ascii="Book Antiqua" w:hAnsi="Book Antiqua" w:cstheme="minorHAnsi"/>
        </w:rPr>
        <w:t>adhesion molecules</w:t>
      </w:r>
      <w:r w:rsidR="000674FC" w:rsidRPr="00000DD3">
        <w:rPr>
          <w:rFonts w:ascii="Book Antiqua" w:hAnsi="Book Antiqua" w:cstheme="minorHAnsi"/>
        </w:rPr>
        <w:fldChar w:fldCharType="begin" w:fldLock="1"/>
      </w:r>
      <w:r w:rsidR="00AB78A8" w:rsidRPr="00000DD3">
        <w:rPr>
          <w:rFonts w:ascii="Book Antiqua" w:hAnsi="Book Antiqua" w:cstheme="minorHAnsi"/>
        </w:rPr>
        <w:instrText>ADDIN CSL_CITATION {"citationItems":[{"id":"ITEM-1","itemData":{"DOI":"10.1186/ar2460","ISBN":"1478-6354","ISSN":"14786354","PMID":"18664254","abstract":"INTRODUCTION: Current cell therapy for cartilage regeneration requires invasive procedures, periosteal coverage and scaffold use. We have developed a novel transplantation method with synovial mesenchymal stem cells (MSCs) to adhere to the cartilage defect.\\n\\nMETHODS: For ex vivo analysis in rabbits, the cartilage defect was faced upward, filled with synovial MSC suspension, and held stationary for 2.5 to 15 minutes. The number of attached cells was examined. For in vivo analysis in rabbits, an autologous synovial MSC suspension was placed on the cartilage defect, and the position was maintained for 10 minutes to adhere the cells to the defect. For the control, either the same cell suspension was injected intra-articularly or the defects were left empty. The three groups were compared macroscopically and histologically. For ex vivo analysis in humans, in addition to the similar experiment in rabbits, the expression and effects of neutralizing antibodies for adhesion molecules were examined.\\n\\nRESULTS: Ex vivo analysis in rabbits demonstrated that the number of attached cells increased in a time-dependent manner, and more than 60% of cells attached within 10 minutes. The in vivo study showed that a large number of transplanted synovial MSCs attached to the defect at 1 day, and the cartilage defect improved at 24 weeks. The histological score was consistently better than the scores of the two control groups (same cell suspension injected intra-articularly or defects left empty) at 4, 12, and 24 weeks. Ex vivo analysis in humans provided similar results to those in rabbits. Intercellular adhesion molecule 1-positive cells increased between 1 minute and 10 minutes, and neutralizing antibodies for intercellular adhesion molecule 1, vascular cell adhesion molecule 1 and activated leukocyte-cell adhesion molecule inhibited the attachment.\\n\\nCONCLUSION: Placing MSC suspension on the cartilage defect for 10 minutes resulted in adherence of &gt;60% of synovial MSCs to the defect, and promoted cartilage regeneration. This adherent method makes it possible to adhere MSCs with low invasion, without periosteal coverage, and without a scaffold.","author":[{"dropping-particle":"","family":"Koga","given":"Hideyuki","non-dropping-particle":"","parse-names":false,"suffix":""},{"dropping-particle":"","family":"Shimaya","given":"Masayuki","non-dropping-particle":"","parse-names":false,"suffix":""},{"dropping-particle":"","family":"Muneta","given":"Takeshi","non-dropping-particle":"","parse-names":false,"suffix":""},{"dropping-particle":"","family":"Nimura","given":"Akimoto","non-dropping-particle":"","parse-names":false,"suffix":""},{"dropping-particle":"","family":"Morito","given":"Toshiyuki","non-dropping-particle":"","parse-names":false,"suffix":""},{"dropping-particle":"","family":"Hayashi","given":"Masaya","non-dropping-particle":"","parse-names":false,"suffix":""},{"dropping-particle":"","family":"Suzuki","given":"Shiro","non-dropping-particle":"","parse-names":false,"suffix":""},{"dropping-particle":"","family":"Ju","given":"Young Jin","non-dropping-particle":"","parse-names":false,"suffix":""},{"dropping-particle":"","family":"Mochizuki","given":"Tomoyuki","non-dropping-particle":"","parse-names":false,"suffix":""},{"dropping-particle":"","family":"Sekiya","given":"Ichiro","non-dropping-particle":"","parse-names":false,"suffix":""}],"container-title":"Arthritis Research and Therapy","id":"ITEM-1","issue":"4","issued":{"date-parts":[["2008"]]},"page":"R84","title":"Local adherent technique for transplanting mesenchymal stem cells as a potential treatment of cartilage defect","type":"article-journal","volume":"10"},"uris":["http://www.mendeley.com/documents/?uuid=96ba5cee-45ac-451d-a0e9-c8c1bb0114f9"]}],"mendeley":{"formattedCitation":"&lt;sup&gt;[91]&lt;/sup&gt;","plainTextFormattedCitation":"[91]","previouslyFormattedCitation":"&lt;sup&gt;[91]&lt;/sup&gt;"},"properties":{"noteIndex":0},"schema":"https://github.com/citation-style-language/schema/raw/master/csl-citation.json"}</w:instrText>
      </w:r>
      <w:r w:rsidR="000674FC" w:rsidRPr="00000DD3">
        <w:rPr>
          <w:rFonts w:ascii="Book Antiqua" w:hAnsi="Book Antiqua" w:cstheme="minorHAnsi"/>
        </w:rPr>
        <w:fldChar w:fldCharType="separate"/>
      </w:r>
      <w:r w:rsidR="00867E2F" w:rsidRPr="00000DD3">
        <w:rPr>
          <w:rFonts w:ascii="Book Antiqua" w:hAnsi="Book Antiqua" w:cstheme="minorHAnsi"/>
          <w:noProof/>
          <w:vertAlign w:val="superscript"/>
        </w:rPr>
        <w:t>[91]</w:t>
      </w:r>
      <w:r w:rsidR="000674FC" w:rsidRPr="00000DD3">
        <w:rPr>
          <w:rFonts w:ascii="Book Antiqua" w:hAnsi="Book Antiqua" w:cstheme="minorHAnsi"/>
        </w:rPr>
        <w:fldChar w:fldCharType="end"/>
      </w:r>
      <w:r w:rsidR="000674FC" w:rsidRPr="00000DD3">
        <w:rPr>
          <w:rFonts w:ascii="Book Antiqua" w:hAnsi="Book Antiqua" w:cstheme="minorHAnsi"/>
        </w:rPr>
        <w:t>.</w:t>
      </w:r>
      <w:r w:rsidR="0048647D" w:rsidRPr="00000DD3">
        <w:rPr>
          <w:rFonts w:ascii="Book Antiqua" w:hAnsi="Book Antiqua" w:cstheme="minorHAnsi"/>
        </w:rPr>
        <w:t xml:space="preserve"> </w:t>
      </w:r>
      <w:r w:rsidR="00867E2F" w:rsidRPr="00000DD3">
        <w:rPr>
          <w:rFonts w:ascii="Book Antiqua" w:hAnsi="Book Antiqua" w:cstheme="minorHAnsi"/>
        </w:rPr>
        <w:t>I</w:t>
      </w:r>
      <w:r w:rsidR="0048647D" w:rsidRPr="00000DD3">
        <w:rPr>
          <w:rFonts w:ascii="Book Antiqua" w:hAnsi="Book Antiqua" w:cstheme="minorHAnsi"/>
        </w:rPr>
        <w:t>njected MSCs could</w:t>
      </w:r>
      <w:r w:rsidR="00867E2F" w:rsidRPr="00000DD3">
        <w:rPr>
          <w:rFonts w:ascii="Book Antiqua" w:hAnsi="Book Antiqua" w:cstheme="minorHAnsi"/>
        </w:rPr>
        <w:t xml:space="preserve"> also</w:t>
      </w:r>
      <w:r w:rsidR="0048647D" w:rsidRPr="00000DD3">
        <w:rPr>
          <w:rFonts w:ascii="Book Antiqua" w:hAnsi="Book Antiqua" w:cstheme="minorHAnsi"/>
        </w:rPr>
        <w:t xml:space="preserve"> be detected in th</w:t>
      </w:r>
      <w:r w:rsidR="00300553" w:rsidRPr="00000DD3">
        <w:rPr>
          <w:rFonts w:ascii="Book Antiqua" w:hAnsi="Book Antiqua" w:cstheme="minorHAnsi"/>
        </w:rPr>
        <w:t xml:space="preserve">e neocartilage tissue at 8 </w:t>
      </w:r>
      <w:proofErr w:type="spellStart"/>
      <w:r w:rsidR="00300553" w:rsidRPr="00000DD3">
        <w:rPr>
          <w:rFonts w:ascii="Book Antiqua" w:hAnsi="Book Antiqua" w:cstheme="minorHAnsi"/>
        </w:rPr>
        <w:t>wk</w:t>
      </w:r>
      <w:proofErr w:type="spellEnd"/>
      <w:r w:rsidR="0048647D" w:rsidRPr="00000DD3">
        <w:rPr>
          <w:rFonts w:ascii="Book Antiqua" w:hAnsi="Book Antiqua" w:cstheme="minorHAnsi"/>
        </w:rPr>
        <w:t xml:space="preserve"> after injection in a rabbit osteochondral defect model, </w:t>
      </w:r>
      <w:r w:rsidR="00867E2F" w:rsidRPr="00000DD3">
        <w:rPr>
          <w:rFonts w:ascii="Book Antiqua" w:hAnsi="Book Antiqua" w:cstheme="minorHAnsi"/>
        </w:rPr>
        <w:t xml:space="preserve">however, </w:t>
      </w:r>
      <w:r w:rsidR="0048647D" w:rsidRPr="00000DD3">
        <w:rPr>
          <w:rFonts w:ascii="Book Antiqua" w:hAnsi="Book Antiqua" w:cstheme="minorHAnsi"/>
        </w:rPr>
        <w:t>no labeled MSCs could be detected at</w:t>
      </w:r>
      <w:r w:rsidR="00300553" w:rsidRPr="00000DD3">
        <w:rPr>
          <w:rFonts w:ascii="Book Antiqua" w:hAnsi="Book Antiqua" w:cstheme="minorHAnsi"/>
        </w:rPr>
        <w:t xml:space="preserve"> 12 </w:t>
      </w:r>
      <w:proofErr w:type="spellStart"/>
      <w:r w:rsidR="00300553" w:rsidRPr="00000DD3">
        <w:rPr>
          <w:rFonts w:ascii="Book Antiqua" w:hAnsi="Book Antiqua" w:cstheme="minorHAnsi"/>
        </w:rPr>
        <w:t>wk</w:t>
      </w:r>
      <w:proofErr w:type="spellEnd"/>
      <w:r w:rsidR="00867E2F" w:rsidRPr="00000DD3">
        <w:rPr>
          <w:rFonts w:ascii="Book Antiqua" w:hAnsi="Book Antiqua" w:cstheme="minorHAnsi"/>
        </w:rPr>
        <w:fldChar w:fldCharType="begin" w:fldLock="1"/>
      </w:r>
      <w:r w:rsidR="00AB78A8" w:rsidRPr="00000DD3">
        <w:rPr>
          <w:rFonts w:ascii="Book Antiqua" w:hAnsi="Book Antiqua" w:cstheme="minorHAnsi"/>
        </w:rPr>
        <w:instrText>ADDIN CSL_CITATION {"citationItems":[{"id":"ITEM-1","itemData":{"DOI":"10.1002/jor.22922","PMID":"26174695","author":[{"dropping-particle":"","family":"Harada","given":"Yohei","non-dropping-particle":"","parse-names":false,"suffix":""},{"dropping-particle":"","family":"Nakasa","given":"Tomoyuki","non-dropping-particle":"","parse-names":false,"suffix":""},{"dropping-particle":"","family":"Mahmoud","given":"Elhussein Elbadry","non-dropping-particle":"","parse-names":false,"suffix":""},{"dropping-particle":"","family":"Kamei","given":"Goki","non-dropping-particle":"","parse-names":false,"suffix":""},{"dropping-particle":"","family":"Adachi","given":"Nobuo","non-dropping-particle":"","parse-names":false,"suffix":""},{"dropping-particle":"","family":"Deie","given":"Masataka","non-dropping-particle":"","parse-names":false,"suffix":""},{"dropping-particle":"","family":"Ochi","given":"Mitsuo","non-dropping-particle":"","parse-names":false,"suffix":""}],"container-title":"Journal of Orthopaedic Research","id":"ITEM-1","issue":"10","issued":{"date-parts":[["2015"]]},"page":"1466-1473","title":"Combination therapy with intra-articular injection of mesenchymal stem cells and articulated joint distraction for repair of a chronic osteochondral defect in the rabbit","type":"article-journal","volume":"33"},"uris":["http://www.mendeley.com/documents/?uuid=75394b6e-93b0-414a-b4cd-ae8abd8e72a1"]}],"mendeley":{"formattedCitation":"&lt;sup&gt;[92]&lt;/sup&gt;","plainTextFormattedCitation":"[92]","previouslyFormattedCitation":"&lt;sup&gt;[92]&lt;/sup&gt;"},"properties":{"noteIndex":0},"schema":"https://github.com/citation-style-language/schema/raw/master/csl-citation.json"}</w:instrText>
      </w:r>
      <w:r w:rsidR="00867E2F" w:rsidRPr="00000DD3">
        <w:rPr>
          <w:rFonts w:ascii="Book Antiqua" w:hAnsi="Book Antiqua" w:cstheme="minorHAnsi"/>
        </w:rPr>
        <w:fldChar w:fldCharType="separate"/>
      </w:r>
      <w:r w:rsidR="00867E2F" w:rsidRPr="00000DD3">
        <w:rPr>
          <w:rFonts w:ascii="Book Antiqua" w:hAnsi="Book Antiqua" w:cstheme="minorHAnsi"/>
          <w:noProof/>
          <w:vertAlign w:val="superscript"/>
        </w:rPr>
        <w:t>[92]</w:t>
      </w:r>
      <w:r w:rsidR="00867E2F" w:rsidRPr="00000DD3">
        <w:rPr>
          <w:rFonts w:ascii="Book Antiqua" w:hAnsi="Book Antiqua" w:cstheme="minorHAnsi"/>
        </w:rPr>
        <w:fldChar w:fldCharType="end"/>
      </w:r>
      <w:r w:rsidR="0048647D" w:rsidRPr="00000DD3">
        <w:rPr>
          <w:rFonts w:ascii="Book Antiqua" w:hAnsi="Book Antiqua" w:cstheme="minorHAnsi"/>
        </w:rPr>
        <w:t xml:space="preserve">. </w:t>
      </w:r>
      <w:r w:rsidR="001A096A" w:rsidRPr="00000DD3">
        <w:rPr>
          <w:rFonts w:ascii="Book Antiqua" w:hAnsi="Book Antiqua" w:cstheme="minorHAnsi"/>
        </w:rPr>
        <w:t>M</w:t>
      </w:r>
      <w:r w:rsidR="00C55634" w:rsidRPr="00000DD3">
        <w:rPr>
          <w:rFonts w:ascii="Book Antiqua" w:hAnsi="Book Antiqua" w:cstheme="minorHAnsi"/>
        </w:rPr>
        <w:t>ost of</w:t>
      </w:r>
      <w:r w:rsidR="001A096A" w:rsidRPr="00000DD3">
        <w:rPr>
          <w:rFonts w:ascii="Book Antiqua" w:hAnsi="Book Antiqua" w:cstheme="minorHAnsi"/>
        </w:rPr>
        <w:t xml:space="preserve"> the</w:t>
      </w:r>
      <w:r w:rsidR="00C55634" w:rsidRPr="00000DD3">
        <w:rPr>
          <w:rFonts w:ascii="Book Antiqua" w:hAnsi="Book Antiqua" w:cstheme="minorHAnsi"/>
        </w:rPr>
        <w:t xml:space="preserve"> MSCs injected into synovial joints migrate into the synovial membrane</w:t>
      </w:r>
      <w:r w:rsidR="001A096A" w:rsidRPr="00000DD3">
        <w:rPr>
          <w:rFonts w:ascii="Book Antiqua" w:hAnsi="Book Antiqua" w:cstheme="minorHAnsi"/>
        </w:rPr>
        <w:t>,</w:t>
      </w:r>
      <w:r w:rsidR="00D77417" w:rsidRPr="00000DD3">
        <w:rPr>
          <w:rFonts w:ascii="Book Antiqua" w:hAnsi="Book Antiqua" w:cstheme="minorHAnsi"/>
        </w:rPr>
        <w:t xml:space="preserve"> in addition to </w:t>
      </w:r>
      <w:r w:rsidR="001A096A" w:rsidRPr="00000DD3">
        <w:rPr>
          <w:rFonts w:ascii="Book Antiqua" w:hAnsi="Book Antiqua" w:cstheme="minorHAnsi"/>
        </w:rPr>
        <w:t xml:space="preserve">the </w:t>
      </w:r>
      <w:r w:rsidR="00C55634" w:rsidRPr="00000DD3">
        <w:rPr>
          <w:rFonts w:ascii="Book Antiqua" w:hAnsi="Book Antiqua" w:cstheme="minorHAnsi"/>
        </w:rPr>
        <w:t>articular cartilage</w:t>
      </w:r>
      <w:r w:rsidR="001A096A" w:rsidRPr="00000DD3">
        <w:rPr>
          <w:rFonts w:ascii="Book Antiqua" w:hAnsi="Book Antiqua" w:cstheme="minorHAnsi"/>
        </w:rPr>
        <w:t>,</w:t>
      </w:r>
      <w:r w:rsidR="00C55634" w:rsidRPr="00000DD3">
        <w:rPr>
          <w:rFonts w:ascii="Book Antiqua" w:hAnsi="Book Antiqua" w:cstheme="minorHAnsi"/>
        </w:rPr>
        <w:t xml:space="preserve"> in rat OA models</w:t>
      </w:r>
      <w:r w:rsidR="00C55634" w:rsidRPr="00000DD3">
        <w:rPr>
          <w:rFonts w:ascii="Book Antiqua" w:hAnsi="Book Antiqua" w:cstheme="minorHAnsi"/>
        </w:rPr>
        <w:fldChar w:fldCharType="begin" w:fldLock="1"/>
      </w:r>
      <w:r w:rsidR="001C357C" w:rsidRPr="00000DD3">
        <w:rPr>
          <w:rFonts w:ascii="Book Antiqua" w:hAnsi="Book Antiqua" w:cstheme="minorHAnsi"/>
        </w:rPr>
        <w:instrText>ADDIN CSL_CITATION {"citationItems":[{"id":"ITEM-1","itemData":{"DOI":"10.1016/j.joca.2015.12.018","ISBN":"1063-4584","ISSN":"15229653","PMID":"26880531","abstract":"Objective: We investigated the effects of single or repetitive intra-articular injections of synovial mesenchymal stem cells (MSCs) on a rat osteoarthritis (OA) model, and elucidated the behaviors and underlying mechanisms of the stem cells after the injection. Design: One week after the transection of the anterior cruciate ligament (ACL) of wild type Lewis rats, one million synovial MSCs were injected into the knee joint every week. Cartilage degeneration was evaluated with safranin-o staining after the first injection. To analyze cell kinetics or MSC properties, luciferase, LacZ, and GFP expressing synovial MSCs were used. To confirm the role of MSCs, species-specific microarray and PCR analyses were performed using human synovial MSCs. Results: Histological analysis for femoral and tibial cartilage showed that a single injection was ineffective but weekly injections had significant chondroprotective effects for 12 weeks. Histological and flow-cytometric analyses of LacZ and GFP expressing synovial MSCs revealed that injected MSCs migrated mainly into the synovium and most of them retained their undifferentiated MSC properties though the migrated cells rapidly decreased. In vivo imaging analysis revealed that MSCs maintained in knees while weekly injection. Species-specific microarray and PCR analyses showed that the human mRNAs on day 1 for 21 genes increased over 50-fold, and increased the expressions of PRG-4, BMP-2, and BMP-6 genes encoding chondroprotective proteins, and TSG-6 encoding an anti-inflammatory one. Conclusion: Not single but periodic injections of synovial MSCs maintained viable cells without losing their MSC properties in knees and inhibited osteoarthritis (OA) progression by secretion of trophic factors.","author":[{"dropping-particle":"","family":"Ozeki","given":"N.","non-dropping-particle":"","parse-names":false,"suffix":""},{"dropping-particle":"","family":"Muneta","given":"T.","non-dropping-particle":"","parse-names":false,"suffix":""},{"dropping-particle":"","family":"Koga","given":"H.","non-dropping-particle":"","parse-names":false,"suffix":""},{"dropping-particle":"","family":"Nakagawa","given":"Y.","non-dropping-particle":"","parse-names":false,"suffix":""},{"dropping-particle":"","family":"Mizuno","given":"M.","non-dropping-particle":"","parse-names":false,"suffix":""},{"dropping-particle":"","family":"Tsuji","given":"K.","non-dropping-particle":"","parse-names":false,"suffix":""},{"dropping-particle":"","family":"Mabuchi","given":"Y.","non-dropping-particle":"","parse-names":false,"suffix":""},{"dropping-particle":"","family":"Akazawa","given":"C.","non-dropping-particle":"","parse-names":false,"suffix":""},{"dropping-particle":"","family":"Kobayashi","given":"E.","non-dropping-particle":"","parse-names":false,"suffix":""},{"dropping-particle":"","family":"Matsumoto","given":"K.","non-dropping-particle":"","parse-names":false,"suffix":""},{"dropping-particle":"","family":"Futamura","given":"K.","non-dropping-particle":"","parse-names":false,"suffix":""},{"dropping-particle":"","family":"Saito","given":"T.","non-dropping-particle":"","parse-names":false,"suffix":""},{"dropping-particle":"","family":"Sekiya","given":"I.","non-dropping-particle":"","parse-names":false,"suffix":""}],"container-title":"Osteoarthritis and Cartilage","id":"ITEM-1","issue":"6","issued":{"date-parts":[["2016"]]},"page":"1061-1070","publisher":"Elsevier Ltd","title":"Not single but periodic injections of synovial mesenchymal stem cells maintain viable cells in knees and inhibit osteoarthritis progression in rats","type":"article-journal","volume":"24"},"uris":["http://www.mendeley.com/documents/?uuid=6d115140-c74a-4b2b-9d4f-8bda6c875016"]}],"mendeley":{"formattedCitation":"&lt;sup&gt;[93]&lt;/sup&gt;","plainTextFormattedCitation":"[93]","previouslyFormattedCitation":"&lt;sup&gt;[93]&lt;/sup&gt;"},"properties":{"noteIndex":0},"schema":"https://github.com/citation-style-language/schema/raw/master/csl-citation.json"}</w:instrText>
      </w:r>
      <w:r w:rsidR="00C55634" w:rsidRPr="00000DD3">
        <w:rPr>
          <w:rFonts w:ascii="Book Antiqua" w:hAnsi="Book Antiqua" w:cstheme="minorHAnsi"/>
        </w:rPr>
        <w:fldChar w:fldCharType="separate"/>
      </w:r>
      <w:r w:rsidR="004D4631" w:rsidRPr="00000DD3">
        <w:rPr>
          <w:rFonts w:ascii="Book Antiqua" w:hAnsi="Book Antiqua" w:cstheme="minorHAnsi"/>
          <w:noProof/>
          <w:vertAlign w:val="superscript"/>
        </w:rPr>
        <w:t>[93]</w:t>
      </w:r>
      <w:r w:rsidR="00C55634" w:rsidRPr="00000DD3">
        <w:rPr>
          <w:rFonts w:ascii="Book Antiqua" w:hAnsi="Book Antiqua" w:cstheme="minorHAnsi"/>
        </w:rPr>
        <w:fldChar w:fldCharType="end"/>
      </w:r>
      <w:r w:rsidR="00C55634" w:rsidRPr="00000DD3">
        <w:rPr>
          <w:rFonts w:ascii="Book Antiqua" w:hAnsi="Book Antiqua" w:cstheme="minorHAnsi"/>
        </w:rPr>
        <w:t xml:space="preserve"> and </w:t>
      </w:r>
      <w:r w:rsidR="001A096A" w:rsidRPr="00000DD3">
        <w:rPr>
          <w:rFonts w:ascii="Book Antiqua" w:hAnsi="Book Antiqua" w:cstheme="minorHAnsi"/>
        </w:rPr>
        <w:t xml:space="preserve">in </w:t>
      </w:r>
      <w:r w:rsidR="00C55634" w:rsidRPr="00000DD3">
        <w:rPr>
          <w:rFonts w:ascii="Book Antiqua" w:hAnsi="Book Antiqua" w:cstheme="minorHAnsi"/>
        </w:rPr>
        <w:t>normal or OA horses</w:t>
      </w:r>
      <w:r w:rsidR="00C55634" w:rsidRPr="00000DD3">
        <w:rPr>
          <w:rFonts w:ascii="Book Antiqua" w:hAnsi="Book Antiqua" w:cstheme="minorHAnsi"/>
        </w:rPr>
        <w:fldChar w:fldCharType="begin" w:fldLock="1"/>
      </w:r>
      <w:r w:rsidR="00AB78A8" w:rsidRPr="00000DD3">
        <w:rPr>
          <w:rFonts w:ascii="Book Antiqua" w:hAnsi="Book Antiqua" w:cstheme="minorHAnsi"/>
        </w:rPr>
        <w:instrText>ADDIN CSL_CITATION {"citationItems":[{"id":"ITEM-1","itemData":{"DOI":"10.1002/term.2781","ISSN":"1932-6254","PMID":"30536848","author":[{"dropping-particle":"","family":"Grady","given":"Sicilia T.","non-dropping-particle":"","parse-names":false,"suffix":""},{"dropping-particle":"","family":"Britton","given":"Lorraine","non-dropping-particle":"","parse-names":false,"suffix":""},{"dropping-particle":"","family":"Hinrichs","given":"Katrin","non-dropping-particle":"","parse-names":false,"suffix":""},{"dropping-particle":"","family":"Nixon","given":"Alan J.","non-dropping-particle":"","parse-names":false,"suffix":""},{"dropping-particle":"","family":"Watts","given":"Ashlee E.","non-dropping-particle":"","parse-names":false,"suffix":""}],"container-title":"Journal of Tissue Engineering and Regenerative Medicine","id":"ITEM-1","issue":"2","issued":{"date-parts":[["2019"]]},"page":"191-202","title":"Persistence of fluorescent nanoparticle</w:instrText>
      </w:r>
      <w:r w:rsidR="00AB78A8" w:rsidRPr="00000DD3">
        <w:rPr>
          <w:rFonts w:ascii="宋体" w:eastAsia="宋体" w:hAnsi="宋体" w:cs="宋体" w:hint="eastAsia"/>
        </w:rPr>
        <w:instrText>‐</w:instrText>
      </w:r>
      <w:r w:rsidR="00AB78A8" w:rsidRPr="00000DD3">
        <w:rPr>
          <w:rFonts w:ascii="Book Antiqua" w:hAnsi="Book Antiqua" w:cstheme="minorHAnsi"/>
        </w:rPr>
        <w:instrText>labeled bone marrow mesenchymal stem cells in vitro and after intra</w:instrText>
      </w:r>
      <w:r w:rsidR="00AB78A8" w:rsidRPr="00000DD3">
        <w:rPr>
          <w:rFonts w:ascii="宋体" w:eastAsia="宋体" w:hAnsi="宋体" w:cs="宋体" w:hint="eastAsia"/>
        </w:rPr>
        <w:instrText>‐</w:instrText>
      </w:r>
      <w:r w:rsidR="00AB78A8" w:rsidRPr="00000DD3">
        <w:rPr>
          <w:rFonts w:ascii="Book Antiqua" w:hAnsi="Book Antiqua" w:cstheme="minorHAnsi"/>
        </w:rPr>
        <w:instrText>articular injection","type":"article-journal","volume":"13"},"uris":["http://www.mendeley.com/documents/?uuid=9824fe6f-2189-3ca9-a074-b3a5aeb96a20"]}],"mendeley":{"formattedCitation":"&lt;sup&gt;[94]&lt;/sup&gt;","plainTextFormattedCitation":"[94]","previouslyFormattedCitation":"&lt;sup&gt;[94]&lt;/sup&gt;"},"properties":{"noteIndex":0},"schema":"https://github.com/citation-style-language/schema/raw/master/csl-citation.json"}</w:instrText>
      </w:r>
      <w:r w:rsidR="00C55634" w:rsidRPr="00000DD3">
        <w:rPr>
          <w:rFonts w:ascii="Book Antiqua" w:hAnsi="Book Antiqua" w:cstheme="minorHAnsi"/>
        </w:rPr>
        <w:fldChar w:fldCharType="separate"/>
      </w:r>
      <w:r w:rsidR="004D4631" w:rsidRPr="00000DD3">
        <w:rPr>
          <w:rFonts w:ascii="Book Antiqua" w:hAnsi="Book Antiqua" w:cstheme="minorHAnsi"/>
          <w:noProof/>
          <w:vertAlign w:val="superscript"/>
        </w:rPr>
        <w:t>[94]</w:t>
      </w:r>
      <w:r w:rsidR="00C55634" w:rsidRPr="00000DD3">
        <w:rPr>
          <w:rFonts w:ascii="Book Antiqua" w:hAnsi="Book Antiqua" w:cstheme="minorHAnsi"/>
        </w:rPr>
        <w:fldChar w:fldCharType="end"/>
      </w:r>
      <w:r w:rsidR="00C55634" w:rsidRPr="00000DD3">
        <w:rPr>
          <w:rFonts w:ascii="Book Antiqua" w:hAnsi="Book Antiqua" w:cstheme="minorHAnsi"/>
        </w:rPr>
        <w:t xml:space="preserve">. </w:t>
      </w:r>
      <w:r w:rsidR="00FE7BBB" w:rsidRPr="00000DD3">
        <w:rPr>
          <w:rFonts w:ascii="Book Antiqua" w:hAnsi="Book Antiqua" w:cstheme="minorHAnsi"/>
        </w:rPr>
        <w:t>After migration to</w:t>
      </w:r>
      <w:r w:rsidR="001A096A" w:rsidRPr="00000DD3">
        <w:rPr>
          <w:rFonts w:ascii="Book Antiqua" w:hAnsi="Book Antiqua" w:cstheme="minorHAnsi"/>
        </w:rPr>
        <w:t xml:space="preserve"> the</w:t>
      </w:r>
      <w:r w:rsidR="00FE7BBB" w:rsidRPr="00000DD3">
        <w:rPr>
          <w:rFonts w:ascii="Book Antiqua" w:hAnsi="Book Antiqua" w:cstheme="minorHAnsi"/>
        </w:rPr>
        <w:t xml:space="preserve"> synovium, </w:t>
      </w:r>
      <w:r w:rsidR="001A096A" w:rsidRPr="00000DD3">
        <w:rPr>
          <w:rFonts w:ascii="Book Antiqua" w:hAnsi="Book Antiqua" w:cstheme="minorHAnsi"/>
        </w:rPr>
        <w:t xml:space="preserve">the </w:t>
      </w:r>
      <w:r w:rsidR="00FE25AA" w:rsidRPr="00000DD3">
        <w:rPr>
          <w:rFonts w:ascii="Book Antiqua" w:hAnsi="Book Antiqua" w:cstheme="minorHAnsi"/>
        </w:rPr>
        <w:t>MSCs</w:t>
      </w:r>
      <w:r w:rsidR="00494828" w:rsidRPr="00000DD3">
        <w:rPr>
          <w:rFonts w:ascii="Book Antiqua" w:hAnsi="Book Antiqua" w:cstheme="minorHAnsi"/>
        </w:rPr>
        <w:t xml:space="preserve"> maintain their MSC properties</w:t>
      </w:r>
      <w:r w:rsidR="001A096A" w:rsidRPr="00000DD3">
        <w:rPr>
          <w:rFonts w:ascii="Book Antiqua" w:hAnsi="Book Antiqua" w:cstheme="minorHAnsi"/>
        </w:rPr>
        <w:t>,</w:t>
      </w:r>
      <w:r w:rsidR="00494828" w:rsidRPr="00000DD3">
        <w:rPr>
          <w:rFonts w:ascii="Book Antiqua" w:hAnsi="Book Antiqua" w:cstheme="minorHAnsi"/>
        </w:rPr>
        <w:t xml:space="preserve"> without differentiating into another lineage</w:t>
      </w:r>
      <w:r w:rsidR="001A096A" w:rsidRPr="00000DD3">
        <w:rPr>
          <w:rFonts w:ascii="Book Antiqua" w:hAnsi="Book Antiqua" w:cstheme="minorHAnsi"/>
        </w:rPr>
        <w:t>,</w:t>
      </w:r>
      <w:r w:rsidR="00494828" w:rsidRPr="00000DD3">
        <w:rPr>
          <w:rFonts w:ascii="Book Antiqua" w:hAnsi="Book Antiqua" w:cstheme="minorHAnsi"/>
        </w:rPr>
        <w:t xml:space="preserve"> </w:t>
      </w:r>
      <w:r w:rsidR="00CD06C1" w:rsidRPr="00000DD3">
        <w:rPr>
          <w:rFonts w:ascii="Book Antiqua" w:hAnsi="Book Antiqua" w:cstheme="minorHAnsi"/>
        </w:rPr>
        <w:t>for at least</w:t>
      </w:r>
      <w:r w:rsidR="00494828" w:rsidRPr="00000DD3">
        <w:rPr>
          <w:rFonts w:ascii="Book Antiqua" w:hAnsi="Book Antiqua" w:cstheme="minorHAnsi"/>
        </w:rPr>
        <w:t xml:space="preserve"> 28 d</w:t>
      </w:r>
      <w:r w:rsidR="004109B0" w:rsidRPr="00000DD3">
        <w:rPr>
          <w:rFonts w:ascii="Book Antiqua" w:hAnsi="Book Antiqua" w:cstheme="minorHAnsi"/>
        </w:rPr>
        <w:t>. Mean</w:t>
      </w:r>
      <w:r w:rsidR="001A096A" w:rsidRPr="00000DD3">
        <w:rPr>
          <w:rFonts w:ascii="Book Antiqua" w:hAnsi="Book Antiqua" w:cstheme="minorHAnsi"/>
        </w:rPr>
        <w:t>while</w:t>
      </w:r>
      <w:r w:rsidR="004109B0" w:rsidRPr="00000DD3">
        <w:rPr>
          <w:rFonts w:ascii="Book Antiqua" w:hAnsi="Book Antiqua" w:cstheme="minorHAnsi"/>
        </w:rPr>
        <w:t>,</w:t>
      </w:r>
      <w:r w:rsidR="001A096A" w:rsidRPr="00000DD3">
        <w:rPr>
          <w:rFonts w:ascii="Book Antiqua" w:hAnsi="Book Antiqua" w:cstheme="minorHAnsi"/>
        </w:rPr>
        <w:t xml:space="preserve"> they</w:t>
      </w:r>
      <w:r w:rsidR="00FE25AA" w:rsidRPr="00000DD3">
        <w:rPr>
          <w:rFonts w:ascii="Book Antiqua" w:hAnsi="Book Antiqua" w:cstheme="minorHAnsi"/>
        </w:rPr>
        <w:t xml:space="preserve"> secrete several trophic factors</w:t>
      </w:r>
      <w:r w:rsidR="004109B0" w:rsidRPr="00000DD3">
        <w:rPr>
          <w:rFonts w:ascii="Book Antiqua" w:hAnsi="Book Antiqua" w:cstheme="minorHAnsi"/>
        </w:rPr>
        <w:t>,</w:t>
      </w:r>
      <w:r w:rsidR="00FE25AA" w:rsidRPr="00000DD3">
        <w:rPr>
          <w:rFonts w:ascii="Book Antiqua" w:hAnsi="Book Antiqua" w:cstheme="minorHAnsi"/>
        </w:rPr>
        <w:t xml:space="preserve"> such as PRG-4, BMPs</w:t>
      </w:r>
      <w:r w:rsidR="004109B0" w:rsidRPr="00000DD3">
        <w:rPr>
          <w:rFonts w:ascii="Book Antiqua" w:hAnsi="Book Antiqua" w:cstheme="minorHAnsi"/>
        </w:rPr>
        <w:t>,</w:t>
      </w:r>
      <w:r w:rsidR="00FE25AA" w:rsidRPr="00000DD3">
        <w:rPr>
          <w:rFonts w:ascii="Book Antiqua" w:hAnsi="Book Antiqua" w:cstheme="minorHAnsi"/>
        </w:rPr>
        <w:t xml:space="preserve"> and TSG-6, which are </w:t>
      </w:r>
      <w:r w:rsidR="004109B0" w:rsidRPr="00000DD3">
        <w:rPr>
          <w:rFonts w:ascii="Book Antiqua" w:hAnsi="Book Antiqua" w:cstheme="minorHAnsi"/>
        </w:rPr>
        <w:t xml:space="preserve">the </w:t>
      </w:r>
      <w:r w:rsidR="00FE25AA" w:rsidRPr="00000DD3">
        <w:rPr>
          <w:rFonts w:ascii="Book Antiqua" w:hAnsi="Book Antiqua" w:cstheme="minorHAnsi"/>
        </w:rPr>
        <w:t>key trophic factors for chondroprotection</w:t>
      </w:r>
      <w:r w:rsidR="00D77417" w:rsidRPr="00000DD3">
        <w:rPr>
          <w:rFonts w:ascii="Book Antiqua" w:hAnsi="Book Antiqua" w:cstheme="minorHAnsi"/>
        </w:rPr>
        <w:t xml:space="preserve"> </w:t>
      </w:r>
      <w:r w:rsidR="00FE25AA" w:rsidRPr="00000DD3">
        <w:rPr>
          <w:rFonts w:ascii="Book Antiqua" w:hAnsi="Book Antiqua" w:cstheme="minorHAnsi"/>
        </w:rPr>
        <w:t>and</w:t>
      </w:r>
      <w:r w:rsidR="004C204F" w:rsidRPr="00000DD3">
        <w:rPr>
          <w:rFonts w:ascii="Book Antiqua" w:hAnsi="Book Antiqua" w:cstheme="minorHAnsi"/>
        </w:rPr>
        <w:t xml:space="preserve"> </w:t>
      </w:r>
      <w:r w:rsidR="00FE25AA" w:rsidRPr="00000DD3">
        <w:rPr>
          <w:rFonts w:ascii="Book Antiqua" w:hAnsi="Book Antiqua" w:cstheme="minorHAnsi"/>
        </w:rPr>
        <w:t>immunosuppression</w:t>
      </w:r>
      <w:r w:rsidR="00FE25AA" w:rsidRPr="00000DD3">
        <w:rPr>
          <w:rFonts w:ascii="Book Antiqua" w:hAnsi="Book Antiqua" w:cstheme="minorHAnsi"/>
        </w:rPr>
        <w:fldChar w:fldCharType="begin" w:fldLock="1"/>
      </w:r>
      <w:r w:rsidR="001C357C" w:rsidRPr="00000DD3">
        <w:rPr>
          <w:rFonts w:ascii="Book Antiqua" w:hAnsi="Book Antiqua" w:cstheme="minorHAnsi"/>
        </w:rPr>
        <w:instrText>ADDIN CSL_CITATION {"citationItems":[{"id":"ITEM-1","itemData":{"DOI":"10.1016/j.joca.2015.12.018","ISBN":"1063-4584","ISSN":"15229653","PMID":"26880531","abstract":"Objective: We investigated the effects of single or repetitive intra-articular injections of synovial mesenchymal stem cells (MSCs) on a rat osteoarthritis (OA) model, and elucidated the behaviors and underlying mechanisms of the stem cells after the injection. Design: One week after the transection of the anterior cruciate ligament (ACL) of wild type Lewis rats, one million synovial MSCs were injected into the knee joint every week. Cartilage degeneration was evaluated with safranin-o staining after the first injection. To analyze cell kinetics or MSC properties, luciferase, LacZ, and GFP expressing synovial MSCs were used. To confirm the role of MSCs, species-specific microarray and PCR analyses were performed using human synovial MSCs. Results: Histological analysis for femoral and tibial cartilage showed that a single injection was ineffective but weekly injections had significant chondroprotective effects for 12 weeks. Histological and flow-cytometric analyses of LacZ and GFP expressing synovial MSCs revealed that injected MSCs migrated mainly into the synovium and most of them retained their undifferentiated MSC properties though the migrated cells rapidly decreased. In vivo imaging analysis revealed that MSCs maintained in knees while weekly injection. Species-specific microarray and PCR analyses showed that the human mRNAs on day 1 for 21 genes increased over 50-fold, and increased the expressions of PRG-4, BMP-2, and BMP-6 genes encoding chondroprotective proteins, and TSG-6 encoding an anti-inflammatory one. Conclusion: Not single but periodic injections of synovial MSCs maintained viable cells without losing their MSC properties in knees and inhibited osteoarthritis (OA) progression by secretion of trophic factors.","author":[{"dropping-particle":"","family":"Ozeki","given":"N.","non-dropping-particle":"","parse-names":false,"suffix":""},{"dropping-particle":"","family":"Muneta","given":"T.","non-dropping-particle":"","parse-names":false,"suffix":""},{"dropping-particle":"","family":"Koga","given":"H.","non-dropping-particle":"","parse-names":false,"suffix":""},{"dropping-particle":"","family":"Nakagawa","given":"Y.","non-dropping-particle":"","parse-names":false,"suffix":""},{"dropping-particle":"","family":"Mizuno","given":"M.","non-dropping-particle":"","parse-names":false,"suffix":""},{"dropping-particle":"","family":"Tsuji","given":"K.","non-dropping-particle":"","parse-names":false,"suffix":""},{"dropping-particle":"","family":"Mabuchi","given":"Y.","non-dropping-particle":"","parse-names":false,"suffix":""},{"dropping-particle":"","family":"Akazawa","given":"C.","non-dropping-particle":"","parse-names":false,"suffix":""},{"dropping-particle":"","family":"Kobayashi","given":"E.","non-dropping-particle":"","parse-names":false,"suffix":""},{"dropping-particle":"","family":"Matsumoto","given":"K.","non-dropping-particle":"","parse-names":false,"suffix":""},{"dropping-particle":"","family":"Futamura","given":"K.","non-dropping-particle":"","parse-names":false,"suffix":""},{"dropping-particle":"","family":"Saito","given":"T.","non-dropping-particle":"","parse-names":false,"suffix":""},{"dropping-particle":"","family":"Sekiya","given":"I.","non-dropping-particle":"","parse-names":false,"suffix":""}],"container-title":"Osteoarthritis and Cartilage","id":"ITEM-1","issue":"6","issued":{"date-parts":[["2016"]]},"page":"1061-1070","publisher":"Elsevier Ltd","title":"Not single but periodic injections of synovial mesenchymal stem cells maintain viable cells in knees and inhibit osteoarthritis progression in rats","type":"article-journal","volume":"24"},"uris":["http://www.mendeley.com/documents/?uuid=6d115140-c74a-4b2b-9d4f-8bda6c875016"]}],"mendeley":{"formattedCitation":"&lt;sup&gt;[93]&lt;/sup&gt;","plainTextFormattedCitation":"[93]","previouslyFormattedCitation":"&lt;sup&gt;[93]&lt;/sup&gt;"},"properties":{"noteIndex":0},"schema":"https://github.com/citation-style-language/schema/raw/master/csl-citation.json"}</w:instrText>
      </w:r>
      <w:r w:rsidR="00FE25AA" w:rsidRPr="00000DD3">
        <w:rPr>
          <w:rFonts w:ascii="Book Antiqua" w:hAnsi="Book Antiqua" w:cstheme="minorHAnsi"/>
        </w:rPr>
        <w:fldChar w:fldCharType="separate"/>
      </w:r>
      <w:r w:rsidR="004D4631" w:rsidRPr="00000DD3">
        <w:rPr>
          <w:rFonts w:ascii="Book Antiqua" w:hAnsi="Book Antiqua" w:cstheme="minorHAnsi"/>
          <w:noProof/>
          <w:vertAlign w:val="superscript"/>
        </w:rPr>
        <w:t>[93]</w:t>
      </w:r>
      <w:r w:rsidR="00FE25AA" w:rsidRPr="00000DD3">
        <w:rPr>
          <w:rFonts w:ascii="Book Antiqua" w:hAnsi="Book Antiqua" w:cstheme="minorHAnsi"/>
        </w:rPr>
        <w:fldChar w:fldCharType="end"/>
      </w:r>
      <w:r w:rsidR="00FE25AA" w:rsidRPr="00000DD3">
        <w:rPr>
          <w:rFonts w:ascii="Book Antiqua" w:hAnsi="Book Antiqua" w:cstheme="minorHAnsi"/>
        </w:rPr>
        <w:t>.</w:t>
      </w:r>
      <w:r w:rsidR="004109B0" w:rsidRPr="00000DD3">
        <w:rPr>
          <w:rFonts w:ascii="Book Antiqua" w:hAnsi="Book Antiqua" w:cstheme="minorHAnsi"/>
        </w:rPr>
        <w:t xml:space="preserve"> </w:t>
      </w:r>
      <w:r w:rsidR="00FE25AA" w:rsidRPr="00000DD3">
        <w:rPr>
          <w:rFonts w:ascii="Book Antiqua" w:hAnsi="Book Antiqua" w:cstheme="minorHAnsi"/>
        </w:rPr>
        <w:t>Thus,</w:t>
      </w:r>
      <w:r w:rsidR="00CD06C1" w:rsidRPr="00000DD3">
        <w:rPr>
          <w:rFonts w:ascii="Book Antiqua" w:hAnsi="Book Antiqua" w:cstheme="minorHAnsi"/>
        </w:rPr>
        <w:t xml:space="preserve"> in early phase of cartilage injury</w:t>
      </w:r>
      <w:r w:rsidR="00FE25AA" w:rsidRPr="00000DD3">
        <w:rPr>
          <w:rFonts w:ascii="Book Antiqua" w:hAnsi="Book Antiqua" w:cstheme="minorHAnsi"/>
        </w:rPr>
        <w:t xml:space="preserve">, intraarticularly injected MSCs may migrate into the chondral defect and regenerate neocartilage tissue, </w:t>
      </w:r>
      <w:r w:rsidR="004109B0" w:rsidRPr="00000DD3">
        <w:rPr>
          <w:rFonts w:ascii="Book Antiqua" w:hAnsi="Book Antiqua" w:cstheme="minorHAnsi"/>
        </w:rPr>
        <w:t>while</w:t>
      </w:r>
      <w:r w:rsidR="00CD06C1" w:rsidRPr="00000DD3">
        <w:rPr>
          <w:rFonts w:ascii="Book Antiqua" w:hAnsi="Book Antiqua" w:cstheme="minorHAnsi"/>
        </w:rPr>
        <w:t xml:space="preserve"> </w:t>
      </w:r>
      <w:r w:rsidR="00FE25AA" w:rsidRPr="00000DD3">
        <w:rPr>
          <w:rFonts w:ascii="Book Antiqua" w:hAnsi="Book Antiqua" w:cstheme="minorHAnsi"/>
        </w:rPr>
        <w:t xml:space="preserve">most of </w:t>
      </w:r>
      <w:r w:rsidR="004109B0" w:rsidRPr="00000DD3">
        <w:rPr>
          <w:rFonts w:ascii="Book Antiqua" w:hAnsi="Book Antiqua" w:cstheme="minorHAnsi"/>
        </w:rPr>
        <w:t xml:space="preserve">the </w:t>
      </w:r>
      <w:r w:rsidR="00FE25AA" w:rsidRPr="00000DD3">
        <w:rPr>
          <w:rFonts w:ascii="Book Antiqua" w:hAnsi="Book Antiqua" w:cstheme="minorHAnsi"/>
        </w:rPr>
        <w:t xml:space="preserve">residual MSCs migrate into the synovium in the joints and produce </w:t>
      </w:r>
      <w:r w:rsidR="003F0D51" w:rsidRPr="00000DD3">
        <w:rPr>
          <w:rFonts w:ascii="Book Antiqua" w:hAnsi="Book Antiqua" w:cstheme="minorHAnsi"/>
        </w:rPr>
        <w:t xml:space="preserve">trophic factors </w:t>
      </w:r>
      <w:r w:rsidR="004109B0" w:rsidRPr="00000DD3">
        <w:rPr>
          <w:rFonts w:ascii="Book Antiqua" w:hAnsi="Book Antiqua" w:cstheme="minorHAnsi"/>
        </w:rPr>
        <w:t xml:space="preserve">that provide </w:t>
      </w:r>
      <w:r w:rsidR="003F0D51" w:rsidRPr="00000DD3">
        <w:rPr>
          <w:rFonts w:ascii="Book Antiqua" w:hAnsi="Book Antiqua" w:cstheme="minorHAnsi"/>
        </w:rPr>
        <w:t>chondroprotective and immunosuppressive effects.</w:t>
      </w:r>
      <w:r w:rsidR="00C133BF" w:rsidRPr="00000DD3">
        <w:rPr>
          <w:rFonts w:ascii="Book Antiqua" w:hAnsi="Book Antiqua" w:cstheme="minorHAnsi"/>
        </w:rPr>
        <w:t xml:space="preserve"> </w:t>
      </w:r>
      <w:r w:rsidR="004109B0" w:rsidRPr="00000DD3">
        <w:rPr>
          <w:rFonts w:ascii="Book Antiqua" w:hAnsi="Book Antiqua" w:cstheme="minorHAnsi"/>
        </w:rPr>
        <w:t xml:space="preserve">The immunomodulatory </w:t>
      </w:r>
      <w:r w:rsidR="00927701" w:rsidRPr="00000DD3">
        <w:rPr>
          <w:rFonts w:ascii="Book Antiqua" w:hAnsi="Book Antiqua" w:cstheme="minorHAnsi"/>
        </w:rPr>
        <w:t xml:space="preserve">effects </w:t>
      </w:r>
      <w:r w:rsidR="005D672C" w:rsidRPr="00000DD3">
        <w:rPr>
          <w:rFonts w:ascii="Book Antiqua" w:hAnsi="Book Antiqua" w:cstheme="minorHAnsi"/>
        </w:rPr>
        <w:t>of</w:t>
      </w:r>
      <w:r w:rsidR="00927701" w:rsidRPr="00000DD3">
        <w:rPr>
          <w:rFonts w:ascii="Book Antiqua" w:hAnsi="Book Antiqua" w:cstheme="minorHAnsi"/>
        </w:rPr>
        <w:t xml:space="preserve"> </w:t>
      </w:r>
      <w:proofErr w:type="spellStart"/>
      <w:r w:rsidR="00927701" w:rsidRPr="00000DD3">
        <w:rPr>
          <w:rFonts w:ascii="Book Antiqua" w:hAnsi="Book Antiqua" w:cstheme="minorHAnsi"/>
        </w:rPr>
        <w:t>cMSCs</w:t>
      </w:r>
      <w:proofErr w:type="spellEnd"/>
      <w:r w:rsidR="00C133BF" w:rsidRPr="00000DD3">
        <w:rPr>
          <w:rFonts w:ascii="Book Antiqua" w:hAnsi="Book Antiqua" w:cstheme="minorHAnsi"/>
        </w:rPr>
        <w:t xml:space="preserve"> in dog joints</w:t>
      </w:r>
      <w:r w:rsidR="00927701" w:rsidRPr="00000DD3">
        <w:rPr>
          <w:rFonts w:ascii="Book Antiqua" w:hAnsi="Book Antiqua" w:cstheme="minorHAnsi"/>
        </w:rPr>
        <w:t xml:space="preserve"> have also</w:t>
      </w:r>
      <w:r w:rsidR="004109B0" w:rsidRPr="00000DD3">
        <w:rPr>
          <w:rFonts w:ascii="Book Antiqua" w:hAnsi="Book Antiqua" w:cstheme="minorHAnsi"/>
        </w:rPr>
        <w:t xml:space="preserve"> been confirmed</w:t>
      </w:r>
      <w:r w:rsidR="00927701" w:rsidRPr="00000DD3">
        <w:rPr>
          <w:rFonts w:ascii="Book Antiqua" w:hAnsi="Book Antiqua" w:cstheme="minorHAnsi"/>
        </w:rPr>
        <w:t xml:space="preserve"> in several studies</w:t>
      </w:r>
      <w:r w:rsidR="00442A04" w:rsidRPr="00000DD3">
        <w:rPr>
          <w:rFonts w:ascii="Book Antiqua" w:hAnsi="Book Antiqua" w:cstheme="minorHAnsi"/>
        </w:rPr>
        <w:fldChar w:fldCharType="begin" w:fldLock="1"/>
      </w:r>
      <w:r w:rsidR="00120D2C" w:rsidRPr="00000DD3">
        <w:rPr>
          <w:rFonts w:ascii="Book Antiqua" w:hAnsi="Book Antiqua" w:cstheme="minorHAnsi"/>
        </w:rPr>
        <w:instrText>ADDIN CSL_CITATION {"citationItems":[{"id":"ITEM-1","itemData":{"DOI":"10.1016/j.jcyt.2013.06.009","ISBN":"1477-2566 (Electronic)\\r1465-3249 (Linking)","ISSN":"14653249","PMID":"23992828","abstract":"Background aims: Mesenchymal stromal cells (MSCs) have been extensively studied as a cellular therapeutic for various pathologic conditions. However, there remains a paucity of data regarding regional and systemic safety of MSC transplantations, particularly with multiple deliveries of allogeneic cells. The purpose of this study was to investigate the safety and systemic immunomodulatory effects of repeated local delivery of allogeneic MSCs into the region of the lacrimal gland, the gland of the third eyelid and the knee joint in dogs. Methods: Allogeneic adipose tissue-derived canine MSCs were delivered to the regions of the lacrimal gland and the third eyelid gland as well as in the knee joints of six healthy laboratory beagles as follows: six times with 1-week intervals for delivery to the lacrimal gland and the third eyelid gland regions and three to four times with 1- to 2-week intervals for intra-articular transplantations. Dogs were sequentially evaluated by clinical examination. At the conclusion of the study, dogs were humanely euthanized, and a complete gross and histopathologic examination of all organ systems was performed. Mixed leukocyte reactions were also performed before the first transplantation and after the final transplantation. Results: Clinical and pathologic examinations found no severe consequences after repeated MSC transplantations. Results of mixed leukocyte reactions demonstrated suppression of T-cell proliferation after MSC transplantations. Conclusions: This is the first study to demonstrate regional and systemic safety and systemic immunomodulatory effects of repeated local delivery of allogeneic MSCs in vivo. © 2013 International Society for Cellular Therapy.","author":[{"dropping-particle":"","family":"Park","given":"Shin Ae","non-dropping-particle":"","parse-names":false,"suffix":""},{"dropping-particle":"","family":"Reilly","given":"Christopher M.","non-dropping-particle":"","parse-names":false,"suffix":""},{"dropping-particle":"","family":"Wood","given":"Joshua A.","non-dropping-particle":"","parse-names":false,"suffix":""},{"dropping-particle":"","family":"Chung","given":"Dai Jung","non-dropping-particle":"","parse-names":false,"suffix":""},{"dropping-particle":"","family":"Carrade","given":"Danielle D.","non-dropping-particle":"","parse-names":false,"suffix":""},{"dropping-particle":"","family":"Deremer","given":"Sarah L.","non-dropping-particle":"","parse-names":false,"suffix":""},{"dropping-particle":"","family":"Seraphin","given":"Rebecca L.","non-dropping-particle":"","parse-names":false,"suffix":""},{"dropping-particle":"","family":"Clark","given":"Kaitlin C.","non-dropping-particle":"","parse-names":false,"suffix":""},{"dropping-particle":"","family":"Zwingenberger","given":"Allison L.","non-dropping-particle":"","parse-names":false,"suffix":""},{"dropping-particle":"","family":"Borjesson","given":"Dori L.","non-dropping-particle":"","parse-names":false,"suffix":""},{"dropping-particle":"","family":"Hayashi","given":"Kei","non-dropping-particle":"","parse-names":false,"suffix":""},{"dropping-particle":"","family":"Russell","given":"Paul","non-dropping-particle":"","parse-names":false,"suffix":""},{"dropping-particle":"","family":"Murphy","given":"Christopher J.","non-dropping-particle":"","parse-names":false,"suffix":""}],"container-title":"Cytotherapy","id":"ITEM-1","issue":"12","issued":{"date-parts":[["2013"]]},"page":"1498-1510","title":"Safety and immunomodulatory effects of allogeneic canine adipose-derived mesenchymal stromal cells transplanted into the region of the lacrimal gland, the gland of the third eyelid and the knee joint","type":"article-journal","volume":"15"},"uris":["http://www.mendeley.com/documents/?uuid=b6c97531-e23b-3970-acb1-7421a9691c61"]},{"id":"ITEM-2","itemData":{"DOI":"10.1186/s13018-016-0342-9","ISBN":"1749-799x","ISSN":"1749799X","PMID":"26768536","abstract":"Background: The purpose of this study is to investigate the clinical effects of platelet-rich plasma (PRP) and adipose-derived mesenchymal stem cell (MSC) as the fundamental treatment of osteoarthritis (OA). Methods: Twenty four Beagle dogs were used as cranial cruciate ligament transection models. The dogs were divided into four groups ( n = 6) according to the intra-articular injection materials: the control group with phosphate-buffered saline (PBS), the PRP group with PRP, the MSC group with MSCs emerged in PBS, and the MSC and PRP co-treatment (MP) group with MSCs and PRP. Results: Lameness score, focal compression strength, articular extracellular matrix (ECM) compositions, histopathology, and real-time PCR were used to evaluate the effects of PRP and MSCs on canine OA. In the order of MP, PRP, and MSC group, these all showed positive effects on the evaluated categories. The lameness scores were lower, and the focal compression strengths of the affected femoral articular surface cartilages were higher than those in the OA control group. Also, the inflammatory changes, when evaluated with Mankin scoring and histomorphologic examination, were significantly ameliorated with the treatment of PRP and/or MSCs. The glycosaminoglycan and collagen composition of extracellular matrix was more favorable in the test groups. The ECM-related genes significantly increased through the up-regulation, while the protein expressions of inflammatory cytokines were decreased through the inhibitory effects of PRP and MSCs on chondrocyte apoptosis and inflammatory cytokines. Conclusions: Taken together, this study suggests that PRP and MSCs treatments have a beneficial effect on OA via the stimulation of ECM synthesis and chondrocyte proliferation and via the inhibition of inflammatory reaction.","author":[{"dropping-particle":"","family":"Yun","given":"Sungho","non-dropping-particle":"","parse-names":false,"suffix":""},{"dropping-particle":"","family":"Ku","given":"Sae Kwang","non-dropping-particle":"","parse-names":false,"suffix":""},{"dropping-particle":"","family":"Kwon","given":"Young Sam","non-dropping-particle":"","parse-names":false,"suffix":""}],"container-title":"Journal of Orthopaedic Surgery and Research","id":"ITEM-2","issue":"9","issued":{"date-parts":[["2016"]]},"title":"Adipose-derived mesenchymal stem cells and platelet-rich plasma synergistically ameliorate the surgical-induced osteoarthritis in Beagle dogs","type":"article-journal","volume":"11"},"uris":["http://www.mendeley.com/documents/?uuid=a31ec701-ff6d-38f2-8dab-b30027be293d"]},{"id":"ITEM-3","itemData":{"DOI":"10.1155/2018/1983025","ISSN":"1687-966X","PMID":"29861739","abstract":"Objective . The aim of this study was to assess the efficacy of canine umbilical cord mesenchymal stem cells (UC-MSCs) on the treatment of knee osteoarthritis in dogs. Methods . Eight dogs were evenly assigned to two groups. The canine model of knee osteoarthritis was established by surgical manipulation of knee articular cartilage on these eight dogs. UC-MSCs were isolated from umbilical cord Wharton’s jelly by 0.1% type collagenase I and identified by immunofluorescence staining and adipogenic and osteogenic differentiation in vitro . A suspension of allogeneic UC-MSCs (1 × 10 6 ) and an equal amount of physiological saline was injected into the cavitas articularis in the treated and untreated control groups, respectively, on days 1 and 3 posttreatment. The structure of the canine knee joint was observed by magnetic resonance imaging (MRI), B-mode ultrasonography, and X-ray imaging at the 3rd, 7th, 14th, and 28th days after treatment. Concurrently, the levels of IL-6, IL-7, and TNF- α in the blood of the examined dogs were measured. Moreover, the recovery of cartilage and patella surface in the treated group and untreated group was compared using a scanning electron microscope (SEM) after a 35-day treatment. Results . Results revealed that the isolated cells were UC-MSCs, because they were positive for CD44 and negative for CD34 surface markers, and the cells were differentiated into adipocytes and osteoblasts. Imaging technology showed that as treatment time increased, the high signal in the MRI T2-weighted images decreased, the echo-free space in B ultrasonography images disappeared basically, and the continuous linear hypoechoic region at the trochlear sulcus thickened. On X-ray images, the serrate defect at the ventral cortex of the patella improved, and the low-density gap of the ventral patella and trochlear crest gradually increased in the treated group. On the contrary, the high signal in the MRI T2-weighted images and the echo-free space in B ultrasonography images still increased after a 14-day treatment in the untreated control group, and the linear hypoechoic region was discontinuous. On the X-ray images, there was no improvement in the serrate defect of the ventral cortex of the patella. Results for inflammatory factors showed that the blood levels of IL-6, IL-7, and TNF- α of the untreated control group were significantly higher than those of the treated group ( P &lt; 0.05 ) 7–14 days posttreatment. The result of SEM showed that the cartil…","author":[{"dropping-particle":"","family":"Zhang","given":"Bei Ying","non-dropping-particle":"","parse-names":false,"suffix":""},{"dropping-particle":"","family":"Wang","given":"Bing Yun","non-dropping-particle":"","parse-names":false,"suffix":""},{"dropping-particle":"","family":"Li","given":"Shao Chuan","non-dropping-particle":"","parse-names":false,"suffix":""},{"dropping-particle":"","family":"Luo","given":"Dong Zhang","non-dropping-particle":"","parse-names":false,"suffix":""},{"dropping-particle":"","family":"Zhan","given":"Xiaoshu","non-dropping-particle":"","parse-names":false,"suffix":""},{"dropping-particle":"","family":"Chen","given":"Sheng Feng","non-dropping-particle":"","parse-names":false,"suffix":""},{"dropping-particle":"","family":"Chen","given":"Zhi Sheng","non-dropping-particle":"","parse-names":false,"suffix":""},{"dropping-particle":"","family":"Liu","given":"Can Ying","non-dropping-particle":"","parse-names":false,"suffix":""},{"dropping-particle":"","family":"Ji","given":"Hui Qin","non-dropping-particle":"","parse-names":false,"suffix":""},{"dropping-particle":"","family":"Bai","given":"Yin Shan","non-dropping-particle":"","parse-names":false,"suffix":""},{"dropping-particle":"","family":"Li","given":"Dong Sheng","non-dropping-particle":"","parse-names":false,"suffix":""},{"dropping-particle":"","family":"He","given":"Yang","non-dropping-particle":"","parse-names":false,"suffix":""}],"container-title":"Stem Cells International","id":"ITEM-3","issued":{"date-parts":[["2018"]]},"title":"Evaluation of the curative effect of umbilical cord mesenchymal stem cell therapy for knee arthritis in dogs using imaging technology","type":"article-journal","volume":"2018"},"uris":["http://www.mendeley.com/documents/?uuid=a0503553-9dce-3dfb-b23b-6e90091290cf"]}],"mendeley":{"formattedCitation":"&lt;sup&gt;[51,90,95]&lt;/sup&gt;","plainTextFormattedCitation":"[51,90,95]","previouslyFormattedCitation":"&lt;sup&gt;[51,90,95]&lt;/sup&gt;"},"properties":{"noteIndex":0},"schema":"https://github.com/citation-style-language/schema/raw/master/csl-citation.json"}</w:instrText>
      </w:r>
      <w:r w:rsidR="00442A04" w:rsidRPr="00000DD3">
        <w:rPr>
          <w:rFonts w:ascii="Book Antiqua" w:hAnsi="Book Antiqua" w:cstheme="minorHAnsi"/>
        </w:rPr>
        <w:fldChar w:fldCharType="separate"/>
      </w:r>
      <w:r w:rsidR="004D4631" w:rsidRPr="00000DD3">
        <w:rPr>
          <w:rFonts w:ascii="Book Antiqua" w:hAnsi="Book Antiqua" w:cstheme="minorHAnsi"/>
          <w:noProof/>
          <w:vertAlign w:val="superscript"/>
        </w:rPr>
        <w:t>[51,90,95]</w:t>
      </w:r>
      <w:r w:rsidR="00442A04" w:rsidRPr="00000DD3">
        <w:rPr>
          <w:rFonts w:ascii="Book Antiqua" w:hAnsi="Book Antiqua" w:cstheme="minorHAnsi"/>
        </w:rPr>
        <w:fldChar w:fldCharType="end"/>
      </w:r>
      <w:r w:rsidR="00442A04" w:rsidRPr="00000DD3">
        <w:rPr>
          <w:rFonts w:ascii="Book Antiqua" w:hAnsi="Book Antiqua" w:cstheme="minorHAnsi"/>
        </w:rPr>
        <w:t>.</w:t>
      </w:r>
    </w:p>
    <w:p w14:paraId="0EF69CEB" w14:textId="5FB6D54A" w:rsidR="004D749A" w:rsidRPr="00000DD3" w:rsidRDefault="004D749A" w:rsidP="00300553">
      <w:pPr>
        <w:spacing w:line="360" w:lineRule="auto"/>
        <w:ind w:firstLineChars="100" w:firstLine="240"/>
        <w:jc w:val="both"/>
        <w:rPr>
          <w:rFonts w:ascii="Book Antiqua" w:hAnsi="Book Antiqua" w:cstheme="minorHAnsi"/>
        </w:rPr>
      </w:pPr>
      <w:r w:rsidRPr="00000DD3">
        <w:rPr>
          <w:rFonts w:ascii="Book Antiqua" w:hAnsi="Book Antiqua" w:cstheme="minorHAnsi"/>
        </w:rPr>
        <w:t>S</w:t>
      </w:r>
      <w:r w:rsidR="00005133" w:rsidRPr="00000DD3">
        <w:rPr>
          <w:rFonts w:ascii="Book Antiqua" w:hAnsi="Book Antiqua" w:cstheme="minorHAnsi"/>
        </w:rPr>
        <w:t>ome</w:t>
      </w:r>
      <w:r w:rsidRPr="00000DD3">
        <w:rPr>
          <w:rFonts w:ascii="Book Antiqua" w:hAnsi="Book Antiqua" w:cstheme="minorHAnsi"/>
        </w:rPr>
        <w:t xml:space="preserve"> studies</w:t>
      </w:r>
      <w:r w:rsidR="00713E3D" w:rsidRPr="00000DD3">
        <w:rPr>
          <w:rFonts w:ascii="Book Antiqua" w:hAnsi="Book Antiqua" w:cstheme="minorHAnsi"/>
        </w:rPr>
        <w:t xml:space="preserve"> </w:t>
      </w:r>
      <w:r w:rsidR="004109B0" w:rsidRPr="00000DD3">
        <w:rPr>
          <w:rFonts w:ascii="Book Antiqua" w:hAnsi="Book Antiqua" w:cstheme="minorHAnsi"/>
        </w:rPr>
        <w:t xml:space="preserve">have </w:t>
      </w:r>
      <w:r w:rsidR="00713E3D" w:rsidRPr="00000DD3">
        <w:rPr>
          <w:rFonts w:ascii="Book Antiqua" w:hAnsi="Book Antiqua" w:cstheme="minorHAnsi"/>
        </w:rPr>
        <w:t>demonstrated greater repair effects</w:t>
      </w:r>
      <w:r w:rsidR="004109B0" w:rsidRPr="00000DD3">
        <w:rPr>
          <w:rFonts w:ascii="Book Antiqua" w:hAnsi="Book Antiqua" w:cstheme="minorHAnsi"/>
        </w:rPr>
        <w:t>, determined by histological evaluation of chondral defects,</w:t>
      </w:r>
      <w:r w:rsidR="004109B0" w:rsidRPr="00000DD3" w:rsidDel="004109B0">
        <w:rPr>
          <w:rFonts w:ascii="Book Antiqua" w:hAnsi="Book Antiqua" w:cstheme="minorHAnsi"/>
        </w:rPr>
        <w:t xml:space="preserve"> </w:t>
      </w:r>
      <w:r w:rsidR="004109B0" w:rsidRPr="00000DD3">
        <w:rPr>
          <w:rFonts w:ascii="Book Antiqua" w:hAnsi="Book Antiqua" w:cstheme="minorHAnsi"/>
        </w:rPr>
        <w:t xml:space="preserve">for </w:t>
      </w:r>
      <w:r w:rsidR="00713E3D" w:rsidRPr="00000DD3">
        <w:rPr>
          <w:rFonts w:ascii="Book Antiqua" w:hAnsi="Book Antiqua" w:cstheme="minorHAnsi"/>
        </w:rPr>
        <w:t>intraarticular injections</w:t>
      </w:r>
      <w:r w:rsidRPr="00000DD3">
        <w:rPr>
          <w:rFonts w:ascii="Book Antiqua" w:hAnsi="Book Antiqua" w:cstheme="minorHAnsi"/>
        </w:rPr>
        <w:t xml:space="preserve"> </w:t>
      </w:r>
      <w:r w:rsidR="004109B0" w:rsidRPr="00000DD3">
        <w:rPr>
          <w:rFonts w:ascii="Book Antiqua" w:hAnsi="Book Antiqua" w:cstheme="minorHAnsi"/>
        </w:rPr>
        <w:t xml:space="preserve">of </w:t>
      </w:r>
      <w:proofErr w:type="spellStart"/>
      <w:r w:rsidR="004109B0" w:rsidRPr="00000DD3">
        <w:rPr>
          <w:rFonts w:ascii="Book Antiqua" w:hAnsi="Book Antiqua" w:cstheme="minorHAnsi"/>
        </w:rPr>
        <w:t>cMSCs</w:t>
      </w:r>
      <w:proofErr w:type="spellEnd"/>
      <w:r w:rsidR="004109B0" w:rsidRPr="00000DD3">
        <w:rPr>
          <w:rFonts w:ascii="Book Antiqua" w:hAnsi="Book Antiqua" w:cstheme="minorHAnsi"/>
        </w:rPr>
        <w:t xml:space="preserve"> </w:t>
      </w:r>
      <w:r w:rsidR="008525C9" w:rsidRPr="00000DD3">
        <w:rPr>
          <w:rFonts w:ascii="Book Antiqua" w:hAnsi="Book Antiqua" w:cstheme="minorHAnsi"/>
        </w:rPr>
        <w:t>in combination with</w:t>
      </w:r>
      <w:r w:rsidR="004109B0" w:rsidRPr="00000DD3">
        <w:rPr>
          <w:rFonts w:ascii="Book Antiqua" w:hAnsi="Book Antiqua" w:cstheme="minorHAnsi"/>
        </w:rPr>
        <w:t xml:space="preserve"> either</w:t>
      </w:r>
      <w:r w:rsidRPr="00000DD3">
        <w:rPr>
          <w:rFonts w:ascii="Book Antiqua" w:hAnsi="Book Antiqua" w:cstheme="minorHAnsi"/>
        </w:rPr>
        <w:t xml:space="preserve"> hyaluronic acid</w:t>
      </w:r>
      <w:r w:rsidR="00855D8F" w:rsidRPr="00000DD3">
        <w:rPr>
          <w:rFonts w:ascii="Book Antiqua" w:hAnsi="Book Antiqua" w:cstheme="minorHAnsi"/>
        </w:rPr>
        <w:fldChar w:fldCharType="begin" w:fldLock="1"/>
      </w:r>
      <w:r w:rsidR="00AB78A8" w:rsidRPr="00000DD3">
        <w:rPr>
          <w:rFonts w:ascii="Book Antiqua" w:hAnsi="Book Antiqua" w:cstheme="minorHAnsi"/>
        </w:rPr>
        <w:instrText>ADDIN CSL_CITATION {"citationItems":[{"id":"ITEM-1","itemData":{"DOI":"10.4172/2157-7633.1000314","ISBN":"8133964121","ISSN":"21577633","abstract":"Objective: The purpose of this study was to evaluate effectiveness of intra-articular injection of synovium-derived mesenchymal stem cells (SMSCs) and hyaluronic acid (HA) for the treatment of articular cartilage defects in a canine model. Methods: Forty-eight knees of 24 beagle dogs were randomly assigned to 16 groups (n=3) according to both the number of injected SMSCs (0.5×105 cells, 5×106 cells, 5×107 cells) and the concentration of HA (0%, 0.01%, 0.1%, 0.5%). A partial-thickness cartilage defect was created in the medial femoral condyle under arthroscopy. After seven weeks, autologous SMSCs with or without 1 ml HA were percutaneously injected into the injured knee. In the control group, 1 ml saline was injected. Twelve weeks after the injection, evaluation was performed using the International Cartilage Repair Society (ICRS) visual assessment scale and the modified O’Driscoll histological score. Results: The mean ICRS visual assessment scale and the mean modified O’Driscoll histological score were 1.0 ± 0.00 and 11.0 ± 0.00 in the control group. On the other hand, the mean ICRS visual assessment scale and the mean modified O’Driscoll histological score were 7.3 ± 3.21 and 30.7 ± 7.23 in the group injected with 5×106 cells and 0.01% HA. Conclusion: Intra-articular injection of SMSCs with HA may be effective for stimulating articular cartilage repair. Our results suggest that there is an ideal combination of the number of SMSCs and the concentration of HA for promoting articular cartilage repair.","author":[{"dropping-particle":"","family":"Miki","given":"Shinya","non-dropping-particle":"","parse-names":false,"suffix":""},{"dropping-particle":"","family":"Takao","given":"Masato","non-dropping-particle":"","parse-names":false,"suffix":""},{"dropping-particle":"","family":"Miyamoto","given":"Wataru","non-dropping-particle":"","parse-names":false,"suffix":""},{"dropping-particle":"","family":"Matsushita","given":"Takashi","non-dropping-particle":"","parse-names":false,"suffix":""},{"dropping-particle":"","family":"Kawano","given":"Hirotaka","non-dropping-particle":"","parse-names":false,"suffix":""}],"container-title":"Journal of Stem Cell Research &amp; Therapy","id":"ITEM-1","issue":"11","issued":{"date-parts":[["2015"]]},"page":"1000314","title":"Intra-articular injection of synovium-derived mesenchymal stem cells with hyaluronic acid can repair articular cartilage defects in a canine model","type":"article-journal","volume":"5"},"uris":["http://www.mendeley.com/documents/?uuid=70dcb9b6-95be-3da0-aba0-aacc505c6024"]},{"id":"ITEM-2","itemData":{"DOI":"10.1038/s41598-018-27737-y","ISSN":"20452322","PMID":"29967404","abstract":"Mesenchymal stem cells (MSCs) and hyaluronic acid (HA) have been found in previous studies to have great potential for medical use. This study aimed to investigate the therapeutic effects of bone marrow mesenchymal stem cells (BMSCs) combined with HA on articular cartilage repair in canines. Twenty-four healthy canines (48 knee-joints), male or female with weight ranging from 5 to 6 kg, were operated on to induce cartilage defect model and divided into 3 groups randomly which received different treatments: BMSCs plus HA (BMSCs-HA), HA alone, and saline. Twenty-eight weeks after treatment, all canines were sacrificed and analyzed by gross appearance, magnetic resonance imaging (MRI), hematoxylin-eosin (HE) staining, Masson staining, toluidine blue staining, type II collagen immunohistochemistry, gross grading scale and histological scores. MSCs plus HA regenerated more cartilage-like tissue than did HA alone or saline. According to the macroscopic evaluation and histological assessment score, treatment with MSCs plus HA also lead to significant improvement in cartilage defects compared to those in the other 2 treatment groups (P &lt; 0.05). These findings suggested that allogeneic BMSCs plus HA rather than HA alone was effective in promoting the formation of cartilage-like tissue for repairing cartilage defect in canines.","author":[{"dropping-particle":"","family":"Li","given":"Lang","non-dropping-particle":"","parse-names":false,"suffix":""},{"dropping-particle":"","family":"Duan","given":"Xin","non-dropping-particle":"","parse-names":false,"suffix":""},{"dropping-particle":"","family":"Fan","given":"Zhaoxin","non-dropping-particle":"","parse-names":false,"suffix":""},{"dropping-particle":"","family":"Chen","given":"Long","non-dropping-particle":"","parse-names":false,"suffix":""},{"dropping-particle":"","family":"Xing","given":"Fei","non-dropping-particle":"","parse-names":false,"suffix":""},{"dropping-particle":"","family":"Xu","given":"Zhao","non-dropping-particle":"","parse-names":false,"suffix":""},{"dropping-particle":"","family":"Chen","given":"Qiang","non-dropping-particle":"","parse-names":false,"suffix":""},{"dropping-particle":"","family":"Xiang","given":"Zhou","non-dropping-particle":"","parse-names":false,"suffix":""}],"container-title":"Scientific Reports","id":"ITEM-2","issue":"1","issued":{"date-parts":[["2018"]]},"page":"9900","title":"Mesenchymal stem cells in combination with hyaluronic acid for articular cartilage defects","type":"article-journal","volume":"8"},"uris":["http://www.mendeley.com/documents/?uuid=5230d377-0e2a-31b0-b125-aea70e2ecce7"]}],"mendeley":{"formattedCitation":"&lt;sup&gt;[63,88]&lt;/sup&gt;","plainTextFormattedCitation":"[63,88]","previouslyFormattedCitation":"&lt;sup&gt;[63,88]&lt;/sup&gt;"},"properties":{"noteIndex":0},"schema":"https://github.com/citation-style-language/schema/raw/master/csl-citation.json"}</w:instrText>
      </w:r>
      <w:r w:rsidR="00855D8F" w:rsidRPr="00000DD3">
        <w:rPr>
          <w:rFonts w:ascii="Book Antiqua" w:hAnsi="Book Antiqua" w:cstheme="minorHAnsi"/>
        </w:rPr>
        <w:fldChar w:fldCharType="separate"/>
      </w:r>
      <w:r w:rsidR="004D4631" w:rsidRPr="00000DD3">
        <w:rPr>
          <w:rFonts w:ascii="Book Antiqua" w:hAnsi="Book Antiqua" w:cstheme="minorHAnsi"/>
          <w:noProof/>
          <w:vertAlign w:val="superscript"/>
        </w:rPr>
        <w:t>[63,88]</w:t>
      </w:r>
      <w:r w:rsidR="00855D8F" w:rsidRPr="00000DD3">
        <w:rPr>
          <w:rFonts w:ascii="Book Antiqua" w:hAnsi="Book Antiqua" w:cstheme="minorHAnsi"/>
        </w:rPr>
        <w:fldChar w:fldCharType="end"/>
      </w:r>
      <w:r w:rsidR="00CC0399" w:rsidRPr="00000DD3">
        <w:rPr>
          <w:rFonts w:ascii="Book Antiqua" w:hAnsi="Book Antiqua" w:cstheme="minorHAnsi"/>
        </w:rPr>
        <w:t xml:space="preserve"> </w:t>
      </w:r>
      <w:r w:rsidRPr="00000DD3">
        <w:rPr>
          <w:rFonts w:ascii="Book Antiqua" w:hAnsi="Book Antiqua" w:cstheme="minorHAnsi"/>
        </w:rPr>
        <w:t xml:space="preserve">or </w:t>
      </w:r>
      <w:r w:rsidR="00E00460" w:rsidRPr="00000DD3">
        <w:rPr>
          <w:rFonts w:ascii="Book Antiqua" w:hAnsi="Book Antiqua" w:cstheme="minorHAnsi"/>
        </w:rPr>
        <w:t>platelet-rich plasma</w:t>
      </w:r>
      <w:r w:rsidR="00855D8F" w:rsidRPr="00000DD3">
        <w:rPr>
          <w:rFonts w:ascii="Book Antiqua" w:hAnsi="Book Antiqua" w:cstheme="minorHAnsi"/>
        </w:rPr>
        <w:fldChar w:fldCharType="begin" w:fldLock="1"/>
      </w:r>
      <w:r w:rsidR="004D4631" w:rsidRPr="00000DD3">
        <w:rPr>
          <w:rFonts w:ascii="Book Antiqua" w:hAnsi="Book Antiqua" w:cstheme="minorHAnsi"/>
        </w:rPr>
        <w:instrText>ADDIN CSL_CITATION {"citationItems":[{"id":"ITEM-1","itemData":{"DOI":"10.1186/s13018-016-0342-9","ISBN":"1749-799x","ISSN":"1749799X","PMID":"26768536","abstract":"Background: The purpose of this study is to investigate the clinical effects of platelet-rich plasma (PRP) and adipose-derived mesenchymal stem cell (MSC) as the fundamental treatment of osteoarthritis (OA). Methods: Twenty four Beagle dogs were used as cranial cruciate ligament transection models. The dogs were divided into four groups ( n = 6) according to the intra-articular injection materials: the control group with phosphate-buffered saline (PBS), the PRP group with PRP, the MSC group with MSCs emerged in PBS, and the MSC and PRP co-treatment (MP) group with MSCs and PRP. Results: Lameness score, focal compression strength, articular extracellular matrix (ECM) compositions, histopathology, and real-time PCR were used to evaluate the effects of PRP and MSCs on canine OA. In the order of MP, PRP, and MSC group, these all showed positive effects on the evaluated categories. The lameness scores were lower, and the focal compression strengths of the affected femoral articular surface cartilages were higher than those in the OA control group. Also, the inflammatory changes, when evaluated with Mankin scoring and histomorphologic examination, were significantly ameliorated with the treatment of PRP and/or MSCs. The glycosaminoglycan and collagen composition of extracellular matrix was more favorable in the test groups. The ECM-related genes significantly increased through the up-regulation, while the protein expressions of inflammatory cytokines were decreased through the inhibitory effects of PRP and MSCs on chondrocyte apoptosis and inflammatory cytokines. Conclusions: Taken together, this study suggests that PRP and MSCs treatments have a beneficial effect on OA via the stimulation of ECM synthesis and chondrocyte proliferation and via the inhibition of inflammatory reaction.","author":[{"dropping-particle":"","family":"Yun","given":"Sungho","non-dropping-particle":"","parse-names":false,"suffix":""},{"dropping-particle":"","family":"Ku","given":"Sae Kwang","non-dropping-particle":"","parse-names":false,"suffix":""},{"dropping-particle":"","family":"Kwon","given":"Young Sam","non-dropping-particle":"","parse-names":false,"suffix":""}],"container-title":"Journal of Orthopaedic Surgery and Research","id":"ITEM-1","issue":"9","issued":{"date-parts":[["2016"]]},"title":"Adipose-derived mesenchymal stem cells and platelet-rich plasma synergistically ameliorate the surgical-induced osteoarthritis in Beagle dogs","type":"article-journal","volume":"11"},"uris":["http://www.mendeley.com/documents/?uuid=a31ec701-ff6d-38f2-8dab-b30027be293d"]}],"mendeley":{"formattedCitation":"&lt;sup&gt;[90]&lt;/sup&gt;","plainTextFormattedCitation":"[90]","previouslyFormattedCitation":"&lt;sup&gt;[90]&lt;/sup&gt;"},"properties":{"noteIndex":0},"schema":"https://github.com/citation-style-language/schema/raw/master/csl-citation.json"}</w:instrText>
      </w:r>
      <w:r w:rsidR="00855D8F" w:rsidRPr="00000DD3">
        <w:rPr>
          <w:rFonts w:ascii="Book Antiqua" w:hAnsi="Book Antiqua" w:cstheme="minorHAnsi"/>
        </w:rPr>
        <w:fldChar w:fldCharType="separate"/>
      </w:r>
      <w:r w:rsidR="004D4631" w:rsidRPr="00000DD3">
        <w:rPr>
          <w:rFonts w:ascii="Book Antiqua" w:hAnsi="Book Antiqua" w:cstheme="minorHAnsi"/>
          <w:noProof/>
          <w:vertAlign w:val="superscript"/>
        </w:rPr>
        <w:t>[90]</w:t>
      </w:r>
      <w:r w:rsidR="00855D8F" w:rsidRPr="00000DD3">
        <w:rPr>
          <w:rFonts w:ascii="Book Antiqua" w:hAnsi="Book Antiqua" w:cstheme="minorHAnsi"/>
        </w:rPr>
        <w:fldChar w:fldCharType="end"/>
      </w:r>
      <w:r w:rsidR="00E00460" w:rsidRPr="00000DD3">
        <w:rPr>
          <w:rFonts w:ascii="Book Antiqua" w:hAnsi="Book Antiqua" w:cstheme="minorHAnsi"/>
        </w:rPr>
        <w:t xml:space="preserve"> </w:t>
      </w:r>
      <w:r w:rsidR="004109B0" w:rsidRPr="00000DD3">
        <w:rPr>
          <w:rFonts w:ascii="Book Antiqua" w:hAnsi="Book Antiqua" w:cstheme="minorHAnsi"/>
        </w:rPr>
        <w:t>when compared with</w:t>
      </w:r>
      <w:r w:rsidR="00E00460" w:rsidRPr="00000DD3">
        <w:rPr>
          <w:rFonts w:ascii="Book Antiqua" w:hAnsi="Book Antiqua" w:cstheme="minorHAnsi"/>
        </w:rPr>
        <w:t xml:space="preserve"> injection of </w:t>
      </w:r>
      <w:proofErr w:type="spellStart"/>
      <w:r w:rsidR="00E00460" w:rsidRPr="00000DD3">
        <w:rPr>
          <w:rFonts w:ascii="Book Antiqua" w:hAnsi="Book Antiqua" w:cstheme="minorHAnsi"/>
        </w:rPr>
        <w:t>cMSC</w:t>
      </w:r>
      <w:r w:rsidR="004109B0" w:rsidRPr="00000DD3">
        <w:rPr>
          <w:rFonts w:ascii="Book Antiqua" w:hAnsi="Book Antiqua" w:cstheme="minorHAnsi"/>
        </w:rPr>
        <w:t>s</w:t>
      </w:r>
      <w:proofErr w:type="spellEnd"/>
      <w:r w:rsidR="00E00460" w:rsidRPr="00000DD3">
        <w:rPr>
          <w:rFonts w:ascii="Book Antiqua" w:hAnsi="Book Antiqua" w:cstheme="minorHAnsi"/>
        </w:rPr>
        <w:t xml:space="preserve"> alone.</w:t>
      </w:r>
      <w:r w:rsidR="00713E3D" w:rsidRPr="00000DD3">
        <w:rPr>
          <w:rFonts w:ascii="Book Antiqua" w:hAnsi="Book Antiqua" w:cstheme="minorHAnsi"/>
        </w:rPr>
        <w:t xml:space="preserve"> </w:t>
      </w:r>
      <w:r w:rsidR="00D93191" w:rsidRPr="00000DD3">
        <w:rPr>
          <w:rFonts w:ascii="Book Antiqua" w:hAnsi="Book Antiqua" w:cstheme="minorHAnsi"/>
        </w:rPr>
        <w:t xml:space="preserve">Therefore, some synergistic effects of </w:t>
      </w:r>
      <w:proofErr w:type="spellStart"/>
      <w:r w:rsidR="00D93191" w:rsidRPr="00000DD3">
        <w:rPr>
          <w:rFonts w:ascii="Book Antiqua" w:hAnsi="Book Antiqua" w:cstheme="minorHAnsi"/>
        </w:rPr>
        <w:t>cMSCs</w:t>
      </w:r>
      <w:proofErr w:type="spellEnd"/>
      <w:r w:rsidR="00D93191" w:rsidRPr="00000DD3">
        <w:rPr>
          <w:rFonts w:ascii="Book Antiqua" w:hAnsi="Book Antiqua" w:cstheme="minorHAnsi"/>
        </w:rPr>
        <w:t xml:space="preserve"> are</w:t>
      </w:r>
      <w:r w:rsidR="00713E3D" w:rsidRPr="00000DD3">
        <w:rPr>
          <w:rFonts w:ascii="Book Antiqua" w:hAnsi="Book Antiqua" w:cstheme="minorHAnsi"/>
        </w:rPr>
        <w:t xml:space="preserve"> expected </w:t>
      </w:r>
      <w:r w:rsidR="008525C9" w:rsidRPr="00000DD3">
        <w:rPr>
          <w:rFonts w:ascii="Book Antiqua" w:hAnsi="Book Antiqua" w:cstheme="minorHAnsi"/>
        </w:rPr>
        <w:t xml:space="preserve">when used in combination </w:t>
      </w:r>
      <w:r w:rsidR="00D93191" w:rsidRPr="00000DD3">
        <w:rPr>
          <w:rFonts w:ascii="Book Antiqua" w:hAnsi="Book Antiqua" w:cstheme="minorHAnsi"/>
        </w:rPr>
        <w:t>with chondroprotective materials.</w:t>
      </w:r>
    </w:p>
    <w:p w14:paraId="2CA750E8" w14:textId="77777777" w:rsidR="00C71FAD" w:rsidRPr="00000DD3" w:rsidRDefault="00C71FAD" w:rsidP="00874B98">
      <w:pPr>
        <w:spacing w:line="360" w:lineRule="auto"/>
        <w:jc w:val="both"/>
        <w:rPr>
          <w:rFonts w:ascii="Book Antiqua" w:hAnsi="Book Antiqua" w:cstheme="minorHAnsi"/>
          <w:b/>
        </w:rPr>
      </w:pPr>
    </w:p>
    <w:p w14:paraId="6BD15CC3" w14:textId="377DDBC7" w:rsidR="00641A54" w:rsidRPr="00000DD3" w:rsidRDefault="00300553" w:rsidP="00300553">
      <w:pPr>
        <w:pStyle w:val="aa"/>
        <w:spacing w:line="360" w:lineRule="auto"/>
        <w:ind w:leftChars="0" w:left="0"/>
        <w:jc w:val="both"/>
        <w:rPr>
          <w:rFonts w:ascii="Book Antiqua" w:hAnsi="Book Antiqua" w:cstheme="minorHAnsi"/>
          <w:b/>
        </w:rPr>
      </w:pPr>
      <w:r w:rsidRPr="00000DD3">
        <w:rPr>
          <w:rFonts w:ascii="Book Antiqua" w:hAnsi="Book Antiqua" w:cstheme="minorHAnsi"/>
          <w:b/>
        </w:rPr>
        <w:t>CLINICAL APPLICATIONS OF</w:t>
      </w:r>
      <w:r w:rsidR="00C71FAD" w:rsidRPr="00000DD3">
        <w:rPr>
          <w:rFonts w:ascii="Book Antiqua" w:hAnsi="Book Antiqua" w:cstheme="minorHAnsi"/>
          <w:b/>
        </w:rPr>
        <w:t xml:space="preserve"> </w:t>
      </w:r>
      <w:proofErr w:type="spellStart"/>
      <w:r w:rsidR="00C71FAD" w:rsidRPr="00000DD3">
        <w:rPr>
          <w:rFonts w:ascii="Book Antiqua" w:hAnsi="Book Antiqua" w:cstheme="minorHAnsi"/>
          <w:b/>
        </w:rPr>
        <w:t>cMSCs</w:t>
      </w:r>
      <w:proofErr w:type="spellEnd"/>
      <w:r w:rsidR="00C71FAD" w:rsidRPr="00000DD3">
        <w:rPr>
          <w:rFonts w:ascii="Book Antiqua" w:hAnsi="Book Antiqua" w:cstheme="minorHAnsi"/>
          <w:b/>
        </w:rPr>
        <w:t xml:space="preserve"> </w:t>
      </w:r>
      <w:r w:rsidRPr="00000DD3">
        <w:rPr>
          <w:rFonts w:ascii="Book Antiqua" w:hAnsi="Book Antiqua" w:cstheme="minorHAnsi"/>
          <w:b/>
        </w:rPr>
        <w:t>FOR CARTILAGE INJURY AND</w:t>
      </w:r>
      <w:r w:rsidR="00C71FAD" w:rsidRPr="00000DD3">
        <w:rPr>
          <w:rFonts w:ascii="Book Antiqua" w:hAnsi="Book Antiqua" w:cstheme="minorHAnsi"/>
          <w:b/>
        </w:rPr>
        <w:t xml:space="preserve"> </w:t>
      </w:r>
      <w:r w:rsidR="00FE520F" w:rsidRPr="00000DD3">
        <w:rPr>
          <w:rFonts w:ascii="Book Antiqua" w:hAnsi="Book Antiqua" w:cs="Arial"/>
        </w:rPr>
        <w:t>OA</w:t>
      </w:r>
    </w:p>
    <w:p w14:paraId="4B1A69AD" w14:textId="654F1363" w:rsidR="00A21446" w:rsidRPr="00000DD3" w:rsidRDefault="00D12B8B" w:rsidP="00874B98">
      <w:pPr>
        <w:pStyle w:val="aa"/>
        <w:spacing w:line="360" w:lineRule="auto"/>
        <w:ind w:leftChars="0" w:left="0"/>
        <w:jc w:val="both"/>
        <w:rPr>
          <w:rFonts w:ascii="Book Antiqua" w:hAnsi="Book Antiqua" w:cstheme="minorHAnsi"/>
        </w:rPr>
      </w:pPr>
      <w:r w:rsidRPr="00000DD3">
        <w:rPr>
          <w:rFonts w:ascii="Book Antiqua" w:hAnsi="Book Antiqua" w:cstheme="minorHAnsi"/>
        </w:rPr>
        <w:t xml:space="preserve">Conventional </w:t>
      </w:r>
      <w:r w:rsidR="00641A54" w:rsidRPr="00000DD3">
        <w:rPr>
          <w:rFonts w:ascii="Book Antiqua" w:hAnsi="Book Antiqua" w:cstheme="minorHAnsi"/>
        </w:rPr>
        <w:t>OA</w:t>
      </w:r>
      <w:r w:rsidR="00C42F40" w:rsidRPr="00000DD3">
        <w:rPr>
          <w:rFonts w:ascii="Book Antiqua" w:hAnsi="Book Antiqua" w:cstheme="minorHAnsi"/>
        </w:rPr>
        <w:t xml:space="preserve"> </w:t>
      </w:r>
      <w:r w:rsidRPr="00000DD3">
        <w:rPr>
          <w:rFonts w:ascii="Book Antiqua" w:hAnsi="Book Antiqua" w:cstheme="minorHAnsi"/>
        </w:rPr>
        <w:t>therapies</w:t>
      </w:r>
      <w:r w:rsidR="00C42F40" w:rsidRPr="00000DD3">
        <w:rPr>
          <w:rFonts w:ascii="Book Antiqua" w:hAnsi="Book Antiqua" w:cstheme="minorHAnsi"/>
        </w:rPr>
        <w:t xml:space="preserve"> in dogs </w:t>
      </w:r>
      <w:r w:rsidRPr="00000DD3">
        <w:rPr>
          <w:rFonts w:ascii="Book Antiqua" w:hAnsi="Book Antiqua" w:cstheme="minorHAnsi"/>
        </w:rPr>
        <w:t>include drug therapy, weight loss</w:t>
      </w:r>
      <w:r w:rsidR="00A21446" w:rsidRPr="00000DD3">
        <w:rPr>
          <w:rFonts w:ascii="Book Antiqua" w:hAnsi="Book Antiqua" w:cstheme="minorHAnsi"/>
        </w:rPr>
        <w:t xml:space="preserve"> regimens</w:t>
      </w:r>
      <w:r w:rsidR="00857DC2" w:rsidRPr="00000DD3">
        <w:rPr>
          <w:rFonts w:ascii="Book Antiqua" w:hAnsi="Book Antiqua" w:cstheme="minorHAnsi"/>
        </w:rPr>
        <w:t xml:space="preserve">, </w:t>
      </w:r>
      <w:r w:rsidRPr="00000DD3">
        <w:rPr>
          <w:rFonts w:ascii="Book Antiqua" w:hAnsi="Book Antiqua" w:cstheme="minorHAnsi"/>
        </w:rPr>
        <w:t>exercise programs</w:t>
      </w:r>
      <w:r w:rsidR="00857DC2" w:rsidRPr="00000DD3">
        <w:rPr>
          <w:rFonts w:ascii="Book Antiqua" w:hAnsi="Book Antiqua" w:cstheme="minorHAnsi"/>
        </w:rPr>
        <w:t>, nutraceuticals</w:t>
      </w:r>
      <w:r w:rsidR="008525C9" w:rsidRPr="00000DD3">
        <w:rPr>
          <w:rFonts w:ascii="Book Antiqua" w:hAnsi="Book Antiqua" w:cstheme="minorHAnsi"/>
        </w:rPr>
        <w:t>,</w:t>
      </w:r>
      <w:r w:rsidR="00857DC2" w:rsidRPr="00000DD3">
        <w:rPr>
          <w:rFonts w:ascii="Book Antiqua" w:hAnsi="Book Antiqua" w:cstheme="minorHAnsi"/>
        </w:rPr>
        <w:t xml:space="preserve"> and supplements</w:t>
      </w:r>
      <w:r w:rsidR="009F3DE6" w:rsidRPr="00000DD3">
        <w:rPr>
          <w:rFonts w:ascii="Book Antiqua" w:hAnsi="Book Antiqua" w:cstheme="minorHAnsi"/>
        </w:rPr>
        <w:fldChar w:fldCharType="begin" w:fldLock="1"/>
      </w:r>
      <w:r w:rsidR="004D4631" w:rsidRPr="00000DD3">
        <w:rPr>
          <w:rFonts w:ascii="Book Antiqua" w:hAnsi="Book Antiqua" w:cstheme="minorHAnsi"/>
        </w:rPr>
        <w:instrText>ADDIN CSL_CITATION {"citationItems":[{"id":"ITEM-1","itemData":{"DOI":"10.4081/vsd.2015.5931","ISBN":"6185509490","ISSN":"2038-9701","abstract":"Arthritis is a commonly occurring chronic illness in human and animals alike. Among all domestic and pet animal species, dogs suffer from arthritis more often because of excessive running or exercise, injury, and/or genetic predisposition. Presently, one in four of 77.2 million pet dogs in the United States are diagnosed with some form of arthritis. In dogs, osteoarthritis is more common than rheumatoid arthritis and pain is the number one observation. Osteoarthritis, also known as degenerative joint disease, is a slowly progressive inflammatory disease, which is characterized by degeneration of the cartilage, hypertrophy of bone at the margins, and changes in the synovial membrane, and that eventually results in pain and stiffness of joints. Alterations in joint structures, decreased flexibility, and severe pain ensues, due to lack of hydration and inflammation. Cells within the damaged joints release pro-inflammatory cytokines, which further the inflammatory process. This causes more breakdown of the cartilage collagen type II and proteoglycans, which results in a perpetual destructive cycle. This perpetuating cycle ultimately results in cartilage destruction, subchondral bone thickening, and synovial membrane inflammation. This review focuses on osteoarthritis, the disease, causes, treatments, and presents a glimpse of some new therapies under study.","author":[{"dropping-particle":"","family":"Bland","given":"Stephanie D.","non-dropping-particle":"","parse-names":false,"suffix":""}],"container-title":"Veterinary Science Development","id":"ITEM-1","issue":"2","issued":{"date-parts":[["2015"]]},"page":"84-89","title":"Canine osteoarthritis and treatments: a review","type":"article-journal","volume":"5"},"uris":["http://www.mendeley.com/documents/?uuid=256bee22-06e9-36e8-ba1f-0e603aa981b1"]}],"mendeley":{"formattedCitation":"&lt;sup&gt;[96]&lt;/sup&gt;","plainTextFormattedCitation":"[96]","previouslyFormattedCitation":"&lt;sup&gt;[96]&lt;/sup&gt;"},"properties":{"noteIndex":0},"schema":"https://github.com/citation-style-language/schema/raw/master/csl-citation.json"}</w:instrText>
      </w:r>
      <w:r w:rsidR="009F3DE6" w:rsidRPr="00000DD3">
        <w:rPr>
          <w:rFonts w:ascii="Book Antiqua" w:hAnsi="Book Antiqua" w:cstheme="minorHAnsi"/>
        </w:rPr>
        <w:fldChar w:fldCharType="separate"/>
      </w:r>
      <w:r w:rsidR="004D4631" w:rsidRPr="00000DD3">
        <w:rPr>
          <w:rFonts w:ascii="Book Antiqua" w:hAnsi="Book Antiqua" w:cstheme="minorHAnsi"/>
          <w:noProof/>
          <w:vertAlign w:val="superscript"/>
        </w:rPr>
        <w:t>[96]</w:t>
      </w:r>
      <w:r w:rsidR="009F3DE6" w:rsidRPr="00000DD3">
        <w:rPr>
          <w:rFonts w:ascii="Book Antiqua" w:hAnsi="Book Antiqua" w:cstheme="minorHAnsi"/>
        </w:rPr>
        <w:fldChar w:fldCharType="end"/>
      </w:r>
      <w:r w:rsidRPr="00000DD3">
        <w:rPr>
          <w:rFonts w:ascii="Book Antiqua" w:hAnsi="Book Antiqua" w:cstheme="minorHAnsi"/>
        </w:rPr>
        <w:t xml:space="preserve">. </w:t>
      </w:r>
      <w:r w:rsidR="005D121C" w:rsidRPr="00000DD3">
        <w:rPr>
          <w:rFonts w:ascii="Book Antiqua" w:hAnsi="Book Antiqua" w:cstheme="minorHAnsi"/>
        </w:rPr>
        <w:t>The objectives of these treatment methods are to minimize joint pain, reduce inflammation</w:t>
      </w:r>
      <w:r w:rsidR="008525C9" w:rsidRPr="00000DD3">
        <w:rPr>
          <w:rFonts w:ascii="Book Antiqua" w:hAnsi="Book Antiqua" w:cstheme="minorHAnsi"/>
        </w:rPr>
        <w:t>,</w:t>
      </w:r>
      <w:r w:rsidR="005D121C" w:rsidRPr="00000DD3">
        <w:rPr>
          <w:rFonts w:ascii="Book Antiqua" w:hAnsi="Book Antiqua" w:cstheme="minorHAnsi"/>
        </w:rPr>
        <w:t xml:space="preserve"> and </w:t>
      </w:r>
      <w:r w:rsidR="001A00D6" w:rsidRPr="00000DD3">
        <w:rPr>
          <w:rFonts w:ascii="Book Antiqua" w:hAnsi="Book Antiqua" w:cstheme="minorHAnsi"/>
        </w:rPr>
        <w:t>restrain the progression of the cartilage damage</w:t>
      </w:r>
      <w:r w:rsidR="008525C9" w:rsidRPr="00000DD3">
        <w:rPr>
          <w:rFonts w:ascii="Book Antiqua" w:hAnsi="Book Antiqua" w:cstheme="minorHAnsi"/>
        </w:rPr>
        <w:t xml:space="preserve">; </w:t>
      </w:r>
      <w:r w:rsidR="009F3DE6" w:rsidRPr="00000DD3">
        <w:rPr>
          <w:rFonts w:ascii="Book Antiqua" w:hAnsi="Book Antiqua" w:cstheme="minorHAnsi"/>
        </w:rPr>
        <w:t xml:space="preserve">however, they often do not </w:t>
      </w:r>
      <w:r w:rsidR="008525C9" w:rsidRPr="00000DD3">
        <w:rPr>
          <w:rFonts w:ascii="Book Antiqua" w:hAnsi="Book Antiqua" w:cstheme="minorHAnsi"/>
        </w:rPr>
        <w:t xml:space="preserve">provide </w:t>
      </w:r>
      <w:r w:rsidR="009F3DE6" w:rsidRPr="00000DD3">
        <w:rPr>
          <w:rFonts w:ascii="Book Antiqua" w:hAnsi="Book Antiqua" w:cstheme="minorHAnsi"/>
        </w:rPr>
        <w:t>complete pain relief</w:t>
      </w:r>
      <w:r w:rsidR="000D38EC" w:rsidRPr="00000DD3">
        <w:rPr>
          <w:rFonts w:ascii="Book Antiqua" w:hAnsi="Book Antiqua" w:cstheme="minorHAnsi"/>
        </w:rPr>
        <w:fldChar w:fldCharType="begin" w:fldLock="1"/>
      </w:r>
      <w:r w:rsidR="00AB78A8" w:rsidRPr="00000DD3">
        <w:rPr>
          <w:rFonts w:ascii="Book Antiqua" w:hAnsi="Book Antiqua" w:cstheme="minorHAnsi"/>
        </w:rPr>
        <w:instrText>ADDIN CSL_CITATION {"citationItems":[{"id":"ITEM-1","itemData":{"DOI":"10.1016/j.vaa.2017.07.008","ISSN":"14672987","PMID":"29167071","author":[{"dropping-particle":"","family":"Gagnon","given":"Alexandre","non-dropping-particle":"","parse-names":false,"suffix":""},{"dropping-particle":"","family":"Brown","given":"Dominique","non-dropping-particle":"","parse-names":false,"suffix":""},{"dropping-particle":"","family":"Moreau","given":"Maxim","non-dropping-particle":"","parse-names":false,"suffix":""},{"dropping-particle":"","family":"Lussier","given":"Bertrand","non-dropping-particle":"","parse-names":false,"suffix":""},{"dropping-particle":"","family":"Otis","given":"Colombe","non-dropping-particle":"","parse-names":false,"suffix":""},{"dropping-particle":"","family":"Troncy","given":"Eric","non-dropping-particle":"","parse-names":false,"suffix":""}],"container-title":"Veterinary Anaesthesia and Analgesia","id":"ITEM-1","issue":"6","issued":{"date-parts":[["2017"]]},"page":"1373-1381","publisher":"Elsevier Ltd","title":"Therapeutic response analysis in dogs with naturally occurring osteoarthritis","type":"article-journal","volume":"44"},"uris":["http://www.mendeley.com/documents/?uuid=d417b40e-e37c-47e1-a3ae-e9c19aba4927"]},{"id":"ITEM-2","itemData":{"DOI":"10.3415/VCOT-17-02-0020","ISSN":"0932-0814","PMID":"28763523","abstract":"Objectives: To assess the safety and efficacy of an orally administered nutraceutical (Glu/ CS+; + for additional ingredient) for the treatment of clinical osteoarthritis (OA) in dogs.","author":[{"dropping-particle":"","family":"Scott","given":"Ruth M.","non-dropping-particle":"","parse-names":false,"suffix":""},{"dropping-particle":"","family":"Evans","given":"Richard","non-dropping-particle":"","parse-names":false,"suffix":""},{"dropping-particle":"","family":"Conzemius","given":"Michael G.","non-dropping-particle":"","parse-names":false,"suffix":""}],"container-title":"Veterinary and Comparative Orthopaedics and Traumatology","id":"ITEM-2","issue":"05","issued":{"date-parts":[["2017","12","23"]]},"page":"318-323","publisher":"Schattauer GmbH","title":"Efficacy of an oral nutraceutical for the treatment of canine osteoarthritis","type":"article-journal","volume":"30"},"uris":["http://www.mendeley.com/documents/?uuid=cea6891d-9fe9-3ae6-8617-490cb9b08e21"]},{"id":"ITEM-3","itemData":{"DOI":"10.1016/j.prevetmed.2016.07.017","ISSN":"1873-1716","PMID":"27544261","abstract":"Non-steroidal anti-inflammatory drugs (NSAIDs) are commonly prescribed by veterinary surgeons for the treatment of canine osteoarthritis, and affected dogs may receive these drugs for long periods of time. Whilst short term administration of NSAIDs to dogs is linked to adverse events such as gastrointestinal haemorrhage and renal injury, reports of adverse events associated with their long-term administration are limited in the veterinary literature. This study aimed to investigate the attitudes towards the long term use of NSAIDs for canine osteoarthritis held by three groups who manage osteoarthritic dogs in the United Kingdom: dog owners, veterinary surgeons and veterinary nurses. A qualitative methodology was adopted, using semi-structured interviews and focus groups. Thematic analysis of these data identified three themes: awareness of potential risks; recognition of adverse events; and influence of risk perception on the use of NSAIDs. Awareness of, and concern about, the risk of adverse events associated with NSAID administration to dogs with osteoarthritis was high in all groups, with veterinary surgeons being one of a variety of information sources used by owners to acquire this knowledge. Veterinary surgeons described difficulty in recognising, managing and avoiding adverse events associated with NSAIDs. When adverse events occurred, a wide range of management approaches were adopted ranging from a brief drug respite to permanent cessation of administration of any NSAIDs to that dog. Commonly employed approaches to minimise risk included dose reduction and screening blood tests. This study describes a high level of concern about the risks associated with long term NSAID administration to dogs with osteoarthritis and highlights a diverse range of strategies employed to minimise these risks. The evidence base for these strategies is poor, and this may present a risk to animal welfare if the affected dogs are not receiving adequate analgesia. In order to address this, more accurate and comprehensive data must be supplied to both veterinary professionals and owners on the true frequency of adverse events associated with long term administration of veterinary NSAIDs and how best to avoid them.","author":[{"dropping-particle":"","family":"Belshaw","given":"Zoe","non-dropping-particle":"","parse-names":false,"suffix":""},{"dropping-particle":"","family":"Asher","given":"Lucy","non-dropping-particle":"","parse-names":false,"suffix":""},{"dropping-particle":"","family":"Dean","given":"Rachel S","non-dropping-particle":"","parse-names":false,"suffix":""}],"container-title":"Preventive veterinary medicine","id":"ITEM-3","issued":{"date-parts":[["2016","9","1"]]},"page":"121-126","publisher":"Elsevier","title":"The attitudes of owners and veterinary professionals in the United Kingdom to the risk of adverse events associated with using non-steroidal anti-inflammatory drugs (NSAIDs) to treat dogs with osteoarthritis.","type":"article-journal","volume":"131"},"uris":["http://www.mendeley.com/documents/?uuid=0b089d18-1857-3d63-bb4b-74844ac77242"]}],"mendeley":{"formattedCitation":"&lt;sup&gt;[27,97,98]&lt;/sup&gt;","plainTextFormattedCitation":"[27,97,98]","previouslyFormattedCitation":"&lt;sup&gt;[27,97,98]&lt;/sup&gt;"},"properties":{"noteIndex":0},"schema":"https://github.com/citation-style-language/schema/raw/master/csl-citation.json"}</w:instrText>
      </w:r>
      <w:r w:rsidR="000D38EC" w:rsidRPr="00000DD3">
        <w:rPr>
          <w:rFonts w:ascii="Book Antiqua" w:hAnsi="Book Antiqua" w:cstheme="minorHAnsi"/>
        </w:rPr>
        <w:fldChar w:fldCharType="separate"/>
      </w:r>
      <w:r w:rsidR="004D4631" w:rsidRPr="00000DD3">
        <w:rPr>
          <w:rFonts w:ascii="Book Antiqua" w:hAnsi="Book Antiqua" w:cstheme="minorHAnsi"/>
          <w:noProof/>
          <w:vertAlign w:val="superscript"/>
        </w:rPr>
        <w:t>[27,97,98]</w:t>
      </w:r>
      <w:r w:rsidR="000D38EC" w:rsidRPr="00000DD3">
        <w:rPr>
          <w:rFonts w:ascii="Book Antiqua" w:hAnsi="Book Antiqua" w:cstheme="minorHAnsi"/>
        </w:rPr>
        <w:fldChar w:fldCharType="end"/>
      </w:r>
      <w:r w:rsidR="009F3DE6" w:rsidRPr="00000DD3">
        <w:rPr>
          <w:rFonts w:ascii="Book Antiqua" w:hAnsi="Book Antiqua" w:cstheme="minorHAnsi"/>
        </w:rPr>
        <w:t>.</w:t>
      </w:r>
      <w:r w:rsidR="008525C9" w:rsidRPr="00000DD3">
        <w:rPr>
          <w:rFonts w:ascii="Book Antiqua" w:hAnsi="Book Antiqua" w:cstheme="minorHAnsi"/>
        </w:rPr>
        <w:t xml:space="preserve"> </w:t>
      </w:r>
      <w:r w:rsidR="006D43A5" w:rsidRPr="00000DD3">
        <w:rPr>
          <w:rFonts w:ascii="Book Antiqua" w:hAnsi="Book Antiqua" w:cstheme="minorHAnsi"/>
        </w:rPr>
        <w:t xml:space="preserve">MSCs are </w:t>
      </w:r>
      <w:r w:rsidR="008525C9" w:rsidRPr="00000DD3">
        <w:rPr>
          <w:rFonts w:ascii="Book Antiqua" w:hAnsi="Book Antiqua" w:cstheme="minorHAnsi"/>
        </w:rPr>
        <w:t xml:space="preserve">a </w:t>
      </w:r>
      <w:r w:rsidR="006D43A5" w:rsidRPr="00000DD3">
        <w:rPr>
          <w:rFonts w:ascii="Book Antiqua" w:hAnsi="Book Antiqua" w:cstheme="minorHAnsi"/>
        </w:rPr>
        <w:t>promising therapeutic tool for OA</w:t>
      </w:r>
      <w:r w:rsidR="008525C9" w:rsidRPr="00000DD3">
        <w:rPr>
          <w:rFonts w:ascii="Book Antiqua" w:hAnsi="Book Antiqua" w:cstheme="minorHAnsi"/>
        </w:rPr>
        <w:t xml:space="preserve"> as they</w:t>
      </w:r>
      <w:r w:rsidR="00E5106F" w:rsidRPr="00000DD3">
        <w:rPr>
          <w:rFonts w:ascii="Book Antiqua" w:hAnsi="Book Antiqua" w:cstheme="minorHAnsi"/>
        </w:rPr>
        <w:t xml:space="preserve"> can secrete trophic facto</w:t>
      </w:r>
      <w:r w:rsidR="00FD4DB0" w:rsidRPr="00000DD3">
        <w:rPr>
          <w:rFonts w:ascii="Book Antiqua" w:hAnsi="Book Antiqua" w:cstheme="minorHAnsi"/>
        </w:rPr>
        <w:t>r</w:t>
      </w:r>
      <w:r w:rsidR="008525C9" w:rsidRPr="00000DD3">
        <w:rPr>
          <w:rFonts w:ascii="Book Antiqua" w:hAnsi="Book Antiqua" w:cstheme="minorHAnsi"/>
        </w:rPr>
        <w:t>s</w:t>
      </w:r>
      <w:r w:rsidR="001C357C" w:rsidRPr="00000DD3">
        <w:rPr>
          <w:rFonts w:ascii="Book Antiqua" w:hAnsi="Book Antiqua" w:cstheme="minorHAnsi"/>
        </w:rPr>
        <w:fldChar w:fldCharType="begin" w:fldLock="1"/>
      </w:r>
      <w:r w:rsidR="00AB78A8" w:rsidRPr="00000DD3">
        <w:rPr>
          <w:rFonts w:ascii="Book Antiqua" w:hAnsi="Book Antiqua" w:cstheme="minorHAnsi"/>
        </w:rPr>
        <w:instrText>ADDIN CSL_CITATION {"citationItems":[{"id":"ITEM-1","itemData":{"DOI":"10.1186/s13287-016-0394-0","ISBN":"1757-6512","ISSN":"17576512","PMID":"27612948","abstract":"Adult mesenchymal stem cells (MSCs) represent a subject of intense experimental and biomedical interest. Recently, trophic activities of MSCs have become the topic of a number of revealing studies that span both basic and clinical fields. In this review, we focus on recent investigations that have elucidated trophic mechanisms and shed light on MSC clinical efficacy relevant to musculoskeletal applications. Innate differences due to MSC sourcing may play a role in the clinical utility of isolated MSCs. Pain management, osteochondral, nerve, or blood vessel support by MSCs derived from both autologous and allogeneic sources have been examined. Recent mechanistic insights into the trophic activities of these cells point to ultimate regulation by nitric oxide, nuclear factor-kB, and indoleamine, among other signaling pathways. Classic growth factors and cytokines-such as VEGF, CNTF, GDNF, TGF-beta, interleukins (IL-1beta, IL-6, and IL-8), and C-C ligands (CCL-2, CCL-5, and CCL-23)-serve as paracrine control molecules secreted or packaged into extracellular vesicles, or exosomes, by MSCs. Recent studies have also implicated signaling by microRNAs contained in MSC-derived exosomes. The response of target cells is further regulated by their microenvironment, involving the extracellular matrix, which may be modified by MSC-produced matrix metalloproteinases (MMPs) and tissue inhibitor of MMPs. Trophic activities of MSCs, either resident or introduced exogenously, are thus intricately controlled, and may be further fine-tuned via implant material modifications. MSCs are actively being investigated for the repair and regeneration of both osteochondral and other musculoskeletal tissues, such as tendon/ligament and meniscus. Future rational and effective MSC-based musculoskeletal therapies will benefit from better mechanistic understanding of MSC trophic activities, for example using analytical \"-omics\" profiling approaches.","author":[{"dropping-particle":"","family":"Hofer","given":"Heidi R.","non-dropping-particle":"","parse-names":false,"suffix":""},{"dropping-particle":"","family":"Tuan","given":"Rocky S.","non-dropping-particle":"","parse-names":false,"suffix":""}],"container-title":"Stem Cell Research and Therapy","id":"ITEM-1","issue":"1","issued":{"date-parts":[["2016"]]},"page":"131","publisher":"Stem Cell Research &amp; Therapy","title":"Secreted trophic factors of mesenchymal stem cells support neurovascular and musculoskeletal therapies","type":"article-journal","volume":"7"},"uris":["http://www.mendeley.com/documents/?uuid=c7e69f24-f99d-4d52-9fe5-06a0408c484f"]},{"id":"ITEM-2","itemData":{"DOI":"10.1016/j.joca.2015.12.018","ISBN":"1063-4584","ISSN":"15229653","PMID":"26880531","abstract":"Objective: We investigated the effects of single or repetitive intra-articular injections of synovial mesenchymal stem cells (MSCs) on a rat osteoarthritis (OA) model, and elucidated the behaviors and underlying mechanisms of the stem cells after the injection. Design: One week after the transection of the anterior cruciate ligament (ACL) of wild type Lewis rats, one million synovial MSCs were injected into the knee joint every week. Cartilage degeneration was evaluated with safranin-o staining after the first injection. To analyze cell kinetics or MSC properties, luciferase, LacZ, and GFP expressing synovial MSCs were used. To confirm the role of MSCs, species-specific microarray and PCR analyses were performed using human synovial MSCs. Results: Histological analysis for femoral and tibial cartilage showed that a single injection was ineffective but weekly injections had significant chondroprotective effects for 12 weeks. Histological and flow-cytometric analyses of LacZ and GFP expressing synovial MSCs revealed that injected MSCs migrated mainly into the synovium and most of them retained their undifferentiated MSC properties though the migrated cells rapidly decreased. In vivo imaging analysis revealed that MSCs maintained in knees while weekly injection. Species-specific microarray and PCR analyses showed that the human mRNAs on day 1 for 21 genes increased over 50-fold, and increased the expressions of PRG-4, BMP-2, and BMP-6 genes encoding chondroprotective proteins, and TSG-6 encoding an anti-inflammatory one. Conclusion: Not single but periodic injections of synovial MSCs maintained viable cells without losing their MSC properties in knees and inhibited osteoarthritis (OA) progression by secretion of trophic factors.","author":[{"dropping-particle":"","family":"Ozeki","given":"N.","non-dropping-particle":"","parse-names":false,"suffix":""},{"dropping-particle":"","family":"Muneta","given":"T.","non-dropping-particle":"","parse-names":false,"suffix":""},{"dropping-particle":"","family":"Koga","given":"H.","non-dropping-particle":"","parse-names":false,"suffix":""},{"dropping-particle":"","family":"Nakagawa","given":"Y.","non-dropping-particle":"","parse-names":false,"suffix":""},{"dropping-particle":"","family":"Mizuno","given":"M.","non-dropping-particle":"","parse-names":false,"suffix":""},{"dropping-particle":"","family":"Tsuji","given":"K.","non-dropping-particle":"","parse-names":false,"suffix":""},{"dropping-particle":"","family":"Mabuchi","given":"Y.","non-dropping-particle":"","parse-names":false,"suffix":""},{"dropping-particle":"","family":"Akazawa","given":"C.","non-dropping-particle":"","parse-names":false,"suffix":""},{"dropping-particle":"","family":"Kobayashi","given":"E.","non-dropping-particle":"","parse-names":false,"suffix":""},{"dropping-particle":"","family":"Matsumoto","given":"K.","non-dropping-particle":"","parse-names":false,"suffix":""},{"dropping-particle":"","family":"Futamura","given":"K.","non-dropping-particle":"","parse-names":false,"suffix":""},{"dropping-particle":"","family":"Saito","given":"T.","non-dropping-particle":"","parse-names":false,"suffix":""},{"dropping-particle":"","family":"Sekiya","given":"I.","non-dropping-particle":"","parse-names":false,"suffix":""}],"container-title":"Osteoarthritis and Cartilage","id":"ITEM-2","issue":"6","issued":{"date-parts":[["2016"]]},"page":"1061-1070","publisher":"Elsevier Ltd","title":"Not single but periodic injections of synovial mesenchymal stem cells maintain viable cells in knees and inhibit osteoarthritis progression in rats","type":"article-journal","volume":"24"},"uris":["http://www.mendeley.com/documents/?uuid=6d115140-c74a-4b2b-9d4f-8bda6c875016"]}],"mendeley":{"formattedCitation":"&lt;sup&gt;[93,99]&lt;/sup&gt;","plainTextFormattedCitation":"[93,99]","previouslyFormattedCitation":"&lt;sup&gt;[93,99]&lt;/sup&gt;"},"properties":{"noteIndex":0},"schema":"https://github.com/citation-style-language/schema/raw/master/csl-citation.json"}</w:instrText>
      </w:r>
      <w:r w:rsidR="001C357C" w:rsidRPr="00000DD3">
        <w:rPr>
          <w:rFonts w:ascii="Book Antiqua" w:hAnsi="Book Antiqua" w:cstheme="minorHAnsi"/>
        </w:rPr>
        <w:fldChar w:fldCharType="separate"/>
      </w:r>
      <w:r w:rsidR="001C357C" w:rsidRPr="00000DD3">
        <w:rPr>
          <w:rFonts w:ascii="Book Antiqua" w:hAnsi="Book Antiqua" w:cstheme="minorHAnsi"/>
          <w:noProof/>
          <w:vertAlign w:val="superscript"/>
        </w:rPr>
        <w:t>[93,99]</w:t>
      </w:r>
      <w:r w:rsidR="001C357C" w:rsidRPr="00000DD3">
        <w:rPr>
          <w:rFonts w:ascii="Book Antiqua" w:hAnsi="Book Antiqua" w:cstheme="minorHAnsi"/>
        </w:rPr>
        <w:fldChar w:fldCharType="end"/>
      </w:r>
      <w:r w:rsidR="00FD4DB0" w:rsidRPr="00000DD3">
        <w:rPr>
          <w:rFonts w:ascii="Book Antiqua" w:hAnsi="Book Antiqua" w:cstheme="minorHAnsi"/>
        </w:rPr>
        <w:t>, recruit endogenous cells to the damaged lesion</w:t>
      </w:r>
      <w:r w:rsidR="005E4E7F" w:rsidRPr="00000DD3">
        <w:rPr>
          <w:rFonts w:ascii="Book Antiqua" w:hAnsi="Book Antiqua" w:cstheme="minorHAnsi"/>
        </w:rPr>
        <w:fldChar w:fldCharType="begin" w:fldLock="1"/>
      </w:r>
      <w:r w:rsidR="00AB78A8" w:rsidRPr="00000DD3">
        <w:rPr>
          <w:rFonts w:ascii="Book Antiqua" w:hAnsi="Book Antiqua" w:cstheme="minorHAnsi"/>
        </w:rPr>
        <w:instrText>ADDIN CSL_CITATION {"citationItems":[{"id":"ITEM-1","itemData":{"DOI":"10.2174/9781681084770117060003","abstract":"Cover; Title; EUL; Contents; Preface; List of Contributor; Chapter 01; Chapter 02; Chapter 03; Chapter 04; Chapter 05; Bak Cover.","author":[{"dropping-particle":"","family":"Toh","given":"Wei Seong","non-dropping-particle":"","parse-names":false,"suffix":""}],"container-title":"Frontiers in Stem Cell and Regenerative Medicine Research","id":"ITEM-1","issued":{"date-parts":[["2017"]]},"page":"3-25","title":"The Emerging Role of Mesenchymal Stem Cell Secretome in Cartilage Regeneration","type":"article-journal","volume":"4"},"uris":["http://www.mendeley.com/documents/?uuid=dc09efac-1e17-4db7-bdb4-fe93b8ffff8d"]},{"id":"ITEM-2","itemData":{"DOI":"10.1016/j.joca.2015.02.008","ISBN":"1063-4584","ISSN":"15229653","PMID":"25683149","abstract":"Objective: The induction of synovial tissue to the meniscal lesion is crucial for meniscal healing. Synovial Mesenchymal stem cells (MSCs) are an attractive cell source because of their high proliferative and chondrogenic potentials. We examined whether transplantation of synovial MSCs promoted healing after meniscal repair of extended longitudinal tear of avascular area in a microminipig model. Design: Longitudinal tear lesion was made in medial menisci and sutured in both knees, and then a synovial MSC suspension was administered for 10min only in unilateral knee. The sutured meniscus was evaluated morphologically and biomechanically at 2, 4, and 12 weeks. The behavior of transplanted MSCs was also examined. Results: The meniscal healing at 12 weeks was significantly better in the MSC group than in the control group; macroscopically, histologically and by T1rho mapping analysis. Transmission electron microscopic analysis demonstrated that the meniscus lesion was occupied by dense collagen fibrils only in the MSC group. Biomechanical analysis revealed that the tensile strength to failure of the meniscus higher in the MSC group than in the control group in each microminipig. Synovial tissue covered better along the superficial layer from the outer zone into the lesion of the meniscus in the MSC group at 2 and 4 weeks in each microminipig. Synovial MSCs labeled with ferucarbotran were detected in the meniscus lesion and adjacent synovium by MRI at 2 weeks. Conclusion: Transplantation of synovial MSCs promoted healing after meniscal repair with induction of synovium into the longitudinal tear in the avascular zone of meniscus in pigs.","author":[{"dropping-particle":"","family":"Nakagawa","given":"Y.","non-dropping-particle":"","parse-names":false,"suffix":""},{"dropping-particle":"","family":"Muneta","given":"T.","non-dropping-particle":"","parse-names":false,"suffix":""},{"dropping-particle":"","family":"Kondo","given":"S.","non-dropping-particle":"","parse-names":false,"suffix":""},{"dropping-particle":"","family":"Mizuno","given":"M.","non-dropping-particle":"","parse-names":false,"suffix":""},{"dropping-particle":"","family":"Takakuda","given":"K.","non-dropping-particle":"","parse-names":false,"suffix":""},{"dropping-particle":"","family":"Ichinose","given":"S.","non-dropping-particle":"","parse-names":false,"suffix":""},{"dropping-particle":"","family":"Tabuchi","given":"T.","non-dropping-particle":"","parse-names":false,"suffix":""},{"dropping-particle":"","family":"Koga","given":"H.","non-dropping-particle":"","parse-names":false,"suffix":""},{"dropping-particle":"","family":"Tsuji","given":"K.","non-dropping-particle":"","parse-names":false,"suffix":""},{"dropping-particle":"","family":"Sekiya","given":"I.","non-dropping-particle":"","parse-names":false,"suffix":""}],"container-title":"Osteoarthritis and Cartilage","id":"ITEM-2","issue":"6","issued":{"date-parts":[["2015"]]},"page":"1007-1017","title":"Synovial mesenchymal stem cells promote healing after meniscal repair in microminipigs","type":"article-journal","volume":"23"},"uris":["http://www.mendeley.com/documents/?uuid=ccb70d87-5153-3b06-ad93-af97f4e18753"]}],"mendeley":{"formattedCitation":"&lt;sup&gt;[100,101]&lt;/sup&gt;","plainTextFormattedCitation":"[100,101]","previouslyFormattedCitation":"&lt;sup&gt;[100,101]&lt;/sup&gt;"},"properties":{"noteIndex":0},"schema":"https://github.com/citation-style-language/schema/raw/master/csl-citation.json"}</w:instrText>
      </w:r>
      <w:r w:rsidR="005E4E7F" w:rsidRPr="00000DD3">
        <w:rPr>
          <w:rFonts w:ascii="Book Antiqua" w:hAnsi="Book Antiqua" w:cstheme="minorHAnsi"/>
        </w:rPr>
        <w:fldChar w:fldCharType="separate"/>
      </w:r>
      <w:r w:rsidR="005E4E7F" w:rsidRPr="00000DD3">
        <w:rPr>
          <w:rFonts w:ascii="Book Antiqua" w:hAnsi="Book Antiqua" w:cstheme="minorHAnsi"/>
          <w:noProof/>
          <w:vertAlign w:val="superscript"/>
        </w:rPr>
        <w:t>[100,101]</w:t>
      </w:r>
      <w:r w:rsidR="005E4E7F" w:rsidRPr="00000DD3">
        <w:rPr>
          <w:rFonts w:ascii="Book Antiqua" w:hAnsi="Book Antiqua" w:cstheme="minorHAnsi"/>
        </w:rPr>
        <w:fldChar w:fldCharType="end"/>
      </w:r>
      <w:r w:rsidR="008525C9" w:rsidRPr="00000DD3">
        <w:rPr>
          <w:rFonts w:ascii="Book Antiqua" w:hAnsi="Book Antiqua" w:cstheme="minorHAnsi"/>
        </w:rPr>
        <w:t>,</w:t>
      </w:r>
      <w:r w:rsidR="00FD4DB0" w:rsidRPr="00000DD3">
        <w:rPr>
          <w:rFonts w:ascii="Book Antiqua" w:hAnsi="Book Antiqua" w:cstheme="minorHAnsi"/>
        </w:rPr>
        <w:t xml:space="preserve"> </w:t>
      </w:r>
      <w:r w:rsidR="00084AB2" w:rsidRPr="00000DD3">
        <w:rPr>
          <w:rFonts w:ascii="Book Antiqua" w:hAnsi="Book Antiqua" w:cstheme="minorHAnsi"/>
        </w:rPr>
        <w:t>and</w:t>
      </w:r>
      <w:r w:rsidR="00FD4DB0" w:rsidRPr="00000DD3">
        <w:rPr>
          <w:rFonts w:ascii="Book Antiqua" w:hAnsi="Book Antiqua" w:cstheme="minorHAnsi"/>
        </w:rPr>
        <w:t xml:space="preserve"> differentiate into chondrocyte</w:t>
      </w:r>
      <w:r w:rsidR="008525C9" w:rsidRPr="00000DD3">
        <w:rPr>
          <w:rFonts w:ascii="Book Antiqua" w:hAnsi="Book Antiqua" w:cstheme="minorHAnsi"/>
        </w:rPr>
        <w:t>s</w:t>
      </w:r>
      <w:r w:rsidR="00930207" w:rsidRPr="00000DD3">
        <w:rPr>
          <w:rFonts w:ascii="Book Antiqua" w:hAnsi="Book Antiqua" w:cstheme="minorHAnsi"/>
        </w:rPr>
        <w:fldChar w:fldCharType="begin" w:fldLock="1"/>
      </w:r>
      <w:r w:rsidR="00540162" w:rsidRPr="00000DD3">
        <w:rPr>
          <w:rFonts w:ascii="Book Antiqua" w:hAnsi="Book Antiqua" w:cstheme="minorHAnsi"/>
        </w:rPr>
        <w:instrText>ADDIN CSL_CITATION {"citationItems":[{"id":"ITEM-1","itemData":{"DOI":"10.1007/s00167-015-3763-9","ISBN":"0016701537639","ISSN":"0942-2056","PMID":"26298714","author":[{"dropping-particle":"","family":"Atesok","given":"Kivanc","non-dropping-particle":"","parse-names":false,"suffix":""},{"dropping-particle":"","family":"Fu","given":"Freddie H.","non-dropping-particle":"","parse-names":false,"suffix":""},{"dropping-particle":"","family":"Sekiya","given":"Ichiro","non-dropping-particle":"","parse-names":false,"suffix":""},{"dropping-particle":"","family":"Stolzing","given":"Alexandra","non-dropping-particle":"","parse-names":false,"suffix":""},{"dropping-particle":"","family":"Ochi","given":"Mitsuo","non-dropping-particle":"","parse-names":false,"suffix":""},{"dropping-particle":"","family":"Rodeo","given":"Scott A.","non-dropping-particle":"","parse-names":false,"suffix":""}],"container-title":"Knee Surgery, Sports Traumatology, Arthroscopy","id":"ITEM-1","issue":"2","issued":{"date-parts":[["2017"]]},"page":"626-636","publisher":"Springer Berlin Heidelberg","title":"Stem cells in degenerative orthopaedic pathologies: effects of aging on therapeutic potential","type":"article-journal","volume":"25"},"uris":["http://www.mendeley.com/documents/?uuid=e6dcdf70-c65b-4a89-94f3-62f8a03bcb93"]}],"mendeley":{"formattedCitation":"&lt;sup&gt;[102]&lt;/sup&gt;","plainTextFormattedCitation":"[102]","previouslyFormattedCitation":"&lt;sup&gt;[102]&lt;/sup&gt;"},"properties":{"noteIndex":0},"schema":"https://github.com/citation-style-language/schema/raw/master/csl-citation.json"}</w:instrText>
      </w:r>
      <w:r w:rsidR="00930207" w:rsidRPr="00000DD3">
        <w:rPr>
          <w:rFonts w:ascii="Book Antiqua" w:hAnsi="Book Antiqua" w:cstheme="minorHAnsi"/>
        </w:rPr>
        <w:fldChar w:fldCharType="separate"/>
      </w:r>
      <w:r w:rsidR="00930207" w:rsidRPr="00000DD3">
        <w:rPr>
          <w:rFonts w:ascii="Book Antiqua" w:hAnsi="Book Antiqua" w:cstheme="minorHAnsi"/>
          <w:noProof/>
          <w:vertAlign w:val="superscript"/>
        </w:rPr>
        <w:t>[102]</w:t>
      </w:r>
      <w:r w:rsidR="00930207" w:rsidRPr="00000DD3">
        <w:rPr>
          <w:rFonts w:ascii="Book Antiqua" w:hAnsi="Book Antiqua" w:cstheme="minorHAnsi"/>
        </w:rPr>
        <w:fldChar w:fldCharType="end"/>
      </w:r>
      <w:r w:rsidR="00FD4DB0" w:rsidRPr="00000DD3">
        <w:rPr>
          <w:rFonts w:ascii="Book Antiqua" w:hAnsi="Book Antiqua" w:cstheme="minorHAnsi"/>
        </w:rPr>
        <w:t xml:space="preserve">, </w:t>
      </w:r>
      <w:r w:rsidR="008525C9" w:rsidRPr="00000DD3">
        <w:rPr>
          <w:rFonts w:ascii="Book Antiqua" w:hAnsi="Book Antiqua" w:cstheme="minorHAnsi"/>
        </w:rPr>
        <w:t>thereby ameliorating the</w:t>
      </w:r>
      <w:r w:rsidR="00FD4DB0" w:rsidRPr="00000DD3">
        <w:rPr>
          <w:rFonts w:ascii="Book Antiqua" w:hAnsi="Book Antiqua" w:cstheme="minorHAnsi"/>
        </w:rPr>
        <w:t xml:space="preserve"> cartilage </w:t>
      </w:r>
      <w:r w:rsidR="008525C9" w:rsidRPr="00000DD3">
        <w:rPr>
          <w:rFonts w:ascii="Book Antiqua" w:hAnsi="Book Antiqua" w:cstheme="minorHAnsi"/>
        </w:rPr>
        <w:t>injury</w:t>
      </w:r>
      <w:r w:rsidR="00FD4DB0" w:rsidRPr="00000DD3">
        <w:rPr>
          <w:rFonts w:ascii="Book Antiqua" w:hAnsi="Book Antiqua" w:cstheme="minorHAnsi"/>
        </w:rPr>
        <w:t>.</w:t>
      </w:r>
      <w:r w:rsidR="009A0357" w:rsidRPr="00000DD3">
        <w:rPr>
          <w:rFonts w:ascii="Book Antiqua" w:hAnsi="Book Antiqua" w:cstheme="minorHAnsi"/>
        </w:rPr>
        <w:t xml:space="preserve"> </w:t>
      </w:r>
      <w:r w:rsidR="008525C9" w:rsidRPr="00000DD3">
        <w:rPr>
          <w:rFonts w:ascii="Book Antiqua" w:hAnsi="Book Antiqua" w:cstheme="minorHAnsi"/>
        </w:rPr>
        <w:t>S</w:t>
      </w:r>
      <w:r w:rsidR="002472DE" w:rsidRPr="00000DD3">
        <w:rPr>
          <w:rFonts w:ascii="Book Antiqua" w:hAnsi="Book Antiqua" w:cstheme="minorHAnsi"/>
        </w:rPr>
        <w:t xml:space="preserve">everal clinical studies </w:t>
      </w:r>
      <w:r w:rsidR="008525C9" w:rsidRPr="00000DD3">
        <w:rPr>
          <w:rFonts w:ascii="Book Antiqua" w:hAnsi="Book Antiqua" w:cstheme="minorHAnsi"/>
        </w:rPr>
        <w:t xml:space="preserve">have utilized </w:t>
      </w:r>
      <w:proofErr w:type="spellStart"/>
      <w:r w:rsidR="00B31CB3" w:rsidRPr="00000DD3">
        <w:rPr>
          <w:rFonts w:ascii="Book Antiqua" w:hAnsi="Book Antiqua" w:cstheme="minorHAnsi"/>
        </w:rPr>
        <w:t>cMSCs</w:t>
      </w:r>
      <w:proofErr w:type="spellEnd"/>
      <w:r w:rsidR="00B31CB3" w:rsidRPr="00000DD3">
        <w:rPr>
          <w:rFonts w:ascii="Book Antiqua" w:hAnsi="Book Antiqua" w:cstheme="minorHAnsi"/>
        </w:rPr>
        <w:t xml:space="preserve"> for OA in dogs</w:t>
      </w:r>
      <w:r w:rsidR="008525C9" w:rsidRPr="00000DD3">
        <w:rPr>
          <w:rFonts w:ascii="Book Antiqua" w:hAnsi="Book Antiqua" w:cstheme="minorHAnsi"/>
        </w:rPr>
        <w:t xml:space="preserve">, with </w:t>
      </w:r>
      <w:r w:rsidR="00B31CB3" w:rsidRPr="00000DD3">
        <w:rPr>
          <w:rFonts w:ascii="Book Antiqua" w:hAnsi="Book Antiqua" w:cstheme="minorHAnsi"/>
        </w:rPr>
        <w:t xml:space="preserve">most </w:t>
      </w:r>
      <w:r w:rsidR="008525C9" w:rsidRPr="00000DD3">
        <w:rPr>
          <w:rFonts w:ascii="Book Antiqua" w:hAnsi="Book Antiqua" w:cstheme="minorHAnsi"/>
        </w:rPr>
        <w:t>treating</w:t>
      </w:r>
      <w:r w:rsidR="00B31CB3" w:rsidRPr="00000DD3">
        <w:rPr>
          <w:rFonts w:ascii="Book Antiqua" w:hAnsi="Book Antiqua" w:cstheme="minorHAnsi"/>
        </w:rPr>
        <w:t xml:space="preserve"> OA with AD-</w:t>
      </w:r>
      <w:proofErr w:type="spellStart"/>
      <w:r w:rsidR="00B31CB3" w:rsidRPr="00000DD3">
        <w:rPr>
          <w:rFonts w:ascii="Book Antiqua" w:hAnsi="Book Antiqua" w:cstheme="minorHAnsi"/>
        </w:rPr>
        <w:t>cMSCs</w:t>
      </w:r>
      <w:proofErr w:type="spellEnd"/>
      <w:r w:rsidR="00F55A92" w:rsidRPr="00000DD3">
        <w:rPr>
          <w:rFonts w:ascii="Book Antiqua" w:hAnsi="Book Antiqua" w:cstheme="minorHAnsi"/>
        </w:rPr>
        <w:t xml:space="preserve"> (Table 4)</w:t>
      </w:r>
      <w:r w:rsidR="00B31CB3" w:rsidRPr="00000DD3">
        <w:rPr>
          <w:rFonts w:ascii="Book Antiqua" w:hAnsi="Book Antiqua" w:cstheme="minorHAnsi"/>
        </w:rPr>
        <w:t>.</w:t>
      </w:r>
      <w:r w:rsidR="009A0357" w:rsidRPr="00000DD3">
        <w:rPr>
          <w:rFonts w:ascii="Book Antiqua" w:hAnsi="Book Antiqua" w:cstheme="minorHAnsi"/>
        </w:rPr>
        <w:t xml:space="preserve"> </w:t>
      </w:r>
    </w:p>
    <w:p w14:paraId="4954D304" w14:textId="4162CF4E" w:rsidR="004F4D62" w:rsidRPr="00000DD3" w:rsidRDefault="00B963FB" w:rsidP="00116D17">
      <w:pPr>
        <w:pStyle w:val="aa"/>
        <w:spacing w:line="360" w:lineRule="auto"/>
        <w:ind w:leftChars="0" w:left="0" w:firstLineChars="100" w:firstLine="240"/>
        <w:jc w:val="both"/>
        <w:rPr>
          <w:rFonts w:ascii="Book Antiqua" w:hAnsi="Book Antiqua" w:cstheme="minorHAnsi"/>
        </w:rPr>
      </w:pPr>
      <w:r w:rsidRPr="00000DD3">
        <w:rPr>
          <w:rFonts w:ascii="Book Antiqua" w:hAnsi="Book Antiqua" w:cstheme="minorHAnsi"/>
        </w:rPr>
        <w:t>D</w:t>
      </w:r>
      <w:r w:rsidR="009A0357" w:rsidRPr="00000DD3">
        <w:rPr>
          <w:rFonts w:ascii="Book Antiqua" w:hAnsi="Book Antiqua" w:cstheme="minorHAnsi"/>
        </w:rPr>
        <w:t>ogs in actual conditions of OA can serve as vulnerable translational animal models for human medicine</w:t>
      </w:r>
      <w:r w:rsidRPr="00000DD3">
        <w:rPr>
          <w:rFonts w:ascii="Book Antiqua" w:hAnsi="Book Antiqua" w:cstheme="minorHAnsi"/>
        </w:rPr>
        <w:t xml:space="preserve"> in terms of the use of MSCs</w:t>
      </w:r>
      <w:r w:rsidR="009A0357" w:rsidRPr="00000DD3">
        <w:rPr>
          <w:rFonts w:ascii="Book Antiqua" w:hAnsi="Book Antiqua" w:cstheme="minorHAnsi"/>
        </w:rPr>
        <w:t>.</w:t>
      </w:r>
      <w:r w:rsidR="001E4810" w:rsidRPr="00000DD3">
        <w:rPr>
          <w:rFonts w:ascii="Book Antiqua" w:hAnsi="Book Antiqua" w:cstheme="minorHAnsi"/>
        </w:rPr>
        <w:t xml:space="preserve"> Each</w:t>
      </w:r>
      <w:r w:rsidR="009A0357" w:rsidRPr="00000DD3">
        <w:rPr>
          <w:rFonts w:ascii="Book Antiqua" w:hAnsi="Book Antiqua" w:cstheme="minorHAnsi"/>
        </w:rPr>
        <w:t xml:space="preserve"> </w:t>
      </w:r>
      <w:proofErr w:type="spellStart"/>
      <w:r w:rsidR="009A0357" w:rsidRPr="00000DD3">
        <w:rPr>
          <w:rFonts w:ascii="Book Antiqua" w:hAnsi="Book Antiqua" w:cstheme="minorHAnsi"/>
        </w:rPr>
        <w:t>cMSC</w:t>
      </w:r>
      <w:proofErr w:type="spellEnd"/>
      <w:r w:rsidR="001E4810" w:rsidRPr="00000DD3">
        <w:rPr>
          <w:rFonts w:ascii="Book Antiqua" w:hAnsi="Book Antiqua" w:cstheme="minorHAnsi"/>
        </w:rPr>
        <w:t xml:space="preserve"> study </w:t>
      </w:r>
      <w:r w:rsidRPr="00000DD3">
        <w:rPr>
          <w:rFonts w:ascii="Book Antiqua" w:hAnsi="Book Antiqua" w:cstheme="minorHAnsi"/>
        </w:rPr>
        <w:t xml:space="preserve">has </w:t>
      </w:r>
      <w:r w:rsidR="009A0357" w:rsidRPr="00000DD3">
        <w:rPr>
          <w:rFonts w:ascii="Book Antiqua" w:hAnsi="Book Antiqua" w:cstheme="minorHAnsi"/>
        </w:rPr>
        <w:t>demonstrated</w:t>
      </w:r>
      <w:r w:rsidR="00B65C9C" w:rsidRPr="00000DD3">
        <w:rPr>
          <w:rFonts w:ascii="Book Antiqua" w:hAnsi="Book Antiqua" w:cstheme="minorHAnsi"/>
        </w:rPr>
        <w:t xml:space="preserve"> improvement </w:t>
      </w:r>
      <w:r w:rsidRPr="00000DD3">
        <w:rPr>
          <w:rFonts w:ascii="Book Antiqua" w:hAnsi="Book Antiqua" w:cstheme="minorHAnsi"/>
        </w:rPr>
        <w:t xml:space="preserve">in </w:t>
      </w:r>
      <w:r w:rsidR="00B65C9C" w:rsidRPr="00000DD3">
        <w:rPr>
          <w:rFonts w:ascii="Book Antiqua" w:hAnsi="Book Antiqua" w:cstheme="minorHAnsi"/>
        </w:rPr>
        <w:t>OA</w:t>
      </w:r>
      <w:r w:rsidRPr="00000DD3">
        <w:rPr>
          <w:rFonts w:ascii="Book Antiqua" w:hAnsi="Book Antiqua" w:cstheme="minorHAnsi"/>
        </w:rPr>
        <w:t xml:space="preserve"> symptoms</w:t>
      </w:r>
      <w:r w:rsidR="00B65C9C" w:rsidRPr="00000DD3">
        <w:rPr>
          <w:rFonts w:ascii="Book Antiqua" w:hAnsi="Book Antiqua" w:cstheme="minorHAnsi"/>
        </w:rPr>
        <w:t xml:space="preserve"> after </w:t>
      </w:r>
      <w:r w:rsidR="00A85A3A" w:rsidRPr="00000DD3">
        <w:rPr>
          <w:rFonts w:ascii="Book Antiqua" w:hAnsi="Book Antiqua" w:cstheme="minorHAnsi"/>
        </w:rPr>
        <w:t xml:space="preserve">single </w:t>
      </w:r>
      <w:r w:rsidR="00B65C9C" w:rsidRPr="00000DD3">
        <w:rPr>
          <w:rFonts w:ascii="Book Antiqua" w:hAnsi="Book Antiqua" w:cstheme="minorHAnsi"/>
        </w:rPr>
        <w:t>intraarticular, intravenous</w:t>
      </w:r>
      <w:r w:rsidRPr="00000DD3">
        <w:rPr>
          <w:rFonts w:ascii="Book Antiqua" w:hAnsi="Book Antiqua" w:cstheme="minorHAnsi"/>
        </w:rPr>
        <w:t>,</w:t>
      </w:r>
      <w:r w:rsidR="0045161A" w:rsidRPr="00000DD3">
        <w:rPr>
          <w:rFonts w:ascii="Book Antiqua" w:hAnsi="Book Antiqua" w:cstheme="minorHAnsi"/>
        </w:rPr>
        <w:t xml:space="preserve"> </w:t>
      </w:r>
      <w:r w:rsidR="00B65C9C" w:rsidRPr="00000DD3">
        <w:rPr>
          <w:rFonts w:ascii="Book Antiqua" w:hAnsi="Book Antiqua" w:cstheme="minorHAnsi"/>
        </w:rPr>
        <w:t>or acupuncture point</w:t>
      </w:r>
      <w:r w:rsidRPr="00000DD3">
        <w:rPr>
          <w:rFonts w:ascii="Book Antiqua" w:hAnsi="Book Antiqua" w:cstheme="minorHAnsi"/>
        </w:rPr>
        <w:t xml:space="preserve"> </w:t>
      </w:r>
      <w:r w:rsidR="00B65C9C" w:rsidRPr="00000DD3">
        <w:rPr>
          <w:rFonts w:ascii="Book Antiqua" w:hAnsi="Book Antiqua" w:cstheme="minorHAnsi"/>
        </w:rPr>
        <w:t>injection</w:t>
      </w:r>
      <w:r w:rsidRPr="00000DD3">
        <w:rPr>
          <w:rFonts w:ascii="Book Antiqua" w:hAnsi="Book Antiqua" w:cstheme="minorHAnsi"/>
        </w:rPr>
        <w:t>s</w:t>
      </w:r>
      <w:r w:rsidR="00B65C9C" w:rsidRPr="00000DD3">
        <w:rPr>
          <w:rFonts w:ascii="Book Antiqua" w:hAnsi="Book Antiqua" w:cstheme="minorHAnsi"/>
        </w:rPr>
        <w:t xml:space="preserve"> of </w:t>
      </w:r>
      <w:proofErr w:type="spellStart"/>
      <w:r w:rsidR="00B65C9C" w:rsidRPr="00000DD3">
        <w:rPr>
          <w:rFonts w:ascii="Book Antiqua" w:hAnsi="Book Antiqua" w:cstheme="minorHAnsi"/>
        </w:rPr>
        <w:t>cMSCs</w:t>
      </w:r>
      <w:proofErr w:type="spellEnd"/>
      <w:r w:rsidR="00B65C9C" w:rsidRPr="00000DD3">
        <w:rPr>
          <w:rFonts w:ascii="Book Antiqua" w:hAnsi="Book Antiqua" w:cstheme="minorHAnsi"/>
        </w:rPr>
        <w:t>. Some studies</w:t>
      </w:r>
      <w:r w:rsidRPr="00000DD3">
        <w:rPr>
          <w:rFonts w:ascii="Book Antiqua" w:hAnsi="Book Antiqua" w:cstheme="minorHAnsi"/>
        </w:rPr>
        <w:t xml:space="preserve"> have</w:t>
      </w:r>
      <w:r w:rsidR="00B65C9C" w:rsidRPr="00000DD3">
        <w:rPr>
          <w:rFonts w:ascii="Book Antiqua" w:hAnsi="Book Antiqua" w:cstheme="minorHAnsi"/>
        </w:rPr>
        <w:t xml:space="preserve"> </w:t>
      </w:r>
      <w:r w:rsidR="00E669FA" w:rsidRPr="00000DD3">
        <w:rPr>
          <w:rFonts w:ascii="Book Antiqua" w:hAnsi="Book Antiqua" w:cstheme="minorHAnsi"/>
        </w:rPr>
        <w:t xml:space="preserve">injected </w:t>
      </w:r>
      <w:proofErr w:type="spellStart"/>
      <w:r w:rsidR="00E669FA" w:rsidRPr="00000DD3">
        <w:rPr>
          <w:rFonts w:ascii="Book Antiqua" w:hAnsi="Book Antiqua" w:cstheme="minorHAnsi"/>
        </w:rPr>
        <w:t>cMSCs</w:t>
      </w:r>
      <w:proofErr w:type="spellEnd"/>
      <w:r w:rsidR="00E669FA" w:rsidRPr="00000DD3">
        <w:rPr>
          <w:rFonts w:ascii="Book Antiqua" w:hAnsi="Book Antiqua" w:cstheme="minorHAnsi"/>
        </w:rPr>
        <w:t xml:space="preserve"> </w:t>
      </w:r>
      <w:r w:rsidR="00247A96" w:rsidRPr="00000DD3">
        <w:rPr>
          <w:rFonts w:ascii="Book Antiqua" w:hAnsi="Book Antiqua" w:cstheme="minorHAnsi"/>
        </w:rPr>
        <w:t>in combination with</w:t>
      </w:r>
      <w:r w:rsidR="00A85A3A" w:rsidRPr="00000DD3">
        <w:rPr>
          <w:rFonts w:ascii="Book Antiqua" w:hAnsi="Book Antiqua" w:cstheme="minorHAnsi"/>
        </w:rPr>
        <w:t xml:space="preserve"> platelet-rich plasma</w:t>
      </w:r>
      <w:r w:rsidR="00540162" w:rsidRPr="00000DD3">
        <w:rPr>
          <w:rFonts w:ascii="Book Antiqua" w:hAnsi="Book Antiqua" w:cstheme="minorHAnsi"/>
        </w:rPr>
        <w:fldChar w:fldCharType="begin" w:fldLock="1"/>
      </w:r>
      <w:r w:rsidR="00540162" w:rsidRPr="00000DD3">
        <w:rPr>
          <w:rFonts w:ascii="Book Antiqua" w:hAnsi="Book Antiqua" w:cstheme="minorHAnsi"/>
        </w:rPr>
        <w:instrText>ADDIN CSL_CITATION {"citationItems":[{"id":"ITEM-1","itemData":{"DOI":"10.1042/CBI20110304","ISBN":"1095-8355 (Electronic)\\n1065-6995 (Linking)","ISSN":"1065-6995","PMID":"21936851","abstract":"Autologous AD-MSC [adipose-derived MSC (mesenchymal stem cell)] therapy involves harvesting fat from the patient by isolating the stem and regenerative cells and administering the cells back to the patient. This study evaluated the production of canine AD-MSCs and their possible application in cellular therapy for dogs. To assess whether cellular therapy can replace drug therapy, the clinical effect of a single intra-articular injection of AD-MSCs was evaluated on 4 dogs with lameness associated with OA (osteoarthritis) of the humeroradial joints. MSCs were readily isolated from adult dog adipose tissue, and their ability to form colony and differentiate into various phenotypes was confirmed. AD-MSCs expressed OCT4, NANOG and SOX2 at the mRNA level, pluripotency markers usually ascribed to embryonic stem cells. The results suggest the stemness of the cells isolated from canine fat, and good quality control made them available for both experimental and clinical use. Follow-up studies to evaluate the effects of AD-MSC therapy showed that OA of the elbow joints improved with time, indicating significant potential for clinical use in the treatment of lameness, particularly when administered before the injury becomes severe.","author":[{"dropping-particle":"","family":"Guercio","given":"Annalisa","non-dropping-particle":"","parse-names":false,"suffix":""},{"dropping-particle":"","family":"Marco","given":"Patrizia","non-dropping-particle":"Di","parse-names":false,"suffix":""},{"dropping-particle":"","family":"Casella","given":"Stefania","non-dropping-particle":"","parse-names":false,"suffix":""},{"dropping-particle":"","family":"Cannella","given":"Vincenza","non-dropping-particle":"","parse-names":false,"suffix":""},{"dropping-particle":"","family":"Russotto","given":"Laura","non-dropping-particle":"","parse-names":false,"suffix":""},{"dropping-particle":"","family":"Purpari","given":"Giuseppa","non-dropping-particle":"","parse-names":false,"suffix":""},{"dropping-particle":"","family":"Bella","given":"Santina","non-dropping-particle":"Di","parse-names":false,"suffix":""},{"dropping-particle":"","family":"Piccione","given":"Giuseppe","non-dropping-particle":"","parse-names":false,"suffix":""}],"container-title":"Cell Biology International","id":"ITEM-1","issue":"2","issued":{"date-parts":[["2012"]]},"page":"189-194","title":"Production of canine mesenchymal stem cells from adipose tissue and their application in dogs with chronic osteoarthritis of the humeroradial joints","type":"article-journal","volume":"36"},"uris":["http://www.mendeley.com/documents/?uuid=9624d8c0-ebd6-4b41-9f5e-4b7d8492bc01"]},{"id":"ITEM-2","itemData":{"DOI":"10.1186/1746-6148-9-131","ISBN":"1746-6148 (Electronic) 1746-6148 (Linking)","ISSN":"1746-6148","PMID":"23819757","abstract":"BACKGROUND: Adipose-derived mesenchymal stem cell (ADMSC) therapy in regenerative medicine is a rapidly growing area of research and is currently also being used to treat osteoarthritis (OA). Force platform analysis has been consistently used to verify the efficacy of different therapeutic strategies for the treatment of OA in dogs, but never with AD-MSC.The aim of this study was to use a force platform to measure the efficacy of intraarticular ADMSC administration for limb function improvement in dogs with severe OA.\\n\\nRESULTS: Eight lame dogs with severe hip OA and a control group of 5 sound dogs were used for this study. Results were statistically analyzed to detect a significant increase in peak vertical force (PVF) and vertical impulse (VI) in treated dogs. Mean values of PVF and VI were significantly improved after treatment of the OA groups, reaching 53.02% and 14.84% of body weight, respectively, at day 180, compared with only 43.56% and 12.16% at day 0.\\n\\nCONCLUSION: This study objectively demonstrated that intraarticular ADMSC therapy resulted in reduced lameness due to OA.","author":[{"dropping-particle":"","family":"Vilar","given":"Jose M","non-dropping-particle":"","parse-names":false,"suffix":""},{"dropping-particle":"","family":"Morales","given":"Manuel","non-dropping-particle":"","parse-names":false,"suffix":""},{"dropping-particle":"","family":"Santana","given":"Angelo","non-dropping-particle":"","parse-names":false,"suffix":""},{"dropping-particle":"","family":"Spinella","given":"Giuseppe","non-dropping-particle":"","parse-names":false,"suffix":""},{"dropping-particle":"","family":"Rubio","given":"Mónica","non-dropping-particle":"","parse-names":false,"suffix":""},{"dropping-particle":"","family":"Cuervo","given":"Belen","non-dropping-particle":"","parse-names":false,"suffix":""},{"dropping-particle":"","family":"Cugat","given":"Ramón","non-dropping-particle":"","parse-names":false,"suffix":""},{"dropping-particle":"","family":"Carrillo","given":"Jose M","non-dropping-particle":"","parse-names":false,"suffix":""}],"container-title":"BMC veterinary research","id":"ITEM-2","issued":{"date-parts":[["2013"]]},"title":"Controlled, blinded force platform analysis of the effect of intraarticular injection of autologous adipose-derived mesenchymal stem cells associated to PRGF-Endoret in osteoarthritic dogs.","type":"article-journal","volume":"9"},"uris":["http://www.mendeley.com/documents/?uuid=1a1998a7-f6c7-4c8d-93ce-a923bcd2d598"]}],"mendeley":{"formattedCitation":"&lt;sup&gt;[103,104]&lt;/sup&gt;","plainTextFormattedCitation":"[103,104]","previouslyFormattedCitation":"&lt;sup&gt;[103,104]&lt;/sup&gt;"},"properties":{"noteIndex":0},"schema":"https://github.com/citation-style-language/schema/raw/master/csl-citation.json"}</w:instrText>
      </w:r>
      <w:r w:rsidR="00540162" w:rsidRPr="00000DD3">
        <w:rPr>
          <w:rFonts w:ascii="Book Antiqua" w:hAnsi="Book Antiqua" w:cstheme="minorHAnsi"/>
        </w:rPr>
        <w:fldChar w:fldCharType="separate"/>
      </w:r>
      <w:r w:rsidR="00540162" w:rsidRPr="00000DD3">
        <w:rPr>
          <w:rFonts w:ascii="Book Antiqua" w:hAnsi="Book Antiqua" w:cstheme="minorHAnsi"/>
          <w:noProof/>
          <w:vertAlign w:val="superscript"/>
        </w:rPr>
        <w:t>[103,104]</w:t>
      </w:r>
      <w:r w:rsidR="00540162" w:rsidRPr="00000DD3">
        <w:rPr>
          <w:rFonts w:ascii="Book Antiqua" w:hAnsi="Book Antiqua" w:cstheme="minorHAnsi"/>
        </w:rPr>
        <w:fldChar w:fldCharType="end"/>
      </w:r>
      <w:r w:rsidR="00A85A3A" w:rsidRPr="00000DD3">
        <w:rPr>
          <w:rFonts w:ascii="Book Antiqua" w:hAnsi="Book Antiqua" w:cstheme="minorHAnsi"/>
        </w:rPr>
        <w:t xml:space="preserve"> or hyaluronic acid</w:t>
      </w:r>
      <w:r w:rsidR="00540162" w:rsidRPr="00000DD3">
        <w:rPr>
          <w:rFonts w:ascii="Book Antiqua" w:hAnsi="Book Antiqua" w:cstheme="minorHAnsi"/>
        </w:rPr>
        <w:fldChar w:fldCharType="begin" w:fldLock="1"/>
      </w:r>
      <w:r w:rsidR="00F818F3" w:rsidRPr="00000DD3">
        <w:rPr>
          <w:rFonts w:ascii="Book Antiqua" w:hAnsi="Book Antiqua" w:cstheme="minorHAnsi"/>
        </w:rPr>
        <w:instrText>ADDIN CSL_CITATION {"citationItems":[{"id":"ITEM-1","itemData":{"ISBN":"3662599600","ISSN":"1928-9022","PMID":"28197017","abstract":"Visceral adipose tissue (AT) obtained from surgical waste during routine ovariectomies was used as a source for isolating canine mesenchymal stem cells (MSCs). As determined by cytofluorimetry, passage 2 cells expressed MSC markers CD44 and CD90 and were negative for lineage-specific markers CD34 and CD45. The cells differentiated toward osteogenic, adipogenic, and chondrogenic directions. With therapeutic aims, 30 dogs (39 joints) suffering from elbow dysplasia (ED) and osteoarthritis (OA) were intra-articularly transplanted with allogeneic MSCs suspended in 0.5% hyaluronic acid (HA). A highly significant improvement was achieved without any medication as demonstrated by the degree of lameness during the follow-up period of 1 y. Control arthroscopy of 1 transplanted dog indicated that the cartilage had regenerated. Histological analysis of the cartilage biopsy confirmed that the regenerated cartilage was of hyaline type. These results demonstrate that transplantation of allogeneic adipose tissue-derived mesenchymal stem cells (AT-MSCs) is a novel, noninvasive, and highly effective therapeutic tool in treating canine elbow dysplasia. Du tissu adipeux viscéral (TA) obtenu de résidus chirurgicaux lors d’ovariectomies de routine a été utilisé comme source pour isoler des cellules souches mésenchymateuses canines (CSMs). Tel que déterminé par cytofluorométrie, les cellules du 2e passage exprimaient les marqueurs de CSM CD44 et CD90, et étaient négatives pour les marqueurs spécifiques de lignée CD34 et CD45. Les cellules se sont différenciées dans des directions ostéogéniques, adipogéniques, et chondrogéniques. À des fins thérapeutiques, 30 chiens (39 articulations) souffrant de dysplasie du coude (DC) et d’ostéoarthrite (OA) ont reçu une transplantation intra articulaire de CSMs allogéniques en suspension dans 0,5 % d’acide hyaluronique (AH). Une amélioration hautement significative a été obtenue sans aucune médication tel que démontré par le degré de boiterie durant la période de suivi de 1 an. Une arthroscopie de contrôle de un des chiens ayant reçu une transplantation montrait que le cartilage s’était régénéré. L’analyse histologique de la biopsie du cartilage a confirmé que le cartilage régénéré était de type hyalin. Ces résultats démontrent que la transplantation de cellules souches mésenchymateuses dérivées de tissu adipeux allogène est un outil thérapeutique novateur, non-invasif, et très efficace pour traiter la dysplasie du coude chez le chien.(Tra…","author":[{"dropping-particle":"","family":"Kriston-Pál","given":"Éva","non-dropping-particle":"","parse-names":false,"suffix":""},{"dropping-particle":"","family":"Czibula","given":"Ágnes","non-dropping-particle":"","parse-names":false,"suffix":""},{"dropping-particle":"","family":"Gyuris","given":"Zoltán","non-dropping-particle":"","parse-names":false,"suffix":""},{"dropping-particle":"","family":"Balka","given":"Gyula","non-dropping-particle":"","parse-names":false,"suffix":""},{"dropping-particle":"","family":"Seregi","given":"Antal","non-dropping-particle":"","parse-names":false,"suffix":""},{"dropping-particle":"","family":"Sükösd","given":"Farkas","non-dropping-particle":"","parse-names":false,"suffix":""},{"dropping-particle":"","family":"Süth","given":"Miklós","non-dropping-particle":"","parse-names":false,"suffix":""},{"dropping-particle":"","family":"Kiss-Tóth","given":"Endre","non-dropping-particle":"","parse-names":false,"suffix":""},{"dropping-particle":"","family":"Haracska","given":"Lajos","non-dropping-particle":"","parse-names":false,"suffix":""},{"dropping-particle":"","family":"Uher","given":"Ferenc","non-dropping-particle":"","parse-names":false,"suffix":""},{"dropping-particle":"","family":"Monostori","given":"Éva","non-dropping-particle":"","parse-names":false,"suffix":""}],"container-title":"Canadian journal of veterinary research = Revue canadienne de recherche veterinaire","id":"ITEM-1","issue":"1","issued":{"date-parts":[["2017"]]},"page":"73-78","title":"Characterization and therapeutic application of canine adipose mesenchymal stem cells to treat elbow osteoarthritis.","type":"article-journal","volume":"81"},"uris":["http://www.mendeley.com/documents/?uuid=348e3bc2-30bf-34a4-8e4a-8a930a899105"]}],"mendeley":{"formattedCitation":"&lt;sup&gt;[105]&lt;/sup&gt;","plainTextFormattedCitation":"[105]","previouslyFormattedCitation":"&lt;sup&gt;[105]&lt;/sup&gt;"},"properties":{"noteIndex":0},"schema":"https://github.com/citation-style-language/schema/raw/master/csl-citation.json"}</w:instrText>
      </w:r>
      <w:r w:rsidR="00540162" w:rsidRPr="00000DD3">
        <w:rPr>
          <w:rFonts w:ascii="Book Antiqua" w:hAnsi="Book Antiqua" w:cstheme="minorHAnsi"/>
        </w:rPr>
        <w:fldChar w:fldCharType="separate"/>
      </w:r>
      <w:r w:rsidR="00540162" w:rsidRPr="00000DD3">
        <w:rPr>
          <w:rFonts w:ascii="Book Antiqua" w:hAnsi="Book Antiqua" w:cstheme="minorHAnsi"/>
          <w:noProof/>
          <w:vertAlign w:val="superscript"/>
        </w:rPr>
        <w:t>[105]</w:t>
      </w:r>
      <w:r w:rsidR="00540162" w:rsidRPr="00000DD3">
        <w:rPr>
          <w:rFonts w:ascii="Book Antiqua" w:hAnsi="Book Antiqua" w:cstheme="minorHAnsi"/>
        </w:rPr>
        <w:fldChar w:fldCharType="end"/>
      </w:r>
      <w:r w:rsidR="00A85A3A" w:rsidRPr="00000DD3">
        <w:rPr>
          <w:rFonts w:ascii="Book Antiqua" w:hAnsi="Book Antiqua" w:cstheme="minorHAnsi"/>
        </w:rPr>
        <w:t>.</w:t>
      </w:r>
      <w:r w:rsidR="001E0858" w:rsidRPr="00000DD3">
        <w:rPr>
          <w:rFonts w:ascii="Book Antiqua" w:hAnsi="Book Antiqua" w:cstheme="minorHAnsi"/>
        </w:rPr>
        <w:t xml:space="preserve"> </w:t>
      </w:r>
      <w:r w:rsidR="002527ED" w:rsidRPr="00000DD3">
        <w:rPr>
          <w:rFonts w:ascii="Book Antiqua" w:hAnsi="Book Antiqua" w:cstheme="minorHAnsi"/>
        </w:rPr>
        <w:t>I</w:t>
      </w:r>
      <w:r w:rsidR="00A85A3A" w:rsidRPr="00000DD3">
        <w:rPr>
          <w:rFonts w:ascii="Book Antiqua" w:hAnsi="Book Antiqua" w:cstheme="minorHAnsi"/>
        </w:rPr>
        <w:t>mprovement</w:t>
      </w:r>
      <w:r w:rsidRPr="00000DD3">
        <w:rPr>
          <w:rFonts w:ascii="Book Antiqua" w:hAnsi="Book Antiqua" w:cstheme="minorHAnsi"/>
        </w:rPr>
        <w:t>s</w:t>
      </w:r>
      <w:r w:rsidR="00A85A3A" w:rsidRPr="00000DD3">
        <w:rPr>
          <w:rFonts w:ascii="Book Antiqua" w:hAnsi="Book Antiqua" w:cstheme="minorHAnsi"/>
        </w:rPr>
        <w:t xml:space="preserve"> in pain, lameness</w:t>
      </w:r>
      <w:r w:rsidRPr="00000DD3">
        <w:rPr>
          <w:rFonts w:ascii="Book Antiqua" w:hAnsi="Book Antiqua" w:cstheme="minorHAnsi"/>
        </w:rPr>
        <w:t>,</w:t>
      </w:r>
      <w:r w:rsidR="00A85A3A" w:rsidRPr="00000DD3">
        <w:rPr>
          <w:rFonts w:ascii="Book Antiqua" w:hAnsi="Book Antiqua" w:cstheme="minorHAnsi"/>
        </w:rPr>
        <w:t xml:space="preserve"> and range of motion </w:t>
      </w:r>
      <w:r w:rsidRPr="00000DD3">
        <w:rPr>
          <w:rFonts w:ascii="Book Antiqua" w:hAnsi="Book Antiqua" w:cstheme="minorHAnsi"/>
        </w:rPr>
        <w:t xml:space="preserve">were </w:t>
      </w:r>
      <w:r w:rsidR="00A85A3A" w:rsidRPr="00000DD3">
        <w:rPr>
          <w:rFonts w:ascii="Book Antiqua" w:hAnsi="Book Antiqua" w:cstheme="minorHAnsi"/>
        </w:rPr>
        <w:t>observed from 1 week</w:t>
      </w:r>
      <w:r w:rsidR="00A85A3A" w:rsidRPr="00000DD3">
        <w:rPr>
          <w:rFonts w:ascii="Book Antiqua" w:hAnsi="Book Antiqua" w:cstheme="minorHAnsi"/>
        </w:rPr>
        <w:fldChar w:fldCharType="begin" w:fldLock="1"/>
      </w:r>
      <w:r w:rsidR="005E4E7F" w:rsidRPr="00000DD3">
        <w:rPr>
          <w:rFonts w:ascii="Book Antiqua" w:hAnsi="Book Antiqua" w:cstheme="minorHAnsi"/>
        </w:rPr>
        <w:instrText>ADDIN CSL_CITATION {"citationItems":[{"id":"ITEM-1","itemData":{"DOI":"10.1042/CBI20110304","ISBN":"1095-8355 (Electronic)\\n1065-6995 (Linking)","ISSN":"1065-6995","PMID":"21936851","abstract":"Autologous AD-MSC [adipose-derived MSC (mesenchymal stem cell)] therapy involves harvesting fat from the patient by isolating the stem and regenerative cells and administering the cells back to the patient. This study evaluated the production of canine AD-MSCs and their possible application in cellular therapy for dogs. To assess whether cellular therapy can replace drug therapy, the clinical effect of a single intra-articular injection of AD-MSCs was evaluated on 4 dogs with lameness associated with OA (osteoarthritis) of the humeroradial joints. MSCs were readily isolated from adult dog adipose tissue, and their ability to form colony and differentiate into various phenotypes was confirmed. AD-MSCs expressed OCT4, NANOG and SOX2 at the mRNA level, pluripotency markers usually ascribed to embryonic stem cells. The results suggest the stemness of the cells isolated from canine fat, and good quality control made them available for both experimental and clinical use. Follow-up studies to evaluate the effects of AD-MSC therapy showed that OA of the elbow joints improved with time, indicating significant potential for clinical use in the treatment of lameness, particularly when administered before the injury becomes severe.","author":[{"dropping-particle":"","family":"Guercio","given":"Annalisa","non-dropping-particle":"","parse-names":false,"suffix":""},{"dropping-particle":"","family":"Marco","given":"Patrizia","non-dropping-particle":"Di","parse-names":false,"suffix":""},{"dropping-particle":"","family":"Casella","given":"Stefania","non-dropping-particle":"","parse-names":false,"suffix":""},{"dropping-particle":"","family":"Cannella","given":"Vincenza","non-dropping-particle":"","parse-names":false,"suffix":""},{"dropping-particle":"","family":"Russotto","given":"Laura","non-dropping-particle":"","parse-names":false,"suffix":""},{"dropping-particle":"","family":"Purpari","given":"Giuseppa","non-dropping-particle":"","parse-names":false,"suffix":""},{"dropping-particle":"","family":"Bella","given":"Santina","non-dropping-particle":"Di","parse-names":false,"suffix":""},{"dropping-particle":"","family":"Piccione","given":"Giuseppe","non-dropping-particle":"","parse-names":false,"suffix":""}],"container-title":"Cell Biology International","id":"ITEM-1","issue":"2","issued":{"date-parts":[["2012"]]},"page":"189-194","title":"Production of canine mesenchymal stem cells from adipose tissue and their application in dogs with chronic osteoarthritis of the humeroradial joints","type":"article-journal","volume":"36"},"uris":["http://www.mendeley.com/documents/?uuid=9624d8c0-ebd6-4b41-9f5e-4b7d8492bc01"]},{"id":"ITEM-2","itemData":{"DOI":"10.1155/2014/391274","ISBN":"1687-966X (Print)","ISSN":"16879678","PMID":"25180040","abstract":"Stem cells isolated from adipose tissue show great therapeutic potential in veterinary medicine, but some points such as the use of fresh or cultured cells and route of administration need better knowledge. This study aimed to evaluate the effect of autologous stromal vascular fraction (SVF, n = 4) or allogeneic cultured adipose-derived stem cells (ASCs, n = 5) injected into acupuncture points in dogs with hip dysplasia and weak response to drug therapy. Canine ASCs have proliferation and differentiation potential similar to ASCs from other species. After the first week of treatment, clinical evaluation showed marked improvement compared with baseline results in all patients treated with autologous SVF and three of the dogs treated with allogeneic ASCs. On days 15 and 30, all dogs showed improvement in range of motion, lameness at trot, and pain on manipulation of the joints, except for one ASC-treated patient. Positive results were more clearly seen in the SVF-treated group. These results show that autologous SVF or allogeneic ASCs can be safely used in acupoint injection for treating hip dysplasia in dogs and represent an important therapeutic alternative for this type of pathology. Further studies are necessary to assess a possible advantage of SVF cells in treating joint diseases.","author":[{"dropping-particle":"","family":"Marx","given":"Camila","non-dropping-particle":"","parse-names":false,"suffix":""},{"dropping-particle":"","family":"Silveira","given":"Maiele Dornelles","non-dropping-particle":"","parse-names":false,"suffix":""},{"dropping-particle":"","family":"Selbach","given":"Isabel","non-dropping-particle":"","parse-names":false,"suffix":""},{"dropping-particle":"","family":"Silva","given":"Ariel Silveira","non-dropping-particle":"Da","parse-names":false,"suffix":""},{"dropping-particle":"","family":"Braga","given":"Luisa Maria Gomes De Macedo","non-dropping-particle":"","parse-names":false,"suffix":""},{"dropping-particle":"","family":"Camassola","given":"Melissa","non-dropping-particle":"","parse-names":false,"suffix":""},{"dropping-particle":"","family":"Nardi","given":"Nance Beyer","non-dropping-particle":"","parse-names":false,"suffix":""}],"container-title":"Stem Cells International","id":"ITEM-2","issued":{"date-parts":[["2014"]]},"title":"Acupoint injection of autologous stromal vascular fraction and allogeneic adipose-derived stem cells to treat hip dysplasia in dogs","type":"article-journal","volume":"2014"},"uris":["http://www.mendeley.com/documents/?uuid=88d03a7a-fa3f-39d4-b857-aa58be5229b7"]}],"mendeley":{"formattedCitation":"&lt;sup&gt;[103,106]&lt;/sup&gt;","plainTextFormattedCitation":"[103,106]","previouslyFormattedCitation":"&lt;sup&gt;[103,106]&lt;/sup&gt;"},"properties":{"noteIndex":0},"schema":"https://github.com/citation-style-language/schema/raw/master/csl-citation.json"}</w:instrText>
      </w:r>
      <w:r w:rsidR="00A85A3A" w:rsidRPr="00000DD3">
        <w:rPr>
          <w:rFonts w:ascii="Book Antiqua" w:hAnsi="Book Antiqua" w:cstheme="minorHAnsi"/>
        </w:rPr>
        <w:fldChar w:fldCharType="separate"/>
      </w:r>
      <w:r w:rsidR="001C357C" w:rsidRPr="00000DD3">
        <w:rPr>
          <w:rFonts w:ascii="Book Antiqua" w:hAnsi="Book Antiqua" w:cstheme="minorHAnsi"/>
          <w:noProof/>
          <w:vertAlign w:val="superscript"/>
        </w:rPr>
        <w:t>[103,106]</w:t>
      </w:r>
      <w:r w:rsidR="00A85A3A" w:rsidRPr="00000DD3">
        <w:rPr>
          <w:rFonts w:ascii="Book Antiqua" w:hAnsi="Book Antiqua" w:cstheme="minorHAnsi"/>
        </w:rPr>
        <w:fldChar w:fldCharType="end"/>
      </w:r>
      <w:r w:rsidR="00A85A3A" w:rsidRPr="00000DD3">
        <w:rPr>
          <w:rFonts w:ascii="Book Antiqua" w:hAnsi="Book Antiqua" w:cstheme="minorHAnsi"/>
        </w:rPr>
        <w:t xml:space="preserve"> </w:t>
      </w:r>
      <w:r w:rsidR="002527ED" w:rsidRPr="00000DD3">
        <w:rPr>
          <w:rFonts w:ascii="Book Antiqua" w:hAnsi="Book Antiqua" w:cstheme="minorHAnsi"/>
        </w:rPr>
        <w:t xml:space="preserve">after the </w:t>
      </w:r>
      <w:proofErr w:type="spellStart"/>
      <w:r w:rsidR="002527ED" w:rsidRPr="00000DD3">
        <w:rPr>
          <w:rFonts w:ascii="Book Antiqua" w:hAnsi="Book Antiqua" w:cstheme="minorHAnsi"/>
        </w:rPr>
        <w:t>cMSC</w:t>
      </w:r>
      <w:proofErr w:type="spellEnd"/>
      <w:r w:rsidR="002527ED" w:rsidRPr="00000DD3">
        <w:rPr>
          <w:rFonts w:ascii="Book Antiqua" w:hAnsi="Book Antiqua" w:cstheme="minorHAnsi"/>
        </w:rPr>
        <w:t xml:space="preserve"> injection </w:t>
      </w:r>
      <w:r w:rsidR="00A85A3A" w:rsidRPr="00000DD3">
        <w:rPr>
          <w:rFonts w:ascii="Book Antiqua" w:hAnsi="Book Antiqua" w:cstheme="minorHAnsi"/>
        </w:rPr>
        <w:t xml:space="preserve">up to </w:t>
      </w:r>
      <w:r w:rsidR="002527ED" w:rsidRPr="00000DD3">
        <w:rPr>
          <w:rFonts w:ascii="Book Antiqua" w:hAnsi="Book Antiqua" w:cstheme="minorHAnsi"/>
        </w:rPr>
        <w:t xml:space="preserve">180 d after </w:t>
      </w:r>
      <w:proofErr w:type="spellStart"/>
      <w:r w:rsidR="002527ED" w:rsidRPr="00000DD3">
        <w:rPr>
          <w:rFonts w:ascii="Book Antiqua" w:hAnsi="Book Antiqua" w:cstheme="minorHAnsi"/>
        </w:rPr>
        <w:t>cMSC</w:t>
      </w:r>
      <w:proofErr w:type="spellEnd"/>
      <w:r w:rsidR="002527ED" w:rsidRPr="00000DD3">
        <w:rPr>
          <w:rFonts w:ascii="Book Antiqua" w:hAnsi="Book Antiqua" w:cstheme="minorHAnsi"/>
        </w:rPr>
        <w:t xml:space="preserve"> injection alone</w:t>
      </w:r>
      <w:r w:rsidR="002527ED" w:rsidRPr="00000DD3">
        <w:rPr>
          <w:rFonts w:ascii="Book Antiqua" w:hAnsi="Book Antiqua" w:cstheme="minorHAnsi"/>
        </w:rPr>
        <w:fldChar w:fldCharType="begin" w:fldLock="1"/>
      </w:r>
      <w:r w:rsidR="00EB03C3" w:rsidRPr="00000DD3">
        <w:rPr>
          <w:rFonts w:ascii="Book Antiqua" w:hAnsi="Book Antiqua" w:cstheme="minorHAnsi"/>
        </w:rPr>
        <w:instrText>ADDIN CSL_CITATION {"citationItems":[{"id":"ITEM-1","itemData":{"PMID":"19003780","abstract":"Autologous adipose-derived mesenchymal stem cell (AD-MSC) therapy involves harvesting fat from the patient, isolating the stem and regenerative cells, and administering the cells back to the patient. Autologous AD-MSC therapy in veterinary regenerative medicine has been commercially available since 2003. Previously reported results from a blinded, controlled trial in dogs with chronic osteoarthritis of the coxofemoral (hip) joint demonstrated efficacy of a single intraarticular injection of autologous AD-MSC therapy. The primary objective of the current study was to evaluate the effectiveness of this therapy in dogs with chronic osteoarthritis of the humeroradial (elbow) joints and to determine the duration of effect. Fourteen dogs were recruited. Veterinarians assessed each dog for lameness, pain on manipulation, range of motion, and functional disability using a numeric rating scale at baseline and specified intervals up to 180 days after treatment. Statistically significant improvement in outcome measures was demonstrated.","author":[{"dropping-particle":"","family":"Black","given":"Linda L.","non-dropping-particle":"","parse-names":false,"suffix":""},{"dropping-particle":"","family":"Gaynor","given":"James","non-dropping-particle":"","parse-names":false,"suffix":""},{"dropping-particle":"","family":"Adams","given":"Cheryl","non-dropping-particle":"","parse-names":false,"suffix":""},{"dropping-particle":"","family":"Dhupa","given":"Sarit","non-dropping-particle":"","parse-names":false,"suffix":""},{"dropping-particle":"","family":"Sams","given":"Andrew E.","non-dropping-particle":"","parse-names":false,"suffix":""},{"dropping-particle":"","family":"Taylor","given":"Robert","non-dropping-particle":"","parse-names":false,"suffix":""},{"dropping-particle":"","family":"Harman","given":"Susan","non-dropping-particle":"","parse-names":false,"suffix":""},{"dropping-particle":"","family":"Gingerich","given":"Daniel A.","non-dropping-particle":"","parse-names":false,"suffix":""},{"dropping-particle":"","family":"Harman","given":"Robert","non-dropping-particle":"","parse-names":false,"suffix":""}],"container-title":"Veterinary Therapeutics","id":"ITEM-1","issue":"3","issued":{"date-parts":[["2008"]]},"page":"192-200","title":"Effect of intraarticular injection of autologous adipose-derived mesenchymal stem and regenerative cells on clinical signs ofchronic osteoarthritis of the elbow joint in dogs","type":"article-journal","volume":"9"},"uris":["http://www.mendeley.com/documents/?uuid=79af5a8c-8e55-3d7c-b1a7-4e79cbd87e04"]}],"mendeley":{"formattedCitation":"&lt;sup&gt;[107]&lt;/sup&gt;","plainTextFormattedCitation":"[107]","previouslyFormattedCitation":"&lt;sup&gt;[107]&lt;/sup&gt;"},"properties":{"noteIndex":0},"schema":"https://github.com/citation-style-language/schema/raw/master/csl-citation.json"}</w:instrText>
      </w:r>
      <w:r w:rsidR="002527ED" w:rsidRPr="00000DD3">
        <w:rPr>
          <w:rFonts w:ascii="Book Antiqua" w:hAnsi="Book Antiqua" w:cstheme="minorHAnsi"/>
        </w:rPr>
        <w:fldChar w:fldCharType="separate"/>
      </w:r>
      <w:r w:rsidR="001C357C" w:rsidRPr="00000DD3">
        <w:rPr>
          <w:rFonts w:ascii="Book Antiqua" w:hAnsi="Book Antiqua" w:cstheme="minorHAnsi"/>
          <w:noProof/>
          <w:vertAlign w:val="superscript"/>
        </w:rPr>
        <w:t>[107]</w:t>
      </w:r>
      <w:r w:rsidR="002527ED" w:rsidRPr="00000DD3">
        <w:rPr>
          <w:rFonts w:ascii="Book Antiqua" w:hAnsi="Book Antiqua" w:cstheme="minorHAnsi"/>
        </w:rPr>
        <w:fldChar w:fldCharType="end"/>
      </w:r>
      <w:r w:rsidR="002527ED" w:rsidRPr="00000DD3">
        <w:rPr>
          <w:rFonts w:ascii="Book Antiqua" w:hAnsi="Book Antiqua" w:cstheme="minorHAnsi"/>
        </w:rPr>
        <w:t xml:space="preserve"> or </w:t>
      </w:r>
      <w:r w:rsidRPr="00000DD3">
        <w:rPr>
          <w:rFonts w:ascii="Book Antiqua" w:hAnsi="Book Antiqua" w:cstheme="minorHAnsi"/>
        </w:rPr>
        <w:t xml:space="preserve">up to </w:t>
      </w:r>
      <w:r w:rsidR="00A85A3A" w:rsidRPr="00000DD3">
        <w:rPr>
          <w:rFonts w:ascii="Book Antiqua" w:hAnsi="Book Antiqua" w:cstheme="minorHAnsi"/>
        </w:rPr>
        <w:t xml:space="preserve">12 </w:t>
      </w:r>
      <w:proofErr w:type="spellStart"/>
      <w:r w:rsidR="00A85A3A" w:rsidRPr="00000DD3">
        <w:rPr>
          <w:rFonts w:ascii="Book Antiqua" w:hAnsi="Book Antiqua" w:cstheme="minorHAnsi"/>
        </w:rPr>
        <w:t>mo</w:t>
      </w:r>
      <w:proofErr w:type="spellEnd"/>
      <w:r w:rsidR="002527ED" w:rsidRPr="00000DD3">
        <w:rPr>
          <w:rFonts w:ascii="Book Antiqua" w:hAnsi="Book Antiqua" w:cstheme="minorHAnsi"/>
        </w:rPr>
        <w:t xml:space="preserve"> after </w:t>
      </w:r>
      <w:proofErr w:type="spellStart"/>
      <w:r w:rsidR="002527ED" w:rsidRPr="00000DD3">
        <w:rPr>
          <w:rFonts w:ascii="Book Antiqua" w:hAnsi="Book Antiqua" w:cstheme="minorHAnsi"/>
        </w:rPr>
        <w:t>cMSC</w:t>
      </w:r>
      <w:proofErr w:type="spellEnd"/>
      <w:r w:rsidR="002527ED" w:rsidRPr="00000DD3">
        <w:rPr>
          <w:rFonts w:ascii="Book Antiqua" w:hAnsi="Book Antiqua" w:cstheme="minorHAnsi"/>
        </w:rPr>
        <w:t xml:space="preserve"> injection in combination with hyaluronic acid</w:t>
      </w:r>
      <w:r w:rsidR="001E0858" w:rsidRPr="00000DD3">
        <w:rPr>
          <w:rFonts w:ascii="Book Antiqua" w:hAnsi="Book Antiqua" w:cstheme="minorHAnsi"/>
        </w:rPr>
        <w:fldChar w:fldCharType="begin" w:fldLock="1"/>
      </w:r>
      <w:r w:rsidR="005E4E7F" w:rsidRPr="00000DD3">
        <w:rPr>
          <w:rFonts w:ascii="Book Antiqua" w:hAnsi="Book Antiqua" w:cstheme="minorHAnsi"/>
        </w:rPr>
        <w:instrText>ADDIN CSL_CITATION {"citationItems":[{"id":"ITEM-1","itemData":{"ISBN":"3662599600","ISSN":"1928-9022","PMID":"28197017","abstract":"Visceral adipose tissue (AT) obtained from surgical waste during routine ovariectomies was used as a source for isolating canine mesenchymal stem cells (MSCs). As determined by cytofluorimetry, passage 2 cells expressed MSC markers CD44 and CD90 and were negative for lineage-specific markers CD34 and CD45. The cells differentiated toward osteogenic, adipogenic, and chondrogenic directions. With therapeutic aims, 30 dogs (39 joints) suffering from elbow dysplasia (ED) and osteoarthritis (OA) were intra-articularly transplanted with allogeneic MSCs suspended in 0.5% hyaluronic acid (HA). A highly significant improvement was achieved without any medication as demonstrated by the degree of lameness during the follow-up period of 1 y. Control arthroscopy of 1 transplanted dog indicated that the cartilage had regenerated. Histological analysis of the cartilage biopsy confirmed that the regenerated cartilage was of hyaline type. These results demonstrate that transplantation of allogeneic adipose tissue-derived mesenchymal stem cells (AT-MSCs) is a novel, noninvasive, and highly effective therapeutic tool in treating canine elbow dysplasia. Du tissu adipeux viscéral (TA) obtenu de résidus chirurgicaux lors d’ovariectomies de routine a été utilisé comme source pour isoler des cellules souches mésenchymateuses canines (CSMs). Tel que déterminé par cytofluorométrie, les cellules du 2e passage exprimaient les marqueurs de CSM CD44 et CD90, et étaient négatives pour les marqueurs spécifiques de lignée CD34 et CD45. Les cellules se sont différenciées dans des directions ostéogéniques, adipogéniques, et chondrogéniques. À des fins thérapeutiques, 30 chiens (39 articulations) souffrant de dysplasie du coude (DC) et d’ostéoarthrite (OA) ont reçu une transplantation intra articulaire de CSMs allogéniques en suspension dans 0,5 % d’acide hyaluronique (AH). Une amélioration hautement significative a été obtenue sans aucune médication tel que démontré par le degré de boiterie durant la période de suivi de 1 an. Une arthroscopie de contrôle de un des chiens ayant reçu une transplantation montrait que le cartilage s’était régénéré. L’analyse histologique de la biopsie du cartilage a confirmé que le cartilage régénéré était de type hyalin. Ces résultats démontrent que la transplantation de cellules souches mésenchymateuses dérivées de tissu adipeux allogène est un outil thérapeutique novateur, non-invasif, et très efficace pour traiter la dysplasie du coude chez le chien.(Tra…","author":[{"dropping-particle":"","family":"Kriston-Pál","given":"Éva","non-dropping-particle":"","parse-names":false,"suffix":""},{"dropping-particle":"","family":"Czibula","given":"Ágnes","non-dropping-particle":"","parse-names":false,"suffix":""},{"dropping-particle":"","family":"Gyuris","given":"Zoltán","non-dropping-particle":"","parse-names":false,"suffix":""},{"dropping-particle":"","family":"Balka","given":"Gyula","non-dropping-particle":"","parse-names":false,"suffix":""},{"dropping-particle":"","family":"Seregi","given":"Antal","non-dropping-particle":"","parse-names":false,"suffix":""},{"dropping-particle":"","family":"Sükösd","given":"Farkas","non-dropping-particle":"","parse-names":false,"suffix":""},{"dropping-particle":"","family":"Süth","given":"Miklós","non-dropping-particle":"","parse-names":false,"suffix":""},{"dropping-particle":"","family":"Kiss-Tóth","given":"Endre","non-dropping-particle":"","parse-names":false,"suffix":""},{"dropping-particle":"","family":"Haracska","given":"Lajos","non-dropping-particle":"","parse-names":false,"suffix":""},{"dropping-particle":"","family":"Uher","given":"Ferenc","non-dropping-particle":"","parse-names":false,"suffix":""},{"dropping-particle":"","family":"Monostori","given":"Éva","non-dropping-particle":"","parse-names":false,"suffix":""}],"container-title":"Canadian journal of veterinary research = Revue canadienne de recherche veterinaire","id":"ITEM-1","issue":"1","issued":{"date-parts":[["2017"]]},"page":"73-78","title":"Characterization and therapeutic application of canine adipose mesenchymal stem cells to treat elbow osteoarthritis.","type":"article-journal","volume":"81"},"uris":["http://www.mendeley.com/documents/?uuid=348e3bc2-30bf-34a4-8e4a-8a930a899105"]}],"mendeley":{"formattedCitation":"&lt;sup&gt;[105]&lt;/sup&gt;","plainTextFormattedCitation":"[105]","previouslyFormattedCitation":"&lt;sup&gt;[105]&lt;/sup&gt;"},"properties":{"noteIndex":0},"schema":"https://github.com/citation-style-language/schema/raw/master/csl-citation.json"}</w:instrText>
      </w:r>
      <w:r w:rsidR="001E0858" w:rsidRPr="00000DD3">
        <w:rPr>
          <w:rFonts w:ascii="Book Antiqua" w:hAnsi="Book Antiqua" w:cstheme="minorHAnsi"/>
        </w:rPr>
        <w:fldChar w:fldCharType="separate"/>
      </w:r>
      <w:r w:rsidR="001C357C" w:rsidRPr="00000DD3">
        <w:rPr>
          <w:rFonts w:ascii="Book Antiqua" w:hAnsi="Book Antiqua" w:cstheme="minorHAnsi"/>
          <w:noProof/>
          <w:vertAlign w:val="superscript"/>
        </w:rPr>
        <w:t>[105]</w:t>
      </w:r>
      <w:r w:rsidR="001E0858" w:rsidRPr="00000DD3">
        <w:rPr>
          <w:rFonts w:ascii="Book Antiqua" w:hAnsi="Book Antiqua" w:cstheme="minorHAnsi"/>
        </w:rPr>
        <w:fldChar w:fldCharType="end"/>
      </w:r>
      <w:r w:rsidR="002527ED" w:rsidRPr="00000DD3">
        <w:rPr>
          <w:rFonts w:ascii="Book Antiqua" w:hAnsi="Book Antiqua" w:cstheme="minorHAnsi"/>
        </w:rPr>
        <w:t xml:space="preserve">. </w:t>
      </w:r>
      <w:r w:rsidRPr="00000DD3">
        <w:rPr>
          <w:rFonts w:ascii="Book Antiqua" w:hAnsi="Book Antiqua" w:cstheme="minorHAnsi"/>
        </w:rPr>
        <w:t>However</w:t>
      </w:r>
      <w:r w:rsidR="002527ED" w:rsidRPr="00000DD3">
        <w:rPr>
          <w:rFonts w:ascii="Book Antiqua" w:hAnsi="Book Antiqua" w:cstheme="minorHAnsi"/>
        </w:rPr>
        <w:t>,</w:t>
      </w:r>
      <w:r w:rsidR="001E0858" w:rsidRPr="00000DD3">
        <w:rPr>
          <w:rFonts w:ascii="Book Antiqua" w:hAnsi="Book Antiqua" w:cstheme="minorHAnsi"/>
        </w:rPr>
        <w:t xml:space="preserve"> </w:t>
      </w:r>
      <w:r w:rsidRPr="00000DD3">
        <w:rPr>
          <w:rFonts w:ascii="Book Antiqua" w:hAnsi="Book Antiqua" w:cstheme="minorHAnsi"/>
        </w:rPr>
        <w:t>one</w:t>
      </w:r>
      <w:r w:rsidR="001E0858" w:rsidRPr="00000DD3">
        <w:rPr>
          <w:rFonts w:ascii="Book Antiqua" w:hAnsi="Book Antiqua" w:cstheme="minorHAnsi"/>
        </w:rPr>
        <w:t xml:space="preserve"> </w:t>
      </w:r>
      <w:r w:rsidR="002008EB" w:rsidRPr="00000DD3">
        <w:rPr>
          <w:rFonts w:ascii="Book Antiqua" w:hAnsi="Book Antiqua" w:cstheme="minorHAnsi"/>
        </w:rPr>
        <w:t>report</w:t>
      </w:r>
      <w:r w:rsidR="001E0858" w:rsidRPr="00000DD3">
        <w:rPr>
          <w:rFonts w:ascii="Book Antiqua" w:hAnsi="Book Antiqua" w:cstheme="minorHAnsi"/>
        </w:rPr>
        <w:t xml:space="preserve"> </w:t>
      </w:r>
      <w:r w:rsidRPr="00000DD3">
        <w:rPr>
          <w:rFonts w:ascii="Book Antiqua" w:hAnsi="Book Antiqua" w:cstheme="minorHAnsi"/>
        </w:rPr>
        <w:t>showed a</w:t>
      </w:r>
      <w:r w:rsidR="001E0858" w:rsidRPr="00000DD3">
        <w:rPr>
          <w:rFonts w:ascii="Book Antiqua" w:hAnsi="Book Antiqua" w:cstheme="minorHAnsi"/>
        </w:rPr>
        <w:t xml:space="preserve"> decrease </w:t>
      </w:r>
      <w:r w:rsidRPr="00000DD3">
        <w:rPr>
          <w:rFonts w:ascii="Book Antiqua" w:hAnsi="Book Antiqua" w:cstheme="minorHAnsi"/>
        </w:rPr>
        <w:t xml:space="preserve">in </w:t>
      </w:r>
      <w:r w:rsidR="001E0858" w:rsidRPr="00000DD3">
        <w:rPr>
          <w:rFonts w:ascii="Book Antiqua" w:hAnsi="Book Antiqua" w:cstheme="minorHAnsi"/>
        </w:rPr>
        <w:t>the effect</w:t>
      </w:r>
      <w:r w:rsidRPr="00000DD3">
        <w:rPr>
          <w:rFonts w:ascii="Book Antiqua" w:hAnsi="Book Antiqua" w:cstheme="minorHAnsi"/>
        </w:rPr>
        <w:t>s</w:t>
      </w:r>
      <w:r w:rsidR="001E0858" w:rsidRPr="00000DD3">
        <w:rPr>
          <w:rFonts w:ascii="Book Antiqua" w:hAnsi="Book Antiqua" w:cstheme="minorHAnsi"/>
        </w:rPr>
        <w:t xml:space="preserve"> of </w:t>
      </w:r>
      <w:proofErr w:type="spellStart"/>
      <w:r w:rsidR="001E0858" w:rsidRPr="00000DD3">
        <w:rPr>
          <w:rFonts w:ascii="Book Antiqua" w:hAnsi="Book Antiqua" w:cstheme="minorHAnsi"/>
        </w:rPr>
        <w:t>cMSCs</w:t>
      </w:r>
      <w:proofErr w:type="spellEnd"/>
      <w:r w:rsidR="001E0858" w:rsidRPr="00000DD3">
        <w:rPr>
          <w:rFonts w:ascii="Book Antiqua" w:hAnsi="Book Antiqua" w:cstheme="minorHAnsi"/>
        </w:rPr>
        <w:t xml:space="preserve"> between 30 </w:t>
      </w:r>
      <w:r w:rsidRPr="00000DD3">
        <w:rPr>
          <w:rFonts w:ascii="Book Antiqua" w:hAnsi="Book Antiqua" w:cstheme="minorHAnsi"/>
        </w:rPr>
        <w:t>and</w:t>
      </w:r>
      <w:r w:rsidR="001E0858" w:rsidRPr="00000DD3">
        <w:rPr>
          <w:rFonts w:ascii="Book Antiqua" w:hAnsi="Book Antiqua" w:cstheme="minorHAnsi"/>
        </w:rPr>
        <w:t xml:space="preserve"> 90 d after the </w:t>
      </w:r>
      <w:proofErr w:type="spellStart"/>
      <w:r w:rsidR="001E0858" w:rsidRPr="00000DD3">
        <w:rPr>
          <w:rFonts w:ascii="Book Antiqua" w:hAnsi="Book Antiqua" w:cstheme="minorHAnsi"/>
        </w:rPr>
        <w:t>cMSC</w:t>
      </w:r>
      <w:proofErr w:type="spellEnd"/>
      <w:r w:rsidR="001E0858" w:rsidRPr="00000DD3">
        <w:rPr>
          <w:rFonts w:ascii="Book Antiqua" w:hAnsi="Book Antiqua" w:cstheme="minorHAnsi"/>
        </w:rPr>
        <w:t xml:space="preserve"> </w:t>
      </w:r>
      <w:r w:rsidR="00F56079" w:rsidRPr="00000DD3">
        <w:rPr>
          <w:rFonts w:ascii="Book Antiqua" w:hAnsi="Book Antiqua" w:cstheme="minorHAnsi"/>
        </w:rPr>
        <w:t xml:space="preserve">intraarticular </w:t>
      </w:r>
      <w:r w:rsidR="001E0858" w:rsidRPr="00000DD3">
        <w:rPr>
          <w:rFonts w:ascii="Book Antiqua" w:hAnsi="Book Antiqua" w:cstheme="minorHAnsi"/>
        </w:rPr>
        <w:t>injection</w:t>
      </w:r>
      <w:r w:rsidR="002008EB" w:rsidRPr="00000DD3">
        <w:rPr>
          <w:rFonts w:ascii="Book Antiqua" w:hAnsi="Book Antiqua" w:cstheme="minorHAnsi"/>
        </w:rPr>
        <w:fldChar w:fldCharType="begin" w:fldLock="1"/>
      </w:r>
      <w:r w:rsidR="00AB78A8" w:rsidRPr="00000DD3">
        <w:rPr>
          <w:rFonts w:ascii="Book Antiqua" w:hAnsi="Book Antiqua" w:cstheme="minorHAnsi"/>
        </w:rPr>
        <w:instrText>ADDIN CSL_CITATION {"citationItems":[{"id":"ITEM-1","itemData":{"DOI":"10.1186/1746-6148-10-143","PMID":"24984756","abstract":"Regenerative medicine using Mesenchymal Stem Cells (MSC) alone or combined with Plasma Rich in Growth Factors (PRGF) is a rapidly growing area of clinical research and is currently also being used to treat osteoarthritis (OA). Force platform analysis has been consistently used to verify and quantify the efficacy of different therapeutic strategies for the treatment of OA in dogs including MSC associated to PRGF, but never with AD-MSC alone. The aim of this study was to use a force platform to measure the efficacy of intraarticular ADMSC administration for limb function improvement in dogs with severe OA. Ten lame dogs with severe hip OA and a control group of 5 sound dogs were used for this study. Results were statistically analyzed to detect a significant increase in peak vertical force (PVF) and vertical impulse (VI) in treated dogs. Mean values of PVF and VI were significantly improved within the first three months post-treatment in the OA group, increasing 9% and 2.5% body weight, respectively, at day 30. After this, the effect seems to decrease reaching initial values. Intraarticular ADMSC therapy objectively improved limb function in dogs with hip OA. The duration of maximal effect was less than 3 months.","author":[{"dropping-particle":"","family":"Vilar","given":"Jose M","non-dropping-particle":"","parse-names":false,"suffix":""},{"dropping-particle":"","family":"Batista","given":"Miguel","non-dropping-particle":"","parse-names":false,"suffix":""},{"dropping-particle":"","family":"Morales","given":"Manuel","non-dropping-particle":"","parse-names":false,"suffix":""},{"dropping-particle":"","family":"Santana","given":"Angelo","non-dropping-particle":"","parse-names":false,"suffix":""},{"dropping-particle":"","family":"Cuervo","given":"Belén","non-dropping-particle":"","parse-names":false,"suffix":""},{"dropping-particle":"","family":"Rubio","given":"Mónica","non-dropping-particle":"","parse-names":false,"suffix":""},{"dropping-particle":"","family":"Cugat","given":"Ramón","non-dropping-particle":"","parse-names":false,"suffix":""},{"dropping-particle":"","family":"Sopena","given":"Joaquín","non-dropping-particle":"","parse-names":false,"suffix":""},{"dropping-particle":"","family":"Carrillo","given":"Jose M","non-dropping-particle":"","parse-names":false,"suffix":""}],"container-title":"BMC Veterinary Research","id":"ITEM-1","issue":"1","issued":{"date-parts":[["2014"]]},"title":"Assessment of the effect of intraarticular injection of autologous adipose-derived mesenchymal stem cells in osteoarthritic dogs using a double blinded force platform analysis","type":"article-journal","volume":"10"},"uris":["http://www.mendeley.com/documents/?uuid=29205710-834d-3482-850a-6ac42a5e021a"]}],"mendeley":{"formattedCitation":"&lt;sup&gt;[108]&lt;/sup&gt;","plainTextFormattedCitation":"[108]","previouslyFormattedCitation":"&lt;sup&gt;[108]&lt;/sup&gt;"},"properties":{"noteIndex":0},"schema":"https://github.com/citation-style-language/schema/raw/master/csl-citation.json"}</w:instrText>
      </w:r>
      <w:r w:rsidR="002008EB" w:rsidRPr="00000DD3">
        <w:rPr>
          <w:rFonts w:ascii="Book Antiqua" w:hAnsi="Book Antiqua" w:cstheme="minorHAnsi"/>
        </w:rPr>
        <w:fldChar w:fldCharType="separate"/>
      </w:r>
      <w:r w:rsidR="001C357C" w:rsidRPr="00000DD3">
        <w:rPr>
          <w:rFonts w:ascii="Book Antiqua" w:hAnsi="Book Antiqua" w:cstheme="minorHAnsi"/>
          <w:noProof/>
          <w:vertAlign w:val="superscript"/>
        </w:rPr>
        <w:t>[108]</w:t>
      </w:r>
      <w:r w:rsidR="002008EB" w:rsidRPr="00000DD3">
        <w:rPr>
          <w:rFonts w:ascii="Book Antiqua" w:hAnsi="Book Antiqua" w:cstheme="minorHAnsi"/>
        </w:rPr>
        <w:fldChar w:fldCharType="end"/>
      </w:r>
      <w:r w:rsidR="001E0858" w:rsidRPr="00000DD3">
        <w:rPr>
          <w:rFonts w:ascii="Book Antiqua" w:hAnsi="Book Antiqua" w:cstheme="minorHAnsi"/>
        </w:rPr>
        <w:t>.</w:t>
      </w:r>
      <w:r w:rsidR="00AF5840" w:rsidRPr="00000DD3">
        <w:rPr>
          <w:rFonts w:ascii="Book Antiqua" w:hAnsi="Book Antiqua" w:cstheme="minorHAnsi"/>
        </w:rPr>
        <w:t xml:space="preserve"> </w:t>
      </w:r>
      <w:r w:rsidR="003A7758" w:rsidRPr="00000DD3">
        <w:rPr>
          <w:rFonts w:ascii="Book Antiqua" w:hAnsi="Book Antiqua" w:cstheme="minorHAnsi"/>
        </w:rPr>
        <w:t xml:space="preserve">Since </w:t>
      </w:r>
      <w:r w:rsidR="00195F6A" w:rsidRPr="00000DD3">
        <w:rPr>
          <w:rFonts w:ascii="Book Antiqua" w:hAnsi="Book Antiqua" w:cstheme="minorHAnsi"/>
        </w:rPr>
        <w:t xml:space="preserve">the number of cells </w:t>
      </w:r>
      <w:r w:rsidRPr="00000DD3">
        <w:rPr>
          <w:rFonts w:ascii="Book Antiqua" w:hAnsi="Book Antiqua" w:cstheme="minorHAnsi"/>
        </w:rPr>
        <w:t xml:space="preserve">is known to decrease </w:t>
      </w:r>
      <w:r w:rsidR="00195F6A" w:rsidRPr="00000DD3">
        <w:rPr>
          <w:rFonts w:ascii="Book Antiqua" w:hAnsi="Book Antiqua" w:cstheme="minorHAnsi"/>
        </w:rPr>
        <w:t>rapidly after administration of MSCs into the stifle joint</w:t>
      </w:r>
      <w:r w:rsidR="00F818F3" w:rsidRPr="00000DD3">
        <w:rPr>
          <w:rFonts w:ascii="Book Antiqua" w:hAnsi="Book Antiqua" w:cstheme="minorHAnsi"/>
        </w:rPr>
        <w:fldChar w:fldCharType="begin" w:fldLock="1"/>
      </w:r>
      <w:r w:rsidR="00E92652" w:rsidRPr="00000DD3">
        <w:rPr>
          <w:rFonts w:ascii="Book Antiqua" w:hAnsi="Book Antiqua" w:cstheme="minorHAnsi"/>
        </w:rPr>
        <w:instrText>ADDIN CSL_CITATION {"citationItems":[{"id":"ITEM-1","itemData":{"DOI":"10.1016/j.joca.2015.12.018","ISBN":"1063-4584","ISSN":"15229653","PMID":"26880531","abstract":"Objective: We investigated the effects of single or repetitive intra-articular injections of synovial mesenchymal stem cells (MSCs) on a rat osteoarthritis (OA) model, and elucidated the behaviors and underlying mechanisms of the stem cells after the injection. Design: One week after the transection of the anterior cruciate ligament (ACL) of wild type Lewis rats, one million synovial MSCs were injected into the knee joint every week. Cartilage degeneration was evaluated with safranin-o staining after the first injection. To analyze cell kinetics or MSC properties, luciferase, LacZ, and GFP expressing synovial MSCs were used. To confirm the role of MSCs, species-specific microarray and PCR analyses were performed using human synovial MSCs. Results: Histological analysis for femoral and tibial cartilage showed that a single injection was ineffective but weekly injections had significant chondroprotective effects for 12 weeks. Histological and flow-cytometric analyses of LacZ and GFP expressing synovial MSCs revealed that injected MSCs migrated mainly into the synovium and most of them retained their undifferentiated MSC properties though the migrated cells rapidly decreased. In vivo imaging analysis revealed that MSCs maintained in knees while weekly injection. Species-specific microarray and PCR analyses showed that the human mRNAs on day 1 for 21 genes increased over 50-fold, and increased the expressions of PRG-4, BMP-2, and BMP-6 genes encoding chondroprotective proteins, and TSG-6 encoding an anti-inflammatory one. Conclusion: Not single but periodic injections of synovial MSCs maintained viable cells without losing their MSC properties in knees and inhibited osteoarthritis (OA) progression by secretion of trophic factors.","author":[{"dropping-particle":"","family":"Ozeki","given":"N.","non-dropping-particle":"","parse-names":false,"suffix":""},{"dropping-particle":"","family":"Muneta","given":"T.","non-dropping-particle":"","parse-names":false,"suffix":""},{"dropping-particle":"","family":"Koga","given":"H.","non-dropping-particle":"","parse-names":false,"suffix":""},{"dropping-particle":"","family":"Nakagawa","given":"Y.","non-dropping-particle":"","parse-names":false,"suffix":""},{"dropping-particle":"","family":"Mizuno","given":"M.","non-dropping-particle":"","parse-names":false,"suffix":""},{"dropping-particle":"","family":"Tsuji","given":"K.","non-dropping-particle":"","parse-names":false,"suffix":""},{"dropping-particle":"","family":"Mabuchi","given":"Y.","non-dropping-particle":"","parse-names":false,"suffix":""},{"dropping-particle":"","family":"Akazawa","given":"C.","non-dropping-particle":"","parse-names":false,"suffix":""},{"dropping-particle":"","family":"Kobayashi","given":"E.","non-dropping-particle":"","parse-names":false,"suffix":""},{"dropping-particle":"","family":"Matsumoto","given":"K.","non-dropping-particle":"","parse-names":false,"suffix":""},{"dropping-particle":"","family":"Futamura","given":"K.","non-dropping-particle":"","parse-names":false,"suffix":""},{"dropping-particle":"","family":"Saito","given":"T.","non-dropping-particle":"","parse-names":false,"suffix":""},{"dropping-particle":"","family":"Sekiya","given":"I.","non-dropping-particle":"","parse-names":false,"suffix":""}],"container-title":"Osteoarthritis and Cartilage","id":"ITEM-1","issue":"6","issued":{"date-parts":[["2016"]]},"page":"1061-1070","publisher":"Elsevier Ltd","title":"Not single but periodic injections of synovial mesenchymal stem cells maintain viable cells in knees and inhibit osteoarthritis progression in rats","type":"article-journal","volume":"24"},"uris":["http://www.mendeley.com/documents/?uuid=6d115140-c74a-4b2b-9d4f-8bda6c875016"]}],"mendeley":{"formattedCitation":"&lt;sup&gt;[93]&lt;/sup&gt;","plainTextFormattedCitation":"[93]","previouslyFormattedCitation":"&lt;sup&gt;[93]&lt;/sup&gt;"},"properties":{"noteIndex":0},"schema":"https://github.com/citation-style-language/schema/raw/master/csl-citation.json"}</w:instrText>
      </w:r>
      <w:r w:rsidR="00F818F3" w:rsidRPr="00000DD3">
        <w:rPr>
          <w:rFonts w:ascii="Book Antiqua" w:hAnsi="Book Antiqua" w:cstheme="minorHAnsi"/>
        </w:rPr>
        <w:fldChar w:fldCharType="separate"/>
      </w:r>
      <w:r w:rsidR="00F818F3" w:rsidRPr="00000DD3">
        <w:rPr>
          <w:rFonts w:ascii="Book Antiqua" w:hAnsi="Book Antiqua" w:cstheme="minorHAnsi"/>
          <w:noProof/>
          <w:vertAlign w:val="superscript"/>
        </w:rPr>
        <w:t>[93]</w:t>
      </w:r>
      <w:r w:rsidR="00F818F3" w:rsidRPr="00000DD3">
        <w:rPr>
          <w:rFonts w:ascii="Book Antiqua" w:hAnsi="Book Antiqua" w:cstheme="minorHAnsi"/>
        </w:rPr>
        <w:fldChar w:fldCharType="end"/>
      </w:r>
      <w:r w:rsidR="00195F6A" w:rsidRPr="00000DD3">
        <w:rPr>
          <w:rFonts w:ascii="Book Antiqua" w:hAnsi="Book Antiqua" w:cstheme="minorHAnsi"/>
        </w:rPr>
        <w:t>,</w:t>
      </w:r>
      <w:r w:rsidR="00284DE2" w:rsidRPr="00000DD3">
        <w:rPr>
          <w:rFonts w:ascii="Book Antiqua" w:hAnsi="Book Antiqua" w:cstheme="minorHAnsi"/>
        </w:rPr>
        <w:t xml:space="preserve"> </w:t>
      </w:r>
      <w:r w:rsidR="007A4E2B" w:rsidRPr="00000DD3">
        <w:rPr>
          <w:rFonts w:ascii="Book Antiqua" w:hAnsi="Book Antiqua" w:cstheme="minorHAnsi"/>
        </w:rPr>
        <w:t xml:space="preserve">longer lasting effects of </w:t>
      </w:r>
      <w:proofErr w:type="spellStart"/>
      <w:r w:rsidR="007A4E2B" w:rsidRPr="00000DD3">
        <w:rPr>
          <w:rFonts w:ascii="Book Antiqua" w:hAnsi="Book Antiqua" w:cstheme="minorHAnsi"/>
        </w:rPr>
        <w:t>cMSCs</w:t>
      </w:r>
      <w:proofErr w:type="spellEnd"/>
      <w:r w:rsidR="007A4E2B" w:rsidRPr="00000DD3">
        <w:rPr>
          <w:rFonts w:ascii="Book Antiqua" w:hAnsi="Book Antiqua" w:cstheme="minorHAnsi"/>
        </w:rPr>
        <w:t xml:space="preserve"> might be obtained by </w:t>
      </w:r>
      <w:r w:rsidR="003A7758" w:rsidRPr="00000DD3">
        <w:rPr>
          <w:rFonts w:ascii="Book Antiqua" w:hAnsi="Book Antiqua" w:cstheme="minorHAnsi"/>
        </w:rPr>
        <w:t>periodic injections</w:t>
      </w:r>
      <w:r w:rsidR="00E0019C" w:rsidRPr="00000DD3">
        <w:rPr>
          <w:rFonts w:ascii="Book Antiqua" w:hAnsi="Book Antiqua" w:cstheme="minorHAnsi"/>
        </w:rPr>
        <w:t>.</w:t>
      </w:r>
      <w:r w:rsidR="001F3AF4" w:rsidRPr="00000DD3">
        <w:rPr>
          <w:rFonts w:ascii="Book Antiqua" w:hAnsi="Book Antiqua" w:cstheme="minorHAnsi"/>
        </w:rPr>
        <w:t xml:space="preserve"> </w:t>
      </w:r>
    </w:p>
    <w:p w14:paraId="294FD3F8" w14:textId="40585A04" w:rsidR="008D1EE5" w:rsidRPr="00000DD3" w:rsidRDefault="001F3AF4" w:rsidP="00116D17">
      <w:pPr>
        <w:pStyle w:val="aa"/>
        <w:spacing w:line="360" w:lineRule="auto"/>
        <w:ind w:leftChars="0" w:left="0" w:firstLineChars="100" w:firstLine="240"/>
        <w:jc w:val="both"/>
        <w:rPr>
          <w:rFonts w:ascii="Book Antiqua" w:hAnsi="Book Antiqua" w:cstheme="minorHAnsi"/>
        </w:rPr>
      </w:pPr>
      <w:r w:rsidRPr="00000DD3">
        <w:rPr>
          <w:rFonts w:ascii="Book Antiqua" w:hAnsi="Book Antiqua" w:cstheme="minorHAnsi"/>
        </w:rPr>
        <w:t xml:space="preserve">Most of the clinical studies </w:t>
      </w:r>
      <w:r w:rsidR="007A4E2B" w:rsidRPr="00000DD3">
        <w:rPr>
          <w:rFonts w:ascii="Book Antiqua" w:hAnsi="Book Antiqua" w:cstheme="minorHAnsi"/>
        </w:rPr>
        <w:t xml:space="preserve">have </w:t>
      </w:r>
      <w:r w:rsidRPr="00000DD3">
        <w:rPr>
          <w:rFonts w:ascii="Book Antiqua" w:hAnsi="Book Antiqua" w:cstheme="minorHAnsi"/>
        </w:rPr>
        <w:t>used subjective evaluation method</w:t>
      </w:r>
      <w:r w:rsidR="007A4E2B" w:rsidRPr="00000DD3">
        <w:rPr>
          <w:rFonts w:ascii="Book Antiqua" w:hAnsi="Book Antiqua" w:cstheme="minorHAnsi"/>
        </w:rPr>
        <w:t>s,</w:t>
      </w:r>
      <w:r w:rsidRPr="00000DD3">
        <w:rPr>
          <w:rFonts w:ascii="Book Antiqua" w:hAnsi="Book Antiqua" w:cstheme="minorHAnsi"/>
        </w:rPr>
        <w:t xml:space="preserve"> including pain, lameness, range of motion</w:t>
      </w:r>
      <w:r w:rsidR="007A4E2B" w:rsidRPr="00000DD3">
        <w:rPr>
          <w:rFonts w:ascii="Book Antiqua" w:hAnsi="Book Antiqua" w:cstheme="minorHAnsi"/>
        </w:rPr>
        <w:t>,</w:t>
      </w:r>
      <w:r w:rsidRPr="00000DD3">
        <w:rPr>
          <w:rFonts w:ascii="Book Antiqua" w:hAnsi="Book Antiqua" w:cstheme="minorHAnsi"/>
        </w:rPr>
        <w:t xml:space="preserve"> and functional disability scoring or owner questionnaires, while </w:t>
      </w:r>
      <w:r w:rsidR="002527ED" w:rsidRPr="00000DD3">
        <w:rPr>
          <w:rFonts w:ascii="Book Antiqua" w:hAnsi="Book Antiqua" w:cstheme="minorHAnsi"/>
        </w:rPr>
        <w:t xml:space="preserve">two studies </w:t>
      </w:r>
      <w:r w:rsidR="007A4E2B" w:rsidRPr="00000DD3">
        <w:rPr>
          <w:rFonts w:ascii="Book Antiqua" w:hAnsi="Book Antiqua" w:cstheme="minorHAnsi"/>
        </w:rPr>
        <w:t>provided objective evaluations with</w:t>
      </w:r>
      <w:r w:rsidR="002527ED" w:rsidRPr="00000DD3">
        <w:rPr>
          <w:rFonts w:ascii="Book Antiqua" w:hAnsi="Book Antiqua" w:cstheme="minorHAnsi"/>
        </w:rPr>
        <w:t xml:space="preserve"> gait analysis </w:t>
      </w:r>
      <w:r w:rsidR="001B39E0" w:rsidRPr="00000DD3">
        <w:rPr>
          <w:rFonts w:ascii="Book Antiqua" w:hAnsi="Book Antiqua" w:cstheme="minorHAnsi"/>
        </w:rPr>
        <w:t>using</w:t>
      </w:r>
      <w:r w:rsidR="002527ED" w:rsidRPr="00000DD3">
        <w:rPr>
          <w:rFonts w:ascii="Book Antiqua" w:hAnsi="Book Antiqua" w:cstheme="minorHAnsi"/>
        </w:rPr>
        <w:t xml:space="preserve"> a force platform</w:t>
      </w:r>
      <w:r w:rsidR="001D234C" w:rsidRPr="00000DD3">
        <w:rPr>
          <w:rFonts w:ascii="Book Antiqua" w:hAnsi="Book Antiqua" w:cstheme="minorHAnsi"/>
        </w:rPr>
        <w:fldChar w:fldCharType="begin" w:fldLock="1"/>
      </w:r>
      <w:r w:rsidR="00AB78A8" w:rsidRPr="00000DD3">
        <w:rPr>
          <w:rFonts w:ascii="Book Antiqua" w:hAnsi="Book Antiqua" w:cstheme="minorHAnsi"/>
        </w:rPr>
        <w:instrText>ADDIN CSL_CITATION {"citationItems":[{"id":"ITEM-1","itemData":{"DOI":"10.1186/1746-6148-9-131","ISBN":"1746-6148 (Electronic) 1746-6148 (Linking)","ISSN":"1746-6148","PMID":"23819757","abstract":"BACKGROUND: Adipose-derived mesenchymal stem cell (ADMSC) therapy in regenerative medicine is a rapidly growing area of research and is currently also being used to treat osteoarthritis (OA). Force platform analysis has been consistently used to verify the efficacy of different therapeutic strategies for the treatment of OA in dogs, but never with AD-MSC.The aim of this study was to use a force platform to measure the efficacy of intraarticular ADMSC administration for limb function improvement in dogs with severe OA.\\n\\nRESULTS: Eight lame dogs with severe hip OA and a control group of 5 sound dogs were used for this study. Results were statistically analyzed to detect a significant increase in peak vertical force (PVF) and vertical impulse (VI) in treated dogs. Mean values of PVF and VI were significantly improved after treatment of the OA groups, reaching 53.02% and 14.84% of body weight, respectively, at day 180, compared with only 43.56% and 12.16% at day 0.\\n\\nCONCLUSION: This study objectively demonstrated that intraarticular ADMSC therapy resulted in reduced lameness due to OA.","author":[{"dropping-particle":"","family":"Vilar","given":"Jose M","non-dropping-particle":"","parse-names":false,"suffix":""},{"dropping-particle":"","family":"Morales","given":"Manuel","non-dropping-particle":"","parse-names":false,"suffix":""},{"dropping-particle":"","family":"Santana","given":"Angelo","non-dropping-particle":"","parse-names":false,"suffix":""},{"dropping-particle":"","family":"Spinella","given":"Giuseppe","non-dropping-particle":"","parse-names":false,"suffix":""},{"dropping-particle":"","family":"Rubio","given":"Mónica","non-dropping-particle":"","parse-names":false,"suffix":""},{"dropping-particle":"","family":"Cuervo","given":"Belen","non-dropping-particle":"","parse-names":false,"suffix":""},{"dropping-particle":"","family":"Cugat","given":"Ramón","non-dropping-particle":"","parse-names":false,"suffix":""},{"dropping-particle":"","family":"Carrillo","given":"Jose M","non-dropping-particle":"","parse-names":false,"suffix":""}],"container-title":"BMC veterinary research","id":"ITEM-1","issued":{"date-parts":[["2013"]]},"title":"Controlled, blinded force platform analysis of the effect of intraarticular injection of autologous adipose-derived mesenchymal stem cells associated to PRGF-Endoret in osteoarthritic dogs.","type":"article-journal","volume":"9"},"uris":["http://www.mendeley.com/documents/?uuid=1a1998a7-f6c7-4c8d-93ce-a923bcd2d598"]},{"id":"ITEM-2","itemData":{"DOI":"10.1186/1746-6148-10-143","PMID":"24984756","abstract":"Regenerative medicine using Mesenchymal Stem Cells (MSC) alone or combined with Plasma Rich in Growth Factors (PRGF) is a rapidly growing area of clinical research and is currently also being used to treat osteoarthritis (OA). Force platform analysis has been consistently used to verify and quantify the efficacy of different therapeutic strategies for the treatment of OA in dogs including MSC associated to PRGF, but never with AD-MSC alone. The aim of this study was to use a force platform to measure the efficacy of intraarticular ADMSC administration for limb function improvement in dogs with severe OA. Ten lame dogs with severe hip OA and a control group of 5 sound dogs were used for this study. Results were statistically analyzed to detect a significant increase in peak vertical force (PVF) and vertical impulse (VI) in treated dogs. Mean values of PVF and VI were significantly improved within the first three months post-treatment in the OA group, increasing 9% and 2.5% body weight, respectively, at day 30. After this, the effect seems to decrease reaching initial values. Intraarticular ADMSC therapy objectively improved limb function in dogs with hip OA. The duration of maximal effect was less than 3 months.","author":[{"dropping-particle":"","family":"Vilar","given":"Jose M","non-dropping-particle":"","parse-names":false,"suffix":""},{"dropping-particle":"","family":"Batista","given":"Miguel","non-dropping-particle":"","parse-names":false,"suffix":""},{"dropping-particle":"","family":"Morales","given":"Manuel","non-dropping-particle":"","parse-names":false,"suffix":""},{"dropping-particle":"","family":"Santana","given":"Angelo","non-dropping-particle":"","parse-names":false,"suffix":""},{"dropping-particle":"","family":"Cuervo","given":"Belén","non-dropping-particle":"","parse-names":false,"suffix":""},{"dropping-particle":"","family":"Rubio","given":"Mónica","non-dropping-particle":"","parse-names":false,"suffix":""},{"dropping-particle":"","family":"Cugat","given":"Ramón","non-dropping-particle":"","parse-names":false,"suffix":""},{"dropping-particle":"","family":"Sopena","given":"Joaquín","non-dropping-particle":"","parse-names":false,"suffix":""},{"dropping-particle":"","family":"Carrillo","given":"Jose M","non-dropping-particle":"","parse-names":false,"suffix":""}],"container-title":"BMC Veterinary Research","id":"ITEM-2","issue":"1","issued":{"date-parts":[["2014"]]},"title":"Assessment of the effect of intraarticular injection of autologous adipose-derived mesenchymal stem cells in osteoarthritic dogs using a double blinded force platform analysis","type":"article-journal","volume":"10"},"uris":["http://www.mendeley.com/documents/?uuid=29205710-834d-3482-850a-6ac42a5e021a"]}],"mendeley":{"formattedCitation":"&lt;sup&gt;[104,108]&lt;/sup&gt;","plainTextFormattedCitation":"[104,108]","previouslyFormattedCitation":"&lt;sup&gt;[104,108]&lt;/sup&gt;"},"properties":{"noteIndex":0},"schema":"https://github.com/citation-style-language/schema/raw/master/csl-citation.json"}</w:instrText>
      </w:r>
      <w:r w:rsidR="001D234C" w:rsidRPr="00000DD3">
        <w:rPr>
          <w:rFonts w:ascii="Book Antiqua" w:hAnsi="Book Antiqua" w:cstheme="minorHAnsi"/>
        </w:rPr>
        <w:fldChar w:fldCharType="separate"/>
      </w:r>
      <w:r w:rsidR="001C357C" w:rsidRPr="00000DD3">
        <w:rPr>
          <w:rFonts w:ascii="Book Antiqua" w:hAnsi="Book Antiqua" w:cstheme="minorHAnsi"/>
          <w:noProof/>
          <w:vertAlign w:val="superscript"/>
        </w:rPr>
        <w:t>[104,108]</w:t>
      </w:r>
      <w:r w:rsidR="001D234C" w:rsidRPr="00000DD3">
        <w:rPr>
          <w:rFonts w:ascii="Book Antiqua" w:hAnsi="Book Antiqua" w:cstheme="minorHAnsi"/>
        </w:rPr>
        <w:fldChar w:fldCharType="end"/>
      </w:r>
      <w:r w:rsidR="002527ED" w:rsidRPr="00000DD3">
        <w:rPr>
          <w:rFonts w:ascii="Book Antiqua" w:hAnsi="Book Antiqua" w:cstheme="minorHAnsi"/>
        </w:rPr>
        <w:t>.</w:t>
      </w:r>
      <w:r w:rsidR="0064460E" w:rsidRPr="00000DD3">
        <w:rPr>
          <w:rFonts w:ascii="Book Antiqua" w:hAnsi="Book Antiqua" w:cstheme="minorHAnsi"/>
        </w:rPr>
        <w:t xml:space="preserve"> </w:t>
      </w:r>
      <w:r w:rsidR="00796F48" w:rsidRPr="00000DD3">
        <w:rPr>
          <w:rFonts w:ascii="Book Antiqua" w:hAnsi="Book Antiqua" w:cstheme="minorHAnsi"/>
        </w:rPr>
        <w:t>Assessing pain in an objective manner is important</w:t>
      </w:r>
      <w:r w:rsidR="007A4E2B" w:rsidRPr="00000DD3">
        <w:rPr>
          <w:rFonts w:ascii="Book Antiqua" w:hAnsi="Book Antiqua" w:cstheme="minorHAnsi"/>
        </w:rPr>
        <w:t>,</w:t>
      </w:r>
      <w:r w:rsidR="00796F48" w:rsidRPr="00000DD3">
        <w:rPr>
          <w:rFonts w:ascii="Book Antiqua" w:hAnsi="Book Antiqua" w:cstheme="minorHAnsi"/>
        </w:rPr>
        <w:t xml:space="preserve"> especially in nonverbal patients, and gait analysis with a force platform is a valuable method </w:t>
      </w:r>
      <w:r w:rsidR="007A4E2B" w:rsidRPr="00000DD3">
        <w:rPr>
          <w:rFonts w:ascii="Book Antiqua" w:hAnsi="Book Antiqua" w:cstheme="minorHAnsi"/>
        </w:rPr>
        <w:t>that offers</w:t>
      </w:r>
      <w:r w:rsidR="00796F48" w:rsidRPr="00000DD3">
        <w:rPr>
          <w:rFonts w:ascii="Book Antiqua" w:hAnsi="Book Antiqua" w:cstheme="minorHAnsi"/>
        </w:rPr>
        <w:t xml:space="preserve"> repeatable and quantitative measurements of ground reaction force from </w:t>
      </w:r>
      <w:r w:rsidR="007A4E2B" w:rsidRPr="00000DD3">
        <w:rPr>
          <w:rFonts w:ascii="Book Antiqua" w:hAnsi="Book Antiqua" w:cstheme="minorHAnsi"/>
        </w:rPr>
        <w:t xml:space="preserve">the </w:t>
      </w:r>
      <w:r w:rsidR="00796F48" w:rsidRPr="00000DD3">
        <w:rPr>
          <w:rFonts w:ascii="Book Antiqua" w:hAnsi="Book Antiqua" w:cstheme="minorHAnsi"/>
        </w:rPr>
        <w:t>feet of the dog</w:t>
      </w:r>
      <w:r w:rsidR="00796F48" w:rsidRPr="00000DD3">
        <w:rPr>
          <w:rFonts w:ascii="Book Antiqua" w:hAnsi="Book Antiqua" w:cstheme="minorHAnsi"/>
        </w:rPr>
        <w:fldChar w:fldCharType="begin" w:fldLock="1"/>
      </w:r>
      <w:r w:rsidR="00E92652" w:rsidRPr="00000DD3">
        <w:rPr>
          <w:rFonts w:ascii="Book Antiqua" w:hAnsi="Book Antiqua" w:cstheme="minorHAnsi"/>
        </w:rPr>
        <w:instrText>ADDIN CSL_CITATION {"citationItems":[{"id":"ITEM-1","itemData":{"DOI":"10.1208/s12248-013-9467-5","ISBN":"1550-7416","ISSN":"1550-7416","PMID":"23456420","abstract":"The challenge of measuring pain in veterinary medicine is compounded by the lack of fully validated, reliable methods to measure and assess pain in nonverbal patients. In human medicine, there are numerous, validated pain assessment tools (PATs) for assessing various, specific types of pain. The advances in human medicine pain management and numerous validated pain scales should serve as incentives and templates to facilitate similar advances in the development of validated PATs for use in dogs (and other species). The limited number of canine PATs constrains our ability to adequately and reliably assess pain. Improving the ability to quantify osteoarthritis and postoperative pain in dogs would enhance the development of analgesics for animals, advance the management of animal pain, facilitate the use of animal pain models in preclinical trials for human analgesics, and provide insight into the quantification of pain responses in humans who lack the ability to adequately communicate. This review describes the need for practical, valid, and reliable PATs for use in veterinary patients and discusses some currently available PATs commonly used to evaluate acute and chronic pain in dogs.","author":[{"dropping-particle":"","family":"Sharkey","given":"Michele","non-dropping-particle":"","parse-names":false,"suffix":""}],"container-title":"The AAPS Journal","id":"ITEM-1","issue":"2","issued":{"date-parts":[["2013"]]},"page":"598-607","title":"The Challenges of Assessing Osteoarthritis and Postoperative Pain in Dogs","type":"article-journal","volume":"15"},"uris":["http://www.mendeley.com/documents/?uuid=fa5f4170-22fd-3f89-83e5-f717bde7463d"]}],"mendeley":{"formattedCitation":"&lt;sup&gt;[109]&lt;/sup&gt;","plainTextFormattedCitation":"[109]","previouslyFormattedCitation":"&lt;sup&gt;[109]&lt;/sup&gt;"},"properties":{"noteIndex":0},"schema":"https://github.com/citation-style-language/schema/raw/master/csl-citation.json"}</w:instrText>
      </w:r>
      <w:r w:rsidR="00796F48" w:rsidRPr="00000DD3">
        <w:rPr>
          <w:rFonts w:ascii="Book Antiqua" w:hAnsi="Book Antiqua" w:cstheme="minorHAnsi"/>
        </w:rPr>
        <w:fldChar w:fldCharType="separate"/>
      </w:r>
      <w:r w:rsidR="00F818F3" w:rsidRPr="00000DD3">
        <w:rPr>
          <w:rFonts w:ascii="Book Antiqua" w:hAnsi="Book Antiqua" w:cstheme="minorHAnsi"/>
          <w:noProof/>
          <w:vertAlign w:val="superscript"/>
        </w:rPr>
        <w:t>[109]</w:t>
      </w:r>
      <w:r w:rsidR="00796F48" w:rsidRPr="00000DD3">
        <w:rPr>
          <w:rFonts w:ascii="Book Antiqua" w:hAnsi="Book Antiqua" w:cstheme="minorHAnsi"/>
        </w:rPr>
        <w:fldChar w:fldCharType="end"/>
      </w:r>
      <w:r w:rsidR="00796F48" w:rsidRPr="00000DD3">
        <w:rPr>
          <w:rFonts w:ascii="Book Antiqua" w:hAnsi="Book Antiqua" w:cstheme="minorHAnsi"/>
        </w:rPr>
        <w:t xml:space="preserve">. However, the objective measures cannot provide information </w:t>
      </w:r>
      <w:r w:rsidR="007A4E2B" w:rsidRPr="00000DD3">
        <w:rPr>
          <w:rFonts w:ascii="Book Antiqua" w:hAnsi="Book Antiqua" w:cstheme="minorHAnsi"/>
        </w:rPr>
        <w:t xml:space="preserve">on some features, </w:t>
      </w:r>
      <w:r w:rsidR="00796F48" w:rsidRPr="00000DD3">
        <w:rPr>
          <w:rFonts w:ascii="Book Antiqua" w:hAnsi="Book Antiqua" w:cstheme="minorHAnsi"/>
        </w:rPr>
        <w:t>such as</w:t>
      </w:r>
      <w:r w:rsidR="0032379F" w:rsidRPr="00000DD3">
        <w:rPr>
          <w:rFonts w:ascii="Book Antiqua" w:hAnsi="Book Antiqua" w:cstheme="minorHAnsi"/>
        </w:rPr>
        <w:t xml:space="preserve"> </w:t>
      </w:r>
      <w:r w:rsidR="00796F48" w:rsidRPr="00000DD3">
        <w:rPr>
          <w:rFonts w:ascii="Book Antiqua" w:hAnsi="Book Antiqua" w:cstheme="minorHAnsi"/>
        </w:rPr>
        <w:t>activity level</w:t>
      </w:r>
      <w:r w:rsidR="00C672A8" w:rsidRPr="00000DD3">
        <w:rPr>
          <w:rFonts w:ascii="Book Antiqua" w:hAnsi="Book Antiqua" w:cstheme="minorHAnsi"/>
        </w:rPr>
        <w:t>,</w:t>
      </w:r>
      <w:r w:rsidR="00DA55E6" w:rsidRPr="00000DD3">
        <w:rPr>
          <w:rFonts w:ascii="Book Antiqua" w:hAnsi="Book Antiqua" w:cstheme="minorHAnsi"/>
        </w:rPr>
        <w:t xml:space="preserve"> </w:t>
      </w:r>
      <w:r w:rsidR="00796F48" w:rsidRPr="00000DD3">
        <w:rPr>
          <w:rFonts w:ascii="Book Antiqua" w:hAnsi="Book Antiqua" w:cstheme="minorHAnsi"/>
        </w:rPr>
        <w:t>reluctan</w:t>
      </w:r>
      <w:r w:rsidR="00DA55E6" w:rsidRPr="00000DD3">
        <w:rPr>
          <w:rFonts w:ascii="Book Antiqua" w:hAnsi="Book Antiqua" w:cstheme="minorHAnsi"/>
        </w:rPr>
        <w:t>c</w:t>
      </w:r>
      <w:r w:rsidR="00796F48" w:rsidRPr="00000DD3">
        <w:rPr>
          <w:rFonts w:ascii="Book Antiqua" w:hAnsi="Book Antiqua" w:cstheme="minorHAnsi"/>
        </w:rPr>
        <w:t xml:space="preserve">e </w:t>
      </w:r>
      <w:r w:rsidR="00DA55E6" w:rsidRPr="00000DD3">
        <w:rPr>
          <w:rFonts w:ascii="Book Antiqua" w:hAnsi="Book Antiqua" w:cstheme="minorHAnsi"/>
        </w:rPr>
        <w:t>to run in dogs</w:t>
      </w:r>
      <w:r w:rsidR="007A4E2B" w:rsidRPr="00000DD3">
        <w:rPr>
          <w:rFonts w:ascii="Book Antiqua" w:hAnsi="Book Antiqua" w:cstheme="minorHAnsi"/>
        </w:rPr>
        <w:t>,</w:t>
      </w:r>
      <w:r w:rsidR="00DA55E6" w:rsidRPr="00000DD3">
        <w:rPr>
          <w:rFonts w:ascii="Book Antiqua" w:hAnsi="Book Antiqua" w:cstheme="minorHAnsi"/>
        </w:rPr>
        <w:t xml:space="preserve"> and regeneration of damaged articular cartilage</w:t>
      </w:r>
      <w:r w:rsidR="007A4E2B" w:rsidRPr="00000DD3">
        <w:rPr>
          <w:rFonts w:ascii="Book Antiqua" w:hAnsi="Book Antiqua" w:cstheme="minorHAnsi"/>
        </w:rPr>
        <w:t>. Th</w:t>
      </w:r>
      <w:r w:rsidR="00DA55E6" w:rsidRPr="00000DD3">
        <w:rPr>
          <w:rFonts w:ascii="Book Antiqua" w:hAnsi="Book Antiqua" w:cstheme="minorHAnsi"/>
        </w:rPr>
        <w:t>erefore</w:t>
      </w:r>
      <w:r w:rsidR="00C672A8" w:rsidRPr="00000DD3">
        <w:rPr>
          <w:rFonts w:ascii="Book Antiqua" w:hAnsi="Book Antiqua" w:cstheme="minorHAnsi"/>
        </w:rPr>
        <w:t>,</w:t>
      </w:r>
      <w:r w:rsidR="00DA55E6" w:rsidRPr="00000DD3">
        <w:rPr>
          <w:rFonts w:ascii="Book Antiqua" w:hAnsi="Book Antiqua" w:cstheme="minorHAnsi"/>
        </w:rPr>
        <w:t xml:space="preserve"> multi-aspect evaluation is needed for the measurement of </w:t>
      </w:r>
      <w:proofErr w:type="spellStart"/>
      <w:r w:rsidR="00DA55E6" w:rsidRPr="00000DD3">
        <w:rPr>
          <w:rFonts w:ascii="Book Antiqua" w:hAnsi="Book Antiqua" w:cstheme="minorHAnsi"/>
        </w:rPr>
        <w:t>cMSC</w:t>
      </w:r>
      <w:proofErr w:type="spellEnd"/>
      <w:r w:rsidR="00DA55E6" w:rsidRPr="00000DD3">
        <w:rPr>
          <w:rFonts w:ascii="Book Antiqua" w:hAnsi="Book Antiqua" w:cstheme="minorHAnsi"/>
        </w:rPr>
        <w:t xml:space="preserve"> effects.</w:t>
      </w:r>
      <w:r w:rsidR="00796F48" w:rsidRPr="00000DD3">
        <w:rPr>
          <w:rFonts w:ascii="Book Antiqua" w:hAnsi="Book Antiqua" w:cstheme="minorHAnsi"/>
        </w:rPr>
        <w:t xml:space="preserve"> </w:t>
      </w:r>
      <w:r w:rsidR="0064460E" w:rsidRPr="00000DD3">
        <w:rPr>
          <w:rFonts w:ascii="Book Antiqua" w:hAnsi="Book Antiqua" w:cstheme="minorHAnsi"/>
        </w:rPr>
        <w:t>One study by</w:t>
      </w:r>
      <w:r w:rsidR="001D234C" w:rsidRPr="00000DD3">
        <w:rPr>
          <w:rFonts w:ascii="Book Antiqua" w:hAnsi="Book Antiqua" w:cstheme="minorHAnsi"/>
        </w:rPr>
        <w:t xml:space="preserve"> </w:t>
      </w:r>
      <w:proofErr w:type="spellStart"/>
      <w:r w:rsidR="001D234C" w:rsidRPr="00000DD3">
        <w:rPr>
          <w:rFonts w:ascii="Book Antiqua" w:hAnsi="Book Antiqua" w:cstheme="minorHAnsi"/>
        </w:rPr>
        <w:t>Kriston-Pál</w:t>
      </w:r>
      <w:proofErr w:type="spellEnd"/>
      <w:r w:rsidR="001D234C" w:rsidRPr="00000DD3">
        <w:rPr>
          <w:rFonts w:ascii="Book Antiqua" w:hAnsi="Book Antiqua" w:cstheme="minorHAnsi"/>
        </w:rPr>
        <w:t xml:space="preserve"> </w:t>
      </w:r>
      <w:r w:rsidR="00116D17" w:rsidRPr="00000DD3">
        <w:rPr>
          <w:rFonts w:ascii="Book Antiqua" w:eastAsia="黑体" w:hAnsi="Book Antiqua" w:cstheme="minorHAnsi" w:hint="eastAsia"/>
          <w:i/>
          <w:lang w:eastAsia="zh-CN"/>
        </w:rPr>
        <w:t>et al</w:t>
      </w:r>
      <w:r w:rsidR="00116D17" w:rsidRPr="00000DD3">
        <w:rPr>
          <w:rFonts w:ascii="Book Antiqua" w:hAnsi="Book Antiqua" w:cstheme="minorHAnsi"/>
        </w:rPr>
        <w:fldChar w:fldCharType="begin" w:fldLock="1"/>
      </w:r>
      <w:r w:rsidR="00116D17" w:rsidRPr="00000DD3">
        <w:rPr>
          <w:rFonts w:ascii="Book Antiqua" w:hAnsi="Book Antiqua" w:cstheme="minorHAnsi"/>
        </w:rPr>
        <w:instrText>ADDIN CSL_CITATION {"citationItems":[{"id":"ITEM-1","itemData":{"ISBN":"3662599600","ISSN":"1928-9022","PMID":"28197017","abstract":"Visceral adipose tissue (AT) obtained from surgical waste during routine ovariectomies was used as a source for isolating canine mesenchymal stem cells (MSCs). As determined by cytofluorimetry, passage 2 cells expressed MSC markers CD44 and CD90 and were negative for lineage-specific markers CD34 and CD45. The cells differentiated toward osteogenic, adipogenic, and chondrogenic directions. With therapeutic aims, 30 dogs (39 joints) suffering from elbow dysplasia (ED) and osteoarthritis (OA) were intra-articularly transplanted with allogeneic MSCs suspended in 0.5% hyaluronic acid (HA). A highly significant improvement was achieved without any medication as demonstrated by the degree of lameness during the follow-up period of 1 y. Control arthroscopy of 1 transplanted dog indicated that the cartilage had regenerated. Histological analysis of the cartilage biopsy confirmed that the regenerated cartilage was of hyaline type. These results demonstrate that transplantation of allogeneic adipose tissue-derived mesenchymal stem cells (AT-MSCs) is a novel, noninvasive, and highly effective therapeutic tool in treating canine elbow dysplasia. Du tissu adipeux viscéral (TA) obtenu de résidus chirurgicaux lors d’ovariectomies de routine a été utilisé comme source pour isoler des cellules souches mésenchymateuses canines (CSMs). Tel que déterminé par cytofluorométrie, les cellules du 2e passage exprimaient les marqueurs de CSM CD44 et CD90, et étaient négatives pour les marqueurs spécifiques de lignée CD34 et CD45. Les cellules se sont différenciées dans des directions ostéogéniques, adipogéniques, et chondrogéniques. À des fins thérapeutiques, 30 chiens (39 articulations) souffrant de dysplasie du coude (DC) et d’ostéoarthrite (OA) ont reçu une transplantation intra articulaire de CSMs allogéniques en suspension dans 0,5 % d’acide hyaluronique (AH). Une amélioration hautement significative a été obtenue sans aucune médication tel que démontré par le degré de boiterie durant la période de suivi de 1 an. Une arthroscopie de contrôle de un des chiens ayant reçu une transplantation montrait que le cartilage s’était régénéré. L’analyse histologique de la biopsie du cartilage a confirmé que le cartilage régénéré était de type hyalin. Ces résultats démontrent que la transplantation de cellules souches mésenchymateuses dérivées de tissu adipeux allogène est un outil thérapeutique novateur, non-invasif, et très efficace pour traiter la dysplasie du coude chez le chien.(Tra…","author":[{"dropping-particle":"","family":"Kriston-Pál","given":"Éva","non-dropping-particle":"","parse-names":false,"suffix":""},{"dropping-particle":"","family":"Czibula","given":"Ágnes","non-dropping-particle":"","parse-names":false,"suffix":""},{"dropping-particle":"","family":"Gyuris","given":"Zoltán","non-dropping-particle":"","parse-names":false,"suffix":""},{"dropping-particle":"","family":"Balka","given":"Gyula","non-dropping-particle":"","parse-names":false,"suffix":""},{"dropping-particle":"","family":"Seregi","given":"Antal","non-dropping-particle":"","parse-names":false,"suffix":""},{"dropping-particle":"","family":"Sükösd","given":"Farkas","non-dropping-particle":"","parse-names":false,"suffix":""},{"dropping-particle":"","family":"Süth","given":"Miklós","non-dropping-particle":"","parse-names":false,"suffix":""},{"dropping-particle":"","family":"Kiss-Tóth","given":"Endre","non-dropping-particle":"","parse-names":false,"suffix":""},{"dropping-particle":"","family":"Haracska","given":"Lajos","non-dropping-particle":"","parse-names":false,"suffix":""},{"dropping-particle":"","family":"Uher","given":"Ferenc","non-dropping-particle":"","parse-names":false,"suffix":""},{"dropping-particle":"","family":"Monostori","given":"Éva","non-dropping-particle":"","parse-names":false,"suffix":""}],"container-title":"Canadian journal of veterinary research = Revue canadienne de recherche veterinaire","id":"ITEM-1","issue":"1","issued":{"date-parts":[["2017"]]},"page":"73-78","title":"Characterization and therapeutic application of canine adipose mesenchymal stem cells to treat elbow osteoarthritis.","type":"article-journal","volume":"81"},"uris":["http://www.mendeley.com/documents/?uuid=348e3bc2-30bf-34a4-8e4a-8a930a899105"]}],"mendeley":{"formattedCitation":"&lt;sup&gt;[105]&lt;/sup&gt;","plainTextFormattedCitation":"[105]","previouslyFormattedCitation":"&lt;sup&gt;[105]&lt;/sup&gt;"},"properties":{"noteIndex":0},"schema":"https://github.com/citation-style-language/schema/raw/master/csl-citation.json"}</w:instrText>
      </w:r>
      <w:r w:rsidR="00116D17" w:rsidRPr="00000DD3">
        <w:rPr>
          <w:rFonts w:ascii="Book Antiqua" w:hAnsi="Book Antiqua" w:cstheme="minorHAnsi"/>
        </w:rPr>
        <w:fldChar w:fldCharType="separate"/>
      </w:r>
      <w:r w:rsidR="00116D17" w:rsidRPr="00000DD3">
        <w:rPr>
          <w:rFonts w:ascii="Book Antiqua" w:hAnsi="Book Antiqua" w:cstheme="minorHAnsi"/>
          <w:noProof/>
          <w:vertAlign w:val="superscript"/>
        </w:rPr>
        <w:t>[105]</w:t>
      </w:r>
      <w:r w:rsidR="00116D17" w:rsidRPr="00000DD3">
        <w:rPr>
          <w:rFonts w:ascii="Book Antiqua" w:hAnsi="Book Antiqua" w:cstheme="minorHAnsi"/>
        </w:rPr>
        <w:fldChar w:fldCharType="end"/>
      </w:r>
      <w:r w:rsidR="001D234C" w:rsidRPr="00000DD3">
        <w:rPr>
          <w:rFonts w:ascii="Book Antiqua" w:hAnsi="Book Antiqua" w:cstheme="minorHAnsi"/>
        </w:rPr>
        <w:t xml:space="preserve"> </w:t>
      </w:r>
      <w:r w:rsidR="007A4E2B" w:rsidRPr="00000DD3">
        <w:rPr>
          <w:rFonts w:ascii="Book Antiqua" w:hAnsi="Book Antiqua" w:cstheme="minorHAnsi"/>
        </w:rPr>
        <w:t xml:space="preserve">utilized </w:t>
      </w:r>
      <w:r w:rsidR="001D234C" w:rsidRPr="00000DD3">
        <w:rPr>
          <w:rFonts w:ascii="Book Antiqua" w:hAnsi="Book Antiqua" w:cstheme="minorHAnsi"/>
        </w:rPr>
        <w:t>arthroscopic and histological evaluation in addition to owners</w:t>
      </w:r>
      <w:r w:rsidR="0064460E" w:rsidRPr="00000DD3">
        <w:rPr>
          <w:rFonts w:ascii="Book Antiqua" w:hAnsi="Book Antiqua" w:cstheme="minorHAnsi"/>
        </w:rPr>
        <w:t xml:space="preserve">’ </w:t>
      </w:r>
      <w:r w:rsidR="001D234C" w:rsidRPr="00000DD3">
        <w:rPr>
          <w:rFonts w:ascii="Book Antiqua" w:hAnsi="Book Antiqua" w:cstheme="minorHAnsi"/>
        </w:rPr>
        <w:t>questionnaires</w:t>
      </w:r>
      <w:r w:rsidR="0064460E" w:rsidRPr="00000DD3">
        <w:rPr>
          <w:rFonts w:ascii="Book Antiqua" w:hAnsi="Book Antiqua" w:cstheme="minorHAnsi"/>
        </w:rPr>
        <w:t xml:space="preserve"> and demonstrated that the repaired articular cartilage in the </w:t>
      </w:r>
      <w:proofErr w:type="spellStart"/>
      <w:r w:rsidR="0064460E" w:rsidRPr="00000DD3">
        <w:rPr>
          <w:rFonts w:ascii="Book Antiqua" w:hAnsi="Book Antiqua" w:cstheme="minorHAnsi"/>
        </w:rPr>
        <w:t>cMSC</w:t>
      </w:r>
      <w:proofErr w:type="spellEnd"/>
      <w:r w:rsidR="0064460E" w:rsidRPr="00000DD3">
        <w:rPr>
          <w:rFonts w:ascii="Book Antiqua" w:hAnsi="Book Antiqua" w:cstheme="minorHAnsi"/>
        </w:rPr>
        <w:t>-treated joint</w:t>
      </w:r>
      <w:r w:rsidR="003C3B39" w:rsidRPr="00000DD3">
        <w:rPr>
          <w:rFonts w:ascii="Book Antiqua" w:hAnsi="Book Antiqua" w:cstheme="minorHAnsi"/>
        </w:rPr>
        <w:t xml:space="preserve"> consisted of hyaline-like cartilage. </w:t>
      </w:r>
    </w:p>
    <w:p w14:paraId="5552DAF6" w14:textId="380F4124" w:rsidR="00C37F5F" w:rsidRPr="00000DD3" w:rsidRDefault="007A4E2B" w:rsidP="00116D17">
      <w:pPr>
        <w:pStyle w:val="aa"/>
        <w:spacing w:line="360" w:lineRule="auto"/>
        <w:ind w:leftChars="0" w:left="0" w:firstLineChars="100" w:firstLine="240"/>
        <w:jc w:val="both"/>
        <w:rPr>
          <w:rFonts w:ascii="Book Antiqua" w:hAnsi="Book Antiqua" w:cstheme="minorHAnsi"/>
        </w:rPr>
      </w:pPr>
      <w:r w:rsidRPr="00000DD3">
        <w:rPr>
          <w:rFonts w:ascii="Book Antiqua" w:hAnsi="Book Antiqua" w:cstheme="minorHAnsi"/>
        </w:rPr>
        <w:t xml:space="preserve">The immunomodulatory </w:t>
      </w:r>
      <w:r w:rsidR="003C3B39" w:rsidRPr="00000DD3">
        <w:rPr>
          <w:rFonts w:ascii="Book Antiqua" w:hAnsi="Book Antiqua" w:cstheme="minorHAnsi"/>
        </w:rPr>
        <w:t>effect of BM-</w:t>
      </w:r>
      <w:proofErr w:type="spellStart"/>
      <w:r w:rsidR="003C3B39" w:rsidRPr="00000DD3">
        <w:rPr>
          <w:rFonts w:ascii="Book Antiqua" w:hAnsi="Book Antiqua" w:cstheme="minorHAnsi"/>
        </w:rPr>
        <w:t>cMSCs</w:t>
      </w:r>
      <w:proofErr w:type="spellEnd"/>
      <w:r w:rsidR="003C3B39" w:rsidRPr="00000DD3">
        <w:rPr>
          <w:rFonts w:ascii="Book Antiqua" w:hAnsi="Book Antiqua" w:cstheme="minorHAnsi"/>
        </w:rPr>
        <w:t xml:space="preserve"> </w:t>
      </w:r>
      <w:r w:rsidRPr="00000DD3">
        <w:rPr>
          <w:rFonts w:ascii="Book Antiqua" w:hAnsi="Book Antiqua" w:cstheme="minorHAnsi"/>
        </w:rPr>
        <w:t xml:space="preserve">was </w:t>
      </w:r>
      <w:r w:rsidR="003C3B39" w:rsidRPr="00000DD3">
        <w:rPr>
          <w:rFonts w:ascii="Book Antiqua" w:hAnsi="Book Antiqua" w:cstheme="minorHAnsi"/>
        </w:rPr>
        <w:t xml:space="preserve">demonstrated by Muir </w:t>
      </w:r>
      <w:r w:rsidR="00116D17" w:rsidRPr="00000DD3">
        <w:rPr>
          <w:rFonts w:ascii="Book Antiqua" w:eastAsia="黑体" w:hAnsi="Book Antiqua" w:cstheme="minorHAnsi" w:hint="eastAsia"/>
          <w:i/>
          <w:lang w:eastAsia="zh-CN"/>
        </w:rPr>
        <w:t>et al</w:t>
      </w:r>
      <w:r w:rsidR="00116D17" w:rsidRPr="00000DD3">
        <w:rPr>
          <w:rFonts w:ascii="Book Antiqua" w:hAnsi="Book Antiqua" w:cstheme="minorHAnsi"/>
        </w:rPr>
        <w:fldChar w:fldCharType="begin" w:fldLock="1"/>
      </w:r>
      <w:r w:rsidR="00116D17" w:rsidRPr="00000DD3">
        <w:rPr>
          <w:rFonts w:ascii="Book Antiqua" w:hAnsi="Book Antiqua" w:cstheme="minorHAnsi"/>
        </w:rPr>
        <w:instrText>ADDIN CSL_CITATION {"citationItems":[{"id":"ITEM-1","itemData":{"DOI":"10.1371/journal.pone.0159095","ISBN":"1932-6203","ISSN":"19326203","PMID":"27575050","abstract":"Mid-substance rupture of the canine cranial cruciate ligament rupture\\n(CR) and associated stifle osteoarthritis (OA) is an important\\nveterinary health problem. CR causes stifle joint instability and\\ncontralateral CR often develops. The dog is an important model for human\\nanterior cruciate ligament (ACL) rupture, where rupture of graft repair\\nor the contralateral ACL is also common. This suggests that both genetic\\nand environmental factors may increase ligament rupture risk. We\\ninvestigated use of bone marrow-derived mesenchymal stem cells (BM-MSCs)\\nto reduce systemic and stifle joint inflammatory responses in dogs with\\nCR. Twelve dogs with unilateral CR and contralateral stable partial CR\\nwere enrolled prospectively. BM-MSCs were collected during surgical\\ntreatment of the unstable CR stifle and culture-expanded. BM-MSCs were\\nsubsequently injected at a dose of 2x10(6) BMMSCs/kg intravenously and\\n5x10(6) BM-MSCs by intra-articular injection of the partial CR stifle.\\nBlood (entry, 4 and 8 weeks) and stifle synovial fluid (entry and 8\\nweeks) were obtained after BM-MSC injection. No adverse events after\\nBM-MSC treatment were detected. Circulating CD8(+) T lymphocytes were\\nlower after BM-MSC injection. Serum C-reactive protein (CRP) was\\ndecreased at 4 weeks and serum CXCL8 was increased at 8 weeks. Synovial\\nCRP in the complete CR stifle was decreased at 8 weeks. Synovial IFN\\ngamma was also lower in both stifles after BM-MSC injection.\\nSynovial/serum CRP ratio at diagnosis in the partial CR stifle was\\nsignificantly correlated with development of a second CR. Systemic and\\nintra-articular injection of autologous BM-MSCs in dogs with partial CR\\nsuppresses systemic and stifle joint inflammation, including CRP\\nconcentrations. Intra-articular injection of autologous BM-MSCs had\\nprofound effects on the correlation and conditional dependencies of\\ncytokines using causal networks. Such treatment effects could ameliorate\\nrisk of a second CR by modifying the stifle joint inflammatory response\\nassociated with cranial cruciate ligament matrix degeneration or damage.","author":[{"dropping-particle":"","family":"Muir","given":"Peter","non-dropping-particle":"","parse-names":false,"suffix":""},{"dropping-particle":"","family":"Hans","given":"Eric C.","non-dropping-particle":"","parse-names":false,"suffix":""},{"dropping-particle":"","family":"Racette","given":"Molly","non-dropping-particle":"","parse-names":false,"suffix":""},{"dropping-particle":"","family":"Volstad","given":"Nicola","non-dropping-particle":"","parse-names":false,"suffix":""},{"dropping-particle":"","family":"Sample","given":"Susannah J.","non-dropping-particle":"","parse-names":false,"suffix":""},{"dropping-particle":"","family":"Heaton","given":"Caitlin","non-dropping-particle":"","parse-names":false,"suffix":""},{"dropping-particle":"","family":"Holzman","given":"Gerianne","non-dropping-particle":"","parse-names":false,"suffix":""},{"dropping-particle":"","family":"Schaefer","given":"Susan L.","non-dropping-particle":"","parse-names":false,"suffix":""},{"dropping-particle":"","family":"Bloom","given":"Debra D.","non-dropping-particle":"","parse-names":false,"suffix":""},{"dropping-particle":"","family":"Bleedorn","given":"Jason A.","non-dropping-particle":"","parse-names":false,"suffix":""},{"dropping-particle":"","family":"Hao","given":"Zhengling","non-dropping-particle":"","parse-names":false,"suffix":""},{"dropping-particle":"","family":"Amene","given":"Ermias","non-dropping-particle":"","parse-names":false,"suffix":""},{"dropping-particle":"","family":"Suresh","given":"M.","non-dropping-particle":"","parse-names":false,"suffix":""},{"dropping-particle":"","family":"Hematti","given":"Peiman","non-dropping-particle":"","parse-names":false,"suffix":""}],"container-title":"PLoS ONE","id":"ITEM-1","issue":"8","issued":{"date-parts":[["2016"]]},"page":"e0159095","title":"Autologous bone marrow-derived mesenchymal stem cells modulate molecular markers of inflammation in dogs with cruciate ligament rupture","type":"article-journal","volume":"11"},"uris":["http://www.mendeley.com/documents/?uuid=4bdefcf8-3444-4521-a8a0-94f2a4fa7416"]}],"mendeley":{"formattedCitation":"&lt;sup&gt;[110]&lt;/sup&gt;","plainTextFormattedCitation":"[110]","previouslyFormattedCitation":"&lt;sup&gt;[110]&lt;/sup&gt;"},"properties":{"noteIndex":0},"schema":"https://github.com/citation-style-language/schema/raw/master/csl-citation.json"}</w:instrText>
      </w:r>
      <w:r w:rsidR="00116D17" w:rsidRPr="00000DD3">
        <w:rPr>
          <w:rFonts w:ascii="Book Antiqua" w:hAnsi="Book Antiqua" w:cstheme="minorHAnsi"/>
        </w:rPr>
        <w:fldChar w:fldCharType="separate"/>
      </w:r>
      <w:r w:rsidR="00116D17" w:rsidRPr="00000DD3">
        <w:rPr>
          <w:rFonts w:ascii="Book Antiqua" w:hAnsi="Book Antiqua" w:cstheme="minorHAnsi"/>
          <w:noProof/>
          <w:vertAlign w:val="superscript"/>
        </w:rPr>
        <w:t>[110]</w:t>
      </w:r>
      <w:r w:rsidR="00116D17" w:rsidRPr="00000DD3">
        <w:rPr>
          <w:rFonts w:ascii="Book Antiqua" w:hAnsi="Book Antiqua" w:cstheme="minorHAnsi"/>
        </w:rPr>
        <w:fldChar w:fldCharType="end"/>
      </w:r>
      <w:r w:rsidR="003C3B39" w:rsidRPr="00000DD3">
        <w:rPr>
          <w:rFonts w:ascii="Book Antiqua" w:hAnsi="Book Antiqua" w:cstheme="minorHAnsi"/>
        </w:rPr>
        <w:t xml:space="preserve"> for </w:t>
      </w:r>
      <w:r w:rsidR="00933B15" w:rsidRPr="00000DD3">
        <w:rPr>
          <w:rFonts w:ascii="Book Antiqua" w:hAnsi="Book Antiqua" w:cstheme="minorHAnsi"/>
        </w:rPr>
        <w:t xml:space="preserve">dog stifles with </w:t>
      </w:r>
      <w:r w:rsidR="003C3B39" w:rsidRPr="00000DD3">
        <w:rPr>
          <w:rFonts w:ascii="Book Antiqua" w:hAnsi="Book Antiqua" w:cstheme="minorHAnsi"/>
        </w:rPr>
        <w:t xml:space="preserve">cranial cruciate ligament rupture. </w:t>
      </w:r>
      <w:r w:rsidR="00597094" w:rsidRPr="00000DD3">
        <w:rPr>
          <w:rFonts w:ascii="Book Antiqua" w:hAnsi="Book Antiqua" w:cstheme="minorHAnsi"/>
        </w:rPr>
        <w:t>Intraarticular and intravenous injection of autologous BM-</w:t>
      </w:r>
      <w:proofErr w:type="spellStart"/>
      <w:r w:rsidR="00597094" w:rsidRPr="00000DD3">
        <w:rPr>
          <w:rFonts w:ascii="Book Antiqua" w:hAnsi="Book Antiqua" w:cstheme="minorHAnsi"/>
        </w:rPr>
        <w:t>cMSCs</w:t>
      </w:r>
      <w:proofErr w:type="spellEnd"/>
      <w:r w:rsidR="00597094" w:rsidRPr="00000DD3">
        <w:rPr>
          <w:rFonts w:ascii="Book Antiqua" w:hAnsi="Book Antiqua" w:cstheme="minorHAnsi"/>
        </w:rPr>
        <w:t xml:space="preserve"> in dogs with partial rupture of </w:t>
      </w:r>
      <w:r w:rsidR="004C4511" w:rsidRPr="00000DD3">
        <w:rPr>
          <w:rFonts w:ascii="Book Antiqua" w:hAnsi="Book Antiqua" w:cstheme="minorHAnsi"/>
        </w:rPr>
        <w:t xml:space="preserve">the </w:t>
      </w:r>
      <w:r w:rsidR="00597094" w:rsidRPr="00000DD3">
        <w:rPr>
          <w:rFonts w:ascii="Book Antiqua" w:hAnsi="Book Antiqua" w:cstheme="minorHAnsi"/>
        </w:rPr>
        <w:t xml:space="preserve">cranial cruciate ligament suppressed systemic and stifle joint inflammation, including </w:t>
      </w:r>
      <w:r w:rsidR="004437D7" w:rsidRPr="00000DD3">
        <w:rPr>
          <w:rFonts w:ascii="Book Antiqua" w:hAnsi="Book Antiqua" w:cstheme="minorHAnsi"/>
        </w:rPr>
        <w:t xml:space="preserve">C-reactive </w:t>
      </w:r>
      <w:r w:rsidR="00DB64F4" w:rsidRPr="00000DD3">
        <w:rPr>
          <w:rFonts w:ascii="Book Antiqua" w:hAnsi="Book Antiqua" w:cstheme="minorHAnsi"/>
        </w:rPr>
        <w:t>protein</w:t>
      </w:r>
      <w:r w:rsidR="00597094" w:rsidRPr="00000DD3">
        <w:rPr>
          <w:rFonts w:ascii="Book Antiqua" w:hAnsi="Book Antiqua" w:cstheme="minorHAnsi"/>
        </w:rPr>
        <w:t xml:space="preserve"> concentrations and circulating CD8</w:t>
      </w:r>
      <w:r w:rsidR="00597094" w:rsidRPr="00000DD3">
        <w:rPr>
          <w:rFonts w:ascii="Book Antiqua" w:hAnsi="Book Antiqua" w:cstheme="minorHAnsi"/>
          <w:vertAlign w:val="superscript"/>
        </w:rPr>
        <w:t>+</w:t>
      </w:r>
      <w:r w:rsidR="00597094" w:rsidRPr="00000DD3">
        <w:rPr>
          <w:rFonts w:ascii="Book Antiqua" w:hAnsi="Book Antiqua" w:cstheme="minorHAnsi"/>
        </w:rPr>
        <w:t xml:space="preserve"> T lymphocyte number</w:t>
      </w:r>
      <w:r w:rsidR="004F4D62" w:rsidRPr="00000DD3">
        <w:rPr>
          <w:rFonts w:ascii="Book Antiqua" w:hAnsi="Book Antiqua" w:cstheme="minorHAnsi"/>
        </w:rPr>
        <w:t>.</w:t>
      </w:r>
      <w:r w:rsidR="00282448" w:rsidRPr="00000DD3">
        <w:rPr>
          <w:rFonts w:ascii="Book Antiqua" w:hAnsi="Book Antiqua" w:cstheme="minorHAnsi"/>
        </w:rPr>
        <w:t xml:space="preserve"> </w:t>
      </w:r>
    </w:p>
    <w:p w14:paraId="78E22F27" w14:textId="6CC89097" w:rsidR="00C42F40" w:rsidRPr="00000DD3" w:rsidRDefault="004C4511" w:rsidP="00116D17">
      <w:pPr>
        <w:pStyle w:val="aa"/>
        <w:spacing w:line="360" w:lineRule="auto"/>
        <w:ind w:leftChars="0" w:left="0" w:firstLineChars="100" w:firstLine="240"/>
        <w:jc w:val="both"/>
        <w:rPr>
          <w:rFonts w:ascii="Book Antiqua" w:hAnsi="Book Antiqua" w:cstheme="minorHAnsi"/>
        </w:rPr>
      </w:pPr>
      <w:r w:rsidRPr="00000DD3">
        <w:rPr>
          <w:rFonts w:ascii="Book Antiqua" w:hAnsi="Book Antiqua" w:cstheme="minorHAnsi"/>
        </w:rPr>
        <w:t>N</w:t>
      </w:r>
      <w:r w:rsidR="00282448" w:rsidRPr="00000DD3">
        <w:rPr>
          <w:rFonts w:ascii="Book Antiqua" w:hAnsi="Book Antiqua" w:cstheme="minorHAnsi"/>
        </w:rPr>
        <w:t xml:space="preserve">o serious adverse </w:t>
      </w:r>
      <w:r w:rsidR="00DD23DE" w:rsidRPr="00000DD3">
        <w:rPr>
          <w:rFonts w:ascii="Book Antiqua" w:hAnsi="Book Antiqua" w:cstheme="minorHAnsi"/>
        </w:rPr>
        <w:t>event</w:t>
      </w:r>
      <w:r w:rsidR="00C37F5F" w:rsidRPr="00000DD3">
        <w:rPr>
          <w:rFonts w:ascii="Book Antiqua" w:hAnsi="Book Antiqua" w:cstheme="minorHAnsi"/>
        </w:rPr>
        <w:t>s</w:t>
      </w:r>
      <w:r w:rsidR="003D23EC" w:rsidRPr="00000DD3">
        <w:rPr>
          <w:rFonts w:ascii="Book Antiqua" w:hAnsi="Book Antiqua" w:cstheme="minorHAnsi"/>
        </w:rPr>
        <w:t xml:space="preserve"> </w:t>
      </w:r>
      <w:r w:rsidRPr="00000DD3">
        <w:rPr>
          <w:rFonts w:ascii="Book Antiqua" w:hAnsi="Book Antiqua" w:cstheme="minorHAnsi"/>
        </w:rPr>
        <w:t xml:space="preserve">have been reported </w:t>
      </w:r>
      <w:r w:rsidR="003D23EC" w:rsidRPr="00000DD3">
        <w:rPr>
          <w:rFonts w:ascii="Book Antiqua" w:hAnsi="Book Antiqua" w:cstheme="minorHAnsi"/>
        </w:rPr>
        <w:t>in the clinical studies using intraarticular injection, acupuncture point injection</w:t>
      </w:r>
      <w:r w:rsidRPr="00000DD3">
        <w:rPr>
          <w:rFonts w:ascii="Book Antiqua" w:hAnsi="Book Antiqua" w:cstheme="minorHAnsi"/>
        </w:rPr>
        <w:t>,</w:t>
      </w:r>
      <w:r w:rsidR="003D23EC" w:rsidRPr="00000DD3">
        <w:rPr>
          <w:rFonts w:ascii="Book Antiqua" w:hAnsi="Book Antiqua" w:cstheme="minorHAnsi"/>
        </w:rPr>
        <w:t xml:space="preserve"> and intravenous injection of </w:t>
      </w:r>
      <w:proofErr w:type="spellStart"/>
      <w:r w:rsidR="003D23EC" w:rsidRPr="00000DD3">
        <w:rPr>
          <w:rFonts w:ascii="Book Antiqua" w:hAnsi="Book Antiqua" w:cstheme="minorHAnsi"/>
        </w:rPr>
        <w:t>cMSCs</w:t>
      </w:r>
      <w:proofErr w:type="spellEnd"/>
      <w:r w:rsidR="00A21446" w:rsidRPr="00000DD3">
        <w:rPr>
          <w:rFonts w:ascii="Book Antiqua" w:hAnsi="Book Antiqua" w:cstheme="minorHAnsi"/>
        </w:rPr>
        <w:t>. Nevertheless,</w:t>
      </w:r>
      <w:r w:rsidR="003D23EC" w:rsidRPr="00000DD3">
        <w:rPr>
          <w:rFonts w:ascii="Book Antiqua" w:hAnsi="Book Antiqua" w:cstheme="minorHAnsi"/>
        </w:rPr>
        <w:t xml:space="preserve"> Kang </w:t>
      </w:r>
      <w:r w:rsidR="00116D17" w:rsidRPr="00000DD3">
        <w:rPr>
          <w:rFonts w:ascii="Book Antiqua" w:eastAsia="黑体" w:hAnsi="Book Antiqua" w:cstheme="minorHAnsi" w:hint="eastAsia"/>
          <w:i/>
          <w:lang w:eastAsia="zh-CN"/>
        </w:rPr>
        <w:t>et al</w:t>
      </w:r>
      <w:r w:rsidR="00116D17" w:rsidRPr="00000DD3">
        <w:rPr>
          <w:rFonts w:ascii="Book Antiqua" w:hAnsi="Book Antiqua" w:cstheme="minorHAnsi"/>
        </w:rPr>
        <w:fldChar w:fldCharType="begin" w:fldLock="1"/>
      </w:r>
      <w:r w:rsidR="00116D17" w:rsidRPr="00000DD3">
        <w:rPr>
          <w:rFonts w:ascii="Book Antiqua" w:hAnsi="Book Antiqua" w:cstheme="minorHAnsi"/>
        </w:rPr>
        <w:instrText>ADDIN CSL_CITATION {"citationItems":[{"id":"ITEM-1","itemData":{"DOI":"10.1186/1751-0147-56-16","PMID":"24655411","abstract":"Background: Recent studies have assessed the therapeutic potential and drawbacks of mesenchymal stem cells (MSCs). The adverse reactions of intravenous transplantation of bone marrow (BM)-derived MSCs were examined at varying doses and frequencies of administration. Nine healthy beagle dogs were purchased from a commercial laboratory. The dogs were distributed equally (n = 3 per group) and randomly into three groups. All dogs received allogeneic BM-derived MSCs: 2 × 10 6 once (group A), 2 × 10 7 once (group B), and 2 × 10 6 for three consecutive days (group C). Various laboratory examinations, multi-detector computed tomography features and histopathology were evaluated to clarify the clinical and diagnostic features of adverse reactions of MSCs administration, prior to receiving MSCs (pre procedure) and on days 1, 3, and 7 post transplantation. Results: Only one dog had clinical signs during and after MSCs transplantation. Dogs receiving 2 × 10 6 MSCs showed increased numbers of lymphocytes but the total white blood cell counts were not elevated (P &lt; 0.01). Multi-detector computed tomography (MDCT) revealed pulmonary parenchymal changes in one dog and histopathologic examination revealed pulmonary parenchymal edema and hemorrhage in four dogs. The presence of pulmonary thromboembolism was not detected in either examination. Conclusions: We considered the presence of pulmonary edema and hemorrhage as possible adverse reactions after intravenous MSCs transplantation; however these results should be cautiously interpreted.","author":[{"dropping-particle":"","family":"Kang","given":"Min Hee","non-dropping-particle":"","parse-names":false,"suffix":""},{"dropping-particle":"","family":"Park","given":"Hee Myung","non-dropping-particle":"","parse-names":false,"suffix":""}],"container-title":"Acta Veterinaria Scandinavica","id":"ITEM-1","issue":"16","issued":{"date-parts":[["2014"]]},"title":"Evaluation of adverse reactions in dogs following intravenous mesenchymal stem cell transplantation","type":"article-journal","volume":"56"},"uris":["http://www.mendeley.com/documents/?uuid=aab81fc6-cbce-3c18-a430-e04a3bb0e4d7"]}],"mendeley":{"formattedCitation":"&lt;sup&gt;[111]&lt;/sup&gt;","plainTextFormattedCitation":"[111]","previouslyFormattedCitation":"&lt;sup&gt;[111]&lt;/sup&gt;"},"properties":{"noteIndex":0},"schema":"https://github.com/citation-style-language/schema/raw/master/csl-citation.json"}</w:instrText>
      </w:r>
      <w:r w:rsidR="00116D17" w:rsidRPr="00000DD3">
        <w:rPr>
          <w:rFonts w:ascii="Book Antiqua" w:hAnsi="Book Antiqua" w:cstheme="minorHAnsi"/>
        </w:rPr>
        <w:fldChar w:fldCharType="separate"/>
      </w:r>
      <w:r w:rsidR="00116D17" w:rsidRPr="00000DD3">
        <w:rPr>
          <w:rFonts w:ascii="Book Antiqua" w:hAnsi="Book Antiqua" w:cstheme="minorHAnsi"/>
          <w:noProof/>
          <w:vertAlign w:val="superscript"/>
        </w:rPr>
        <w:t>[111]</w:t>
      </w:r>
      <w:r w:rsidR="00116D17" w:rsidRPr="00000DD3">
        <w:rPr>
          <w:rFonts w:ascii="Book Antiqua" w:hAnsi="Book Antiqua" w:cstheme="minorHAnsi"/>
        </w:rPr>
        <w:fldChar w:fldCharType="end"/>
      </w:r>
      <w:r w:rsidRPr="00000DD3">
        <w:rPr>
          <w:rFonts w:ascii="Book Antiqua" w:hAnsi="Book Antiqua" w:cstheme="minorHAnsi"/>
        </w:rPr>
        <w:t xml:space="preserve"> indicated</w:t>
      </w:r>
      <w:r w:rsidR="003D23EC" w:rsidRPr="00000DD3">
        <w:rPr>
          <w:rFonts w:ascii="Book Antiqua" w:hAnsi="Book Antiqua" w:cstheme="minorHAnsi"/>
        </w:rPr>
        <w:t xml:space="preserve"> </w:t>
      </w:r>
      <w:r w:rsidR="00DB5649" w:rsidRPr="00000DD3">
        <w:rPr>
          <w:rFonts w:ascii="Book Antiqua" w:hAnsi="Book Antiqua" w:cstheme="minorHAnsi"/>
        </w:rPr>
        <w:t xml:space="preserve">that </w:t>
      </w:r>
      <w:r w:rsidRPr="00000DD3">
        <w:rPr>
          <w:rFonts w:ascii="Book Antiqua" w:hAnsi="Book Antiqua" w:cstheme="minorHAnsi"/>
        </w:rPr>
        <w:t xml:space="preserve">the </w:t>
      </w:r>
      <w:r w:rsidR="00DB5649" w:rsidRPr="00000DD3">
        <w:rPr>
          <w:rFonts w:ascii="Book Antiqua" w:hAnsi="Book Antiqua" w:cstheme="minorHAnsi"/>
        </w:rPr>
        <w:t xml:space="preserve">development of pulmonary edema and hemorrhage are possible adverse reactions </w:t>
      </w:r>
      <w:r w:rsidRPr="00000DD3">
        <w:rPr>
          <w:rFonts w:ascii="Book Antiqua" w:hAnsi="Book Antiqua" w:cstheme="minorHAnsi"/>
        </w:rPr>
        <w:t xml:space="preserve">following </w:t>
      </w:r>
      <w:r w:rsidR="00DB5649" w:rsidRPr="00000DD3">
        <w:rPr>
          <w:rFonts w:ascii="Book Antiqua" w:hAnsi="Book Antiqua" w:cstheme="minorHAnsi"/>
        </w:rPr>
        <w:t>intravenous injection</w:t>
      </w:r>
      <w:r w:rsidR="00624FA1" w:rsidRPr="00000DD3">
        <w:rPr>
          <w:rFonts w:ascii="Book Antiqua" w:hAnsi="Book Antiqua" w:cstheme="minorHAnsi"/>
        </w:rPr>
        <w:t>s</w:t>
      </w:r>
      <w:r w:rsidR="00DB5649" w:rsidRPr="00000DD3">
        <w:rPr>
          <w:rFonts w:ascii="Book Antiqua" w:hAnsi="Book Antiqua" w:cstheme="minorHAnsi"/>
        </w:rPr>
        <w:t xml:space="preserve"> of </w:t>
      </w:r>
      <w:proofErr w:type="spellStart"/>
      <w:r w:rsidR="00DB5649" w:rsidRPr="00000DD3">
        <w:rPr>
          <w:rFonts w:ascii="Book Antiqua" w:hAnsi="Book Antiqua" w:cstheme="minorHAnsi"/>
        </w:rPr>
        <w:t>cMSCs</w:t>
      </w:r>
      <w:proofErr w:type="spellEnd"/>
      <w:r w:rsidRPr="00000DD3">
        <w:rPr>
          <w:rFonts w:ascii="Book Antiqua" w:hAnsi="Book Antiqua" w:cstheme="minorHAnsi"/>
        </w:rPr>
        <w:t>. T</w:t>
      </w:r>
      <w:r w:rsidR="005E0F37" w:rsidRPr="00000DD3">
        <w:rPr>
          <w:rFonts w:ascii="Book Antiqua" w:hAnsi="Book Antiqua" w:cstheme="minorHAnsi"/>
        </w:rPr>
        <w:t>herefore</w:t>
      </w:r>
      <w:r w:rsidR="000A0EA4" w:rsidRPr="00000DD3">
        <w:rPr>
          <w:rFonts w:ascii="Book Antiqua" w:hAnsi="Book Antiqua" w:cstheme="minorHAnsi"/>
        </w:rPr>
        <w:t>,</w:t>
      </w:r>
      <w:r w:rsidR="005E0F37" w:rsidRPr="00000DD3">
        <w:rPr>
          <w:rFonts w:ascii="Book Antiqua" w:hAnsi="Book Antiqua" w:cstheme="minorHAnsi"/>
        </w:rPr>
        <w:t xml:space="preserve"> dogs treated with </w:t>
      </w:r>
      <w:proofErr w:type="spellStart"/>
      <w:r w:rsidR="005E0F37" w:rsidRPr="00000DD3">
        <w:rPr>
          <w:rFonts w:ascii="Book Antiqua" w:hAnsi="Book Antiqua" w:cstheme="minorHAnsi"/>
        </w:rPr>
        <w:t>cMSC</w:t>
      </w:r>
      <w:proofErr w:type="spellEnd"/>
      <w:r w:rsidR="005E0F37" w:rsidRPr="00000DD3">
        <w:rPr>
          <w:rFonts w:ascii="Book Antiqua" w:hAnsi="Book Antiqua" w:cstheme="minorHAnsi"/>
        </w:rPr>
        <w:t xml:space="preserve"> transplantation should be observed cautiously after injection</w:t>
      </w:r>
      <w:r w:rsidR="00DB5649" w:rsidRPr="00000DD3">
        <w:rPr>
          <w:rFonts w:ascii="Book Antiqua" w:hAnsi="Book Antiqua" w:cstheme="minorHAnsi"/>
        </w:rPr>
        <w:t>.</w:t>
      </w:r>
      <w:r w:rsidR="003B42D0" w:rsidRPr="00000DD3">
        <w:rPr>
          <w:rFonts w:ascii="Book Antiqua" w:hAnsi="Book Antiqua" w:cstheme="minorHAnsi"/>
        </w:rPr>
        <w:t xml:space="preserve"> </w:t>
      </w:r>
    </w:p>
    <w:p w14:paraId="0B9FD1A6" w14:textId="125DD409" w:rsidR="00C71FAD" w:rsidRPr="00000DD3" w:rsidRDefault="00C71FAD" w:rsidP="00874B98">
      <w:pPr>
        <w:spacing w:line="360" w:lineRule="auto"/>
        <w:jc w:val="both"/>
        <w:rPr>
          <w:rFonts w:ascii="Book Antiqua" w:hAnsi="Book Antiqua" w:cstheme="minorHAnsi"/>
          <w:b/>
        </w:rPr>
      </w:pPr>
    </w:p>
    <w:p w14:paraId="6F89D2F9" w14:textId="28A4CCC1" w:rsidR="00C37F5F" w:rsidRPr="00000DD3" w:rsidRDefault="00116D17" w:rsidP="00116D17">
      <w:pPr>
        <w:pStyle w:val="aa"/>
        <w:spacing w:line="360" w:lineRule="auto"/>
        <w:ind w:leftChars="0" w:left="0"/>
        <w:jc w:val="both"/>
        <w:rPr>
          <w:rFonts w:ascii="Book Antiqua" w:hAnsi="Book Antiqua" w:cstheme="minorHAnsi"/>
          <w:b/>
        </w:rPr>
      </w:pPr>
      <w:r w:rsidRPr="00000DD3">
        <w:rPr>
          <w:rFonts w:ascii="Book Antiqua" w:hAnsi="Book Antiqua" w:cstheme="minorHAnsi"/>
          <w:b/>
        </w:rPr>
        <w:t>DISCUSSION</w:t>
      </w:r>
    </w:p>
    <w:p w14:paraId="42119D91" w14:textId="0DF1D46E" w:rsidR="00A97555" w:rsidRPr="00000DD3" w:rsidRDefault="00A97555" w:rsidP="00874B98">
      <w:pPr>
        <w:spacing w:line="360" w:lineRule="auto"/>
        <w:jc w:val="both"/>
        <w:rPr>
          <w:rFonts w:ascii="Book Antiqua" w:hAnsi="Book Antiqua" w:cstheme="minorHAnsi"/>
        </w:rPr>
      </w:pPr>
      <w:r w:rsidRPr="00000DD3">
        <w:rPr>
          <w:rFonts w:ascii="Book Antiqua" w:hAnsi="Book Antiqua" w:cstheme="minorHAnsi"/>
        </w:rPr>
        <w:t xml:space="preserve">This is the first review of </w:t>
      </w:r>
      <w:proofErr w:type="spellStart"/>
      <w:r w:rsidRPr="00000DD3">
        <w:rPr>
          <w:rFonts w:ascii="Book Antiqua" w:hAnsi="Book Antiqua" w:cstheme="minorHAnsi"/>
        </w:rPr>
        <w:t>cMSC</w:t>
      </w:r>
      <w:proofErr w:type="spellEnd"/>
      <w:r w:rsidRPr="00000DD3">
        <w:rPr>
          <w:rFonts w:ascii="Book Antiqua" w:hAnsi="Book Antiqua" w:cstheme="minorHAnsi"/>
        </w:rPr>
        <w:t xml:space="preserve"> isolation, characterization, differentiation, </w:t>
      </w:r>
      <w:r w:rsidR="004C4511" w:rsidRPr="00000DD3">
        <w:rPr>
          <w:rFonts w:ascii="Book Antiqua" w:hAnsi="Book Antiqua" w:cstheme="minorHAnsi"/>
        </w:rPr>
        <w:t xml:space="preserve">and </w:t>
      </w:r>
      <w:r w:rsidRPr="00000DD3">
        <w:rPr>
          <w:rFonts w:ascii="Book Antiqua" w:hAnsi="Book Antiqua" w:cstheme="minorHAnsi"/>
        </w:rPr>
        <w:t xml:space="preserve">use in </w:t>
      </w:r>
      <w:r w:rsidRPr="00000DD3">
        <w:rPr>
          <w:rFonts w:ascii="Book Antiqua" w:hAnsi="Book Antiqua" w:cstheme="minorHAnsi"/>
          <w:i/>
        </w:rPr>
        <w:t>in vivo</w:t>
      </w:r>
      <w:r w:rsidRPr="00000DD3">
        <w:rPr>
          <w:rFonts w:ascii="Book Antiqua" w:hAnsi="Book Antiqua" w:cstheme="minorHAnsi"/>
        </w:rPr>
        <w:t xml:space="preserve"> models for cartilage repair and clinical trial for cartilage diseases. </w:t>
      </w:r>
      <w:r w:rsidR="00446446" w:rsidRPr="00000DD3">
        <w:rPr>
          <w:rFonts w:ascii="Book Antiqua" w:hAnsi="Book Antiqua" w:cstheme="minorHAnsi"/>
        </w:rPr>
        <w:t xml:space="preserve">The </w:t>
      </w:r>
      <w:proofErr w:type="spellStart"/>
      <w:r w:rsidRPr="00000DD3">
        <w:rPr>
          <w:rFonts w:ascii="Book Antiqua" w:hAnsi="Book Antiqua" w:cstheme="minorHAnsi"/>
        </w:rPr>
        <w:t>cMSCs</w:t>
      </w:r>
      <w:proofErr w:type="spellEnd"/>
      <w:r w:rsidRPr="00000DD3">
        <w:rPr>
          <w:rFonts w:ascii="Book Antiqua" w:hAnsi="Book Antiqua" w:cstheme="minorHAnsi"/>
        </w:rPr>
        <w:t xml:space="preserve"> can be isolated from various tissues in the body</w:t>
      </w:r>
      <w:r w:rsidR="004C4511" w:rsidRPr="00000DD3">
        <w:rPr>
          <w:rFonts w:ascii="Book Antiqua" w:hAnsi="Book Antiqua" w:cstheme="minorHAnsi"/>
        </w:rPr>
        <w:t>,</w:t>
      </w:r>
      <w:r w:rsidRPr="00000DD3">
        <w:rPr>
          <w:rFonts w:ascii="Book Antiqua" w:hAnsi="Book Antiqua" w:cstheme="minorHAnsi"/>
        </w:rPr>
        <w:t xml:space="preserve"> and </w:t>
      </w:r>
      <w:r w:rsidR="004C4511" w:rsidRPr="00000DD3">
        <w:rPr>
          <w:rFonts w:ascii="Book Antiqua" w:hAnsi="Book Antiqua" w:cstheme="minorHAnsi"/>
        </w:rPr>
        <w:t xml:space="preserve">the </w:t>
      </w:r>
      <w:proofErr w:type="spellStart"/>
      <w:r w:rsidRPr="00000DD3">
        <w:rPr>
          <w:rFonts w:ascii="Book Antiqua" w:hAnsi="Book Antiqua" w:cstheme="minorHAnsi"/>
        </w:rPr>
        <w:t>cMSCs</w:t>
      </w:r>
      <w:proofErr w:type="spellEnd"/>
      <w:r w:rsidRPr="00000DD3">
        <w:rPr>
          <w:rFonts w:ascii="Book Antiqua" w:hAnsi="Book Antiqua" w:cstheme="minorHAnsi"/>
        </w:rPr>
        <w:t xml:space="preserve"> derived from each tissue have specific characteristics. Although </w:t>
      </w:r>
      <w:r w:rsidR="004C4511" w:rsidRPr="00000DD3">
        <w:rPr>
          <w:rFonts w:ascii="Book Antiqua" w:hAnsi="Book Antiqua" w:cstheme="minorHAnsi"/>
        </w:rPr>
        <w:t xml:space="preserve">the </w:t>
      </w:r>
      <w:proofErr w:type="spellStart"/>
      <w:r w:rsidRPr="00000DD3">
        <w:rPr>
          <w:rFonts w:ascii="Book Antiqua" w:hAnsi="Book Antiqua" w:cstheme="minorHAnsi"/>
        </w:rPr>
        <w:t>cMSCs</w:t>
      </w:r>
      <w:proofErr w:type="spellEnd"/>
      <w:r w:rsidRPr="00000DD3">
        <w:rPr>
          <w:rFonts w:ascii="Book Antiqua" w:hAnsi="Book Antiqua" w:cstheme="minorHAnsi"/>
        </w:rPr>
        <w:t xml:space="preserve"> </w:t>
      </w:r>
      <w:r w:rsidR="004C4511" w:rsidRPr="00000DD3">
        <w:rPr>
          <w:rFonts w:ascii="Book Antiqua" w:hAnsi="Book Antiqua" w:cstheme="minorHAnsi"/>
        </w:rPr>
        <w:t xml:space="preserve">used </w:t>
      </w:r>
      <w:r w:rsidRPr="00000DD3">
        <w:rPr>
          <w:rFonts w:ascii="Book Antiqua" w:hAnsi="Book Antiqua" w:cstheme="minorHAnsi"/>
        </w:rPr>
        <w:t xml:space="preserve">in most studies </w:t>
      </w:r>
      <w:r w:rsidR="004C4511" w:rsidRPr="00000DD3">
        <w:rPr>
          <w:rFonts w:ascii="Book Antiqua" w:hAnsi="Book Antiqua" w:cstheme="minorHAnsi"/>
        </w:rPr>
        <w:t xml:space="preserve">at least partially </w:t>
      </w:r>
      <w:r w:rsidRPr="00000DD3">
        <w:rPr>
          <w:rFonts w:ascii="Book Antiqua" w:hAnsi="Book Antiqua" w:cstheme="minorHAnsi"/>
        </w:rPr>
        <w:t xml:space="preserve">meet the criteria for human MSCs declared by ISCT, suitable surface epitopes for </w:t>
      </w:r>
      <w:proofErr w:type="spellStart"/>
      <w:r w:rsidRPr="00000DD3">
        <w:rPr>
          <w:rFonts w:ascii="Book Antiqua" w:hAnsi="Book Antiqua" w:cstheme="minorHAnsi"/>
        </w:rPr>
        <w:t>cMSCs</w:t>
      </w:r>
      <w:proofErr w:type="spellEnd"/>
      <w:r w:rsidRPr="00000DD3">
        <w:rPr>
          <w:rFonts w:ascii="Book Antiqua" w:hAnsi="Book Antiqua" w:cstheme="minorHAnsi"/>
        </w:rPr>
        <w:t xml:space="preserve"> have </w:t>
      </w:r>
      <w:r w:rsidR="004C4511" w:rsidRPr="00000DD3">
        <w:rPr>
          <w:rFonts w:ascii="Book Antiqua" w:hAnsi="Book Antiqua" w:cstheme="minorHAnsi"/>
        </w:rPr>
        <w:t>not yet been established</w:t>
      </w:r>
      <w:r w:rsidRPr="00000DD3">
        <w:rPr>
          <w:rFonts w:ascii="Book Antiqua" w:hAnsi="Book Antiqua" w:cstheme="minorHAnsi"/>
        </w:rPr>
        <w:t xml:space="preserve">. </w:t>
      </w:r>
      <w:proofErr w:type="spellStart"/>
      <w:r w:rsidRPr="00000DD3">
        <w:rPr>
          <w:rFonts w:ascii="Book Antiqua" w:hAnsi="Book Antiqua" w:cstheme="minorHAnsi"/>
        </w:rPr>
        <w:t>cMSCs</w:t>
      </w:r>
      <w:proofErr w:type="spellEnd"/>
      <w:r w:rsidRPr="00000DD3">
        <w:rPr>
          <w:rFonts w:ascii="Book Antiqua" w:hAnsi="Book Antiqua" w:cstheme="minorHAnsi"/>
        </w:rPr>
        <w:t xml:space="preserve"> can differentiate into adipocyte</w:t>
      </w:r>
      <w:r w:rsidR="00656ABA" w:rsidRPr="00000DD3">
        <w:rPr>
          <w:rFonts w:ascii="Book Antiqua" w:hAnsi="Book Antiqua" w:cstheme="minorHAnsi"/>
        </w:rPr>
        <w:t>s</w:t>
      </w:r>
      <w:r w:rsidRPr="00000DD3">
        <w:rPr>
          <w:rFonts w:ascii="Book Antiqua" w:hAnsi="Book Antiqua" w:cstheme="minorHAnsi"/>
        </w:rPr>
        <w:t>, osteocyte</w:t>
      </w:r>
      <w:r w:rsidR="00656ABA" w:rsidRPr="00000DD3">
        <w:rPr>
          <w:rFonts w:ascii="Book Antiqua" w:hAnsi="Book Antiqua" w:cstheme="minorHAnsi"/>
        </w:rPr>
        <w:t>s,</w:t>
      </w:r>
      <w:r w:rsidRPr="00000DD3">
        <w:rPr>
          <w:rFonts w:ascii="Book Antiqua" w:hAnsi="Book Antiqua" w:cstheme="minorHAnsi"/>
        </w:rPr>
        <w:t xml:space="preserve"> and chondrocyte</w:t>
      </w:r>
      <w:r w:rsidR="00656ABA" w:rsidRPr="00000DD3">
        <w:rPr>
          <w:rFonts w:ascii="Book Antiqua" w:hAnsi="Book Antiqua" w:cstheme="minorHAnsi"/>
        </w:rPr>
        <w:t>s</w:t>
      </w:r>
      <w:r w:rsidRPr="00000DD3">
        <w:rPr>
          <w:rFonts w:ascii="Book Antiqua" w:hAnsi="Book Antiqua" w:cstheme="minorHAnsi"/>
        </w:rPr>
        <w:t xml:space="preserve"> </w:t>
      </w:r>
      <w:r w:rsidRPr="00000DD3">
        <w:rPr>
          <w:rFonts w:ascii="Book Antiqua" w:hAnsi="Book Antiqua" w:cstheme="minorHAnsi"/>
          <w:i/>
        </w:rPr>
        <w:t>in vitro</w:t>
      </w:r>
      <w:r w:rsidR="00656ABA" w:rsidRPr="00000DD3">
        <w:rPr>
          <w:rFonts w:ascii="Book Antiqua" w:hAnsi="Book Antiqua" w:cstheme="minorHAnsi"/>
        </w:rPr>
        <w:t xml:space="preserve">; </w:t>
      </w:r>
      <w:r w:rsidRPr="00000DD3">
        <w:rPr>
          <w:rFonts w:ascii="Book Antiqua" w:hAnsi="Book Antiqua" w:cstheme="minorHAnsi"/>
        </w:rPr>
        <w:t>however, the differentiation method</w:t>
      </w:r>
      <w:r w:rsidR="00656ABA" w:rsidRPr="00000DD3">
        <w:rPr>
          <w:rFonts w:ascii="Book Antiqua" w:hAnsi="Book Antiqua" w:cstheme="minorHAnsi"/>
        </w:rPr>
        <w:t>s</w:t>
      </w:r>
      <w:r w:rsidRPr="00000DD3">
        <w:rPr>
          <w:rFonts w:ascii="Book Antiqua" w:hAnsi="Book Antiqua" w:cstheme="minorHAnsi"/>
        </w:rPr>
        <w:t xml:space="preserve"> differ among studies</w:t>
      </w:r>
      <w:r w:rsidR="00656ABA" w:rsidRPr="00000DD3">
        <w:rPr>
          <w:rFonts w:ascii="Book Antiqua" w:hAnsi="Book Antiqua" w:cstheme="minorHAnsi"/>
        </w:rPr>
        <w:t>,</w:t>
      </w:r>
      <w:r w:rsidRPr="00000DD3">
        <w:rPr>
          <w:rFonts w:ascii="Book Antiqua" w:hAnsi="Book Antiqua" w:cstheme="minorHAnsi"/>
        </w:rPr>
        <w:t xml:space="preserve"> and some studies have </w:t>
      </w:r>
      <w:r w:rsidR="00656ABA" w:rsidRPr="00000DD3">
        <w:rPr>
          <w:rFonts w:ascii="Book Antiqua" w:hAnsi="Book Antiqua" w:cstheme="minorHAnsi"/>
        </w:rPr>
        <w:t>reported difficulties in inducing</w:t>
      </w:r>
      <w:r w:rsidRPr="00000DD3">
        <w:rPr>
          <w:rFonts w:ascii="Book Antiqua" w:hAnsi="Book Antiqua" w:cstheme="minorHAnsi"/>
        </w:rPr>
        <w:t xml:space="preserve"> chondrogenic differentiation. Thus, suitable differentiation protocol</w:t>
      </w:r>
      <w:r w:rsidR="00656ABA" w:rsidRPr="00000DD3">
        <w:rPr>
          <w:rFonts w:ascii="Book Antiqua" w:hAnsi="Book Antiqua" w:cstheme="minorHAnsi"/>
        </w:rPr>
        <w:t>s</w:t>
      </w:r>
      <w:r w:rsidRPr="00000DD3">
        <w:rPr>
          <w:rFonts w:ascii="Book Antiqua" w:hAnsi="Book Antiqua" w:cstheme="minorHAnsi"/>
        </w:rPr>
        <w:t xml:space="preserve"> for </w:t>
      </w:r>
      <w:proofErr w:type="spellStart"/>
      <w:r w:rsidRPr="00000DD3">
        <w:rPr>
          <w:rFonts w:ascii="Book Antiqua" w:hAnsi="Book Antiqua" w:cstheme="minorHAnsi"/>
        </w:rPr>
        <w:t>cMSCs</w:t>
      </w:r>
      <w:proofErr w:type="spellEnd"/>
      <w:r w:rsidRPr="00000DD3">
        <w:rPr>
          <w:rFonts w:ascii="Book Antiqua" w:hAnsi="Book Antiqua" w:cstheme="minorHAnsi"/>
        </w:rPr>
        <w:t xml:space="preserve"> should be </w:t>
      </w:r>
      <w:r w:rsidR="00656ABA" w:rsidRPr="00000DD3">
        <w:rPr>
          <w:rFonts w:ascii="Book Antiqua" w:hAnsi="Book Antiqua" w:cstheme="minorHAnsi"/>
        </w:rPr>
        <w:t xml:space="preserve">identified </w:t>
      </w:r>
      <w:r w:rsidRPr="00000DD3">
        <w:rPr>
          <w:rFonts w:ascii="Book Antiqua" w:hAnsi="Book Antiqua" w:cstheme="minorHAnsi"/>
        </w:rPr>
        <w:t xml:space="preserve">to </w:t>
      </w:r>
      <w:r w:rsidR="00656ABA" w:rsidRPr="00000DD3">
        <w:rPr>
          <w:rFonts w:ascii="Book Antiqua" w:hAnsi="Book Antiqua" w:cstheme="minorHAnsi"/>
        </w:rPr>
        <w:t>ensure sufficient</w:t>
      </w:r>
      <w:r w:rsidRPr="00000DD3">
        <w:rPr>
          <w:rFonts w:ascii="Book Antiqua" w:hAnsi="Book Antiqua" w:cstheme="minorHAnsi"/>
        </w:rPr>
        <w:t xml:space="preserve"> differentiation in </w:t>
      </w:r>
      <w:r w:rsidRPr="00000DD3">
        <w:rPr>
          <w:rFonts w:ascii="Book Antiqua" w:hAnsi="Book Antiqua" w:cstheme="minorHAnsi"/>
          <w:i/>
        </w:rPr>
        <w:t>in vitro</w:t>
      </w:r>
      <w:r w:rsidRPr="00000DD3">
        <w:rPr>
          <w:rFonts w:ascii="Book Antiqua" w:hAnsi="Book Antiqua" w:cstheme="minorHAnsi"/>
        </w:rPr>
        <w:t xml:space="preserve"> studies.</w:t>
      </w:r>
    </w:p>
    <w:p w14:paraId="38D6A682" w14:textId="2EC4E6BE" w:rsidR="00A97555" w:rsidRPr="00000DD3" w:rsidRDefault="00A97555" w:rsidP="00116D17">
      <w:pPr>
        <w:spacing w:line="360" w:lineRule="auto"/>
        <w:ind w:firstLineChars="100" w:firstLine="240"/>
        <w:jc w:val="both"/>
        <w:rPr>
          <w:rFonts w:ascii="Book Antiqua" w:hAnsi="Book Antiqua" w:cstheme="minorHAnsi"/>
        </w:rPr>
      </w:pPr>
      <w:r w:rsidRPr="00000DD3">
        <w:rPr>
          <w:rFonts w:ascii="Book Antiqua" w:hAnsi="Book Antiqua" w:cstheme="minorHAnsi"/>
        </w:rPr>
        <w:t xml:space="preserve">Dogs can serve as an experimental animal model for studies </w:t>
      </w:r>
      <w:r w:rsidR="00656ABA" w:rsidRPr="00000DD3">
        <w:rPr>
          <w:rFonts w:ascii="Book Antiqua" w:hAnsi="Book Antiqua" w:cstheme="minorHAnsi"/>
        </w:rPr>
        <w:t xml:space="preserve">on </w:t>
      </w:r>
      <w:r w:rsidRPr="00000DD3">
        <w:rPr>
          <w:rFonts w:ascii="Book Antiqua" w:hAnsi="Book Antiqua" w:cstheme="minorHAnsi"/>
        </w:rPr>
        <w:t xml:space="preserve">cartilage repair, and </w:t>
      </w:r>
      <w:proofErr w:type="spellStart"/>
      <w:r w:rsidRPr="00000DD3">
        <w:rPr>
          <w:rFonts w:ascii="Book Antiqua" w:hAnsi="Book Antiqua" w:cstheme="minorHAnsi"/>
        </w:rPr>
        <w:t>cMSCs</w:t>
      </w:r>
      <w:proofErr w:type="spellEnd"/>
      <w:r w:rsidRPr="00000DD3">
        <w:rPr>
          <w:rFonts w:ascii="Book Antiqua" w:hAnsi="Book Antiqua" w:cstheme="minorHAnsi"/>
        </w:rPr>
        <w:t xml:space="preserve"> can lead to hyaline cartilage repair </w:t>
      </w:r>
      <w:r w:rsidR="00656ABA" w:rsidRPr="00000DD3">
        <w:rPr>
          <w:rFonts w:ascii="Book Antiqua" w:hAnsi="Book Antiqua" w:cstheme="minorHAnsi"/>
        </w:rPr>
        <w:t>of</w:t>
      </w:r>
      <w:r w:rsidRPr="00000DD3">
        <w:rPr>
          <w:rFonts w:ascii="Book Antiqua" w:hAnsi="Book Antiqua" w:cstheme="minorHAnsi"/>
        </w:rPr>
        <w:t xml:space="preserve"> experimentally created cartilage defects </w:t>
      </w:r>
      <w:r w:rsidRPr="00000DD3">
        <w:rPr>
          <w:rFonts w:ascii="Book Antiqua" w:hAnsi="Book Antiqua" w:cstheme="minorHAnsi"/>
          <w:i/>
        </w:rPr>
        <w:t>in vivo</w:t>
      </w:r>
      <w:r w:rsidRPr="00000DD3">
        <w:rPr>
          <w:rFonts w:ascii="Book Antiqua" w:hAnsi="Book Antiqua" w:cstheme="minorHAnsi"/>
        </w:rPr>
        <w:t xml:space="preserve">. Although dogs have a variety of unique characteristics compared to other experimental animals, </w:t>
      </w:r>
      <w:r w:rsidR="00656ABA" w:rsidRPr="00000DD3">
        <w:rPr>
          <w:rFonts w:ascii="Book Antiqua" w:hAnsi="Book Antiqua" w:cstheme="minorHAnsi"/>
        </w:rPr>
        <w:t>they also share</w:t>
      </w:r>
      <w:r w:rsidRPr="00000DD3">
        <w:rPr>
          <w:rFonts w:ascii="Book Antiqua" w:hAnsi="Book Antiqua" w:cstheme="minorHAnsi"/>
        </w:rPr>
        <w:t xml:space="preserve"> some problems</w:t>
      </w:r>
      <w:r w:rsidR="00656ABA" w:rsidRPr="00000DD3">
        <w:rPr>
          <w:rFonts w:ascii="Book Antiqua" w:hAnsi="Book Antiqua" w:cstheme="minorHAnsi"/>
        </w:rPr>
        <w:t>,</w:t>
      </w:r>
      <w:r w:rsidRPr="00000DD3">
        <w:rPr>
          <w:rFonts w:ascii="Book Antiqua" w:hAnsi="Book Antiqua" w:cstheme="minorHAnsi"/>
        </w:rPr>
        <w:t xml:space="preserve"> including body size and ethical concerns. </w:t>
      </w:r>
      <w:r w:rsidR="00656ABA" w:rsidRPr="00000DD3">
        <w:rPr>
          <w:rFonts w:ascii="Book Antiqua" w:hAnsi="Book Antiqua" w:cstheme="minorHAnsi"/>
        </w:rPr>
        <w:t>For these reasons</w:t>
      </w:r>
      <w:r w:rsidRPr="00000DD3">
        <w:rPr>
          <w:rFonts w:ascii="Book Antiqua" w:hAnsi="Book Antiqua" w:cstheme="minorHAnsi"/>
        </w:rPr>
        <w:t>, farm animals</w:t>
      </w:r>
      <w:r w:rsidR="00656ABA" w:rsidRPr="00000DD3">
        <w:rPr>
          <w:rFonts w:ascii="Book Antiqua" w:hAnsi="Book Antiqua" w:cstheme="minorHAnsi"/>
        </w:rPr>
        <w:t>,</w:t>
      </w:r>
      <w:r w:rsidRPr="00000DD3">
        <w:rPr>
          <w:rFonts w:ascii="Book Antiqua" w:hAnsi="Book Antiqua" w:cstheme="minorHAnsi"/>
        </w:rPr>
        <w:t xml:space="preserve"> including pigs, sheep</w:t>
      </w:r>
      <w:r w:rsidR="00656ABA" w:rsidRPr="00000DD3">
        <w:rPr>
          <w:rFonts w:ascii="Book Antiqua" w:hAnsi="Book Antiqua" w:cstheme="minorHAnsi"/>
        </w:rPr>
        <w:t>,</w:t>
      </w:r>
      <w:r w:rsidRPr="00000DD3">
        <w:rPr>
          <w:rFonts w:ascii="Book Antiqua" w:hAnsi="Book Antiqua" w:cstheme="minorHAnsi"/>
        </w:rPr>
        <w:t xml:space="preserve"> and goats</w:t>
      </w:r>
      <w:r w:rsidR="00656ABA" w:rsidRPr="00000DD3">
        <w:rPr>
          <w:rFonts w:ascii="Book Antiqua" w:hAnsi="Book Antiqua" w:cstheme="minorHAnsi"/>
        </w:rPr>
        <w:t>,</w:t>
      </w:r>
      <w:r w:rsidRPr="00000DD3">
        <w:rPr>
          <w:rFonts w:ascii="Book Antiqua" w:hAnsi="Book Antiqua" w:cstheme="minorHAnsi"/>
        </w:rPr>
        <w:t xml:space="preserve"> can supersede dogs as experimental animal models for human medicine.</w:t>
      </w:r>
    </w:p>
    <w:p w14:paraId="4062F42E" w14:textId="01BB618B" w:rsidR="00446446" w:rsidRPr="00000DD3" w:rsidRDefault="00656ABA" w:rsidP="00116D17">
      <w:pPr>
        <w:spacing w:line="360" w:lineRule="auto"/>
        <w:ind w:firstLineChars="100" w:firstLine="240"/>
        <w:jc w:val="both"/>
        <w:rPr>
          <w:rFonts w:ascii="Book Antiqua" w:hAnsi="Book Antiqua" w:cstheme="minorHAnsi"/>
        </w:rPr>
      </w:pPr>
      <w:r w:rsidRPr="00000DD3">
        <w:rPr>
          <w:rFonts w:ascii="Book Antiqua" w:hAnsi="Book Antiqua" w:cstheme="minorHAnsi"/>
        </w:rPr>
        <w:t>One</w:t>
      </w:r>
      <w:r w:rsidR="00A97555" w:rsidRPr="00000DD3">
        <w:rPr>
          <w:rFonts w:ascii="Book Antiqua" w:hAnsi="Book Antiqua" w:cstheme="minorHAnsi"/>
        </w:rPr>
        <w:t xml:space="preserve"> distinctive feature of dogs </w:t>
      </w:r>
      <w:r w:rsidRPr="00000DD3">
        <w:rPr>
          <w:rFonts w:ascii="Book Antiqua" w:hAnsi="Book Antiqua" w:cstheme="minorHAnsi"/>
        </w:rPr>
        <w:t xml:space="preserve">is </w:t>
      </w:r>
      <w:r w:rsidR="00A97555" w:rsidRPr="00000DD3">
        <w:rPr>
          <w:rFonts w:ascii="Book Antiqua" w:hAnsi="Book Antiqua" w:cstheme="minorHAnsi"/>
        </w:rPr>
        <w:t>that many</w:t>
      </w:r>
      <w:r w:rsidR="008252BB" w:rsidRPr="00000DD3">
        <w:rPr>
          <w:rFonts w:ascii="Book Antiqua" w:hAnsi="Book Antiqua" w:cstheme="minorHAnsi"/>
        </w:rPr>
        <w:t xml:space="preserve"> dogs </w:t>
      </w:r>
      <w:r w:rsidR="00A97555" w:rsidRPr="00000DD3">
        <w:rPr>
          <w:rFonts w:ascii="Book Antiqua" w:hAnsi="Book Antiqua" w:cstheme="minorHAnsi"/>
        </w:rPr>
        <w:t xml:space="preserve">naturally develop OA </w:t>
      </w:r>
      <w:r w:rsidRPr="00000DD3">
        <w:rPr>
          <w:rFonts w:ascii="Book Antiqua" w:hAnsi="Book Antiqua" w:cstheme="minorHAnsi"/>
        </w:rPr>
        <w:t xml:space="preserve">during </w:t>
      </w:r>
      <w:r w:rsidR="00A97555" w:rsidRPr="00000DD3">
        <w:rPr>
          <w:rFonts w:ascii="Book Antiqua" w:hAnsi="Book Antiqua" w:cstheme="minorHAnsi"/>
        </w:rPr>
        <w:t xml:space="preserve">their lives, </w:t>
      </w:r>
      <w:r w:rsidRPr="00000DD3">
        <w:rPr>
          <w:rFonts w:ascii="Book Antiqua" w:hAnsi="Book Antiqua" w:cstheme="minorHAnsi"/>
        </w:rPr>
        <w:t xml:space="preserve">which means that </w:t>
      </w:r>
      <w:r w:rsidR="00A97555" w:rsidRPr="00000DD3">
        <w:rPr>
          <w:rFonts w:ascii="Book Antiqua" w:hAnsi="Book Antiqua" w:cstheme="minorHAnsi"/>
        </w:rPr>
        <w:t xml:space="preserve">clinical trials can be performed. The results of clinical studies </w:t>
      </w:r>
      <w:r w:rsidRPr="00000DD3">
        <w:rPr>
          <w:rFonts w:ascii="Book Antiqua" w:hAnsi="Book Antiqua" w:cstheme="minorHAnsi"/>
        </w:rPr>
        <w:t xml:space="preserve">have </w:t>
      </w:r>
      <w:r w:rsidR="00A97555" w:rsidRPr="00000DD3">
        <w:rPr>
          <w:rFonts w:ascii="Book Antiqua" w:hAnsi="Book Antiqua" w:cstheme="minorHAnsi"/>
        </w:rPr>
        <w:t xml:space="preserve">proved the great cartilage regenerative and immunomodulatory effects of </w:t>
      </w:r>
      <w:proofErr w:type="spellStart"/>
      <w:r w:rsidR="00A97555" w:rsidRPr="00000DD3">
        <w:rPr>
          <w:rFonts w:ascii="Book Antiqua" w:hAnsi="Book Antiqua" w:cstheme="minorHAnsi"/>
        </w:rPr>
        <w:t>cMSCs</w:t>
      </w:r>
      <w:proofErr w:type="spellEnd"/>
      <w:r w:rsidR="00A97555" w:rsidRPr="00000DD3">
        <w:rPr>
          <w:rFonts w:ascii="Book Antiqua" w:hAnsi="Book Antiqua" w:cstheme="minorHAnsi"/>
        </w:rPr>
        <w:t xml:space="preserve"> </w:t>
      </w:r>
      <w:r w:rsidR="00E26B9A" w:rsidRPr="00000DD3">
        <w:rPr>
          <w:rFonts w:ascii="Book Antiqua" w:hAnsi="Book Antiqua" w:cstheme="minorHAnsi"/>
        </w:rPr>
        <w:t xml:space="preserve">in </w:t>
      </w:r>
      <w:r w:rsidR="00446446" w:rsidRPr="00000DD3">
        <w:rPr>
          <w:rFonts w:ascii="Book Antiqua" w:hAnsi="Book Antiqua" w:cstheme="minorHAnsi"/>
        </w:rPr>
        <w:t xml:space="preserve">veterinary </w:t>
      </w:r>
      <w:r w:rsidR="00A97555" w:rsidRPr="00000DD3">
        <w:rPr>
          <w:rFonts w:ascii="Book Antiqua" w:hAnsi="Book Antiqua" w:cstheme="minorHAnsi"/>
        </w:rPr>
        <w:t xml:space="preserve">patient dogs with </w:t>
      </w:r>
      <w:r w:rsidR="00E26B9A" w:rsidRPr="00000DD3">
        <w:rPr>
          <w:rFonts w:ascii="Book Antiqua" w:hAnsi="Book Antiqua" w:cstheme="minorHAnsi"/>
        </w:rPr>
        <w:t>OA</w:t>
      </w:r>
      <w:r w:rsidR="00A97555" w:rsidRPr="00000DD3">
        <w:rPr>
          <w:rFonts w:ascii="Book Antiqua" w:hAnsi="Book Antiqua" w:cstheme="minorHAnsi"/>
        </w:rPr>
        <w:t xml:space="preserve">. Since the current therapeutic objective for </w:t>
      </w:r>
      <w:r w:rsidR="00E26B9A" w:rsidRPr="00000DD3">
        <w:rPr>
          <w:rFonts w:ascii="Book Antiqua" w:hAnsi="Book Antiqua" w:cstheme="minorHAnsi"/>
        </w:rPr>
        <w:t xml:space="preserve">OA treatment </w:t>
      </w:r>
      <w:r w:rsidR="00A97555" w:rsidRPr="00000DD3">
        <w:rPr>
          <w:rFonts w:ascii="Book Antiqua" w:hAnsi="Book Antiqua" w:cstheme="minorHAnsi"/>
        </w:rPr>
        <w:t>in both human and veterinary patients is management of pain and functional recovery of joints</w:t>
      </w:r>
      <w:r w:rsidR="00A97555" w:rsidRPr="00000DD3">
        <w:rPr>
          <w:rFonts w:ascii="Book Antiqua" w:hAnsi="Book Antiqua" w:cstheme="minorHAnsi"/>
        </w:rPr>
        <w:fldChar w:fldCharType="begin" w:fldLock="1"/>
      </w:r>
      <w:r w:rsidR="00E92652" w:rsidRPr="00000DD3">
        <w:rPr>
          <w:rFonts w:ascii="Book Antiqua" w:hAnsi="Book Antiqua" w:cstheme="minorHAnsi"/>
        </w:rPr>
        <w:instrText>ADDIN CSL_CITATION {"citationItems":[{"id":"ITEM-1","itemData":{"ISSN":"1593098X","PMID":"28967360","abstract":"The lack of successful translation of basic research discoveries into safe and effective treatments for chronic pain patients has led to increased scrutiny of the preclinical models used in pain research, particularly for osteoarthritis, where there is a significant disconnect between the animal models used to study the structural versus symptomatic aspects of the disease. Companion dogs offer a unique opportunity to assess osteoarthritis pain in a physiologically relevant 'model' of the disease. Approximately 20% of the canine pet population spontaneously develops osteoarthritis, translating to at least 15 million dogs in the United States alone. As in humans, pathogenesis of canine osteoarthritis involves changes in all tissues of the synovial joint including articular cartilage, subchondral bone, and periosteum. The dominant symptom of osteoarthritis for both humans and dogs is pain, and the current therapeutic goal for both species is management of that pain and associated loss of function. To capture clinically and translationally relevant pain severity and pain impact data in the companion canine osteoarthritis 'model', clinical metrology instruments have been validated. These instruments, which assess changes in spontaneous pain-related behaviours, over extended periods of time, in the dog's home environment, are used to evaluate the efficacy of novel interventions for chronic pain in canine osteoarthritis studies. There is evidence that these results in companion dogs can reliably predict efficacy in humans. Across many classes of compounds in which there have been studies in companion animal chronic pain conditions and the same conditions in humans, the analogous results have been seen. In addition, many of the drugs used to treat pain in people are successfully used off-label to treat pain in dogs as well. If preliminary indications of predictability hold true, companion dogs may be embraced as a missing link in the translation of osteoarthritis treatment from mice to men.","author":[{"dropping-particle":"","family":"Cimino Brown","given":"Dorothy","non-dropping-particle":"","parse-names":false,"suffix":""}],"container-title":"Clinical and Experimental Rheumatology","id":"ITEM-1","issue":"5","issued":{"date-parts":[["2017"]]},"page":"53-58","title":"What can we learn from osteoarthritis pain in companion animals?","type":"article-journal","volume":"107"},"uris":["http://www.mendeley.com/documents/?uuid=bf8b29c1-16c8-32e4-bba7-7b72854717d7"]}],"mendeley":{"formattedCitation":"&lt;sup&gt;[112]&lt;/sup&gt;","plainTextFormattedCitation":"[112]","previouslyFormattedCitation":"&lt;sup&gt;[112]&lt;/sup&gt;"},"properties":{"noteIndex":0},"schema":"https://github.com/citation-style-language/schema/raw/master/csl-citation.json"}</w:instrText>
      </w:r>
      <w:r w:rsidR="00A97555" w:rsidRPr="00000DD3">
        <w:rPr>
          <w:rFonts w:ascii="Book Antiqua" w:hAnsi="Book Antiqua" w:cstheme="minorHAnsi"/>
        </w:rPr>
        <w:fldChar w:fldCharType="separate"/>
      </w:r>
      <w:r w:rsidR="00F818F3" w:rsidRPr="00000DD3">
        <w:rPr>
          <w:rFonts w:ascii="Book Antiqua" w:hAnsi="Book Antiqua" w:cstheme="minorHAnsi"/>
          <w:noProof/>
          <w:vertAlign w:val="superscript"/>
        </w:rPr>
        <w:t>[112]</w:t>
      </w:r>
      <w:r w:rsidR="00A97555" w:rsidRPr="00000DD3">
        <w:rPr>
          <w:rFonts w:ascii="Book Antiqua" w:hAnsi="Book Antiqua" w:cstheme="minorHAnsi"/>
        </w:rPr>
        <w:fldChar w:fldCharType="end"/>
      </w:r>
      <w:r w:rsidR="00A97555" w:rsidRPr="00000DD3">
        <w:rPr>
          <w:rFonts w:ascii="Book Antiqua" w:hAnsi="Book Antiqua" w:cstheme="minorHAnsi"/>
        </w:rPr>
        <w:t xml:space="preserve">, the results of clinical studies in dogs </w:t>
      </w:r>
      <w:r w:rsidR="00E26B9A" w:rsidRPr="00000DD3">
        <w:rPr>
          <w:rFonts w:ascii="Book Antiqua" w:hAnsi="Book Antiqua" w:cstheme="minorHAnsi"/>
        </w:rPr>
        <w:t xml:space="preserve">can </w:t>
      </w:r>
      <w:r w:rsidR="00A97555" w:rsidRPr="00000DD3">
        <w:rPr>
          <w:rFonts w:ascii="Book Antiqua" w:hAnsi="Book Antiqua" w:cstheme="minorHAnsi"/>
        </w:rPr>
        <w:t xml:space="preserve">provide significant information for the treatment of cartilage lesions in </w:t>
      </w:r>
      <w:r w:rsidR="00E26B9A" w:rsidRPr="00000DD3">
        <w:rPr>
          <w:rFonts w:ascii="Book Antiqua" w:hAnsi="Book Antiqua" w:cstheme="minorHAnsi"/>
        </w:rPr>
        <w:t xml:space="preserve">both </w:t>
      </w:r>
      <w:r w:rsidR="00A97555" w:rsidRPr="00000DD3">
        <w:rPr>
          <w:rFonts w:ascii="Book Antiqua" w:hAnsi="Book Antiqua" w:cstheme="minorHAnsi"/>
        </w:rPr>
        <w:t>human and veterinary medicine. However, it should be noted that cell therapies in veterinary patients are not strictly supervised by regulatory agencies in most countries</w:t>
      </w:r>
      <w:r w:rsidR="00A97555" w:rsidRPr="00000DD3">
        <w:rPr>
          <w:rFonts w:ascii="Book Antiqua" w:hAnsi="Book Antiqua" w:cstheme="minorHAnsi"/>
        </w:rPr>
        <w:fldChar w:fldCharType="begin" w:fldLock="1"/>
      </w:r>
      <w:r w:rsidR="00E92652" w:rsidRPr="00000DD3">
        <w:rPr>
          <w:rFonts w:ascii="Book Antiqua" w:hAnsi="Book Antiqua" w:cstheme="minorHAnsi"/>
        </w:rPr>
        <w:instrText>ADDIN CSL_CITATION {"citationItems":[{"id":"ITEM-1","itemData":{"DOI":"10.1186/scrt50","PMID":"21371354","abstract":"The stem cell field in veterinary medicine continues to evolve rapidly both experimentally and clinically. Stem cells are most commonly used in clinical veterinary medicine in therapeutic applications for the treatment of musculoskeletal injuries in horses and dogs. New technologies of assisted reproduction are being developed to apply the properties of spermatogonial stem cells to preserve endangered animal species. The same methods can be used to generate transgenic animals for production of pharmaceuticals or for use as biomedical models. Small and large animal species serve as valuable models for preclinical evaluation of stem cell applications in human beings and in veterinary patients in areas such as spinal cord injury and myocardial infarction. However, these applications have not been implemented in the clinical treatment of veterinary patients. Reviews on the use of animal models for stem cell research have been published recently. Therefore, in this review, animal model research will be reviewed only in the context of supporting the current clinical application of stem cells in veterinary medicine.","author":[{"dropping-particle":"","family":"Fortier","given":"Lisa A","non-dropping-particle":"","parse-names":false,"suffix":""},{"dropping-particle":"","family":"Travis","given":"Alexander J","non-dropping-particle":"","parse-names":false,"suffix":""}],"container-title":"Stem Cell Research &amp; Therapy","id":"ITEM-1","issue":"1","issued":{"date-parts":[["2011"]]},"page":"9","title":"Stem cells in veterinary medicine","type":"article-journal","volume":"2"},"uris":["http://www.mendeley.com/documents/?uuid=235958e5-ba1b-34cd-aebd-13c093473adf"]}],"mendeley":{"formattedCitation":"&lt;sup&gt;[113]&lt;/sup&gt;","plainTextFormattedCitation":"[113]","previouslyFormattedCitation":"&lt;sup&gt;[113]&lt;/sup&gt;"},"properties":{"noteIndex":0},"schema":"https://github.com/citation-style-language/schema/raw/master/csl-citation.json"}</w:instrText>
      </w:r>
      <w:r w:rsidR="00A97555" w:rsidRPr="00000DD3">
        <w:rPr>
          <w:rFonts w:ascii="Book Antiqua" w:hAnsi="Book Antiqua" w:cstheme="minorHAnsi"/>
        </w:rPr>
        <w:fldChar w:fldCharType="separate"/>
      </w:r>
      <w:r w:rsidR="00F818F3" w:rsidRPr="00000DD3">
        <w:rPr>
          <w:rFonts w:ascii="Book Antiqua" w:hAnsi="Book Antiqua" w:cstheme="minorHAnsi"/>
          <w:noProof/>
          <w:vertAlign w:val="superscript"/>
        </w:rPr>
        <w:t>[113]</w:t>
      </w:r>
      <w:r w:rsidR="00A97555" w:rsidRPr="00000DD3">
        <w:rPr>
          <w:rFonts w:ascii="Book Antiqua" w:hAnsi="Book Antiqua" w:cstheme="minorHAnsi"/>
        </w:rPr>
        <w:fldChar w:fldCharType="end"/>
      </w:r>
      <w:r w:rsidR="00A97555" w:rsidRPr="00000DD3">
        <w:rPr>
          <w:rFonts w:ascii="Book Antiqua" w:hAnsi="Book Antiqua" w:cstheme="minorHAnsi"/>
        </w:rPr>
        <w:t xml:space="preserve">. </w:t>
      </w:r>
      <w:r w:rsidR="005108A0" w:rsidRPr="00000DD3">
        <w:rPr>
          <w:rFonts w:ascii="Book Antiqua" w:hAnsi="Book Antiqua" w:cstheme="minorHAnsi"/>
        </w:rPr>
        <w:t xml:space="preserve">Regulations and guidelines for the use of MSCs in veterinary medicine are still urgently required. </w:t>
      </w:r>
      <w:r w:rsidR="00E26B9A" w:rsidRPr="00000DD3">
        <w:rPr>
          <w:rFonts w:ascii="Book Antiqua" w:hAnsi="Book Antiqua" w:cstheme="minorHAnsi"/>
        </w:rPr>
        <w:t>In addition,</w:t>
      </w:r>
      <w:r w:rsidR="00A97555" w:rsidRPr="00000DD3">
        <w:rPr>
          <w:rFonts w:ascii="Book Antiqua" w:hAnsi="Book Antiqua" w:cstheme="minorHAnsi"/>
        </w:rPr>
        <w:t xml:space="preserve"> dogs cannot </w:t>
      </w:r>
      <w:r w:rsidR="00E26B9A" w:rsidRPr="00000DD3">
        <w:rPr>
          <w:rFonts w:ascii="Book Antiqua" w:hAnsi="Book Antiqua" w:cstheme="minorHAnsi"/>
        </w:rPr>
        <w:t xml:space="preserve">communicate the </w:t>
      </w:r>
      <w:r w:rsidR="00A97555" w:rsidRPr="00000DD3">
        <w:rPr>
          <w:rFonts w:ascii="Book Antiqua" w:hAnsi="Book Antiqua" w:cstheme="minorHAnsi"/>
        </w:rPr>
        <w:t xml:space="preserve">presence or degree of pain in diagnostic or therapeutic effect measurement phases, </w:t>
      </w:r>
      <w:r w:rsidR="00E26B9A" w:rsidRPr="00000DD3">
        <w:rPr>
          <w:rFonts w:ascii="Book Antiqua" w:hAnsi="Book Antiqua" w:cstheme="minorHAnsi"/>
        </w:rPr>
        <w:t xml:space="preserve">so </w:t>
      </w:r>
      <w:r w:rsidR="00A97555" w:rsidRPr="00000DD3">
        <w:rPr>
          <w:rFonts w:ascii="Book Antiqua" w:hAnsi="Book Antiqua" w:cstheme="minorHAnsi"/>
        </w:rPr>
        <w:t xml:space="preserve">caution is required in interpreting the results of studies </w:t>
      </w:r>
      <w:r w:rsidR="00E26B9A" w:rsidRPr="00000DD3">
        <w:rPr>
          <w:rFonts w:ascii="Book Antiqua" w:hAnsi="Book Antiqua" w:cstheme="minorHAnsi"/>
        </w:rPr>
        <w:t xml:space="preserve">using </w:t>
      </w:r>
      <w:r w:rsidR="00A97555" w:rsidRPr="00000DD3">
        <w:rPr>
          <w:rFonts w:ascii="Book Antiqua" w:hAnsi="Book Antiqua" w:cstheme="minorHAnsi"/>
        </w:rPr>
        <w:t xml:space="preserve">veterinary MSCs. </w:t>
      </w:r>
    </w:p>
    <w:p w14:paraId="38C1BB28" w14:textId="72E3963E" w:rsidR="007A0101" w:rsidRPr="00000DD3" w:rsidRDefault="00A97555" w:rsidP="00116D17">
      <w:pPr>
        <w:spacing w:line="360" w:lineRule="auto"/>
        <w:ind w:firstLineChars="100" w:firstLine="240"/>
        <w:jc w:val="both"/>
        <w:rPr>
          <w:rFonts w:ascii="Book Antiqua" w:hAnsi="Book Antiqua" w:cstheme="minorHAnsi"/>
        </w:rPr>
      </w:pPr>
      <w:r w:rsidRPr="00000DD3">
        <w:rPr>
          <w:rFonts w:ascii="Book Antiqua" w:hAnsi="Book Antiqua" w:cstheme="minorHAnsi"/>
        </w:rPr>
        <w:t>In stifle joints, meniscus damage is also known to induce and progress cartilaginous damage in dogs and humans</w:t>
      </w:r>
      <w:r w:rsidRPr="00000DD3">
        <w:rPr>
          <w:rFonts w:ascii="Book Antiqua" w:hAnsi="Book Antiqua" w:cstheme="minorHAnsi"/>
        </w:rPr>
        <w:fldChar w:fldCharType="begin" w:fldLock="1"/>
      </w:r>
      <w:r w:rsidR="00AB78A8" w:rsidRPr="00000DD3">
        <w:rPr>
          <w:rFonts w:ascii="Book Antiqua" w:hAnsi="Book Antiqua" w:cstheme="minorHAnsi"/>
        </w:rPr>
        <w:instrText>ADDIN CSL_CITATION {"citationItems":[{"id":"ITEM-1","itemData":{"DOI":"10.2174/1874325001610010690","ISBN":"1874-3250","ISSN":"1874-3250","PMID":"28144379","abstract":"BACKGROUND: The predictable outcome of the anterior cruciate ligament transection (ACLT) canine model, and the similarity to naturally occurring osteoarthritis (OA) in humans, provide a translatable method for studying OA. Still, evidence of direct meniscus-induced cartilaginous damage has not been identified, and gross-anatomical blinded scoring of early-stage OA has not been performed. OBJECTIVE: A gross anatomical observation and statistical analysis of OA progression to determine meniscus induced cartilaginous damage, to measure the macroscopic progression of OA, and to address matters involving arthroscopic and surgical procedures of the knee. METHOD: Unblinded assessment and blinded scoring of meniscal, tibial, femoral, and patellar damage were performed for control and at four time points following unilateral ACLT: 3-week (N=4), 8-week (N=4), 12-week (N=5), and 25-week (N=4). Mixed-model statistics illustrates damage (score) progression; Wilcoxon rank-sum tests compared time-point scores; and Wilcoxon signed-rank tests compared ACLT and contralateral scores, and meniscus and tibia scores. RESULT: Damage was manifest first on the posterior aspect of the medial meniscus and subsequently on the tibia and femur, implying meniscal damage can precede, coincide with, and aggravate cartilage damage. Damage extent varied chronologically and was dependent upon the joint component. Meniscal damage was evident at 3 weeks and progressed through 25-weeks. Meniscal loose bodies corresponded to tibial cartilage damage location and extent through 12 weeks, followed by cartilage repair activity after complete meniscal degeneration. CONCLUSION: This study provides additional information for understanding OA progression, identifying OA biomarkers, and arthroscopic and meniscectomy procedures.","author":[{"dropping-particle":"","family":"Kahn","given":"David","non-dropping-particle":"","parse-names":false,"suffix":""},{"dropping-particle":"","family":"Mittelstaedt","given":"Daniel","non-dropping-particle":"","parse-names":false,"suffix":""},{"dropping-particle":"","family":"Matyas","given":"John","non-dropping-particle":"","parse-names":false,"suffix":""},{"dropping-particle":"","family":"Qu","given":"Xiangui","non-dropping-particle":"","parse-names":false,"suffix":""},{"dropping-particle":"","family":"Lee","given":"Ji Hyun","non-dropping-particle":"","parse-names":false,"suffix":""},{"dropping-particle":"","family":"Badar","given":"Farid","non-dropping-particle":"","parse-names":false,"suffix":""},{"dropping-particle":"","family":"Les","given":"Clifford","non-dropping-particle":"","parse-names":false,"suffix":""},{"dropping-particle":"","family":"Zhuang","given":"Zhiguo","non-dropping-particle":"","parse-names":false,"suffix":""},{"dropping-particle":"","family":"Xia","given":"Yang","non-dropping-particle":"","parse-names":false,"suffix":""}],"container-title":"The Open Orthopaedics Journal","id":"ITEM-1","issued":{"date-parts":[["2016"]]},"page":"690-705","title":"Meniscus induced cartilaginous damage and non-linear gross anatomical progression of early-stage osteoarthritis in a canine model","type":"article-journal","volume":"10"},"uris":["http://www.mendeley.com/documents/?uuid=f6057135-45b6-3bae-9547-4cd2357369ff"]},{"id":"ITEM-2","itemData":{"DOI":"10.1111/vsu.12961","ISSN":"01613499","PMID":"30242858","abstract":"OBJECTIVE To describe articular cartilage (AC) lesions associated with complete lateral meniscal tears in dogs. STUDY DESIGN Observational series. ANIMALS Seventeen dogs with arthroscopic evidence of a complete lateral meniscal tear and associated AC lesions. METHODS Medical records of dogs with arthroscopic evidence of complete lateral meniscal tear and associated AC lesions between March 2006 and December 2017 were examined for arthroscopic findings. RESULTS The cranial cruciate ligament (CrCL) was intact in 11 of 17 dogs, partially ruptured but competent in 4 of 17 dogs, and completely ruptured in 2 of 17 dogs. All dogs had grossly normal caudal cruciate ligament, medial meniscus, and AC of the medial compartment. In each dog, a complete radial tear of the caudal body of the lateral meniscus was associated with degenerative osteoarthritis (OA) of the lateral compartment of the stifle. The Outerbridge score of the lateral tibial condyle and lateral femoral condyle was 5 of 5 in 15 dogs, 3 of 5 in 1 dog, and 4 of 5 in 1 dog. CONCLUSION Dogs with complete tears of the lateral meniscus developed degenerative OA of the lateral compartment of the stifle leading to AC loss and clinical dysfunction. CLINICAL SIGNIFICANCE Complete lateral meniscal tears may occur as isolated injuries in dogs with a functional CrCL.","author":[{"dropping-particle":"","family":"Krier","given":"Elizabeth M.","non-dropping-particle":"","parse-names":false,"suffix":""},{"dropping-particle":"","family":"Johnson","given":"Tiffany A.","non-dropping-particle":"","parse-names":false,"suffix":""},{"dropping-particle":"","family":"Breiteneicher","given":"Adam H.","non-dropping-particle":"","parse-names":false,"suffix":""},{"dropping-particle":"","family":"Peycke","given":"Laura E.","non-dropping-particle":"","parse-names":false,"suffix":""},{"dropping-particle":"","family":"Hulse","given":"Don A.","non-dropping-particle":"","parse-names":false,"suffix":""}],"container-title":"Veterinary Surgery","id":"ITEM-2","issue":"7","issued":{"date-parts":[["2018","10"]]},"page":"958-962","title":"Articular cartilage lesions associated with complete lateral meniscal tears in the dog","type":"article-journal","volume":"47"},"uris":["http://www.mendeley.com/documents/?uuid=3a839cc7-89bb-3788-85de-3fe1f61fe824"]},{"id":"ITEM-3","itemData":{"DOI":"10.1016/j.joca.2017.11.017","ISSN":"10634584","PMID":"29427724","author":[{"dropping-particle":"","family":"Hart","given":"H.F.","non-dropping-particle":"","parse-names":false,"suffix":""},{"dropping-particle":"","family":"Crossley","given":"K.M.","non-dropping-particle":"","parse-names":false,"suffix":""},{"dropping-particle":"","family":"Felson","given":"D.","non-dropping-particle":"","parse-names":false,"suffix":""},{"dropping-particle":"","family":"Jarraya","given":"M.","non-dropping-particle":"","parse-names":false,"suffix":""},{"dropping-particle":"","family":"Guermazi","given":"A.","non-dropping-particle":"","parse-names":false,"suffix":""},{"dropping-particle":"","family":"Roemer","given":"F.","non-dropping-particle":"","parse-names":false,"suffix":""},{"dropping-particle":"","family":"Lewis","given":"C.E.","non-dropping-particle":"","parse-names":false,"suffix":""},{"dropping-particle":"","family":"Torner","given":"J.","non-dropping-particle":"","parse-names":false,"suffix":""},{"dropping-particle":"","family":"Nevitt","given":"M.","non-dropping-particle":"","parse-names":false,"suffix":""},{"dropping-particle":"","family":"Stefanik","given":"J.J.","non-dropping-particle":"","parse-names":false,"suffix":""}],"container-title":"Osteoarthritis and Cartilage","id":"ITEM-3","issue":"7","issued":{"date-parts":[["2018"]]},"page":"912-919","publisher":"Elsevier Ltd","title":"Relation of meniscus pathology to prevalence and worsening of patellofemoral joint osteoarthritis: the Multicenter Osteoarthritis Study","type":"article-journal","volume":"26"},"uris":["http://www.mendeley.com/documents/?uuid=c1c4ffa0-3488-4ef8-802a-eead76785a4f"]}],"mendeley":{"formattedCitation":"&lt;sup&gt;[114–116]&lt;/sup&gt;","plainTextFormattedCitation":"[114–116]","previouslyFormattedCitation":"&lt;sup&gt;[114–116]&lt;/sup&gt;"},"properties":{"noteIndex":0},"schema":"https://github.com/citation-style-language/schema/raw/master/csl-citation.json"}</w:instrText>
      </w:r>
      <w:r w:rsidRPr="00000DD3">
        <w:rPr>
          <w:rFonts w:ascii="Book Antiqua" w:hAnsi="Book Antiqua" w:cstheme="minorHAnsi"/>
        </w:rPr>
        <w:fldChar w:fldCharType="separate"/>
      </w:r>
      <w:r w:rsidR="00F818F3" w:rsidRPr="00000DD3">
        <w:rPr>
          <w:rFonts w:ascii="Book Antiqua" w:hAnsi="Book Antiqua" w:cstheme="minorHAnsi"/>
          <w:noProof/>
          <w:vertAlign w:val="superscript"/>
        </w:rPr>
        <w:t>[114–116]</w:t>
      </w:r>
      <w:r w:rsidRPr="00000DD3">
        <w:rPr>
          <w:rFonts w:ascii="Book Antiqua" w:hAnsi="Book Antiqua" w:cstheme="minorHAnsi"/>
        </w:rPr>
        <w:fldChar w:fldCharType="end"/>
      </w:r>
      <w:r w:rsidRPr="00000DD3">
        <w:rPr>
          <w:rFonts w:ascii="Book Antiqua" w:hAnsi="Book Antiqua" w:cstheme="minorHAnsi"/>
        </w:rPr>
        <w:t xml:space="preserve">, and the meniscal tear is one of the </w:t>
      </w:r>
      <w:r w:rsidR="00FB1D5C" w:rsidRPr="00000DD3">
        <w:rPr>
          <w:rFonts w:ascii="Book Antiqua" w:hAnsi="Book Antiqua" w:cstheme="minorHAnsi"/>
        </w:rPr>
        <w:t xml:space="preserve">most </w:t>
      </w:r>
      <w:r w:rsidRPr="00000DD3">
        <w:rPr>
          <w:rFonts w:ascii="Book Antiqua" w:hAnsi="Book Antiqua" w:cstheme="minorHAnsi"/>
        </w:rPr>
        <w:t xml:space="preserve">prevalent </w:t>
      </w:r>
      <w:r w:rsidR="00FB1D5C" w:rsidRPr="00000DD3">
        <w:rPr>
          <w:rFonts w:ascii="Book Antiqua" w:hAnsi="Book Antiqua" w:cstheme="minorHAnsi"/>
        </w:rPr>
        <w:t xml:space="preserve">injuries </w:t>
      </w:r>
      <w:r w:rsidRPr="00000DD3">
        <w:rPr>
          <w:rFonts w:ascii="Book Antiqua" w:hAnsi="Book Antiqua" w:cstheme="minorHAnsi"/>
        </w:rPr>
        <w:t>in the stifle joint</w:t>
      </w:r>
      <w:r w:rsidRPr="00000DD3">
        <w:rPr>
          <w:rFonts w:ascii="Book Antiqua" w:hAnsi="Book Antiqua" w:cstheme="minorHAnsi"/>
        </w:rPr>
        <w:fldChar w:fldCharType="begin" w:fldLock="1"/>
      </w:r>
      <w:r w:rsidR="00E92652" w:rsidRPr="00000DD3">
        <w:rPr>
          <w:rFonts w:ascii="Book Antiqua" w:hAnsi="Book Antiqua" w:cstheme="minorHAnsi"/>
        </w:rPr>
        <w:instrText>ADDIN CSL_CITATION {"citationItems":[{"id":"ITEM-1","itemData":{"DOI":"10.1111/vsu.12961","ISSN":"01613499","PMID":"30242858","abstract":"OBJECTIVE To describe articular cartilage (AC) lesions associated with complete lateral meniscal tears in dogs. STUDY DESIGN Observational series. ANIMALS Seventeen dogs with arthroscopic evidence of a complete lateral meniscal tear and associated AC lesions. METHODS Medical records of dogs with arthroscopic evidence of complete lateral meniscal tear and associated AC lesions between March 2006 and December 2017 were examined for arthroscopic findings. RESULTS The cranial cruciate ligament (CrCL) was intact in 11 of 17 dogs, partially ruptured but competent in 4 of 17 dogs, and completely ruptured in 2 of 17 dogs. All dogs had grossly normal caudal cruciate ligament, medial meniscus, and AC of the medial compartment. In each dog, a complete radial tear of the caudal body of the lateral meniscus was associated with degenerative osteoarthritis (OA) of the lateral compartment of the stifle. The Outerbridge score of the lateral tibial condyle and lateral femoral condyle was 5 of 5 in 15 dogs, 3 of 5 in 1 dog, and 4 of 5 in 1 dog. CONCLUSION Dogs with complete tears of the lateral meniscus developed degenerative OA of the lateral compartment of the stifle leading to AC loss and clinical dysfunction. CLINICAL SIGNIFICANCE Complete lateral meniscal tears may occur as isolated injuries in dogs with a functional CrCL.","author":[{"dropping-particle":"","family":"Krier","given":"Elizabeth M.","non-dropping-particle":"","parse-names":false,"suffix":""},{"dropping-particle":"","family":"Johnson","given":"Tiffany A.","non-dropping-particle":"","parse-names":false,"suffix":""},{"dropping-particle":"","family":"Breiteneicher","given":"Adam H.","non-dropping-particle":"","parse-names":false,"suffix":""},{"dropping-particle":"","family":"Peycke","given":"Laura E.","non-dropping-particle":"","parse-names":false,"suffix":""},{"dropping-particle":"","family":"Hulse","given":"Don A.","non-dropping-particle":"","parse-names":false,"suffix":""}],"container-title":"Veterinary Surgery","id":"ITEM-1","issue":"7","issued":{"date-parts":[["2018","10"]]},"page":"958-962","title":"Articular cartilage lesions associated with complete lateral meniscal tears in the dog","type":"article-journal","volume":"47"},"uris":["http://www.mendeley.com/documents/?uuid=3a839cc7-89bb-3788-85de-3fe1f61fe824"]},{"id":"ITEM-2","itemData":{"DOI":"10.1016/j.jos.2018.04.003","ISSN":"09492658","PMID":"29724468","abstract":"BACKGROUND Meniscus surgery is the most commonly performed orthopedic surgery, and despite recent emphasis on saving the meniscus, the current status of meniscus surgeries is little known in many countries, including Japan. The National Database of Health Insurance Claims and Specific Health Checkups of Japan and the Statistics of Medical Care Activities in Public Health Insurance track meniscus surgeries through health insurance claims. The National Database provides the numbers for 2014 and 2015, and the Statistics of Medical Care Activities provides the numbers from June 2011 to June 2016. Our aim was to analyze isolated meniscus surgery numbers and meniscus repair ratios by age group based on the National Database and evaluate trends of meniscus repair ratios for the latest six years from the Statistics of Medical Care Activities. METHODS Meniscus surgeries by age group were counted from the National Database for 2014-2015, and meniscus repair ratios (meniscus repairs/meniscus surgeries) were calculated. The numbers were also counted from the Statistics of Medical Care Activities in 2011-2016. For statistical analysis of annual trends of meniscus repair ratios, the Cochran-Armitage trend test was used. Meniscus surgeries with concomitant knee ligament surgeries were excluded. RESULTS According to the National Database, isolated meniscus surgeries totaled 34,966 in 2015, with peak ages of patients in their late teens and 60s. The meniscus repair ratio was 19% in 2014 and 24% in 2015. According to the Statistics of Medical Care Activities, the meniscus repair ratio was 9% in 2011 and significantly increased to 25% in 2016 (p = 0.0008). The ratio also increased significantly in each age group between the early 20s and late 70s. CONCLUSIONS Approximately 35,000 meniscus surgeries are performed in Japan annually, with peak ages in the late teens and 60s. The number of meniscus repairs has increased over the past six years.","author":[{"dropping-particle":"","family":"Katano","given":"Hisako","non-dropping-particle":"","parse-names":false,"suffix":""},{"dropping-particle":"","family":"Koga","given":"Hideyuki","non-dropping-particle":"","parse-names":false,"suffix":""},{"dropping-particle":"","family":"Ozeki","given":"Nobutake","non-dropping-particle":"","parse-names":false,"suffix":""},{"dropping-particle":"","family":"Otabe","given":"Koji","non-dropping-particle":"","parse-names":false,"suffix":""},{"dropping-particle":"","family":"Mizuno","given":"Mitsuru","non-dropping-particle":"","parse-names":false,"suffix":""},{"dropping-particle":"","family":"Tomita","given":"Makoto","non-dropping-particle":"","parse-names":false,"suffix":""},{"dropping-particle":"","family":"Muneta","given":"Takeshi","non-dropping-particle":"","parse-names":false,"suffix":""},{"dropping-particle":"","family":"Sekiya","given":"Ichiro","non-dropping-particle":"","parse-names":false,"suffix":""}],"container-title":"Journal of Orthopaedic Science","id":"ITEM-2","issue":"4","issued":{"date-parts":[["2018","7"]]},"page":"676-681","title":"Trends in isolated meniscus repair and meniscectomy in Japan, 2011–2016","type":"article-journal","volume":"23"},"uris":["http://www.mendeley.com/documents/?uuid=19b47fa1-0933-37fb-aaaa-6ad30cfdaf39"]}],"mendeley":{"formattedCitation":"&lt;sup&gt;[115,117]&lt;/sup&gt;","plainTextFormattedCitation":"[115,117]","previouslyFormattedCitation":"&lt;sup&gt;[115,117]&lt;/sup&gt;"},"properties":{"noteIndex":0},"schema":"https://github.com/citation-style-language/schema/raw/master/csl-citation.json"}</w:instrText>
      </w:r>
      <w:r w:rsidRPr="00000DD3">
        <w:rPr>
          <w:rFonts w:ascii="Book Antiqua" w:hAnsi="Book Antiqua" w:cstheme="minorHAnsi"/>
        </w:rPr>
        <w:fldChar w:fldCharType="separate"/>
      </w:r>
      <w:r w:rsidR="00F818F3" w:rsidRPr="00000DD3">
        <w:rPr>
          <w:rFonts w:ascii="Book Antiqua" w:hAnsi="Book Antiqua" w:cstheme="minorHAnsi"/>
          <w:noProof/>
          <w:vertAlign w:val="superscript"/>
        </w:rPr>
        <w:t>[115,117]</w:t>
      </w:r>
      <w:r w:rsidRPr="00000DD3">
        <w:rPr>
          <w:rFonts w:ascii="Book Antiqua" w:hAnsi="Book Antiqua" w:cstheme="minorHAnsi"/>
        </w:rPr>
        <w:fldChar w:fldCharType="end"/>
      </w:r>
      <w:r w:rsidRPr="00000DD3">
        <w:rPr>
          <w:rFonts w:ascii="Book Antiqua" w:hAnsi="Book Antiqua" w:cstheme="minorHAnsi"/>
        </w:rPr>
        <w:t xml:space="preserve">. Therefore, </w:t>
      </w:r>
      <w:r w:rsidR="00FB1D5C" w:rsidRPr="00000DD3">
        <w:rPr>
          <w:rFonts w:ascii="Book Antiqua" w:hAnsi="Book Antiqua" w:cstheme="minorHAnsi"/>
        </w:rPr>
        <w:t xml:space="preserve">the </w:t>
      </w:r>
      <w:r w:rsidRPr="00000DD3">
        <w:rPr>
          <w:rFonts w:ascii="Book Antiqua" w:hAnsi="Book Antiqua" w:cstheme="minorHAnsi"/>
        </w:rPr>
        <w:t>effect</w:t>
      </w:r>
      <w:r w:rsidR="00FB1D5C" w:rsidRPr="00000DD3">
        <w:rPr>
          <w:rFonts w:ascii="Book Antiqua" w:hAnsi="Book Antiqua" w:cstheme="minorHAnsi"/>
        </w:rPr>
        <w:t>iveness</w:t>
      </w:r>
      <w:r w:rsidRPr="00000DD3">
        <w:rPr>
          <w:rFonts w:ascii="Book Antiqua" w:hAnsi="Book Antiqua" w:cstheme="minorHAnsi"/>
        </w:rPr>
        <w:t xml:space="preserve"> of </w:t>
      </w:r>
      <w:proofErr w:type="spellStart"/>
      <w:r w:rsidRPr="00000DD3">
        <w:rPr>
          <w:rFonts w:ascii="Book Antiqua" w:hAnsi="Book Antiqua" w:cstheme="minorHAnsi"/>
        </w:rPr>
        <w:t>cMSC</w:t>
      </w:r>
      <w:proofErr w:type="spellEnd"/>
      <w:r w:rsidR="00FB1D5C" w:rsidRPr="00000DD3">
        <w:rPr>
          <w:rFonts w:ascii="Book Antiqua" w:hAnsi="Book Antiqua" w:cstheme="minorHAnsi"/>
        </w:rPr>
        <w:t xml:space="preserve"> treatment</w:t>
      </w:r>
      <w:r w:rsidRPr="00000DD3">
        <w:rPr>
          <w:rFonts w:ascii="Book Antiqua" w:hAnsi="Book Antiqua" w:cstheme="minorHAnsi"/>
        </w:rPr>
        <w:t xml:space="preserve">s for </w:t>
      </w:r>
      <w:r w:rsidR="005108A0" w:rsidRPr="00000DD3">
        <w:rPr>
          <w:rFonts w:ascii="Book Antiqua" w:hAnsi="Book Antiqua" w:cstheme="minorHAnsi"/>
        </w:rPr>
        <w:t>meniscal injury</w:t>
      </w:r>
      <w:r w:rsidR="00A121E0" w:rsidRPr="00000DD3">
        <w:rPr>
          <w:rFonts w:ascii="Book Antiqua" w:hAnsi="Book Antiqua" w:cstheme="minorHAnsi"/>
        </w:rPr>
        <w:t xml:space="preserve"> </w:t>
      </w:r>
      <w:r w:rsidR="00FB1D5C" w:rsidRPr="00000DD3">
        <w:rPr>
          <w:rFonts w:ascii="Book Antiqua" w:hAnsi="Book Antiqua" w:cstheme="minorHAnsi"/>
        </w:rPr>
        <w:t>as well as</w:t>
      </w:r>
      <w:r w:rsidRPr="00000DD3">
        <w:rPr>
          <w:rFonts w:ascii="Book Antiqua" w:hAnsi="Book Antiqua" w:cstheme="minorHAnsi"/>
        </w:rPr>
        <w:t xml:space="preserve"> </w:t>
      </w:r>
      <w:r w:rsidR="00A121E0" w:rsidRPr="00000DD3">
        <w:rPr>
          <w:rFonts w:ascii="Book Antiqua" w:hAnsi="Book Antiqua" w:cstheme="minorHAnsi"/>
        </w:rPr>
        <w:t>chondral lesions</w:t>
      </w:r>
      <w:r w:rsidRPr="00000DD3">
        <w:rPr>
          <w:rFonts w:ascii="Book Antiqua" w:hAnsi="Book Antiqua" w:cstheme="minorHAnsi"/>
        </w:rPr>
        <w:t xml:space="preserve"> is expected to be elucidated in the future.</w:t>
      </w:r>
    </w:p>
    <w:p w14:paraId="59735614" w14:textId="77777777" w:rsidR="007A0101" w:rsidRPr="00000DD3" w:rsidRDefault="007A0101" w:rsidP="00874B98">
      <w:pPr>
        <w:spacing w:line="360" w:lineRule="auto"/>
        <w:jc w:val="both"/>
        <w:rPr>
          <w:rFonts w:ascii="Book Antiqua" w:hAnsi="Book Antiqua" w:cstheme="minorHAnsi"/>
          <w:b/>
        </w:rPr>
      </w:pPr>
    </w:p>
    <w:p w14:paraId="548E99E6" w14:textId="73B349C9" w:rsidR="007A0101" w:rsidRPr="00000DD3" w:rsidRDefault="00116D17" w:rsidP="00116D17">
      <w:pPr>
        <w:pStyle w:val="aa"/>
        <w:spacing w:line="360" w:lineRule="auto"/>
        <w:ind w:leftChars="0" w:left="0"/>
        <w:jc w:val="both"/>
        <w:rPr>
          <w:rFonts w:ascii="Book Antiqua" w:hAnsi="Book Antiqua" w:cstheme="minorHAnsi"/>
          <w:b/>
        </w:rPr>
      </w:pPr>
      <w:r w:rsidRPr="00000DD3">
        <w:rPr>
          <w:rFonts w:ascii="Book Antiqua" w:hAnsi="Book Antiqua" w:cstheme="minorHAnsi"/>
          <w:b/>
        </w:rPr>
        <w:t>CONCLUSION</w:t>
      </w:r>
    </w:p>
    <w:p w14:paraId="3893F099" w14:textId="018739A7" w:rsidR="00A54597" w:rsidRPr="00000DD3" w:rsidRDefault="00A62C2A" w:rsidP="00874B98">
      <w:pPr>
        <w:pStyle w:val="aa"/>
        <w:spacing w:line="360" w:lineRule="auto"/>
        <w:ind w:leftChars="0" w:left="0"/>
        <w:jc w:val="both"/>
        <w:rPr>
          <w:rFonts w:ascii="Book Antiqua" w:hAnsi="Book Antiqua" w:cstheme="minorHAnsi"/>
        </w:rPr>
      </w:pPr>
      <w:r w:rsidRPr="00000DD3">
        <w:rPr>
          <w:rFonts w:ascii="Book Antiqua" w:hAnsi="Book Antiqua" w:cstheme="minorHAnsi"/>
        </w:rPr>
        <w:t>In recent years</w:t>
      </w:r>
      <w:r w:rsidR="00FB1D5C" w:rsidRPr="00000DD3">
        <w:rPr>
          <w:rFonts w:ascii="Book Antiqua" w:hAnsi="Book Antiqua" w:cstheme="minorHAnsi"/>
        </w:rPr>
        <w:t>,</w:t>
      </w:r>
      <w:r w:rsidRPr="00000DD3">
        <w:rPr>
          <w:rFonts w:ascii="Book Antiqua" w:hAnsi="Book Antiqua" w:cstheme="minorHAnsi"/>
        </w:rPr>
        <w:t xml:space="preserve"> expectations</w:t>
      </w:r>
      <w:r w:rsidR="007A0101" w:rsidRPr="00000DD3">
        <w:rPr>
          <w:rFonts w:ascii="Book Antiqua" w:hAnsi="Book Antiqua" w:cstheme="minorHAnsi"/>
        </w:rPr>
        <w:t xml:space="preserve"> </w:t>
      </w:r>
      <w:r w:rsidR="00FB1D5C" w:rsidRPr="00000DD3">
        <w:rPr>
          <w:rFonts w:ascii="Book Antiqua" w:hAnsi="Book Antiqua" w:cstheme="minorHAnsi"/>
        </w:rPr>
        <w:t>have increased regarding</w:t>
      </w:r>
      <w:r w:rsidR="007A0101" w:rsidRPr="00000DD3">
        <w:rPr>
          <w:rFonts w:ascii="Book Antiqua" w:hAnsi="Book Antiqua" w:cstheme="minorHAnsi"/>
        </w:rPr>
        <w:t xml:space="preserve"> the use of MSCs in </w:t>
      </w:r>
      <w:r w:rsidR="00FB1D5C" w:rsidRPr="00000DD3">
        <w:rPr>
          <w:rFonts w:ascii="Book Antiqua" w:hAnsi="Book Antiqua" w:cstheme="minorHAnsi"/>
        </w:rPr>
        <w:t xml:space="preserve">both </w:t>
      </w:r>
      <w:r w:rsidR="007A0101" w:rsidRPr="00000DD3">
        <w:rPr>
          <w:rFonts w:ascii="Book Antiqua" w:hAnsi="Book Antiqua" w:cstheme="minorHAnsi"/>
        </w:rPr>
        <w:t>human and veterinary medicine, and m</w:t>
      </w:r>
      <w:r w:rsidRPr="00000DD3">
        <w:rPr>
          <w:rFonts w:ascii="Book Antiqua" w:hAnsi="Book Antiqua" w:cstheme="minorHAnsi"/>
        </w:rPr>
        <w:t>any</w:t>
      </w:r>
      <w:r w:rsidR="007A0101" w:rsidRPr="00000DD3">
        <w:rPr>
          <w:rFonts w:ascii="Book Antiqua" w:hAnsi="Book Antiqua" w:cstheme="minorHAnsi"/>
          <w:i/>
        </w:rPr>
        <w:t xml:space="preserve"> in vitro</w:t>
      </w:r>
      <w:r w:rsidR="007A0101" w:rsidRPr="00000DD3">
        <w:rPr>
          <w:rFonts w:ascii="Book Antiqua" w:hAnsi="Book Antiqua" w:cstheme="minorHAnsi"/>
        </w:rPr>
        <w:t xml:space="preserve"> or </w:t>
      </w:r>
      <w:r w:rsidR="007A0101" w:rsidRPr="00000DD3">
        <w:rPr>
          <w:rFonts w:ascii="Book Antiqua" w:hAnsi="Book Antiqua" w:cstheme="minorHAnsi"/>
          <w:i/>
        </w:rPr>
        <w:t>in vivo</w:t>
      </w:r>
      <w:r w:rsidRPr="00000DD3">
        <w:rPr>
          <w:rFonts w:ascii="Book Antiqua" w:hAnsi="Book Antiqua" w:cstheme="minorHAnsi"/>
        </w:rPr>
        <w:t xml:space="preserve"> studies support the therapeutic effect</w:t>
      </w:r>
      <w:r w:rsidR="00FB1D5C" w:rsidRPr="00000DD3">
        <w:rPr>
          <w:rFonts w:ascii="Book Antiqua" w:hAnsi="Book Antiqua" w:cstheme="minorHAnsi"/>
        </w:rPr>
        <w:t>s</w:t>
      </w:r>
      <w:r w:rsidRPr="00000DD3">
        <w:rPr>
          <w:rFonts w:ascii="Book Antiqua" w:hAnsi="Book Antiqua" w:cstheme="minorHAnsi"/>
        </w:rPr>
        <w:t xml:space="preserve"> of </w:t>
      </w:r>
      <w:proofErr w:type="spellStart"/>
      <w:r w:rsidRPr="00000DD3">
        <w:rPr>
          <w:rFonts w:ascii="Book Antiqua" w:hAnsi="Book Antiqua" w:cstheme="minorHAnsi"/>
        </w:rPr>
        <w:t>cMSCs</w:t>
      </w:r>
      <w:proofErr w:type="spellEnd"/>
      <w:r w:rsidRPr="00000DD3">
        <w:rPr>
          <w:rFonts w:ascii="Book Antiqua" w:hAnsi="Book Antiqua" w:cstheme="minorHAnsi"/>
        </w:rPr>
        <w:t xml:space="preserve"> for </w:t>
      </w:r>
      <w:r w:rsidR="00FB1D5C" w:rsidRPr="00000DD3">
        <w:rPr>
          <w:rFonts w:ascii="Book Antiqua" w:hAnsi="Book Antiqua" w:cstheme="minorHAnsi"/>
        </w:rPr>
        <w:t xml:space="preserve">treatment of </w:t>
      </w:r>
      <w:r w:rsidRPr="00000DD3">
        <w:rPr>
          <w:rFonts w:ascii="Book Antiqua" w:hAnsi="Book Antiqua" w:cstheme="minorHAnsi"/>
        </w:rPr>
        <w:t>cartilage lesions and OA</w:t>
      </w:r>
      <w:r w:rsidR="007A0101" w:rsidRPr="00000DD3">
        <w:rPr>
          <w:rFonts w:ascii="Book Antiqua" w:hAnsi="Book Antiqua" w:cstheme="minorHAnsi"/>
        </w:rPr>
        <w:t xml:space="preserve"> in dogs</w:t>
      </w:r>
      <w:r w:rsidRPr="00000DD3">
        <w:rPr>
          <w:rFonts w:ascii="Book Antiqua" w:hAnsi="Book Antiqua" w:cstheme="minorHAnsi"/>
        </w:rPr>
        <w:t xml:space="preserve">. </w:t>
      </w:r>
      <w:r w:rsidR="007A0101" w:rsidRPr="00000DD3">
        <w:rPr>
          <w:rFonts w:ascii="Book Antiqua" w:hAnsi="Book Antiqua" w:cstheme="minorHAnsi"/>
        </w:rPr>
        <w:t xml:space="preserve">Dogs can serve as clinical models as well as experimental animal models for human medicine, </w:t>
      </w:r>
      <w:r w:rsidR="00FB1D5C" w:rsidRPr="00000DD3">
        <w:rPr>
          <w:rFonts w:ascii="Book Antiqua" w:hAnsi="Book Antiqua" w:cstheme="minorHAnsi"/>
        </w:rPr>
        <w:t>while</w:t>
      </w:r>
      <w:r w:rsidR="007A0101" w:rsidRPr="00000DD3">
        <w:rPr>
          <w:rFonts w:ascii="Book Antiqua" w:hAnsi="Book Antiqua" w:cstheme="minorHAnsi"/>
        </w:rPr>
        <w:t xml:space="preserve"> they themselves</w:t>
      </w:r>
      <w:r w:rsidR="00FB1D5C" w:rsidRPr="00000DD3">
        <w:rPr>
          <w:rFonts w:ascii="Book Antiqua" w:hAnsi="Book Antiqua" w:cstheme="minorHAnsi"/>
        </w:rPr>
        <w:t>, as veterinary patients,</w:t>
      </w:r>
      <w:r w:rsidR="007A0101" w:rsidRPr="00000DD3">
        <w:rPr>
          <w:rFonts w:ascii="Book Antiqua" w:hAnsi="Book Antiqua" w:cstheme="minorHAnsi"/>
        </w:rPr>
        <w:t xml:space="preserve"> </w:t>
      </w:r>
      <w:r w:rsidR="00FB1D5C" w:rsidRPr="00000DD3">
        <w:rPr>
          <w:rFonts w:ascii="Book Antiqua" w:hAnsi="Book Antiqua" w:cstheme="minorHAnsi"/>
        </w:rPr>
        <w:t>require</w:t>
      </w:r>
      <w:r w:rsidR="007A0101" w:rsidRPr="00000DD3">
        <w:rPr>
          <w:rFonts w:ascii="Book Antiqua" w:hAnsi="Book Antiqua" w:cstheme="minorHAnsi"/>
        </w:rPr>
        <w:t xml:space="preserve"> effective treatment methods for cartilage lesions and OA. </w:t>
      </w:r>
      <w:r w:rsidR="00895E69" w:rsidRPr="00000DD3">
        <w:rPr>
          <w:rFonts w:ascii="Book Antiqua" w:hAnsi="Book Antiqua" w:cstheme="minorHAnsi"/>
        </w:rPr>
        <w:t xml:space="preserve">Thus, </w:t>
      </w:r>
      <w:r w:rsidR="00FB1D5C" w:rsidRPr="00000DD3">
        <w:rPr>
          <w:rFonts w:ascii="Book Antiqua" w:hAnsi="Book Antiqua" w:cstheme="minorHAnsi"/>
        </w:rPr>
        <w:t xml:space="preserve">despite </w:t>
      </w:r>
      <w:r w:rsidR="007A0101" w:rsidRPr="00000DD3">
        <w:rPr>
          <w:rFonts w:ascii="Book Antiqua" w:hAnsi="Book Antiqua" w:cstheme="minorHAnsi"/>
        </w:rPr>
        <w:t>several limitations and problems</w:t>
      </w:r>
      <w:r w:rsidR="00FB1D5C" w:rsidRPr="00000DD3">
        <w:rPr>
          <w:rFonts w:ascii="Book Antiqua" w:hAnsi="Book Antiqua" w:cstheme="minorHAnsi"/>
        </w:rPr>
        <w:t>,</w:t>
      </w:r>
      <w:r w:rsidR="007A0101" w:rsidRPr="00000DD3">
        <w:rPr>
          <w:rFonts w:ascii="Book Antiqua" w:hAnsi="Book Antiqua" w:cstheme="minorHAnsi"/>
        </w:rPr>
        <w:t xml:space="preserve"> including ethical issues and difficulty of effect measurement, studies</w:t>
      </w:r>
      <w:r w:rsidR="00A70187" w:rsidRPr="00000DD3">
        <w:rPr>
          <w:rFonts w:ascii="Book Antiqua" w:hAnsi="Book Antiqua" w:cstheme="minorHAnsi"/>
        </w:rPr>
        <w:t xml:space="preserve"> of MSCs</w:t>
      </w:r>
      <w:r w:rsidR="007A0101" w:rsidRPr="00000DD3">
        <w:rPr>
          <w:rFonts w:ascii="Book Antiqua" w:hAnsi="Book Antiqua" w:cstheme="minorHAnsi"/>
        </w:rPr>
        <w:t xml:space="preserve"> </w:t>
      </w:r>
      <w:r w:rsidR="00895E69" w:rsidRPr="00000DD3">
        <w:rPr>
          <w:rFonts w:ascii="Book Antiqua" w:hAnsi="Book Antiqua" w:cstheme="minorHAnsi"/>
        </w:rPr>
        <w:t>in dogs have great significance from various points of view.</w:t>
      </w:r>
      <w:r w:rsidR="00D3714A" w:rsidRPr="00000DD3">
        <w:rPr>
          <w:rFonts w:ascii="Book Antiqua" w:hAnsi="Book Antiqua" w:cstheme="minorHAnsi"/>
        </w:rPr>
        <w:t xml:space="preserve"> Regulations and guidelines for </w:t>
      </w:r>
      <w:proofErr w:type="spellStart"/>
      <w:r w:rsidR="00D3714A" w:rsidRPr="00000DD3">
        <w:rPr>
          <w:rFonts w:ascii="Book Antiqua" w:hAnsi="Book Antiqua" w:cstheme="minorHAnsi"/>
        </w:rPr>
        <w:t>cMSCs</w:t>
      </w:r>
      <w:proofErr w:type="spellEnd"/>
      <w:r w:rsidR="00D3714A" w:rsidRPr="00000DD3">
        <w:rPr>
          <w:rFonts w:ascii="Book Antiqua" w:hAnsi="Book Antiqua" w:cstheme="minorHAnsi"/>
        </w:rPr>
        <w:t xml:space="preserve"> should be established in the future, and standardized methods for </w:t>
      </w:r>
      <w:proofErr w:type="spellStart"/>
      <w:r w:rsidR="00D3714A" w:rsidRPr="00000DD3">
        <w:rPr>
          <w:rFonts w:ascii="Book Antiqua" w:hAnsi="Book Antiqua" w:cstheme="minorHAnsi"/>
        </w:rPr>
        <w:t>cMSC</w:t>
      </w:r>
      <w:proofErr w:type="spellEnd"/>
      <w:r w:rsidR="00D3714A" w:rsidRPr="00000DD3">
        <w:rPr>
          <w:rFonts w:ascii="Book Antiqua" w:hAnsi="Book Antiqua" w:cstheme="minorHAnsi"/>
        </w:rPr>
        <w:t xml:space="preserve"> usage would provide more unified and reliable results </w:t>
      </w:r>
      <w:r w:rsidR="00D82C25" w:rsidRPr="00000DD3">
        <w:rPr>
          <w:rFonts w:ascii="Book Antiqua" w:hAnsi="Book Antiqua" w:cstheme="minorHAnsi"/>
        </w:rPr>
        <w:t xml:space="preserve">from </w:t>
      </w:r>
      <w:r w:rsidR="00D3714A" w:rsidRPr="00000DD3">
        <w:rPr>
          <w:rFonts w:ascii="Book Antiqua" w:hAnsi="Book Antiqua" w:cstheme="minorHAnsi"/>
        </w:rPr>
        <w:t>the stu</w:t>
      </w:r>
      <w:r w:rsidR="00A70187" w:rsidRPr="00000DD3">
        <w:rPr>
          <w:rFonts w:ascii="Book Antiqua" w:hAnsi="Book Antiqua" w:cstheme="minorHAnsi"/>
        </w:rPr>
        <w:t>dies</w:t>
      </w:r>
      <w:r w:rsidR="00D3714A" w:rsidRPr="00000DD3">
        <w:rPr>
          <w:rFonts w:ascii="Book Antiqua" w:hAnsi="Book Antiqua" w:cstheme="minorHAnsi"/>
        </w:rPr>
        <w:t xml:space="preserve">. </w:t>
      </w:r>
      <w:r w:rsidR="00936B65" w:rsidRPr="00000DD3">
        <w:rPr>
          <w:rFonts w:ascii="Book Antiqua" w:hAnsi="Book Antiqua" w:cstheme="minorHAnsi"/>
        </w:rPr>
        <w:t>M</w:t>
      </w:r>
      <w:r w:rsidR="00D01224" w:rsidRPr="00000DD3">
        <w:rPr>
          <w:rFonts w:ascii="Book Antiqua" w:hAnsi="Book Antiqua" w:cstheme="minorHAnsi"/>
        </w:rPr>
        <w:t xml:space="preserve">ore data on </w:t>
      </w:r>
      <w:proofErr w:type="spellStart"/>
      <w:r w:rsidR="00D01224" w:rsidRPr="00000DD3">
        <w:rPr>
          <w:rFonts w:ascii="Book Antiqua" w:hAnsi="Book Antiqua" w:cstheme="minorHAnsi"/>
        </w:rPr>
        <w:t>cMSC</w:t>
      </w:r>
      <w:proofErr w:type="spellEnd"/>
      <w:r w:rsidR="00D01224" w:rsidRPr="00000DD3">
        <w:rPr>
          <w:rFonts w:ascii="Book Antiqua" w:hAnsi="Book Antiqua" w:cstheme="minorHAnsi"/>
        </w:rPr>
        <w:t xml:space="preserve"> characteristics and </w:t>
      </w:r>
      <w:r w:rsidR="00D82C25" w:rsidRPr="00000DD3">
        <w:rPr>
          <w:rFonts w:ascii="Book Antiqua" w:hAnsi="Book Antiqua" w:cstheme="minorHAnsi"/>
        </w:rPr>
        <w:t xml:space="preserve">their </w:t>
      </w:r>
      <w:r w:rsidR="00D01224" w:rsidRPr="00000DD3">
        <w:rPr>
          <w:rFonts w:ascii="Book Antiqua" w:hAnsi="Book Antiqua" w:cstheme="minorHAnsi"/>
        </w:rPr>
        <w:t xml:space="preserve">use </w:t>
      </w:r>
      <w:r w:rsidR="00D82C25" w:rsidRPr="00000DD3">
        <w:rPr>
          <w:rFonts w:ascii="Book Antiqua" w:hAnsi="Book Antiqua" w:cstheme="minorHAnsi"/>
        </w:rPr>
        <w:t xml:space="preserve">as an </w:t>
      </w:r>
      <w:r w:rsidR="00D01224" w:rsidRPr="00000DD3">
        <w:rPr>
          <w:rFonts w:ascii="Book Antiqua" w:hAnsi="Book Antiqua" w:cstheme="minorHAnsi"/>
        </w:rPr>
        <w:t>OA</w:t>
      </w:r>
      <w:r w:rsidR="00D82C25" w:rsidRPr="00000DD3">
        <w:rPr>
          <w:rFonts w:ascii="Book Antiqua" w:hAnsi="Book Antiqua" w:cstheme="minorHAnsi"/>
        </w:rPr>
        <w:t xml:space="preserve"> treatment</w:t>
      </w:r>
      <w:r w:rsidR="00895E69" w:rsidRPr="00000DD3">
        <w:rPr>
          <w:rFonts w:ascii="Book Antiqua" w:hAnsi="Book Antiqua" w:cstheme="minorHAnsi"/>
        </w:rPr>
        <w:t xml:space="preserve"> </w:t>
      </w:r>
      <w:r w:rsidR="00D01224" w:rsidRPr="00000DD3">
        <w:rPr>
          <w:rFonts w:ascii="Book Antiqua" w:hAnsi="Book Antiqua" w:cstheme="minorHAnsi"/>
        </w:rPr>
        <w:t xml:space="preserve">in dogs will be </w:t>
      </w:r>
      <w:r w:rsidR="00936B65" w:rsidRPr="00000DD3">
        <w:rPr>
          <w:rFonts w:ascii="Book Antiqua" w:hAnsi="Book Antiqua" w:cstheme="minorHAnsi"/>
        </w:rPr>
        <w:t>needed</w:t>
      </w:r>
      <w:r w:rsidR="00D82C25" w:rsidRPr="00000DD3">
        <w:rPr>
          <w:rFonts w:ascii="Book Antiqua" w:hAnsi="Book Antiqua" w:cstheme="minorHAnsi"/>
        </w:rPr>
        <w:t>,</w:t>
      </w:r>
      <w:r w:rsidR="00936B65" w:rsidRPr="00000DD3">
        <w:rPr>
          <w:rFonts w:ascii="Book Antiqua" w:hAnsi="Book Antiqua" w:cstheme="minorHAnsi"/>
        </w:rPr>
        <w:t xml:space="preserve"> and they must be meaningful for the </w:t>
      </w:r>
      <w:r w:rsidR="000068C9" w:rsidRPr="00000DD3">
        <w:rPr>
          <w:rFonts w:ascii="Book Antiqua" w:hAnsi="Book Antiqua" w:cstheme="minorHAnsi"/>
        </w:rPr>
        <w:t xml:space="preserve">improvement of </w:t>
      </w:r>
      <w:r w:rsidR="00936B65" w:rsidRPr="00000DD3">
        <w:rPr>
          <w:rFonts w:ascii="Book Antiqua" w:hAnsi="Book Antiqua" w:cstheme="minorHAnsi"/>
        </w:rPr>
        <w:t>cartilage repair</w:t>
      </w:r>
      <w:r w:rsidR="000068C9" w:rsidRPr="00000DD3">
        <w:rPr>
          <w:rFonts w:ascii="Book Antiqua" w:hAnsi="Book Antiqua" w:cstheme="minorHAnsi"/>
        </w:rPr>
        <w:t xml:space="preserve"> treatment</w:t>
      </w:r>
      <w:r w:rsidR="00936B65" w:rsidRPr="00000DD3">
        <w:rPr>
          <w:rFonts w:ascii="Book Antiqua" w:hAnsi="Book Antiqua" w:cstheme="minorHAnsi"/>
        </w:rPr>
        <w:t xml:space="preserve"> in</w:t>
      </w:r>
      <w:r w:rsidR="00D82C25" w:rsidRPr="00000DD3">
        <w:rPr>
          <w:rFonts w:ascii="Book Antiqua" w:hAnsi="Book Antiqua" w:cstheme="minorHAnsi"/>
        </w:rPr>
        <w:t xml:space="preserve"> both</w:t>
      </w:r>
      <w:r w:rsidR="00936B65" w:rsidRPr="00000DD3">
        <w:rPr>
          <w:rFonts w:ascii="Book Antiqua" w:hAnsi="Book Antiqua" w:cstheme="minorHAnsi"/>
        </w:rPr>
        <w:t xml:space="preserve"> human and veterinary medicine.</w:t>
      </w:r>
    </w:p>
    <w:p w14:paraId="3BBB7716" w14:textId="77777777" w:rsidR="00A54597" w:rsidRPr="00000DD3" w:rsidRDefault="00A54597" w:rsidP="00874B98">
      <w:pPr>
        <w:pStyle w:val="aa"/>
        <w:spacing w:line="360" w:lineRule="auto"/>
        <w:ind w:leftChars="0" w:left="0"/>
        <w:jc w:val="both"/>
        <w:rPr>
          <w:rFonts w:ascii="Book Antiqua" w:hAnsi="Book Antiqua" w:cstheme="minorHAnsi"/>
        </w:rPr>
      </w:pPr>
    </w:p>
    <w:p w14:paraId="5B46B035" w14:textId="0A39E4F2" w:rsidR="00A54597" w:rsidRPr="00000DD3" w:rsidRDefault="00116D17" w:rsidP="00116D17">
      <w:pPr>
        <w:pStyle w:val="aa"/>
        <w:spacing w:line="360" w:lineRule="auto"/>
        <w:ind w:leftChars="0" w:left="0"/>
        <w:jc w:val="both"/>
        <w:rPr>
          <w:rFonts w:ascii="Book Antiqua" w:hAnsi="Book Antiqua" w:cstheme="minorHAnsi"/>
          <w:b/>
        </w:rPr>
      </w:pPr>
      <w:r w:rsidRPr="00000DD3">
        <w:rPr>
          <w:rFonts w:ascii="Book Antiqua" w:hAnsi="Book Antiqua" w:cstheme="minorHAnsi"/>
          <w:b/>
        </w:rPr>
        <w:t>ACKNOWLEDGEMENTS</w:t>
      </w:r>
    </w:p>
    <w:p w14:paraId="318E9CCE" w14:textId="70B49861" w:rsidR="00E967AA" w:rsidRPr="00000DD3" w:rsidRDefault="00A54597" w:rsidP="00874B98">
      <w:pPr>
        <w:pStyle w:val="aa"/>
        <w:spacing w:line="360" w:lineRule="auto"/>
        <w:ind w:leftChars="0" w:left="0"/>
        <w:jc w:val="both"/>
        <w:rPr>
          <w:rFonts w:ascii="Book Antiqua" w:hAnsi="Book Antiqua" w:cstheme="minorHAnsi"/>
          <w:b/>
        </w:rPr>
      </w:pPr>
      <w:r w:rsidRPr="00000DD3">
        <w:rPr>
          <w:rFonts w:ascii="Book Antiqua" w:hAnsi="Book Antiqua" w:cstheme="minorHAnsi"/>
          <w:noProof/>
        </w:rPr>
        <w:t>We thank Ms. Ellen Roider for English editing.</w:t>
      </w:r>
      <w:r w:rsidR="000F73B3" w:rsidRPr="00000DD3">
        <w:rPr>
          <w:rFonts w:ascii="Book Antiqua" w:hAnsi="Book Antiqua" w:cstheme="minorHAnsi"/>
          <w:b/>
          <w:noProof/>
        </w:rPr>
        <w:br w:type="page"/>
      </w:r>
    </w:p>
    <w:p w14:paraId="47226A5F" w14:textId="2A6F62CB" w:rsidR="00116D17" w:rsidRPr="00000DD3" w:rsidRDefault="00116D17" w:rsidP="008D78C7">
      <w:pPr>
        <w:spacing w:line="360" w:lineRule="auto"/>
        <w:jc w:val="both"/>
        <w:rPr>
          <w:rFonts w:ascii="Book Antiqua" w:hAnsi="Book Antiqua" w:cstheme="minorHAnsi"/>
          <w:noProof/>
        </w:rPr>
      </w:pPr>
      <w:r w:rsidRPr="00000DD3">
        <w:rPr>
          <w:rFonts w:ascii="Book Antiqua" w:hAnsi="Book Antiqua" w:cstheme="minorHAnsi"/>
          <w:b/>
          <w:noProof/>
        </w:rPr>
        <w:t>REFERENCES</w:t>
      </w:r>
    </w:p>
    <w:p w14:paraId="3106698F"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 </w:t>
      </w:r>
      <w:r w:rsidRPr="00000DD3">
        <w:rPr>
          <w:rFonts w:ascii="Book Antiqua" w:hAnsi="Book Antiqua"/>
          <w:b/>
        </w:rPr>
        <w:t>Bonnevie ED</w:t>
      </w:r>
      <w:r w:rsidRPr="00000DD3">
        <w:rPr>
          <w:rFonts w:ascii="Book Antiqua" w:hAnsi="Book Antiqua"/>
        </w:rPr>
        <w:t xml:space="preserve">, </w:t>
      </w:r>
      <w:proofErr w:type="spellStart"/>
      <w:r w:rsidRPr="00000DD3">
        <w:rPr>
          <w:rFonts w:ascii="Book Antiqua" w:hAnsi="Book Antiqua"/>
        </w:rPr>
        <w:t>Galesso</w:t>
      </w:r>
      <w:proofErr w:type="spellEnd"/>
      <w:r w:rsidRPr="00000DD3">
        <w:rPr>
          <w:rFonts w:ascii="Book Antiqua" w:hAnsi="Book Antiqua"/>
        </w:rPr>
        <w:t xml:space="preserve"> D, </w:t>
      </w:r>
      <w:proofErr w:type="spellStart"/>
      <w:r w:rsidRPr="00000DD3">
        <w:rPr>
          <w:rFonts w:ascii="Book Antiqua" w:hAnsi="Book Antiqua"/>
        </w:rPr>
        <w:t>Secchieri</w:t>
      </w:r>
      <w:proofErr w:type="spellEnd"/>
      <w:r w:rsidRPr="00000DD3">
        <w:rPr>
          <w:rFonts w:ascii="Book Antiqua" w:hAnsi="Book Antiqua"/>
        </w:rPr>
        <w:t xml:space="preserve"> C, </w:t>
      </w:r>
      <w:proofErr w:type="spellStart"/>
      <w:r w:rsidRPr="00000DD3">
        <w:rPr>
          <w:rFonts w:ascii="Book Antiqua" w:hAnsi="Book Antiqua"/>
        </w:rPr>
        <w:t>Bonassar</w:t>
      </w:r>
      <w:proofErr w:type="spellEnd"/>
      <w:r w:rsidRPr="00000DD3">
        <w:rPr>
          <w:rFonts w:ascii="Book Antiqua" w:hAnsi="Book Antiqua"/>
        </w:rPr>
        <w:t xml:space="preserve"> LJ. Degradation alters the lubrication of articular cartilage by high viscosity, hyaluronic acid-based lubricants. </w:t>
      </w:r>
      <w:r w:rsidRPr="00000DD3">
        <w:rPr>
          <w:rFonts w:ascii="Book Antiqua" w:hAnsi="Book Antiqua"/>
          <w:i/>
        </w:rPr>
        <w:t xml:space="preserve">J </w:t>
      </w:r>
      <w:proofErr w:type="spellStart"/>
      <w:r w:rsidRPr="00000DD3">
        <w:rPr>
          <w:rFonts w:ascii="Book Antiqua" w:hAnsi="Book Antiqua"/>
          <w:i/>
        </w:rPr>
        <w:t>Orthop</w:t>
      </w:r>
      <w:proofErr w:type="spellEnd"/>
      <w:r w:rsidRPr="00000DD3">
        <w:rPr>
          <w:rFonts w:ascii="Book Antiqua" w:hAnsi="Book Antiqua"/>
          <w:i/>
        </w:rPr>
        <w:t xml:space="preserve"> Res</w:t>
      </w:r>
      <w:r w:rsidRPr="00000DD3">
        <w:rPr>
          <w:rFonts w:ascii="Book Antiqua" w:hAnsi="Book Antiqua"/>
        </w:rPr>
        <w:t xml:space="preserve"> 2018; </w:t>
      </w:r>
      <w:r w:rsidRPr="00000DD3">
        <w:rPr>
          <w:rFonts w:ascii="Book Antiqua" w:hAnsi="Book Antiqua"/>
          <w:b/>
        </w:rPr>
        <w:t>36</w:t>
      </w:r>
      <w:r w:rsidRPr="00000DD3">
        <w:rPr>
          <w:rFonts w:ascii="Book Antiqua" w:hAnsi="Book Antiqua"/>
        </w:rPr>
        <w:t>: 1456-1464 [PMID: 29068482 DOI: 10.1002/jor.23782]</w:t>
      </w:r>
    </w:p>
    <w:p w14:paraId="5E0C606C"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2 </w:t>
      </w:r>
      <w:proofErr w:type="spellStart"/>
      <w:r w:rsidRPr="00000DD3">
        <w:rPr>
          <w:rFonts w:ascii="Book Antiqua" w:hAnsi="Book Antiqua"/>
          <w:b/>
        </w:rPr>
        <w:t>Shaktivesh</w:t>
      </w:r>
      <w:proofErr w:type="spellEnd"/>
      <w:r w:rsidRPr="00000DD3">
        <w:rPr>
          <w:rFonts w:ascii="Book Antiqua" w:hAnsi="Book Antiqua"/>
        </w:rPr>
        <w:t xml:space="preserve">, </w:t>
      </w:r>
      <w:proofErr w:type="spellStart"/>
      <w:r w:rsidRPr="00000DD3">
        <w:rPr>
          <w:rFonts w:ascii="Book Antiqua" w:hAnsi="Book Antiqua"/>
        </w:rPr>
        <w:t>Malekipour</w:t>
      </w:r>
      <w:proofErr w:type="spellEnd"/>
      <w:r w:rsidRPr="00000DD3">
        <w:rPr>
          <w:rFonts w:ascii="Book Antiqua" w:hAnsi="Book Antiqua"/>
        </w:rPr>
        <w:t xml:space="preserve"> F, Lee PVS. Shock absorbing ability in healthy and damaged cartilage-bone under high-rate compression. </w:t>
      </w:r>
      <w:r w:rsidRPr="00000DD3">
        <w:rPr>
          <w:rFonts w:ascii="Book Antiqua" w:hAnsi="Book Antiqua"/>
          <w:i/>
        </w:rPr>
        <w:t xml:space="preserve">J Mech </w:t>
      </w:r>
      <w:proofErr w:type="spellStart"/>
      <w:r w:rsidRPr="00000DD3">
        <w:rPr>
          <w:rFonts w:ascii="Book Antiqua" w:hAnsi="Book Antiqua"/>
          <w:i/>
        </w:rPr>
        <w:t>Behav</w:t>
      </w:r>
      <w:proofErr w:type="spellEnd"/>
      <w:r w:rsidRPr="00000DD3">
        <w:rPr>
          <w:rFonts w:ascii="Book Antiqua" w:hAnsi="Book Antiqua"/>
          <w:i/>
        </w:rPr>
        <w:t xml:space="preserve"> Biomed Mater</w:t>
      </w:r>
      <w:r w:rsidRPr="00000DD3">
        <w:rPr>
          <w:rFonts w:ascii="Book Antiqua" w:hAnsi="Book Antiqua"/>
        </w:rPr>
        <w:t xml:space="preserve"> 2019; </w:t>
      </w:r>
      <w:r w:rsidRPr="00000DD3">
        <w:rPr>
          <w:rFonts w:ascii="Book Antiqua" w:hAnsi="Book Antiqua"/>
          <w:b/>
        </w:rPr>
        <w:t>90</w:t>
      </w:r>
      <w:r w:rsidRPr="00000DD3">
        <w:rPr>
          <w:rFonts w:ascii="Book Antiqua" w:hAnsi="Book Antiqua"/>
        </w:rPr>
        <w:t>: 388-394 [PMID: 30445365 DOI: 10.1016/j.jmbbm.2018.10.023]</w:t>
      </w:r>
    </w:p>
    <w:p w14:paraId="1BDC0865"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3 </w:t>
      </w:r>
      <w:proofErr w:type="spellStart"/>
      <w:r w:rsidRPr="00000DD3">
        <w:rPr>
          <w:rFonts w:ascii="Book Antiqua" w:hAnsi="Book Antiqua"/>
          <w:b/>
        </w:rPr>
        <w:t>Armiento</w:t>
      </w:r>
      <w:proofErr w:type="spellEnd"/>
      <w:r w:rsidRPr="00000DD3">
        <w:rPr>
          <w:rFonts w:ascii="Book Antiqua" w:hAnsi="Book Antiqua"/>
          <w:b/>
        </w:rPr>
        <w:t xml:space="preserve"> AR</w:t>
      </w:r>
      <w:r w:rsidRPr="00000DD3">
        <w:rPr>
          <w:rFonts w:ascii="Book Antiqua" w:hAnsi="Book Antiqua"/>
        </w:rPr>
        <w:t xml:space="preserve">, Stoddart MJ, </w:t>
      </w:r>
      <w:proofErr w:type="spellStart"/>
      <w:r w:rsidRPr="00000DD3">
        <w:rPr>
          <w:rFonts w:ascii="Book Antiqua" w:hAnsi="Book Antiqua"/>
        </w:rPr>
        <w:t>Alini</w:t>
      </w:r>
      <w:proofErr w:type="spellEnd"/>
      <w:r w:rsidRPr="00000DD3">
        <w:rPr>
          <w:rFonts w:ascii="Book Antiqua" w:hAnsi="Book Antiqua"/>
        </w:rPr>
        <w:t xml:space="preserve"> M, Eglin D. Biomaterials for articular cartilage tissue engineering: Learning from biology. </w:t>
      </w:r>
      <w:r w:rsidRPr="00000DD3">
        <w:rPr>
          <w:rFonts w:ascii="Book Antiqua" w:hAnsi="Book Antiqua"/>
          <w:i/>
        </w:rPr>
        <w:t xml:space="preserve">Acta </w:t>
      </w:r>
      <w:proofErr w:type="spellStart"/>
      <w:r w:rsidRPr="00000DD3">
        <w:rPr>
          <w:rFonts w:ascii="Book Antiqua" w:hAnsi="Book Antiqua"/>
          <w:i/>
        </w:rPr>
        <w:t>Biomater</w:t>
      </w:r>
      <w:proofErr w:type="spellEnd"/>
      <w:r w:rsidRPr="00000DD3">
        <w:rPr>
          <w:rFonts w:ascii="Book Antiqua" w:hAnsi="Book Antiqua"/>
        </w:rPr>
        <w:t xml:space="preserve"> 2018; </w:t>
      </w:r>
      <w:r w:rsidRPr="00000DD3">
        <w:rPr>
          <w:rFonts w:ascii="Book Antiqua" w:hAnsi="Book Antiqua"/>
          <w:b/>
        </w:rPr>
        <w:t>65</w:t>
      </w:r>
      <w:r w:rsidRPr="00000DD3">
        <w:rPr>
          <w:rFonts w:ascii="Book Antiqua" w:hAnsi="Book Antiqua"/>
        </w:rPr>
        <w:t>: 1-20 [PMID: 29128537 DOI: 10.1016/j.actbio.2017.11.021]</w:t>
      </w:r>
    </w:p>
    <w:p w14:paraId="633AD984"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4 </w:t>
      </w:r>
      <w:r w:rsidRPr="00000DD3">
        <w:rPr>
          <w:rFonts w:ascii="Book Antiqua" w:hAnsi="Book Antiqua"/>
          <w:b/>
        </w:rPr>
        <w:t>Lo Monaco M</w:t>
      </w:r>
      <w:r w:rsidRPr="00000DD3">
        <w:rPr>
          <w:rFonts w:ascii="Book Antiqua" w:hAnsi="Book Antiqua"/>
        </w:rPr>
        <w:t xml:space="preserve">, Merckx G, </w:t>
      </w:r>
      <w:proofErr w:type="spellStart"/>
      <w:r w:rsidRPr="00000DD3">
        <w:rPr>
          <w:rFonts w:ascii="Book Antiqua" w:hAnsi="Book Antiqua"/>
        </w:rPr>
        <w:t>Ratajczak</w:t>
      </w:r>
      <w:proofErr w:type="spellEnd"/>
      <w:r w:rsidRPr="00000DD3">
        <w:rPr>
          <w:rFonts w:ascii="Book Antiqua" w:hAnsi="Book Antiqua"/>
        </w:rPr>
        <w:t xml:space="preserve"> J, </w:t>
      </w:r>
      <w:proofErr w:type="spellStart"/>
      <w:r w:rsidRPr="00000DD3">
        <w:rPr>
          <w:rFonts w:ascii="Book Antiqua" w:hAnsi="Book Antiqua"/>
        </w:rPr>
        <w:t>Gervois</w:t>
      </w:r>
      <w:proofErr w:type="spellEnd"/>
      <w:r w:rsidRPr="00000DD3">
        <w:rPr>
          <w:rFonts w:ascii="Book Antiqua" w:hAnsi="Book Antiqua"/>
        </w:rPr>
        <w:t xml:space="preserve"> P, </w:t>
      </w:r>
      <w:proofErr w:type="spellStart"/>
      <w:r w:rsidRPr="00000DD3">
        <w:rPr>
          <w:rFonts w:ascii="Book Antiqua" w:hAnsi="Book Antiqua"/>
        </w:rPr>
        <w:t>Hilkens</w:t>
      </w:r>
      <w:proofErr w:type="spellEnd"/>
      <w:r w:rsidRPr="00000DD3">
        <w:rPr>
          <w:rFonts w:ascii="Book Antiqua" w:hAnsi="Book Antiqua"/>
        </w:rPr>
        <w:t xml:space="preserve"> P, Clegg P, </w:t>
      </w:r>
      <w:proofErr w:type="spellStart"/>
      <w:r w:rsidRPr="00000DD3">
        <w:rPr>
          <w:rFonts w:ascii="Book Antiqua" w:hAnsi="Book Antiqua"/>
        </w:rPr>
        <w:t>Bronckaers</w:t>
      </w:r>
      <w:proofErr w:type="spellEnd"/>
      <w:r w:rsidRPr="00000DD3">
        <w:rPr>
          <w:rFonts w:ascii="Book Antiqua" w:hAnsi="Book Antiqua"/>
        </w:rPr>
        <w:t xml:space="preserve"> A, </w:t>
      </w:r>
      <w:proofErr w:type="spellStart"/>
      <w:r w:rsidRPr="00000DD3">
        <w:rPr>
          <w:rFonts w:ascii="Book Antiqua" w:hAnsi="Book Antiqua"/>
        </w:rPr>
        <w:t>Vandeweerd</w:t>
      </w:r>
      <w:proofErr w:type="spellEnd"/>
      <w:r w:rsidRPr="00000DD3">
        <w:rPr>
          <w:rFonts w:ascii="Book Antiqua" w:hAnsi="Book Antiqua"/>
        </w:rPr>
        <w:t xml:space="preserve"> JM, </w:t>
      </w:r>
      <w:proofErr w:type="spellStart"/>
      <w:r w:rsidRPr="00000DD3">
        <w:rPr>
          <w:rFonts w:ascii="Book Antiqua" w:hAnsi="Book Antiqua"/>
        </w:rPr>
        <w:t>Lambrichts</w:t>
      </w:r>
      <w:proofErr w:type="spellEnd"/>
      <w:r w:rsidRPr="00000DD3">
        <w:rPr>
          <w:rFonts w:ascii="Book Antiqua" w:hAnsi="Book Antiqua"/>
        </w:rPr>
        <w:t xml:space="preserve"> I. Stem Cells for Cartilage Repair: Preclinical Studies and Insights in Translational Animal Models and Outcome Measures. </w:t>
      </w:r>
      <w:r w:rsidRPr="00000DD3">
        <w:rPr>
          <w:rFonts w:ascii="Book Antiqua" w:hAnsi="Book Antiqua"/>
          <w:i/>
        </w:rPr>
        <w:t>Stem Cells Int</w:t>
      </w:r>
      <w:r w:rsidRPr="00000DD3">
        <w:rPr>
          <w:rFonts w:ascii="Book Antiqua" w:hAnsi="Book Antiqua"/>
        </w:rPr>
        <w:t xml:space="preserve"> 2018; </w:t>
      </w:r>
      <w:r w:rsidRPr="00000DD3">
        <w:rPr>
          <w:rFonts w:ascii="Book Antiqua" w:hAnsi="Book Antiqua"/>
          <w:b/>
        </w:rPr>
        <w:t>2018</w:t>
      </w:r>
      <w:r w:rsidRPr="00000DD3">
        <w:rPr>
          <w:rFonts w:ascii="Book Antiqua" w:hAnsi="Book Antiqua"/>
        </w:rPr>
        <w:t>: 9079538 [PMID: 29535784 DOI: 10.1155/2018/9079538]</w:t>
      </w:r>
    </w:p>
    <w:p w14:paraId="63B77A16"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5 </w:t>
      </w:r>
      <w:proofErr w:type="spellStart"/>
      <w:r w:rsidRPr="00000DD3">
        <w:rPr>
          <w:rFonts w:ascii="Book Antiqua" w:hAnsi="Book Antiqua"/>
          <w:b/>
        </w:rPr>
        <w:t>Hunziker</w:t>
      </w:r>
      <w:proofErr w:type="spellEnd"/>
      <w:r w:rsidRPr="00000DD3">
        <w:rPr>
          <w:rFonts w:ascii="Book Antiqua" w:hAnsi="Book Antiqua"/>
          <w:b/>
        </w:rPr>
        <w:t xml:space="preserve"> EB</w:t>
      </w:r>
      <w:r w:rsidRPr="00000DD3">
        <w:rPr>
          <w:rFonts w:ascii="Book Antiqua" w:hAnsi="Book Antiqua"/>
        </w:rPr>
        <w:t xml:space="preserve">, </w:t>
      </w:r>
      <w:proofErr w:type="spellStart"/>
      <w:r w:rsidRPr="00000DD3">
        <w:rPr>
          <w:rFonts w:ascii="Book Antiqua" w:hAnsi="Book Antiqua"/>
        </w:rPr>
        <w:t>Lippuner</w:t>
      </w:r>
      <w:proofErr w:type="spellEnd"/>
      <w:r w:rsidRPr="00000DD3">
        <w:rPr>
          <w:rFonts w:ascii="Book Antiqua" w:hAnsi="Book Antiqua"/>
        </w:rPr>
        <w:t xml:space="preserve"> K, Keel MJ, </w:t>
      </w:r>
      <w:proofErr w:type="spellStart"/>
      <w:r w:rsidRPr="00000DD3">
        <w:rPr>
          <w:rFonts w:ascii="Book Antiqua" w:hAnsi="Book Antiqua"/>
        </w:rPr>
        <w:t>Shintani</w:t>
      </w:r>
      <w:proofErr w:type="spellEnd"/>
      <w:r w:rsidRPr="00000DD3">
        <w:rPr>
          <w:rFonts w:ascii="Book Antiqua" w:hAnsi="Book Antiqua"/>
        </w:rPr>
        <w:t xml:space="preserve"> N. An educational review of cartilage repair: precepts &amp;amp; practice--myths &amp;amp; misconceptions--progress &amp;amp; prospects. </w:t>
      </w:r>
      <w:r w:rsidRPr="00000DD3">
        <w:rPr>
          <w:rFonts w:ascii="Book Antiqua" w:hAnsi="Book Antiqua"/>
          <w:i/>
        </w:rPr>
        <w:t>Osteoarthritis Cartilage</w:t>
      </w:r>
      <w:r w:rsidRPr="00000DD3">
        <w:rPr>
          <w:rFonts w:ascii="Book Antiqua" w:hAnsi="Book Antiqua"/>
        </w:rPr>
        <w:t xml:space="preserve"> 2015; </w:t>
      </w:r>
      <w:r w:rsidRPr="00000DD3">
        <w:rPr>
          <w:rFonts w:ascii="Book Antiqua" w:hAnsi="Book Antiqua"/>
          <w:b/>
        </w:rPr>
        <w:t>23</w:t>
      </w:r>
      <w:r w:rsidRPr="00000DD3">
        <w:rPr>
          <w:rFonts w:ascii="Book Antiqua" w:hAnsi="Book Antiqua"/>
        </w:rPr>
        <w:t>: 334-350 [PMID: 25534362 DOI: 10.1016/j.joca.2014.12.011]</w:t>
      </w:r>
    </w:p>
    <w:p w14:paraId="10D395BB"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6 </w:t>
      </w:r>
      <w:proofErr w:type="spellStart"/>
      <w:r w:rsidRPr="00000DD3">
        <w:rPr>
          <w:rFonts w:ascii="Book Antiqua" w:hAnsi="Book Antiqua"/>
          <w:b/>
        </w:rPr>
        <w:t>Hootman</w:t>
      </w:r>
      <w:proofErr w:type="spellEnd"/>
      <w:r w:rsidRPr="00000DD3">
        <w:rPr>
          <w:rFonts w:ascii="Book Antiqua" w:hAnsi="Book Antiqua"/>
          <w:b/>
        </w:rPr>
        <w:t xml:space="preserve"> JM</w:t>
      </w:r>
      <w:r w:rsidRPr="00000DD3">
        <w:rPr>
          <w:rFonts w:ascii="Book Antiqua" w:hAnsi="Book Antiqua"/>
        </w:rPr>
        <w:t xml:space="preserve">, Helmick CG, Barbour KE, </w:t>
      </w:r>
      <w:proofErr w:type="spellStart"/>
      <w:r w:rsidRPr="00000DD3">
        <w:rPr>
          <w:rFonts w:ascii="Book Antiqua" w:hAnsi="Book Antiqua"/>
        </w:rPr>
        <w:t>Theis</w:t>
      </w:r>
      <w:proofErr w:type="spellEnd"/>
      <w:r w:rsidRPr="00000DD3">
        <w:rPr>
          <w:rFonts w:ascii="Book Antiqua" w:hAnsi="Book Antiqua"/>
        </w:rPr>
        <w:t xml:space="preserve"> KA, Boring MA. Updated Projected Prevalence of Self-Reported Doctor-Diagnosed Arthritis and Arthritis-Attributable Activity Limitation Among US Adults, 2015-2040. </w:t>
      </w:r>
      <w:r w:rsidRPr="00000DD3">
        <w:rPr>
          <w:rFonts w:ascii="Book Antiqua" w:hAnsi="Book Antiqua"/>
          <w:i/>
        </w:rPr>
        <w:t xml:space="preserve">Arthritis </w:t>
      </w:r>
      <w:proofErr w:type="spellStart"/>
      <w:r w:rsidRPr="00000DD3">
        <w:rPr>
          <w:rFonts w:ascii="Book Antiqua" w:hAnsi="Book Antiqua"/>
          <w:i/>
        </w:rPr>
        <w:t>Rheumatol</w:t>
      </w:r>
      <w:proofErr w:type="spellEnd"/>
      <w:r w:rsidRPr="00000DD3">
        <w:rPr>
          <w:rFonts w:ascii="Book Antiqua" w:hAnsi="Book Antiqua"/>
        </w:rPr>
        <w:t xml:space="preserve"> 2016; </w:t>
      </w:r>
      <w:r w:rsidRPr="00000DD3">
        <w:rPr>
          <w:rFonts w:ascii="Book Antiqua" w:hAnsi="Book Antiqua"/>
          <w:b/>
        </w:rPr>
        <w:t>68</w:t>
      </w:r>
      <w:r w:rsidRPr="00000DD3">
        <w:rPr>
          <w:rFonts w:ascii="Book Antiqua" w:hAnsi="Book Antiqua"/>
        </w:rPr>
        <w:t>: 1582-1587 [PMID: 27015600 DOI: 10.1002/art.39692]</w:t>
      </w:r>
    </w:p>
    <w:p w14:paraId="2023E474"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7 </w:t>
      </w:r>
      <w:r w:rsidRPr="00000DD3">
        <w:rPr>
          <w:rFonts w:ascii="Book Antiqua" w:hAnsi="Book Antiqua"/>
          <w:b/>
        </w:rPr>
        <w:t>Anderson KL</w:t>
      </w:r>
      <w:r w:rsidRPr="00000DD3">
        <w:rPr>
          <w:rFonts w:ascii="Book Antiqua" w:hAnsi="Book Antiqua"/>
        </w:rPr>
        <w:t xml:space="preserve">, O'Neill DG, </w:t>
      </w:r>
      <w:proofErr w:type="spellStart"/>
      <w:r w:rsidRPr="00000DD3">
        <w:rPr>
          <w:rFonts w:ascii="Book Antiqua" w:hAnsi="Book Antiqua"/>
        </w:rPr>
        <w:t>Brodbelt</w:t>
      </w:r>
      <w:proofErr w:type="spellEnd"/>
      <w:r w:rsidRPr="00000DD3">
        <w:rPr>
          <w:rFonts w:ascii="Book Antiqua" w:hAnsi="Book Antiqua"/>
        </w:rPr>
        <w:t xml:space="preserve"> DC, Church DB, </w:t>
      </w:r>
      <w:proofErr w:type="spellStart"/>
      <w:r w:rsidRPr="00000DD3">
        <w:rPr>
          <w:rFonts w:ascii="Book Antiqua" w:hAnsi="Book Antiqua"/>
        </w:rPr>
        <w:t>Meeson</w:t>
      </w:r>
      <w:proofErr w:type="spellEnd"/>
      <w:r w:rsidRPr="00000DD3">
        <w:rPr>
          <w:rFonts w:ascii="Book Antiqua" w:hAnsi="Book Antiqua"/>
        </w:rPr>
        <w:t xml:space="preserve"> RL, </w:t>
      </w:r>
      <w:proofErr w:type="spellStart"/>
      <w:r w:rsidRPr="00000DD3">
        <w:rPr>
          <w:rFonts w:ascii="Book Antiqua" w:hAnsi="Book Antiqua"/>
        </w:rPr>
        <w:t>Sargan</w:t>
      </w:r>
      <w:proofErr w:type="spellEnd"/>
      <w:r w:rsidRPr="00000DD3">
        <w:rPr>
          <w:rFonts w:ascii="Book Antiqua" w:hAnsi="Book Antiqua"/>
        </w:rPr>
        <w:t xml:space="preserve"> D, Summers JF, </w:t>
      </w:r>
      <w:proofErr w:type="spellStart"/>
      <w:r w:rsidRPr="00000DD3">
        <w:rPr>
          <w:rFonts w:ascii="Book Antiqua" w:hAnsi="Book Antiqua"/>
        </w:rPr>
        <w:t>Zulch</w:t>
      </w:r>
      <w:proofErr w:type="spellEnd"/>
      <w:r w:rsidRPr="00000DD3">
        <w:rPr>
          <w:rFonts w:ascii="Book Antiqua" w:hAnsi="Book Antiqua"/>
        </w:rPr>
        <w:t xml:space="preserve"> H, Collins LM. Prevalence, duration and risk factors for appendicular osteoarthritis in a UK dog population under primary veterinary care. </w:t>
      </w:r>
      <w:r w:rsidRPr="00000DD3">
        <w:rPr>
          <w:rFonts w:ascii="Book Antiqua" w:hAnsi="Book Antiqua"/>
          <w:i/>
        </w:rPr>
        <w:t>Sci Rep</w:t>
      </w:r>
      <w:r w:rsidRPr="00000DD3">
        <w:rPr>
          <w:rFonts w:ascii="Book Antiqua" w:hAnsi="Book Antiqua"/>
        </w:rPr>
        <w:t xml:space="preserve"> 2018; </w:t>
      </w:r>
      <w:r w:rsidRPr="00000DD3">
        <w:rPr>
          <w:rFonts w:ascii="Book Antiqua" w:hAnsi="Book Antiqua"/>
          <w:b/>
        </w:rPr>
        <w:t>8</w:t>
      </w:r>
      <w:r w:rsidRPr="00000DD3">
        <w:rPr>
          <w:rFonts w:ascii="Book Antiqua" w:hAnsi="Book Antiqua"/>
        </w:rPr>
        <w:t>: 5641 [PMID: 29618832 DOI: 10.1038/s41598-018-23940-z]</w:t>
      </w:r>
    </w:p>
    <w:p w14:paraId="1BFFEE7D" w14:textId="708251FF" w:rsidR="008D78C7" w:rsidRPr="00000DD3" w:rsidRDefault="008D78C7" w:rsidP="008D78C7">
      <w:pPr>
        <w:spacing w:line="360" w:lineRule="auto"/>
        <w:jc w:val="both"/>
        <w:rPr>
          <w:rFonts w:ascii="Book Antiqua" w:hAnsi="Book Antiqua"/>
        </w:rPr>
      </w:pPr>
      <w:r w:rsidRPr="00000DD3">
        <w:rPr>
          <w:rFonts w:ascii="Book Antiqua" w:hAnsi="Book Antiqua"/>
        </w:rPr>
        <w:t xml:space="preserve">8 </w:t>
      </w:r>
      <w:r w:rsidRPr="00000DD3">
        <w:rPr>
          <w:rFonts w:ascii="Book Antiqua" w:hAnsi="Book Antiqua"/>
          <w:b/>
        </w:rPr>
        <w:t>Orth P</w:t>
      </w:r>
      <w:r w:rsidRPr="00000DD3">
        <w:rPr>
          <w:rFonts w:ascii="Book Antiqua" w:hAnsi="Book Antiqua"/>
        </w:rPr>
        <w:t xml:space="preserve">, Gao L, </w:t>
      </w:r>
      <w:proofErr w:type="spellStart"/>
      <w:r w:rsidRPr="00000DD3">
        <w:rPr>
          <w:rFonts w:ascii="Book Antiqua" w:hAnsi="Book Antiqua"/>
        </w:rPr>
        <w:t>Madry</w:t>
      </w:r>
      <w:proofErr w:type="spellEnd"/>
      <w:r w:rsidRPr="00000DD3">
        <w:rPr>
          <w:rFonts w:ascii="Book Antiqua" w:hAnsi="Book Antiqua"/>
        </w:rPr>
        <w:t xml:space="preserve"> H. Microfracture for cartilage repair in the knee: a systematic review of the contemporary literature. </w:t>
      </w:r>
      <w:r w:rsidRPr="00000DD3">
        <w:rPr>
          <w:rFonts w:ascii="Book Antiqua" w:hAnsi="Book Antiqua"/>
          <w:i/>
        </w:rPr>
        <w:t xml:space="preserve">Knee Surg Sports </w:t>
      </w:r>
      <w:proofErr w:type="spellStart"/>
      <w:r w:rsidRPr="00000DD3">
        <w:rPr>
          <w:rFonts w:ascii="Book Antiqua" w:hAnsi="Book Antiqua"/>
          <w:i/>
        </w:rPr>
        <w:t>Traumatol</w:t>
      </w:r>
      <w:proofErr w:type="spellEnd"/>
      <w:r w:rsidRPr="00000DD3">
        <w:rPr>
          <w:rFonts w:ascii="Book Antiqua" w:hAnsi="Book Antiqua"/>
          <w:i/>
        </w:rPr>
        <w:t xml:space="preserve"> </w:t>
      </w:r>
      <w:proofErr w:type="spellStart"/>
      <w:r w:rsidRPr="00000DD3">
        <w:rPr>
          <w:rFonts w:ascii="Book Antiqua" w:hAnsi="Book Antiqua"/>
          <w:i/>
        </w:rPr>
        <w:t>Arthrosc</w:t>
      </w:r>
      <w:proofErr w:type="spellEnd"/>
      <w:r w:rsidRPr="00000DD3">
        <w:rPr>
          <w:rFonts w:ascii="Book Antiqua" w:hAnsi="Book Antiqua"/>
        </w:rPr>
        <w:t xml:space="preserve"> 2019 [PMID: 30659314 DOI: 10.1007/s00167-019-05359-9]</w:t>
      </w:r>
    </w:p>
    <w:p w14:paraId="446CFBAA"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9 </w:t>
      </w:r>
      <w:r w:rsidRPr="00000DD3">
        <w:rPr>
          <w:rFonts w:ascii="Book Antiqua" w:hAnsi="Book Antiqua"/>
          <w:b/>
        </w:rPr>
        <w:t>Wang D</w:t>
      </w:r>
      <w:r w:rsidRPr="00000DD3">
        <w:rPr>
          <w:rFonts w:ascii="Book Antiqua" w:hAnsi="Book Antiqua"/>
        </w:rPr>
        <w:t xml:space="preserve">, Chang B, </w:t>
      </w:r>
      <w:proofErr w:type="spellStart"/>
      <w:r w:rsidRPr="00000DD3">
        <w:rPr>
          <w:rFonts w:ascii="Book Antiqua" w:hAnsi="Book Antiqua"/>
        </w:rPr>
        <w:t>Coxe</w:t>
      </w:r>
      <w:proofErr w:type="spellEnd"/>
      <w:r w:rsidRPr="00000DD3">
        <w:rPr>
          <w:rFonts w:ascii="Book Antiqua" w:hAnsi="Book Antiqua"/>
        </w:rPr>
        <w:t xml:space="preserve"> FR, </w:t>
      </w:r>
      <w:proofErr w:type="spellStart"/>
      <w:r w:rsidRPr="00000DD3">
        <w:rPr>
          <w:rFonts w:ascii="Book Antiqua" w:hAnsi="Book Antiqua"/>
        </w:rPr>
        <w:t>Pais</w:t>
      </w:r>
      <w:proofErr w:type="spellEnd"/>
      <w:r w:rsidRPr="00000DD3">
        <w:rPr>
          <w:rFonts w:ascii="Book Antiqua" w:hAnsi="Book Antiqua"/>
        </w:rPr>
        <w:t xml:space="preserve"> MD, </w:t>
      </w:r>
      <w:proofErr w:type="spellStart"/>
      <w:r w:rsidRPr="00000DD3">
        <w:rPr>
          <w:rFonts w:ascii="Book Antiqua" w:hAnsi="Book Antiqua"/>
        </w:rPr>
        <w:t>Wickiewicz</w:t>
      </w:r>
      <w:proofErr w:type="spellEnd"/>
      <w:r w:rsidRPr="00000DD3">
        <w:rPr>
          <w:rFonts w:ascii="Book Antiqua" w:hAnsi="Book Antiqua"/>
        </w:rPr>
        <w:t xml:space="preserve"> TL, Warren RF, Rodeo SA, Williams RJ 3rd. Clinically Meaningful Improvement After Treatment of Cartilage Defects of the Knee </w:t>
      </w:r>
      <w:proofErr w:type="gramStart"/>
      <w:r w:rsidRPr="00000DD3">
        <w:rPr>
          <w:rFonts w:ascii="Book Antiqua" w:hAnsi="Book Antiqua"/>
        </w:rPr>
        <w:t>With</w:t>
      </w:r>
      <w:proofErr w:type="gramEnd"/>
      <w:r w:rsidRPr="00000DD3">
        <w:rPr>
          <w:rFonts w:ascii="Book Antiqua" w:hAnsi="Book Antiqua"/>
        </w:rPr>
        <w:t xml:space="preserve"> Osteochondral Grafts. </w:t>
      </w:r>
      <w:r w:rsidRPr="00000DD3">
        <w:rPr>
          <w:rFonts w:ascii="Book Antiqua" w:hAnsi="Book Antiqua"/>
          <w:i/>
        </w:rPr>
        <w:t>Am J Sports Med</w:t>
      </w:r>
      <w:r w:rsidRPr="00000DD3">
        <w:rPr>
          <w:rFonts w:ascii="Book Antiqua" w:hAnsi="Book Antiqua"/>
        </w:rPr>
        <w:t xml:space="preserve"> 2019; </w:t>
      </w:r>
      <w:r w:rsidRPr="00000DD3">
        <w:rPr>
          <w:rFonts w:ascii="Book Antiqua" w:hAnsi="Book Antiqua"/>
          <w:b/>
        </w:rPr>
        <w:t>47</w:t>
      </w:r>
      <w:r w:rsidRPr="00000DD3">
        <w:rPr>
          <w:rFonts w:ascii="Book Antiqua" w:hAnsi="Book Antiqua"/>
        </w:rPr>
        <w:t>: 71-81 [PMID: 30481044 DOI: 10.1177/0363546518808030]</w:t>
      </w:r>
    </w:p>
    <w:p w14:paraId="23FF82D3"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10 </w:t>
      </w:r>
      <w:r w:rsidRPr="00000DD3">
        <w:rPr>
          <w:rFonts w:ascii="Book Antiqua" w:hAnsi="Book Antiqua"/>
          <w:b/>
        </w:rPr>
        <w:t>Zhang C</w:t>
      </w:r>
      <w:r w:rsidRPr="00000DD3">
        <w:rPr>
          <w:rFonts w:ascii="Book Antiqua" w:hAnsi="Book Antiqua"/>
        </w:rPr>
        <w:t xml:space="preserve">, Cai YZ, Lin XJ. Autologous chondrocyte implantation: Is it likely to become a </w:t>
      </w:r>
      <w:proofErr w:type="spellStart"/>
      <w:r w:rsidRPr="00000DD3">
        <w:rPr>
          <w:rFonts w:ascii="Book Antiqua" w:hAnsi="Book Antiqua"/>
        </w:rPr>
        <w:t>saviour</w:t>
      </w:r>
      <w:proofErr w:type="spellEnd"/>
      <w:r w:rsidRPr="00000DD3">
        <w:rPr>
          <w:rFonts w:ascii="Book Antiqua" w:hAnsi="Book Antiqua"/>
        </w:rPr>
        <w:t xml:space="preserve"> of large-sized and full-thickness cartilage defect in young adult knee? </w:t>
      </w:r>
      <w:r w:rsidRPr="00000DD3">
        <w:rPr>
          <w:rFonts w:ascii="Book Antiqua" w:hAnsi="Book Antiqua"/>
          <w:i/>
        </w:rPr>
        <w:t xml:space="preserve">Knee Surg Sports </w:t>
      </w:r>
      <w:proofErr w:type="spellStart"/>
      <w:r w:rsidRPr="00000DD3">
        <w:rPr>
          <w:rFonts w:ascii="Book Antiqua" w:hAnsi="Book Antiqua"/>
          <w:i/>
        </w:rPr>
        <w:t>Traumatol</w:t>
      </w:r>
      <w:proofErr w:type="spellEnd"/>
      <w:r w:rsidRPr="00000DD3">
        <w:rPr>
          <w:rFonts w:ascii="Book Antiqua" w:hAnsi="Book Antiqua"/>
          <w:i/>
        </w:rPr>
        <w:t xml:space="preserve"> </w:t>
      </w:r>
      <w:proofErr w:type="spellStart"/>
      <w:r w:rsidRPr="00000DD3">
        <w:rPr>
          <w:rFonts w:ascii="Book Antiqua" w:hAnsi="Book Antiqua"/>
          <w:i/>
        </w:rPr>
        <w:t>Arthrosc</w:t>
      </w:r>
      <w:proofErr w:type="spellEnd"/>
      <w:r w:rsidRPr="00000DD3">
        <w:rPr>
          <w:rFonts w:ascii="Book Antiqua" w:hAnsi="Book Antiqua"/>
        </w:rPr>
        <w:t xml:space="preserve"> 2016; </w:t>
      </w:r>
      <w:r w:rsidRPr="00000DD3">
        <w:rPr>
          <w:rFonts w:ascii="Book Antiqua" w:hAnsi="Book Antiqua"/>
          <w:b/>
        </w:rPr>
        <w:t>24</w:t>
      </w:r>
      <w:r w:rsidRPr="00000DD3">
        <w:rPr>
          <w:rFonts w:ascii="Book Antiqua" w:hAnsi="Book Antiqua"/>
        </w:rPr>
        <w:t>: 1643-1650 [PMID: 25986097 DOI: 10.1007/s00167-015-3643-3]</w:t>
      </w:r>
    </w:p>
    <w:p w14:paraId="1C4A98DE"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11 </w:t>
      </w:r>
      <w:r w:rsidRPr="00000DD3">
        <w:rPr>
          <w:rFonts w:ascii="Book Antiqua" w:hAnsi="Book Antiqua"/>
          <w:b/>
        </w:rPr>
        <w:t>Green CJ</w:t>
      </w:r>
      <w:r w:rsidRPr="00000DD3">
        <w:rPr>
          <w:rFonts w:ascii="Book Antiqua" w:hAnsi="Book Antiqua"/>
        </w:rPr>
        <w:t xml:space="preserve">, Beck A, Wood D, Zheng MH. The biology and clinical evidence of microfracture in hip preservation surgery. </w:t>
      </w:r>
      <w:r w:rsidRPr="00000DD3">
        <w:rPr>
          <w:rFonts w:ascii="Book Antiqua" w:hAnsi="Book Antiqua"/>
          <w:i/>
        </w:rPr>
        <w:t xml:space="preserve">J Hip </w:t>
      </w:r>
      <w:proofErr w:type="spellStart"/>
      <w:r w:rsidRPr="00000DD3">
        <w:rPr>
          <w:rFonts w:ascii="Book Antiqua" w:hAnsi="Book Antiqua"/>
          <w:i/>
        </w:rPr>
        <w:t>Preserv</w:t>
      </w:r>
      <w:proofErr w:type="spellEnd"/>
      <w:r w:rsidRPr="00000DD3">
        <w:rPr>
          <w:rFonts w:ascii="Book Antiqua" w:hAnsi="Book Antiqua"/>
          <w:i/>
        </w:rPr>
        <w:t xml:space="preserve"> Surg</w:t>
      </w:r>
      <w:r w:rsidRPr="00000DD3">
        <w:rPr>
          <w:rFonts w:ascii="Book Antiqua" w:hAnsi="Book Antiqua"/>
        </w:rPr>
        <w:t xml:space="preserve"> 2016; </w:t>
      </w:r>
      <w:r w:rsidRPr="00000DD3">
        <w:rPr>
          <w:rFonts w:ascii="Book Antiqua" w:hAnsi="Book Antiqua"/>
          <w:b/>
        </w:rPr>
        <w:t>3</w:t>
      </w:r>
      <w:r w:rsidRPr="00000DD3">
        <w:rPr>
          <w:rFonts w:ascii="Book Antiqua" w:hAnsi="Book Antiqua"/>
        </w:rPr>
        <w:t>: 108-123 [PMID: 27583147 DOI: 10.1093/</w:t>
      </w:r>
      <w:proofErr w:type="spellStart"/>
      <w:r w:rsidRPr="00000DD3">
        <w:rPr>
          <w:rFonts w:ascii="Book Antiqua" w:hAnsi="Book Antiqua"/>
        </w:rPr>
        <w:t>jhps</w:t>
      </w:r>
      <w:proofErr w:type="spellEnd"/>
      <w:r w:rsidRPr="00000DD3">
        <w:rPr>
          <w:rFonts w:ascii="Book Antiqua" w:hAnsi="Book Antiqua"/>
        </w:rPr>
        <w:t>/hnw007]</w:t>
      </w:r>
    </w:p>
    <w:p w14:paraId="74D749AC"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12 </w:t>
      </w:r>
      <w:r w:rsidRPr="00000DD3">
        <w:rPr>
          <w:rFonts w:ascii="Book Antiqua" w:hAnsi="Book Antiqua"/>
          <w:b/>
        </w:rPr>
        <w:t>Redondo ML</w:t>
      </w:r>
      <w:r w:rsidRPr="00000DD3">
        <w:rPr>
          <w:rFonts w:ascii="Book Antiqua" w:hAnsi="Book Antiqua"/>
        </w:rPr>
        <w:t xml:space="preserve">, Naveen NB, Liu JN, </w:t>
      </w:r>
      <w:proofErr w:type="spellStart"/>
      <w:r w:rsidRPr="00000DD3">
        <w:rPr>
          <w:rFonts w:ascii="Book Antiqua" w:hAnsi="Book Antiqua"/>
        </w:rPr>
        <w:t>Tauro</w:t>
      </w:r>
      <w:proofErr w:type="spellEnd"/>
      <w:r w:rsidRPr="00000DD3">
        <w:rPr>
          <w:rFonts w:ascii="Book Antiqua" w:hAnsi="Book Antiqua"/>
        </w:rPr>
        <w:t xml:space="preserve"> TM, Southworth TM, Cole BJ. Preservation of Knee Articular Cartilage. </w:t>
      </w:r>
      <w:r w:rsidRPr="00000DD3">
        <w:rPr>
          <w:rFonts w:ascii="Book Antiqua" w:hAnsi="Book Antiqua"/>
          <w:i/>
        </w:rPr>
        <w:t xml:space="preserve">Sports Med </w:t>
      </w:r>
      <w:proofErr w:type="spellStart"/>
      <w:r w:rsidRPr="00000DD3">
        <w:rPr>
          <w:rFonts w:ascii="Book Antiqua" w:hAnsi="Book Antiqua"/>
          <w:i/>
        </w:rPr>
        <w:t>Arthrosc</w:t>
      </w:r>
      <w:proofErr w:type="spellEnd"/>
      <w:r w:rsidRPr="00000DD3">
        <w:rPr>
          <w:rFonts w:ascii="Book Antiqua" w:hAnsi="Book Antiqua"/>
          <w:i/>
        </w:rPr>
        <w:t xml:space="preserve"> Rev</w:t>
      </w:r>
      <w:r w:rsidRPr="00000DD3">
        <w:rPr>
          <w:rFonts w:ascii="Book Antiqua" w:hAnsi="Book Antiqua"/>
        </w:rPr>
        <w:t xml:space="preserve"> 2018; </w:t>
      </w:r>
      <w:r w:rsidRPr="00000DD3">
        <w:rPr>
          <w:rFonts w:ascii="Book Antiqua" w:hAnsi="Book Antiqua"/>
          <w:b/>
        </w:rPr>
        <w:t>26</w:t>
      </w:r>
      <w:r w:rsidRPr="00000DD3">
        <w:rPr>
          <w:rFonts w:ascii="Book Antiqua" w:hAnsi="Book Antiqua"/>
        </w:rPr>
        <w:t>: e23-e30 [PMID: 30395060 DOI: 10.1097/JSA.0000000000000226]</w:t>
      </w:r>
    </w:p>
    <w:p w14:paraId="02324133"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13 </w:t>
      </w:r>
      <w:r w:rsidRPr="00000DD3">
        <w:rPr>
          <w:rFonts w:ascii="Book Antiqua" w:hAnsi="Book Antiqua"/>
          <w:b/>
        </w:rPr>
        <w:t>Andrade R</w:t>
      </w:r>
      <w:r w:rsidRPr="00000DD3">
        <w:rPr>
          <w:rFonts w:ascii="Book Antiqua" w:hAnsi="Book Antiqua"/>
        </w:rPr>
        <w:t xml:space="preserve">, </w:t>
      </w:r>
      <w:proofErr w:type="spellStart"/>
      <w:r w:rsidRPr="00000DD3">
        <w:rPr>
          <w:rFonts w:ascii="Book Antiqua" w:hAnsi="Book Antiqua"/>
        </w:rPr>
        <w:t>Vasta</w:t>
      </w:r>
      <w:proofErr w:type="spellEnd"/>
      <w:r w:rsidRPr="00000DD3">
        <w:rPr>
          <w:rFonts w:ascii="Book Antiqua" w:hAnsi="Book Antiqua"/>
        </w:rPr>
        <w:t xml:space="preserve"> S, Pereira R, Pereira H, Papalia R, Karahan M, Oliveira JM, Reis RL, </w:t>
      </w:r>
      <w:proofErr w:type="spellStart"/>
      <w:r w:rsidRPr="00000DD3">
        <w:rPr>
          <w:rFonts w:ascii="Book Antiqua" w:hAnsi="Book Antiqua"/>
        </w:rPr>
        <w:t>Espregueira</w:t>
      </w:r>
      <w:proofErr w:type="spellEnd"/>
      <w:r w:rsidRPr="00000DD3">
        <w:rPr>
          <w:rFonts w:ascii="Book Antiqua" w:hAnsi="Book Antiqua"/>
        </w:rPr>
        <w:t xml:space="preserve">-Mendes J. Knee donor-site morbidity after mosaicplasty - a systematic review. </w:t>
      </w:r>
      <w:r w:rsidRPr="00000DD3">
        <w:rPr>
          <w:rFonts w:ascii="Book Antiqua" w:hAnsi="Book Antiqua"/>
          <w:i/>
        </w:rPr>
        <w:t xml:space="preserve">J Exp </w:t>
      </w:r>
      <w:proofErr w:type="spellStart"/>
      <w:r w:rsidRPr="00000DD3">
        <w:rPr>
          <w:rFonts w:ascii="Book Antiqua" w:hAnsi="Book Antiqua"/>
          <w:i/>
        </w:rPr>
        <w:t>Orthop</w:t>
      </w:r>
      <w:proofErr w:type="spellEnd"/>
      <w:r w:rsidRPr="00000DD3">
        <w:rPr>
          <w:rFonts w:ascii="Book Antiqua" w:hAnsi="Book Antiqua"/>
        </w:rPr>
        <w:t xml:space="preserve"> 2016; </w:t>
      </w:r>
      <w:r w:rsidRPr="00000DD3">
        <w:rPr>
          <w:rFonts w:ascii="Book Antiqua" w:hAnsi="Book Antiqua"/>
          <w:b/>
        </w:rPr>
        <w:t>3</w:t>
      </w:r>
      <w:r w:rsidRPr="00000DD3">
        <w:rPr>
          <w:rFonts w:ascii="Book Antiqua" w:hAnsi="Book Antiqua"/>
        </w:rPr>
        <w:t>: 31 [PMID: 27813019 DOI: 10.1186/s40634-016-0066-0]</w:t>
      </w:r>
    </w:p>
    <w:p w14:paraId="5CFC02CA" w14:textId="02F4AC5A" w:rsidR="008D78C7" w:rsidRPr="00000DD3" w:rsidRDefault="008D78C7" w:rsidP="008D78C7">
      <w:pPr>
        <w:spacing w:line="360" w:lineRule="auto"/>
        <w:jc w:val="both"/>
        <w:rPr>
          <w:rFonts w:ascii="Book Antiqua" w:hAnsi="Book Antiqua"/>
        </w:rPr>
      </w:pPr>
      <w:r w:rsidRPr="00000DD3">
        <w:rPr>
          <w:rFonts w:ascii="Book Antiqua" w:hAnsi="Book Antiqua"/>
        </w:rPr>
        <w:t xml:space="preserve">14 </w:t>
      </w:r>
      <w:proofErr w:type="spellStart"/>
      <w:r w:rsidRPr="00000DD3">
        <w:rPr>
          <w:rFonts w:ascii="Book Antiqua" w:hAnsi="Book Antiqua"/>
          <w:b/>
        </w:rPr>
        <w:t>Mennan</w:t>
      </w:r>
      <w:proofErr w:type="spellEnd"/>
      <w:r w:rsidRPr="00000DD3">
        <w:rPr>
          <w:rFonts w:ascii="Book Antiqua" w:hAnsi="Book Antiqua"/>
          <w:b/>
        </w:rPr>
        <w:t xml:space="preserve"> C</w:t>
      </w:r>
      <w:r w:rsidRPr="00000DD3">
        <w:rPr>
          <w:rFonts w:ascii="Book Antiqua" w:hAnsi="Book Antiqua"/>
        </w:rPr>
        <w:t xml:space="preserve">, Garcia J, McCarthy H, Owen S, Perry J, Wright K, Banerjee R, Richardson JB, Roberts S. Human Articular Chondrocytes Retain Their Phenotype in Sustained Hypoxia While </w:t>
      </w:r>
      <w:proofErr w:type="spellStart"/>
      <w:r w:rsidRPr="00000DD3">
        <w:rPr>
          <w:rFonts w:ascii="Book Antiqua" w:hAnsi="Book Antiqua"/>
        </w:rPr>
        <w:t>Normoxia</w:t>
      </w:r>
      <w:proofErr w:type="spellEnd"/>
      <w:r w:rsidRPr="00000DD3">
        <w:rPr>
          <w:rFonts w:ascii="Book Antiqua" w:hAnsi="Book Antiqua"/>
        </w:rPr>
        <w:t xml:space="preserve"> Promotes Their Immunomodulatory Potential. </w:t>
      </w:r>
      <w:r w:rsidRPr="00000DD3">
        <w:rPr>
          <w:rFonts w:ascii="Book Antiqua" w:hAnsi="Book Antiqua"/>
          <w:i/>
        </w:rPr>
        <w:t>Cartilage</w:t>
      </w:r>
      <w:r w:rsidR="008D7A73" w:rsidRPr="00000DD3">
        <w:rPr>
          <w:rFonts w:ascii="Book Antiqua" w:hAnsi="Book Antiqua"/>
        </w:rPr>
        <w:t xml:space="preserve"> 2018</w:t>
      </w:r>
      <w:r w:rsidRPr="00000DD3">
        <w:rPr>
          <w:rFonts w:ascii="Book Antiqua" w:hAnsi="Book Antiqua"/>
        </w:rPr>
        <w:t>: 1947603518769714 [PMID: 29671342 DOI: 10.1177/1947603518769714]</w:t>
      </w:r>
    </w:p>
    <w:p w14:paraId="4B03E13E" w14:textId="40EC55E8" w:rsidR="008D78C7" w:rsidRPr="00000DD3" w:rsidRDefault="008D78C7" w:rsidP="008D78C7">
      <w:pPr>
        <w:spacing w:line="360" w:lineRule="auto"/>
        <w:jc w:val="both"/>
        <w:rPr>
          <w:rFonts w:ascii="Book Antiqua" w:hAnsi="Book Antiqua"/>
        </w:rPr>
      </w:pPr>
      <w:r w:rsidRPr="00000DD3">
        <w:rPr>
          <w:rFonts w:ascii="Book Antiqua" w:hAnsi="Book Antiqua"/>
        </w:rPr>
        <w:t xml:space="preserve">15 </w:t>
      </w:r>
      <w:r w:rsidRPr="00000DD3">
        <w:rPr>
          <w:rFonts w:ascii="Book Antiqua" w:hAnsi="Book Antiqua"/>
          <w:b/>
        </w:rPr>
        <w:t>Davies RL</w:t>
      </w:r>
      <w:r w:rsidRPr="00000DD3">
        <w:rPr>
          <w:rFonts w:ascii="Book Antiqua" w:hAnsi="Book Antiqua"/>
        </w:rPr>
        <w:t xml:space="preserve">, Kuiper NJ. Regenerative Medicine: A Review of the Evolution of Autologous Chondrocyte Implantation (ACI) Therapy. </w:t>
      </w:r>
      <w:r w:rsidRPr="00000DD3">
        <w:rPr>
          <w:rFonts w:ascii="Book Antiqua" w:hAnsi="Book Antiqua"/>
          <w:i/>
        </w:rPr>
        <w:t>Bioengineering (Basel)</w:t>
      </w:r>
      <w:r w:rsidRPr="00000DD3">
        <w:rPr>
          <w:rFonts w:ascii="Book Antiqua" w:hAnsi="Book Antiqua"/>
        </w:rPr>
        <w:t xml:space="preserve"> 2019; </w:t>
      </w:r>
      <w:r w:rsidRPr="00000DD3">
        <w:rPr>
          <w:rFonts w:ascii="Book Antiqua" w:hAnsi="Book Antiqua"/>
          <w:b/>
        </w:rPr>
        <w:t>6</w:t>
      </w:r>
      <w:r w:rsidRPr="00000DD3">
        <w:rPr>
          <w:rFonts w:ascii="Book Antiqua" w:hAnsi="Book Antiqua"/>
        </w:rPr>
        <w:t>:</w:t>
      </w:r>
      <w:r w:rsidR="008D7A73" w:rsidRPr="00000DD3">
        <w:rPr>
          <w:rFonts w:ascii="Book Antiqua" w:hAnsi="Book Antiqua"/>
        </w:rPr>
        <w:t xml:space="preserve"> </w:t>
      </w:r>
      <w:proofErr w:type="spellStart"/>
      <w:r w:rsidR="008D7A73" w:rsidRPr="00000DD3">
        <w:rPr>
          <w:rFonts w:ascii="Book Antiqua" w:hAnsi="Book Antiqua"/>
        </w:rPr>
        <w:t>pii</w:t>
      </w:r>
      <w:proofErr w:type="spellEnd"/>
      <w:r w:rsidR="008D7A73" w:rsidRPr="00000DD3">
        <w:rPr>
          <w:rFonts w:ascii="Book Antiqua" w:hAnsi="Book Antiqua"/>
        </w:rPr>
        <w:t xml:space="preserve">: E22 </w:t>
      </w:r>
      <w:r w:rsidRPr="00000DD3">
        <w:rPr>
          <w:rFonts w:ascii="Book Antiqua" w:hAnsi="Book Antiqua"/>
        </w:rPr>
        <w:t>[PMID: 30871236 DOI: 10.3390/bioengineering6010022]</w:t>
      </w:r>
    </w:p>
    <w:p w14:paraId="6EE4DA8B"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16 </w:t>
      </w:r>
      <w:r w:rsidRPr="00000DD3">
        <w:rPr>
          <w:rFonts w:ascii="Book Antiqua" w:hAnsi="Book Antiqua"/>
          <w:b/>
        </w:rPr>
        <w:t>Freitag J</w:t>
      </w:r>
      <w:r w:rsidRPr="00000DD3">
        <w:rPr>
          <w:rFonts w:ascii="Book Antiqua" w:hAnsi="Book Antiqua"/>
        </w:rPr>
        <w:t xml:space="preserve">, Bates D, Boyd R, Shah K, Barnard A, </w:t>
      </w:r>
      <w:proofErr w:type="spellStart"/>
      <w:r w:rsidRPr="00000DD3">
        <w:rPr>
          <w:rFonts w:ascii="Book Antiqua" w:hAnsi="Book Antiqua"/>
        </w:rPr>
        <w:t>Huguenin</w:t>
      </w:r>
      <w:proofErr w:type="spellEnd"/>
      <w:r w:rsidRPr="00000DD3">
        <w:rPr>
          <w:rFonts w:ascii="Book Antiqua" w:hAnsi="Book Antiqua"/>
        </w:rPr>
        <w:t xml:space="preserve"> L, </w:t>
      </w:r>
      <w:proofErr w:type="spellStart"/>
      <w:r w:rsidRPr="00000DD3">
        <w:rPr>
          <w:rFonts w:ascii="Book Antiqua" w:hAnsi="Book Antiqua"/>
        </w:rPr>
        <w:t>Tenen</w:t>
      </w:r>
      <w:proofErr w:type="spellEnd"/>
      <w:r w:rsidRPr="00000DD3">
        <w:rPr>
          <w:rFonts w:ascii="Book Antiqua" w:hAnsi="Book Antiqua"/>
        </w:rPr>
        <w:t xml:space="preserve"> A. Mesenchymal stem cell therapy in the treatment of osteoarthritis: reparative pathways, safety and efficacy - a review. </w:t>
      </w:r>
      <w:r w:rsidRPr="00000DD3">
        <w:rPr>
          <w:rFonts w:ascii="Book Antiqua" w:hAnsi="Book Antiqua"/>
          <w:i/>
        </w:rPr>
        <w:t xml:space="preserve">BMC </w:t>
      </w:r>
      <w:proofErr w:type="spellStart"/>
      <w:r w:rsidRPr="00000DD3">
        <w:rPr>
          <w:rFonts w:ascii="Book Antiqua" w:hAnsi="Book Antiqua"/>
          <w:i/>
        </w:rPr>
        <w:t>Musculoskelet</w:t>
      </w:r>
      <w:proofErr w:type="spellEnd"/>
      <w:r w:rsidRPr="00000DD3">
        <w:rPr>
          <w:rFonts w:ascii="Book Antiqua" w:hAnsi="Book Antiqua"/>
          <w:i/>
        </w:rPr>
        <w:t xml:space="preserve"> </w:t>
      </w:r>
      <w:proofErr w:type="spellStart"/>
      <w:r w:rsidRPr="00000DD3">
        <w:rPr>
          <w:rFonts w:ascii="Book Antiqua" w:hAnsi="Book Antiqua"/>
          <w:i/>
        </w:rPr>
        <w:t>Disord</w:t>
      </w:r>
      <w:proofErr w:type="spellEnd"/>
      <w:r w:rsidRPr="00000DD3">
        <w:rPr>
          <w:rFonts w:ascii="Book Antiqua" w:hAnsi="Book Antiqua"/>
        </w:rPr>
        <w:t xml:space="preserve"> 2016; </w:t>
      </w:r>
      <w:r w:rsidRPr="00000DD3">
        <w:rPr>
          <w:rFonts w:ascii="Book Antiqua" w:hAnsi="Book Antiqua"/>
          <w:b/>
        </w:rPr>
        <w:t>17</w:t>
      </w:r>
      <w:r w:rsidRPr="00000DD3">
        <w:rPr>
          <w:rFonts w:ascii="Book Antiqua" w:hAnsi="Book Antiqua"/>
        </w:rPr>
        <w:t>: 230 [PMID: 27229856 DOI: 10.1186/s12891-016-1085-9]</w:t>
      </w:r>
    </w:p>
    <w:p w14:paraId="5CA0EA39"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17 </w:t>
      </w:r>
      <w:proofErr w:type="spellStart"/>
      <w:r w:rsidRPr="00000DD3">
        <w:rPr>
          <w:rFonts w:ascii="Book Antiqua" w:hAnsi="Book Antiqua"/>
          <w:b/>
        </w:rPr>
        <w:t>Reissis</w:t>
      </w:r>
      <w:proofErr w:type="spellEnd"/>
      <w:r w:rsidRPr="00000DD3">
        <w:rPr>
          <w:rFonts w:ascii="Book Antiqua" w:hAnsi="Book Antiqua"/>
          <w:b/>
        </w:rPr>
        <w:t xml:space="preserve"> D</w:t>
      </w:r>
      <w:r w:rsidRPr="00000DD3">
        <w:rPr>
          <w:rFonts w:ascii="Book Antiqua" w:hAnsi="Book Antiqua"/>
        </w:rPr>
        <w:t xml:space="preserve">, Tang QO, Cooper NC, </w:t>
      </w:r>
      <w:proofErr w:type="spellStart"/>
      <w:r w:rsidRPr="00000DD3">
        <w:rPr>
          <w:rFonts w:ascii="Book Antiqua" w:hAnsi="Book Antiqua"/>
        </w:rPr>
        <w:t>Carasco</w:t>
      </w:r>
      <w:proofErr w:type="spellEnd"/>
      <w:r w:rsidRPr="00000DD3">
        <w:rPr>
          <w:rFonts w:ascii="Book Antiqua" w:hAnsi="Book Antiqua"/>
        </w:rPr>
        <w:t xml:space="preserve"> CF, </w:t>
      </w:r>
      <w:proofErr w:type="spellStart"/>
      <w:r w:rsidRPr="00000DD3">
        <w:rPr>
          <w:rFonts w:ascii="Book Antiqua" w:hAnsi="Book Antiqua"/>
        </w:rPr>
        <w:t>Gamie</w:t>
      </w:r>
      <w:proofErr w:type="spellEnd"/>
      <w:r w:rsidRPr="00000DD3">
        <w:rPr>
          <w:rFonts w:ascii="Book Antiqua" w:hAnsi="Book Antiqua"/>
        </w:rPr>
        <w:t xml:space="preserve"> Z, </w:t>
      </w:r>
      <w:proofErr w:type="spellStart"/>
      <w:r w:rsidRPr="00000DD3">
        <w:rPr>
          <w:rFonts w:ascii="Book Antiqua" w:hAnsi="Book Antiqua"/>
        </w:rPr>
        <w:t>Mantalaris</w:t>
      </w:r>
      <w:proofErr w:type="spellEnd"/>
      <w:r w:rsidRPr="00000DD3">
        <w:rPr>
          <w:rFonts w:ascii="Book Antiqua" w:hAnsi="Book Antiqua"/>
        </w:rPr>
        <w:t xml:space="preserve"> A, </w:t>
      </w:r>
      <w:proofErr w:type="spellStart"/>
      <w:r w:rsidRPr="00000DD3">
        <w:rPr>
          <w:rFonts w:ascii="Book Antiqua" w:hAnsi="Book Antiqua"/>
        </w:rPr>
        <w:t>Tsiridis</w:t>
      </w:r>
      <w:proofErr w:type="spellEnd"/>
      <w:r w:rsidRPr="00000DD3">
        <w:rPr>
          <w:rFonts w:ascii="Book Antiqua" w:hAnsi="Book Antiqua"/>
        </w:rPr>
        <w:t xml:space="preserve"> E. Current clinical evidence for the use of mesenchymal stem cells in articular cartilage repair. </w:t>
      </w:r>
      <w:r w:rsidRPr="00000DD3">
        <w:rPr>
          <w:rFonts w:ascii="Book Antiqua" w:hAnsi="Book Antiqua"/>
          <w:i/>
        </w:rPr>
        <w:t xml:space="preserve">Expert </w:t>
      </w:r>
      <w:proofErr w:type="spellStart"/>
      <w:r w:rsidRPr="00000DD3">
        <w:rPr>
          <w:rFonts w:ascii="Book Antiqua" w:hAnsi="Book Antiqua"/>
          <w:i/>
        </w:rPr>
        <w:t>Opin</w:t>
      </w:r>
      <w:proofErr w:type="spellEnd"/>
      <w:r w:rsidRPr="00000DD3">
        <w:rPr>
          <w:rFonts w:ascii="Book Antiqua" w:hAnsi="Book Antiqua"/>
          <w:i/>
        </w:rPr>
        <w:t xml:space="preserve"> Biol </w:t>
      </w:r>
      <w:proofErr w:type="spellStart"/>
      <w:r w:rsidRPr="00000DD3">
        <w:rPr>
          <w:rFonts w:ascii="Book Antiqua" w:hAnsi="Book Antiqua"/>
          <w:i/>
        </w:rPr>
        <w:t>Ther</w:t>
      </w:r>
      <w:proofErr w:type="spellEnd"/>
      <w:r w:rsidRPr="00000DD3">
        <w:rPr>
          <w:rFonts w:ascii="Book Antiqua" w:hAnsi="Book Antiqua"/>
        </w:rPr>
        <w:t xml:space="preserve"> 2016; </w:t>
      </w:r>
      <w:r w:rsidRPr="00000DD3">
        <w:rPr>
          <w:rFonts w:ascii="Book Antiqua" w:hAnsi="Book Antiqua"/>
          <w:b/>
        </w:rPr>
        <w:t>16</w:t>
      </w:r>
      <w:r w:rsidRPr="00000DD3">
        <w:rPr>
          <w:rFonts w:ascii="Book Antiqua" w:hAnsi="Book Antiqua"/>
        </w:rPr>
        <w:t>: 535-557 [PMID: 26798997 DOI: 10.1517/14712598.2016.1145651]</w:t>
      </w:r>
    </w:p>
    <w:p w14:paraId="244683EC"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18 </w:t>
      </w:r>
      <w:r w:rsidRPr="00000DD3">
        <w:rPr>
          <w:rFonts w:ascii="Book Antiqua" w:hAnsi="Book Antiqua"/>
          <w:b/>
        </w:rPr>
        <w:t>Shepherd DE</w:t>
      </w:r>
      <w:r w:rsidRPr="00000DD3">
        <w:rPr>
          <w:rFonts w:ascii="Book Antiqua" w:hAnsi="Book Antiqua"/>
        </w:rPr>
        <w:t xml:space="preserve">, </w:t>
      </w:r>
      <w:proofErr w:type="spellStart"/>
      <w:r w:rsidRPr="00000DD3">
        <w:rPr>
          <w:rFonts w:ascii="Book Antiqua" w:hAnsi="Book Antiqua"/>
        </w:rPr>
        <w:t>Seedhom</w:t>
      </w:r>
      <w:proofErr w:type="spellEnd"/>
      <w:r w:rsidRPr="00000DD3">
        <w:rPr>
          <w:rFonts w:ascii="Book Antiqua" w:hAnsi="Book Antiqua"/>
        </w:rPr>
        <w:t xml:space="preserve"> BB. Thickness of human articular cartilage in joints of the lower limb. </w:t>
      </w:r>
      <w:r w:rsidRPr="00000DD3">
        <w:rPr>
          <w:rFonts w:ascii="Book Antiqua" w:hAnsi="Book Antiqua"/>
          <w:i/>
        </w:rPr>
        <w:t>Ann Rheum Dis</w:t>
      </w:r>
      <w:r w:rsidRPr="00000DD3">
        <w:rPr>
          <w:rFonts w:ascii="Book Antiqua" w:hAnsi="Book Antiqua"/>
        </w:rPr>
        <w:t xml:space="preserve"> 1999; </w:t>
      </w:r>
      <w:r w:rsidRPr="00000DD3">
        <w:rPr>
          <w:rFonts w:ascii="Book Antiqua" w:hAnsi="Book Antiqua"/>
          <w:b/>
        </w:rPr>
        <w:t>58</w:t>
      </w:r>
      <w:r w:rsidRPr="00000DD3">
        <w:rPr>
          <w:rFonts w:ascii="Book Antiqua" w:hAnsi="Book Antiqua"/>
        </w:rPr>
        <w:t>: 27-34 [PMID: 10343537 DOI: 10.1136/ard.58.1.27]</w:t>
      </w:r>
    </w:p>
    <w:p w14:paraId="403FA7D6"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19 </w:t>
      </w:r>
      <w:r w:rsidRPr="00000DD3">
        <w:rPr>
          <w:rFonts w:ascii="Book Antiqua" w:hAnsi="Book Antiqua"/>
          <w:b/>
        </w:rPr>
        <w:t>Eckstein F</w:t>
      </w:r>
      <w:r w:rsidRPr="00000DD3">
        <w:rPr>
          <w:rFonts w:ascii="Book Antiqua" w:hAnsi="Book Antiqua"/>
        </w:rPr>
        <w:t xml:space="preserve">, Reiser M, </w:t>
      </w:r>
      <w:proofErr w:type="spellStart"/>
      <w:r w:rsidRPr="00000DD3">
        <w:rPr>
          <w:rFonts w:ascii="Book Antiqua" w:hAnsi="Book Antiqua"/>
        </w:rPr>
        <w:t>Englmeier</w:t>
      </w:r>
      <w:proofErr w:type="spellEnd"/>
      <w:r w:rsidRPr="00000DD3">
        <w:rPr>
          <w:rFonts w:ascii="Book Antiqua" w:hAnsi="Book Antiqua"/>
        </w:rPr>
        <w:t xml:space="preserve"> KH, Putz R. In vivo morphometry and functional analysis of human articular cartilage with quantitative magnetic resonance imaging--from image to data, from data to theory. </w:t>
      </w:r>
      <w:proofErr w:type="spellStart"/>
      <w:r w:rsidRPr="00000DD3">
        <w:rPr>
          <w:rFonts w:ascii="Book Antiqua" w:hAnsi="Book Antiqua"/>
          <w:i/>
        </w:rPr>
        <w:t>Anat</w:t>
      </w:r>
      <w:proofErr w:type="spellEnd"/>
      <w:r w:rsidRPr="00000DD3">
        <w:rPr>
          <w:rFonts w:ascii="Book Antiqua" w:hAnsi="Book Antiqua"/>
          <w:i/>
        </w:rPr>
        <w:t xml:space="preserve"> </w:t>
      </w:r>
      <w:proofErr w:type="spellStart"/>
      <w:r w:rsidRPr="00000DD3">
        <w:rPr>
          <w:rFonts w:ascii="Book Antiqua" w:hAnsi="Book Antiqua"/>
          <w:i/>
        </w:rPr>
        <w:t>Embryol</w:t>
      </w:r>
      <w:proofErr w:type="spellEnd"/>
      <w:r w:rsidRPr="00000DD3">
        <w:rPr>
          <w:rFonts w:ascii="Book Antiqua" w:hAnsi="Book Antiqua"/>
          <w:i/>
        </w:rPr>
        <w:t xml:space="preserve"> </w:t>
      </w:r>
      <w:r w:rsidRPr="00000DD3">
        <w:rPr>
          <w:rFonts w:ascii="Book Antiqua" w:hAnsi="Book Antiqua"/>
        </w:rPr>
        <w:t>(</w:t>
      </w:r>
      <w:proofErr w:type="spellStart"/>
      <w:r w:rsidRPr="00000DD3">
        <w:rPr>
          <w:rFonts w:ascii="Book Antiqua" w:hAnsi="Book Antiqua"/>
        </w:rPr>
        <w:t>Berl</w:t>
      </w:r>
      <w:proofErr w:type="spellEnd"/>
      <w:r w:rsidRPr="00000DD3">
        <w:rPr>
          <w:rFonts w:ascii="Book Antiqua" w:hAnsi="Book Antiqua"/>
        </w:rPr>
        <w:t xml:space="preserve">) 2001; </w:t>
      </w:r>
      <w:r w:rsidRPr="00000DD3">
        <w:rPr>
          <w:rFonts w:ascii="Book Antiqua" w:hAnsi="Book Antiqua"/>
          <w:b/>
        </w:rPr>
        <w:t>203</w:t>
      </w:r>
      <w:r w:rsidRPr="00000DD3">
        <w:rPr>
          <w:rFonts w:ascii="Book Antiqua" w:hAnsi="Book Antiqua"/>
        </w:rPr>
        <w:t>: 147-173 [PMID: 11303902 DOI: 10.1007/s004290000154]</w:t>
      </w:r>
    </w:p>
    <w:p w14:paraId="651691EF"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20 </w:t>
      </w:r>
      <w:r w:rsidRPr="00000DD3">
        <w:rPr>
          <w:rFonts w:ascii="Book Antiqua" w:hAnsi="Book Antiqua"/>
          <w:b/>
        </w:rPr>
        <w:t>Moran CJ</w:t>
      </w:r>
      <w:r w:rsidRPr="00000DD3">
        <w:rPr>
          <w:rFonts w:ascii="Book Antiqua" w:hAnsi="Book Antiqua"/>
        </w:rPr>
        <w:t xml:space="preserve">, Ramesh A, </w:t>
      </w:r>
      <w:proofErr w:type="spellStart"/>
      <w:r w:rsidRPr="00000DD3">
        <w:rPr>
          <w:rFonts w:ascii="Book Antiqua" w:hAnsi="Book Antiqua"/>
        </w:rPr>
        <w:t>Brama</w:t>
      </w:r>
      <w:proofErr w:type="spellEnd"/>
      <w:r w:rsidRPr="00000DD3">
        <w:rPr>
          <w:rFonts w:ascii="Book Antiqua" w:hAnsi="Book Antiqua"/>
        </w:rPr>
        <w:t xml:space="preserve"> PA, O'Byrne JM, O'Brien FJ, </w:t>
      </w:r>
      <w:proofErr w:type="spellStart"/>
      <w:r w:rsidRPr="00000DD3">
        <w:rPr>
          <w:rFonts w:ascii="Book Antiqua" w:hAnsi="Book Antiqua"/>
        </w:rPr>
        <w:t>Levingstone</w:t>
      </w:r>
      <w:proofErr w:type="spellEnd"/>
      <w:r w:rsidRPr="00000DD3">
        <w:rPr>
          <w:rFonts w:ascii="Book Antiqua" w:hAnsi="Book Antiqua"/>
        </w:rPr>
        <w:t xml:space="preserve"> TJ. The benefits and limitations of animal models for translational research in cartilage repair. </w:t>
      </w:r>
      <w:r w:rsidRPr="00000DD3">
        <w:rPr>
          <w:rFonts w:ascii="Book Antiqua" w:hAnsi="Book Antiqua"/>
          <w:i/>
        </w:rPr>
        <w:t xml:space="preserve">J Exp </w:t>
      </w:r>
      <w:proofErr w:type="spellStart"/>
      <w:r w:rsidRPr="00000DD3">
        <w:rPr>
          <w:rFonts w:ascii="Book Antiqua" w:hAnsi="Book Antiqua"/>
          <w:i/>
        </w:rPr>
        <w:t>Orthop</w:t>
      </w:r>
      <w:proofErr w:type="spellEnd"/>
      <w:r w:rsidRPr="00000DD3">
        <w:rPr>
          <w:rFonts w:ascii="Book Antiqua" w:hAnsi="Book Antiqua"/>
        </w:rPr>
        <w:t xml:space="preserve"> 2016; </w:t>
      </w:r>
      <w:r w:rsidRPr="00000DD3">
        <w:rPr>
          <w:rFonts w:ascii="Book Antiqua" w:hAnsi="Book Antiqua"/>
          <w:b/>
        </w:rPr>
        <w:t>3</w:t>
      </w:r>
      <w:r w:rsidRPr="00000DD3">
        <w:rPr>
          <w:rFonts w:ascii="Book Antiqua" w:hAnsi="Book Antiqua"/>
        </w:rPr>
        <w:t>: 1 [PMID: 26915001 DOI: 10.1186/s40634-015-0037-x]</w:t>
      </w:r>
    </w:p>
    <w:p w14:paraId="2DE96BD2"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21 </w:t>
      </w:r>
      <w:proofErr w:type="spellStart"/>
      <w:r w:rsidRPr="00000DD3">
        <w:rPr>
          <w:rFonts w:ascii="Book Antiqua" w:hAnsi="Book Antiqua"/>
          <w:b/>
        </w:rPr>
        <w:t>Verpaalen</w:t>
      </w:r>
      <w:proofErr w:type="spellEnd"/>
      <w:r w:rsidRPr="00000DD3">
        <w:rPr>
          <w:rFonts w:ascii="Book Antiqua" w:hAnsi="Book Antiqua"/>
          <w:b/>
        </w:rPr>
        <w:t xml:space="preserve"> VD</w:t>
      </w:r>
      <w:r w:rsidRPr="00000DD3">
        <w:rPr>
          <w:rFonts w:ascii="Book Antiqua" w:hAnsi="Book Antiqua"/>
        </w:rPr>
        <w:t xml:space="preserve">, </w:t>
      </w:r>
      <w:proofErr w:type="spellStart"/>
      <w:r w:rsidRPr="00000DD3">
        <w:rPr>
          <w:rFonts w:ascii="Book Antiqua" w:hAnsi="Book Antiqua"/>
        </w:rPr>
        <w:t>Baltzer</w:t>
      </w:r>
      <w:proofErr w:type="spellEnd"/>
      <w:r w:rsidRPr="00000DD3">
        <w:rPr>
          <w:rFonts w:ascii="Book Antiqua" w:hAnsi="Book Antiqua"/>
        </w:rPr>
        <w:t xml:space="preserve"> WI, Smith-</w:t>
      </w:r>
      <w:proofErr w:type="spellStart"/>
      <w:r w:rsidRPr="00000DD3">
        <w:rPr>
          <w:rFonts w:ascii="Book Antiqua" w:hAnsi="Book Antiqua"/>
        </w:rPr>
        <w:t>Ostrin</w:t>
      </w:r>
      <w:proofErr w:type="spellEnd"/>
      <w:r w:rsidRPr="00000DD3">
        <w:rPr>
          <w:rFonts w:ascii="Book Antiqua" w:hAnsi="Book Antiqua"/>
        </w:rPr>
        <w:t xml:space="preserve"> S, Warnock JJ, </w:t>
      </w:r>
      <w:proofErr w:type="spellStart"/>
      <w:r w:rsidRPr="00000DD3">
        <w:rPr>
          <w:rFonts w:ascii="Book Antiqua" w:hAnsi="Book Antiqua"/>
        </w:rPr>
        <w:t>Stang</w:t>
      </w:r>
      <w:proofErr w:type="spellEnd"/>
      <w:r w:rsidRPr="00000DD3">
        <w:rPr>
          <w:rFonts w:ascii="Book Antiqua" w:hAnsi="Book Antiqua"/>
        </w:rPr>
        <w:t xml:space="preserve"> B, </w:t>
      </w:r>
      <w:proofErr w:type="spellStart"/>
      <w:r w:rsidRPr="00000DD3">
        <w:rPr>
          <w:rFonts w:ascii="Book Antiqua" w:hAnsi="Book Antiqua"/>
        </w:rPr>
        <w:t>Ruaux</w:t>
      </w:r>
      <w:proofErr w:type="spellEnd"/>
      <w:r w:rsidRPr="00000DD3">
        <w:rPr>
          <w:rFonts w:ascii="Book Antiqua" w:hAnsi="Book Antiqua"/>
        </w:rPr>
        <w:t xml:space="preserve"> CG. Assessment of the effects of diet and physical rehabilitation on radiographic findings and markers of synovial inflammation in dogs following tibial plateau leveling osteotomy. </w:t>
      </w:r>
      <w:r w:rsidRPr="00000DD3">
        <w:rPr>
          <w:rFonts w:ascii="Book Antiqua" w:hAnsi="Book Antiqua"/>
          <w:i/>
        </w:rPr>
        <w:t>J Am Vet Med Assoc</w:t>
      </w:r>
      <w:r w:rsidRPr="00000DD3">
        <w:rPr>
          <w:rFonts w:ascii="Book Antiqua" w:hAnsi="Book Antiqua"/>
        </w:rPr>
        <w:t xml:space="preserve"> 2018; </w:t>
      </w:r>
      <w:r w:rsidRPr="00000DD3">
        <w:rPr>
          <w:rFonts w:ascii="Book Antiqua" w:hAnsi="Book Antiqua"/>
          <w:b/>
        </w:rPr>
        <w:t>252</w:t>
      </w:r>
      <w:r w:rsidRPr="00000DD3">
        <w:rPr>
          <w:rFonts w:ascii="Book Antiqua" w:hAnsi="Book Antiqua"/>
        </w:rPr>
        <w:t>: 701-709 [PMID: 29504855 DOI: 10.2460/javma.252.6.701]</w:t>
      </w:r>
    </w:p>
    <w:p w14:paraId="6EDA23A3"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22 </w:t>
      </w:r>
      <w:proofErr w:type="spellStart"/>
      <w:r w:rsidRPr="00000DD3">
        <w:rPr>
          <w:rFonts w:ascii="Book Antiqua" w:hAnsi="Book Antiqua"/>
          <w:b/>
        </w:rPr>
        <w:t>Gustås</w:t>
      </w:r>
      <w:proofErr w:type="spellEnd"/>
      <w:r w:rsidRPr="00000DD3">
        <w:rPr>
          <w:rFonts w:ascii="Book Antiqua" w:hAnsi="Book Antiqua"/>
          <w:b/>
        </w:rPr>
        <w:t xml:space="preserve"> P</w:t>
      </w:r>
      <w:r w:rsidRPr="00000DD3">
        <w:rPr>
          <w:rFonts w:ascii="Book Antiqua" w:hAnsi="Book Antiqua"/>
        </w:rPr>
        <w:t xml:space="preserve">, </w:t>
      </w:r>
      <w:proofErr w:type="spellStart"/>
      <w:r w:rsidRPr="00000DD3">
        <w:rPr>
          <w:rFonts w:ascii="Book Antiqua" w:hAnsi="Book Antiqua"/>
        </w:rPr>
        <w:t>Pettersson</w:t>
      </w:r>
      <w:proofErr w:type="spellEnd"/>
      <w:r w:rsidRPr="00000DD3">
        <w:rPr>
          <w:rFonts w:ascii="Book Antiqua" w:hAnsi="Book Antiqua"/>
        </w:rPr>
        <w:t xml:space="preserve"> K, </w:t>
      </w:r>
      <w:proofErr w:type="spellStart"/>
      <w:r w:rsidRPr="00000DD3">
        <w:rPr>
          <w:rFonts w:ascii="Book Antiqua" w:hAnsi="Book Antiqua"/>
        </w:rPr>
        <w:t>Honkavaara</w:t>
      </w:r>
      <w:proofErr w:type="spellEnd"/>
      <w:r w:rsidRPr="00000DD3">
        <w:rPr>
          <w:rFonts w:ascii="Book Antiqua" w:hAnsi="Book Antiqua"/>
        </w:rPr>
        <w:t xml:space="preserve"> S, </w:t>
      </w:r>
      <w:proofErr w:type="spellStart"/>
      <w:r w:rsidRPr="00000DD3">
        <w:rPr>
          <w:rFonts w:ascii="Book Antiqua" w:hAnsi="Book Antiqua"/>
        </w:rPr>
        <w:t>Lagerstedt</w:t>
      </w:r>
      <w:proofErr w:type="spellEnd"/>
      <w:r w:rsidRPr="00000DD3">
        <w:rPr>
          <w:rFonts w:ascii="Book Antiqua" w:hAnsi="Book Antiqua"/>
        </w:rPr>
        <w:t xml:space="preserve"> AS, </w:t>
      </w:r>
      <w:proofErr w:type="spellStart"/>
      <w:r w:rsidRPr="00000DD3">
        <w:rPr>
          <w:rFonts w:ascii="Book Antiqua" w:hAnsi="Book Antiqua"/>
        </w:rPr>
        <w:t>Byström</w:t>
      </w:r>
      <w:proofErr w:type="spellEnd"/>
      <w:r w:rsidRPr="00000DD3">
        <w:rPr>
          <w:rFonts w:ascii="Book Antiqua" w:hAnsi="Book Antiqua"/>
        </w:rPr>
        <w:t xml:space="preserve"> A. Kinematic and spatiotemporal assessment of habituation to treadmill walking in Labrador retrievers. </w:t>
      </w:r>
      <w:r w:rsidRPr="00000DD3">
        <w:rPr>
          <w:rFonts w:ascii="Book Antiqua" w:hAnsi="Book Antiqua"/>
          <w:i/>
        </w:rPr>
        <w:t xml:space="preserve">Acta Vet </w:t>
      </w:r>
      <w:proofErr w:type="spellStart"/>
      <w:r w:rsidRPr="00000DD3">
        <w:rPr>
          <w:rFonts w:ascii="Book Antiqua" w:hAnsi="Book Antiqua"/>
          <w:i/>
        </w:rPr>
        <w:t>Scand</w:t>
      </w:r>
      <w:proofErr w:type="spellEnd"/>
      <w:r w:rsidRPr="00000DD3">
        <w:rPr>
          <w:rFonts w:ascii="Book Antiqua" w:hAnsi="Book Antiqua"/>
        </w:rPr>
        <w:t xml:space="preserve"> 2016; </w:t>
      </w:r>
      <w:r w:rsidRPr="00000DD3">
        <w:rPr>
          <w:rFonts w:ascii="Book Antiqua" w:hAnsi="Book Antiqua"/>
          <w:b/>
        </w:rPr>
        <w:t>58</w:t>
      </w:r>
      <w:r w:rsidRPr="00000DD3">
        <w:rPr>
          <w:rFonts w:ascii="Book Antiqua" w:hAnsi="Book Antiqua"/>
        </w:rPr>
        <w:t>: 87 [PMID: 28031036 DOI: 10.1186/s13028-016-0265-9]</w:t>
      </w:r>
    </w:p>
    <w:p w14:paraId="419627F0"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23 </w:t>
      </w:r>
      <w:r w:rsidRPr="00000DD3">
        <w:rPr>
          <w:rFonts w:ascii="Book Antiqua" w:hAnsi="Book Antiqua"/>
          <w:b/>
        </w:rPr>
        <w:t>Music E</w:t>
      </w:r>
      <w:r w:rsidRPr="00000DD3">
        <w:rPr>
          <w:rFonts w:ascii="Book Antiqua" w:hAnsi="Book Antiqua"/>
        </w:rPr>
        <w:t xml:space="preserve">, </w:t>
      </w:r>
      <w:proofErr w:type="spellStart"/>
      <w:r w:rsidRPr="00000DD3">
        <w:rPr>
          <w:rFonts w:ascii="Book Antiqua" w:hAnsi="Book Antiqua"/>
        </w:rPr>
        <w:t>Futrega</w:t>
      </w:r>
      <w:proofErr w:type="spellEnd"/>
      <w:r w:rsidRPr="00000DD3">
        <w:rPr>
          <w:rFonts w:ascii="Book Antiqua" w:hAnsi="Book Antiqua"/>
        </w:rPr>
        <w:t xml:space="preserve"> K, Doran MR. Sheep as a model for evaluating mesenchymal stem/stromal cell (MSC)-based chondral defect repair. </w:t>
      </w:r>
      <w:r w:rsidRPr="00000DD3">
        <w:rPr>
          <w:rFonts w:ascii="Book Antiqua" w:hAnsi="Book Antiqua"/>
          <w:i/>
        </w:rPr>
        <w:t>Osteoarthritis Cartilage</w:t>
      </w:r>
      <w:r w:rsidRPr="00000DD3">
        <w:rPr>
          <w:rFonts w:ascii="Book Antiqua" w:hAnsi="Book Antiqua"/>
        </w:rPr>
        <w:t xml:space="preserve"> 2018; </w:t>
      </w:r>
      <w:r w:rsidRPr="00000DD3">
        <w:rPr>
          <w:rFonts w:ascii="Book Antiqua" w:hAnsi="Book Antiqua"/>
          <w:b/>
        </w:rPr>
        <w:t>26</w:t>
      </w:r>
      <w:r w:rsidRPr="00000DD3">
        <w:rPr>
          <w:rFonts w:ascii="Book Antiqua" w:hAnsi="Book Antiqua"/>
        </w:rPr>
        <w:t>: 730-740 [PMID: 29580978 DOI: 10.1016/j.joca.2018.03.006]</w:t>
      </w:r>
    </w:p>
    <w:p w14:paraId="3887089E"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24 </w:t>
      </w:r>
      <w:r w:rsidRPr="00000DD3">
        <w:rPr>
          <w:rFonts w:ascii="Book Antiqua" w:hAnsi="Book Antiqua"/>
          <w:b/>
        </w:rPr>
        <w:t>Cope PJ</w:t>
      </w:r>
      <w:r w:rsidRPr="00000DD3">
        <w:rPr>
          <w:rFonts w:ascii="Book Antiqua" w:hAnsi="Book Antiqua"/>
        </w:rPr>
        <w:t xml:space="preserve">, </w:t>
      </w:r>
      <w:proofErr w:type="spellStart"/>
      <w:r w:rsidRPr="00000DD3">
        <w:rPr>
          <w:rFonts w:ascii="Book Antiqua" w:hAnsi="Book Antiqua"/>
        </w:rPr>
        <w:t>Ourradi</w:t>
      </w:r>
      <w:proofErr w:type="spellEnd"/>
      <w:r w:rsidRPr="00000DD3">
        <w:rPr>
          <w:rFonts w:ascii="Book Antiqua" w:hAnsi="Book Antiqua"/>
        </w:rPr>
        <w:t xml:space="preserve"> K, Li Y, Sharif M. Models of osteoarthritis: the good, the bad and the promising. </w:t>
      </w:r>
      <w:r w:rsidRPr="00000DD3">
        <w:rPr>
          <w:rFonts w:ascii="Book Antiqua" w:hAnsi="Book Antiqua"/>
          <w:i/>
        </w:rPr>
        <w:t>Osteoarthritis Cartilage</w:t>
      </w:r>
      <w:r w:rsidRPr="00000DD3">
        <w:rPr>
          <w:rFonts w:ascii="Book Antiqua" w:hAnsi="Book Antiqua"/>
        </w:rPr>
        <w:t xml:space="preserve"> 2019; </w:t>
      </w:r>
      <w:r w:rsidRPr="00000DD3">
        <w:rPr>
          <w:rFonts w:ascii="Book Antiqua" w:hAnsi="Book Antiqua"/>
          <w:b/>
        </w:rPr>
        <w:t>27</w:t>
      </w:r>
      <w:r w:rsidRPr="00000DD3">
        <w:rPr>
          <w:rFonts w:ascii="Book Antiqua" w:hAnsi="Book Antiqua"/>
        </w:rPr>
        <w:t>: 230-239 [PMID: 30391394 DOI: 10.1016/j.joca.2018.09.016]</w:t>
      </w:r>
    </w:p>
    <w:p w14:paraId="2F62547D"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25 </w:t>
      </w:r>
      <w:proofErr w:type="spellStart"/>
      <w:r w:rsidRPr="00000DD3">
        <w:rPr>
          <w:rFonts w:ascii="Book Antiqua" w:hAnsi="Book Antiqua"/>
          <w:b/>
        </w:rPr>
        <w:t>Knazovicky</w:t>
      </w:r>
      <w:proofErr w:type="spellEnd"/>
      <w:r w:rsidRPr="00000DD3">
        <w:rPr>
          <w:rFonts w:ascii="Book Antiqua" w:hAnsi="Book Antiqua"/>
          <w:b/>
        </w:rPr>
        <w:t xml:space="preserve"> D</w:t>
      </w:r>
      <w:r w:rsidRPr="00000DD3">
        <w:rPr>
          <w:rFonts w:ascii="Book Antiqua" w:hAnsi="Book Antiqua"/>
        </w:rPr>
        <w:t xml:space="preserve">, Helgeson ES, Case B, Gruen ME, </w:t>
      </w:r>
      <w:proofErr w:type="spellStart"/>
      <w:r w:rsidRPr="00000DD3">
        <w:rPr>
          <w:rFonts w:ascii="Book Antiqua" w:hAnsi="Book Antiqua"/>
        </w:rPr>
        <w:t>Maixner</w:t>
      </w:r>
      <w:proofErr w:type="spellEnd"/>
      <w:r w:rsidRPr="00000DD3">
        <w:rPr>
          <w:rFonts w:ascii="Book Antiqua" w:hAnsi="Book Antiqua"/>
        </w:rPr>
        <w:t xml:space="preserve"> W, Lascelles BD. Widespread somatosensory sensitivity in naturally occurring canine model of osteoarthritis. </w:t>
      </w:r>
      <w:r w:rsidRPr="00000DD3">
        <w:rPr>
          <w:rFonts w:ascii="Book Antiqua" w:hAnsi="Book Antiqua"/>
          <w:i/>
        </w:rPr>
        <w:t>Pain</w:t>
      </w:r>
      <w:r w:rsidRPr="00000DD3">
        <w:rPr>
          <w:rFonts w:ascii="Book Antiqua" w:hAnsi="Book Antiqua"/>
        </w:rPr>
        <w:t xml:space="preserve"> 2016; </w:t>
      </w:r>
      <w:r w:rsidRPr="00000DD3">
        <w:rPr>
          <w:rFonts w:ascii="Book Antiqua" w:hAnsi="Book Antiqua"/>
          <w:b/>
        </w:rPr>
        <w:t>157</w:t>
      </w:r>
      <w:r w:rsidRPr="00000DD3">
        <w:rPr>
          <w:rFonts w:ascii="Book Antiqua" w:hAnsi="Book Antiqua"/>
        </w:rPr>
        <w:t>: 1325-1332 [PMID: 26901805 DOI: 10.1097/j.pain.0000000000000521]</w:t>
      </w:r>
    </w:p>
    <w:p w14:paraId="6A501700"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26 </w:t>
      </w:r>
      <w:r w:rsidRPr="00000DD3">
        <w:rPr>
          <w:rFonts w:ascii="Book Antiqua" w:hAnsi="Book Antiqua"/>
          <w:b/>
        </w:rPr>
        <w:t>Hoffman AM</w:t>
      </w:r>
      <w:r w:rsidRPr="00000DD3">
        <w:rPr>
          <w:rFonts w:ascii="Book Antiqua" w:hAnsi="Book Antiqua"/>
        </w:rPr>
        <w:t xml:space="preserve">, Dow SW. Concise Review: Stem Cell Trials Using Companion Animal Disease Models. </w:t>
      </w:r>
      <w:r w:rsidRPr="00000DD3">
        <w:rPr>
          <w:rFonts w:ascii="Book Antiqua" w:hAnsi="Book Antiqua"/>
          <w:i/>
        </w:rPr>
        <w:t>Stem Cells</w:t>
      </w:r>
      <w:r w:rsidRPr="00000DD3">
        <w:rPr>
          <w:rFonts w:ascii="Book Antiqua" w:hAnsi="Book Antiqua"/>
        </w:rPr>
        <w:t xml:space="preserve"> 2016; </w:t>
      </w:r>
      <w:r w:rsidRPr="00000DD3">
        <w:rPr>
          <w:rFonts w:ascii="Book Antiqua" w:hAnsi="Book Antiqua"/>
          <w:b/>
        </w:rPr>
        <w:t>34</w:t>
      </w:r>
      <w:r w:rsidRPr="00000DD3">
        <w:rPr>
          <w:rFonts w:ascii="Book Antiqua" w:hAnsi="Book Antiqua"/>
        </w:rPr>
        <w:t>: 1709-1729 [PMID: 27066769 DOI: 10.1002/stem.2377]</w:t>
      </w:r>
    </w:p>
    <w:p w14:paraId="1D8F41CE"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27 </w:t>
      </w:r>
      <w:r w:rsidRPr="00000DD3">
        <w:rPr>
          <w:rFonts w:ascii="Book Antiqua" w:hAnsi="Book Antiqua"/>
          <w:b/>
        </w:rPr>
        <w:t>Gagnon A</w:t>
      </w:r>
      <w:r w:rsidRPr="00000DD3">
        <w:rPr>
          <w:rFonts w:ascii="Book Antiqua" w:hAnsi="Book Antiqua"/>
        </w:rPr>
        <w:t xml:space="preserve">, Brown D, Moreau M, Lussier B, Otis C, </w:t>
      </w:r>
      <w:proofErr w:type="spellStart"/>
      <w:r w:rsidRPr="00000DD3">
        <w:rPr>
          <w:rFonts w:ascii="Book Antiqua" w:hAnsi="Book Antiqua"/>
        </w:rPr>
        <w:t>Troncy</w:t>
      </w:r>
      <w:proofErr w:type="spellEnd"/>
      <w:r w:rsidRPr="00000DD3">
        <w:rPr>
          <w:rFonts w:ascii="Book Antiqua" w:hAnsi="Book Antiqua"/>
        </w:rPr>
        <w:t xml:space="preserve"> E. Therapeutic response analysis in dogs with naturally occurring osteoarthritis. </w:t>
      </w:r>
      <w:r w:rsidRPr="00000DD3">
        <w:rPr>
          <w:rFonts w:ascii="Book Antiqua" w:hAnsi="Book Antiqua"/>
          <w:i/>
        </w:rPr>
        <w:t xml:space="preserve">Vet </w:t>
      </w:r>
      <w:proofErr w:type="spellStart"/>
      <w:r w:rsidRPr="00000DD3">
        <w:rPr>
          <w:rFonts w:ascii="Book Antiqua" w:hAnsi="Book Antiqua"/>
          <w:i/>
        </w:rPr>
        <w:t>Anaesth</w:t>
      </w:r>
      <w:proofErr w:type="spellEnd"/>
      <w:r w:rsidRPr="00000DD3">
        <w:rPr>
          <w:rFonts w:ascii="Book Antiqua" w:hAnsi="Book Antiqua"/>
          <w:i/>
        </w:rPr>
        <w:t xml:space="preserve"> </w:t>
      </w:r>
      <w:proofErr w:type="spellStart"/>
      <w:r w:rsidRPr="00000DD3">
        <w:rPr>
          <w:rFonts w:ascii="Book Antiqua" w:hAnsi="Book Antiqua"/>
          <w:i/>
        </w:rPr>
        <w:t>Analg</w:t>
      </w:r>
      <w:proofErr w:type="spellEnd"/>
      <w:r w:rsidRPr="00000DD3">
        <w:rPr>
          <w:rFonts w:ascii="Book Antiqua" w:hAnsi="Book Antiqua"/>
        </w:rPr>
        <w:t xml:space="preserve"> 2017; </w:t>
      </w:r>
      <w:r w:rsidRPr="00000DD3">
        <w:rPr>
          <w:rFonts w:ascii="Book Antiqua" w:hAnsi="Book Antiqua"/>
          <w:b/>
        </w:rPr>
        <w:t>44</w:t>
      </w:r>
      <w:r w:rsidRPr="00000DD3">
        <w:rPr>
          <w:rFonts w:ascii="Book Antiqua" w:hAnsi="Book Antiqua"/>
        </w:rPr>
        <w:t>: 1373-1381 [PMID: 29167071 DOI: 10.1016/j.vaa.2017.07.008]</w:t>
      </w:r>
    </w:p>
    <w:p w14:paraId="1BDC3768"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28 </w:t>
      </w:r>
      <w:proofErr w:type="spellStart"/>
      <w:r w:rsidRPr="00000DD3">
        <w:rPr>
          <w:rFonts w:ascii="Book Antiqua" w:hAnsi="Book Antiqua"/>
          <w:b/>
        </w:rPr>
        <w:t>Brimmo</w:t>
      </w:r>
      <w:proofErr w:type="spellEnd"/>
      <w:r w:rsidRPr="00000DD3">
        <w:rPr>
          <w:rFonts w:ascii="Book Antiqua" w:hAnsi="Book Antiqua"/>
          <w:b/>
        </w:rPr>
        <w:t xml:space="preserve"> OA</w:t>
      </w:r>
      <w:r w:rsidRPr="00000DD3">
        <w:rPr>
          <w:rFonts w:ascii="Book Antiqua" w:hAnsi="Book Antiqua"/>
        </w:rPr>
        <w:t xml:space="preserve">, </w:t>
      </w:r>
      <w:proofErr w:type="spellStart"/>
      <w:r w:rsidRPr="00000DD3">
        <w:rPr>
          <w:rFonts w:ascii="Book Antiqua" w:hAnsi="Book Antiqua"/>
        </w:rPr>
        <w:t>Bozynski</w:t>
      </w:r>
      <w:proofErr w:type="spellEnd"/>
      <w:r w:rsidRPr="00000DD3">
        <w:rPr>
          <w:rFonts w:ascii="Book Antiqua" w:hAnsi="Book Antiqua"/>
        </w:rPr>
        <w:t xml:space="preserve"> CC, Cook CR, Kuroki K, Sherman SL, Pfeiffer FM, Stoker AM, Cook JL. </w:t>
      </w:r>
      <w:proofErr w:type="spellStart"/>
      <w:r w:rsidRPr="00000DD3">
        <w:rPr>
          <w:rFonts w:ascii="Book Antiqua" w:hAnsi="Book Antiqua"/>
        </w:rPr>
        <w:t>Subchondroplasty</w:t>
      </w:r>
      <w:proofErr w:type="spellEnd"/>
      <w:r w:rsidRPr="00000DD3">
        <w:rPr>
          <w:rFonts w:ascii="Book Antiqua" w:hAnsi="Book Antiqua"/>
        </w:rPr>
        <w:t xml:space="preserve"> for the treatment of post-traumatic bone marrow lesions of the medial femoral condyle in a pre-clinical canine model. </w:t>
      </w:r>
      <w:r w:rsidRPr="00000DD3">
        <w:rPr>
          <w:rFonts w:ascii="Book Antiqua" w:hAnsi="Book Antiqua"/>
          <w:i/>
        </w:rPr>
        <w:t xml:space="preserve">J </w:t>
      </w:r>
      <w:proofErr w:type="spellStart"/>
      <w:r w:rsidRPr="00000DD3">
        <w:rPr>
          <w:rFonts w:ascii="Book Antiqua" w:hAnsi="Book Antiqua"/>
          <w:i/>
        </w:rPr>
        <w:t>Orthop</w:t>
      </w:r>
      <w:proofErr w:type="spellEnd"/>
      <w:r w:rsidRPr="00000DD3">
        <w:rPr>
          <w:rFonts w:ascii="Book Antiqua" w:hAnsi="Book Antiqua"/>
          <w:i/>
        </w:rPr>
        <w:t xml:space="preserve"> Res</w:t>
      </w:r>
      <w:r w:rsidRPr="00000DD3">
        <w:rPr>
          <w:rFonts w:ascii="Book Antiqua" w:hAnsi="Book Antiqua"/>
        </w:rPr>
        <w:t xml:space="preserve"> 2018; </w:t>
      </w:r>
      <w:r w:rsidRPr="00000DD3">
        <w:rPr>
          <w:rFonts w:ascii="Book Antiqua" w:hAnsi="Book Antiqua"/>
          <w:b/>
        </w:rPr>
        <w:t>36</w:t>
      </w:r>
      <w:r w:rsidRPr="00000DD3">
        <w:rPr>
          <w:rFonts w:ascii="Book Antiqua" w:hAnsi="Book Antiqua"/>
        </w:rPr>
        <w:t>: 2709-2717 [PMID: 29748965 DOI: 10.1002/jor.24046]</w:t>
      </w:r>
    </w:p>
    <w:p w14:paraId="6A4653C4"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29 </w:t>
      </w:r>
      <w:r w:rsidRPr="00000DD3">
        <w:rPr>
          <w:rFonts w:ascii="Book Antiqua" w:hAnsi="Book Antiqua"/>
          <w:b/>
        </w:rPr>
        <w:t>Ren J</w:t>
      </w:r>
      <w:r w:rsidRPr="00000DD3">
        <w:rPr>
          <w:rFonts w:ascii="Book Antiqua" w:hAnsi="Book Antiqua"/>
        </w:rPr>
        <w:t xml:space="preserve">, Ma J, Zhang X, </w:t>
      </w:r>
      <w:proofErr w:type="spellStart"/>
      <w:r w:rsidRPr="00000DD3">
        <w:rPr>
          <w:rFonts w:ascii="Book Antiqua" w:hAnsi="Book Antiqua"/>
        </w:rPr>
        <w:t>Aimaiti</w:t>
      </w:r>
      <w:proofErr w:type="spellEnd"/>
      <w:r w:rsidRPr="00000DD3">
        <w:rPr>
          <w:rFonts w:ascii="Book Antiqua" w:hAnsi="Book Antiqua"/>
        </w:rPr>
        <w:t xml:space="preserve"> A, </w:t>
      </w:r>
      <w:proofErr w:type="spellStart"/>
      <w:r w:rsidRPr="00000DD3">
        <w:rPr>
          <w:rFonts w:ascii="Book Antiqua" w:hAnsi="Book Antiqua"/>
        </w:rPr>
        <w:t>Saiyiti</w:t>
      </w:r>
      <w:proofErr w:type="spellEnd"/>
      <w:r w:rsidRPr="00000DD3">
        <w:rPr>
          <w:rFonts w:ascii="Book Antiqua" w:hAnsi="Book Antiqua"/>
        </w:rPr>
        <w:t xml:space="preserve"> M, Chen Y, Cao L. Diagnostic value of combined serum marker changes and quantitative MRI evaluation of cartilage volume of tibial plateau in a surgically-induced osteoarthritis dog model. </w:t>
      </w:r>
      <w:r w:rsidRPr="00000DD3">
        <w:rPr>
          <w:rFonts w:ascii="Book Antiqua" w:hAnsi="Book Antiqua"/>
          <w:i/>
        </w:rPr>
        <w:t>J Int Med Res</w:t>
      </w:r>
      <w:r w:rsidRPr="00000DD3">
        <w:rPr>
          <w:rFonts w:ascii="Book Antiqua" w:hAnsi="Book Antiqua"/>
        </w:rPr>
        <w:t xml:space="preserve"> 2017; </w:t>
      </w:r>
      <w:r w:rsidRPr="00000DD3">
        <w:rPr>
          <w:rFonts w:ascii="Book Antiqua" w:hAnsi="Book Antiqua"/>
          <w:b/>
        </w:rPr>
        <w:t>45</w:t>
      </w:r>
      <w:r w:rsidRPr="00000DD3">
        <w:rPr>
          <w:rFonts w:ascii="Book Antiqua" w:hAnsi="Book Antiqua"/>
        </w:rPr>
        <w:t>: 2023-2035 [PMID: 29125013 DOI: 10.1177/0300060517730452]</w:t>
      </w:r>
    </w:p>
    <w:p w14:paraId="27086EE1"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30 </w:t>
      </w:r>
      <w:r w:rsidRPr="00000DD3">
        <w:rPr>
          <w:rFonts w:ascii="Book Antiqua" w:hAnsi="Book Antiqua"/>
          <w:b/>
        </w:rPr>
        <w:t>Egan P</w:t>
      </w:r>
      <w:r w:rsidRPr="00000DD3">
        <w:rPr>
          <w:rFonts w:ascii="Book Antiqua" w:hAnsi="Book Antiqua"/>
        </w:rPr>
        <w:t xml:space="preserve">, Murphy S, </w:t>
      </w:r>
      <w:proofErr w:type="spellStart"/>
      <w:r w:rsidRPr="00000DD3">
        <w:rPr>
          <w:rFonts w:ascii="Book Antiqua" w:hAnsi="Book Antiqua"/>
        </w:rPr>
        <w:t>Jovanovik</w:t>
      </w:r>
      <w:proofErr w:type="spellEnd"/>
      <w:r w:rsidRPr="00000DD3">
        <w:rPr>
          <w:rFonts w:ascii="Book Antiqua" w:hAnsi="Book Antiqua"/>
        </w:rPr>
        <w:t xml:space="preserve"> J, Tucker R, Fitzpatrick N. Treatment of Osteochondrosis Dissecans of the Canine Stifle Using Synthetic Osteochondral Resurfacing. </w:t>
      </w:r>
      <w:r w:rsidRPr="00000DD3">
        <w:rPr>
          <w:rFonts w:ascii="Book Antiqua" w:hAnsi="Book Antiqua"/>
          <w:i/>
        </w:rPr>
        <w:t xml:space="preserve">Vet Comp </w:t>
      </w:r>
      <w:proofErr w:type="spellStart"/>
      <w:r w:rsidRPr="00000DD3">
        <w:rPr>
          <w:rFonts w:ascii="Book Antiqua" w:hAnsi="Book Antiqua"/>
          <w:i/>
        </w:rPr>
        <w:t>Orthop</w:t>
      </w:r>
      <w:proofErr w:type="spellEnd"/>
      <w:r w:rsidRPr="00000DD3">
        <w:rPr>
          <w:rFonts w:ascii="Book Antiqua" w:hAnsi="Book Antiqua"/>
          <w:i/>
        </w:rPr>
        <w:t xml:space="preserve"> </w:t>
      </w:r>
      <w:proofErr w:type="spellStart"/>
      <w:r w:rsidRPr="00000DD3">
        <w:rPr>
          <w:rFonts w:ascii="Book Antiqua" w:hAnsi="Book Antiqua"/>
          <w:i/>
        </w:rPr>
        <w:t>Traumatol</w:t>
      </w:r>
      <w:proofErr w:type="spellEnd"/>
      <w:r w:rsidRPr="00000DD3">
        <w:rPr>
          <w:rFonts w:ascii="Book Antiqua" w:hAnsi="Book Antiqua"/>
        </w:rPr>
        <w:t xml:space="preserve"> 2018; </w:t>
      </w:r>
      <w:r w:rsidRPr="00000DD3">
        <w:rPr>
          <w:rFonts w:ascii="Book Antiqua" w:hAnsi="Book Antiqua"/>
          <w:b/>
        </w:rPr>
        <w:t>31</w:t>
      </w:r>
      <w:r w:rsidRPr="00000DD3">
        <w:rPr>
          <w:rFonts w:ascii="Book Antiqua" w:hAnsi="Book Antiqua"/>
        </w:rPr>
        <w:t>: 144-152 [PMID: 29534283 DOI: 10.3415/VCOT-17-02-0035]</w:t>
      </w:r>
    </w:p>
    <w:p w14:paraId="09927E11"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31 </w:t>
      </w:r>
      <w:proofErr w:type="spellStart"/>
      <w:r w:rsidRPr="00000DD3">
        <w:rPr>
          <w:rFonts w:ascii="Book Antiqua" w:hAnsi="Book Antiqua"/>
          <w:b/>
        </w:rPr>
        <w:t>Cachon</w:t>
      </w:r>
      <w:proofErr w:type="spellEnd"/>
      <w:r w:rsidRPr="00000DD3">
        <w:rPr>
          <w:rFonts w:ascii="Book Antiqua" w:hAnsi="Book Antiqua"/>
          <w:b/>
        </w:rPr>
        <w:t xml:space="preserve"> T</w:t>
      </w:r>
      <w:r w:rsidRPr="00000DD3">
        <w:rPr>
          <w:rFonts w:ascii="Book Antiqua" w:hAnsi="Book Antiqua"/>
        </w:rPr>
        <w:t xml:space="preserve">, Frykman O, Innes JF, Lascelles BDX, Okumura M, Sousa P, </w:t>
      </w:r>
      <w:proofErr w:type="spellStart"/>
      <w:r w:rsidRPr="00000DD3">
        <w:rPr>
          <w:rFonts w:ascii="Book Antiqua" w:hAnsi="Book Antiqua"/>
        </w:rPr>
        <w:t>Staffieri</w:t>
      </w:r>
      <w:proofErr w:type="spellEnd"/>
      <w:r w:rsidRPr="00000DD3">
        <w:rPr>
          <w:rFonts w:ascii="Book Antiqua" w:hAnsi="Book Antiqua"/>
        </w:rPr>
        <w:t xml:space="preserve"> F, Steagall PV, Van </w:t>
      </w:r>
      <w:proofErr w:type="spellStart"/>
      <w:r w:rsidRPr="00000DD3">
        <w:rPr>
          <w:rFonts w:ascii="Book Antiqua" w:hAnsi="Book Antiqua"/>
        </w:rPr>
        <w:t>Ryssen</w:t>
      </w:r>
      <w:proofErr w:type="spellEnd"/>
      <w:r w:rsidRPr="00000DD3">
        <w:rPr>
          <w:rFonts w:ascii="Book Antiqua" w:hAnsi="Book Antiqua"/>
        </w:rPr>
        <w:t xml:space="preserve"> B; COAST Development Group. Face validity of a proposed tool for staging canine osteoarthritis: Canine </w:t>
      </w:r>
      <w:proofErr w:type="spellStart"/>
      <w:r w:rsidRPr="00000DD3">
        <w:rPr>
          <w:rFonts w:ascii="Book Antiqua" w:hAnsi="Book Antiqua"/>
        </w:rPr>
        <w:t>OsteoArthritis</w:t>
      </w:r>
      <w:proofErr w:type="spellEnd"/>
      <w:r w:rsidRPr="00000DD3">
        <w:rPr>
          <w:rFonts w:ascii="Book Antiqua" w:hAnsi="Book Antiqua"/>
        </w:rPr>
        <w:t xml:space="preserve"> Staging Tool (COAST). </w:t>
      </w:r>
      <w:r w:rsidRPr="00000DD3">
        <w:rPr>
          <w:rFonts w:ascii="Book Antiqua" w:hAnsi="Book Antiqua"/>
          <w:i/>
        </w:rPr>
        <w:t>Vet J</w:t>
      </w:r>
      <w:r w:rsidRPr="00000DD3">
        <w:rPr>
          <w:rFonts w:ascii="Book Antiqua" w:hAnsi="Book Antiqua"/>
        </w:rPr>
        <w:t xml:space="preserve"> 2018; </w:t>
      </w:r>
      <w:r w:rsidRPr="00000DD3">
        <w:rPr>
          <w:rFonts w:ascii="Book Antiqua" w:hAnsi="Book Antiqua"/>
          <w:b/>
        </w:rPr>
        <w:t>235</w:t>
      </w:r>
      <w:r w:rsidRPr="00000DD3">
        <w:rPr>
          <w:rFonts w:ascii="Book Antiqua" w:hAnsi="Book Antiqua"/>
        </w:rPr>
        <w:t>: 1-8 [PMID: 29704933 DOI: 10.1016/j.tvjl.2018.02.017]</w:t>
      </w:r>
    </w:p>
    <w:p w14:paraId="53FAFADC"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32 </w:t>
      </w:r>
      <w:proofErr w:type="spellStart"/>
      <w:r w:rsidRPr="00000DD3">
        <w:rPr>
          <w:rFonts w:ascii="Book Antiqua" w:hAnsi="Book Antiqua"/>
          <w:b/>
        </w:rPr>
        <w:t>Friedenstein</w:t>
      </w:r>
      <w:proofErr w:type="spellEnd"/>
      <w:r w:rsidRPr="00000DD3">
        <w:rPr>
          <w:rFonts w:ascii="Book Antiqua" w:hAnsi="Book Antiqua"/>
          <w:b/>
        </w:rPr>
        <w:t xml:space="preserve"> AJ</w:t>
      </w:r>
      <w:r w:rsidRPr="00000DD3">
        <w:rPr>
          <w:rFonts w:ascii="Book Antiqua" w:hAnsi="Book Antiqua"/>
        </w:rPr>
        <w:t xml:space="preserve">, </w:t>
      </w:r>
      <w:proofErr w:type="spellStart"/>
      <w:r w:rsidRPr="00000DD3">
        <w:rPr>
          <w:rFonts w:ascii="Book Antiqua" w:hAnsi="Book Antiqua"/>
        </w:rPr>
        <w:t>Piatetzky</w:t>
      </w:r>
      <w:proofErr w:type="spellEnd"/>
      <w:r w:rsidRPr="00000DD3">
        <w:rPr>
          <w:rFonts w:ascii="Book Antiqua" w:hAnsi="Book Antiqua"/>
        </w:rPr>
        <w:t xml:space="preserve">-Shapiro II, </w:t>
      </w:r>
      <w:proofErr w:type="spellStart"/>
      <w:r w:rsidRPr="00000DD3">
        <w:rPr>
          <w:rFonts w:ascii="Book Antiqua" w:hAnsi="Book Antiqua"/>
        </w:rPr>
        <w:t>Petrakova</w:t>
      </w:r>
      <w:proofErr w:type="spellEnd"/>
      <w:r w:rsidRPr="00000DD3">
        <w:rPr>
          <w:rFonts w:ascii="Book Antiqua" w:hAnsi="Book Antiqua"/>
        </w:rPr>
        <w:t xml:space="preserve"> KV. Osteogenesis in transplants of bone marrow cells. </w:t>
      </w:r>
      <w:r w:rsidRPr="00000DD3">
        <w:rPr>
          <w:rFonts w:ascii="Book Antiqua" w:hAnsi="Book Antiqua"/>
          <w:i/>
        </w:rPr>
        <w:t xml:space="preserve">J </w:t>
      </w:r>
      <w:proofErr w:type="spellStart"/>
      <w:r w:rsidRPr="00000DD3">
        <w:rPr>
          <w:rFonts w:ascii="Book Antiqua" w:hAnsi="Book Antiqua"/>
          <w:i/>
        </w:rPr>
        <w:t>Embryol</w:t>
      </w:r>
      <w:proofErr w:type="spellEnd"/>
      <w:r w:rsidRPr="00000DD3">
        <w:rPr>
          <w:rFonts w:ascii="Book Antiqua" w:hAnsi="Book Antiqua"/>
          <w:i/>
        </w:rPr>
        <w:t xml:space="preserve"> Exp </w:t>
      </w:r>
      <w:proofErr w:type="spellStart"/>
      <w:r w:rsidRPr="00000DD3">
        <w:rPr>
          <w:rFonts w:ascii="Book Antiqua" w:hAnsi="Book Antiqua"/>
          <w:i/>
        </w:rPr>
        <w:t>Morphol</w:t>
      </w:r>
      <w:proofErr w:type="spellEnd"/>
      <w:r w:rsidRPr="00000DD3">
        <w:rPr>
          <w:rFonts w:ascii="Book Antiqua" w:hAnsi="Book Antiqua"/>
        </w:rPr>
        <w:t xml:space="preserve"> 1966; </w:t>
      </w:r>
      <w:r w:rsidRPr="00000DD3">
        <w:rPr>
          <w:rFonts w:ascii="Book Antiqua" w:hAnsi="Book Antiqua"/>
          <w:b/>
        </w:rPr>
        <w:t>16</w:t>
      </w:r>
      <w:r w:rsidRPr="00000DD3">
        <w:rPr>
          <w:rFonts w:ascii="Book Antiqua" w:hAnsi="Book Antiqua"/>
        </w:rPr>
        <w:t>: 381-390 [PMID: 5336210]</w:t>
      </w:r>
    </w:p>
    <w:p w14:paraId="5E76BBF6"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33 </w:t>
      </w:r>
      <w:proofErr w:type="spellStart"/>
      <w:r w:rsidRPr="00000DD3">
        <w:rPr>
          <w:rFonts w:ascii="Book Antiqua" w:hAnsi="Book Antiqua"/>
          <w:b/>
        </w:rPr>
        <w:t>Zuk</w:t>
      </w:r>
      <w:proofErr w:type="spellEnd"/>
      <w:r w:rsidRPr="00000DD3">
        <w:rPr>
          <w:rFonts w:ascii="Book Antiqua" w:hAnsi="Book Antiqua"/>
          <w:b/>
        </w:rPr>
        <w:t xml:space="preserve"> PA</w:t>
      </w:r>
      <w:r w:rsidRPr="00000DD3">
        <w:rPr>
          <w:rFonts w:ascii="Book Antiqua" w:hAnsi="Book Antiqua"/>
        </w:rPr>
        <w:t xml:space="preserve">, Zhu M, Mizuno H, Huang J, Futrell JW, Katz AJ, </w:t>
      </w:r>
      <w:proofErr w:type="spellStart"/>
      <w:r w:rsidRPr="00000DD3">
        <w:rPr>
          <w:rFonts w:ascii="Book Antiqua" w:hAnsi="Book Antiqua"/>
        </w:rPr>
        <w:t>Benhaim</w:t>
      </w:r>
      <w:proofErr w:type="spellEnd"/>
      <w:r w:rsidRPr="00000DD3">
        <w:rPr>
          <w:rFonts w:ascii="Book Antiqua" w:hAnsi="Book Antiqua"/>
        </w:rPr>
        <w:t xml:space="preserve"> P, Lorenz HP, Hedrick MH. Multilineage cells from human adipose tissue: implications for cell-based therapies. </w:t>
      </w:r>
      <w:r w:rsidRPr="00000DD3">
        <w:rPr>
          <w:rFonts w:ascii="Book Antiqua" w:hAnsi="Book Antiqua"/>
          <w:i/>
        </w:rPr>
        <w:t xml:space="preserve">Tissue </w:t>
      </w:r>
      <w:proofErr w:type="spellStart"/>
      <w:r w:rsidRPr="00000DD3">
        <w:rPr>
          <w:rFonts w:ascii="Book Antiqua" w:hAnsi="Book Antiqua"/>
          <w:i/>
        </w:rPr>
        <w:t>Eng</w:t>
      </w:r>
      <w:proofErr w:type="spellEnd"/>
      <w:r w:rsidRPr="00000DD3">
        <w:rPr>
          <w:rFonts w:ascii="Book Antiqua" w:hAnsi="Book Antiqua"/>
        </w:rPr>
        <w:t xml:space="preserve"> 2001; </w:t>
      </w:r>
      <w:r w:rsidRPr="00000DD3">
        <w:rPr>
          <w:rFonts w:ascii="Book Antiqua" w:hAnsi="Book Antiqua"/>
          <w:b/>
        </w:rPr>
        <w:t>7</w:t>
      </w:r>
      <w:r w:rsidRPr="00000DD3">
        <w:rPr>
          <w:rFonts w:ascii="Book Antiqua" w:hAnsi="Book Antiqua"/>
        </w:rPr>
        <w:t>: 211-228 [PMID: 11304456 DOI: 10.1089/107632701300062859]</w:t>
      </w:r>
    </w:p>
    <w:p w14:paraId="0C15B7BE"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34 </w:t>
      </w:r>
      <w:r w:rsidRPr="00000DD3">
        <w:rPr>
          <w:rFonts w:ascii="Book Antiqua" w:hAnsi="Book Antiqua"/>
          <w:b/>
        </w:rPr>
        <w:t>Romanov YA</w:t>
      </w:r>
      <w:r w:rsidRPr="00000DD3">
        <w:rPr>
          <w:rFonts w:ascii="Book Antiqua" w:hAnsi="Book Antiqua"/>
        </w:rPr>
        <w:t xml:space="preserve">, </w:t>
      </w:r>
      <w:proofErr w:type="spellStart"/>
      <w:r w:rsidRPr="00000DD3">
        <w:rPr>
          <w:rFonts w:ascii="Book Antiqua" w:hAnsi="Book Antiqua"/>
        </w:rPr>
        <w:t>Svintsitskaya</w:t>
      </w:r>
      <w:proofErr w:type="spellEnd"/>
      <w:r w:rsidRPr="00000DD3">
        <w:rPr>
          <w:rFonts w:ascii="Book Antiqua" w:hAnsi="Book Antiqua"/>
        </w:rPr>
        <w:t xml:space="preserve"> VA, Smirnov VN. Searching for alternative sources of postnatal human mesenchymal stem cells: candidate MSC-like cells from umbilical cord. </w:t>
      </w:r>
      <w:r w:rsidRPr="00000DD3">
        <w:rPr>
          <w:rFonts w:ascii="Book Antiqua" w:hAnsi="Book Antiqua"/>
          <w:i/>
        </w:rPr>
        <w:t>Stem Cells</w:t>
      </w:r>
      <w:r w:rsidRPr="00000DD3">
        <w:rPr>
          <w:rFonts w:ascii="Book Antiqua" w:hAnsi="Book Antiqua"/>
        </w:rPr>
        <w:t xml:space="preserve"> 2003; </w:t>
      </w:r>
      <w:r w:rsidRPr="00000DD3">
        <w:rPr>
          <w:rFonts w:ascii="Book Antiqua" w:hAnsi="Book Antiqua"/>
          <w:b/>
        </w:rPr>
        <w:t>21</w:t>
      </w:r>
      <w:r w:rsidRPr="00000DD3">
        <w:rPr>
          <w:rFonts w:ascii="Book Antiqua" w:hAnsi="Book Antiqua"/>
        </w:rPr>
        <w:t>: 105-110 [PMID: 12529557 DOI: 10.1634/stemcells.21-1-105]</w:t>
      </w:r>
    </w:p>
    <w:p w14:paraId="3836B2AA"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35 </w:t>
      </w:r>
      <w:proofErr w:type="spellStart"/>
      <w:r w:rsidRPr="00000DD3">
        <w:rPr>
          <w:rFonts w:ascii="Book Antiqua" w:hAnsi="Book Antiqua"/>
          <w:b/>
        </w:rPr>
        <w:t>Gronthos</w:t>
      </w:r>
      <w:proofErr w:type="spellEnd"/>
      <w:r w:rsidRPr="00000DD3">
        <w:rPr>
          <w:rFonts w:ascii="Book Antiqua" w:hAnsi="Book Antiqua"/>
          <w:b/>
        </w:rPr>
        <w:t xml:space="preserve"> S</w:t>
      </w:r>
      <w:r w:rsidRPr="00000DD3">
        <w:rPr>
          <w:rFonts w:ascii="Book Antiqua" w:hAnsi="Book Antiqua"/>
        </w:rPr>
        <w:t xml:space="preserve">, </w:t>
      </w:r>
      <w:proofErr w:type="spellStart"/>
      <w:r w:rsidRPr="00000DD3">
        <w:rPr>
          <w:rFonts w:ascii="Book Antiqua" w:hAnsi="Book Antiqua"/>
        </w:rPr>
        <w:t>Mankani</w:t>
      </w:r>
      <w:proofErr w:type="spellEnd"/>
      <w:r w:rsidRPr="00000DD3">
        <w:rPr>
          <w:rFonts w:ascii="Book Antiqua" w:hAnsi="Book Antiqua"/>
        </w:rPr>
        <w:t xml:space="preserve"> M, </w:t>
      </w:r>
      <w:proofErr w:type="spellStart"/>
      <w:r w:rsidRPr="00000DD3">
        <w:rPr>
          <w:rFonts w:ascii="Book Antiqua" w:hAnsi="Book Antiqua"/>
        </w:rPr>
        <w:t>Brahim</w:t>
      </w:r>
      <w:proofErr w:type="spellEnd"/>
      <w:r w:rsidRPr="00000DD3">
        <w:rPr>
          <w:rFonts w:ascii="Book Antiqua" w:hAnsi="Book Antiqua"/>
        </w:rPr>
        <w:t xml:space="preserve"> J, Robey PG, Shi S. Postnatal human dental pulp stem cells (DPSCs) in vitro and in vivo. </w:t>
      </w:r>
      <w:r w:rsidRPr="00000DD3">
        <w:rPr>
          <w:rFonts w:ascii="Book Antiqua" w:hAnsi="Book Antiqua"/>
          <w:i/>
        </w:rPr>
        <w:t xml:space="preserve">Proc Natl </w:t>
      </w:r>
      <w:proofErr w:type="spellStart"/>
      <w:r w:rsidRPr="00000DD3">
        <w:rPr>
          <w:rFonts w:ascii="Book Antiqua" w:hAnsi="Book Antiqua"/>
          <w:i/>
        </w:rPr>
        <w:t>Acad</w:t>
      </w:r>
      <w:proofErr w:type="spellEnd"/>
      <w:r w:rsidRPr="00000DD3">
        <w:rPr>
          <w:rFonts w:ascii="Book Antiqua" w:hAnsi="Book Antiqua"/>
          <w:i/>
        </w:rPr>
        <w:t xml:space="preserve"> Sci U S A</w:t>
      </w:r>
      <w:r w:rsidRPr="00000DD3">
        <w:rPr>
          <w:rFonts w:ascii="Book Antiqua" w:hAnsi="Book Antiqua"/>
        </w:rPr>
        <w:t xml:space="preserve"> 2000; </w:t>
      </w:r>
      <w:r w:rsidRPr="00000DD3">
        <w:rPr>
          <w:rFonts w:ascii="Book Antiqua" w:hAnsi="Book Antiqua"/>
          <w:b/>
        </w:rPr>
        <w:t>97</w:t>
      </w:r>
      <w:r w:rsidRPr="00000DD3">
        <w:rPr>
          <w:rFonts w:ascii="Book Antiqua" w:hAnsi="Book Antiqua"/>
        </w:rPr>
        <w:t>: 13625-13630 [PMID: 11087820 DOI: 10.1073/pnas.240309797]</w:t>
      </w:r>
    </w:p>
    <w:p w14:paraId="2570F7E7" w14:textId="11D790BD" w:rsidR="008D78C7" w:rsidRPr="00000DD3" w:rsidRDefault="008D78C7" w:rsidP="008D78C7">
      <w:pPr>
        <w:spacing w:line="360" w:lineRule="auto"/>
        <w:jc w:val="both"/>
        <w:rPr>
          <w:rFonts w:ascii="Book Antiqua" w:hAnsi="Book Antiqua"/>
        </w:rPr>
      </w:pPr>
      <w:r w:rsidRPr="00000DD3">
        <w:rPr>
          <w:rFonts w:ascii="Book Antiqua" w:hAnsi="Book Antiqua"/>
        </w:rPr>
        <w:t xml:space="preserve">36 </w:t>
      </w:r>
      <w:r w:rsidRPr="00000DD3">
        <w:rPr>
          <w:rFonts w:ascii="Book Antiqua" w:hAnsi="Book Antiqua"/>
          <w:b/>
        </w:rPr>
        <w:t>Wickham MQ</w:t>
      </w:r>
      <w:r w:rsidRPr="00000DD3">
        <w:rPr>
          <w:rFonts w:ascii="Book Antiqua" w:hAnsi="Book Antiqua"/>
        </w:rPr>
        <w:t xml:space="preserve">, Erickson GR, Gimble JM, Vail TP, </w:t>
      </w:r>
      <w:proofErr w:type="spellStart"/>
      <w:r w:rsidRPr="00000DD3">
        <w:rPr>
          <w:rFonts w:ascii="Book Antiqua" w:hAnsi="Book Antiqua"/>
        </w:rPr>
        <w:t>Guilak</w:t>
      </w:r>
      <w:proofErr w:type="spellEnd"/>
      <w:r w:rsidRPr="00000DD3">
        <w:rPr>
          <w:rFonts w:ascii="Book Antiqua" w:hAnsi="Book Antiqua"/>
        </w:rPr>
        <w:t xml:space="preserve"> F. Multipotent stromal cells derived from the infrapatellar fat pad of the knee. </w:t>
      </w:r>
      <w:r w:rsidRPr="00000DD3">
        <w:rPr>
          <w:rFonts w:ascii="Book Antiqua" w:hAnsi="Book Antiqua"/>
          <w:i/>
        </w:rPr>
        <w:t xml:space="preserve">Clin </w:t>
      </w:r>
      <w:proofErr w:type="spellStart"/>
      <w:r w:rsidRPr="00000DD3">
        <w:rPr>
          <w:rFonts w:ascii="Book Antiqua" w:hAnsi="Book Antiqua"/>
          <w:i/>
        </w:rPr>
        <w:t>Orthop</w:t>
      </w:r>
      <w:proofErr w:type="spellEnd"/>
      <w:r w:rsidRPr="00000DD3">
        <w:rPr>
          <w:rFonts w:ascii="Book Antiqua" w:hAnsi="Book Antiqua"/>
          <w:i/>
        </w:rPr>
        <w:t xml:space="preserve"> </w:t>
      </w:r>
      <w:proofErr w:type="spellStart"/>
      <w:r w:rsidRPr="00000DD3">
        <w:rPr>
          <w:rFonts w:ascii="Book Antiqua" w:hAnsi="Book Antiqua"/>
          <w:i/>
        </w:rPr>
        <w:t>Relat</w:t>
      </w:r>
      <w:proofErr w:type="spellEnd"/>
      <w:r w:rsidRPr="00000DD3">
        <w:rPr>
          <w:rFonts w:ascii="Book Antiqua" w:hAnsi="Book Antiqua"/>
          <w:i/>
        </w:rPr>
        <w:t xml:space="preserve"> Res</w:t>
      </w:r>
      <w:r w:rsidRPr="00000DD3">
        <w:rPr>
          <w:rFonts w:ascii="Book Antiqua" w:hAnsi="Book Antiqua"/>
        </w:rPr>
        <w:t xml:space="preserve"> 2003; </w:t>
      </w:r>
      <w:r w:rsidR="008D7A73" w:rsidRPr="00000DD3">
        <w:rPr>
          <w:rFonts w:ascii="Book Antiqua" w:eastAsia="黑体" w:hAnsi="Book Antiqua" w:hint="eastAsia"/>
          <w:b/>
          <w:lang w:eastAsia="zh-CN"/>
        </w:rPr>
        <w:t>(412)</w:t>
      </w:r>
      <w:r w:rsidRPr="00000DD3">
        <w:rPr>
          <w:rFonts w:ascii="Book Antiqua" w:hAnsi="Book Antiqua"/>
        </w:rPr>
        <w:t>: 196-212 [PMID: 12838072 DOI: 10.1097/01.blo.</w:t>
      </w:r>
      <w:proofErr w:type="gramStart"/>
      <w:r w:rsidRPr="00000DD3">
        <w:rPr>
          <w:rFonts w:ascii="Book Antiqua" w:hAnsi="Book Antiqua"/>
        </w:rPr>
        <w:t>0000072467.53786.ca</w:t>
      </w:r>
      <w:proofErr w:type="gramEnd"/>
      <w:r w:rsidRPr="00000DD3">
        <w:rPr>
          <w:rFonts w:ascii="Book Antiqua" w:hAnsi="Book Antiqua"/>
        </w:rPr>
        <w:t>]</w:t>
      </w:r>
    </w:p>
    <w:p w14:paraId="79E33214"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37 </w:t>
      </w:r>
      <w:r w:rsidRPr="00000DD3">
        <w:rPr>
          <w:rFonts w:ascii="Book Antiqua" w:hAnsi="Book Antiqua"/>
          <w:b/>
        </w:rPr>
        <w:t>De Bari C</w:t>
      </w:r>
      <w:r w:rsidRPr="00000DD3">
        <w:rPr>
          <w:rFonts w:ascii="Book Antiqua" w:hAnsi="Book Antiqua"/>
        </w:rPr>
        <w:t xml:space="preserve">, </w:t>
      </w:r>
      <w:proofErr w:type="spellStart"/>
      <w:r w:rsidRPr="00000DD3">
        <w:rPr>
          <w:rFonts w:ascii="Book Antiqua" w:hAnsi="Book Antiqua"/>
        </w:rPr>
        <w:t>Dell'Accio</w:t>
      </w:r>
      <w:proofErr w:type="spellEnd"/>
      <w:r w:rsidRPr="00000DD3">
        <w:rPr>
          <w:rFonts w:ascii="Book Antiqua" w:hAnsi="Book Antiqua"/>
        </w:rPr>
        <w:t xml:space="preserve"> F, </w:t>
      </w:r>
      <w:proofErr w:type="spellStart"/>
      <w:r w:rsidRPr="00000DD3">
        <w:rPr>
          <w:rFonts w:ascii="Book Antiqua" w:hAnsi="Book Antiqua"/>
        </w:rPr>
        <w:t>Tylzanowski</w:t>
      </w:r>
      <w:proofErr w:type="spellEnd"/>
      <w:r w:rsidRPr="00000DD3">
        <w:rPr>
          <w:rFonts w:ascii="Book Antiqua" w:hAnsi="Book Antiqua"/>
        </w:rPr>
        <w:t xml:space="preserve"> P, </w:t>
      </w:r>
      <w:proofErr w:type="spellStart"/>
      <w:r w:rsidRPr="00000DD3">
        <w:rPr>
          <w:rFonts w:ascii="Book Antiqua" w:hAnsi="Book Antiqua"/>
        </w:rPr>
        <w:t>Luyten</w:t>
      </w:r>
      <w:proofErr w:type="spellEnd"/>
      <w:r w:rsidRPr="00000DD3">
        <w:rPr>
          <w:rFonts w:ascii="Book Antiqua" w:hAnsi="Book Antiqua"/>
        </w:rPr>
        <w:t xml:space="preserve"> FP. Multipotent mesenchymal stem cells from adult human synovial membrane. </w:t>
      </w:r>
      <w:r w:rsidRPr="00000DD3">
        <w:rPr>
          <w:rFonts w:ascii="Book Antiqua" w:hAnsi="Book Antiqua"/>
          <w:i/>
        </w:rPr>
        <w:t>Arthritis Rheum</w:t>
      </w:r>
      <w:r w:rsidRPr="00000DD3">
        <w:rPr>
          <w:rFonts w:ascii="Book Antiqua" w:hAnsi="Book Antiqua"/>
        </w:rPr>
        <w:t xml:space="preserve"> 2001; </w:t>
      </w:r>
      <w:r w:rsidRPr="00000DD3">
        <w:rPr>
          <w:rFonts w:ascii="Book Antiqua" w:hAnsi="Book Antiqua"/>
          <w:b/>
        </w:rPr>
        <w:t>44</w:t>
      </w:r>
      <w:r w:rsidRPr="00000DD3">
        <w:rPr>
          <w:rFonts w:ascii="Book Antiqua" w:hAnsi="Book Antiqua"/>
        </w:rPr>
        <w:t>: 1928-1942 [PMID: 11508446 DOI: 10.1002/1529-0131(200108)44:8&lt;</w:t>
      </w:r>
      <w:proofErr w:type="gramStart"/>
      <w:r w:rsidRPr="00000DD3">
        <w:rPr>
          <w:rFonts w:ascii="Book Antiqua" w:hAnsi="Book Antiqua"/>
        </w:rPr>
        <w:t>1928::</w:t>
      </w:r>
      <w:proofErr w:type="gramEnd"/>
      <w:r w:rsidRPr="00000DD3">
        <w:rPr>
          <w:rFonts w:ascii="Book Antiqua" w:hAnsi="Book Antiqua"/>
        </w:rPr>
        <w:t>AID-ART331&gt;3.0.CO;2-P]</w:t>
      </w:r>
    </w:p>
    <w:p w14:paraId="1C052F51"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38 </w:t>
      </w:r>
      <w:r w:rsidRPr="00000DD3">
        <w:rPr>
          <w:rFonts w:ascii="Book Antiqua" w:hAnsi="Book Antiqua"/>
          <w:b/>
        </w:rPr>
        <w:t>Yoshimura H</w:t>
      </w:r>
      <w:r w:rsidRPr="00000DD3">
        <w:rPr>
          <w:rFonts w:ascii="Book Antiqua" w:hAnsi="Book Antiqua"/>
        </w:rPr>
        <w:t xml:space="preserve">, </w:t>
      </w:r>
      <w:proofErr w:type="spellStart"/>
      <w:r w:rsidRPr="00000DD3">
        <w:rPr>
          <w:rFonts w:ascii="Book Antiqua" w:hAnsi="Book Antiqua"/>
        </w:rPr>
        <w:t>Muneta</w:t>
      </w:r>
      <w:proofErr w:type="spellEnd"/>
      <w:r w:rsidRPr="00000DD3">
        <w:rPr>
          <w:rFonts w:ascii="Book Antiqua" w:hAnsi="Book Antiqua"/>
        </w:rPr>
        <w:t xml:space="preserve"> T, </w:t>
      </w:r>
      <w:proofErr w:type="spellStart"/>
      <w:r w:rsidRPr="00000DD3">
        <w:rPr>
          <w:rFonts w:ascii="Book Antiqua" w:hAnsi="Book Antiqua"/>
        </w:rPr>
        <w:t>Nimura</w:t>
      </w:r>
      <w:proofErr w:type="spellEnd"/>
      <w:r w:rsidRPr="00000DD3">
        <w:rPr>
          <w:rFonts w:ascii="Book Antiqua" w:hAnsi="Book Antiqua"/>
        </w:rPr>
        <w:t xml:space="preserve"> A, Yokoyama A, Koga H, Sekiya I. Comparison of rat mesenchymal stem cells derived from bone marrow, synovium, periosteum, adipose tissue, and muscle. </w:t>
      </w:r>
      <w:r w:rsidRPr="00000DD3">
        <w:rPr>
          <w:rFonts w:ascii="Book Antiqua" w:hAnsi="Book Antiqua"/>
          <w:i/>
        </w:rPr>
        <w:t>Cell Tissue Res</w:t>
      </w:r>
      <w:r w:rsidRPr="00000DD3">
        <w:rPr>
          <w:rFonts w:ascii="Book Antiqua" w:hAnsi="Book Antiqua"/>
        </w:rPr>
        <w:t xml:space="preserve"> 2007; </w:t>
      </w:r>
      <w:r w:rsidRPr="00000DD3">
        <w:rPr>
          <w:rFonts w:ascii="Book Antiqua" w:hAnsi="Book Antiqua"/>
          <w:b/>
        </w:rPr>
        <w:t>327</w:t>
      </w:r>
      <w:r w:rsidRPr="00000DD3">
        <w:rPr>
          <w:rFonts w:ascii="Book Antiqua" w:hAnsi="Book Antiqua"/>
        </w:rPr>
        <w:t>: 449-462 [PMID: 17053900 DOI: 10.1007/s00441-006-0308-z]</w:t>
      </w:r>
    </w:p>
    <w:p w14:paraId="0DF4E842"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39 </w:t>
      </w:r>
      <w:proofErr w:type="spellStart"/>
      <w:r w:rsidRPr="00000DD3">
        <w:rPr>
          <w:rFonts w:ascii="Book Antiqua" w:hAnsi="Book Antiqua"/>
          <w:b/>
        </w:rPr>
        <w:t>Khalilifar</w:t>
      </w:r>
      <w:proofErr w:type="spellEnd"/>
      <w:r w:rsidRPr="00000DD3">
        <w:rPr>
          <w:rFonts w:ascii="Book Antiqua" w:hAnsi="Book Antiqua"/>
          <w:b/>
        </w:rPr>
        <w:t xml:space="preserve"> MA</w:t>
      </w:r>
      <w:r w:rsidRPr="00000DD3">
        <w:rPr>
          <w:rFonts w:ascii="Book Antiqua" w:hAnsi="Book Antiqua"/>
        </w:rPr>
        <w:t xml:space="preserve">, </w:t>
      </w:r>
      <w:proofErr w:type="spellStart"/>
      <w:r w:rsidRPr="00000DD3">
        <w:rPr>
          <w:rFonts w:ascii="Book Antiqua" w:hAnsi="Book Antiqua"/>
        </w:rPr>
        <w:t>Baghaban</w:t>
      </w:r>
      <w:proofErr w:type="spellEnd"/>
      <w:r w:rsidRPr="00000DD3">
        <w:rPr>
          <w:rFonts w:ascii="Book Antiqua" w:hAnsi="Book Antiqua"/>
        </w:rPr>
        <w:t xml:space="preserve"> </w:t>
      </w:r>
      <w:proofErr w:type="spellStart"/>
      <w:r w:rsidRPr="00000DD3">
        <w:rPr>
          <w:rFonts w:ascii="Book Antiqua" w:hAnsi="Book Antiqua"/>
        </w:rPr>
        <w:t>Eslaminejad</w:t>
      </w:r>
      <w:proofErr w:type="spellEnd"/>
      <w:r w:rsidRPr="00000DD3">
        <w:rPr>
          <w:rFonts w:ascii="Book Antiqua" w:hAnsi="Book Antiqua"/>
        </w:rPr>
        <w:t xml:space="preserve"> MR, </w:t>
      </w:r>
      <w:proofErr w:type="spellStart"/>
      <w:r w:rsidRPr="00000DD3">
        <w:rPr>
          <w:rFonts w:ascii="Book Antiqua" w:hAnsi="Book Antiqua"/>
        </w:rPr>
        <w:t>Ghasemzadeh</w:t>
      </w:r>
      <w:proofErr w:type="spellEnd"/>
      <w:r w:rsidRPr="00000DD3">
        <w:rPr>
          <w:rFonts w:ascii="Book Antiqua" w:hAnsi="Book Antiqua"/>
        </w:rPr>
        <w:t xml:space="preserve"> M, Hosseini S, </w:t>
      </w:r>
      <w:proofErr w:type="spellStart"/>
      <w:r w:rsidRPr="00000DD3">
        <w:rPr>
          <w:rFonts w:ascii="Book Antiqua" w:hAnsi="Book Antiqua"/>
        </w:rPr>
        <w:t>Baharvand</w:t>
      </w:r>
      <w:proofErr w:type="spellEnd"/>
      <w:r w:rsidRPr="00000DD3">
        <w:rPr>
          <w:rFonts w:ascii="Book Antiqua" w:hAnsi="Book Antiqua"/>
        </w:rPr>
        <w:t xml:space="preserve"> H. In Vitro and In Vivo Comparison of Different Types of Rabbit Mesenchymal Stem Cells for Cartilage Repair. </w:t>
      </w:r>
      <w:r w:rsidRPr="00000DD3">
        <w:rPr>
          <w:rFonts w:ascii="Book Antiqua" w:hAnsi="Book Antiqua"/>
          <w:i/>
        </w:rPr>
        <w:t>Cell J</w:t>
      </w:r>
      <w:r w:rsidRPr="00000DD3">
        <w:rPr>
          <w:rFonts w:ascii="Book Antiqua" w:hAnsi="Book Antiqua"/>
        </w:rPr>
        <w:t xml:space="preserve"> 2019; </w:t>
      </w:r>
      <w:r w:rsidRPr="00000DD3">
        <w:rPr>
          <w:rFonts w:ascii="Book Antiqua" w:hAnsi="Book Antiqua"/>
          <w:b/>
        </w:rPr>
        <w:t>21</w:t>
      </w:r>
      <w:r w:rsidRPr="00000DD3">
        <w:rPr>
          <w:rFonts w:ascii="Book Antiqua" w:hAnsi="Book Antiqua"/>
        </w:rPr>
        <w:t>: 150-160 [PMID: 30825288 DOI: 10.22074/cellj.2019.6149]</w:t>
      </w:r>
    </w:p>
    <w:p w14:paraId="077ED770"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40 </w:t>
      </w:r>
      <w:r w:rsidRPr="00000DD3">
        <w:rPr>
          <w:rFonts w:ascii="Book Antiqua" w:hAnsi="Book Antiqua"/>
          <w:b/>
        </w:rPr>
        <w:t>Sasaki A</w:t>
      </w:r>
      <w:r w:rsidRPr="00000DD3">
        <w:rPr>
          <w:rFonts w:ascii="Book Antiqua" w:hAnsi="Book Antiqua"/>
        </w:rPr>
        <w:t xml:space="preserve">, Mizuno M, Ozeki N, Katano H, </w:t>
      </w:r>
      <w:proofErr w:type="spellStart"/>
      <w:r w:rsidRPr="00000DD3">
        <w:rPr>
          <w:rFonts w:ascii="Book Antiqua" w:hAnsi="Book Antiqua"/>
        </w:rPr>
        <w:t>Otabe</w:t>
      </w:r>
      <w:proofErr w:type="spellEnd"/>
      <w:r w:rsidRPr="00000DD3">
        <w:rPr>
          <w:rFonts w:ascii="Book Antiqua" w:hAnsi="Book Antiqua"/>
        </w:rPr>
        <w:t xml:space="preserve"> K, Tsuji K, Koga H, Mochizuki M, Sekiya I. Canine mesenchymal stem cells from synovium have a higher chondrogenic potential than those from infrapatellar fat pad, adipose tissue, and bone marrow. </w:t>
      </w:r>
      <w:proofErr w:type="spellStart"/>
      <w:r w:rsidRPr="00000DD3">
        <w:rPr>
          <w:rFonts w:ascii="Book Antiqua" w:hAnsi="Book Antiqua"/>
          <w:i/>
        </w:rPr>
        <w:t>PLoS</w:t>
      </w:r>
      <w:proofErr w:type="spellEnd"/>
      <w:r w:rsidRPr="00000DD3">
        <w:rPr>
          <w:rFonts w:ascii="Book Antiqua" w:hAnsi="Book Antiqua"/>
          <w:i/>
        </w:rPr>
        <w:t xml:space="preserve"> One</w:t>
      </w:r>
      <w:r w:rsidRPr="00000DD3">
        <w:rPr>
          <w:rFonts w:ascii="Book Antiqua" w:hAnsi="Book Antiqua"/>
        </w:rPr>
        <w:t xml:space="preserve"> 2018; </w:t>
      </w:r>
      <w:r w:rsidRPr="00000DD3">
        <w:rPr>
          <w:rFonts w:ascii="Book Antiqua" w:hAnsi="Book Antiqua"/>
          <w:b/>
        </w:rPr>
        <w:t>13</w:t>
      </w:r>
      <w:r w:rsidRPr="00000DD3">
        <w:rPr>
          <w:rFonts w:ascii="Book Antiqua" w:hAnsi="Book Antiqua"/>
        </w:rPr>
        <w:t>: e0202922 [PMID: 30138399 DOI: 10.1371/journal.pone.0202922]</w:t>
      </w:r>
    </w:p>
    <w:p w14:paraId="281BA4A7"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41 </w:t>
      </w:r>
      <w:r w:rsidRPr="00000DD3">
        <w:rPr>
          <w:rFonts w:ascii="Book Antiqua" w:hAnsi="Book Antiqua"/>
          <w:b/>
        </w:rPr>
        <w:t>Quimby JM</w:t>
      </w:r>
      <w:r w:rsidRPr="00000DD3">
        <w:rPr>
          <w:rFonts w:ascii="Book Antiqua" w:hAnsi="Book Antiqua"/>
        </w:rPr>
        <w:t xml:space="preserve">, </w:t>
      </w:r>
      <w:proofErr w:type="spellStart"/>
      <w:r w:rsidRPr="00000DD3">
        <w:rPr>
          <w:rFonts w:ascii="Book Antiqua" w:hAnsi="Book Antiqua"/>
        </w:rPr>
        <w:t>Borjesson</w:t>
      </w:r>
      <w:proofErr w:type="spellEnd"/>
      <w:r w:rsidRPr="00000DD3">
        <w:rPr>
          <w:rFonts w:ascii="Book Antiqua" w:hAnsi="Book Antiqua"/>
        </w:rPr>
        <w:t xml:space="preserve"> DL. Mesenchymal stem cell therapy in cats: Current knowledge and future potential. </w:t>
      </w:r>
      <w:r w:rsidRPr="00000DD3">
        <w:rPr>
          <w:rFonts w:ascii="Book Antiqua" w:hAnsi="Book Antiqua"/>
          <w:i/>
        </w:rPr>
        <w:t>J Feline Med Surg</w:t>
      </w:r>
      <w:r w:rsidRPr="00000DD3">
        <w:rPr>
          <w:rFonts w:ascii="Book Antiqua" w:hAnsi="Book Antiqua"/>
        </w:rPr>
        <w:t xml:space="preserve"> 2018; </w:t>
      </w:r>
      <w:r w:rsidRPr="00000DD3">
        <w:rPr>
          <w:rFonts w:ascii="Book Antiqua" w:hAnsi="Book Antiqua"/>
          <w:b/>
        </w:rPr>
        <w:t>20</w:t>
      </w:r>
      <w:r w:rsidRPr="00000DD3">
        <w:rPr>
          <w:rFonts w:ascii="Book Antiqua" w:hAnsi="Book Antiqua"/>
        </w:rPr>
        <w:t>: 208-216 [PMID: 29478398 DOI: 10.1177/1098612X18758590]</w:t>
      </w:r>
    </w:p>
    <w:p w14:paraId="478860A7"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42 </w:t>
      </w:r>
      <w:r w:rsidRPr="00000DD3">
        <w:rPr>
          <w:rFonts w:ascii="Book Antiqua" w:hAnsi="Book Antiqua"/>
          <w:b/>
        </w:rPr>
        <w:t>Bharti D</w:t>
      </w:r>
      <w:r w:rsidRPr="00000DD3">
        <w:rPr>
          <w:rFonts w:ascii="Book Antiqua" w:hAnsi="Book Antiqua"/>
        </w:rPr>
        <w:t xml:space="preserve">, </w:t>
      </w:r>
      <w:proofErr w:type="spellStart"/>
      <w:r w:rsidRPr="00000DD3">
        <w:rPr>
          <w:rFonts w:ascii="Book Antiqua" w:hAnsi="Book Antiqua"/>
        </w:rPr>
        <w:t>Shivakumar</w:t>
      </w:r>
      <w:proofErr w:type="spellEnd"/>
      <w:r w:rsidRPr="00000DD3">
        <w:rPr>
          <w:rFonts w:ascii="Book Antiqua" w:hAnsi="Book Antiqua"/>
        </w:rPr>
        <w:t xml:space="preserve"> SB, Subbarao RB, Rho GJ. Research Advancements in Porcine Derived Mesenchymal Stem Cells. </w:t>
      </w:r>
      <w:proofErr w:type="spellStart"/>
      <w:r w:rsidRPr="00000DD3">
        <w:rPr>
          <w:rFonts w:ascii="Book Antiqua" w:hAnsi="Book Antiqua"/>
          <w:i/>
        </w:rPr>
        <w:t>Curr</w:t>
      </w:r>
      <w:proofErr w:type="spellEnd"/>
      <w:r w:rsidRPr="00000DD3">
        <w:rPr>
          <w:rFonts w:ascii="Book Antiqua" w:hAnsi="Book Antiqua"/>
          <w:i/>
        </w:rPr>
        <w:t xml:space="preserve"> Stem Cell Res </w:t>
      </w:r>
      <w:proofErr w:type="spellStart"/>
      <w:r w:rsidRPr="00000DD3">
        <w:rPr>
          <w:rFonts w:ascii="Book Antiqua" w:hAnsi="Book Antiqua"/>
          <w:i/>
        </w:rPr>
        <w:t>Ther</w:t>
      </w:r>
      <w:proofErr w:type="spellEnd"/>
      <w:r w:rsidRPr="00000DD3">
        <w:rPr>
          <w:rFonts w:ascii="Book Antiqua" w:hAnsi="Book Antiqua"/>
        </w:rPr>
        <w:t xml:space="preserve"> 2016; </w:t>
      </w:r>
      <w:r w:rsidRPr="00000DD3">
        <w:rPr>
          <w:rFonts w:ascii="Book Antiqua" w:hAnsi="Book Antiqua"/>
          <w:b/>
        </w:rPr>
        <w:t>11</w:t>
      </w:r>
      <w:r w:rsidRPr="00000DD3">
        <w:rPr>
          <w:rFonts w:ascii="Book Antiqua" w:hAnsi="Book Antiqua"/>
        </w:rPr>
        <w:t>: 78-93 [PMID: 26201864 DOI: 10.2174/1574888X10666150723145911]</w:t>
      </w:r>
    </w:p>
    <w:p w14:paraId="55F0B32B"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43 </w:t>
      </w:r>
      <w:r w:rsidRPr="00000DD3">
        <w:rPr>
          <w:rFonts w:ascii="Book Antiqua" w:hAnsi="Book Antiqua"/>
          <w:b/>
        </w:rPr>
        <w:t>Zayed M</w:t>
      </w:r>
      <w:r w:rsidRPr="00000DD3">
        <w:rPr>
          <w:rFonts w:ascii="Book Antiqua" w:hAnsi="Book Antiqua"/>
        </w:rPr>
        <w:t xml:space="preserve">, Caniglia C, </w:t>
      </w:r>
      <w:proofErr w:type="spellStart"/>
      <w:r w:rsidRPr="00000DD3">
        <w:rPr>
          <w:rFonts w:ascii="Book Antiqua" w:hAnsi="Book Antiqua"/>
        </w:rPr>
        <w:t>Misk</w:t>
      </w:r>
      <w:proofErr w:type="spellEnd"/>
      <w:r w:rsidRPr="00000DD3">
        <w:rPr>
          <w:rFonts w:ascii="Book Antiqua" w:hAnsi="Book Antiqua"/>
        </w:rPr>
        <w:t xml:space="preserve"> N, Dhar MS. Donor-Matched Comparison of Chondrogenic Potential of Equine Bone Marrow- and Synovial Fluid-Derived Mesenchymal Stem Cells: Implications for Cartilage Tissue Regeneration. </w:t>
      </w:r>
      <w:r w:rsidRPr="00000DD3">
        <w:rPr>
          <w:rFonts w:ascii="Book Antiqua" w:hAnsi="Book Antiqua"/>
          <w:i/>
        </w:rPr>
        <w:t>Front Vet Sci</w:t>
      </w:r>
      <w:r w:rsidRPr="00000DD3">
        <w:rPr>
          <w:rFonts w:ascii="Book Antiqua" w:hAnsi="Book Antiqua"/>
        </w:rPr>
        <w:t xml:space="preserve"> 2017; </w:t>
      </w:r>
      <w:r w:rsidRPr="00000DD3">
        <w:rPr>
          <w:rFonts w:ascii="Book Antiqua" w:hAnsi="Book Antiqua"/>
          <w:b/>
        </w:rPr>
        <w:t>3</w:t>
      </w:r>
      <w:r w:rsidRPr="00000DD3">
        <w:rPr>
          <w:rFonts w:ascii="Book Antiqua" w:hAnsi="Book Antiqua"/>
        </w:rPr>
        <w:t>: 121 [PMID: 28149840 DOI: 10.3389/fvets.2016.00121]</w:t>
      </w:r>
    </w:p>
    <w:p w14:paraId="0E1663EC"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44 </w:t>
      </w:r>
      <w:r w:rsidRPr="00000DD3">
        <w:rPr>
          <w:rFonts w:ascii="Book Antiqua" w:hAnsi="Book Antiqua"/>
          <w:b/>
        </w:rPr>
        <w:t>Fellows CR</w:t>
      </w:r>
      <w:r w:rsidRPr="00000DD3">
        <w:rPr>
          <w:rFonts w:ascii="Book Antiqua" w:hAnsi="Book Antiqua"/>
        </w:rPr>
        <w:t xml:space="preserve">, Matta C, </w:t>
      </w:r>
      <w:proofErr w:type="spellStart"/>
      <w:r w:rsidRPr="00000DD3">
        <w:rPr>
          <w:rFonts w:ascii="Book Antiqua" w:hAnsi="Book Antiqua"/>
        </w:rPr>
        <w:t>Zakany</w:t>
      </w:r>
      <w:proofErr w:type="spellEnd"/>
      <w:r w:rsidRPr="00000DD3">
        <w:rPr>
          <w:rFonts w:ascii="Book Antiqua" w:hAnsi="Book Antiqua"/>
        </w:rPr>
        <w:t xml:space="preserve"> R, Khan IM, </w:t>
      </w:r>
      <w:proofErr w:type="spellStart"/>
      <w:r w:rsidRPr="00000DD3">
        <w:rPr>
          <w:rFonts w:ascii="Book Antiqua" w:hAnsi="Book Antiqua"/>
        </w:rPr>
        <w:t>Mobasheri</w:t>
      </w:r>
      <w:proofErr w:type="spellEnd"/>
      <w:r w:rsidRPr="00000DD3">
        <w:rPr>
          <w:rFonts w:ascii="Book Antiqua" w:hAnsi="Book Antiqua"/>
        </w:rPr>
        <w:t xml:space="preserve"> A. Adipose, Bone Marrow and Synovial Joint-Derived Mesenchymal Stem Cells for Cartilage Repair. </w:t>
      </w:r>
      <w:r w:rsidRPr="00000DD3">
        <w:rPr>
          <w:rFonts w:ascii="Book Antiqua" w:hAnsi="Book Antiqua"/>
          <w:i/>
        </w:rPr>
        <w:t>Front Genet</w:t>
      </w:r>
      <w:r w:rsidRPr="00000DD3">
        <w:rPr>
          <w:rFonts w:ascii="Book Antiqua" w:hAnsi="Book Antiqua"/>
        </w:rPr>
        <w:t xml:space="preserve"> 2016; </w:t>
      </w:r>
      <w:r w:rsidRPr="00000DD3">
        <w:rPr>
          <w:rFonts w:ascii="Book Antiqua" w:hAnsi="Book Antiqua"/>
          <w:b/>
        </w:rPr>
        <w:t>7</w:t>
      </w:r>
      <w:r w:rsidRPr="00000DD3">
        <w:rPr>
          <w:rFonts w:ascii="Book Antiqua" w:hAnsi="Book Antiqua"/>
        </w:rPr>
        <w:t>: 213 [PMID: 28066501 DOI: 10.3389/fgene.2016.00213]</w:t>
      </w:r>
    </w:p>
    <w:p w14:paraId="0C040C69"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45 </w:t>
      </w:r>
      <w:proofErr w:type="spellStart"/>
      <w:r w:rsidRPr="00000DD3">
        <w:rPr>
          <w:rFonts w:ascii="Book Antiqua" w:hAnsi="Book Antiqua"/>
          <w:b/>
        </w:rPr>
        <w:t>Dominici</w:t>
      </w:r>
      <w:proofErr w:type="spellEnd"/>
      <w:r w:rsidRPr="00000DD3">
        <w:rPr>
          <w:rFonts w:ascii="Book Antiqua" w:hAnsi="Book Antiqua"/>
          <w:b/>
        </w:rPr>
        <w:t xml:space="preserve"> M</w:t>
      </w:r>
      <w:r w:rsidRPr="00000DD3">
        <w:rPr>
          <w:rFonts w:ascii="Book Antiqua" w:hAnsi="Book Antiqua"/>
        </w:rPr>
        <w:t xml:space="preserve">, Le Blanc K, Mueller I, </w:t>
      </w:r>
      <w:proofErr w:type="spellStart"/>
      <w:r w:rsidRPr="00000DD3">
        <w:rPr>
          <w:rFonts w:ascii="Book Antiqua" w:hAnsi="Book Antiqua"/>
        </w:rPr>
        <w:t>Slaper-Cortenbach</w:t>
      </w:r>
      <w:proofErr w:type="spellEnd"/>
      <w:r w:rsidRPr="00000DD3">
        <w:rPr>
          <w:rFonts w:ascii="Book Antiqua" w:hAnsi="Book Antiqua"/>
        </w:rPr>
        <w:t xml:space="preserve"> I, Marini F, Krause D, Deans R, Keating A, </w:t>
      </w:r>
      <w:proofErr w:type="spellStart"/>
      <w:r w:rsidRPr="00000DD3">
        <w:rPr>
          <w:rFonts w:ascii="Book Antiqua" w:hAnsi="Book Antiqua"/>
        </w:rPr>
        <w:t>Prockop</w:t>
      </w:r>
      <w:proofErr w:type="spellEnd"/>
      <w:r w:rsidRPr="00000DD3">
        <w:rPr>
          <w:rFonts w:ascii="Book Antiqua" w:hAnsi="Book Antiqua"/>
        </w:rPr>
        <w:t xml:space="preserve"> </w:t>
      </w:r>
      <w:proofErr w:type="spellStart"/>
      <w:r w:rsidRPr="00000DD3">
        <w:rPr>
          <w:rFonts w:ascii="Book Antiqua" w:hAnsi="Book Antiqua"/>
        </w:rPr>
        <w:t>Dj</w:t>
      </w:r>
      <w:proofErr w:type="spellEnd"/>
      <w:r w:rsidRPr="00000DD3">
        <w:rPr>
          <w:rFonts w:ascii="Book Antiqua" w:hAnsi="Book Antiqua"/>
        </w:rPr>
        <w:t xml:space="preserve">, Horwitz E. Minimal criteria for defining multipotent mesenchymal stromal cells. The International Society for Cellular Therapy position statement. </w:t>
      </w:r>
      <w:proofErr w:type="spellStart"/>
      <w:r w:rsidRPr="00000DD3">
        <w:rPr>
          <w:rFonts w:ascii="Book Antiqua" w:hAnsi="Book Antiqua"/>
          <w:i/>
        </w:rPr>
        <w:t>Cytotherapy</w:t>
      </w:r>
      <w:proofErr w:type="spellEnd"/>
      <w:r w:rsidRPr="00000DD3">
        <w:rPr>
          <w:rFonts w:ascii="Book Antiqua" w:hAnsi="Book Antiqua"/>
        </w:rPr>
        <w:t xml:space="preserve"> 2006; </w:t>
      </w:r>
      <w:r w:rsidRPr="00000DD3">
        <w:rPr>
          <w:rFonts w:ascii="Book Antiqua" w:hAnsi="Book Antiqua"/>
          <w:b/>
        </w:rPr>
        <w:t>8</w:t>
      </w:r>
      <w:r w:rsidRPr="00000DD3">
        <w:rPr>
          <w:rFonts w:ascii="Book Antiqua" w:hAnsi="Book Antiqua"/>
        </w:rPr>
        <w:t>: 315-317 [PMID: 16923606 DOI: 10.1080/14653240600855905]</w:t>
      </w:r>
    </w:p>
    <w:p w14:paraId="125CCA0D"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46 </w:t>
      </w:r>
      <w:proofErr w:type="spellStart"/>
      <w:r w:rsidRPr="00000DD3">
        <w:rPr>
          <w:rFonts w:ascii="Book Antiqua" w:hAnsi="Book Antiqua"/>
          <w:b/>
        </w:rPr>
        <w:t>Csaki</w:t>
      </w:r>
      <w:proofErr w:type="spellEnd"/>
      <w:r w:rsidRPr="00000DD3">
        <w:rPr>
          <w:rFonts w:ascii="Book Antiqua" w:hAnsi="Book Antiqua"/>
          <w:b/>
        </w:rPr>
        <w:t xml:space="preserve"> C</w:t>
      </w:r>
      <w:r w:rsidRPr="00000DD3">
        <w:rPr>
          <w:rFonts w:ascii="Book Antiqua" w:hAnsi="Book Antiqua"/>
        </w:rPr>
        <w:t xml:space="preserve">, </w:t>
      </w:r>
      <w:proofErr w:type="spellStart"/>
      <w:r w:rsidRPr="00000DD3">
        <w:rPr>
          <w:rFonts w:ascii="Book Antiqua" w:hAnsi="Book Antiqua"/>
        </w:rPr>
        <w:t>Matis</w:t>
      </w:r>
      <w:proofErr w:type="spellEnd"/>
      <w:r w:rsidRPr="00000DD3">
        <w:rPr>
          <w:rFonts w:ascii="Book Antiqua" w:hAnsi="Book Antiqua"/>
        </w:rPr>
        <w:t xml:space="preserve"> U, </w:t>
      </w:r>
      <w:proofErr w:type="spellStart"/>
      <w:r w:rsidRPr="00000DD3">
        <w:rPr>
          <w:rFonts w:ascii="Book Antiqua" w:hAnsi="Book Antiqua"/>
        </w:rPr>
        <w:t>Mobasheri</w:t>
      </w:r>
      <w:proofErr w:type="spellEnd"/>
      <w:r w:rsidRPr="00000DD3">
        <w:rPr>
          <w:rFonts w:ascii="Book Antiqua" w:hAnsi="Book Antiqua"/>
        </w:rPr>
        <w:t xml:space="preserve"> A, Ye H, </w:t>
      </w:r>
      <w:proofErr w:type="spellStart"/>
      <w:r w:rsidRPr="00000DD3">
        <w:rPr>
          <w:rFonts w:ascii="Book Antiqua" w:hAnsi="Book Antiqua"/>
        </w:rPr>
        <w:t>Shakibaei</w:t>
      </w:r>
      <w:proofErr w:type="spellEnd"/>
      <w:r w:rsidRPr="00000DD3">
        <w:rPr>
          <w:rFonts w:ascii="Book Antiqua" w:hAnsi="Book Antiqua"/>
        </w:rPr>
        <w:t xml:space="preserve"> M. Chondrogenesis, osteogenesis and adipogenesis of canine mesenchymal stem cells: a biochemical, morphological and ultrastructural study. </w:t>
      </w:r>
      <w:proofErr w:type="spellStart"/>
      <w:r w:rsidRPr="00000DD3">
        <w:rPr>
          <w:rFonts w:ascii="Book Antiqua" w:hAnsi="Book Antiqua"/>
          <w:i/>
        </w:rPr>
        <w:t>Histochem</w:t>
      </w:r>
      <w:proofErr w:type="spellEnd"/>
      <w:r w:rsidRPr="00000DD3">
        <w:rPr>
          <w:rFonts w:ascii="Book Antiqua" w:hAnsi="Book Antiqua"/>
          <w:i/>
        </w:rPr>
        <w:t xml:space="preserve"> Cell Biol</w:t>
      </w:r>
      <w:r w:rsidRPr="00000DD3">
        <w:rPr>
          <w:rFonts w:ascii="Book Antiqua" w:hAnsi="Book Antiqua"/>
        </w:rPr>
        <w:t xml:space="preserve"> 2007; </w:t>
      </w:r>
      <w:r w:rsidRPr="00000DD3">
        <w:rPr>
          <w:rFonts w:ascii="Book Antiqua" w:hAnsi="Book Antiqua"/>
          <w:b/>
        </w:rPr>
        <w:t>128</w:t>
      </w:r>
      <w:r w:rsidRPr="00000DD3">
        <w:rPr>
          <w:rFonts w:ascii="Book Antiqua" w:hAnsi="Book Antiqua"/>
        </w:rPr>
        <w:t>: 507-520 [PMID: 17922135 DOI: 10.1007/s00418-007-0337-z]</w:t>
      </w:r>
    </w:p>
    <w:p w14:paraId="0CC00727"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47 </w:t>
      </w:r>
      <w:r w:rsidRPr="00000DD3">
        <w:rPr>
          <w:rFonts w:ascii="Book Antiqua" w:hAnsi="Book Antiqua"/>
          <w:b/>
        </w:rPr>
        <w:t>Zhang S</w:t>
      </w:r>
      <w:r w:rsidRPr="00000DD3">
        <w:rPr>
          <w:rFonts w:ascii="Book Antiqua" w:hAnsi="Book Antiqua"/>
        </w:rPr>
        <w:t>, Zhao C, Liu S, Wang Y, Zhao Y, Guan W, Zhu Z. Characteristics and multi</w:t>
      </w:r>
      <w:r w:rsidRPr="00000DD3">
        <w:rPr>
          <w:rFonts w:ascii="Book Antiqua" w:hAnsi="Book Antiqua"/>
        </w:rPr>
        <w:noBreakHyphen/>
        <w:t xml:space="preserve">lineage differentiation of bone marrow mesenchymal stem cells derived from the Tibetan mastiff. </w:t>
      </w:r>
      <w:r w:rsidRPr="00000DD3">
        <w:rPr>
          <w:rFonts w:ascii="Book Antiqua" w:hAnsi="Book Antiqua"/>
          <w:i/>
        </w:rPr>
        <w:t>Mol Med Rep</w:t>
      </w:r>
      <w:r w:rsidRPr="00000DD3">
        <w:rPr>
          <w:rFonts w:ascii="Book Antiqua" w:hAnsi="Book Antiqua"/>
        </w:rPr>
        <w:t xml:space="preserve"> 2018; </w:t>
      </w:r>
      <w:r w:rsidRPr="00000DD3">
        <w:rPr>
          <w:rFonts w:ascii="Book Antiqua" w:hAnsi="Book Antiqua"/>
          <w:b/>
        </w:rPr>
        <w:t>18</w:t>
      </w:r>
      <w:r w:rsidRPr="00000DD3">
        <w:rPr>
          <w:rFonts w:ascii="Book Antiqua" w:hAnsi="Book Antiqua"/>
        </w:rPr>
        <w:t>: 2097-2109 [PMID: 29916546 DOI: 10.3892/mmr.2018.9172]</w:t>
      </w:r>
    </w:p>
    <w:p w14:paraId="3DDF2003"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48 </w:t>
      </w:r>
      <w:r w:rsidRPr="00000DD3">
        <w:rPr>
          <w:rFonts w:ascii="Book Antiqua" w:hAnsi="Book Antiqua"/>
          <w:b/>
        </w:rPr>
        <w:t>Vieira NM</w:t>
      </w:r>
      <w:r w:rsidRPr="00000DD3">
        <w:rPr>
          <w:rFonts w:ascii="Book Antiqua" w:hAnsi="Book Antiqua"/>
        </w:rPr>
        <w:t xml:space="preserve">, </w:t>
      </w:r>
      <w:proofErr w:type="spellStart"/>
      <w:r w:rsidRPr="00000DD3">
        <w:rPr>
          <w:rFonts w:ascii="Book Antiqua" w:hAnsi="Book Antiqua"/>
        </w:rPr>
        <w:t>Brandalise</w:t>
      </w:r>
      <w:proofErr w:type="spellEnd"/>
      <w:r w:rsidRPr="00000DD3">
        <w:rPr>
          <w:rFonts w:ascii="Book Antiqua" w:hAnsi="Book Antiqua"/>
        </w:rPr>
        <w:t xml:space="preserve"> V, </w:t>
      </w:r>
      <w:proofErr w:type="spellStart"/>
      <w:r w:rsidRPr="00000DD3">
        <w:rPr>
          <w:rFonts w:ascii="Book Antiqua" w:hAnsi="Book Antiqua"/>
        </w:rPr>
        <w:t>Zucconi</w:t>
      </w:r>
      <w:proofErr w:type="spellEnd"/>
      <w:r w:rsidRPr="00000DD3">
        <w:rPr>
          <w:rFonts w:ascii="Book Antiqua" w:hAnsi="Book Antiqua"/>
        </w:rPr>
        <w:t xml:space="preserve"> E, Secco M, Strauss BE, </w:t>
      </w:r>
      <w:proofErr w:type="spellStart"/>
      <w:r w:rsidRPr="00000DD3">
        <w:rPr>
          <w:rFonts w:ascii="Book Antiqua" w:hAnsi="Book Antiqua"/>
        </w:rPr>
        <w:t>Zatz</w:t>
      </w:r>
      <w:proofErr w:type="spellEnd"/>
      <w:r w:rsidRPr="00000DD3">
        <w:rPr>
          <w:rFonts w:ascii="Book Antiqua" w:hAnsi="Book Antiqua"/>
        </w:rPr>
        <w:t xml:space="preserve"> M. Isolation, characterization, and differentiation potential of canine adipose-derived stem cells. </w:t>
      </w:r>
      <w:r w:rsidRPr="00000DD3">
        <w:rPr>
          <w:rFonts w:ascii="Book Antiqua" w:hAnsi="Book Antiqua"/>
          <w:i/>
        </w:rPr>
        <w:t>Cell Transplant</w:t>
      </w:r>
      <w:r w:rsidRPr="00000DD3">
        <w:rPr>
          <w:rFonts w:ascii="Book Antiqua" w:hAnsi="Book Antiqua"/>
        </w:rPr>
        <w:t xml:space="preserve"> 2010; </w:t>
      </w:r>
      <w:r w:rsidRPr="00000DD3">
        <w:rPr>
          <w:rFonts w:ascii="Book Antiqua" w:hAnsi="Book Antiqua"/>
          <w:b/>
        </w:rPr>
        <w:t>19</w:t>
      </w:r>
      <w:r w:rsidRPr="00000DD3">
        <w:rPr>
          <w:rFonts w:ascii="Book Antiqua" w:hAnsi="Book Antiqua"/>
        </w:rPr>
        <w:t>: 279-289 [PMID: 19995482 DOI: 10.3727/096368909X481764]</w:t>
      </w:r>
    </w:p>
    <w:p w14:paraId="33DBD973"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49 </w:t>
      </w:r>
      <w:r w:rsidRPr="00000DD3">
        <w:rPr>
          <w:rFonts w:ascii="Book Antiqua" w:hAnsi="Book Antiqua"/>
          <w:b/>
        </w:rPr>
        <w:t>Screven R</w:t>
      </w:r>
      <w:r w:rsidRPr="00000DD3">
        <w:rPr>
          <w:rFonts w:ascii="Book Antiqua" w:hAnsi="Book Antiqua"/>
        </w:rPr>
        <w:t xml:space="preserve">, Kenyon E, Myers MJ, Yancy HF, </w:t>
      </w:r>
      <w:proofErr w:type="spellStart"/>
      <w:r w:rsidRPr="00000DD3">
        <w:rPr>
          <w:rFonts w:ascii="Book Antiqua" w:hAnsi="Book Antiqua"/>
        </w:rPr>
        <w:t>Skasko</w:t>
      </w:r>
      <w:proofErr w:type="spellEnd"/>
      <w:r w:rsidRPr="00000DD3">
        <w:rPr>
          <w:rFonts w:ascii="Book Antiqua" w:hAnsi="Book Antiqua"/>
        </w:rPr>
        <w:t xml:space="preserve"> M, Boxer L, Bigley EC 3rd, </w:t>
      </w:r>
      <w:proofErr w:type="spellStart"/>
      <w:r w:rsidRPr="00000DD3">
        <w:rPr>
          <w:rFonts w:ascii="Book Antiqua" w:hAnsi="Book Antiqua"/>
        </w:rPr>
        <w:t>Borjesson</w:t>
      </w:r>
      <w:proofErr w:type="spellEnd"/>
      <w:r w:rsidRPr="00000DD3">
        <w:rPr>
          <w:rFonts w:ascii="Book Antiqua" w:hAnsi="Book Antiqua"/>
        </w:rPr>
        <w:t xml:space="preserve"> DL, Zhu M. Immunophenotype and gene expression profile of mesenchymal stem cells derived from canine adipose tissue and bone marrow. </w:t>
      </w:r>
      <w:r w:rsidRPr="00000DD3">
        <w:rPr>
          <w:rFonts w:ascii="Book Antiqua" w:hAnsi="Book Antiqua"/>
          <w:i/>
        </w:rPr>
        <w:t xml:space="preserve">Vet Immunol </w:t>
      </w:r>
      <w:proofErr w:type="spellStart"/>
      <w:r w:rsidRPr="00000DD3">
        <w:rPr>
          <w:rFonts w:ascii="Book Antiqua" w:hAnsi="Book Antiqua"/>
          <w:i/>
        </w:rPr>
        <w:t>Immunopathol</w:t>
      </w:r>
      <w:proofErr w:type="spellEnd"/>
      <w:r w:rsidRPr="00000DD3">
        <w:rPr>
          <w:rFonts w:ascii="Book Antiqua" w:hAnsi="Book Antiqua"/>
        </w:rPr>
        <w:t xml:space="preserve"> 2014; </w:t>
      </w:r>
      <w:r w:rsidRPr="00000DD3">
        <w:rPr>
          <w:rFonts w:ascii="Book Antiqua" w:hAnsi="Book Antiqua"/>
          <w:b/>
        </w:rPr>
        <w:t>161</w:t>
      </w:r>
      <w:r w:rsidRPr="00000DD3">
        <w:rPr>
          <w:rFonts w:ascii="Book Antiqua" w:hAnsi="Book Antiqua"/>
        </w:rPr>
        <w:t>: 21-31 [PMID: 25026887 DOI: 10.1016/j.vetimm.2014.06.002]</w:t>
      </w:r>
    </w:p>
    <w:p w14:paraId="1431D9C3"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50 </w:t>
      </w:r>
      <w:r w:rsidRPr="00000DD3">
        <w:rPr>
          <w:rFonts w:ascii="Book Antiqua" w:hAnsi="Book Antiqua"/>
          <w:b/>
        </w:rPr>
        <w:t>Kang BJ</w:t>
      </w:r>
      <w:r w:rsidRPr="00000DD3">
        <w:rPr>
          <w:rFonts w:ascii="Book Antiqua" w:hAnsi="Book Antiqua"/>
        </w:rPr>
        <w:t xml:space="preserve">, Ryu HH, Park SS, Koyama Y, Kikuchi M, Woo HM, Kim WH, </w:t>
      </w:r>
      <w:proofErr w:type="spellStart"/>
      <w:r w:rsidRPr="00000DD3">
        <w:rPr>
          <w:rFonts w:ascii="Book Antiqua" w:hAnsi="Book Antiqua"/>
        </w:rPr>
        <w:t>Kweon</w:t>
      </w:r>
      <w:proofErr w:type="spellEnd"/>
      <w:r w:rsidRPr="00000DD3">
        <w:rPr>
          <w:rFonts w:ascii="Book Antiqua" w:hAnsi="Book Antiqua"/>
        </w:rPr>
        <w:t xml:space="preserve"> OK. Comparing the osteogenic potential of canine mesenchymal stem cells derived from adipose tissues, bone marrow, umbilical cord blood, and Wharton's jelly for treating bone defects. </w:t>
      </w:r>
      <w:r w:rsidRPr="00000DD3">
        <w:rPr>
          <w:rFonts w:ascii="Book Antiqua" w:hAnsi="Book Antiqua"/>
          <w:i/>
        </w:rPr>
        <w:t>J Vet Sci</w:t>
      </w:r>
      <w:r w:rsidRPr="00000DD3">
        <w:rPr>
          <w:rFonts w:ascii="Book Antiqua" w:hAnsi="Book Antiqua"/>
        </w:rPr>
        <w:t xml:space="preserve"> 2012; </w:t>
      </w:r>
      <w:r w:rsidRPr="00000DD3">
        <w:rPr>
          <w:rFonts w:ascii="Book Antiqua" w:hAnsi="Book Antiqua"/>
          <w:b/>
        </w:rPr>
        <w:t>13</w:t>
      </w:r>
      <w:r w:rsidRPr="00000DD3">
        <w:rPr>
          <w:rFonts w:ascii="Book Antiqua" w:hAnsi="Book Antiqua"/>
        </w:rPr>
        <w:t>: 299-310 [PMID: 23000587 DOI: 10.4142/jvs.2012.13.3.299]</w:t>
      </w:r>
    </w:p>
    <w:p w14:paraId="577BBE2B"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51 </w:t>
      </w:r>
      <w:r w:rsidRPr="00000DD3">
        <w:rPr>
          <w:rFonts w:ascii="Book Antiqua" w:hAnsi="Book Antiqua"/>
          <w:b/>
        </w:rPr>
        <w:t>Zhang BY</w:t>
      </w:r>
      <w:r w:rsidRPr="00000DD3">
        <w:rPr>
          <w:rFonts w:ascii="Book Antiqua" w:hAnsi="Book Antiqua"/>
        </w:rPr>
        <w:t xml:space="preserve">, Wang BY, Li SC, Luo DZ, Zhan X, Chen SF, Chen ZS, Liu CY, Ji HQ, Bai YS, Li DS, He Y. Evaluation of the Curative Effect of Umbilical Cord Mesenchymal Stem Cell Therapy for Knee Arthritis in Dogs Using Imaging Technology. </w:t>
      </w:r>
      <w:r w:rsidRPr="00000DD3">
        <w:rPr>
          <w:rFonts w:ascii="Book Antiqua" w:hAnsi="Book Antiqua"/>
          <w:i/>
        </w:rPr>
        <w:t>Stem Cells Int</w:t>
      </w:r>
      <w:r w:rsidRPr="00000DD3">
        <w:rPr>
          <w:rFonts w:ascii="Book Antiqua" w:hAnsi="Book Antiqua"/>
        </w:rPr>
        <w:t xml:space="preserve"> 2018; </w:t>
      </w:r>
      <w:r w:rsidRPr="00000DD3">
        <w:rPr>
          <w:rFonts w:ascii="Book Antiqua" w:hAnsi="Book Antiqua"/>
          <w:b/>
        </w:rPr>
        <w:t>2018</w:t>
      </w:r>
      <w:r w:rsidRPr="00000DD3">
        <w:rPr>
          <w:rFonts w:ascii="Book Antiqua" w:hAnsi="Book Antiqua"/>
        </w:rPr>
        <w:t>: 1983025 [PMID: 29861739 DOI: 10.1155/2018/1983025]</w:t>
      </w:r>
    </w:p>
    <w:p w14:paraId="413B5788"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52 </w:t>
      </w:r>
      <w:proofErr w:type="spellStart"/>
      <w:r w:rsidRPr="00000DD3">
        <w:rPr>
          <w:rFonts w:ascii="Book Antiqua" w:hAnsi="Book Antiqua"/>
          <w:b/>
        </w:rPr>
        <w:t>Kisiel</w:t>
      </w:r>
      <w:proofErr w:type="spellEnd"/>
      <w:r w:rsidRPr="00000DD3">
        <w:rPr>
          <w:rFonts w:ascii="Book Antiqua" w:hAnsi="Book Antiqua"/>
          <w:b/>
        </w:rPr>
        <w:t xml:space="preserve"> AH</w:t>
      </w:r>
      <w:r w:rsidRPr="00000DD3">
        <w:rPr>
          <w:rFonts w:ascii="Book Antiqua" w:hAnsi="Book Antiqua"/>
        </w:rPr>
        <w:t xml:space="preserve">, </w:t>
      </w:r>
      <w:proofErr w:type="spellStart"/>
      <w:r w:rsidRPr="00000DD3">
        <w:rPr>
          <w:rFonts w:ascii="Book Antiqua" w:hAnsi="Book Antiqua"/>
        </w:rPr>
        <w:t>McDuffee</w:t>
      </w:r>
      <w:proofErr w:type="spellEnd"/>
      <w:r w:rsidRPr="00000DD3">
        <w:rPr>
          <w:rFonts w:ascii="Book Antiqua" w:hAnsi="Book Antiqua"/>
        </w:rPr>
        <w:t xml:space="preserve"> LA, </w:t>
      </w:r>
      <w:proofErr w:type="spellStart"/>
      <w:r w:rsidRPr="00000DD3">
        <w:rPr>
          <w:rFonts w:ascii="Book Antiqua" w:hAnsi="Book Antiqua"/>
        </w:rPr>
        <w:t>Masaoud</w:t>
      </w:r>
      <w:proofErr w:type="spellEnd"/>
      <w:r w:rsidRPr="00000DD3">
        <w:rPr>
          <w:rFonts w:ascii="Book Antiqua" w:hAnsi="Book Antiqua"/>
        </w:rPr>
        <w:t xml:space="preserve"> E, Bailey TR, Esparza Gonzalez BP, Nino-Fong R. Isolation, characterization, and in vitro proliferation of canine mesenchymal stem cells derived from bone marrow, adipose tissue, muscle, and periosteum. </w:t>
      </w:r>
      <w:r w:rsidRPr="00000DD3">
        <w:rPr>
          <w:rFonts w:ascii="Book Antiqua" w:hAnsi="Book Antiqua"/>
          <w:i/>
        </w:rPr>
        <w:t>Am J Vet Res</w:t>
      </w:r>
      <w:r w:rsidRPr="00000DD3">
        <w:rPr>
          <w:rFonts w:ascii="Book Antiqua" w:hAnsi="Book Antiqua"/>
        </w:rPr>
        <w:t xml:space="preserve"> 2012; </w:t>
      </w:r>
      <w:r w:rsidRPr="00000DD3">
        <w:rPr>
          <w:rFonts w:ascii="Book Antiqua" w:hAnsi="Book Antiqua"/>
          <w:b/>
        </w:rPr>
        <w:t>73</w:t>
      </w:r>
      <w:r w:rsidRPr="00000DD3">
        <w:rPr>
          <w:rFonts w:ascii="Book Antiqua" w:hAnsi="Book Antiqua"/>
        </w:rPr>
        <w:t>: 1305-1317 [PMID: 22849692 DOI: 10.2460/ajvr.73.8.1305]</w:t>
      </w:r>
    </w:p>
    <w:p w14:paraId="1C99C311"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53 </w:t>
      </w:r>
      <w:r w:rsidRPr="00000DD3">
        <w:rPr>
          <w:rFonts w:ascii="Book Antiqua" w:hAnsi="Book Antiqua"/>
          <w:b/>
        </w:rPr>
        <w:t>Bearden RN</w:t>
      </w:r>
      <w:r w:rsidRPr="00000DD3">
        <w:rPr>
          <w:rFonts w:ascii="Book Antiqua" w:hAnsi="Book Antiqua"/>
        </w:rPr>
        <w:t xml:space="preserve">, Huggins SS, Cummings KJ, Smith R, Gregory CA, Saunders WB. In-vitro characterization of canine multipotent stromal cells isolated from synovium, bone marrow, and adipose tissue: a donor-matched comparative study. </w:t>
      </w:r>
      <w:r w:rsidRPr="00000DD3">
        <w:rPr>
          <w:rFonts w:ascii="Book Antiqua" w:hAnsi="Book Antiqua"/>
          <w:i/>
        </w:rPr>
        <w:t xml:space="preserve">Stem Cell Res </w:t>
      </w:r>
      <w:proofErr w:type="spellStart"/>
      <w:r w:rsidRPr="00000DD3">
        <w:rPr>
          <w:rFonts w:ascii="Book Antiqua" w:hAnsi="Book Antiqua"/>
          <w:i/>
        </w:rPr>
        <w:t>Ther</w:t>
      </w:r>
      <w:proofErr w:type="spellEnd"/>
      <w:r w:rsidRPr="00000DD3">
        <w:rPr>
          <w:rFonts w:ascii="Book Antiqua" w:hAnsi="Book Antiqua"/>
        </w:rPr>
        <w:t xml:space="preserve"> 2017; </w:t>
      </w:r>
      <w:r w:rsidRPr="00000DD3">
        <w:rPr>
          <w:rFonts w:ascii="Book Antiqua" w:hAnsi="Book Antiqua"/>
          <w:b/>
        </w:rPr>
        <w:t>8</w:t>
      </w:r>
      <w:r w:rsidRPr="00000DD3">
        <w:rPr>
          <w:rFonts w:ascii="Book Antiqua" w:hAnsi="Book Antiqua"/>
        </w:rPr>
        <w:t>: 218 [PMID: 28974260 DOI: 10.1186/s13287-017-0639-6]</w:t>
      </w:r>
    </w:p>
    <w:p w14:paraId="51DD21AA"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54 </w:t>
      </w:r>
      <w:proofErr w:type="spellStart"/>
      <w:r w:rsidRPr="00000DD3">
        <w:rPr>
          <w:rFonts w:ascii="Book Antiqua" w:hAnsi="Book Antiqua"/>
          <w:b/>
        </w:rPr>
        <w:t>Wijekoon</w:t>
      </w:r>
      <w:proofErr w:type="spellEnd"/>
      <w:r w:rsidRPr="00000DD3">
        <w:rPr>
          <w:rFonts w:ascii="Book Antiqua" w:hAnsi="Book Antiqua"/>
          <w:b/>
        </w:rPr>
        <w:t xml:space="preserve"> HMS</w:t>
      </w:r>
      <w:r w:rsidRPr="00000DD3">
        <w:rPr>
          <w:rFonts w:ascii="Book Antiqua" w:hAnsi="Book Antiqua"/>
        </w:rPr>
        <w:t xml:space="preserve">, Toyota K, Kim S, Fang J, Bwalya EC, </w:t>
      </w:r>
      <w:proofErr w:type="spellStart"/>
      <w:r w:rsidRPr="00000DD3">
        <w:rPr>
          <w:rFonts w:ascii="Book Antiqua" w:hAnsi="Book Antiqua"/>
        </w:rPr>
        <w:t>Hosoya</w:t>
      </w:r>
      <w:proofErr w:type="spellEnd"/>
      <w:r w:rsidRPr="00000DD3">
        <w:rPr>
          <w:rFonts w:ascii="Book Antiqua" w:hAnsi="Book Antiqua"/>
        </w:rPr>
        <w:t xml:space="preserve"> K, Okumura M. Differentiation potential of </w:t>
      </w:r>
      <w:proofErr w:type="spellStart"/>
      <w:r w:rsidRPr="00000DD3">
        <w:rPr>
          <w:rFonts w:ascii="Book Antiqua" w:hAnsi="Book Antiqua"/>
        </w:rPr>
        <w:t>synoviocytes</w:t>
      </w:r>
      <w:proofErr w:type="spellEnd"/>
      <w:r w:rsidRPr="00000DD3">
        <w:rPr>
          <w:rFonts w:ascii="Book Antiqua" w:hAnsi="Book Antiqua"/>
        </w:rPr>
        <w:t xml:space="preserve"> derived from joints with cranial cruciate ligament rupture and medial patella luxation in dogs. </w:t>
      </w:r>
      <w:r w:rsidRPr="00000DD3">
        <w:rPr>
          <w:rFonts w:ascii="Book Antiqua" w:hAnsi="Book Antiqua"/>
          <w:i/>
        </w:rPr>
        <w:t>Res Vet Sci</w:t>
      </w:r>
      <w:r w:rsidRPr="00000DD3">
        <w:rPr>
          <w:rFonts w:ascii="Book Antiqua" w:hAnsi="Book Antiqua"/>
        </w:rPr>
        <w:t xml:space="preserve"> 2017; </w:t>
      </w:r>
      <w:r w:rsidRPr="00000DD3">
        <w:rPr>
          <w:rFonts w:ascii="Book Antiqua" w:hAnsi="Book Antiqua"/>
          <w:b/>
        </w:rPr>
        <w:t>114</w:t>
      </w:r>
      <w:r w:rsidRPr="00000DD3">
        <w:rPr>
          <w:rFonts w:ascii="Book Antiqua" w:hAnsi="Book Antiqua"/>
        </w:rPr>
        <w:t>: 370-377 [PMID: 28711819 DOI: 10.1016/j.rvsc.2017.07.004]</w:t>
      </w:r>
    </w:p>
    <w:p w14:paraId="2B616355"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55 </w:t>
      </w:r>
      <w:proofErr w:type="spellStart"/>
      <w:r w:rsidRPr="00000DD3">
        <w:rPr>
          <w:rFonts w:ascii="Book Antiqua" w:hAnsi="Book Antiqua"/>
          <w:b/>
        </w:rPr>
        <w:t>Krawetz</w:t>
      </w:r>
      <w:proofErr w:type="spellEnd"/>
      <w:r w:rsidRPr="00000DD3">
        <w:rPr>
          <w:rFonts w:ascii="Book Antiqua" w:hAnsi="Book Antiqua"/>
          <w:b/>
        </w:rPr>
        <w:t xml:space="preserve"> RJ</w:t>
      </w:r>
      <w:r w:rsidRPr="00000DD3">
        <w:rPr>
          <w:rFonts w:ascii="Book Antiqua" w:hAnsi="Book Antiqua"/>
        </w:rPr>
        <w:t xml:space="preserve">, Wu YE, Martin L, Rattner JB, Matyas JR, Hart DA. Synovial fluid progenitors expressing CD90+ from normal but not osteoarthritic joints undergo chondrogenic differentiation without micro-mass culture. </w:t>
      </w:r>
      <w:proofErr w:type="spellStart"/>
      <w:r w:rsidRPr="00000DD3">
        <w:rPr>
          <w:rFonts w:ascii="Book Antiqua" w:hAnsi="Book Antiqua"/>
          <w:i/>
        </w:rPr>
        <w:t>PLoS</w:t>
      </w:r>
      <w:proofErr w:type="spellEnd"/>
      <w:r w:rsidRPr="00000DD3">
        <w:rPr>
          <w:rFonts w:ascii="Book Antiqua" w:hAnsi="Book Antiqua"/>
          <w:i/>
        </w:rPr>
        <w:t xml:space="preserve"> One</w:t>
      </w:r>
      <w:r w:rsidRPr="00000DD3">
        <w:rPr>
          <w:rFonts w:ascii="Book Antiqua" w:hAnsi="Book Antiqua"/>
        </w:rPr>
        <w:t xml:space="preserve"> 2012; </w:t>
      </w:r>
      <w:r w:rsidRPr="00000DD3">
        <w:rPr>
          <w:rFonts w:ascii="Book Antiqua" w:hAnsi="Book Antiqua"/>
          <w:b/>
        </w:rPr>
        <w:t>7</w:t>
      </w:r>
      <w:r w:rsidRPr="00000DD3">
        <w:rPr>
          <w:rFonts w:ascii="Book Antiqua" w:hAnsi="Book Antiqua"/>
        </w:rPr>
        <w:t>: e43616 [PMID: 22952721 DOI: 10.1371/journal.pone.0043616]</w:t>
      </w:r>
    </w:p>
    <w:p w14:paraId="522C6EEC"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56 </w:t>
      </w:r>
      <w:r w:rsidRPr="00000DD3">
        <w:rPr>
          <w:rFonts w:ascii="Book Antiqua" w:hAnsi="Book Antiqua"/>
          <w:b/>
        </w:rPr>
        <w:t>Reich CM</w:t>
      </w:r>
      <w:r w:rsidRPr="00000DD3">
        <w:rPr>
          <w:rFonts w:ascii="Book Antiqua" w:hAnsi="Book Antiqua"/>
        </w:rPr>
        <w:t xml:space="preserve">, Raabe O, </w:t>
      </w:r>
      <w:proofErr w:type="spellStart"/>
      <w:r w:rsidRPr="00000DD3">
        <w:rPr>
          <w:rFonts w:ascii="Book Antiqua" w:hAnsi="Book Antiqua"/>
        </w:rPr>
        <w:t>Wenisch</w:t>
      </w:r>
      <w:proofErr w:type="spellEnd"/>
      <w:r w:rsidRPr="00000DD3">
        <w:rPr>
          <w:rFonts w:ascii="Book Antiqua" w:hAnsi="Book Antiqua"/>
        </w:rPr>
        <w:t xml:space="preserve"> S, Bridger PS, Kramer M, </w:t>
      </w:r>
      <w:proofErr w:type="spellStart"/>
      <w:r w:rsidRPr="00000DD3">
        <w:rPr>
          <w:rFonts w:ascii="Book Antiqua" w:hAnsi="Book Antiqua"/>
        </w:rPr>
        <w:t>Arnhold</w:t>
      </w:r>
      <w:proofErr w:type="spellEnd"/>
      <w:r w:rsidRPr="00000DD3">
        <w:rPr>
          <w:rFonts w:ascii="Book Antiqua" w:hAnsi="Book Antiqua"/>
        </w:rPr>
        <w:t xml:space="preserve"> S. Isolation, culture and chondrogenic differentiation of canine adipose tissue- and bone marrow-derived mesenchymal stem cells--a comparative study. </w:t>
      </w:r>
      <w:r w:rsidRPr="00000DD3">
        <w:rPr>
          <w:rFonts w:ascii="Book Antiqua" w:hAnsi="Book Antiqua"/>
          <w:i/>
        </w:rPr>
        <w:t xml:space="preserve">Vet Res </w:t>
      </w:r>
      <w:proofErr w:type="spellStart"/>
      <w:r w:rsidRPr="00000DD3">
        <w:rPr>
          <w:rFonts w:ascii="Book Antiqua" w:hAnsi="Book Antiqua"/>
          <w:i/>
        </w:rPr>
        <w:t>Commun</w:t>
      </w:r>
      <w:proofErr w:type="spellEnd"/>
      <w:r w:rsidRPr="00000DD3">
        <w:rPr>
          <w:rFonts w:ascii="Book Antiqua" w:hAnsi="Book Antiqua"/>
        </w:rPr>
        <w:t xml:space="preserve"> 2012; </w:t>
      </w:r>
      <w:r w:rsidRPr="00000DD3">
        <w:rPr>
          <w:rFonts w:ascii="Book Antiqua" w:hAnsi="Book Antiqua"/>
          <w:b/>
        </w:rPr>
        <w:t>36</w:t>
      </w:r>
      <w:r w:rsidRPr="00000DD3">
        <w:rPr>
          <w:rFonts w:ascii="Book Antiqua" w:hAnsi="Book Antiqua"/>
        </w:rPr>
        <w:t>: 139-148 [PMID: 22392598 DOI: 10.1007/s11259-012-9523-0]</w:t>
      </w:r>
    </w:p>
    <w:p w14:paraId="0DA832AC"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57 </w:t>
      </w:r>
      <w:r w:rsidRPr="00000DD3">
        <w:rPr>
          <w:rFonts w:ascii="Book Antiqua" w:hAnsi="Book Antiqua"/>
          <w:b/>
        </w:rPr>
        <w:t>Russell KA</w:t>
      </w:r>
      <w:r w:rsidRPr="00000DD3">
        <w:rPr>
          <w:rFonts w:ascii="Book Antiqua" w:hAnsi="Book Antiqua"/>
        </w:rPr>
        <w:t xml:space="preserve">, Chow NH, </w:t>
      </w:r>
      <w:proofErr w:type="spellStart"/>
      <w:r w:rsidRPr="00000DD3">
        <w:rPr>
          <w:rFonts w:ascii="Book Antiqua" w:hAnsi="Book Antiqua"/>
        </w:rPr>
        <w:t>Dukoff</w:t>
      </w:r>
      <w:proofErr w:type="spellEnd"/>
      <w:r w:rsidRPr="00000DD3">
        <w:rPr>
          <w:rFonts w:ascii="Book Antiqua" w:hAnsi="Book Antiqua"/>
        </w:rPr>
        <w:t xml:space="preserve"> D, Gibson TW, </w:t>
      </w:r>
      <w:proofErr w:type="spellStart"/>
      <w:r w:rsidRPr="00000DD3">
        <w:rPr>
          <w:rFonts w:ascii="Book Antiqua" w:hAnsi="Book Antiqua"/>
        </w:rPr>
        <w:t>LaMarre</w:t>
      </w:r>
      <w:proofErr w:type="spellEnd"/>
      <w:r w:rsidRPr="00000DD3">
        <w:rPr>
          <w:rFonts w:ascii="Book Antiqua" w:hAnsi="Book Antiqua"/>
        </w:rPr>
        <w:t xml:space="preserve"> J, Betts DH, Koch TG. Characterization and Immunomodulatory Effects of Canine Adipose Tissue- and Bone Marrow-Derived Mesenchymal Stromal Cells. </w:t>
      </w:r>
      <w:proofErr w:type="spellStart"/>
      <w:r w:rsidRPr="00000DD3">
        <w:rPr>
          <w:rFonts w:ascii="Book Antiqua" w:hAnsi="Book Antiqua"/>
          <w:i/>
        </w:rPr>
        <w:t>PLoS</w:t>
      </w:r>
      <w:proofErr w:type="spellEnd"/>
      <w:r w:rsidRPr="00000DD3">
        <w:rPr>
          <w:rFonts w:ascii="Book Antiqua" w:hAnsi="Book Antiqua"/>
          <w:i/>
        </w:rPr>
        <w:t xml:space="preserve"> One</w:t>
      </w:r>
      <w:r w:rsidRPr="00000DD3">
        <w:rPr>
          <w:rFonts w:ascii="Book Antiqua" w:hAnsi="Book Antiqua"/>
        </w:rPr>
        <w:t xml:space="preserve"> 2016; </w:t>
      </w:r>
      <w:r w:rsidRPr="00000DD3">
        <w:rPr>
          <w:rFonts w:ascii="Book Antiqua" w:hAnsi="Book Antiqua"/>
          <w:b/>
        </w:rPr>
        <w:t>11</w:t>
      </w:r>
      <w:r w:rsidRPr="00000DD3">
        <w:rPr>
          <w:rFonts w:ascii="Book Antiqua" w:hAnsi="Book Antiqua"/>
        </w:rPr>
        <w:t>: e0167442 [PMID: 27907211 DOI: 10.1371/journal.pone.0167442]</w:t>
      </w:r>
    </w:p>
    <w:p w14:paraId="08ACA949"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58 </w:t>
      </w:r>
      <w:r w:rsidRPr="00000DD3">
        <w:rPr>
          <w:rFonts w:ascii="Book Antiqua" w:hAnsi="Book Antiqua"/>
          <w:b/>
        </w:rPr>
        <w:t>Guercio A</w:t>
      </w:r>
      <w:r w:rsidRPr="00000DD3">
        <w:rPr>
          <w:rFonts w:ascii="Book Antiqua" w:hAnsi="Book Antiqua"/>
        </w:rPr>
        <w:t xml:space="preserve">, Di Bella S, Casella S, Di Marco P, Russo C, </w:t>
      </w:r>
      <w:proofErr w:type="spellStart"/>
      <w:r w:rsidRPr="00000DD3">
        <w:rPr>
          <w:rFonts w:ascii="Book Antiqua" w:hAnsi="Book Antiqua"/>
        </w:rPr>
        <w:t>Piccione</w:t>
      </w:r>
      <w:proofErr w:type="spellEnd"/>
      <w:r w:rsidRPr="00000DD3">
        <w:rPr>
          <w:rFonts w:ascii="Book Antiqua" w:hAnsi="Book Antiqua"/>
        </w:rPr>
        <w:t xml:space="preserve"> G. Canine mesenchymal stem cells (MSCs): characterization in relation to donor age and adipose tissue-harvesting site. </w:t>
      </w:r>
      <w:r w:rsidRPr="00000DD3">
        <w:rPr>
          <w:rFonts w:ascii="Book Antiqua" w:hAnsi="Book Antiqua"/>
          <w:i/>
        </w:rPr>
        <w:t>Cell Biol Int</w:t>
      </w:r>
      <w:r w:rsidRPr="00000DD3">
        <w:rPr>
          <w:rFonts w:ascii="Book Antiqua" w:hAnsi="Book Antiqua"/>
        </w:rPr>
        <w:t xml:space="preserve"> 2013; </w:t>
      </w:r>
      <w:r w:rsidRPr="00000DD3">
        <w:rPr>
          <w:rFonts w:ascii="Book Antiqua" w:hAnsi="Book Antiqua"/>
          <w:b/>
        </w:rPr>
        <w:t>37</w:t>
      </w:r>
      <w:r w:rsidRPr="00000DD3">
        <w:rPr>
          <w:rFonts w:ascii="Book Antiqua" w:hAnsi="Book Antiqua"/>
        </w:rPr>
        <w:t>: 789-798 [PMID: 23505013 DOI: 10.1002/cbin.10090]</w:t>
      </w:r>
    </w:p>
    <w:p w14:paraId="62E6FCDB"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59 </w:t>
      </w:r>
      <w:r w:rsidRPr="00000DD3">
        <w:rPr>
          <w:rFonts w:ascii="Book Antiqua" w:hAnsi="Book Antiqua"/>
          <w:b/>
        </w:rPr>
        <w:t>Volk SW</w:t>
      </w:r>
      <w:r w:rsidRPr="00000DD3">
        <w:rPr>
          <w:rFonts w:ascii="Book Antiqua" w:hAnsi="Book Antiqua"/>
        </w:rPr>
        <w:t xml:space="preserve">, Wang Y, </w:t>
      </w:r>
      <w:proofErr w:type="spellStart"/>
      <w:r w:rsidRPr="00000DD3">
        <w:rPr>
          <w:rFonts w:ascii="Book Antiqua" w:hAnsi="Book Antiqua"/>
        </w:rPr>
        <w:t>Hankenson</w:t>
      </w:r>
      <w:proofErr w:type="spellEnd"/>
      <w:r w:rsidRPr="00000DD3">
        <w:rPr>
          <w:rFonts w:ascii="Book Antiqua" w:hAnsi="Book Antiqua"/>
        </w:rPr>
        <w:t xml:space="preserve"> KD. Effects of donor characteristics and ex vivo expansion on canine mesenchymal stem cell properties: implications for MSC-based therapies. </w:t>
      </w:r>
      <w:r w:rsidRPr="00000DD3">
        <w:rPr>
          <w:rFonts w:ascii="Book Antiqua" w:hAnsi="Book Antiqua"/>
          <w:i/>
        </w:rPr>
        <w:t>Cell Transplant</w:t>
      </w:r>
      <w:r w:rsidRPr="00000DD3">
        <w:rPr>
          <w:rFonts w:ascii="Book Antiqua" w:hAnsi="Book Antiqua"/>
        </w:rPr>
        <w:t xml:space="preserve"> 2012; </w:t>
      </w:r>
      <w:r w:rsidRPr="00000DD3">
        <w:rPr>
          <w:rFonts w:ascii="Book Antiqua" w:hAnsi="Book Antiqua"/>
          <w:b/>
        </w:rPr>
        <w:t>21</w:t>
      </w:r>
      <w:r w:rsidRPr="00000DD3">
        <w:rPr>
          <w:rFonts w:ascii="Book Antiqua" w:hAnsi="Book Antiqua"/>
        </w:rPr>
        <w:t>: 2189-2200 [PMID: 22472645 DOI: 10.3727/096368912X636821]</w:t>
      </w:r>
    </w:p>
    <w:p w14:paraId="527F4542" w14:textId="71256507" w:rsidR="008D78C7" w:rsidRPr="00000DD3" w:rsidRDefault="008D78C7" w:rsidP="008D78C7">
      <w:pPr>
        <w:spacing w:line="360" w:lineRule="auto"/>
        <w:jc w:val="both"/>
        <w:rPr>
          <w:rFonts w:ascii="Book Antiqua" w:hAnsi="Book Antiqua"/>
        </w:rPr>
      </w:pPr>
      <w:r w:rsidRPr="00000DD3">
        <w:rPr>
          <w:rFonts w:ascii="Book Antiqua" w:hAnsi="Book Antiqua"/>
        </w:rPr>
        <w:t xml:space="preserve">60 </w:t>
      </w:r>
      <w:proofErr w:type="spellStart"/>
      <w:r w:rsidRPr="00000DD3">
        <w:rPr>
          <w:rFonts w:ascii="Book Antiqua" w:hAnsi="Book Antiqua"/>
          <w:b/>
        </w:rPr>
        <w:t>Bertolo</w:t>
      </w:r>
      <w:proofErr w:type="spellEnd"/>
      <w:r w:rsidRPr="00000DD3">
        <w:rPr>
          <w:rFonts w:ascii="Book Antiqua" w:hAnsi="Book Antiqua"/>
          <w:b/>
        </w:rPr>
        <w:t xml:space="preserve"> A</w:t>
      </w:r>
      <w:r w:rsidRPr="00000DD3">
        <w:rPr>
          <w:rFonts w:ascii="Book Antiqua" w:hAnsi="Book Antiqua"/>
        </w:rPr>
        <w:t xml:space="preserve">, </w:t>
      </w:r>
      <w:proofErr w:type="spellStart"/>
      <w:r w:rsidRPr="00000DD3">
        <w:rPr>
          <w:rFonts w:ascii="Book Antiqua" w:hAnsi="Book Antiqua"/>
        </w:rPr>
        <w:t>Schlaefli</w:t>
      </w:r>
      <w:proofErr w:type="spellEnd"/>
      <w:r w:rsidRPr="00000DD3">
        <w:rPr>
          <w:rFonts w:ascii="Book Antiqua" w:hAnsi="Book Antiqua"/>
        </w:rPr>
        <w:t xml:space="preserve"> P, </w:t>
      </w:r>
      <w:proofErr w:type="spellStart"/>
      <w:r w:rsidRPr="00000DD3">
        <w:rPr>
          <w:rFonts w:ascii="Book Antiqua" w:hAnsi="Book Antiqua"/>
        </w:rPr>
        <w:t>Malonzo</w:t>
      </w:r>
      <w:proofErr w:type="spellEnd"/>
      <w:r w:rsidRPr="00000DD3">
        <w:rPr>
          <w:rFonts w:ascii="Book Antiqua" w:hAnsi="Book Antiqua"/>
        </w:rPr>
        <w:t xml:space="preserve">-Marty C, Baur M, </w:t>
      </w:r>
      <w:proofErr w:type="spellStart"/>
      <w:r w:rsidRPr="00000DD3">
        <w:rPr>
          <w:rFonts w:ascii="Book Antiqua" w:hAnsi="Book Antiqua"/>
        </w:rPr>
        <w:t>Pötzel</w:t>
      </w:r>
      <w:proofErr w:type="spellEnd"/>
      <w:r w:rsidRPr="00000DD3">
        <w:rPr>
          <w:rFonts w:ascii="Book Antiqua" w:hAnsi="Book Antiqua"/>
        </w:rPr>
        <w:t xml:space="preserve"> T, Steffen F, </w:t>
      </w:r>
      <w:proofErr w:type="spellStart"/>
      <w:r w:rsidRPr="00000DD3">
        <w:rPr>
          <w:rFonts w:ascii="Book Antiqua" w:hAnsi="Book Antiqua"/>
        </w:rPr>
        <w:t>Stoyanov</w:t>
      </w:r>
      <w:proofErr w:type="spellEnd"/>
      <w:r w:rsidRPr="00000DD3">
        <w:rPr>
          <w:rFonts w:ascii="Book Antiqua" w:hAnsi="Book Antiqua"/>
        </w:rPr>
        <w:t xml:space="preserve"> J. Comparative characterization of canine and human mesenchymal stem cells derived from bone marrow. </w:t>
      </w:r>
      <w:r w:rsidRPr="00000DD3">
        <w:rPr>
          <w:rFonts w:ascii="Book Antiqua" w:hAnsi="Book Antiqua"/>
          <w:i/>
        </w:rPr>
        <w:t xml:space="preserve">Int J Stem Cell Res </w:t>
      </w:r>
      <w:proofErr w:type="spellStart"/>
      <w:r w:rsidRPr="00000DD3">
        <w:rPr>
          <w:rFonts w:ascii="Book Antiqua" w:hAnsi="Book Antiqua"/>
          <w:i/>
        </w:rPr>
        <w:t>Ther</w:t>
      </w:r>
      <w:proofErr w:type="spellEnd"/>
      <w:r w:rsidRPr="00000DD3">
        <w:rPr>
          <w:rFonts w:ascii="Book Antiqua" w:hAnsi="Book Antiqua"/>
        </w:rPr>
        <w:t xml:space="preserve"> 2015; </w:t>
      </w:r>
      <w:r w:rsidRPr="00000DD3">
        <w:rPr>
          <w:rFonts w:ascii="Book Antiqua" w:hAnsi="Book Antiqua"/>
          <w:b/>
        </w:rPr>
        <w:t>2</w:t>
      </w:r>
      <w:r w:rsidRPr="00000DD3">
        <w:rPr>
          <w:rFonts w:ascii="Book Antiqua" w:hAnsi="Book Antiqua"/>
        </w:rPr>
        <w:t>: 1 [DOI: 10.23937/2469-570X/1410005]</w:t>
      </w:r>
    </w:p>
    <w:p w14:paraId="7790DDCC" w14:textId="01EBD7F8" w:rsidR="008D78C7" w:rsidRPr="00000DD3" w:rsidRDefault="008D78C7" w:rsidP="008D78C7">
      <w:pPr>
        <w:spacing w:line="360" w:lineRule="auto"/>
        <w:jc w:val="both"/>
        <w:rPr>
          <w:rFonts w:ascii="Book Antiqua" w:hAnsi="Book Antiqua"/>
        </w:rPr>
      </w:pPr>
      <w:r w:rsidRPr="00000DD3">
        <w:rPr>
          <w:rFonts w:ascii="Book Antiqua" w:hAnsi="Book Antiqua"/>
        </w:rPr>
        <w:t xml:space="preserve">61 </w:t>
      </w:r>
      <w:r w:rsidRPr="00000DD3">
        <w:rPr>
          <w:rFonts w:ascii="Book Antiqua" w:hAnsi="Book Antiqua"/>
          <w:b/>
        </w:rPr>
        <w:t>Endo K</w:t>
      </w:r>
      <w:r w:rsidRPr="00000DD3">
        <w:rPr>
          <w:rFonts w:ascii="Book Antiqua" w:hAnsi="Book Antiqua"/>
        </w:rPr>
        <w:t xml:space="preserve">, Fujita N, Nakagawa T, Nishimura R. Effect of fibroblast growth factor-2 and serum on canine mesenchymal stem cell chondrogenesis. </w:t>
      </w:r>
      <w:r w:rsidRPr="00000DD3">
        <w:rPr>
          <w:rFonts w:ascii="Book Antiqua" w:hAnsi="Book Antiqua"/>
          <w:i/>
        </w:rPr>
        <w:t xml:space="preserve">Tissue </w:t>
      </w:r>
      <w:proofErr w:type="spellStart"/>
      <w:r w:rsidRPr="00000DD3">
        <w:rPr>
          <w:rFonts w:ascii="Book Antiqua" w:hAnsi="Book Antiqua"/>
          <w:i/>
        </w:rPr>
        <w:t>Eng</w:t>
      </w:r>
      <w:proofErr w:type="spellEnd"/>
      <w:r w:rsidRPr="00000DD3">
        <w:rPr>
          <w:rFonts w:ascii="Book Antiqua" w:hAnsi="Book Antiqua"/>
          <w:i/>
        </w:rPr>
        <w:t xml:space="preserve"> Part A</w:t>
      </w:r>
      <w:r w:rsidRPr="00000DD3">
        <w:rPr>
          <w:rFonts w:ascii="Book Antiqua" w:hAnsi="Book Antiqua"/>
        </w:rPr>
        <w:t xml:space="preserve"> 2018 [PMID: 30319056 DOI: 10.1089/ten.TEA.2018.0177]</w:t>
      </w:r>
    </w:p>
    <w:p w14:paraId="0B99DFBC"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62 </w:t>
      </w:r>
      <w:r w:rsidRPr="00000DD3">
        <w:rPr>
          <w:rFonts w:ascii="Book Antiqua" w:hAnsi="Book Antiqua"/>
          <w:b/>
        </w:rPr>
        <w:t>Kang JW</w:t>
      </w:r>
      <w:r w:rsidRPr="00000DD3">
        <w:rPr>
          <w:rFonts w:ascii="Book Antiqua" w:hAnsi="Book Antiqua"/>
        </w:rPr>
        <w:t xml:space="preserve">, Kang KS, Koo HC, Park JR, Choi EW, Park YH. Soluble factors-mediated immunomodulatory effects of canine adipose tissue-derived mesenchymal stem cells. </w:t>
      </w:r>
      <w:r w:rsidRPr="00000DD3">
        <w:rPr>
          <w:rFonts w:ascii="Book Antiqua" w:hAnsi="Book Antiqua"/>
          <w:i/>
        </w:rPr>
        <w:t>Stem Cells Dev</w:t>
      </w:r>
      <w:r w:rsidRPr="00000DD3">
        <w:rPr>
          <w:rFonts w:ascii="Book Antiqua" w:hAnsi="Book Antiqua"/>
        </w:rPr>
        <w:t xml:space="preserve"> 2008; </w:t>
      </w:r>
      <w:r w:rsidRPr="00000DD3">
        <w:rPr>
          <w:rFonts w:ascii="Book Antiqua" w:hAnsi="Book Antiqua"/>
          <w:b/>
        </w:rPr>
        <w:t>17</w:t>
      </w:r>
      <w:r w:rsidRPr="00000DD3">
        <w:rPr>
          <w:rFonts w:ascii="Book Antiqua" w:hAnsi="Book Antiqua"/>
        </w:rPr>
        <w:t>: 681-693 [PMID: 18717642 DOI: 10.1089/scd.2007.0153]</w:t>
      </w:r>
    </w:p>
    <w:p w14:paraId="2928F641"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63 </w:t>
      </w:r>
      <w:r w:rsidRPr="00000DD3">
        <w:rPr>
          <w:rFonts w:ascii="Book Antiqua" w:hAnsi="Book Antiqua"/>
          <w:b/>
        </w:rPr>
        <w:t>Li L</w:t>
      </w:r>
      <w:r w:rsidRPr="00000DD3">
        <w:rPr>
          <w:rFonts w:ascii="Book Antiqua" w:hAnsi="Book Antiqua"/>
        </w:rPr>
        <w:t xml:space="preserve">, </w:t>
      </w:r>
      <w:proofErr w:type="spellStart"/>
      <w:r w:rsidRPr="00000DD3">
        <w:rPr>
          <w:rFonts w:ascii="Book Antiqua" w:hAnsi="Book Antiqua"/>
        </w:rPr>
        <w:t>Duan</w:t>
      </w:r>
      <w:proofErr w:type="spellEnd"/>
      <w:r w:rsidRPr="00000DD3">
        <w:rPr>
          <w:rFonts w:ascii="Book Antiqua" w:hAnsi="Book Antiqua"/>
        </w:rPr>
        <w:t xml:space="preserve"> X, Fan Z, Chen L, Xing F, Xu Z, Chen Q, Xiang Z. Mesenchymal Stem Cells in Combination with Hyaluronic Acid for Articular Cartilage Defects. </w:t>
      </w:r>
      <w:r w:rsidRPr="00000DD3">
        <w:rPr>
          <w:rFonts w:ascii="Book Antiqua" w:hAnsi="Book Antiqua"/>
          <w:i/>
        </w:rPr>
        <w:t>Sci Rep</w:t>
      </w:r>
      <w:r w:rsidRPr="00000DD3">
        <w:rPr>
          <w:rFonts w:ascii="Book Antiqua" w:hAnsi="Book Antiqua"/>
        </w:rPr>
        <w:t xml:space="preserve"> 2018; </w:t>
      </w:r>
      <w:r w:rsidRPr="00000DD3">
        <w:rPr>
          <w:rFonts w:ascii="Book Antiqua" w:hAnsi="Book Antiqua"/>
          <w:b/>
        </w:rPr>
        <w:t>8</w:t>
      </w:r>
      <w:r w:rsidRPr="00000DD3">
        <w:rPr>
          <w:rFonts w:ascii="Book Antiqua" w:hAnsi="Book Antiqua"/>
        </w:rPr>
        <w:t>: 9900 [PMID: 29967404 DOI: 10.1038/s41598-018-27737-y]</w:t>
      </w:r>
    </w:p>
    <w:p w14:paraId="237BF5FB"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64 </w:t>
      </w:r>
      <w:proofErr w:type="spellStart"/>
      <w:r w:rsidRPr="00000DD3">
        <w:rPr>
          <w:rFonts w:ascii="Book Antiqua" w:hAnsi="Book Antiqua"/>
          <w:b/>
        </w:rPr>
        <w:t>Takemitsu</w:t>
      </w:r>
      <w:proofErr w:type="spellEnd"/>
      <w:r w:rsidRPr="00000DD3">
        <w:rPr>
          <w:rFonts w:ascii="Book Antiqua" w:hAnsi="Book Antiqua"/>
          <w:b/>
        </w:rPr>
        <w:t xml:space="preserve"> H</w:t>
      </w:r>
      <w:r w:rsidRPr="00000DD3">
        <w:rPr>
          <w:rFonts w:ascii="Book Antiqua" w:hAnsi="Book Antiqua"/>
        </w:rPr>
        <w:t xml:space="preserve">, Zhao D, Yamamoto I, Harada Y, </w:t>
      </w:r>
      <w:proofErr w:type="spellStart"/>
      <w:r w:rsidRPr="00000DD3">
        <w:rPr>
          <w:rFonts w:ascii="Book Antiqua" w:hAnsi="Book Antiqua"/>
        </w:rPr>
        <w:t>Michishita</w:t>
      </w:r>
      <w:proofErr w:type="spellEnd"/>
      <w:r w:rsidRPr="00000DD3">
        <w:rPr>
          <w:rFonts w:ascii="Book Antiqua" w:hAnsi="Book Antiqua"/>
        </w:rPr>
        <w:t xml:space="preserve"> M, Arai T. Comparison of bone marrow and adipose tissue-derived canine mesenchymal stem cells. </w:t>
      </w:r>
      <w:r w:rsidRPr="00000DD3">
        <w:rPr>
          <w:rFonts w:ascii="Book Antiqua" w:hAnsi="Book Antiqua"/>
          <w:i/>
        </w:rPr>
        <w:t>BMC Vet Res</w:t>
      </w:r>
      <w:r w:rsidRPr="00000DD3">
        <w:rPr>
          <w:rFonts w:ascii="Book Antiqua" w:hAnsi="Book Antiqua"/>
        </w:rPr>
        <w:t xml:space="preserve"> 2012; </w:t>
      </w:r>
      <w:r w:rsidRPr="00000DD3">
        <w:rPr>
          <w:rFonts w:ascii="Book Antiqua" w:hAnsi="Book Antiqua"/>
          <w:b/>
        </w:rPr>
        <w:t>8</w:t>
      </w:r>
      <w:r w:rsidRPr="00000DD3">
        <w:rPr>
          <w:rFonts w:ascii="Book Antiqua" w:hAnsi="Book Antiqua"/>
        </w:rPr>
        <w:t>: 150 [PMID: 22937862 DOI: 10.1186/1746-6148-8-150]</w:t>
      </w:r>
    </w:p>
    <w:p w14:paraId="659853E8"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65 </w:t>
      </w:r>
      <w:proofErr w:type="spellStart"/>
      <w:r w:rsidRPr="00000DD3">
        <w:rPr>
          <w:rFonts w:ascii="Book Antiqua" w:hAnsi="Book Antiqua"/>
          <w:b/>
        </w:rPr>
        <w:t>Martinello</w:t>
      </w:r>
      <w:proofErr w:type="spellEnd"/>
      <w:r w:rsidRPr="00000DD3">
        <w:rPr>
          <w:rFonts w:ascii="Book Antiqua" w:hAnsi="Book Antiqua"/>
          <w:b/>
        </w:rPr>
        <w:t xml:space="preserve"> T</w:t>
      </w:r>
      <w:r w:rsidRPr="00000DD3">
        <w:rPr>
          <w:rFonts w:ascii="Book Antiqua" w:hAnsi="Book Antiqua"/>
        </w:rPr>
        <w:t xml:space="preserve">, Bronzini I, </w:t>
      </w:r>
      <w:proofErr w:type="spellStart"/>
      <w:r w:rsidRPr="00000DD3">
        <w:rPr>
          <w:rFonts w:ascii="Book Antiqua" w:hAnsi="Book Antiqua"/>
        </w:rPr>
        <w:t>Maccatrozzo</w:t>
      </w:r>
      <w:proofErr w:type="spellEnd"/>
      <w:r w:rsidRPr="00000DD3">
        <w:rPr>
          <w:rFonts w:ascii="Book Antiqua" w:hAnsi="Book Antiqua"/>
        </w:rPr>
        <w:t xml:space="preserve"> L, </w:t>
      </w:r>
      <w:proofErr w:type="spellStart"/>
      <w:r w:rsidRPr="00000DD3">
        <w:rPr>
          <w:rFonts w:ascii="Book Antiqua" w:hAnsi="Book Antiqua"/>
        </w:rPr>
        <w:t>Mollo</w:t>
      </w:r>
      <w:proofErr w:type="spellEnd"/>
      <w:r w:rsidRPr="00000DD3">
        <w:rPr>
          <w:rFonts w:ascii="Book Antiqua" w:hAnsi="Book Antiqua"/>
        </w:rPr>
        <w:t xml:space="preserve"> A, </w:t>
      </w:r>
      <w:proofErr w:type="spellStart"/>
      <w:r w:rsidRPr="00000DD3">
        <w:rPr>
          <w:rFonts w:ascii="Book Antiqua" w:hAnsi="Book Antiqua"/>
        </w:rPr>
        <w:t>Sampaolesi</w:t>
      </w:r>
      <w:proofErr w:type="spellEnd"/>
      <w:r w:rsidRPr="00000DD3">
        <w:rPr>
          <w:rFonts w:ascii="Book Antiqua" w:hAnsi="Book Antiqua"/>
        </w:rPr>
        <w:t xml:space="preserve"> M, </w:t>
      </w:r>
      <w:proofErr w:type="spellStart"/>
      <w:r w:rsidRPr="00000DD3">
        <w:rPr>
          <w:rFonts w:ascii="Book Antiqua" w:hAnsi="Book Antiqua"/>
        </w:rPr>
        <w:t>Mascarello</w:t>
      </w:r>
      <w:proofErr w:type="spellEnd"/>
      <w:r w:rsidRPr="00000DD3">
        <w:rPr>
          <w:rFonts w:ascii="Book Antiqua" w:hAnsi="Book Antiqua"/>
        </w:rPr>
        <w:t xml:space="preserve"> F, </w:t>
      </w:r>
      <w:proofErr w:type="spellStart"/>
      <w:r w:rsidRPr="00000DD3">
        <w:rPr>
          <w:rFonts w:ascii="Book Antiqua" w:hAnsi="Book Antiqua"/>
        </w:rPr>
        <w:t>Decaminada</w:t>
      </w:r>
      <w:proofErr w:type="spellEnd"/>
      <w:r w:rsidRPr="00000DD3">
        <w:rPr>
          <w:rFonts w:ascii="Book Antiqua" w:hAnsi="Book Antiqua"/>
        </w:rPr>
        <w:t xml:space="preserve"> M, </w:t>
      </w:r>
      <w:proofErr w:type="spellStart"/>
      <w:r w:rsidRPr="00000DD3">
        <w:rPr>
          <w:rFonts w:ascii="Book Antiqua" w:hAnsi="Book Antiqua"/>
        </w:rPr>
        <w:t>Patruno</w:t>
      </w:r>
      <w:proofErr w:type="spellEnd"/>
      <w:r w:rsidRPr="00000DD3">
        <w:rPr>
          <w:rFonts w:ascii="Book Antiqua" w:hAnsi="Book Antiqua"/>
        </w:rPr>
        <w:t xml:space="preserve"> M. Canine adipose-derived-mesenchymal stem cells do not lose stem features after a long-term cryopreservation. </w:t>
      </w:r>
      <w:r w:rsidRPr="00000DD3">
        <w:rPr>
          <w:rFonts w:ascii="Book Antiqua" w:hAnsi="Book Antiqua"/>
          <w:i/>
        </w:rPr>
        <w:t>Res Vet Sci</w:t>
      </w:r>
      <w:r w:rsidRPr="00000DD3">
        <w:rPr>
          <w:rFonts w:ascii="Book Antiqua" w:hAnsi="Book Antiqua"/>
        </w:rPr>
        <w:t xml:space="preserve"> 2011; </w:t>
      </w:r>
      <w:r w:rsidRPr="00000DD3">
        <w:rPr>
          <w:rFonts w:ascii="Book Antiqua" w:hAnsi="Book Antiqua"/>
          <w:b/>
        </w:rPr>
        <w:t>91</w:t>
      </w:r>
      <w:r w:rsidRPr="00000DD3">
        <w:rPr>
          <w:rFonts w:ascii="Book Antiqua" w:hAnsi="Book Antiqua"/>
        </w:rPr>
        <w:t>: 18-24 [PMID: 20732703 DOI: 10.1016/j.rvsc.2010.07.024]</w:t>
      </w:r>
    </w:p>
    <w:p w14:paraId="1FD7CE30"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66 </w:t>
      </w:r>
      <w:proofErr w:type="spellStart"/>
      <w:r w:rsidRPr="00000DD3">
        <w:rPr>
          <w:rFonts w:ascii="Book Antiqua" w:hAnsi="Book Antiqua"/>
          <w:b/>
        </w:rPr>
        <w:t>Kocan</w:t>
      </w:r>
      <w:proofErr w:type="spellEnd"/>
      <w:r w:rsidRPr="00000DD3">
        <w:rPr>
          <w:rFonts w:ascii="Book Antiqua" w:hAnsi="Book Antiqua"/>
          <w:b/>
        </w:rPr>
        <w:t xml:space="preserve"> B</w:t>
      </w:r>
      <w:r w:rsidRPr="00000DD3">
        <w:rPr>
          <w:rFonts w:ascii="Book Antiqua" w:hAnsi="Book Antiqua"/>
        </w:rPr>
        <w:t xml:space="preserve">, </w:t>
      </w:r>
      <w:proofErr w:type="spellStart"/>
      <w:r w:rsidRPr="00000DD3">
        <w:rPr>
          <w:rFonts w:ascii="Book Antiqua" w:hAnsi="Book Antiqua"/>
        </w:rPr>
        <w:t>Maziarz</w:t>
      </w:r>
      <w:proofErr w:type="spellEnd"/>
      <w:r w:rsidRPr="00000DD3">
        <w:rPr>
          <w:rFonts w:ascii="Book Antiqua" w:hAnsi="Book Antiqua"/>
        </w:rPr>
        <w:t xml:space="preserve"> A, </w:t>
      </w:r>
      <w:proofErr w:type="spellStart"/>
      <w:r w:rsidRPr="00000DD3">
        <w:rPr>
          <w:rFonts w:ascii="Book Antiqua" w:hAnsi="Book Antiqua"/>
        </w:rPr>
        <w:t>Tabarkiewicz</w:t>
      </w:r>
      <w:proofErr w:type="spellEnd"/>
      <w:r w:rsidRPr="00000DD3">
        <w:rPr>
          <w:rFonts w:ascii="Book Antiqua" w:hAnsi="Book Antiqua"/>
        </w:rPr>
        <w:t xml:space="preserve"> J, </w:t>
      </w:r>
      <w:proofErr w:type="spellStart"/>
      <w:r w:rsidRPr="00000DD3">
        <w:rPr>
          <w:rFonts w:ascii="Book Antiqua" w:hAnsi="Book Antiqua"/>
        </w:rPr>
        <w:t>Ochiya</w:t>
      </w:r>
      <w:proofErr w:type="spellEnd"/>
      <w:r w:rsidRPr="00000DD3">
        <w:rPr>
          <w:rFonts w:ascii="Book Antiqua" w:hAnsi="Book Antiqua"/>
        </w:rPr>
        <w:t xml:space="preserve"> T, </w:t>
      </w:r>
      <w:proofErr w:type="spellStart"/>
      <w:r w:rsidRPr="00000DD3">
        <w:rPr>
          <w:rFonts w:ascii="Book Antiqua" w:hAnsi="Book Antiqua"/>
        </w:rPr>
        <w:t>Banaś-Ząbczyk</w:t>
      </w:r>
      <w:proofErr w:type="spellEnd"/>
      <w:r w:rsidRPr="00000DD3">
        <w:rPr>
          <w:rFonts w:ascii="Book Antiqua" w:hAnsi="Book Antiqua"/>
        </w:rPr>
        <w:t xml:space="preserve"> A. Trophic Activity and Phenotype of Adipose Tissue-Derived Mesenchymal Stem Cells as a Background of Their Regenerative Potential. </w:t>
      </w:r>
      <w:r w:rsidRPr="00000DD3">
        <w:rPr>
          <w:rFonts w:ascii="Book Antiqua" w:hAnsi="Book Antiqua"/>
          <w:i/>
        </w:rPr>
        <w:t>Stem Cells Int</w:t>
      </w:r>
      <w:r w:rsidRPr="00000DD3">
        <w:rPr>
          <w:rFonts w:ascii="Book Antiqua" w:hAnsi="Book Antiqua"/>
        </w:rPr>
        <w:t xml:space="preserve"> 2017; </w:t>
      </w:r>
      <w:r w:rsidRPr="00000DD3">
        <w:rPr>
          <w:rFonts w:ascii="Book Antiqua" w:hAnsi="Book Antiqua"/>
          <w:b/>
        </w:rPr>
        <w:t>2017</w:t>
      </w:r>
      <w:r w:rsidRPr="00000DD3">
        <w:rPr>
          <w:rFonts w:ascii="Book Antiqua" w:hAnsi="Book Antiqua"/>
        </w:rPr>
        <w:t>: 1653254 [PMID: 28757877 DOI: 10.1155/2017/1653254]</w:t>
      </w:r>
    </w:p>
    <w:p w14:paraId="350DD849"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67 </w:t>
      </w:r>
      <w:r w:rsidRPr="00000DD3">
        <w:rPr>
          <w:rFonts w:ascii="Book Antiqua" w:hAnsi="Book Antiqua"/>
          <w:b/>
        </w:rPr>
        <w:t>Mo M</w:t>
      </w:r>
      <w:r w:rsidRPr="00000DD3">
        <w:rPr>
          <w:rFonts w:ascii="Book Antiqua" w:hAnsi="Book Antiqua"/>
        </w:rPr>
        <w:t xml:space="preserve">, Wang S, Zhou Y, Li H, Wu Y. Mesenchymal stem cell subpopulations: phenotype, property and therapeutic potential. </w:t>
      </w:r>
      <w:r w:rsidRPr="00000DD3">
        <w:rPr>
          <w:rFonts w:ascii="Book Antiqua" w:hAnsi="Book Antiqua"/>
          <w:i/>
        </w:rPr>
        <w:t>Cell Mol Life Sci</w:t>
      </w:r>
      <w:r w:rsidRPr="00000DD3">
        <w:rPr>
          <w:rFonts w:ascii="Book Antiqua" w:hAnsi="Book Antiqua"/>
        </w:rPr>
        <w:t xml:space="preserve"> 2016; </w:t>
      </w:r>
      <w:r w:rsidRPr="00000DD3">
        <w:rPr>
          <w:rFonts w:ascii="Book Antiqua" w:hAnsi="Book Antiqua"/>
          <w:b/>
        </w:rPr>
        <w:t>73</w:t>
      </w:r>
      <w:r w:rsidRPr="00000DD3">
        <w:rPr>
          <w:rFonts w:ascii="Book Antiqua" w:hAnsi="Book Antiqua"/>
        </w:rPr>
        <w:t>: 3311-3321 [PMID: 27141940 DOI: 10.1007/s00018-016-2229-7]</w:t>
      </w:r>
    </w:p>
    <w:p w14:paraId="6F2F41FB"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68 </w:t>
      </w:r>
      <w:r w:rsidRPr="00000DD3">
        <w:rPr>
          <w:rFonts w:ascii="Book Antiqua" w:hAnsi="Book Antiqua"/>
          <w:b/>
        </w:rPr>
        <w:t>Neupane M</w:t>
      </w:r>
      <w:r w:rsidRPr="00000DD3">
        <w:rPr>
          <w:rFonts w:ascii="Book Antiqua" w:hAnsi="Book Antiqua"/>
        </w:rPr>
        <w:t xml:space="preserve">, Chang CC, </w:t>
      </w:r>
      <w:proofErr w:type="spellStart"/>
      <w:r w:rsidRPr="00000DD3">
        <w:rPr>
          <w:rFonts w:ascii="Book Antiqua" w:hAnsi="Book Antiqua"/>
        </w:rPr>
        <w:t>Kiupel</w:t>
      </w:r>
      <w:proofErr w:type="spellEnd"/>
      <w:r w:rsidRPr="00000DD3">
        <w:rPr>
          <w:rFonts w:ascii="Book Antiqua" w:hAnsi="Book Antiqua"/>
        </w:rPr>
        <w:t xml:space="preserve"> M, </w:t>
      </w:r>
      <w:proofErr w:type="spellStart"/>
      <w:r w:rsidRPr="00000DD3">
        <w:rPr>
          <w:rFonts w:ascii="Book Antiqua" w:hAnsi="Book Antiqua"/>
        </w:rPr>
        <w:t>Yuzbasiyan-Gurkan</w:t>
      </w:r>
      <w:proofErr w:type="spellEnd"/>
      <w:r w:rsidRPr="00000DD3">
        <w:rPr>
          <w:rFonts w:ascii="Book Antiqua" w:hAnsi="Book Antiqua"/>
        </w:rPr>
        <w:t xml:space="preserve"> V. Isolation and characterization of canine adipose-derived mesenchymal stem cells. </w:t>
      </w:r>
      <w:r w:rsidRPr="00000DD3">
        <w:rPr>
          <w:rFonts w:ascii="Book Antiqua" w:hAnsi="Book Antiqua"/>
          <w:i/>
        </w:rPr>
        <w:t xml:space="preserve">Tissue </w:t>
      </w:r>
      <w:proofErr w:type="spellStart"/>
      <w:r w:rsidRPr="00000DD3">
        <w:rPr>
          <w:rFonts w:ascii="Book Antiqua" w:hAnsi="Book Antiqua"/>
          <w:i/>
        </w:rPr>
        <w:t>Eng</w:t>
      </w:r>
      <w:proofErr w:type="spellEnd"/>
      <w:r w:rsidRPr="00000DD3">
        <w:rPr>
          <w:rFonts w:ascii="Book Antiqua" w:hAnsi="Book Antiqua"/>
          <w:i/>
        </w:rPr>
        <w:t xml:space="preserve"> Part A</w:t>
      </w:r>
      <w:r w:rsidRPr="00000DD3">
        <w:rPr>
          <w:rFonts w:ascii="Book Antiqua" w:hAnsi="Book Antiqua"/>
        </w:rPr>
        <w:t xml:space="preserve"> 2008; </w:t>
      </w:r>
      <w:r w:rsidRPr="00000DD3">
        <w:rPr>
          <w:rFonts w:ascii="Book Antiqua" w:hAnsi="Book Antiqua"/>
          <w:b/>
        </w:rPr>
        <w:t>14</w:t>
      </w:r>
      <w:r w:rsidRPr="00000DD3">
        <w:rPr>
          <w:rFonts w:ascii="Book Antiqua" w:hAnsi="Book Antiqua"/>
        </w:rPr>
        <w:t>: 1007-1015 [PMID: 19230125 DOI: 10.1089/tea.2007.0207]</w:t>
      </w:r>
    </w:p>
    <w:p w14:paraId="030335BF"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69 </w:t>
      </w:r>
      <w:proofErr w:type="spellStart"/>
      <w:r w:rsidRPr="00000DD3">
        <w:rPr>
          <w:rFonts w:ascii="Book Antiqua" w:hAnsi="Book Antiqua"/>
          <w:b/>
        </w:rPr>
        <w:t>Allas</w:t>
      </w:r>
      <w:proofErr w:type="spellEnd"/>
      <w:r w:rsidRPr="00000DD3">
        <w:rPr>
          <w:rFonts w:ascii="Book Antiqua" w:hAnsi="Book Antiqua"/>
          <w:b/>
        </w:rPr>
        <w:t xml:space="preserve"> L</w:t>
      </w:r>
      <w:r w:rsidRPr="00000DD3">
        <w:rPr>
          <w:rFonts w:ascii="Book Antiqua" w:hAnsi="Book Antiqua"/>
        </w:rPr>
        <w:t xml:space="preserve">, </w:t>
      </w:r>
      <w:proofErr w:type="spellStart"/>
      <w:r w:rsidRPr="00000DD3">
        <w:rPr>
          <w:rFonts w:ascii="Book Antiqua" w:hAnsi="Book Antiqua"/>
        </w:rPr>
        <w:t>Boumédiene</w:t>
      </w:r>
      <w:proofErr w:type="spellEnd"/>
      <w:r w:rsidRPr="00000DD3">
        <w:rPr>
          <w:rFonts w:ascii="Book Antiqua" w:hAnsi="Book Antiqua"/>
        </w:rPr>
        <w:t xml:space="preserve"> K, </w:t>
      </w:r>
      <w:proofErr w:type="spellStart"/>
      <w:r w:rsidRPr="00000DD3">
        <w:rPr>
          <w:rFonts w:ascii="Book Antiqua" w:hAnsi="Book Antiqua"/>
        </w:rPr>
        <w:t>Baugé</w:t>
      </w:r>
      <w:proofErr w:type="spellEnd"/>
      <w:r w:rsidRPr="00000DD3">
        <w:rPr>
          <w:rFonts w:ascii="Book Antiqua" w:hAnsi="Book Antiqua"/>
        </w:rPr>
        <w:t xml:space="preserve"> C. Epigenetic dynamic during endochondral ossification and articular cartilage development. </w:t>
      </w:r>
      <w:r w:rsidRPr="00000DD3">
        <w:rPr>
          <w:rFonts w:ascii="Book Antiqua" w:hAnsi="Book Antiqua"/>
          <w:i/>
        </w:rPr>
        <w:t>Bone</w:t>
      </w:r>
      <w:r w:rsidRPr="00000DD3">
        <w:rPr>
          <w:rFonts w:ascii="Book Antiqua" w:hAnsi="Book Antiqua"/>
        </w:rPr>
        <w:t xml:space="preserve"> 2019; </w:t>
      </w:r>
      <w:r w:rsidRPr="00000DD3">
        <w:rPr>
          <w:rFonts w:ascii="Book Antiqua" w:hAnsi="Book Antiqua"/>
          <w:b/>
        </w:rPr>
        <w:t>120</w:t>
      </w:r>
      <w:r w:rsidRPr="00000DD3">
        <w:rPr>
          <w:rFonts w:ascii="Book Antiqua" w:hAnsi="Book Antiqua"/>
        </w:rPr>
        <w:t>: 523-532 [PMID: 30296494 DOI: 10.1016/j.bone.2018.10.004]</w:t>
      </w:r>
    </w:p>
    <w:p w14:paraId="2D3181BB" w14:textId="09BEA0A4" w:rsidR="008D78C7" w:rsidRPr="00000DD3" w:rsidRDefault="008D78C7" w:rsidP="008D78C7">
      <w:pPr>
        <w:spacing w:line="360" w:lineRule="auto"/>
        <w:jc w:val="both"/>
        <w:rPr>
          <w:rFonts w:ascii="Book Antiqua" w:hAnsi="Book Antiqua"/>
        </w:rPr>
      </w:pPr>
      <w:r w:rsidRPr="00000DD3">
        <w:rPr>
          <w:rFonts w:ascii="Book Antiqua" w:hAnsi="Book Antiqua"/>
        </w:rPr>
        <w:t xml:space="preserve">70 </w:t>
      </w:r>
      <w:r w:rsidRPr="00000DD3">
        <w:rPr>
          <w:rFonts w:ascii="Book Antiqua" w:hAnsi="Book Antiqua"/>
          <w:b/>
        </w:rPr>
        <w:t>Omar SNC</w:t>
      </w:r>
      <w:r w:rsidRPr="00000DD3">
        <w:rPr>
          <w:rFonts w:ascii="Book Antiqua" w:hAnsi="Book Antiqua"/>
        </w:rPr>
        <w:t xml:space="preserve">, Goh BS, </w:t>
      </w:r>
      <w:proofErr w:type="spellStart"/>
      <w:r w:rsidRPr="00000DD3">
        <w:rPr>
          <w:rFonts w:ascii="Book Antiqua" w:hAnsi="Book Antiqua"/>
        </w:rPr>
        <w:t>Ubaidah</w:t>
      </w:r>
      <w:proofErr w:type="spellEnd"/>
      <w:r w:rsidRPr="00000DD3">
        <w:rPr>
          <w:rFonts w:ascii="Book Antiqua" w:hAnsi="Book Antiqua"/>
        </w:rPr>
        <w:t xml:space="preserve"> MA, </w:t>
      </w:r>
      <w:proofErr w:type="spellStart"/>
      <w:r w:rsidRPr="00000DD3">
        <w:rPr>
          <w:rFonts w:ascii="Book Antiqua" w:hAnsi="Book Antiqua"/>
        </w:rPr>
        <w:t>Khairoji</w:t>
      </w:r>
      <w:proofErr w:type="spellEnd"/>
      <w:r w:rsidRPr="00000DD3">
        <w:rPr>
          <w:rFonts w:ascii="Book Antiqua" w:hAnsi="Book Antiqua"/>
        </w:rPr>
        <w:t xml:space="preserve"> KA, </w:t>
      </w:r>
      <w:proofErr w:type="spellStart"/>
      <w:r w:rsidRPr="00000DD3">
        <w:rPr>
          <w:rFonts w:ascii="Book Antiqua" w:hAnsi="Book Antiqua"/>
        </w:rPr>
        <w:t>Sulaiman</w:t>
      </w:r>
      <w:proofErr w:type="spellEnd"/>
      <w:r w:rsidRPr="00000DD3">
        <w:rPr>
          <w:rFonts w:ascii="Book Antiqua" w:hAnsi="Book Antiqua"/>
        </w:rPr>
        <w:t xml:space="preserve"> S, </w:t>
      </w:r>
      <w:proofErr w:type="spellStart"/>
      <w:r w:rsidRPr="00000DD3">
        <w:rPr>
          <w:rFonts w:ascii="Book Antiqua" w:hAnsi="Book Antiqua"/>
        </w:rPr>
        <w:t>Saim</w:t>
      </w:r>
      <w:proofErr w:type="spellEnd"/>
      <w:r w:rsidRPr="00000DD3">
        <w:rPr>
          <w:rFonts w:ascii="Book Antiqua" w:hAnsi="Book Antiqua"/>
        </w:rPr>
        <w:t xml:space="preserve"> L, Chua KH. Transforming growth factor beta 3 induced human adipose-derived stem cells for auricular chondrogenesis. </w:t>
      </w:r>
      <w:proofErr w:type="spellStart"/>
      <w:r w:rsidRPr="00000DD3">
        <w:rPr>
          <w:rFonts w:ascii="Book Antiqua" w:hAnsi="Book Antiqua"/>
          <w:i/>
        </w:rPr>
        <w:t>Sains</w:t>
      </w:r>
      <w:proofErr w:type="spellEnd"/>
      <w:r w:rsidRPr="00000DD3">
        <w:rPr>
          <w:rFonts w:ascii="Book Antiqua" w:hAnsi="Book Antiqua"/>
          <w:i/>
        </w:rPr>
        <w:t xml:space="preserve"> Malays </w:t>
      </w:r>
      <w:r w:rsidRPr="00000DD3">
        <w:rPr>
          <w:rFonts w:ascii="Book Antiqua" w:hAnsi="Book Antiqua"/>
        </w:rPr>
        <w:t xml:space="preserve">2018; </w:t>
      </w:r>
      <w:r w:rsidRPr="00000DD3">
        <w:rPr>
          <w:rFonts w:ascii="Book Antiqua" w:hAnsi="Book Antiqua"/>
          <w:b/>
        </w:rPr>
        <w:t>47</w:t>
      </w:r>
      <w:r w:rsidRPr="00000DD3">
        <w:rPr>
          <w:rFonts w:ascii="Book Antiqua" w:hAnsi="Book Antiqua"/>
        </w:rPr>
        <w:t>: 2349-2358 [DOI: 10.17576/jsm-2018-4710-11]</w:t>
      </w:r>
    </w:p>
    <w:p w14:paraId="5F4AB641"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71 </w:t>
      </w:r>
      <w:r w:rsidRPr="00000DD3">
        <w:rPr>
          <w:rFonts w:ascii="Book Antiqua" w:hAnsi="Book Antiqua"/>
          <w:b/>
        </w:rPr>
        <w:t>Garcia J</w:t>
      </w:r>
      <w:r w:rsidRPr="00000DD3">
        <w:rPr>
          <w:rFonts w:ascii="Book Antiqua" w:hAnsi="Book Antiqua"/>
        </w:rPr>
        <w:t xml:space="preserve">, </w:t>
      </w:r>
      <w:proofErr w:type="spellStart"/>
      <w:r w:rsidRPr="00000DD3">
        <w:rPr>
          <w:rFonts w:ascii="Book Antiqua" w:hAnsi="Book Antiqua"/>
        </w:rPr>
        <w:t>Mennan</w:t>
      </w:r>
      <w:proofErr w:type="spellEnd"/>
      <w:r w:rsidRPr="00000DD3">
        <w:rPr>
          <w:rFonts w:ascii="Book Antiqua" w:hAnsi="Book Antiqua"/>
        </w:rPr>
        <w:t xml:space="preserve"> C, McCarthy HS, Roberts S, Richardson JB, Wright KT. Chondrogenic Potency Analyses of Donor-Matched Chondrocytes and Mesenchymal Stem Cells Derived from Bone Marrow, Infrapatellar Fat Pad, and Subcutaneous Fat. </w:t>
      </w:r>
      <w:r w:rsidRPr="00000DD3">
        <w:rPr>
          <w:rFonts w:ascii="Book Antiqua" w:hAnsi="Book Antiqua"/>
          <w:i/>
        </w:rPr>
        <w:t>Stem Cells Int</w:t>
      </w:r>
      <w:r w:rsidRPr="00000DD3">
        <w:rPr>
          <w:rFonts w:ascii="Book Antiqua" w:hAnsi="Book Antiqua"/>
        </w:rPr>
        <w:t xml:space="preserve"> 2016; </w:t>
      </w:r>
      <w:r w:rsidRPr="00000DD3">
        <w:rPr>
          <w:rFonts w:ascii="Book Antiqua" w:hAnsi="Book Antiqua"/>
          <w:b/>
        </w:rPr>
        <w:t>2016</w:t>
      </w:r>
      <w:r w:rsidRPr="00000DD3">
        <w:rPr>
          <w:rFonts w:ascii="Book Antiqua" w:hAnsi="Book Antiqua"/>
        </w:rPr>
        <w:t>: 6969726 [PMID: 27781068 DOI: 10.1155/2016/6969726]</w:t>
      </w:r>
    </w:p>
    <w:p w14:paraId="503ECBDB"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72 </w:t>
      </w:r>
      <w:proofErr w:type="spellStart"/>
      <w:r w:rsidRPr="00000DD3">
        <w:rPr>
          <w:rFonts w:ascii="Book Antiqua" w:hAnsi="Book Antiqua"/>
          <w:b/>
        </w:rPr>
        <w:t>Sakaguchi</w:t>
      </w:r>
      <w:proofErr w:type="spellEnd"/>
      <w:r w:rsidRPr="00000DD3">
        <w:rPr>
          <w:rFonts w:ascii="Book Antiqua" w:hAnsi="Book Antiqua"/>
          <w:b/>
        </w:rPr>
        <w:t xml:space="preserve"> Y</w:t>
      </w:r>
      <w:r w:rsidRPr="00000DD3">
        <w:rPr>
          <w:rFonts w:ascii="Book Antiqua" w:hAnsi="Book Antiqua"/>
        </w:rPr>
        <w:t xml:space="preserve">, Sekiya I, </w:t>
      </w:r>
      <w:proofErr w:type="spellStart"/>
      <w:r w:rsidRPr="00000DD3">
        <w:rPr>
          <w:rFonts w:ascii="Book Antiqua" w:hAnsi="Book Antiqua"/>
        </w:rPr>
        <w:t>Yagishita</w:t>
      </w:r>
      <w:proofErr w:type="spellEnd"/>
      <w:r w:rsidRPr="00000DD3">
        <w:rPr>
          <w:rFonts w:ascii="Book Antiqua" w:hAnsi="Book Antiqua"/>
        </w:rPr>
        <w:t xml:space="preserve"> K, </w:t>
      </w:r>
      <w:proofErr w:type="spellStart"/>
      <w:r w:rsidRPr="00000DD3">
        <w:rPr>
          <w:rFonts w:ascii="Book Antiqua" w:hAnsi="Book Antiqua"/>
        </w:rPr>
        <w:t>Muneta</w:t>
      </w:r>
      <w:proofErr w:type="spellEnd"/>
      <w:r w:rsidRPr="00000DD3">
        <w:rPr>
          <w:rFonts w:ascii="Book Antiqua" w:hAnsi="Book Antiqua"/>
        </w:rPr>
        <w:t xml:space="preserve"> T. Comparison of human stem cells derived from various mesenchymal tissues: superiority of synovium as a cell source. </w:t>
      </w:r>
      <w:r w:rsidRPr="00000DD3">
        <w:rPr>
          <w:rFonts w:ascii="Book Antiqua" w:hAnsi="Book Antiqua"/>
          <w:i/>
        </w:rPr>
        <w:t>Arthritis Rheum</w:t>
      </w:r>
      <w:r w:rsidRPr="00000DD3">
        <w:rPr>
          <w:rFonts w:ascii="Book Antiqua" w:hAnsi="Book Antiqua"/>
        </w:rPr>
        <w:t xml:space="preserve"> 2005; </w:t>
      </w:r>
      <w:r w:rsidRPr="00000DD3">
        <w:rPr>
          <w:rFonts w:ascii="Book Antiqua" w:hAnsi="Book Antiqua"/>
          <w:b/>
        </w:rPr>
        <w:t>52</w:t>
      </w:r>
      <w:r w:rsidRPr="00000DD3">
        <w:rPr>
          <w:rFonts w:ascii="Book Antiqua" w:hAnsi="Book Antiqua"/>
        </w:rPr>
        <w:t>: 2521-2529 [PMID: 16052568 DOI: 10.1002/art.21212]</w:t>
      </w:r>
    </w:p>
    <w:p w14:paraId="141F6E26"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73 </w:t>
      </w:r>
      <w:proofErr w:type="spellStart"/>
      <w:r w:rsidRPr="00000DD3">
        <w:rPr>
          <w:rFonts w:ascii="Book Antiqua" w:hAnsi="Book Antiqua"/>
          <w:b/>
        </w:rPr>
        <w:t>Bertolo</w:t>
      </w:r>
      <w:proofErr w:type="spellEnd"/>
      <w:r w:rsidRPr="00000DD3">
        <w:rPr>
          <w:rFonts w:ascii="Book Antiqua" w:hAnsi="Book Antiqua"/>
          <w:b/>
        </w:rPr>
        <w:t xml:space="preserve"> A</w:t>
      </w:r>
      <w:r w:rsidRPr="00000DD3">
        <w:rPr>
          <w:rFonts w:ascii="Book Antiqua" w:hAnsi="Book Antiqua"/>
        </w:rPr>
        <w:t xml:space="preserve">, Steffen F, </w:t>
      </w:r>
      <w:proofErr w:type="spellStart"/>
      <w:r w:rsidRPr="00000DD3">
        <w:rPr>
          <w:rFonts w:ascii="Book Antiqua" w:hAnsi="Book Antiqua"/>
        </w:rPr>
        <w:t>Malonzo</w:t>
      </w:r>
      <w:proofErr w:type="spellEnd"/>
      <w:r w:rsidRPr="00000DD3">
        <w:rPr>
          <w:rFonts w:ascii="Book Antiqua" w:hAnsi="Book Antiqua"/>
        </w:rPr>
        <w:t xml:space="preserve">-Marty C, </w:t>
      </w:r>
      <w:proofErr w:type="spellStart"/>
      <w:r w:rsidRPr="00000DD3">
        <w:rPr>
          <w:rFonts w:ascii="Book Antiqua" w:hAnsi="Book Antiqua"/>
        </w:rPr>
        <w:t>Stoyanov</w:t>
      </w:r>
      <w:proofErr w:type="spellEnd"/>
      <w:r w:rsidRPr="00000DD3">
        <w:rPr>
          <w:rFonts w:ascii="Book Antiqua" w:hAnsi="Book Antiqua"/>
        </w:rPr>
        <w:t xml:space="preserve"> J. Canine Mesenchymal Stem Cell Potential and the Importance of Dog Breed: Implication for Cell-Based Therapies. </w:t>
      </w:r>
      <w:r w:rsidRPr="00000DD3">
        <w:rPr>
          <w:rFonts w:ascii="Book Antiqua" w:hAnsi="Book Antiqua"/>
          <w:i/>
        </w:rPr>
        <w:t>Cell Transplant</w:t>
      </w:r>
      <w:r w:rsidRPr="00000DD3">
        <w:rPr>
          <w:rFonts w:ascii="Book Antiqua" w:hAnsi="Book Antiqua"/>
        </w:rPr>
        <w:t xml:space="preserve"> 2015; </w:t>
      </w:r>
      <w:r w:rsidRPr="00000DD3">
        <w:rPr>
          <w:rFonts w:ascii="Book Antiqua" w:hAnsi="Book Antiqua"/>
          <w:b/>
        </w:rPr>
        <w:t>24</w:t>
      </w:r>
      <w:r w:rsidRPr="00000DD3">
        <w:rPr>
          <w:rFonts w:ascii="Book Antiqua" w:hAnsi="Book Antiqua"/>
        </w:rPr>
        <w:t>: 1969-1980 [PMID: 25375819 DOI: 10.3727/096368914X685294]</w:t>
      </w:r>
    </w:p>
    <w:p w14:paraId="14D15643"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74 </w:t>
      </w:r>
      <w:r w:rsidRPr="00000DD3">
        <w:rPr>
          <w:rFonts w:ascii="Book Antiqua" w:hAnsi="Book Antiqua"/>
          <w:b/>
        </w:rPr>
        <w:t xml:space="preserve">Van de </w:t>
      </w:r>
      <w:proofErr w:type="spellStart"/>
      <w:r w:rsidRPr="00000DD3">
        <w:rPr>
          <w:rFonts w:ascii="Book Antiqua" w:hAnsi="Book Antiqua"/>
          <w:b/>
        </w:rPr>
        <w:t>Walle</w:t>
      </w:r>
      <w:proofErr w:type="spellEnd"/>
      <w:r w:rsidRPr="00000DD3">
        <w:rPr>
          <w:rFonts w:ascii="Book Antiqua" w:hAnsi="Book Antiqua"/>
          <w:b/>
        </w:rPr>
        <w:t xml:space="preserve"> A</w:t>
      </w:r>
      <w:r w:rsidRPr="00000DD3">
        <w:rPr>
          <w:rFonts w:ascii="Book Antiqua" w:hAnsi="Book Antiqua"/>
        </w:rPr>
        <w:t xml:space="preserve">, </w:t>
      </w:r>
      <w:proofErr w:type="spellStart"/>
      <w:r w:rsidRPr="00000DD3">
        <w:rPr>
          <w:rFonts w:ascii="Book Antiqua" w:hAnsi="Book Antiqua"/>
        </w:rPr>
        <w:t>Faissal</w:t>
      </w:r>
      <w:proofErr w:type="spellEnd"/>
      <w:r w:rsidRPr="00000DD3">
        <w:rPr>
          <w:rFonts w:ascii="Book Antiqua" w:hAnsi="Book Antiqua"/>
        </w:rPr>
        <w:t xml:space="preserve"> W, Wilhelm C, </w:t>
      </w:r>
      <w:proofErr w:type="spellStart"/>
      <w:r w:rsidRPr="00000DD3">
        <w:rPr>
          <w:rFonts w:ascii="Book Antiqua" w:hAnsi="Book Antiqua"/>
        </w:rPr>
        <w:t>Luciani</w:t>
      </w:r>
      <w:proofErr w:type="spellEnd"/>
      <w:r w:rsidRPr="00000DD3">
        <w:rPr>
          <w:rFonts w:ascii="Book Antiqua" w:hAnsi="Book Antiqua"/>
        </w:rPr>
        <w:t xml:space="preserve"> N. Role of growth factors and oxygen to limit hypertrophy and impact of high magnetic nanoparticles dose during stem cell chondrogenesis. </w:t>
      </w:r>
      <w:proofErr w:type="spellStart"/>
      <w:r w:rsidRPr="00000DD3">
        <w:rPr>
          <w:rFonts w:ascii="Book Antiqua" w:hAnsi="Book Antiqua"/>
          <w:i/>
        </w:rPr>
        <w:t>Comput</w:t>
      </w:r>
      <w:proofErr w:type="spellEnd"/>
      <w:r w:rsidRPr="00000DD3">
        <w:rPr>
          <w:rFonts w:ascii="Book Antiqua" w:hAnsi="Book Antiqua"/>
          <w:i/>
        </w:rPr>
        <w:t xml:space="preserve"> Struct </w:t>
      </w:r>
      <w:proofErr w:type="spellStart"/>
      <w:r w:rsidRPr="00000DD3">
        <w:rPr>
          <w:rFonts w:ascii="Book Antiqua" w:hAnsi="Book Antiqua"/>
          <w:i/>
        </w:rPr>
        <w:t>Biotechnol</w:t>
      </w:r>
      <w:proofErr w:type="spellEnd"/>
      <w:r w:rsidRPr="00000DD3">
        <w:rPr>
          <w:rFonts w:ascii="Book Antiqua" w:hAnsi="Book Antiqua"/>
          <w:i/>
        </w:rPr>
        <w:t xml:space="preserve"> J</w:t>
      </w:r>
      <w:r w:rsidRPr="00000DD3">
        <w:rPr>
          <w:rFonts w:ascii="Book Antiqua" w:hAnsi="Book Antiqua"/>
        </w:rPr>
        <w:t xml:space="preserve"> 2018; </w:t>
      </w:r>
      <w:r w:rsidRPr="00000DD3">
        <w:rPr>
          <w:rFonts w:ascii="Book Antiqua" w:hAnsi="Book Antiqua"/>
          <w:b/>
        </w:rPr>
        <w:t>16</w:t>
      </w:r>
      <w:r w:rsidRPr="00000DD3">
        <w:rPr>
          <w:rFonts w:ascii="Book Antiqua" w:hAnsi="Book Antiqua"/>
        </w:rPr>
        <w:t>: 532-542 [PMID: 30524668 DOI: 10.1016/j.csbj.2018.10.014]</w:t>
      </w:r>
    </w:p>
    <w:p w14:paraId="3DE7137E"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75 </w:t>
      </w:r>
      <w:proofErr w:type="spellStart"/>
      <w:r w:rsidRPr="00000DD3">
        <w:rPr>
          <w:rFonts w:ascii="Book Antiqua" w:hAnsi="Book Antiqua"/>
          <w:b/>
        </w:rPr>
        <w:t>Augustyniak</w:t>
      </w:r>
      <w:proofErr w:type="spellEnd"/>
      <w:r w:rsidRPr="00000DD3">
        <w:rPr>
          <w:rFonts w:ascii="Book Antiqua" w:hAnsi="Book Antiqua"/>
          <w:b/>
        </w:rPr>
        <w:t xml:space="preserve"> E</w:t>
      </w:r>
      <w:r w:rsidRPr="00000DD3">
        <w:rPr>
          <w:rFonts w:ascii="Book Antiqua" w:hAnsi="Book Antiqua"/>
        </w:rPr>
        <w:t xml:space="preserve">, </w:t>
      </w:r>
      <w:proofErr w:type="spellStart"/>
      <w:r w:rsidRPr="00000DD3">
        <w:rPr>
          <w:rFonts w:ascii="Book Antiqua" w:hAnsi="Book Antiqua"/>
        </w:rPr>
        <w:t>Trzeciak</w:t>
      </w:r>
      <w:proofErr w:type="spellEnd"/>
      <w:r w:rsidRPr="00000DD3">
        <w:rPr>
          <w:rFonts w:ascii="Book Antiqua" w:hAnsi="Book Antiqua"/>
        </w:rPr>
        <w:t xml:space="preserve"> T, Richter M, </w:t>
      </w:r>
      <w:proofErr w:type="spellStart"/>
      <w:r w:rsidRPr="00000DD3">
        <w:rPr>
          <w:rFonts w:ascii="Book Antiqua" w:hAnsi="Book Antiqua"/>
        </w:rPr>
        <w:t>Kaczmarczyk</w:t>
      </w:r>
      <w:proofErr w:type="spellEnd"/>
      <w:r w:rsidRPr="00000DD3">
        <w:rPr>
          <w:rFonts w:ascii="Book Antiqua" w:hAnsi="Book Antiqua"/>
        </w:rPr>
        <w:t xml:space="preserve"> J, </w:t>
      </w:r>
      <w:proofErr w:type="spellStart"/>
      <w:r w:rsidRPr="00000DD3">
        <w:rPr>
          <w:rFonts w:ascii="Book Antiqua" w:hAnsi="Book Antiqua"/>
        </w:rPr>
        <w:t>Suchorska</w:t>
      </w:r>
      <w:proofErr w:type="spellEnd"/>
      <w:r w:rsidRPr="00000DD3">
        <w:rPr>
          <w:rFonts w:ascii="Book Antiqua" w:hAnsi="Book Antiqua"/>
        </w:rPr>
        <w:t xml:space="preserve"> W. The role of growth factors in stem cell-directed chondrogenesis: a real hope for damaged cartilage regeneration. </w:t>
      </w:r>
      <w:r w:rsidRPr="00000DD3">
        <w:rPr>
          <w:rFonts w:ascii="Book Antiqua" w:hAnsi="Book Antiqua"/>
          <w:i/>
        </w:rPr>
        <w:t xml:space="preserve">Int </w:t>
      </w:r>
      <w:proofErr w:type="spellStart"/>
      <w:r w:rsidRPr="00000DD3">
        <w:rPr>
          <w:rFonts w:ascii="Book Antiqua" w:hAnsi="Book Antiqua"/>
          <w:i/>
        </w:rPr>
        <w:t>Orthop</w:t>
      </w:r>
      <w:proofErr w:type="spellEnd"/>
      <w:r w:rsidRPr="00000DD3">
        <w:rPr>
          <w:rFonts w:ascii="Book Antiqua" w:hAnsi="Book Antiqua"/>
        </w:rPr>
        <w:t xml:space="preserve"> 2015; </w:t>
      </w:r>
      <w:r w:rsidRPr="00000DD3">
        <w:rPr>
          <w:rFonts w:ascii="Book Antiqua" w:hAnsi="Book Antiqua"/>
          <w:b/>
        </w:rPr>
        <w:t>39</w:t>
      </w:r>
      <w:r w:rsidRPr="00000DD3">
        <w:rPr>
          <w:rFonts w:ascii="Book Antiqua" w:hAnsi="Book Antiqua"/>
        </w:rPr>
        <w:t>: 995-1003 [PMID: 25512139 DOI: 10.1007/s00264-014-2619-0]</w:t>
      </w:r>
    </w:p>
    <w:p w14:paraId="64E3A9BB"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76 </w:t>
      </w:r>
      <w:r w:rsidRPr="00000DD3">
        <w:rPr>
          <w:rFonts w:ascii="Book Antiqua" w:hAnsi="Book Antiqua"/>
          <w:b/>
        </w:rPr>
        <w:t>Sekiya I</w:t>
      </w:r>
      <w:r w:rsidRPr="00000DD3">
        <w:rPr>
          <w:rFonts w:ascii="Book Antiqua" w:hAnsi="Book Antiqua"/>
        </w:rPr>
        <w:t xml:space="preserve">, Larson BL, </w:t>
      </w:r>
      <w:proofErr w:type="spellStart"/>
      <w:r w:rsidRPr="00000DD3">
        <w:rPr>
          <w:rFonts w:ascii="Book Antiqua" w:hAnsi="Book Antiqua"/>
        </w:rPr>
        <w:t>Vuoristo</w:t>
      </w:r>
      <w:proofErr w:type="spellEnd"/>
      <w:r w:rsidRPr="00000DD3">
        <w:rPr>
          <w:rFonts w:ascii="Book Antiqua" w:hAnsi="Book Antiqua"/>
        </w:rPr>
        <w:t xml:space="preserve"> JT, </w:t>
      </w:r>
      <w:proofErr w:type="spellStart"/>
      <w:r w:rsidRPr="00000DD3">
        <w:rPr>
          <w:rFonts w:ascii="Book Antiqua" w:hAnsi="Book Antiqua"/>
        </w:rPr>
        <w:t>Reger</w:t>
      </w:r>
      <w:proofErr w:type="spellEnd"/>
      <w:r w:rsidRPr="00000DD3">
        <w:rPr>
          <w:rFonts w:ascii="Book Antiqua" w:hAnsi="Book Antiqua"/>
        </w:rPr>
        <w:t xml:space="preserve"> RL, </w:t>
      </w:r>
      <w:proofErr w:type="spellStart"/>
      <w:r w:rsidRPr="00000DD3">
        <w:rPr>
          <w:rFonts w:ascii="Book Antiqua" w:hAnsi="Book Antiqua"/>
        </w:rPr>
        <w:t>Prockop</w:t>
      </w:r>
      <w:proofErr w:type="spellEnd"/>
      <w:r w:rsidRPr="00000DD3">
        <w:rPr>
          <w:rFonts w:ascii="Book Antiqua" w:hAnsi="Book Antiqua"/>
        </w:rPr>
        <w:t xml:space="preserve"> DJ. Comparison of effect of BMP-2, -4, and -6 on in vitro cartilage formation of human adult stem cells from bone marrow stroma. </w:t>
      </w:r>
      <w:r w:rsidRPr="00000DD3">
        <w:rPr>
          <w:rFonts w:ascii="Book Antiqua" w:hAnsi="Book Antiqua"/>
          <w:i/>
        </w:rPr>
        <w:t>Cell Tissue Res</w:t>
      </w:r>
      <w:r w:rsidRPr="00000DD3">
        <w:rPr>
          <w:rFonts w:ascii="Book Antiqua" w:hAnsi="Book Antiqua"/>
        </w:rPr>
        <w:t xml:space="preserve"> 2005; </w:t>
      </w:r>
      <w:r w:rsidRPr="00000DD3">
        <w:rPr>
          <w:rFonts w:ascii="Book Antiqua" w:hAnsi="Book Antiqua"/>
          <w:b/>
        </w:rPr>
        <w:t>320</w:t>
      </w:r>
      <w:r w:rsidRPr="00000DD3">
        <w:rPr>
          <w:rFonts w:ascii="Book Antiqua" w:hAnsi="Book Antiqua"/>
        </w:rPr>
        <w:t>: 269-276 [PMID: 15778851 DOI: 10.1007/s00441-004-1075-3]</w:t>
      </w:r>
    </w:p>
    <w:p w14:paraId="0CF3466D"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77 </w:t>
      </w:r>
      <w:r w:rsidRPr="00000DD3">
        <w:rPr>
          <w:rFonts w:ascii="Book Antiqua" w:hAnsi="Book Antiqua"/>
          <w:b/>
        </w:rPr>
        <w:t>Salazar VS</w:t>
      </w:r>
      <w:r w:rsidRPr="00000DD3">
        <w:rPr>
          <w:rFonts w:ascii="Book Antiqua" w:hAnsi="Book Antiqua"/>
        </w:rPr>
        <w:t xml:space="preserve">, Gamer LW, Rosen V. BMP </w:t>
      </w:r>
      <w:proofErr w:type="spellStart"/>
      <w:r w:rsidRPr="00000DD3">
        <w:rPr>
          <w:rFonts w:ascii="Book Antiqua" w:hAnsi="Book Antiqua"/>
        </w:rPr>
        <w:t>signalling</w:t>
      </w:r>
      <w:proofErr w:type="spellEnd"/>
      <w:r w:rsidRPr="00000DD3">
        <w:rPr>
          <w:rFonts w:ascii="Book Antiqua" w:hAnsi="Book Antiqua"/>
        </w:rPr>
        <w:t xml:space="preserve"> in skeletal development, disease and repair. </w:t>
      </w:r>
      <w:r w:rsidRPr="00000DD3">
        <w:rPr>
          <w:rFonts w:ascii="Book Antiqua" w:hAnsi="Book Antiqua"/>
          <w:i/>
        </w:rPr>
        <w:t>Nat Rev Endocrinol</w:t>
      </w:r>
      <w:r w:rsidRPr="00000DD3">
        <w:rPr>
          <w:rFonts w:ascii="Book Antiqua" w:hAnsi="Book Antiqua"/>
        </w:rPr>
        <w:t xml:space="preserve"> 2016; </w:t>
      </w:r>
      <w:r w:rsidRPr="00000DD3">
        <w:rPr>
          <w:rFonts w:ascii="Book Antiqua" w:hAnsi="Book Antiqua"/>
          <w:b/>
        </w:rPr>
        <w:t>12</w:t>
      </w:r>
      <w:r w:rsidRPr="00000DD3">
        <w:rPr>
          <w:rFonts w:ascii="Book Antiqua" w:hAnsi="Book Antiqua"/>
        </w:rPr>
        <w:t>: 203-221 [PMID: 26893264 DOI: 10.1038/nrendo.2016.12]</w:t>
      </w:r>
    </w:p>
    <w:p w14:paraId="6BE16EC1"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78 </w:t>
      </w:r>
      <w:r w:rsidRPr="00000DD3">
        <w:rPr>
          <w:rFonts w:ascii="Book Antiqua" w:hAnsi="Book Antiqua"/>
          <w:b/>
        </w:rPr>
        <w:t>Volk SW</w:t>
      </w:r>
      <w:r w:rsidRPr="00000DD3">
        <w:rPr>
          <w:rFonts w:ascii="Book Antiqua" w:hAnsi="Book Antiqua"/>
        </w:rPr>
        <w:t xml:space="preserve">, </w:t>
      </w:r>
      <w:proofErr w:type="spellStart"/>
      <w:r w:rsidRPr="00000DD3">
        <w:rPr>
          <w:rFonts w:ascii="Book Antiqua" w:hAnsi="Book Antiqua"/>
        </w:rPr>
        <w:t>Diefenderfer</w:t>
      </w:r>
      <w:proofErr w:type="spellEnd"/>
      <w:r w:rsidRPr="00000DD3">
        <w:rPr>
          <w:rFonts w:ascii="Book Antiqua" w:hAnsi="Book Antiqua"/>
        </w:rPr>
        <w:t xml:space="preserve"> DL, Christopher SA, Haskins ME, </w:t>
      </w:r>
      <w:proofErr w:type="spellStart"/>
      <w:r w:rsidRPr="00000DD3">
        <w:rPr>
          <w:rFonts w:ascii="Book Antiqua" w:hAnsi="Book Antiqua"/>
        </w:rPr>
        <w:t>Leboy</w:t>
      </w:r>
      <w:proofErr w:type="spellEnd"/>
      <w:r w:rsidRPr="00000DD3">
        <w:rPr>
          <w:rFonts w:ascii="Book Antiqua" w:hAnsi="Book Antiqua"/>
        </w:rPr>
        <w:t xml:space="preserve"> PS. Effects of osteogenic inducers on cultures of canine mesenchymal stem cells. </w:t>
      </w:r>
      <w:r w:rsidRPr="00000DD3">
        <w:rPr>
          <w:rFonts w:ascii="Book Antiqua" w:hAnsi="Book Antiqua"/>
          <w:i/>
        </w:rPr>
        <w:t>Am J Vet Res</w:t>
      </w:r>
      <w:r w:rsidRPr="00000DD3">
        <w:rPr>
          <w:rFonts w:ascii="Book Antiqua" w:hAnsi="Book Antiqua"/>
        </w:rPr>
        <w:t xml:space="preserve"> 2005; </w:t>
      </w:r>
      <w:r w:rsidRPr="00000DD3">
        <w:rPr>
          <w:rFonts w:ascii="Book Antiqua" w:hAnsi="Book Antiqua"/>
          <w:b/>
        </w:rPr>
        <w:t>66</w:t>
      </w:r>
      <w:r w:rsidRPr="00000DD3">
        <w:rPr>
          <w:rFonts w:ascii="Book Antiqua" w:hAnsi="Book Antiqua"/>
        </w:rPr>
        <w:t>: 1729-1737 [PMID: 16273904 DOI: 10.2460/ajvr.2005.66.1729]</w:t>
      </w:r>
    </w:p>
    <w:p w14:paraId="4262D3EE"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79 </w:t>
      </w:r>
      <w:r w:rsidRPr="00000DD3">
        <w:rPr>
          <w:rFonts w:ascii="Book Antiqua" w:hAnsi="Book Antiqua"/>
          <w:b/>
        </w:rPr>
        <w:t>Nagase T</w:t>
      </w:r>
      <w:r w:rsidRPr="00000DD3">
        <w:rPr>
          <w:rFonts w:ascii="Book Antiqua" w:hAnsi="Book Antiqua"/>
        </w:rPr>
        <w:t xml:space="preserve">, </w:t>
      </w:r>
      <w:proofErr w:type="spellStart"/>
      <w:r w:rsidRPr="00000DD3">
        <w:rPr>
          <w:rFonts w:ascii="Book Antiqua" w:hAnsi="Book Antiqua"/>
        </w:rPr>
        <w:t>Muneta</w:t>
      </w:r>
      <w:proofErr w:type="spellEnd"/>
      <w:r w:rsidRPr="00000DD3">
        <w:rPr>
          <w:rFonts w:ascii="Book Antiqua" w:hAnsi="Book Antiqua"/>
        </w:rPr>
        <w:t xml:space="preserve"> T, Ju YJ, Hara K, </w:t>
      </w:r>
      <w:proofErr w:type="spellStart"/>
      <w:r w:rsidRPr="00000DD3">
        <w:rPr>
          <w:rFonts w:ascii="Book Antiqua" w:hAnsi="Book Antiqua"/>
        </w:rPr>
        <w:t>Morito</w:t>
      </w:r>
      <w:proofErr w:type="spellEnd"/>
      <w:r w:rsidRPr="00000DD3">
        <w:rPr>
          <w:rFonts w:ascii="Book Antiqua" w:hAnsi="Book Antiqua"/>
        </w:rPr>
        <w:t xml:space="preserve"> T, Koga H, </w:t>
      </w:r>
      <w:proofErr w:type="spellStart"/>
      <w:r w:rsidRPr="00000DD3">
        <w:rPr>
          <w:rFonts w:ascii="Book Antiqua" w:hAnsi="Book Antiqua"/>
        </w:rPr>
        <w:t>Nimura</w:t>
      </w:r>
      <w:proofErr w:type="spellEnd"/>
      <w:r w:rsidRPr="00000DD3">
        <w:rPr>
          <w:rFonts w:ascii="Book Antiqua" w:hAnsi="Book Antiqua"/>
        </w:rPr>
        <w:t xml:space="preserve"> A, Mochizuki T, Sekiya I. Analysis of the chondrogenic potential of human synovial stem cells according to harvest site and culture parameters in knees with medial compartment osteoarthritis. </w:t>
      </w:r>
      <w:r w:rsidRPr="00000DD3">
        <w:rPr>
          <w:rFonts w:ascii="Book Antiqua" w:hAnsi="Book Antiqua"/>
          <w:i/>
        </w:rPr>
        <w:t>Arthritis Rheum</w:t>
      </w:r>
      <w:r w:rsidRPr="00000DD3">
        <w:rPr>
          <w:rFonts w:ascii="Book Antiqua" w:hAnsi="Book Antiqua"/>
        </w:rPr>
        <w:t xml:space="preserve"> 2008; </w:t>
      </w:r>
      <w:r w:rsidRPr="00000DD3">
        <w:rPr>
          <w:rFonts w:ascii="Book Antiqua" w:hAnsi="Book Antiqua"/>
          <w:b/>
        </w:rPr>
        <w:t>58</w:t>
      </w:r>
      <w:r w:rsidRPr="00000DD3">
        <w:rPr>
          <w:rFonts w:ascii="Book Antiqua" w:hAnsi="Book Antiqua"/>
        </w:rPr>
        <w:t>: 1389-1398 [PMID: 18438859 DOI: 10.1002/art.23418]</w:t>
      </w:r>
    </w:p>
    <w:p w14:paraId="64692800"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80 </w:t>
      </w:r>
      <w:r w:rsidRPr="00000DD3">
        <w:rPr>
          <w:rFonts w:ascii="Book Antiqua" w:hAnsi="Book Antiqua"/>
          <w:b/>
        </w:rPr>
        <w:t>Ogata Y</w:t>
      </w:r>
      <w:r w:rsidRPr="00000DD3">
        <w:rPr>
          <w:rFonts w:ascii="Book Antiqua" w:hAnsi="Book Antiqua"/>
        </w:rPr>
        <w:t xml:space="preserve">, Mabuchi Y, Yoshida M, </w:t>
      </w:r>
      <w:proofErr w:type="spellStart"/>
      <w:r w:rsidRPr="00000DD3">
        <w:rPr>
          <w:rFonts w:ascii="Book Antiqua" w:hAnsi="Book Antiqua"/>
        </w:rPr>
        <w:t>Suto</w:t>
      </w:r>
      <w:proofErr w:type="spellEnd"/>
      <w:r w:rsidRPr="00000DD3">
        <w:rPr>
          <w:rFonts w:ascii="Book Antiqua" w:hAnsi="Book Antiqua"/>
        </w:rPr>
        <w:t xml:space="preserve"> EG, Suzuki N, </w:t>
      </w:r>
      <w:proofErr w:type="spellStart"/>
      <w:r w:rsidRPr="00000DD3">
        <w:rPr>
          <w:rFonts w:ascii="Book Antiqua" w:hAnsi="Book Antiqua"/>
        </w:rPr>
        <w:t>Muneta</w:t>
      </w:r>
      <w:proofErr w:type="spellEnd"/>
      <w:r w:rsidRPr="00000DD3">
        <w:rPr>
          <w:rFonts w:ascii="Book Antiqua" w:hAnsi="Book Antiqua"/>
        </w:rPr>
        <w:t xml:space="preserve"> T, Sekiya I, </w:t>
      </w:r>
      <w:proofErr w:type="spellStart"/>
      <w:r w:rsidRPr="00000DD3">
        <w:rPr>
          <w:rFonts w:ascii="Book Antiqua" w:hAnsi="Book Antiqua"/>
        </w:rPr>
        <w:t>Akazawa</w:t>
      </w:r>
      <w:proofErr w:type="spellEnd"/>
      <w:r w:rsidRPr="00000DD3">
        <w:rPr>
          <w:rFonts w:ascii="Book Antiqua" w:hAnsi="Book Antiqua"/>
        </w:rPr>
        <w:t xml:space="preserve"> C. Purified Human Synovium Mesenchymal Stem Cells as a Good Resource for Cartilage Regeneration. </w:t>
      </w:r>
      <w:proofErr w:type="spellStart"/>
      <w:r w:rsidRPr="00000DD3">
        <w:rPr>
          <w:rFonts w:ascii="Book Antiqua" w:hAnsi="Book Antiqua"/>
          <w:i/>
        </w:rPr>
        <w:t>PLoS</w:t>
      </w:r>
      <w:proofErr w:type="spellEnd"/>
      <w:r w:rsidRPr="00000DD3">
        <w:rPr>
          <w:rFonts w:ascii="Book Antiqua" w:hAnsi="Book Antiqua"/>
          <w:i/>
        </w:rPr>
        <w:t xml:space="preserve"> One</w:t>
      </w:r>
      <w:r w:rsidRPr="00000DD3">
        <w:rPr>
          <w:rFonts w:ascii="Book Antiqua" w:hAnsi="Book Antiqua"/>
        </w:rPr>
        <w:t xml:space="preserve"> 2015; </w:t>
      </w:r>
      <w:r w:rsidRPr="00000DD3">
        <w:rPr>
          <w:rFonts w:ascii="Book Antiqua" w:hAnsi="Book Antiqua"/>
          <w:b/>
        </w:rPr>
        <w:t>10</w:t>
      </w:r>
      <w:r w:rsidRPr="00000DD3">
        <w:rPr>
          <w:rFonts w:ascii="Book Antiqua" w:hAnsi="Book Antiqua"/>
        </w:rPr>
        <w:t>: e0129096 [PMID: 26053045 DOI: 10.1371/journal.pone.0129096]</w:t>
      </w:r>
    </w:p>
    <w:p w14:paraId="31308056"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81 </w:t>
      </w:r>
      <w:r w:rsidRPr="00000DD3">
        <w:rPr>
          <w:rFonts w:ascii="Book Antiqua" w:hAnsi="Book Antiqua"/>
          <w:b/>
        </w:rPr>
        <w:t>Shen C</w:t>
      </w:r>
      <w:r w:rsidRPr="00000DD3">
        <w:rPr>
          <w:rFonts w:ascii="Book Antiqua" w:hAnsi="Book Antiqua"/>
        </w:rPr>
        <w:t xml:space="preserve">, Jiang T, Zhu B, Le Y, Liu J, Qin Z, Chen H, Zhong G, Zheng L, Zhao J, Zhang X. In vitro culture expansion impairs chondrogenic differentiation and the therapeutic effect of mesenchymal stem cells by regulating the unfolded protein response. </w:t>
      </w:r>
      <w:r w:rsidRPr="00000DD3">
        <w:rPr>
          <w:rFonts w:ascii="Book Antiqua" w:hAnsi="Book Antiqua"/>
          <w:i/>
        </w:rPr>
        <w:t xml:space="preserve">J Biol </w:t>
      </w:r>
      <w:proofErr w:type="spellStart"/>
      <w:r w:rsidRPr="00000DD3">
        <w:rPr>
          <w:rFonts w:ascii="Book Antiqua" w:hAnsi="Book Antiqua"/>
          <w:i/>
        </w:rPr>
        <w:t>Eng</w:t>
      </w:r>
      <w:proofErr w:type="spellEnd"/>
      <w:r w:rsidRPr="00000DD3">
        <w:rPr>
          <w:rFonts w:ascii="Book Antiqua" w:hAnsi="Book Antiqua"/>
        </w:rPr>
        <w:t xml:space="preserve"> 2018; </w:t>
      </w:r>
      <w:r w:rsidRPr="00000DD3">
        <w:rPr>
          <w:rFonts w:ascii="Book Antiqua" w:hAnsi="Book Antiqua"/>
          <w:b/>
        </w:rPr>
        <w:t>12</w:t>
      </w:r>
      <w:r w:rsidRPr="00000DD3">
        <w:rPr>
          <w:rFonts w:ascii="Book Antiqua" w:hAnsi="Book Antiqua"/>
        </w:rPr>
        <w:t>: 26 [PMID: 30479659 DOI: 10.1186/s13036-018-0119-2]</w:t>
      </w:r>
    </w:p>
    <w:p w14:paraId="2CB83225"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82 </w:t>
      </w:r>
      <w:r w:rsidRPr="00000DD3">
        <w:rPr>
          <w:rFonts w:ascii="Book Antiqua" w:hAnsi="Book Antiqua"/>
          <w:b/>
        </w:rPr>
        <w:t>Jiang T</w:t>
      </w:r>
      <w:r w:rsidRPr="00000DD3">
        <w:rPr>
          <w:rFonts w:ascii="Book Antiqua" w:hAnsi="Book Antiqua"/>
        </w:rPr>
        <w:t xml:space="preserve">, Xu G, Wang Q, Yang L, Zheng L, Zhao J, Zhang X. In vitro expansion impaired the stemness of early passage mesenchymal stem cells for treatment of cartilage defects. </w:t>
      </w:r>
      <w:r w:rsidRPr="00000DD3">
        <w:rPr>
          <w:rFonts w:ascii="Book Antiqua" w:hAnsi="Book Antiqua"/>
          <w:i/>
        </w:rPr>
        <w:t>Cell Death Dis</w:t>
      </w:r>
      <w:r w:rsidRPr="00000DD3">
        <w:rPr>
          <w:rFonts w:ascii="Book Antiqua" w:hAnsi="Book Antiqua"/>
        </w:rPr>
        <w:t xml:space="preserve"> 2017; </w:t>
      </w:r>
      <w:r w:rsidRPr="00000DD3">
        <w:rPr>
          <w:rFonts w:ascii="Book Antiqua" w:hAnsi="Book Antiqua"/>
          <w:b/>
        </w:rPr>
        <w:t>8</w:t>
      </w:r>
      <w:r w:rsidRPr="00000DD3">
        <w:rPr>
          <w:rFonts w:ascii="Book Antiqua" w:hAnsi="Book Antiqua"/>
        </w:rPr>
        <w:t>: e2851 [PMID: 28569773 DOI: 10.1038/cddis.2017.215]</w:t>
      </w:r>
    </w:p>
    <w:p w14:paraId="3168732F"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83 </w:t>
      </w:r>
      <w:r w:rsidRPr="00000DD3">
        <w:rPr>
          <w:rFonts w:ascii="Book Antiqua" w:hAnsi="Book Antiqua"/>
          <w:b/>
        </w:rPr>
        <w:t>Bwalya EC</w:t>
      </w:r>
      <w:r w:rsidRPr="00000DD3">
        <w:rPr>
          <w:rFonts w:ascii="Book Antiqua" w:hAnsi="Book Antiqua"/>
        </w:rPr>
        <w:t xml:space="preserve">, </w:t>
      </w:r>
      <w:proofErr w:type="spellStart"/>
      <w:r w:rsidRPr="00000DD3">
        <w:rPr>
          <w:rFonts w:ascii="Book Antiqua" w:hAnsi="Book Antiqua"/>
        </w:rPr>
        <w:t>Wijekoon</w:t>
      </w:r>
      <w:proofErr w:type="spellEnd"/>
      <w:r w:rsidRPr="00000DD3">
        <w:rPr>
          <w:rFonts w:ascii="Book Antiqua" w:hAnsi="Book Antiqua"/>
        </w:rPr>
        <w:t xml:space="preserve"> HS, Fang J, Kim S, </w:t>
      </w:r>
      <w:proofErr w:type="spellStart"/>
      <w:r w:rsidRPr="00000DD3">
        <w:rPr>
          <w:rFonts w:ascii="Book Antiqua" w:hAnsi="Book Antiqua"/>
        </w:rPr>
        <w:t>Hosoya</w:t>
      </w:r>
      <w:proofErr w:type="spellEnd"/>
      <w:r w:rsidRPr="00000DD3">
        <w:rPr>
          <w:rFonts w:ascii="Book Antiqua" w:hAnsi="Book Antiqua"/>
        </w:rPr>
        <w:t xml:space="preserve"> K, Okumura M. Independent chondrogenic potential of canine bone marrow-derived mesenchymal stem cells in monolayer expansion cultures decreases in a passage-dependent pattern. </w:t>
      </w:r>
      <w:r w:rsidRPr="00000DD3">
        <w:rPr>
          <w:rFonts w:ascii="Book Antiqua" w:hAnsi="Book Antiqua"/>
          <w:i/>
        </w:rPr>
        <w:t>J Vet Med Sci</w:t>
      </w:r>
      <w:r w:rsidRPr="00000DD3">
        <w:rPr>
          <w:rFonts w:ascii="Book Antiqua" w:hAnsi="Book Antiqua"/>
        </w:rPr>
        <w:t xml:space="preserve"> 2018; </w:t>
      </w:r>
      <w:r w:rsidRPr="00000DD3">
        <w:rPr>
          <w:rFonts w:ascii="Book Antiqua" w:hAnsi="Book Antiqua"/>
          <w:b/>
        </w:rPr>
        <w:t>80</w:t>
      </w:r>
      <w:r w:rsidRPr="00000DD3">
        <w:rPr>
          <w:rFonts w:ascii="Book Antiqua" w:hAnsi="Book Antiqua"/>
        </w:rPr>
        <w:t>: 1681-1687 [PMID: 30210068 DOI: 10.1292/jvms.18-0202]</w:t>
      </w:r>
    </w:p>
    <w:p w14:paraId="0F179F54"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84 </w:t>
      </w:r>
      <w:r w:rsidRPr="00000DD3">
        <w:rPr>
          <w:rFonts w:ascii="Book Antiqua" w:hAnsi="Book Antiqua"/>
          <w:b/>
        </w:rPr>
        <w:t>Sekiya I</w:t>
      </w:r>
      <w:r w:rsidRPr="00000DD3">
        <w:rPr>
          <w:rFonts w:ascii="Book Antiqua" w:hAnsi="Book Antiqua"/>
        </w:rPr>
        <w:t xml:space="preserve">, Colter DC, </w:t>
      </w:r>
      <w:proofErr w:type="spellStart"/>
      <w:r w:rsidRPr="00000DD3">
        <w:rPr>
          <w:rFonts w:ascii="Book Antiqua" w:hAnsi="Book Antiqua"/>
        </w:rPr>
        <w:t>Prockop</w:t>
      </w:r>
      <w:proofErr w:type="spellEnd"/>
      <w:r w:rsidRPr="00000DD3">
        <w:rPr>
          <w:rFonts w:ascii="Book Antiqua" w:hAnsi="Book Antiqua"/>
        </w:rPr>
        <w:t xml:space="preserve"> DJ. BMP-6 enhances chondrogenesis in a subpopulation of human marrow stromal cells. </w:t>
      </w:r>
      <w:proofErr w:type="spellStart"/>
      <w:r w:rsidRPr="00000DD3">
        <w:rPr>
          <w:rFonts w:ascii="Book Antiqua" w:hAnsi="Book Antiqua"/>
          <w:i/>
        </w:rPr>
        <w:t>Biochem</w:t>
      </w:r>
      <w:proofErr w:type="spellEnd"/>
      <w:r w:rsidRPr="00000DD3">
        <w:rPr>
          <w:rFonts w:ascii="Book Antiqua" w:hAnsi="Book Antiqua"/>
          <w:i/>
        </w:rPr>
        <w:t xml:space="preserve"> </w:t>
      </w:r>
      <w:proofErr w:type="spellStart"/>
      <w:r w:rsidRPr="00000DD3">
        <w:rPr>
          <w:rFonts w:ascii="Book Antiqua" w:hAnsi="Book Antiqua"/>
          <w:i/>
        </w:rPr>
        <w:t>Biophys</w:t>
      </w:r>
      <w:proofErr w:type="spellEnd"/>
      <w:r w:rsidRPr="00000DD3">
        <w:rPr>
          <w:rFonts w:ascii="Book Antiqua" w:hAnsi="Book Antiqua"/>
          <w:i/>
        </w:rPr>
        <w:t xml:space="preserve"> Res </w:t>
      </w:r>
      <w:proofErr w:type="spellStart"/>
      <w:r w:rsidRPr="00000DD3">
        <w:rPr>
          <w:rFonts w:ascii="Book Antiqua" w:hAnsi="Book Antiqua"/>
          <w:i/>
        </w:rPr>
        <w:t>Commun</w:t>
      </w:r>
      <w:proofErr w:type="spellEnd"/>
      <w:r w:rsidRPr="00000DD3">
        <w:rPr>
          <w:rFonts w:ascii="Book Antiqua" w:hAnsi="Book Antiqua"/>
        </w:rPr>
        <w:t xml:space="preserve"> 2001; </w:t>
      </w:r>
      <w:r w:rsidRPr="00000DD3">
        <w:rPr>
          <w:rFonts w:ascii="Book Antiqua" w:hAnsi="Book Antiqua"/>
          <w:b/>
        </w:rPr>
        <w:t>284</w:t>
      </w:r>
      <w:r w:rsidRPr="00000DD3">
        <w:rPr>
          <w:rFonts w:ascii="Book Antiqua" w:hAnsi="Book Antiqua"/>
        </w:rPr>
        <w:t>: 411-418 [PMID: 11394894 DOI: 10.1006/bbrc.2001.4898]</w:t>
      </w:r>
    </w:p>
    <w:p w14:paraId="18481769"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85 </w:t>
      </w:r>
      <w:proofErr w:type="spellStart"/>
      <w:r w:rsidRPr="00000DD3">
        <w:rPr>
          <w:rFonts w:ascii="Book Antiqua" w:hAnsi="Book Antiqua"/>
          <w:b/>
        </w:rPr>
        <w:t>Solchaga</w:t>
      </w:r>
      <w:proofErr w:type="spellEnd"/>
      <w:r w:rsidRPr="00000DD3">
        <w:rPr>
          <w:rFonts w:ascii="Book Antiqua" w:hAnsi="Book Antiqua"/>
          <w:b/>
        </w:rPr>
        <w:t xml:space="preserve"> LA</w:t>
      </w:r>
      <w:r w:rsidRPr="00000DD3">
        <w:rPr>
          <w:rFonts w:ascii="Book Antiqua" w:hAnsi="Book Antiqua"/>
        </w:rPr>
        <w:t xml:space="preserve">, Penick K, Goldberg VM, Caplan AI, Welter JF. Fibroblast growth factor-2 enhances proliferation and delays loss of chondrogenic potential in human adult bone-marrow-derived mesenchymal stem cells. </w:t>
      </w:r>
      <w:r w:rsidRPr="00000DD3">
        <w:rPr>
          <w:rFonts w:ascii="Book Antiqua" w:hAnsi="Book Antiqua"/>
          <w:i/>
        </w:rPr>
        <w:t xml:space="preserve">Tissue </w:t>
      </w:r>
      <w:proofErr w:type="spellStart"/>
      <w:r w:rsidRPr="00000DD3">
        <w:rPr>
          <w:rFonts w:ascii="Book Antiqua" w:hAnsi="Book Antiqua"/>
          <w:i/>
        </w:rPr>
        <w:t>Eng</w:t>
      </w:r>
      <w:proofErr w:type="spellEnd"/>
      <w:r w:rsidRPr="00000DD3">
        <w:rPr>
          <w:rFonts w:ascii="Book Antiqua" w:hAnsi="Book Antiqua"/>
          <w:i/>
        </w:rPr>
        <w:t xml:space="preserve"> Part A</w:t>
      </w:r>
      <w:r w:rsidRPr="00000DD3">
        <w:rPr>
          <w:rFonts w:ascii="Book Antiqua" w:hAnsi="Book Antiqua"/>
        </w:rPr>
        <w:t xml:space="preserve"> 2010; </w:t>
      </w:r>
      <w:r w:rsidRPr="00000DD3">
        <w:rPr>
          <w:rFonts w:ascii="Book Antiqua" w:hAnsi="Book Antiqua"/>
          <w:b/>
        </w:rPr>
        <w:t>16</w:t>
      </w:r>
      <w:r w:rsidRPr="00000DD3">
        <w:rPr>
          <w:rFonts w:ascii="Book Antiqua" w:hAnsi="Book Antiqua"/>
        </w:rPr>
        <w:t>: 1009-1019 [PMID: 19842915 DOI: 10.1089/ten.TEA.2009.0100]</w:t>
      </w:r>
    </w:p>
    <w:p w14:paraId="20B6CBF9" w14:textId="23149EC0" w:rsidR="008D78C7" w:rsidRPr="00000DD3" w:rsidRDefault="008D78C7" w:rsidP="008D78C7">
      <w:pPr>
        <w:spacing w:line="360" w:lineRule="auto"/>
        <w:jc w:val="both"/>
        <w:rPr>
          <w:rFonts w:ascii="Book Antiqua" w:hAnsi="Book Antiqua"/>
        </w:rPr>
      </w:pPr>
      <w:r w:rsidRPr="00000DD3">
        <w:rPr>
          <w:rFonts w:ascii="Book Antiqua" w:hAnsi="Book Antiqua"/>
        </w:rPr>
        <w:t xml:space="preserve">86 </w:t>
      </w:r>
      <w:r w:rsidRPr="00000DD3">
        <w:rPr>
          <w:rFonts w:ascii="Book Antiqua" w:hAnsi="Book Antiqua"/>
          <w:b/>
        </w:rPr>
        <w:t>El-</w:t>
      </w:r>
      <w:proofErr w:type="spellStart"/>
      <w:r w:rsidRPr="00000DD3">
        <w:rPr>
          <w:rFonts w:ascii="Book Antiqua" w:hAnsi="Book Antiqua"/>
          <w:b/>
        </w:rPr>
        <w:t>Tookhy</w:t>
      </w:r>
      <w:proofErr w:type="spellEnd"/>
      <w:r w:rsidRPr="00000DD3">
        <w:rPr>
          <w:rFonts w:ascii="Book Antiqua" w:hAnsi="Book Antiqua"/>
        </w:rPr>
        <w:t>,</w:t>
      </w:r>
      <w:r w:rsidR="008D7A73" w:rsidRPr="00000DD3">
        <w:rPr>
          <w:rFonts w:ascii="Book Antiqua" w:hAnsi="Book Antiqua"/>
        </w:rPr>
        <w:t xml:space="preserve"> </w:t>
      </w:r>
      <w:proofErr w:type="spellStart"/>
      <w:r w:rsidRPr="00000DD3">
        <w:rPr>
          <w:rFonts w:ascii="Book Antiqua" w:hAnsi="Book Antiqua"/>
        </w:rPr>
        <w:t>Abou</w:t>
      </w:r>
      <w:proofErr w:type="spellEnd"/>
      <w:r w:rsidRPr="00000DD3">
        <w:rPr>
          <w:rFonts w:ascii="Book Antiqua" w:hAnsi="Book Antiqua"/>
        </w:rPr>
        <w:t xml:space="preserve"> </w:t>
      </w:r>
      <w:proofErr w:type="spellStart"/>
      <w:r w:rsidRPr="00000DD3">
        <w:rPr>
          <w:rFonts w:ascii="Book Antiqua" w:hAnsi="Book Antiqua"/>
        </w:rPr>
        <w:t>Elkheir</w:t>
      </w:r>
      <w:proofErr w:type="spellEnd"/>
      <w:r w:rsidRPr="00000DD3">
        <w:rPr>
          <w:rFonts w:ascii="Book Antiqua" w:hAnsi="Book Antiqua"/>
        </w:rPr>
        <w:t xml:space="preserve"> W, </w:t>
      </w:r>
      <w:proofErr w:type="spellStart"/>
      <w:r w:rsidRPr="00000DD3">
        <w:rPr>
          <w:rFonts w:ascii="Book Antiqua" w:hAnsi="Book Antiqua"/>
        </w:rPr>
        <w:t>Mokbel</w:t>
      </w:r>
      <w:proofErr w:type="spellEnd"/>
      <w:r w:rsidRPr="00000DD3">
        <w:rPr>
          <w:rFonts w:ascii="Book Antiqua" w:hAnsi="Book Antiqua"/>
        </w:rPr>
        <w:t xml:space="preserve"> A, Osman A. Intra-articular injection of autologous mesenchymal stem cells in experimental chondral defects in dogs. </w:t>
      </w:r>
      <w:r w:rsidRPr="00000DD3">
        <w:rPr>
          <w:rFonts w:ascii="Book Antiqua" w:hAnsi="Book Antiqua"/>
          <w:i/>
        </w:rPr>
        <w:t xml:space="preserve">Egypt </w:t>
      </w:r>
      <w:proofErr w:type="spellStart"/>
      <w:r w:rsidRPr="00000DD3">
        <w:rPr>
          <w:rFonts w:ascii="Book Antiqua" w:hAnsi="Book Antiqua"/>
          <w:i/>
        </w:rPr>
        <w:t>Rheumatol</w:t>
      </w:r>
      <w:proofErr w:type="spellEnd"/>
      <w:r w:rsidRPr="00000DD3">
        <w:rPr>
          <w:rFonts w:ascii="Book Antiqua" w:hAnsi="Book Antiqua"/>
        </w:rPr>
        <w:t xml:space="preserve"> 2008; </w:t>
      </w:r>
      <w:r w:rsidRPr="00000DD3">
        <w:rPr>
          <w:rFonts w:ascii="Book Antiqua" w:hAnsi="Book Antiqua"/>
          <w:b/>
        </w:rPr>
        <w:t>30</w:t>
      </w:r>
      <w:r w:rsidRPr="00000DD3">
        <w:rPr>
          <w:rFonts w:ascii="Book Antiqua" w:hAnsi="Book Antiqua"/>
        </w:rPr>
        <w:t>: 1-10</w:t>
      </w:r>
    </w:p>
    <w:p w14:paraId="1FBBC51C"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87 </w:t>
      </w:r>
      <w:proofErr w:type="spellStart"/>
      <w:r w:rsidRPr="00000DD3">
        <w:rPr>
          <w:rFonts w:ascii="Book Antiqua" w:hAnsi="Book Antiqua"/>
          <w:b/>
        </w:rPr>
        <w:t>Mokbel</w:t>
      </w:r>
      <w:proofErr w:type="spellEnd"/>
      <w:r w:rsidRPr="00000DD3">
        <w:rPr>
          <w:rFonts w:ascii="Book Antiqua" w:hAnsi="Book Antiqua"/>
          <w:b/>
        </w:rPr>
        <w:t xml:space="preserve"> A</w:t>
      </w:r>
      <w:r w:rsidRPr="00000DD3">
        <w:rPr>
          <w:rFonts w:ascii="Book Antiqua" w:hAnsi="Book Antiqua"/>
        </w:rPr>
        <w:t>, El-</w:t>
      </w:r>
      <w:proofErr w:type="spellStart"/>
      <w:r w:rsidRPr="00000DD3">
        <w:rPr>
          <w:rFonts w:ascii="Book Antiqua" w:hAnsi="Book Antiqua"/>
        </w:rPr>
        <w:t>Tookhy</w:t>
      </w:r>
      <w:proofErr w:type="spellEnd"/>
      <w:r w:rsidRPr="00000DD3">
        <w:rPr>
          <w:rFonts w:ascii="Book Antiqua" w:hAnsi="Book Antiqua"/>
        </w:rPr>
        <w:t xml:space="preserve"> O, </w:t>
      </w:r>
      <w:proofErr w:type="spellStart"/>
      <w:r w:rsidRPr="00000DD3">
        <w:rPr>
          <w:rFonts w:ascii="Book Antiqua" w:hAnsi="Book Antiqua"/>
        </w:rPr>
        <w:t>Shamaa</w:t>
      </w:r>
      <w:proofErr w:type="spellEnd"/>
      <w:r w:rsidRPr="00000DD3">
        <w:rPr>
          <w:rFonts w:ascii="Book Antiqua" w:hAnsi="Book Antiqua"/>
        </w:rPr>
        <w:t xml:space="preserve"> AA, Sabry D, </w:t>
      </w:r>
      <w:proofErr w:type="spellStart"/>
      <w:r w:rsidRPr="00000DD3">
        <w:rPr>
          <w:rFonts w:ascii="Book Antiqua" w:hAnsi="Book Antiqua"/>
        </w:rPr>
        <w:t>Rashed</w:t>
      </w:r>
      <w:proofErr w:type="spellEnd"/>
      <w:r w:rsidRPr="00000DD3">
        <w:rPr>
          <w:rFonts w:ascii="Book Antiqua" w:hAnsi="Book Antiqua"/>
        </w:rPr>
        <w:t xml:space="preserve"> L, Mostafa A. Homing and efficacy of intra-articular injection of autologous mesenchymal stem cells in experimental chondral defects in dogs. </w:t>
      </w:r>
      <w:r w:rsidRPr="00000DD3">
        <w:rPr>
          <w:rFonts w:ascii="Book Antiqua" w:hAnsi="Book Antiqua"/>
          <w:i/>
        </w:rPr>
        <w:t xml:space="preserve">Clin Exp </w:t>
      </w:r>
      <w:proofErr w:type="spellStart"/>
      <w:r w:rsidRPr="00000DD3">
        <w:rPr>
          <w:rFonts w:ascii="Book Antiqua" w:hAnsi="Book Antiqua"/>
          <w:i/>
        </w:rPr>
        <w:t>Rheumatol</w:t>
      </w:r>
      <w:proofErr w:type="spellEnd"/>
      <w:r w:rsidRPr="00000DD3">
        <w:rPr>
          <w:rFonts w:ascii="Book Antiqua" w:hAnsi="Book Antiqua"/>
        </w:rPr>
        <w:t xml:space="preserve"> 2011; </w:t>
      </w:r>
      <w:r w:rsidRPr="00000DD3">
        <w:rPr>
          <w:rFonts w:ascii="Book Antiqua" w:hAnsi="Book Antiqua"/>
          <w:b/>
        </w:rPr>
        <w:t>29</w:t>
      </w:r>
      <w:r w:rsidRPr="00000DD3">
        <w:rPr>
          <w:rFonts w:ascii="Book Antiqua" w:hAnsi="Book Antiqua"/>
        </w:rPr>
        <w:t>: 275-284 [PMID: 21385540 DOI: 10.1038/nrrheum.2010.225]</w:t>
      </w:r>
    </w:p>
    <w:p w14:paraId="018578C0" w14:textId="6BF4CAB6" w:rsidR="008D78C7" w:rsidRPr="00000DD3" w:rsidRDefault="008D78C7" w:rsidP="008D78C7">
      <w:pPr>
        <w:spacing w:line="360" w:lineRule="auto"/>
        <w:jc w:val="both"/>
        <w:rPr>
          <w:rFonts w:ascii="Book Antiqua" w:hAnsi="Book Antiqua"/>
        </w:rPr>
      </w:pPr>
      <w:r w:rsidRPr="00000DD3">
        <w:rPr>
          <w:rFonts w:ascii="Book Antiqua" w:hAnsi="Book Antiqua"/>
        </w:rPr>
        <w:t xml:space="preserve">88 </w:t>
      </w:r>
      <w:r w:rsidRPr="00000DD3">
        <w:rPr>
          <w:rFonts w:ascii="Book Antiqua" w:hAnsi="Book Antiqua"/>
          <w:b/>
        </w:rPr>
        <w:t>Miki S</w:t>
      </w:r>
      <w:r w:rsidRPr="00000DD3">
        <w:rPr>
          <w:rFonts w:ascii="Book Antiqua" w:hAnsi="Book Antiqua"/>
        </w:rPr>
        <w:t>,</w:t>
      </w:r>
      <w:r w:rsidR="008D7A73" w:rsidRPr="00000DD3">
        <w:rPr>
          <w:rFonts w:ascii="Book Antiqua" w:hAnsi="Book Antiqua"/>
        </w:rPr>
        <w:t xml:space="preserve"> </w:t>
      </w:r>
      <w:r w:rsidRPr="00000DD3">
        <w:rPr>
          <w:rFonts w:ascii="Book Antiqua" w:hAnsi="Book Antiqua"/>
        </w:rPr>
        <w:t>Takao M, Miyamoto W, Matsushita T, Kawano H. Intra-articular injection of synovium-derived mesenchymal stem cells with hyaluronic acid can repair articular cartilage defects in a canine model.</w:t>
      </w:r>
      <w:r w:rsidRPr="00000DD3">
        <w:rPr>
          <w:rFonts w:ascii="Book Antiqua" w:hAnsi="Book Antiqua"/>
          <w:i/>
        </w:rPr>
        <w:t xml:space="preserve"> J Stem Cell Res </w:t>
      </w:r>
      <w:proofErr w:type="spellStart"/>
      <w:r w:rsidRPr="00000DD3">
        <w:rPr>
          <w:rFonts w:ascii="Book Antiqua" w:hAnsi="Book Antiqua"/>
          <w:i/>
        </w:rPr>
        <w:t>Ther</w:t>
      </w:r>
      <w:proofErr w:type="spellEnd"/>
      <w:r w:rsidRPr="00000DD3">
        <w:rPr>
          <w:rFonts w:ascii="Book Antiqua" w:hAnsi="Book Antiqua"/>
        </w:rPr>
        <w:t xml:space="preserve"> 2015; </w:t>
      </w:r>
      <w:r w:rsidRPr="00000DD3">
        <w:rPr>
          <w:rFonts w:ascii="Book Antiqua" w:hAnsi="Book Antiqua"/>
          <w:b/>
        </w:rPr>
        <w:t>5</w:t>
      </w:r>
      <w:r w:rsidRPr="00000DD3">
        <w:rPr>
          <w:rFonts w:ascii="Book Antiqua" w:hAnsi="Book Antiqua"/>
        </w:rPr>
        <w:t>: 1000314 [DOI: 10.4172/2157-7633.1000314]</w:t>
      </w:r>
    </w:p>
    <w:p w14:paraId="78760C5A"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89 </w:t>
      </w:r>
      <w:proofErr w:type="spellStart"/>
      <w:r w:rsidRPr="00000DD3">
        <w:rPr>
          <w:rFonts w:ascii="Book Antiqua" w:hAnsi="Book Antiqua"/>
          <w:b/>
        </w:rPr>
        <w:t>Duan</w:t>
      </w:r>
      <w:proofErr w:type="spellEnd"/>
      <w:r w:rsidRPr="00000DD3">
        <w:rPr>
          <w:rFonts w:ascii="Book Antiqua" w:hAnsi="Book Antiqua"/>
          <w:b/>
        </w:rPr>
        <w:t xml:space="preserve"> X</w:t>
      </w:r>
      <w:r w:rsidRPr="00000DD3">
        <w:rPr>
          <w:rFonts w:ascii="Book Antiqua" w:hAnsi="Book Antiqua"/>
        </w:rPr>
        <w:t xml:space="preserve">, Zhu X, Dong X, Yang J, Huang F, Cen S, Leung F, Fan H, Xiang Z. Repair of large osteochondral defects in a beagle model with a novel type I collagen/glycosaminoglycan-porous titanium biphasic scaffold. </w:t>
      </w:r>
      <w:r w:rsidRPr="00000DD3">
        <w:rPr>
          <w:rFonts w:ascii="Book Antiqua" w:hAnsi="Book Antiqua"/>
          <w:i/>
        </w:rPr>
        <w:t xml:space="preserve">Mater Sci </w:t>
      </w:r>
      <w:proofErr w:type="spellStart"/>
      <w:r w:rsidRPr="00000DD3">
        <w:rPr>
          <w:rFonts w:ascii="Book Antiqua" w:hAnsi="Book Antiqua"/>
          <w:i/>
        </w:rPr>
        <w:t>Eng</w:t>
      </w:r>
      <w:proofErr w:type="spellEnd"/>
      <w:r w:rsidRPr="00000DD3">
        <w:rPr>
          <w:rFonts w:ascii="Book Antiqua" w:hAnsi="Book Antiqua"/>
          <w:i/>
        </w:rPr>
        <w:t xml:space="preserve"> C Mater Biol Appl</w:t>
      </w:r>
      <w:r w:rsidRPr="00000DD3">
        <w:rPr>
          <w:rFonts w:ascii="Book Antiqua" w:hAnsi="Book Antiqua"/>
        </w:rPr>
        <w:t xml:space="preserve"> 2013; </w:t>
      </w:r>
      <w:r w:rsidRPr="00000DD3">
        <w:rPr>
          <w:rFonts w:ascii="Book Antiqua" w:hAnsi="Book Antiqua"/>
          <w:b/>
        </w:rPr>
        <w:t>33</w:t>
      </w:r>
      <w:r w:rsidRPr="00000DD3">
        <w:rPr>
          <w:rFonts w:ascii="Book Antiqua" w:hAnsi="Book Antiqua"/>
        </w:rPr>
        <w:t>: 3951-3957 [PMID: 23910301 DOI: 10.1016/j.msec.2013.05.040]</w:t>
      </w:r>
    </w:p>
    <w:p w14:paraId="63C4D826"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90 </w:t>
      </w:r>
      <w:r w:rsidRPr="00000DD3">
        <w:rPr>
          <w:rFonts w:ascii="Book Antiqua" w:hAnsi="Book Antiqua"/>
          <w:b/>
        </w:rPr>
        <w:t>Yun S</w:t>
      </w:r>
      <w:r w:rsidRPr="00000DD3">
        <w:rPr>
          <w:rFonts w:ascii="Book Antiqua" w:hAnsi="Book Antiqua"/>
        </w:rPr>
        <w:t xml:space="preserve">, Ku SK, Kwon YS. Adipose-derived mesenchymal stem cells and platelet-rich plasma synergistically ameliorate the surgical-induced osteoarthritis in Beagle dogs. </w:t>
      </w:r>
      <w:r w:rsidRPr="00000DD3">
        <w:rPr>
          <w:rFonts w:ascii="Book Antiqua" w:hAnsi="Book Antiqua"/>
          <w:i/>
        </w:rPr>
        <w:t xml:space="preserve">J </w:t>
      </w:r>
      <w:proofErr w:type="spellStart"/>
      <w:r w:rsidRPr="00000DD3">
        <w:rPr>
          <w:rFonts w:ascii="Book Antiqua" w:hAnsi="Book Antiqua"/>
          <w:i/>
        </w:rPr>
        <w:t>Orthop</w:t>
      </w:r>
      <w:proofErr w:type="spellEnd"/>
      <w:r w:rsidRPr="00000DD3">
        <w:rPr>
          <w:rFonts w:ascii="Book Antiqua" w:hAnsi="Book Antiqua"/>
          <w:i/>
        </w:rPr>
        <w:t xml:space="preserve"> Surg Res</w:t>
      </w:r>
      <w:r w:rsidRPr="00000DD3">
        <w:rPr>
          <w:rFonts w:ascii="Book Antiqua" w:hAnsi="Book Antiqua"/>
        </w:rPr>
        <w:t xml:space="preserve"> 2016; </w:t>
      </w:r>
      <w:r w:rsidRPr="00000DD3">
        <w:rPr>
          <w:rFonts w:ascii="Book Antiqua" w:hAnsi="Book Antiqua"/>
          <w:b/>
        </w:rPr>
        <w:t>11</w:t>
      </w:r>
      <w:r w:rsidRPr="00000DD3">
        <w:rPr>
          <w:rFonts w:ascii="Book Antiqua" w:hAnsi="Book Antiqua"/>
        </w:rPr>
        <w:t>: 9 [PMID: 26768536 DOI: 10.1186/s13018-016-0342-9]</w:t>
      </w:r>
    </w:p>
    <w:p w14:paraId="11A50E23"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91 </w:t>
      </w:r>
      <w:r w:rsidRPr="00000DD3">
        <w:rPr>
          <w:rFonts w:ascii="Book Antiqua" w:hAnsi="Book Antiqua"/>
          <w:b/>
        </w:rPr>
        <w:t>Koga H</w:t>
      </w:r>
      <w:r w:rsidRPr="00000DD3">
        <w:rPr>
          <w:rFonts w:ascii="Book Antiqua" w:hAnsi="Book Antiqua"/>
        </w:rPr>
        <w:t xml:space="preserve">, </w:t>
      </w:r>
      <w:proofErr w:type="spellStart"/>
      <w:r w:rsidRPr="00000DD3">
        <w:rPr>
          <w:rFonts w:ascii="Book Antiqua" w:hAnsi="Book Antiqua"/>
        </w:rPr>
        <w:t>Shimaya</w:t>
      </w:r>
      <w:proofErr w:type="spellEnd"/>
      <w:r w:rsidRPr="00000DD3">
        <w:rPr>
          <w:rFonts w:ascii="Book Antiqua" w:hAnsi="Book Antiqua"/>
        </w:rPr>
        <w:t xml:space="preserve"> M, </w:t>
      </w:r>
      <w:proofErr w:type="spellStart"/>
      <w:r w:rsidRPr="00000DD3">
        <w:rPr>
          <w:rFonts w:ascii="Book Antiqua" w:hAnsi="Book Antiqua"/>
        </w:rPr>
        <w:t>Muneta</w:t>
      </w:r>
      <w:proofErr w:type="spellEnd"/>
      <w:r w:rsidRPr="00000DD3">
        <w:rPr>
          <w:rFonts w:ascii="Book Antiqua" w:hAnsi="Book Antiqua"/>
        </w:rPr>
        <w:t xml:space="preserve"> T, </w:t>
      </w:r>
      <w:proofErr w:type="spellStart"/>
      <w:r w:rsidRPr="00000DD3">
        <w:rPr>
          <w:rFonts w:ascii="Book Antiqua" w:hAnsi="Book Antiqua"/>
        </w:rPr>
        <w:t>Nimura</w:t>
      </w:r>
      <w:proofErr w:type="spellEnd"/>
      <w:r w:rsidRPr="00000DD3">
        <w:rPr>
          <w:rFonts w:ascii="Book Antiqua" w:hAnsi="Book Antiqua"/>
        </w:rPr>
        <w:t xml:space="preserve"> A, </w:t>
      </w:r>
      <w:proofErr w:type="spellStart"/>
      <w:r w:rsidRPr="00000DD3">
        <w:rPr>
          <w:rFonts w:ascii="Book Antiqua" w:hAnsi="Book Antiqua"/>
        </w:rPr>
        <w:t>Morito</w:t>
      </w:r>
      <w:proofErr w:type="spellEnd"/>
      <w:r w:rsidRPr="00000DD3">
        <w:rPr>
          <w:rFonts w:ascii="Book Antiqua" w:hAnsi="Book Antiqua"/>
        </w:rPr>
        <w:t xml:space="preserve"> T, Hayashi M, Suzuki S, Ju YJ, Mochizuki T, Sekiya I. Local adherent technique for transplanting mesenchymal stem cells as a potential treatment of cartilage defect. </w:t>
      </w:r>
      <w:r w:rsidRPr="00000DD3">
        <w:rPr>
          <w:rFonts w:ascii="Book Antiqua" w:hAnsi="Book Antiqua"/>
          <w:i/>
        </w:rPr>
        <w:t xml:space="preserve">Arthritis Res </w:t>
      </w:r>
      <w:proofErr w:type="spellStart"/>
      <w:r w:rsidRPr="00000DD3">
        <w:rPr>
          <w:rFonts w:ascii="Book Antiqua" w:hAnsi="Book Antiqua"/>
          <w:i/>
        </w:rPr>
        <w:t>Ther</w:t>
      </w:r>
      <w:proofErr w:type="spellEnd"/>
      <w:r w:rsidRPr="00000DD3">
        <w:rPr>
          <w:rFonts w:ascii="Book Antiqua" w:hAnsi="Book Antiqua"/>
        </w:rPr>
        <w:t xml:space="preserve"> 2008; </w:t>
      </w:r>
      <w:r w:rsidRPr="00000DD3">
        <w:rPr>
          <w:rFonts w:ascii="Book Antiqua" w:hAnsi="Book Antiqua"/>
          <w:b/>
        </w:rPr>
        <w:t>10</w:t>
      </w:r>
      <w:r w:rsidRPr="00000DD3">
        <w:rPr>
          <w:rFonts w:ascii="Book Antiqua" w:hAnsi="Book Antiqua"/>
        </w:rPr>
        <w:t>: R84 [PMID: 18664254 DOI: 10.1186/ar2460]</w:t>
      </w:r>
    </w:p>
    <w:p w14:paraId="041C1083"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92 </w:t>
      </w:r>
      <w:r w:rsidRPr="00000DD3">
        <w:rPr>
          <w:rFonts w:ascii="Book Antiqua" w:hAnsi="Book Antiqua"/>
          <w:b/>
        </w:rPr>
        <w:t>Harada Y</w:t>
      </w:r>
      <w:r w:rsidRPr="00000DD3">
        <w:rPr>
          <w:rFonts w:ascii="Book Antiqua" w:hAnsi="Book Antiqua"/>
        </w:rPr>
        <w:t xml:space="preserve">, </w:t>
      </w:r>
      <w:proofErr w:type="spellStart"/>
      <w:r w:rsidRPr="00000DD3">
        <w:rPr>
          <w:rFonts w:ascii="Book Antiqua" w:hAnsi="Book Antiqua"/>
        </w:rPr>
        <w:t>Nakasa</w:t>
      </w:r>
      <w:proofErr w:type="spellEnd"/>
      <w:r w:rsidRPr="00000DD3">
        <w:rPr>
          <w:rFonts w:ascii="Book Antiqua" w:hAnsi="Book Antiqua"/>
        </w:rPr>
        <w:t xml:space="preserve"> T, Mahmoud EE, Kamei G, Adachi N, </w:t>
      </w:r>
      <w:proofErr w:type="spellStart"/>
      <w:r w:rsidRPr="00000DD3">
        <w:rPr>
          <w:rFonts w:ascii="Book Antiqua" w:hAnsi="Book Antiqua"/>
        </w:rPr>
        <w:t>Deie</w:t>
      </w:r>
      <w:proofErr w:type="spellEnd"/>
      <w:r w:rsidRPr="00000DD3">
        <w:rPr>
          <w:rFonts w:ascii="Book Antiqua" w:hAnsi="Book Antiqua"/>
        </w:rPr>
        <w:t xml:space="preserve"> M, Ochi M. Combination therapy with intra-articular injection of mesenchymal stem cells and articulated joint distraction for repair of a chronic osteochondral defect in the rabbit. </w:t>
      </w:r>
      <w:r w:rsidRPr="00000DD3">
        <w:rPr>
          <w:rFonts w:ascii="Book Antiqua" w:hAnsi="Book Antiqua"/>
          <w:i/>
        </w:rPr>
        <w:t xml:space="preserve">J </w:t>
      </w:r>
      <w:proofErr w:type="spellStart"/>
      <w:r w:rsidRPr="00000DD3">
        <w:rPr>
          <w:rFonts w:ascii="Book Antiqua" w:hAnsi="Book Antiqua"/>
          <w:i/>
        </w:rPr>
        <w:t>Orthop</w:t>
      </w:r>
      <w:proofErr w:type="spellEnd"/>
      <w:r w:rsidRPr="00000DD3">
        <w:rPr>
          <w:rFonts w:ascii="Book Antiqua" w:hAnsi="Book Antiqua"/>
          <w:i/>
        </w:rPr>
        <w:t xml:space="preserve"> Res</w:t>
      </w:r>
      <w:r w:rsidRPr="00000DD3">
        <w:rPr>
          <w:rFonts w:ascii="Book Antiqua" w:hAnsi="Book Antiqua"/>
        </w:rPr>
        <w:t xml:space="preserve"> 2015; </w:t>
      </w:r>
      <w:r w:rsidRPr="00000DD3">
        <w:rPr>
          <w:rFonts w:ascii="Book Antiqua" w:hAnsi="Book Antiqua"/>
          <w:b/>
        </w:rPr>
        <w:t>33</w:t>
      </w:r>
      <w:r w:rsidRPr="00000DD3">
        <w:rPr>
          <w:rFonts w:ascii="Book Antiqua" w:hAnsi="Book Antiqua"/>
        </w:rPr>
        <w:t>: 1466-1473 [PMID: 26174695 DOI: 10.1002/jor.22922]</w:t>
      </w:r>
    </w:p>
    <w:p w14:paraId="43B2231E"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93 </w:t>
      </w:r>
      <w:r w:rsidRPr="00000DD3">
        <w:rPr>
          <w:rFonts w:ascii="Book Antiqua" w:hAnsi="Book Antiqua"/>
          <w:b/>
        </w:rPr>
        <w:t>Ozeki N</w:t>
      </w:r>
      <w:r w:rsidRPr="00000DD3">
        <w:rPr>
          <w:rFonts w:ascii="Book Antiqua" w:hAnsi="Book Antiqua"/>
        </w:rPr>
        <w:t xml:space="preserve">, </w:t>
      </w:r>
      <w:proofErr w:type="spellStart"/>
      <w:r w:rsidRPr="00000DD3">
        <w:rPr>
          <w:rFonts w:ascii="Book Antiqua" w:hAnsi="Book Antiqua"/>
        </w:rPr>
        <w:t>Muneta</w:t>
      </w:r>
      <w:proofErr w:type="spellEnd"/>
      <w:r w:rsidRPr="00000DD3">
        <w:rPr>
          <w:rFonts w:ascii="Book Antiqua" w:hAnsi="Book Antiqua"/>
        </w:rPr>
        <w:t xml:space="preserve"> T, Koga H, Nakagawa Y, Mizuno M, Tsuji K, Mabuchi Y, </w:t>
      </w:r>
      <w:proofErr w:type="spellStart"/>
      <w:r w:rsidRPr="00000DD3">
        <w:rPr>
          <w:rFonts w:ascii="Book Antiqua" w:hAnsi="Book Antiqua"/>
        </w:rPr>
        <w:t>Akazawa</w:t>
      </w:r>
      <w:proofErr w:type="spellEnd"/>
      <w:r w:rsidRPr="00000DD3">
        <w:rPr>
          <w:rFonts w:ascii="Book Antiqua" w:hAnsi="Book Antiqua"/>
        </w:rPr>
        <w:t xml:space="preserve"> C, Kobayashi E, Matsumoto K, </w:t>
      </w:r>
      <w:proofErr w:type="spellStart"/>
      <w:r w:rsidRPr="00000DD3">
        <w:rPr>
          <w:rFonts w:ascii="Book Antiqua" w:hAnsi="Book Antiqua"/>
        </w:rPr>
        <w:t>Futamura</w:t>
      </w:r>
      <w:proofErr w:type="spellEnd"/>
      <w:r w:rsidRPr="00000DD3">
        <w:rPr>
          <w:rFonts w:ascii="Book Antiqua" w:hAnsi="Book Antiqua"/>
        </w:rPr>
        <w:t xml:space="preserve"> K, Saito T, Sekiya I. </w:t>
      </w:r>
      <w:proofErr w:type="spellStart"/>
      <w:r w:rsidRPr="00000DD3">
        <w:rPr>
          <w:rFonts w:ascii="Book Antiqua" w:hAnsi="Book Antiqua"/>
        </w:rPr>
        <w:t>Not</w:t>
      </w:r>
      <w:proofErr w:type="spellEnd"/>
      <w:r w:rsidRPr="00000DD3">
        <w:rPr>
          <w:rFonts w:ascii="Book Antiqua" w:hAnsi="Book Antiqua"/>
        </w:rPr>
        <w:t xml:space="preserve"> single but periodic injections of synovial mesenchymal stem cells maintain viable cells in knees and inhibit osteoarthritis progression in rats. </w:t>
      </w:r>
      <w:r w:rsidRPr="00000DD3">
        <w:rPr>
          <w:rFonts w:ascii="Book Antiqua" w:hAnsi="Book Antiqua"/>
          <w:i/>
        </w:rPr>
        <w:t>Osteoarthritis Cartilage</w:t>
      </w:r>
      <w:r w:rsidRPr="00000DD3">
        <w:rPr>
          <w:rFonts w:ascii="Book Antiqua" w:hAnsi="Book Antiqua"/>
        </w:rPr>
        <w:t xml:space="preserve"> 2016; </w:t>
      </w:r>
      <w:r w:rsidRPr="00000DD3">
        <w:rPr>
          <w:rFonts w:ascii="Book Antiqua" w:hAnsi="Book Antiqua"/>
          <w:b/>
        </w:rPr>
        <w:t>24</w:t>
      </w:r>
      <w:r w:rsidRPr="00000DD3">
        <w:rPr>
          <w:rFonts w:ascii="Book Antiqua" w:hAnsi="Book Antiqua"/>
        </w:rPr>
        <w:t>: 1061-1070 [PMID: 26880531 DOI: 10.1016/j.joca.2015.12.018]</w:t>
      </w:r>
    </w:p>
    <w:p w14:paraId="23FA1236"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94 </w:t>
      </w:r>
      <w:r w:rsidRPr="00000DD3">
        <w:rPr>
          <w:rFonts w:ascii="Book Antiqua" w:hAnsi="Book Antiqua"/>
          <w:b/>
        </w:rPr>
        <w:t>Grady ST</w:t>
      </w:r>
      <w:r w:rsidRPr="00000DD3">
        <w:rPr>
          <w:rFonts w:ascii="Book Antiqua" w:hAnsi="Book Antiqua"/>
        </w:rPr>
        <w:t xml:space="preserve">, Britton L, Hinrichs K, Nixon AJ, Watts AE. Persistence of fluorescent nanoparticle-labelled bone marrow mesenchymal stem cells in vitro and after intra-articular injection. </w:t>
      </w:r>
      <w:r w:rsidRPr="00000DD3">
        <w:rPr>
          <w:rFonts w:ascii="Book Antiqua" w:hAnsi="Book Antiqua"/>
          <w:i/>
        </w:rPr>
        <w:t xml:space="preserve">J Tissue </w:t>
      </w:r>
      <w:proofErr w:type="spellStart"/>
      <w:r w:rsidRPr="00000DD3">
        <w:rPr>
          <w:rFonts w:ascii="Book Antiqua" w:hAnsi="Book Antiqua"/>
          <w:i/>
        </w:rPr>
        <w:t>Eng</w:t>
      </w:r>
      <w:proofErr w:type="spellEnd"/>
      <w:r w:rsidRPr="00000DD3">
        <w:rPr>
          <w:rFonts w:ascii="Book Antiqua" w:hAnsi="Book Antiqua"/>
          <w:i/>
        </w:rPr>
        <w:t xml:space="preserve"> Regen Med</w:t>
      </w:r>
      <w:r w:rsidRPr="00000DD3">
        <w:rPr>
          <w:rFonts w:ascii="Book Antiqua" w:hAnsi="Book Antiqua"/>
        </w:rPr>
        <w:t xml:space="preserve"> 2019; </w:t>
      </w:r>
      <w:r w:rsidRPr="00000DD3">
        <w:rPr>
          <w:rFonts w:ascii="Book Antiqua" w:hAnsi="Book Antiqua"/>
          <w:b/>
        </w:rPr>
        <w:t>13</w:t>
      </w:r>
      <w:r w:rsidRPr="00000DD3">
        <w:rPr>
          <w:rFonts w:ascii="Book Antiqua" w:hAnsi="Book Antiqua"/>
        </w:rPr>
        <w:t>: 191-202 [PMID: 30536848 DOI: 10.1002/term.2781]</w:t>
      </w:r>
    </w:p>
    <w:p w14:paraId="4B997310"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95 </w:t>
      </w:r>
      <w:r w:rsidRPr="00000DD3">
        <w:rPr>
          <w:rFonts w:ascii="Book Antiqua" w:hAnsi="Book Antiqua"/>
          <w:b/>
        </w:rPr>
        <w:t>Park SA</w:t>
      </w:r>
      <w:r w:rsidRPr="00000DD3">
        <w:rPr>
          <w:rFonts w:ascii="Book Antiqua" w:hAnsi="Book Antiqua"/>
        </w:rPr>
        <w:t xml:space="preserve">, Reilly CM, Wood JA, Chung DJ, </w:t>
      </w:r>
      <w:proofErr w:type="spellStart"/>
      <w:r w:rsidRPr="00000DD3">
        <w:rPr>
          <w:rFonts w:ascii="Book Antiqua" w:hAnsi="Book Antiqua"/>
        </w:rPr>
        <w:t>Carrade</w:t>
      </w:r>
      <w:proofErr w:type="spellEnd"/>
      <w:r w:rsidRPr="00000DD3">
        <w:rPr>
          <w:rFonts w:ascii="Book Antiqua" w:hAnsi="Book Antiqua"/>
        </w:rPr>
        <w:t xml:space="preserve"> DD, </w:t>
      </w:r>
      <w:proofErr w:type="spellStart"/>
      <w:r w:rsidRPr="00000DD3">
        <w:rPr>
          <w:rFonts w:ascii="Book Antiqua" w:hAnsi="Book Antiqua"/>
        </w:rPr>
        <w:t>Deremer</w:t>
      </w:r>
      <w:proofErr w:type="spellEnd"/>
      <w:r w:rsidRPr="00000DD3">
        <w:rPr>
          <w:rFonts w:ascii="Book Antiqua" w:hAnsi="Book Antiqua"/>
        </w:rPr>
        <w:t xml:space="preserve"> SL, </w:t>
      </w:r>
      <w:proofErr w:type="spellStart"/>
      <w:r w:rsidRPr="00000DD3">
        <w:rPr>
          <w:rFonts w:ascii="Book Antiqua" w:hAnsi="Book Antiqua"/>
        </w:rPr>
        <w:t>Seraphin</w:t>
      </w:r>
      <w:proofErr w:type="spellEnd"/>
      <w:r w:rsidRPr="00000DD3">
        <w:rPr>
          <w:rFonts w:ascii="Book Antiqua" w:hAnsi="Book Antiqua"/>
        </w:rPr>
        <w:t xml:space="preserve"> RL, Clark KC, </w:t>
      </w:r>
      <w:proofErr w:type="spellStart"/>
      <w:r w:rsidRPr="00000DD3">
        <w:rPr>
          <w:rFonts w:ascii="Book Antiqua" w:hAnsi="Book Antiqua"/>
        </w:rPr>
        <w:t>Zwingenberger</w:t>
      </w:r>
      <w:proofErr w:type="spellEnd"/>
      <w:r w:rsidRPr="00000DD3">
        <w:rPr>
          <w:rFonts w:ascii="Book Antiqua" w:hAnsi="Book Antiqua"/>
        </w:rPr>
        <w:t xml:space="preserve"> AL, </w:t>
      </w:r>
      <w:proofErr w:type="spellStart"/>
      <w:r w:rsidRPr="00000DD3">
        <w:rPr>
          <w:rFonts w:ascii="Book Antiqua" w:hAnsi="Book Antiqua"/>
        </w:rPr>
        <w:t>Borjesson</w:t>
      </w:r>
      <w:proofErr w:type="spellEnd"/>
      <w:r w:rsidRPr="00000DD3">
        <w:rPr>
          <w:rFonts w:ascii="Book Antiqua" w:hAnsi="Book Antiqua"/>
        </w:rPr>
        <w:t xml:space="preserve"> DL, Hayashi K, Russell P, Murphy CJ. Safety and immunomodulatory effects of allogeneic canine adipose-derived mesenchymal stromal cells transplanted into the region of the lacrimal gland, the gland of the third eyelid and the knee joint. </w:t>
      </w:r>
      <w:proofErr w:type="spellStart"/>
      <w:r w:rsidRPr="00000DD3">
        <w:rPr>
          <w:rFonts w:ascii="Book Antiqua" w:hAnsi="Book Antiqua"/>
          <w:i/>
        </w:rPr>
        <w:t>Cytotherapy</w:t>
      </w:r>
      <w:proofErr w:type="spellEnd"/>
      <w:r w:rsidRPr="00000DD3">
        <w:rPr>
          <w:rFonts w:ascii="Book Antiqua" w:hAnsi="Book Antiqua"/>
        </w:rPr>
        <w:t xml:space="preserve"> 2013; </w:t>
      </w:r>
      <w:r w:rsidRPr="00000DD3">
        <w:rPr>
          <w:rFonts w:ascii="Book Antiqua" w:hAnsi="Book Antiqua"/>
          <w:b/>
        </w:rPr>
        <w:t>15</w:t>
      </w:r>
      <w:r w:rsidRPr="00000DD3">
        <w:rPr>
          <w:rFonts w:ascii="Book Antiqua" w:hAnsi="Book Antiqua"/>
        </w:rPr>
        <w:t>: 1498-1510 [PMID: 23992828 DOI: 10.1016/j.jcyt.2013.06.009]</w:t>
      </w:r>
    </w:p>
    <w:p w14:paraId="58E017A9"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96 </w:t>
      </w:r>
      <w:r w:rsidRPr="00000DD3">
        <w:rPr>
          <w:rFonts w:ascii="Book Antiqua" w:hAnsi="Book Antiqua"/>
          <w:b/>
        </w:rPr>
        <w:t>Bland SD</w:t>
      </w:r>
      <w:r w:rsidRPr="00000DD3">
        <w:rPr>
          <w:rFonts w:ascii="Book Antiqua" w:hAnsi="Book Antiqua"/>
        </w:rPr>
        <w:t xml:space="preserve">. Canine osteoarthritis and treatments: a review. </w:t>
      </w:r>
      <w:r w:rsidRPr="00000DD3">
        <w:rPr>
          <w:rFonts w:ascii="Book Antiqua" w:hAnsi="Book Antiqua"/>
          <w:i/>
        </w:rPr>
        <w:t>Vet Sci Dev</w:t>
      </w:r>
      <w:r w:rsidRPr="00000DD3">
        <w:rPr>
          <w:rFonts w:ascii="Book Antiqua" w:hAnsi="Book Antiqua"/>
        </w:rPr>
        <w:t xml:space="preserve"> 2015; </w:t>
      </w:r>
      <w:r w:rsidRPr="00000DD3">
        <w:rPr>
          <w:rFonts w:ascii="Book Antiqua" w:hAnsi="Book Antiqua"/>
          <w:b/>
        </w:rPr>
        <w:t>5</w:t>
      </w:r>
      <w:r w:rsidRPr="00000DD3">
        <w:rPr>
          <w:rFonts w:ascii="Book Antiqua" w:hAnsi="Book Antiqua"/>
        </w:rPr>
        <w:t>: 84-89 [DOI: 10.4081/vsd.2015.5931]</w:t>
      </w:r>
    </w:p>
    <w:p w14:paraId="27F888FC"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97 </w:t>
      </w:r>
      <w:r w:rsidRPr="00000DD3">
        <w:rPr>
          <w:rFonts w:ascii="Book Antiqua" w:hAnsi="Book Antiqua"/>
          <w:b/>
        </w:rPr>
        <w:t>Scott RM</w:t>
      </w:r>
      <w:r w:rsidRPr="00000DD3">
        <w:rPr>
          <w:rFonts w:ascii="Book Antiqua" w:hAnsi="Book Antiqua"/>
        </w:rPr>
        <w:t xml:space="preserve">, Evans R, </w:t>
      </w:r>
      <w:proofErr w:type="spellStart"/>
      <w:r w:rsidRPr="00000DD3">
        <w:rPr>
          <w:rFonts w:ascii="Book Antiqua" w:hAnsi="Book Antiqua"/>
        </w:rPr>
        <w:t>Conzemius</w:t>
      </w:r>
      <w:proofErr w:type="spellEnd"/>
      <w:r w:rsidRPr="00000DD3">
        <w:rPr>
          <w:rFonts w:ascii="Book Antiqua" w:hAnsi="Book Antiqua"/>
        </w:rPr>
        <w:t xml:space="preserve"> MG. Efficacy of an oral nutraceutical for the treatment of canine osteoarthritis. A double-blind, randomized, placebo-controlled prospective clinical trial. </w:t>
      </w:r>
      <w:r w:rsidRPr="00000DD3">
        <w:rPr>
          <w:rFonts w:ascii="Book Antiqua" w:hAnsi="Book Antiqua"/>
          <w:i/>
        </w:rPr>
        <w:t xml:space="preserve">Vet Comp </w:t>
      </w:r>
      <w:proofErr w:type="spellStart"/>
      <w:r w:rsidRPr="00000DD3">
        <w:rPr>
          <w:rFonts w:ascii="Book Antiqua" w:hAnsi="Book Antiqua"/>
          <w:i/>
        </w:rPr>
        <w:t>Orthop</w:t>
      </w:r>
      <w:proofErr w:type="spellEnd"/>
      <w:r w:rsidRPr="00000DD3">
        <w:rPr>
          <w:rFonts w:ascii="Book Antiqua" w:hAnsi="Book Antiqua"/>
          <w:i/>
        </w:rPr>
        <w:t xml:space="preserve"> </w:t>
      </w:r>
      <w:proofErr w:type="spellStart"/>
      <w:r w:rsidRPr="00000DD3">
        <w:rPr>
          <w:rFonts w:ascii="Book Antiqua" w:hAnsi="Book Antiqua"/>
          <w:i/>
        </w:rPr>
        <w:t>Traumatol</w:t>
      </w:r>
      <w:proofErr w:type="spellEnd"/>
      <w:r w:rsidRPr="00000DD3">
        <w:rPr>
          <w:rFonts w:ascii="Book Antiqua" w:hAnsi="Book Antiqua"/>
        </w:rPr>
        <w:t xml:space="preserve"> 2017; </w:t>
      </w:r>
      <w:r w:rsidRPr="00000DD3">
        <w:rPr>
          <w:rFonts w:ascii="Book Antiqua" w:hAnsi="Book Antiqua"/>
          <w:b/>
        </w:rPr>
        <w:t>30</w:t>
      </w:r>
      <w:r w:rsidRPr="00000DD3">
        <w:rPr>
          <w:rFonts w:ascii="Book Antiqua" w:hAnsi="Book Antiqua"/>
        </w:rPr>
        <w:t>: 318-323 [PMID: 28763523 DOI: 10.3415/VCOT-17-02-0020]</w:t>
      </w:r>
    </w:p>
    <w:p w14:paraId="04ABF62E"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98 </w:t>
      </w:r>
      <w:proofErr w:type="spellStart"/>
      <w:r w:rsidRPr="00000DD3">
        <w:rPr>
          <w:rFonts w:ascii="Book Antiqua" w:hAnsi="Book Antiqua"/>
          <w:b/>
        </w:rPr>
        <w:t>Belshaw</w:t>
      </w:r>
      <w:proofErr w:type="spellEnd"/>
      <w:r w:rsidRPr="00000DD3">
        <w:rPr>
          <w:rFonts w:ascii="Book Antiqua" w:hAnsi="Book Antiqua"/>
          <w:b/>
        </w:rPr>
        <w:t xml:space="preserve"> Z</w:t>
      </w:r>
      <w:r w:rsidRPr="00000DD3">
        <w:rPr>
          <w:rFonts w:ascii="Book Antiqua" w:hAnsi="Book Antiqua"/>
        </w:rPr>
        <w:t xml:space="preserve">, Asher L, Dean RS. The attitudes of owners and veterinary professionals in the United Kingdom to the risk of adverse events associated with using non-steroidal anti-inflammatory drugs (NSAIDs) to treat dogs with osteoarthritis. </w:t>
      </w:r>
      <w:proofErr w:type="spellStart"/>
      <w:r w:rsidRPr="00000DD3">
        <w:rPr>
          <w:rFonts w:ascii="Book Antiqua" w:hAnsi="Book Antiqua"/>
          <w:i/>
        </w:rPr>
        <w:t>Prev</w:t>
      </w:r>
      <w:proofErr w:type="spellEnd"/>
      <w:r w:rsidRPr="00000DD3">
        <w:rPr>
          <w:rFonts w:ascii="Book Antiqua" w:hAnsi="Book Antiqua"/>
          <w:i/>
        </w:rPr>
        <w:t xml:space="preserve"> Vet Med</w:t>
      </w:r>
      <w:r w:rsidRPr="00000DD3">
        <w:rPr>
          <w:rFonts w:ascii="Book Antiqua" w:hAnsi="Book Antiqua"/>
        </w:rPr>
        <w:t xml:space="preserve"> 2016; </w:t>
      </w:r>
      <w:r w:rsidRPr="00000DD3">
        <w:rPr>
          <w:rFonts w:ascii="Book Antiqua" w:hAnsi="Book Antiqua"/>
          <w:b/>
        </w:rPr>
        <w:t>131</w:t>
      </w:r>
      <w:r w:rsidRPr="00000DD3">
        <w:rPr>
          <w:rFonts w:ascii="Book Antiqua" w:hAnsi="Book Antiqua"/>
        </w:rPr>
        <w:t>: 121-126 [PMID: 27544261 DOI: 10.1016/j.prevetmed.2016.07.017]</w:t>
      </w:r>
    </w:p>
    <w:p w14:paraId="540FF2E4"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99 </w:t>
      </w:r>
      <w:r w:rsidRPr="00000DD3">
        <w:rPr>
          <w:rFonts w:ascii="Book Antiqua" w:hAnsi="Book Antiqua"/>
          <w:b/>
        </w:rPr>
        <w:t>Hofer HR</w:t>
      </w:r>
      <w:r w:rsidRPr="00000DD3">
        <w:rPr>
          <w:rFonts w:ascii="Book Antiqua" w:hAnsi="Book Antiqua"/>
        </w:rPr>
        <w:t xml:space="preserve">, Tuan RS. Secreted trophic factors of mesenchymal stem cells support neurovascular and musculoskeletal therapies. </w:t>
      </w:r>
      <w:r w:rsidRPr="00000DD3">
        <w:rPr>
          <w:rFonts w:ascii="Book Antiqua" w:hAnsi="Book Antiqua"/>
          <w:i/>
        </w:rPr>
        <w:t xml:space="preserve">Stem Cell Res </w:t>
      </w:r>
      <w:proofErr w:type="spellStart"/>
      <w:r w:rsidRPr="00000DD3">
        <w:rPr>
          <w:rFonts w:ascii="Book Antiqua" w:hAnsi="Book Antiqua"/>
          <w:i/>
        </w:rPr>
        <w:t>Ther</w:t>
      </w:r>
      <w:proofErr w:type="spellEnd"/>
      <w:r w:rsidRPr="00000DD3">
        <w:rPr>
          <w:rFonts w:ascii="Book Antiqua" w:hAnsi="Book Antiqua"/>
        </w:rPr>
        <w:t xml:space="preserve"> 2016; </w:t>
      </w:r>
      <w:r w:rsidRPr="00000DD3">
        <w:rPr>
          <w:rFonts w:ascii="Book Antiqua" w:hAnsi="Book Antiqua"/>
          <w:b/>
        </w:rPr>
        <w:t>7</w:t>
      </w:r>
      <w:r w:rsidRPr="00000DD3">
        <w:rPr>
          <w:rFonts w:ascii="Book Antiqua" w:hAnsi="Book Antiqua"/>
        </w:rPr>
        <w:t>: 131 [PMID: 27612948 DOI: 10.1186/s13287-016-0394-0]</w:t>
      </w:r>
    </w:p>
    <w:p w14:paraId="02E5E6CE"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100 </w:t>
      </w:r>
      <w:proofErr w:type="spellStart"/>
      <w:r w:rsidRPr="00000DD3">
        <w:rPr>
          <w:rFonts w:ascii="Book Antiqua" w:hAnsi="Book Antiqua"/>
          <w:b/>
        </w:rPr>
        <w:t>Toh</w:t>
      </w:r>
      <w:proofErr w:type="spellEnd"/>
      <w:r w:rsidRPr="00000DD3">
        <w:rPr>
          <w:rFonts w:ascii="Book Antiqua" w:hAnsi="Book Antiqua"/>
          <w:b/>
        </w:rPr>
        <w:t xml:space="preserve"> WS</w:t>
      </w:r>
      <w:r w:rsidRPr="00000DD3">
        <w:rPr>
          <w:rFonts w:ascii="Book Antiqua" w:hAnsi="Book Antiqua"/>
        </w:rPr>
        <w:t xml:space="preserve">. The Emerging Role of Mesenchymal Stem Cell </w:t>
      </w:r>
      <w:proofErr w:type="spellStart"/>
      <w:r w:rsidRPr="00000DD3">
        <w:rPr>
          <w:rFonts w:ascii="Book Antiqua" w:hAnsi="Book Antiqua"/>
        </w:rPr>
        <w:t>Secretome</w:t>
      </w:r>
      <w:proofErr w:type="spellEnd"/>
      <w:r w:rsidRPr="00000DD3">
        <w:rPr>
          <w:rFonts w:ascii="Book Antiqua" w:hAnsi="Book Antiqua"/>
        </w:rPr>
        <w:t xml:space="preserve"> in Cartilage Regeneration. </w:t>
      </w:r>
      <w:r w:rsidRPr="00000DD3">
        <w:rPr>
          <w:rFonts w:ascii="Book Antiqua" w:hAnsi="Book Antiqua"/>
          <w:i/>
        </w:rPr>
        <w:t>Front Stem Cell Regen Med Res</w:t>
      </w:r>
      <w:r w:rsidRPr="00000DD3">
        <w:rPr>
          <w:rFonts w:ascii="Book Antiqua" w:hAnsi="Book Antiqua"/>
        </w:rPr>
        <w:t xml:space="preserve"> 2017; </w:t>
      </w:r>
      <w:r w:rsidRPr="00000DD3">
        <w:rPr>
          <w:rFonts w:ascii="Book Antiqua" w:hAnsi="Book Antiqua"/>
          <w:b/>
        </w:rPr>
        <w:t>4</w:t>
      </w:r>
      <w:r w:rsidRPr="00000DD3">
        <w:rPr>
          <w:rFonts w:ascii="Book Antiqua" w:hAnsi="Book Antiqua"/>
        </w:rPr>
        <w:t>: 3-25 [DOI: 10.2174/9781681084770117060003]</w:t>
      </w:r>
    </w:p>
    <w:p w14:paraId="48D4155F"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101 </w:t>
      </w:r>
      <w:r w:rsidRPr="00000DD3">
        <w:rPr>
          <w:rFonts w:ascii="Book Antiqua" w:hAnsi="Book Antiqua"/>
          <w:b/>
        </w:rPr>
        <w:t>Nakagawa Y</w:t>
      </w:r>
      <w:r w:rsidRPr="00000DD3">
        <w:rPr>
          <w:rFonts w:ascii="Book Antiqua" w:hAnsi="Book Antiqua"/>
        </w:rPr>
        <w:t xml:space="preserve">, </w:t>
      </w:r>
      <w:proofErr w:type="spellStart"/>
      <w:r w:rsidRPr="00000DD3">
        <w:rPr>
          <w:rFonts w:ascii="Book Antiqua" w:hAnsi="Book Antiqua"/>
        </w:rPr>
        <w:t>Muneta</w:t>
      </w:r>
      <w:proofErr w:type="spellEnd"/>
      <w:r w:rsidRPr="00000DD3">
        <w:rPr>
          <w:rFonts w:ascii="Book Antiqua" w:hAnsi="Book Antiqua"/>
        </w:rPr>
        <w:t xml:space="preserve"> T, Kondo S, Mizuno M, </w:t>
      </w:r>
      <w:proofErr w:type="spellStart"/>
      <w:r w:rsidRPr="00000DD3">
        <w:rPr>
          <w:rFonts w:ascii="Book Antiqua" w:hAnsi="Book Antiqua"/>
        </w:rPr>
        <w:t>Takakuda</w:t>
      </w:r>
      <w:proofErr w:type="spellEnd"/>
      <w:r w:rsidRPr="00000DD3">
        <w:rPr>
          <w:rFonts w:ascii="Book Antiqua" w:hAnsi="Book Antiqua"/>
        </w:rPr>
        <w:t xml:space="preserve"> K, Ichinose S, </w:t>
      </w:r>
      <w:proofErr w:type="spellStart"/>
      <w:r w:rsidRPr="00000DD3">
        <w:rPr>
          <w:rFonts w:ascii="Book Antiqua" w:hAnsi="Book Antiqua"/>
        </w:rPr>
        <w:t>Tabuchi</w:t>
      </w:r>
      <w:proofErr w:type="spellEnd"/>
      <w:r w:rsidRPr="00000DD3">
        <w:rPr>
          <w:rFonts w:ascii="Book Antiqua" w:hAnsi="Book Antiqua"/>
        </w:rPr>
        <w:t xml:space="preserve"> T, Koga H, Tsuji K, Sekiya I. Synovial mesenchymal stem cells promote healing after meniscal repair in </w:t>
      </w:r>
      <w:proofErr w:type="spellStart"/>
      <w:r w:rsidRPr="00000DD3">
        <w:rPr>
          <w:rFonts w:ascii="Book Antiqua" w:hAnsi="Book Antiqua"/>
        </w:rPr>
        <w:t>microminipigs</w:t>
      </w:r>
      <w:proofErr w:type="spellEnd"/>
      <w:r w:rsidRPr="00000DD3">
        <w:rPr>
          <w:rFonts w:ascii="Book Antiqua" w:hAnsi="Book Antiqua"/>
        </w:rPr>
        <w:t xml:space="preserve">. </w:t>
      </w:r>
      <w:r w:rsidRPr="00000DD3">
        <w:rPr>
          <w:rFonts w:ascii="Book Antiqua" w:hAnsi="Book Antiqua"/>
          <w:i/>
        </w:rPr>
        <w:t>Osteoarthritis Cartilage</w:t>
      </w:r>
      <w:r w:rsidRPr="00000DD3">
        <w:rPr>
          <w:rFonts w:ascii="Book Antiqua" w:hAnsi="Book Antiqua"/>
        </w:rPr>
        <w:t xml:space="preserve"> 2015; </w:t>
      </w:r>
      <w:r w:rsidRPr="00000DD3">
        <w:rPr>
          <w:rFonts w:ascii="Book Antiqua" w:hAnsi="Book Antiqua"/>
          <w:b/>
        </w:rPr>
        <w:t>23</w:t>
      </w:r>
      <w:r w:rsidRPr="00000DD3">
        <w:rPr>
          <w:rFonts w:ascii="Book Antiqua" w:hAnsi="Book Antiqua"/>
        </w:rPr>
        <w:t>: 1007-1017 [PMID: 25683149 DOI: 10.1016/j.joca.2015.02.008]</w:t>
      </w:r>
    </w:p>
    <w:p w14:paraId="0B44C19F"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102 </w:t>
      </w:r>
      <w:proofErr w:type="spellStart"/>
      <w:r w:rsidRPr="00000DD3">
        <w:rPr>
          <w:rFonts w:ascii="Book Antiqua" w:hAnsi="Book Antiqua"/>
          <w:b/>
        </w:rPr>
        <w:t>Atesok</w:t>
      </w:r>
      <w:proofErr w:type="spellEnd"/>
      <w:r w:rsidRPr="00000DD3">
        <w:rPr>
          <w:rFonts w:ascii="Book Antiqua" w:hAnsi="Book Antiqua"/>
          <w:b/>
        </w:rPr>
        <w:t xml:space="preserve"> K</w:t>
      </w:r>
      <w:r w:rsidRPr="00000DD3">
        <w:rPr>
          <w:rFonts w:ascii="Book Antiqua" w:hAnsi="Book Antiqua"/>
        </w:rPr>
        <w:t xml:space="preserve">, Fu FH, Sekiya I, </w:t>
      </w:r>
      <w:proofErr w:type="spellStart"/>
      <w:r w:rsidRPr="00000DD3">
        <w:rPr>
          <w:rFonts w:ascii="Book Antiqua" w:hAnsi="Book Antiqua"/>
        </w:rPr>
        <w:t>Stolzing</w:t>
      </w:r>
      <w:proofErr w:type="spellEnd"/>
      <w:r w:rsidRPr="00000DD3">
        <w:rPr>
          <w:rFonts w:ascii="Book Antiqua" w:hAnsi="Book Antiqua"/>
        </w:rPr>
        <w:t xml:space="preserve"> A, Ochi M, Rodeo SA. Stem cells in degenerative </w:t>
      </w:r>
      <w:proofErr w:type="spellStart"/>
      <w:r w:rsidRPr="00000DD3">
        <w:rPr>
          <w:rFonts w:ascii="Book Antiqua" w:hAnsi="Book Antiqua"/>
        </w:rPr>
        <w:t>orthopaedic</w:t>
      </w:r>
      <w:proofErr w:type="spellEnd"/>
      <w:r w:rsidRPr="00000DD3">
        <w:rPr>
          <w:rFonts w:ascii="Book Antiqua" w:hAnsi="Book Antiqua"/>
        </w:rPr>
        <w:t xml:space="preserve"> pathologies: effects of aging on therapeutic potential. </w:t>
      </w:r>
      <w:r w:rsidRPr="00000DD3">
        <w:rPr>
          <w:rFonts w:ascii="Book Antiqua" w:hAnsi="Book Antiqua"/>
          <w:i/>
        </w:rPr>
        <w:t xml:space="preserve">Knee Surg Sports </w:t>
      </w:r>
      <w:proofErr w:type="spellStart"/>
      <w:r w:rsidRPr="00000DD3">
        <w:rPr>
          <w:rFonts w:ascii="Book Antiqua" w:hAnsi="Book Antiqua"/>
          <w:i/>
        </w:rPr>
        <w:t>Traumatol</w:t>
      </w:r>
      <w:proofErr w:type="spellEnd"/>
      <w:r w:rsidRPr="00000DD3">
        <w:rPr>
          <w:rFonts w:ascii="Book Antiqua" w:hAnsi="Book Antiqua"/>
          <w:i/>
        </w:rPr>
        <w:t xml:space="preserve"> </w:t>
      </w:r>
      <w:proofErr w:type="spellStart"/>
      <w:r w:rsidRPr="00000DD3">
        <w:rPr>
          <w:rFonts w:ascii="Book Antiqua" w:hAnsi="Book Antiqua"/>
          <w:i/>
        </w:rPr>
        <w:t>Arthrosc</w:t>
      </w:r>
      <w:proofErr w:type="spellEnd"/>
      <w:r w:rsidRPr="00000DD3">
        <w:rPr>
          <w:rFonts w:ascii="Book Antiqua" w:hAnsi="Book Antiqua"/>
        </w:rPr>
        <w:t xml:space="preserve"> 2017; </w:t>
      </w:r>
      <w:r w:rsidRPr="00000DD3">
        <w:rPr>
          <w:rFonts w:ascii="Book Antiqua" w:hAnsi="Book Antiqua"/>
          <w:b/>
        </w:rPr>
        <w:t>25</w:t>
      </w:r>
      <w:r w:rsidRPr="00000DD3">
        <w:rPr>
          <w:rFonts w:ascii="Book Antiqua" w:hAnsi="Book Antiqua"/>
        </w:rPr>
        <w:t>: 626-636 [PMID: 26298714 DOI: 10.1007/s00167-015-3763-9]</w:t>
      </w:r>
    </w:p>
    <w:p w14:paraId="67C4AEA6"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103 </w:t>
      </w:r>
      <w:r w:rsidRPr="00000DD3">
        <w:rPr>
          <w:rFonts w:ascii="Book Antiqua" w:hAnsi="Book Antiqua"/>
          <w:b/>
        </w:rPr>
        <w:t>Guercio A</w:t>
      </w:r>
      <w:r w:rsidRPr="00000DD3">
        <w:rPr>
          <w:rFonts w:ascii="Book Antiqua" w:hAnsi="Book Antiqua"/>
        </w:rPr>
        <w:t xml:space="preserve">, Di Marco P, Casella S, Cannella V, Russotto L, </w:t>
      </w:r>
      <w:proofErr w:type="spellStart"/>
      <w:r w:rsidRPr="00000DD3">
        <w:rPr>
          <w:rFonts w:ascii="Book Antiqua" w:hAnsi="Book Antiqua"/>
        </w:rPr>
        <w:t>Purpari</w:t>
      </w:r>
      <w:proofErr w:type="spellEnd"/>
      <w:r w:rsidRPr="00000DD3">
        <w:rPr>
          <w:rFonts w:ascii="Book Antiqua" w:hAnsi="Book Antiqua"/>
        </w:rPr>
        <w:t xml:space="preserve"> G, Di Bella S, </w:t>
      </w:r>
      <w:proofErr w:type="spellStart"/>
      <w:r w:rsidRPr="00000DD3">
        <w:rPr>
          <w:rFonts w:ascii="Book Antiqua" w:hAnsi="Book Antiqua"/>
        </w:rPr>
        <w:t>Piccione</w:t>
      </w:r>
      <w:proofErr w:type="spellEnd"/>
      <w:r w:rsidRPr="00000DD3">
        <w:rPr>
          <w:rFonts w:ascii="Book Antiqua" w:hAnsi="Book Antiqua"/>
        </w:rPr>
        <w:t xml:space="preserve"> G. Production of canine mesenchymal stem cells from adipose tissue and their application in dogs with chronic osteoarthritis of the humeroradial joints. </w:t>
      </w:r>
      <w:r w:rsidRPr="00000DD3">
        <w:rPr>
          <w:rFonts w:ascii="Book Antiqua" w:hAnsi="Book Antiqua"/>
          <w:i/>
        </w:rPr>
        <w:t>Cell Biol Int</w:t>
      </w:r>
      <w:r w:rsidRPr="00000DD3">
        <w:rPr>
          <w:rFonts w:ascii="Book Antiqua" w:hAnsi="Book Antiqua"/>
        </w:rPr>
        <w:t xml:space="preserve"> 2012; </w:t>
      </w:r>
      <w:r w:rsidRPr="00000DD3">
        <w:rPr>
          <w:rFonts w:ascii="Book Antiqua" w:hAnsi="Book Antiqua"/>
          <w:b/>
        </w:rPr>
        <w:t>36</w:t>
      </w:r>
      <w:r w:rsidRPr="00000DD3">
        <w:rPr>
          <w:rFonts w:ascii="Book Antiqua" w:hAnsi="Book Antiqua"/>
        </w:rPr>
        <w:t>: 189-194 [PMID: 21936851 DOI: 10.1042/CBI20110304]</w:t>
      </w:r>
    </w:p>
    <w:p w14:paraId="7F6D17DA"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104 </w:t>
      </w:r>
      <w:proofErr w:type="spellStart"/>
      <w:r w:rsidRPr="00000DD3">
        <w:rPr>
          <w:rFonts w:ascii="Book Antiqua" w:hAnsi="Book Antiqua"/>
          <w:b/>
        </w:rPr>
        <w:t>Vilar</w:t>
      </w:r>
      <w:proofErr w:type="spellEnd"/>
      <w:r w:rsidRPr="00000DD3">
        <w:rPr>
          <w:rFonts w:ascii="Book Antiqua" w:hAnsi="Book Antiqua"/>
          <w:b/>
        </w:rPr>
        <w:t xml:space="preserve"> JM</w:t>
      </w:r>
      <w:r w:rsidRPr="00000DD3">
        <w:rPr>
          <w:rFonts w:ascii="Book Antiqua" w:hAnsi="Book Antiqua"/>
        </w:rPr>
        <w:t xml:space="preserve">, Morales M, Santana A, </w:t>
      </w:r>
      <w:proofErr w:type="spellStart"/>
      <w:r w:rsidRPr="00000DD3">
        <w:rPr>
          <w:rFonts w:ascii="Book Antiqua" w:hAnsi="Book Antiqua"/>
        </w:rPr>
        <w:t>Spinella</w:t>
      </w:r>
      <w:proofErr w:type="spellEnd"/>
      <w:r w:rsidRPr="00000DD3">
        <w:rPr>
          <w:rFonts w:ascii="Book Antiqua" w:hAnsi="Book Antiqua"/>
        </w:rPr>
        <w:t xml:space="preserve"> G, Rubio M, Cuervo B, </w:t>
      </w:r>
      <w:proofErr w:type="spellStart"/>
      <w:r w:rsidRPr="00000DD3">
        <w:rPr>
          <w:rFonts w:ascii="Book Antiqua" w:hAnsi="Book Antiqua"/>
        </w:rPr>
        <w:t>Cugat</w:t>
      </w:r>
      <w:proofErr w:type="spellEnd"/>
      <w:r w:rsidRPr="00000DD3">
        <w:rPr>
          <w:rFonts w:ascii="Book Antiqua" w:hAnsi="Book Antiqua"/>
        </w:rPr>
        <w:t xml:space="preserve"> R, Carrillo JM. Controlled, blinded force platform analysis of the effect of intraarticular injection of autologous adipose-derived mesenchymal stem cells associated to PRGF-</w:t>
      </w:r>
      <w:proofErr w:type="spellStart"/>
      <w:r w:rsidRPr="00000DD3">
        <w:rPr>
          <w:rFonts w:ascii="Book Antiqua" w:hAnsi="Book Antiqua"/>
        </w:rPr>
        <w:t>Endoret</w:t>
      </w:r>
      <w:proofErr w:type="spellEnd"/>
      <w:r w:rsidRPr="00000DD3">
        <w:rPr>
          <w:rFonts w:ascii="Book Antiqua" w:hAnsi="Book Antiqua"/>
        </w:rPr>
        <w:t xml:space="preserve"> in osteoarthritic dogs. </w:t>
      </w:r>
      <w:r w:rsidRPr="00000DD3">
        <w:rPr>
          <w:rFonts w:ascii="Book Antiqua" w:hAnsi="Book Antiqua"/>
          <w:i/>
        </w:rPr>
        <w:t>BMC Vet Res</w:t>
      </w:r>
      <w:r w:rsidRPr="00000DD3">
        <w:rPr>
          <w:rFonts w:ascii="Book Antiqua" w:hAnsi="Book Antiqua"/>
        </w:rPr>
        <w:t xml:space="preserve"> 2013; </w:t>
      </w:r>
      <w:r w:rsidRPr="00000DD3">
        <w:rPr>
          <w:rFonts w:ascii="Book Antiqua" w:hAnsi="Book Antiqua"/>
          <w:b/>
        </w:rPr>
        <w:t>9</w:t>
      </w:r>
      <w:r w:rsidRPr="00000DD3">
        <w:rPr>
          <w:rFonts w:ascii="Book Antiqua" w:hAnsi="Book Antiqua"/>
        </w:rPr>
        <w:t>: 131 [PMID: 23819757 DOI: 10.1186/1746-6148-9-131]</w:t>
      </w:r>
    </w:p>
    <w:p w14:paraId="17390893"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105 </w:t>
      </w:r>
      <w:proofErr w:type="spellStart"/>
      <w:r w:rsidRPr="00000DD3">
        <w:rPr>
          <w:rFonts w:ascii="Book Antiqua" w:hAnsi="Book Antiqua"/>
          <w:b/>
        </w:rPr>
        <w:t>Kriston-Pál</w:t>
      </w:r>
      <w:proofErr w:type="spellEnd"/>
      <w:r w:rsidRPr="00000DD3">
        <w:rPr>
          <w:rFonts w:ascii="Book Antiqua" w:hAnsi="Book Antiqua"/>
          <w:b/>
        </w:rPr>
        <w:t xml:space="preserve"> É</w:t>
      </w:r>
      <w:r w:rsidRPr="00000DD3">
        <w:rPr>
          <w:rFonts w:ascii="Book Antiqua" w:hAnsi="Book Antiqua"/>
        </w:rPr>
        <w:t xml:space="preserve">, </w:t>
      </w:r>
      <w:proofErr w:type="spellStart"/>
      <w:r w:rsidRPr="00000DD3">
        <w:rPr>
          <w:rFonts w:ascii="Book Antiqua" w:hAnsi="Book Antiqua"/>
        </w:rPr>
        <w:t>Czibula</w:t>
      </w:r>
      <w:proofErr w:type="spellEnd"/>
      <w:r w:rsidRPr="00000DD3">
        <w:rPr>
          <w:rFonts w:ascii="Book Antiqua" w:hAnsi="Book Antiqua"/>
        </w:rPr>
        <w:t xml:space="preserve"> Á, </w:t>
      </w:r>
      <w:proofErr w:type="spellStart"/>
      <w:r w:rsidRPr="00000DD3">
        <w:rPr>
          <w:rFonts w:ascii="Book Antiqua" w:hAnsi="Book Antiqua"/>
        </w:rPr>
        <w:t>Gyuris</w:t>
      </w:r>
      <w:proofErr w:type="spellEnd"/>
      <w:r w:rsidRPr="00000DD3">
        <w:rPr>
          <w:rFonts w:ascii="Book Antiqua" w:hAnsi="Book Antiqua"/>
        </w:rPr>
        <w:t xml:space="preserve"> Z, </w:t>
      </w:r>
      <w:proofErr w:type="spellStart"/>
      <w:r w:rsidRPr="00000DD3">
        <w:rPr>
          <w:rFonts w:ascii="Book Antiqua" w:hAnsi="Book Antiqua"/>
        </w:rPr>
        <w:t>Balka</w:t>
      </w:r>
      <w:proofErr w:type="spellEnd"/>
      <w:r w:rsidRPr="00000DD3">
        <w:rPr>
          <w:rFonts w:ascii="Book Antiqua" w:hAnsi="Book Antiqua"/>
        </w:rPr>
        <w:t xml:space="preserve"> G, </w:t>
      </w:r>
      <w:proofErr w:type="spellStart"/>
      <w:r w:rsidRPr="00000DD3">
        <w:rPr>
          <w:rFonts w:ascii="Book Antiqua" w:hAnsi="Book Antiqua"/>
        </w:rPr>
        <w:t>Seregi</w:t>
      </w:r>
      <w:proofErr w:type="spellEnd"/>
      <w:r w:rsidRPr="00000DD3">
        <w:rPr>
          <w:rFonts w:ascii="Book Antiqua" w:hAnsi="Book Antiqua"/>
        </w:rPr>
        <w:t xml:space="preserve"> A, </w:t>
      </w:r>
      <w:proofErr w:type="spellStart"/>
      <w:r w:rsidRPr="00000DD3">
        <w:rPr>
          <w:rFonts w:ascii="Book Antiqua" w:hAnsi="Book Antiqua"/>
        </w:rPr>
        <w:t>Sükösd</w:t>
      </w:r>
      <w:proofErr w:type="spellEnd"/>
      <w:r w:rsidRPr="00000DD3">
        <w:rPr>
          <w:rFonts w:ascii="Book Antiqua" w:hAnsi="Book Antiqua"/>
        </w:rPr>
        <w:t xml:space="preserve"> F, </w:t>
      </w:r>
      <w:proofErr w:type="spellStart"/>
      <w:r w:rsidRPr="00000DD3">
        <w:rPr>
          <w:rFonts w:ascii="Book Antiqua" w:hAnsi="Book Antiqua"/>
        </w:rPr>
        <w:t>Süth</w:t>
      </w:r>
      <w:proofErr w:type="spellEnd"/>
      <w:r w:rsidRPr="00000DD3">
        <w:rPr>
          <w:rFonts w:ascii="Book Antiqua" w:hAnsi="Book Antiqua"/>
        </w:rPr>
        <w:t xml:space="preserve"> M, Kiss-</w:t>
      </w:r>
      <w:proofErr w:type="spellStart"/>
      <w:r w:rsidRPr="00000DD3">
        <w:rPr>
          <w:rFonts w:ascii="Book Antiqua" w:hAnsi="Book Antiqua"/>
        </w:rPr>
        <w:t>Tóth</w:t>
      </w:r>
      <w:proofErr w:type="spellEnd"/>
      <w:r w:rsidRPr="00000DD3">
        <w:rPr>
          <w:rFonts w:ascii="Book Antiqua" w:hAnsi="Book Antiqua"/>
        </w:rPr>
        <w:t xml:space="preserve"> E, </w:t>
      </w:r>
      <w:proofErr w:type="spellStart"/>
      <w:r w:rsidRPr="00000DD3">
        <w:rPr>
          <w:rFonts w:ascii="Book Antiqua" w:hAnsi="Book Antiqua"/>
        </w:rPr>
        <w:t>Haracska</w:t>
      </w:r>
      <w:proofErr w:type="spellEnd"/>
      <w:r w:rsidRPr="00000DD3">
        <w:rPr>
          <w:rFonts w:ascii="Book Antiqua" w:hAnsi="Book Antiqua"/>
        </w:rPr>
        <w:t xml:space="preserve"> L, </w:t>
      </w:r>
      <w:proofErr w:type="spellStart"/>
      <w:r w:rsidRPr="00000DD3">
        <w:rPr>
          <w:rFonts w:ascii="Book Antiqua" w:hAnsi="Book Antiqua"/>
        </w:rPr>
        <w:t>Uher</w:t>
      </w:r>
      <w:proofErr w:type="spellEnd"/>
      <w:r w:rsidRPr="00000DD3">
        <w:rPr>
          <w:rFonts w:ascii="Book Antiqua" w:hAnsi="Book Antiqua"/>
        </w:rPr>
        <w:t xml:space="preserve"> F, </w:t>
      </w:r>
      <w:proofErr w:type="spellStart"/>
      <w:r w:rsidRPr="00000DD3">
        <w:rPr>
          <w:rFonts w:ascii="Book Antiqua" w:hAnsi="Book Antiqua"/>
        </w:rPr>
        <w:t>Monostori</w:t>
      </w:r>
      <w:proofErr w:type="spellEnd"/>
      <w:r w:rsidRPr="00000DD3">
        <w:rPr>
          <w:rFonts w:ascii="Book Antiqua" w:hAnsi="Book Antiqua"/>
        </w:rPr>
        <w:t xml:space="preserve"> É. Characterization and therapeutic application of canine adipose mesenchymal stem cells to treat elbow osteoarthritis. </w:t>
      </w:r>
      <w:r w:rsidRPr="00000DD3">
        <w:rPr>
          <w:rFonts w:ascii="Book Antiqua" w:hAnsi="Book Antiqua"/>
          <w:i/>
        </w:rPr>
        <w:t>Can J Vet Res</w:t>
      </w:r>
      <w:r w:rsidRPr="00000DD3">
        <w:rPr>
          <w:rFonts w:ascii="Book Antiqua" w:hAnsi="Book Antiqua"/>
        </w:rPr>
        <w:t xml:space="preserve"> 2017; </w:t>
      </w:r>
      <w:r w:rsidRPr="00000DD3">
        <w:rPr>
          <w:rFonts w:ascii="Book Antiqua" w:hAnsi="Book Antiqua"/>
          <w:b/>
        </w:rPr>
        <w:t>81</w:t>
      </w:r>
      <w:r w:rsidRPr="00000DD3">
        <w:rPr>
          <w:rFonts w:ascii="Book Antiqua" w:hAnsi="Book Antiqua"/>
        </w:rPr>
        <w:t>: 73-78 [PMID: 28197017]</w:t>
      </w:r>
    </w:p>
    <w:p w14:paraId="020AA4FB"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106 </w:t>
      </w:r>
      <w:r w:rsidRPr="00000DD3">
        <w:rPr>
          <w:rFonts w:ascii="Book Antiqua" w:hAnsi="Book Antiqua"/>
          <w:b/>
        </w:rPr>
        <w:t>Marx C</w:t>
      </w:r>
      <w:r w:rsidRPr="00000DD3">
        <w:rPr>
          <w:rFonts w:ascii="Book Antiqua" w:hAnsi="Book Antiqua"/>
        </w:rPr>
        <w:t xml:space="preserve">, Silveira MD, </w:t>
      </w:r>
      <w:proofErr w:type="spellStart"/>
      <w:r w:rsidRPr="00000DD3">
        <w:rPr>
          <w:rFonts w:ascii="Book Antiqua" w:hAnsi="Book Antiqua"/>
        </w:rPr>
        <w:t>Selbach</w:t>
      </w:r>
      <w:proofErr w:type="spellEnd"/>
      <w:r w:rsidRPr="00000DD3">
        <w:rPr>
          <w:rFonts w:ascii="Book Antiqua" w:hAnsi="Book Antiqua"/>
        </w:rPr>
        <w:t xml:space="preserve"> I, da Silva AS, Braga LM, </w:t>
      </w:r>
      <w:proofErr w:type="spellStart"/>
      <w:r w:rsidRPr="00000DD3">
        <w:rPr>
          <w:rFonts w:ascii="Book Antiqua" w:hAnsi="Book Antiqua"/>
        </w:rPr>
        <w:t>Camassola</w:t>
      </w:r>
      <w:proofErr w:type="spellEnd"/>
      <w:r w:rsidRPr="00000DD3">
        <w:rPr>
          <w:rFonts w:ascii="Book Antiqua" w:hAnsi="Book Antiqua"/>
        </w:rPr>
        <w:t xml:space="preserve"> M, </w:t>
      </w:r>
      <w:proofErr w:type="spellStart"/>
      <w:r w:rsidRPr="00000DD3">
        <w:rPr>
          <w:rFonts w:ascii="Book Antiqua" w:hAnsi="Book Antiqua"/>
        </w:rPr>
        <w:t>Nardi</w:t>
      </w:r>
      <w:proofErr w:type="spellEnd"/>
      <w:r w:rsidRPr="00000DD3">
        <w:rPr>
          <w:rFonts w:ascii="Book Antiqua" w:hAnsi="Book Antiqua"/>
        </w:rPr>
        <w:t xml:space="preserve"> NB. Acupoint injection of autologous stromal vascular fraction and allogeneic adipose-derived stem cells to treat hip dysplasia in dogs. </w:t>
      </w:r>
      <w:r w:rsidRPr="00000DD3">
        <w:rPr>
          <w:rFonts w:ascii="Book Antiqua" w:hAnsi="Book Antiqua"/>
          <w:i/>
        </w:rPr>
        <w:t>Stem Cells Int</w:t>
      </w:r>
      <w:r w:rsidRPr="00000DD3">
        <w:rPr>
          <w:rFonts w:ascii="Book Antiqua" w:hAnsi="Book Antiqua"/>
        </w:rPr>
        <w:t xml:space="preserve"> 2014; </w:t>
      </w:r>
      <w:r w:rsidRPr="00000DD3">
        <w:rPr>
          <w:rFonts w:ascii="Book Antiqua" w:hAnsi="Book Antiqua"/>
          <w:b/>
        </w:rPr>
        <w:t>2014</w:t>
      </w:r>
      <w:r w:rsidRPr="00000DD3">
        <w:rPr>
          <w:rFonts w:ascii="Book Antiqua" w:hAnsi="Book Antiqua"/>
        </w:rPr>
        <w:t>: 391274 [PMID: 25180040 DOI: 10.1155/2014/391274]</w:t>
      </w:r>
    </w:p>
    <w:p w14:paraId="6D67DFC9"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107 </w:t>
      </w:r>
      <w:r w:rsidRPr="00000DD3">
        <w:rPr>
          <w:rFonts w:ascii="Book Antiqua" w:hAnsi="Book Antiqua"/>
          <w:b/>
        </w:rPr>
        <w:t>Black LL</w:t>
      </w:r>
      <w:r w:rsidRPr="00000DD3">
        <w:rPr>
          <w:rFonts w:ascii="Book Antiqua" w:hAnsi="Book Antiqua"/>
        </w:rPr>
        <w:t xml:space="preserve">, Gaynor J, Adams C, </w:t>
      </w:r>
      <w:proofErr w:type="spellStart"/>
      <w:r w:rsidRPr="00000DD3">
        <w:rPr>
          <w:rFonts w:ascii="Book Antiqua" w:hAnsi="Book Antiqua"/>
        </w:rPr>
        <w:t>Dhupa</w:t>
      </w:r>
      <w:proofErr w:type="spellEnd"/>
      <w:r w:rsidRPr="00000DD3">
        <w:rPr>
          <w:rFonts w:ascii="Book Antiqua" w:hAnsi="Book Antiqua"/>
        </w:rPr>
        <w:t xml:space="preserve"> S, </w:t>
      </w:r>
      <w:proofErr w:type="spellStart"/>
      <w:r w:rsidRPr="00000DD3">
        <w:rPr>
          <w:rFonts w:ascii="Book Antiqua" w:hAnsi="Book Antiqua"/>
        </w:rPr>
        <w:t>Sams</w:t>
      </w:r>
      <w:proofErr w:type="spellEnd"/>
      <w:r w:rsidRPr="00000DD3">
        <w:rPr>
          <w:rFonts w:ascii="Book Antiqua" w:hAnsi="Book Antiqua"/>
        </w:rPr>
        <w:t xml:space="preserve"> AE, Taylor R, Harman S, Gingerich DA, Harman R. Effect of intraarticular injection of autologous adipose-derived mesenchymal stem and regenerative cells on clinical signs of chronic osteoarthritis of the elbow joint in dogs. </w:t>
      </w:r>
      <w:r w:rsidRPr="00000DD3">
        <w:rPr>
          <w:rFonts w:ascii="Book Antiqua" w:hAnsi="Book Antiqua"/>
          <w:i/>
        </w:rPr>
        <w:t xml:space="preserve">Vet </w:t>
      </w:r>
      <w:proofErr w:type="spellStart"/>
      <w:r w:rsidRPr="00000DD3">
        <w:rPr>
          <w:rFonts w:ascii="Book Antiqua" w:hAnsi="Book Antiqua"/>
          <w:i/>
        </w:rPr>
        <w:t>Ther</w:t>
      </w:r>
      <w:proofErr w:type="spellEnd"/>
      <w:r w:rsidRPr="00000DD3">
        <w:rPr>
          <w:rFonts w:ascii="Book Antiqua" w:hAnsi="Book Antiqua"/>
        </w:rPr>
        <w:t xml:space="preserve"> 2008; </w:t>
      </w:r>
      <w:r w:rsidRPr="00000DD3">
        <w:rPr>
          <w:rFonts w:ascii="Book Antiqua" w:hAnsi="Book Antiqua"/>
          <w:b/>
        </w:rPr>
        <w:t>9</w:t>
      </w:r>
      <w:r w:rsidRPr="00000DD3">
        <w:rPr>
          <w:rFonts w:ascii="Book Antiqua" w:hAnsi="Book Antiqua"/>
        </w:rPr>
        <w:t>: 192-200 [PMID: 19003780 DOI: 10.1007/s11259-008-9105-3]</w:t>
      </w:r>
    </w:p>
    <w:p w14:paraId="4501217A"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108 </w:t>
      </w:r>
      <w:proofErr w:type="spellStart"/>
      <w:r w:rsidRPr="00000DD3">
        <w:rPr>
          <w:rFonts w:ascii="Book Antiqua" w:hAnsi="Book Antiqua"/>
          <w:b/>
        </w:rPr>
        <w:t>Vilar</w:t>
      </w:r>
      <w:proofErr w:type="spellEnd"/>
      <w:r w:rsidRPr="00000DD3">
        <w:rPr>
          <w:rFonts w:ascii="Book Antiqua" w:hAnsi="Book Antiqua"/>
          <w:b/>
        </w:rPr>
        <w:t xml:space="preserve"> JM</w:t>
      </w:r>
      <w:r w:rsidRPr="00000DD3">
        <w:rPr>
          <w:rFonts w:ascii="Book Antiqua" w:hAnsi="Book Antiqua"/>
        </w:rPr>
        <w:t xml:space="preserve">, Batista M, Morales M, Santana A, Cuervo B, Rubio M, </w:t>
      </w:r>
      <w:proofErr w:type="spellStart"/>
      <w:r w:rsidRPr="00000DD3">
        <w:rPr>
          <w:rFonts w:ascii="Book Antiqua" w:hAnsi="Book Antiqua"/>
        </w:rPr>
        <w:t>Cugat</w:t>
      </w:r>
      <w:proofErr w:type="spellEnd"/>
      <w:r w:rsidRPr="00000DD3">
        <w:rPr>
          <w:rFonts w:ascii="Book Antiqua" w:hAnsi="Book Antiqua"/>
        </w:rPr>
        <w:t xml:space="preserve"> R, </w:t>
      </w:r>
      <w:proofErr w:type="spellStart"/>
      <w:r w:rsidRPr="00000DD3">
        <w:rPr>
          <w:rFonts w:ascii="Book Antiqua" w:hAnsi="Book Antiqua"/>
        </w:rPr>
        <w:t>Sopena</w:t>
      </w:r>
      <w:proofErr w:type="spellEnd"/>
      <w:r w:rsidRPr="00000DD3">
        <w:rPr>
          <w:rFonts w:ascii="Book Antiqua" w:hAnsi="Book Antiqua"/>
        </w:rPr>
        <w:t xml:space="preserve"> J, Carrillo JM. Assessment of the effect of intraarticular injection of autologous adipose-derived mesenchymal stem cells in osteoarthritic dogs using a double blinded force platform analysis. </w:t>
      </w:r>
      <w:r w:rsidRPr="00000DD3">
        <w:rPr>
          <w:rFonts w:ascii="Book Antiqua" w:hAnsi="Book Antiqua"/>
          <w:i/>
        </w:rPr>
        <w:t>BMC Vet Res</w:t>
      </w:r>
      <w:r w:rsidRPr="00000DD3">
        <w:rPr>
          <w:rFonts w:ascii="Book Antiqua" w:hAnsi="Book Antiqua"/>
        </w:rPr>
        <w:t xml:space="preserve"> 2014; </w:t>
      </w:r>
      <w:r w:rsidRPr="00000DD3">
        <w:rPr>
          <w:rFonts w:ascii="Book Antiqua" w:hAnsi="Book Antiqua"/>
          <w:b/>
        </w:rPr>
        <w:t>10</w:t>
      </w:r>
      <w:r w:rsidRPr="00000DD3">
        <w:rPr>
          <w:rFonts w:ascii="Book Antiqua" w:hAnsi="Book Antiqua"/>
        </w:rPr>
        <w:t>: 143 [PMID: 24984756 DOI: 10.1186/1746-6148-10-143]</w:t>
      </w:r>
    </w:p>
    <w:p w14:paraId="576E0EAD"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109 </w:t>
      </w:r>
      <w:r w:rsidRPr="00000DD3">
        <w:rPr>
          <w:rFonts w:ascii="Book Antiqua" w:hAnsi="Book Antiqua"/>
          <w:b/>
        </w:rPr>
        <w:t>Sharkey M</w:t>
      </w:r>
      <w:r w:rsidRPr="00000DD3">
        <w:rPr>
          <w:rFonts w:ascii="Book Antiqua" w:hAnsi="Book Antiqua"/>
        </w:rPr>
        <w:t xml:space="preserve">. The challenges of assessing osteoarthritis and postoperative pain in dogs. </w:t>
      </w:r>
      <w:r w:rsidRPr="00000DD3">
        <w:rPr>
          <w:rFonts w:ascii="Book Antiqua" w:hAnsi="Book Antiqua"/>
          <w:i/>
        </w:rPr>
        <w:t>AAPS J</w:t>
      </w:r>
      <w:r w:rsidRPr="00000DD3">
        <w:rPr>
          <w:rFonts w:ascii="Book Antiqua" w:hAnsi="Book Antiqua"/>
        </w:rPr>
        <w:t xml:space="preserve"> 2013; </w:t>
      </w:r>
      <w:r w:rsidRPr="00000DD3">
        <w:rPr>
          <w:rFonts w:ascii="Book Antiqua" w:hAnsi="Book Antiqua"/>
          <w:b/>
        </w:rPr>
        <w:t>15</w:t>
      </w:r>
      <w:r w:rsidRPr="00000DD3">
        <w:rPr>
          <w:rFonts w:ascii="Book Antiqua" w:hAnsi="Book Antiqua"/>
        </w:rPr>
        <w:t>: 598-607 [PMID: 23456420 DOI: 10.1208/s12248-013-9467-5]</w:t>
      </w:r>
    </w:p>
    <w:p w14:paraId="3435D605"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110 </w:t>
      </w:r>
      <w:r w:rsidRPr="00000DD3">
        <w:rPr>
          <w:rFonts w:ascii="Book Antiqua" w:hAnsi="Book Antiqua"/>
          <w:b/>
        </w:rPr>
        <w:t>Muir P</w:t>
      </w:r>
      <w:r w:rsidRPr="00000DD3">
        <w:rPr>
          <w:rFonts w:ascii="Book Antiqua" w:hAnsi="Book Antiqua"/>
        </w:rPr>
        <w:t xml:space="preserve">, Hans EC, Racette M, </w:t>
      </w:r>
      <w:proofErr w:type="spellStart"/>
      <w:r w:rsidRPr="00000DD3">
        <w:rPr>
          <w:rFonts w:ascii="Book Antiqua" w:hAnsi="Book Antiqua"/>
        </w:rPr>
        <w:t>Volstad</w:t>
      </w:r>
      <w:proofErr w:type="spellEnd"/>
      <w:r w:rsidRPr="00000DD3">
        <w:rPr>
          <w:rFonts w:ascii="Book Antiqua" w:hAnsi="Book Antiqua"/>
        </w:rPr>
        <w:t xml:space="preserve"> N, Sample SJ, Heaton C, Holzman G, Schaefer SL, Bloom DD, </w:t>
      </w:r>
      <w:proofErr w:type="spellStart"/>
      <w:r w:rsidRPr="00000DD3">
        <w:rPr>
          <w:rFonts w:ascii="Book Antiqua" w:hAnsi="Book Antiqua"/>
        </w:rPr>
        <w:t>Bleedorn</w:t>
      </w:r>
      <w:proofErr w:type="spellEnd"/>
      <w:r w:rsidRPr="00000DD3">
        <w:rPr>
          <w:rFonts w:ascii="Book Antiqua" w:hAnsi="Book Antiqua"/>
        </w:rPr>
        <w:t xml:space="preserve"> JA, Hao Z, </w:t>
      </w:r>
      <w:proofErr w:type="spellStart"/>
      <w:r w:rsidRPr="00000DD3">
        <w:rPr>
          <w:rFonts w:ascii="Book Antiqua" w:hAnsi="Book Antiqua"/>
        </w:rPr>
        <w:t>Amene</w:t>
      </w:r>
      <w:proofErr w:type="spellEnd"/>
      <w:r w:rsidRPr="00000DD3">
        <w:rPr>
          <w:rFonts w:ascii="Book Antiqua" w:hAnsi="Book Antiqua"/>
        </w:rPr>
        <w:t xml:space="preserve"> E, Suresh M, </w:t>
      </w:r>
      <w:proofErr w:type="spellStart"/>
      <w:r w:rsidRPr="00000DD3">
        <w:rPr>
          <w:rFonts w:ascii="Book Antiqua" w:hAnsi="Book Antiqua"/>
        </w:rPr>
        <w:t>Hematti</w:t>
      </w:r>
      <w:proofErr w:type="spellEnd"/>
      <w:r w:rsidRPr="00000DD3">
        <w:rPr>
          <w:rFonts w:ascii="Book Antiqua" w:hAnsi="Book Antiqua"/>
        </w:rPr>
        <w:t xml:space="preserve"> P. Autologous Bone Marrow-Derived Mesenchymal Stem Cells Modulate Molecular Markers of Inflammation in Dogs with Cruciate Ligament Rupture. </w:t>
      </w:r>
      <w:proofErr w:type="spellStart"/>
      <w:r w:rsidRPr="00000DD3">
        <w:rPr>
          <w:rFonts w:ascii="Book Antiqua" w:hAnsi="Book Antiqua"/>
          <w:i/>
        </w:rPr>
        <w:t>PLoS</w:t>
      </w:r>
      <w:proofErr w:type="spellEnd"/>
      <w:r w:rsidRPr="00000DD3">
        <w:rPr>
          <w:rFonts w:ascii="Book Antiqua" w:hAnsi="Book Antiqua"/>
          <w:i/>
        </w:rPr>
        <w:t xml:space="preserve"> One</w:t>
      </w:r>
      <w:r w:rsidRPr="00000DD3">
        <w:rPr>
          <w:rFonts w:ascii="Book Antiqua" w:hAnsi="Book Antiqua"/>
        </w:rPr>
        <w:t xml:space="preserve"> 2016; </w:t>
      </w:r>
      <w:r w:rsidRPr="00000DD3">
        <w:rPr>
          <w:rFonts w:ascii="Book Antiqua" w:hAnsi="Book Antiqua"/>
          <w:b/>
        </w:rPr>
        <w:t>11</w:t>
      </w:r>
      <w:r w:rsidRPr="00000DD3">
        <w:rPr>
          <w:rFonts w:ascii="Book Antiqua" w:hAnsi="Book Antiqua"/>
        </w:rPr>
        <w:t>: e0159095 [PMID: 27575050 DOI: 10.1371/journal.pone.0159095]</w:t>
      </w:r>
    </w:p>
    <w:p w14:paraId="1060491F"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111 </w:t>
      </w:r>
      <w:r w:rsidRPr="00000DD3">
        <w:rPr>
          <w:rFonts w:ascii="Book Antiqua" w:hAnsi="Book Antiqua"/>
          <w:b/>
        </w:rPr>
        <w:t>Kang MH</w:t>
      </w:r>
      <w:r w:rsidRPr="00000DD3">
        <w:rPr>
          <w:rFonts w:ascii="Book Antiqua" w:hAnsi="Book Antiqua"/>
        </w:rPr>
        <w:t xml:space="preserve">, Park HM. Evaluation of adverse reactions in dogs following intravenous mesenchymal stem cell transplantation. </w:t>
      </w:r>
      <w:r w:rsidRPr="00000DD3">
        <w:rPr>
          <w:rFonts w:ascii="Book Antiqua" w:hAnsi="Book Antiqua"/>
          <w:i/>
        </w:rPr>
        <w:t xml:space="preserve">Acta Vet </w:t>
      </w:r>
      <w:proofErr w:type="spellStart"/>
      <w:r w:rsidRPr="00000DD3">
        <w:rPr>
          <w:rFonts w:ascii="Book Antiqua" w:hAnsi="Book Antiqua"/>
          <w:i/>
        </w:rPr>
        <w:t>Scand</w:t>
      </w:r>
      <w:proofErr w:type="spellEnd"/>
      <w:r w:rsidRPr="00000DD3">
        <w:rPr>
          <w:rFonts w:ascii="Book Antiqua" w:hAnsi="Book Antiqua"/>
        </w:rPr>
        <w:t xml:space="preserve"> 2014; </w:t>
      </w:r>
      <w:r w:rsidRPr="00000DD3">
        <w:rPr>
          <w:rFonts w:ascii="Book Antiqua" w:hAnsi="Book Antiqua"/>
          <w:b/>
        </w:rPr>
        <w:t>56</w:t>
      </w:r>
      <w:r w:rsidRPr="00000DD3">
        <w:rPr>
          <w:rFonts w:ascii="Book Antiqua" w:hAnsi="Book Antiqua"/>
        </w:rPr>
        <w:t>: 16 [PMID: 24655411 DOI: 10.1186/1751-0147-56-16]</w:t>
      </w:r>
    </w:p>
    <w:p w14:paraId="58E1F2CB"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112 </w:t>
      </w:r>
      <w:r w:rsidRPr="00000DD3">
        <w:rPr>
          <w:rFonts w:ascii="Book Antiqua" w:hAnsi="Book Antiqua"/>
          <w:b/>
        </w:rPr>
        <w:t>Cimino Brown D</w:t>
      </w:r>
      <w:r w:rsidRPr="00000DD3">
        <w:rPr>
          <w:rFonts w:ascii="Book Antiqua" w:hAnsi="Book Antiqua"/>
        </w:rPr>
        <w:t xml:space="preserve">. What can we learn from osteoarthritis pain in companion animals? </w:t>
      </w:r>
      <w:r w:rsidRPr="00000DD3">
        <w:rPr>
          <w:rFonts w:ascii="Book Antiqua" w:hAnsi="Book Antiqua"/>
          <w:i/>
        </w:rPr>
        <w:t xml:space="preserve">Clin Exp </w:t>
      </w:r>
      <w:proofErr w:type="spellStart"/>
      <w:r w:rsidRPr="00000DD3">
        <w:rPr>
          <w:rFonts w:ascii="Book Antiqua" w:hAnsi="Book Antiqua"/>
          <w:i/>
        </w:rPr>
        <w:t>Rheumatol</w:t>
      </w:r>
      <w:proofErr w:type="spellEnd"/>
      <w:r w:rsidRPr="00000DD3">
        <w:rPr>
          <w:rFonts w:ascii="Book Antiqua" w:hAnsi="Book Antiqua"/>
        </w:rPr>
        <w:t xml:space="preserve"> 2017; </w:t>
      </w:r>
      <w:r w:rsidRPr="00000DD3">
        <w:rPr>
          <w:rFonts w:ascii="Book Antiqua" w:hAnsi="Book Antiqua"/>
          <w:b/>
        </w:rPr>
        <w:t xml:space="preserve">35 </w:t>
      </w:r>
      <w:r w:rsidRPr="00000DD3">
        <w:rPr>
          <w:rFonts w:ascii="Book Antiqua" w:hAnsi="Book Antiqua"/>
        </w:rPr>
        <w:t>Suppl 107: 53-58 [PMID: 28967360]</w:t>
      </w:r>
    </w:p>
    <w:p w14:paraId="6F2C28FD"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113 </w:t>
      </w:r>
      <w:r w:rsidRPr="00000DD3">
        <w:rPr>
          <w:rFonts w:ascii="Book Antiqua" w:hAnsi="Book Antiqua"/>
          <w:b/>
        </w:rPr>
        <w:t>Fortier LA</w:t>
      </w:r>
      <w:r w:rsidRPr="00000DD3">
        <w:rPr>
          <w:rFonts w:ascii="Book Antiqua" w:hAnsi="Book Antiqua"/>
        </w:rPr>
        <w:t xml:space="preserve">, Travis AJ. Stem cells in veterinary medicine. </w:t>
      </w:r>
      <w:r w:rsidRPr="00000DD3">
        <w:rPr>
          <w:rFonts w:ascii="Book Antiqua" w:hAnsi="Book Antiqua"/>
          <w:i/>
        </w:rPr>
        <w:t xml:space="preserve">Stem Cell Res </w:t>
      </w:r>
      <w:proofErr w:type="spellStart"/>
      <w:r w:rsidRPr="00000DD3">
        <w:rPr>
          <w:rFonts w:ascii="Book Antiqua" w:hAnsi="Book Antiqua"/>
          <w:i/>
        </w:rPr>
        <w:t>Ther</w:t>
      </w:r>
      <w:proofErr w:type="spellEnd"/>
      <w:r w:rsidRPr="00000DD3">
        <w:rPr>
          <w:rFonts w:ascii="Book Antiqua" w:hAnsi="Book Antiqua"/>
        </w:rPr>
        <w:t xml:space="preserve"> 2011; </w:t>
      </w:r>
      <w:r w:rsidRPr="00000DD3">
        <w:rPr>
          <w:rFonts w:ascii="Book Antiqua" w:hAnsi="Book Antiqua"/>
          <w:b/>
        </w:rPr>
        <w:t>2</w:t>
      </w:r>
      <w:r w:rsidRPr="00000DD3">
        <w:rPr>
          <w:rFonts w:ascii="Book Antiqua" w:hAnsi="Book Antiqua"/>
        </w:rPr>
        <w:t>: 9 [PMID: 21371354 DOI: 10.1186/scrt50]</w:t>
      </w:r>
    </w:p>
    <w:p w14:paraId="0C2D6A8C"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114 </w:t>
      </w:r>
      <w:r w:rsidRPr="00000DD3">
        <w:rPr>
          <w:rFonts w:ascii="Book Antiqua" w:hAnsi="Book Antiqua"/>
          <w:b/>
        </w:rPr>
        <w:t>Kahn D</w:t>
      </w:r>
      <w:r w:rsidRPr="00000DD3">
        <w:rPr>
          <w:rFonts w:ascii="Book Antiqua" w:hAnsi="Book Antiqua"/>
        </w:rPr>
        <w:t xml:space="preserve">, </w:t>
      </w:r>
      <w:proofErr w:type="spellStart"/>
      <w:r w:rsidRPr="00000DD3">
        <w:rPr>
          <w:rFonts w:ascii="Book Antiqua" w:hAnsi="Book Antiqua"/>
        </w:rPr>
        <w:t>Mittelstaedt</w:t>
      </w:r>
      <w:proofErr w:type="spellEnd"/>
      <w:r w:rsidRPr="00000DD3">
        <w:rPr>
          <w:rFonts w:ascii="Book Antiqua" w:hAnsi="Book Antiqua"/>
        </w:rPr>
        <w:t xml:space="preserve"> D, Matyas J, Qu X, Lee JH, </w:t>
      </w:r>
      <w:proofErr w:type="spellStart"/>
      <w:r w:rsidRPr="00000DD3">
        <w:rPr>
          <w:rFonts w:ascii="Book Antiqua" w:hAnsi="Book Antiqua"/>
        </w:rPr>
        <w:t>Badar</w:t>
      </w:r>
      <w:proofErr w:type="spellEnd"/>
      <w:r w:rsidRPr="00000DD3">
        <w:rPr>
          <w:rFonts w:ascii="Book Antiqua" w:hAnsi="Book Antiqua"/>
        </w:rPr>
        <w:t xml:space="preserve"> F, Les C, Zhuang Z, Xia Y. Meniscus Induced Cartilaginous Damage and Non-linear Gross Anatomical Progression of Early-stage Osteoarthritis in a Canine Model. </w:t>
      </w:r>
      <w:r w:rsidRPr="00000DD3">
        <w:rPr>
          <w:rFonts w:ascii="Book Antiqua" w:hAnsi="Book Antiqua"/>
          <w:i/>
        </w:rPr>
        <w:t xml:space="preserve">Open </w:t>
      </w:r>
      <w:proofErr w:type="spellStart"/>
      <w:r w:rsidRPr="00000DD3">
        <w:rPr>
          <w:rFonts w:ascii="Book Antiqua" w:hAnsi="Book Antiqua"/>
          <w:i/>
        </w:rPr>
        <w:t>Orthop</w:t>
      </w:r>
      <w:proofErr w:type="spellEnd"/>
      <w:r w:rsidRPr="00000DD3">
        <w:rPr>
          <w:rFonts w:ascii="Book Antiqua" w:hAnsi="Book Antiqua"/>
          <w:i/>
        </w:rPr>
        <w:t xml:space="preserve"> J</w:t>
      </w:r>
      <w:r w:rsidRPr="00000DD3">
        <w:rPr>
          <w:rFonts w:ascii="Book Antiqua" w:hAnsi="Book Antiqua"/>
        </w:rPr>
        <w:t xml:space="preserve"> 2016; </w:t>
      </w:r>
      <w:r w:rsidRPr="00000DD3">
        <w:rPr>
          <w:rFonts w:ascii="Book Antiqua" w:hAnsi="Book Antiqua"/>
          <w:b/>
        </w:rPr>
        <w:t>10</w:t>
      </w:r>
      <w:r w:rsidRPr="00000DD3">
        <w:rPr>
          <w:rFonts w:ascii="Book Antiqua" w:hAnsi="Book Antiqua"/>
        </w:rPr>
        <w:t>: 690-705 [PMID: 28144379 DOI: 10.2174/1874325001610010690]</w:t>
      </w:r>
    </w:p>
    <w:p w14:paraId="455D416B"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115 </w:t>
      </w:r>
      <w:proofErr w:type="spellStart"/>
      <w:r w:rsidRPr="00000DD3">
        <w:rPr>
          <w:rFonts w:ascii="Book Antiqua" w:hAnsi="Book Antiqua"/>
          <w:b/>
        </w:rPr>
        <w:t>Krier</w:t>
      </w:r>
      <w:proofErr w:type="spellEnd"/>
      <w:r w:rsidRPr="00000DD3">
        <w:rPr>
          <w:rFonts w:ascii="Book Antiqua" w:hAnsi="Book Antiqua"/>
          <w:b/>
        </w:rPr>
        <w:t xml:space="preserve"> EM</w:t>
      </w:r>
      <w:r w:rsidRPr="00000DD3">
        <w:rPr>
          <w:rFonts w:ascii="Book Antiqua" w:hAnsi="Book Antiqua"/>
        </w:rPr>
        <w:t xml:space="preserve">, Johnson TA, </w:t>
      </w:r>
      <w:proofErr w:type="spellStart"/>
      <w:r w:rsidRPr="00000DD3">
        <w:rPr>
          <w:rFonts w:ascii="Book Antiqua" w:hAnsi="Book Antiqua"/>
        </w:rPr>
        <w:t>Breiteneicher</w:t>
      </w:r>
      <w:proofErr w:type="spellEnd"/>
      <w:r w:rsidRPr="00000DD3">
        <w:rPr>
          <w:rFonts w:ascii="Book Antiqua" w:hAnsi="Book Antiqua"/>
        </w:rPr>
        <w:t xml:space="preserve"> AH, </w:t>
      </w:r>
      <w:proofErr w:type="spellStart"/>
      <w:r w:rsidRPr="00000DD3">
        <w:rPr>
          <w:rFonts w:ascii="Book Antiqua" w:hAnsi="Book Antiqua"/>
        </w:rPr>
        <w:t>Peycke</w:t>
      </w:r>
      <w:proofErr w:type="spellEnd"/>
      <w:r w:rsidRPr="00000DD3">
        <w:rPr>
          <w:rFonts w:ascii="Book Antiqua" w:hAnsi="Book Antiqua"/>
        </w:rPr>
        <w:t xml:space="preserve"> LE, Hulse DA. Articular cartilage lesions associated with complete lateral meniscal tears in the dog. </w:t>
      </w:r>
      <w:r w:rsidRPr="00000DD3">
        <w:rPr>
          <w:rFonts w:ascii="Book Antiqua" w:hAnsi="Book Antiqua"/>
          <w:i/>
        </w:rPr>
        <w:t>Vet Surg</w:t>
      </w:r>
      <w:r w:rsidRPr="00000DD3">
        <w:rPr>
          <w:rFonts w:ascii="Book Antiqua" w:hAnsi="Book Antiqua"/>
        </w:rPr>
        <w:t xml:space="preserve"> 2018; </w:t>
      </w:r>
      <w:r w:rsidRPr="00000DD3">
        <w:rPr>
          <w:rFonts w:ascii="Book Antiqua" w:hAnsi="Book Antiqua"/>
          <w:b/>
        </w:rPr>
        <w:t>47</w:t>
      </w:r>
      <w:r w:rsidRPr="00000DD3">
        <w:rPr>
          <w:rFonts w:ascii="Book Antiqua" w:hAnsi="Book Antiqua"/>
        </w:rPr>
        <w:t>: 958-962 [PMID: 30242858 DOI: 10.1111/vsu.12961]</w:t>
      </w:r>
    </w:p>
    <w:p w14:paraId="25A3876E"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116 </w:t>
      </w:r>
      <w:r w:rsidRPr="00000DD3">
        <w:rPr>
          <w:rFonts w:ascii="Book Antiqua" w:hAnsi="Book Antiqua"/>
          <w:b/>
        </w:rPr>
        <w:t>Hart HF</w:t>
      </w:r>
      <w:r w:rsidRPr="00000DD3">
        <w:rPr>
          <w:rFonts w:ascii="Book Antiqua" w:hAnsi="Book Antiqua"/>
        </w:rPr>
        <w:t xml:space="preserve">, Crossley KM, Felson D, </w:t>
      </w:r>
      <w:proofErr w:type="spellStart"/>
      <w:r w:rsidRPr="00000DD3">
        <w:rPr>
          <w:rFonts w:ascii="Book Antiqua" w:hAnsi="Book Antiqua"/>
        </w:rPr>
        <w:t>Jarraya</w:t>
      </w:r>
      <w:proofErr w:type="spellEnd"/>
      <w:r w:rsidRPr="00000DD3">
        <w:rPr>
          <w:rFonts w:ascii="Book Antiqua" w:hAnsi="Book Antiqua"/>
        </w:rPr>
        <w:t xml:space="preserve"> M, </w:t>
      </w:r>
      <w:proofErr w:type="spellStart"/>
      <w:r w:rsidRPr="00000DD3">
        <w:rPr>
          <w:rFonts w:ascii="Book Antiqua" w:hAnsi="Book Antiqua"/>
        </w:rPr>
        <w:t>Guermazi</w:t>
      </w:r>
      <w:proofErr w:type="spellEnd"/>
      <w:r w:rsidRPr="00000DD3">
        <w:rPr>
          <w:rFonts w:ascii="Book Antiqua" w:hAnsi="Book Antiqua"/>
        </w:rPr>
        <w:t xml:space="preserve"> A, Roemer F, Lewis CE, </w:t>
      </w:r>
      <w:proofErr w:type="spellStart"/>
      <w:r w:rsidRPr="00000DD3">
        <w:rPr>
          <w:rFonts w:ascii="Book Antiqua" w:hAnsi="Book Antiqua"/>
        </w:rPr>
        <w:t>Torner</w:t>
      </w:r>
      <w:proofErr w:type="spellEnd"/>
      <w:r w:rsidRPr="00000DD3">
        <w:rPr>
          <w:rFonts w:ascii="Book Antiqua" w:hAnsi="Book Antiqua"/>
        </w:rPr>
        <w:t xml:space="preserve"> J, Nevitt M, Stefanik JJ. Relation of meniscus pathology to prevalence and worsening of patellofemoral joint osteoarthritis: </w:t>
      </w:r>
      <w:proofErr w:type="gramStart"/>
      <w:r w:rsidRPr="00000DD3">
        <w:rPr>
          <w:rFonts w:ascii="Book Antiqua" w:hAnsi="Book Antiqua"/>
        </w:rPr>
        <w:t>the</w:t>
      </w:r>
      <w:proofErr w:type="gramEnd"/>
      <w:r w:rsidRPr="00000DD3">
        <w:rPr>
          <w:rFonts w:ascii="Book Antiqua" w:hAnsi="Book Antiqua"/>
        </w:rPr>
        <w:t xml:space="preserve"> Multicenter Osteoarthritis Study. </w:t>
      </w:r>
      <w:r w:rsidRPr="00000DD3">
        <w:rPr>
          <w:rFonts w:ascii="Book Antiqua" w:hAnsi="Book Antiqua"/>
          <w:i/>
        </w:rPr>
        <w:t>Osteoarthritis Cartilage</w:t>
      </w:r>
      <w:r w:rsidRPr="00000DD3">
        <w:rPr>
          <w:rFonts w:ascii="Book Antiqua" w:hAnsi="Book Antiqua"/>
        </w:rPr>
        <w:t xml:space="preserve"> 2018; </w:t>
      </w:r>
      <w:r w:rsidRPr="00000DD3">
        <w:rPr>
          <w:rFonts w:ascii="Book Antiqua" w:hAnsi="Book Antiqua"/>
          <w:b/>
        </w:rPr>
        <w:t>26</w:t>
      </w:r>
      <w:r w:rsidRPr="00000DD3">
        <w:rPr>
          <w:rFonts w:ascii="Book Antiqua" w:hAnsi="Book Antiqua"/>
        </w:rPr>
        <w:t>: 912-919 [PMID: 29427724 DOI: 10.1016/j.joca.2017.11.017]</w:t>
      </w:r>
    </w:p>
    <w:p w14:paraId="0D8F4D79"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117 </w:t>
      </w:r>
      <w:r w:rsidRPr="00000DD3">
        <w:rPr>
          <w:rFonts w:ascii="Book Antiqua" w:hAnsi="Book Antiqua"/>
          <w:b/>
        </w:rPr>
        <w:t>Katano H</w:t>
      </w:r>
      <w:r w:rsidRPr="00000DD3">
        <w:rPr>
          <w:rFonts w:ascii="Book Antiqua" w:hAnsi="Book Antiqua"/>
        </w:rPr>
        <w:t xml:space="preserve">, Koga H, Ozeki N, </w:t>
      </w:r>
      <w:proofErr w:type="spellStart"/>
      <w:r w:rsidRPr="00000DD3">
        <w:rPr>
          <w:rFonts w:ascii="Book Antiqua" w:hAnsi="Book Antiqua"/>
        </w:rPr>
        <w:t>Otabe</w:t>
      </w:r>
      <w:proofErr w:type="spellEnd"/>
      <w:r w:rsidRPr="00000DD3">
        <w:rPr>
          <w:rFonts w:ascii="Book Antiqua" w:hAnsi="Book Antiqua"/>
        </w:rPr>
        <w:t xml:space="preserve"> K, Mizuno M, Tomita M, </w:t>
      </w:r>
      <w:proofErr w:type="spellStart"/>
      <w:r w:rsidRPr="00000DD3">
        <w:rPr>
          <w:rFonts w:ascii="Book Antiqua" w:hAnsi="Book Antiqua"/>
        </w:rPr>
        <w:t>Muneta</w:t>
      </w:r>
      <w:proofErr w:type="spellEnd"/>
      <w:r w:rsidRPr="00000DD3">
        <w:rPr>
          <w:rFonts w:ascii="Book Antiqua" w:hAnsi="Book Antiqua"/>
        </w:rPr>
        <w:t xml:space="preserve"> T, Sekiya I. Trends in isolated meniscus repair and meniscectomy in Japan, 2011-2016. </w:t>
      </w:r>
      <w:r w:rsidRPr="00000DD3">
        <w:rPr>
          <w:rFonts w:ascii="Book Antiqua" w:hAnsi="Book Antiqua"/>
          <w:i/>
        </w:rPr>
        <w:t xml:space="preserve">J </w:t>
      </w:r>
      <w:proofErr w:type="spellStart"/>
      <w:r w:rsidRPr="00000DD3">
        <w:rPr>
          <w:rFonts w:ascii="Book Antiqua" w:hAnsi="Book Antiqua"/>
          <w:i/>
        </w:rPr>
        <w:t>Orthop</w:t>
      </w:r>
      <w:proofErr w:type="spellEnd"/>
      <w:r w:rsidRPr="00000DD3">
        <w:rPr>
          <w:rFonts w:ascii="Book Antiqua" w:hAnsi="Book Antiqua"/>
          <w:i/>
        </w:rPr>
        <w:t xml:space="preserve"> Sci</w:t>
      </w:r>
      <w:r w:rsidRPr="00000DD3">
        <w:rPr>
          <w:rFonts w:ascii="Book Antiqua" w:hAnsi="Book Antiqua"/>
        </w:rPr>
        <w:t xml:space="preserve"> 2018; </w:t>
      </w:r>
      <w:r w:rsidRPr="00000DD3">
        <w:rPr>
          <w:rFonts w:ascii="Book Antiqua" w:hAnsi="Book Antiqua"/>
          <w:b/>
        </w:rPr>
        <w:t>23</w:t>
      </w:r>
      <w:r w:rsidRPr="00000DD3">
        <w:rPr>
          <w:rFonts w:ascii="Book Antiqua" w:hAnsi="Book Antiqua"/>
        </w:rPr>
        <w:t>: 676-681 [PMID: 29724468 DOI: 10.1016/j.jos.2018.04.003]</w:t>
      </w:r>
    </w:p>
    <w:p w14:paraId="4D9BCB83"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118 </w:t>
      </w:r>
      <w:r w:rsidRPr="00000DD3">
        <w:rPr>
          <w:rFonts w:ascii="Book Antiqua" w:hAnsi="Book Antiqua"/>
          <w:b/>
        </w:rPr>
        <w:t>Sullivan MO</w:t>
      </w:r>
      <w:r w:rsidRPr="00000DD3">
        <w:rPr>
          <w:rFonts w:ascii="Book Antiqua" w:hAnsi="Book Antiqua"/>
        </w:rPr>
        <w:t xml:space="preserve">, Gordon-Evans WJ, Fredericks LP, Kiefer K, </w:t>
      </w:r>
      <w:proofErr w:type="spellStart"/>
      <w:r w:rsidRPr="00000DD3">
        <w:rPr>
          <w:rFonts w:ascii="Book Antiqua" w:hAnsi="Book Antiqua"/>
        </w:rPr>
        <w:t>Conzemius</w:t>
      </w:r>
      <w:proofErr w:type="spellEnd"/>
      <w:r w:rsidRPr="00000DD3">
        <w:rPr>
          <w:rFonts w:ascii="Book Antiqua" w:hAnsi="Book Antiqua"/>
        </w:rPr>
        <w:t xml:space="preserve"> MG, Griffon DJ. Comparison of Mesenchymal Stem Cell Surface Markers from Bone Marrow Aspirates and Adipose Stromal Vascular Fraction Sites. </w:t>
      </w:r>
      <w:r w:rsidRPr="00000DD3">
        <w:rPr>
          <w:rFonts w:ascii="Book Antiqua" w:hAnsi="Book Antiqua"/>
          <w:i/>
        </w:rPr>
        <w:t>Front Vet Sci</w:t>
      </w:r>
      <w:r w:rsidRPr="00000DD3">
        <w:rPr>
          <w:rFonts w:ascii="Book Antiqua" w:hAnsi="Book Antiqua"/>
        </w:rPr>
        <w:t xml:space="preserve"> 2016; </w:t>
      </w:r>
      <w:r w:rsidRPr="00000DD3">
        <w:rPr>
          <w:rFonts w:ascii="Book Antiqua" w:hAnsi="Book Antiqua"/>
          <w:b/>
        </w:rPr>
        <w:t>2</w:t>
      </w:r>
      <w:r w:rsidRPr="00000DD3">
        <w:rPr>
          <w:rFonts w:ascii="Book Antiqua" w:hAnsi="Book Antiqua"/>
        </w:rPr>
        <w:t>: 82 [PMID: 26835460 DOI: 10.3389/fvets.2015.00082]</w:t>
      </w:r>
    </w:p>
    <w:p w14:paraId="6CDB2F0A"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119 </w:t>
      </w:r>
      <w:proofErr w:type="spellStart"/>
      <w:r w:rsidRPr="00000DD3">
        <w:rPr>
          <w:rFonts w:ascii="Book Antiqua" w:hAnsi="Book Antiqua"/>
          <w:b/>
        </w:rPr>
        <w:t>Kamishina</w:t>
      </w:r>
      <w:proofErr w:type="spellEnd"/>
      <w:r w:rsidRPr="00000DD3">
        <w:rPr>
          <w:rFonts w:ascii="Book Antiqua" w:hAnsi="Book Antiqua"/>
          <w:b/>
        </w:rPr>
        <w:t xml:space="preserve"> H</w:t>
      </w:r>
      <w:r w:rsidRPr="00000DD3">
        <w:rPr>
          <w:rFonts w:ascii="Book Antiqua" w:hAnsi="Book Antiqua"/>
        </w:rPr>
        <w:t xml:space="preserve">, Deng J, Oji T, Cheeseman JA, Clemmons RM. Expression of neural markers on bone marrow-derived canine mesenchymal stem cells. </w:t>
      </w:r>
      <w:r w:rsidRPr="00000DD3">
        <w:rPr>
          <w:rFonts w:ascii="Book Antiqua" w:hAnsi="Book Antiqua"/>
          <w:i/>
        </w:rPr>
        <w:t>Am J Vet Res</w:t>
      </w:r>
      <w:r w:rsidRPr="00000DD3">
        <w:rPr>
          <w:rFonts w:ascii="Book Antiqua" w:hAnsi="Book Antiqua"/>
        </w:rPr>
        <w:t xml:space="preserve"> 2006; </w:t>
      </w:r>
      <w:r w:rsidRPr="00000DD3">
        <w:rPr>
          <w:rFonts w:ascii="Book Antiqua" w:hAnsi="Book Antiqua"/>
          <w:b/>
        </w:rPr>
        <w:t>67</w:t>
      </w:r>
      <w:r w:rsidRPr="00000DD3">
        <w:rPr>
          <w:rFonts w:ascii="Book Antiqua" w:hAnsi="Book Antiqua"/>
        </w:rPr>
        <w:t>: 1921-1928 [PMID: 17078756 DOI: 10.2460/ajvr.67.11.1921]</w:t>
      </w:r>
    </w:p>
    <w:p w14:paraId="2FA8734B"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120 </w:t>
      </w:r>
      <w:proofErr w:type="spellStart"/>
      <w:r w:rsidRPr="00000DD3">
        <w:rPr>
          <w:rFonts w:ascii="Book Antiqua" w:hAnsi="Book Antiqua"/>
          <w:b/>
        </w:rPr>
        <w:t>Hodgkiss-Geere</w:t>
      </w:r>
      <w:proofErr w:type="spellEnd"/>
      <w:r w:rsidRPr="00000DD3">
        <w:rPr>
          <w:rFonts w:ascii="Book Antiqua" w:hAnsi="Book Antiqua"/>
          <w:b/>
        </w:rPr>
        <w:t xml:space="preserve"> HM</w:t>
      </w:r>
      <w:r w:rsidRPr="00000DD3">
        <w:rPr>
          <w:rFonts w:ascii="Book Antiqua" w:hAnsi="Book Antiqua"/>
        </w:rPr>
        <w:t xml:space="preserve">, Argyle DJ, Corcoran BM, Whitelaw B, Milne E, Bennett D, Argyle SA. </w:t>
      </w:r>
      <w:proofErr w:type="spellStart"/>
      <w:r w:rsidRPr="00000DD3">
        <w:rPr>
          <w:rFonts w:ascii="Book Antiqua" w:hAnsi="Book Antiqua"/>
        </w:rPr>
        <w:t>Characterisation</w:t>
      </w:r>
      <w:proofErr w:type="spellEnd"/>
      <w:r w:rsidRPr="00000DD3">
        <w:rPr>
          <w:rFonts w:ascii="Book Antiqua" w:hAnsi="Book Antiqua"/>
        </w:rPr>
        <w:t xml:space="preserve"> and differentiation potential of bone marrow derived canine mesenchymal stem cells. </w:t>
      </w:r>
      <w:r w:rsidRPr="00000DD3">
        <w:rPr>
          <w:rFonts w:ascii="Book Antiqua" w:hAnsi="Book Antiqua"/>
          <w:i/>
        </w:rPr>
        <w:t>Vet J</w:t>
      </w:r>
      <w:r w:rsidRPr="00000DD3">
        <w:rPr>
          <w:rFonts w:ascii="Book Antiqua" w:hAnsi="Book Antiqua"/>
        </w:rPr>
        <w:t xml:space="preserve"> 2012; </w:t>
      </w:r>
      <w:r w:rsidRPr="00000DD3">
        <w:rPr>
          <w:rFonts w:ascii="Book Antiqua" w:hAnsi="Book Antiqua"/>
          <w:b/>
        </w:rPr>
        <w:t>194</w:t>
      </w:r>
      <w:r w:rsidRPr="00000DD3">
        <w:rPr>
          <w:rFonts w:ascii="Book Antiqua" w:hAnsi="Book Antiqua"/>
        </w:rPr>
        <w:t>: 361-368 [PMID: 22721628 DOI: 10.1016/j.tvjl.2012.05.011]</w:t>
      </w:r>
    </w:p>
    <w:p w14:paraId="6C5BC402"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121 </w:t>
      </w:r>
      <w:r w:rsidRPr="00000DD3">
        <w:rPr>
          <w:rFonts w:ascii="Book Antiqua" w:hAnsi="Book Antiqua"/>
          <w:b/>
        </w:rPr>
        <w:t>Black LL</w:t>
      </w:r>
      <w:r w:rsidRPr="00000DD3">
        <w:rPr>
          <w:rFonts w:ascii="Book Antiqua" w:hAnsi="Book Antiqua"/>
        </w:rPr>
        <w:t xml:space="preserve">, Gaynor J, </w:t>
      </w:r>
      <w:proofErr w:type="spellStart"/>
      <w:r w:rsidRPr="00000DD3">
        <w:rPr>
          <w:rFonts w:ascii="Book Antiqua" w:hAnsi="Book Antiqua"/>
        </w:rPr>
        <w:t>Gahring</w:t>
      </w:r>
      <w:proofErr w:type="spellEnd"/>
      <w:r w:rsidRPr="00000DD3">
        <w:rPr>
          <w:rFonts w:ascii="Book Antiqua" w:hAnsi="Book Antiqua"/>
        </w:rPr>
        <w:t xml:space="preserve"> D, Adams C, Aron D, Harman S, Gingerich DA, Harman R. Effect of adipose-derived mesenchymal stem and regenerative cells on lameness in dogs with chronic osteoarthritis of the </w:t>
      </w:r>
      <w:proofErr w:type="spellStart"/>
      <w:r w:rsidRPr="00000DD3">
        <w:rPr>
          <w:rFonts w:ascii="Book Antiqua" w:hAnsi="Book Antiqua"/>
        </w:rPr>
        <w:t>coxofemoral</w:t>
      </w:r>
      <w:proofErr w:type="spellEnd"/>
      <w:r w:rsidRPr="00000DD3">
        <w:rPr>
          <w:rFonts w:ascii="Book Antiqua" w:hAnsi="Book Antiqua"/>
        </w:rPr>
        <w:t xml:space="preserve"> joints: a randomized, double-blinded, multicenter, controlled trial. </w:t>
      </w:r>
      <w:r w:rsidRPr="00000DD3">
        <w:rPr>
          <w:rFonts w:ascii="Book Antiqua" w:hAnsi="Book Antiqua"/>
          <w:i/>
        </w:rPr>
        <w:t xml:space="preserve">Vet </w:t>
      </w:r>
      <w:proofErr w:type="spellStart"/>
      <w:r w:rsidRPr="00000DD3">
        <w:rPr>
          <w:rFonts w:ascii="Book Antiqua" w:hAnsi="Book Antiqua"/>
          <w:i/>
        </w:rPr>
        <w:t>Ther</w:t>
      </w:r>
      <w:proofErr w:type="spellEnd"/>
      <w:r w:rsidRPr="00000DD3">
        <w:rPr>
          <w:rFonts w:ascii="Book Antiqua" w:hAnsi="Book Antiqua"/>
        </w:rPr>
        <w:t xml:space="preserve"> 2007; </w:t>
      </w:r>
      <w:r w:rsidRPr="00000DD3">
        <w:rPr>
          <w:rFonts w:ascii="Book Antiqua" w:hAnsi="Book Antiqua"/>
          <w:b/>
        </w:rPr>
        <w:t>8</w:t>
      </w:r>
      <w:r w:rsidRPr="00000DD3">
        <w:rPr>
          <w:rFonts w:ascii="Book Antiqua" w:hAnsi="Book Antiqua"/>
        </w:rPr>
        <w:t>: 272-284 [PMID: 18183546 DOI: 10.1111/j.1532-950X.</w:t>
      </w:r>
      <w:proofErr w:type="gramStart"/>
      <w:r w:rsidRPr="00000DD3">
        <w:rPr>
          <w:rFonts w:ascii="Book Antiqua" w:hAnsi="Book Antiqua"/>
        </w:rPr>
        <w:t>2007.00340.x</w:t>
      </w:r>
      <w:proofErr w:type="gramEnd"/>
      <w:r w:rsidRPr="00000DD3">
        <w:rPr>
          <w:rFonts w:ascii="Book Antiqua" w:hAnsi="Book Antiqua"/>
        </w:rPr>
        <w:t>]</w:t>
      </w:r>
    </w:p>
    <w:p w14:paraId="177B70AC"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122 </w:t>
      </w:r>
      <w:r w:rsidRPr="00000DD3">
        <w:rPr>
          <w:rFonts w:ascii="Book Antiqua" w:hAnsi="Book Antiqua"/>
          <w:b/>
        </w:rPr>
        <w:t>Cuervo B</w:t>
      </w:r>
      <w:r w:rsidRPr="00000DD3">
        <w:rPr>
          <w:rFonts w:ascii="Book Antiqua" w:hAnsi="Book Antiqua"/>
        </w:rPr>
        <w:t xml:space="preserve">, Rubio M, </w:t>
      </w:r>
      <w:proofErr w:type="spellStart"/>
      <w:r w:rsidRPr="00000DD3">
        <w:rPr>
          <w:rFonts w:ascii="Book Antiqua" w:hAnsi="Book Antiqua"/>
        </w:rPr>
        <w:t>Sopena</w:t>
      </w:r>
      <w:proofErr w:type="spellEnd"/>
      <w:r w:rsidRPr="00000DD3">
        <w:rPr>
          <w:rFonts w:ascii="Book Antiqua" w:hAnsi="Book Antiqua"/>
        </w:rPr>
        <w:t xml:space="preserve"> J, Dominguez JM, </w:t>
      </w:r>
      <w:proofErr w:type="spellStart"/>
      <w:r w:rsidRPr="00000DD3">
        <w:rPr>
          <w:rFonts w:ascii="Book Antiqua" w:hAnsi="Book Antiqua"/>
        </w:rPr>
        <w:t>Vilar</w:t>
      </w:r>
      <w:proofErr w:type="spellEnd"/>
      <w:r w:rsidRPr="00000DD3">
        <w:rPr>
          <w:rFonts w:ascii="Book Antiqua" w:hAnsi="Book Antiqua"/>
        </w:rPr>
        <w:t xml:space="preserve"> J, Morales M, </w:t>
      </w:r>
      <w:proofErr w:type="spellStart"/>
      <w:r w:rsidRPr="00000DD3">
        <w:rPr>
          <w:rFonts w:ascii="Book Antiqua" w:hAnsi="Book Antiqua"/>
        </w:rPr>
        <w:t>Cugat</w:t>
      </w:r>
      <w:proofErr w:type="spellEnd"/>
      <w:r w:rsidRPr="00000DD3">
        <w:rPr>
          <w:rFonts w:ascii="Book Antiqua" w:hAnsi="Book Antiqua"/>
        </w:rPr>
        <w:t xml:space="preserve"> R, Carrillo JM. Hip osteoarthritis in dogs: a randomized study using mesenchymal stem cells from adipose tissue and plasma rich in growth factors. </w:t>
      </w:r>
      <w:r w:rsidRPr="00000DD3">
        <w:rPr>
          <w:rFonts w:ascii="Book Antiqua" w:hAnsi="Book Antiqua"/>
          <w:i/>
        </w:rPr>
        <w:t>Int J Mol Sci</w:t>
      </w:r>
      <w:r w:rsidRPr="00000DD3">
        <w:rPr>
          <w:rFonts w:ascii="Book Antiqua" w:hAnsi="Book Antiqua"/>
        </w:rPr>
        <w:t xml:space="preserve"> 2014; </w:t>
      </w:r>
      <w:r w:rsidRPr="00000DD3">
        <w:rPr>
          <w:rFonts w:ascii="Book Antiqua" w:hAnsi="Book Antiqua"/>
          <w:b/>
        </w:rPr>
        <w:t>15</w:t>
      </w:r>
      <w:r w:rsidRPr="00000DD3">
        <w:rPr>
          <w:rFonts w:ascii="Book Antiqua" w:hAnsi="Book Antiqua"/>
        </w:rPr>
        <w:t>: 13437-13460 [PMID: 25089877 DOI: 10.3390/ijms150813437]</w:t>
      </w:r>
    </w:p>
    <w:p w14:paraId="759E3858"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123 </w:t>
      </w:r>
      <w:r w:rsidRPr="00000DD3">
        <w:rPr>
          <w:rFonts w:ascii="Book Antiqua" w:hAnsi="Book Antiqua"/>
          <w:b/>
        </w:rPr>
        <w:t>Harman R</w:t>
      </w:r>
      <w:r w:rsidRPr="00000DD3">
        <w:rPr>
          <w:rFonts w:ascii="Book Antiqua" w:hAnsi="Book Antiqua"/>
        </w:rPr>
        <w:t xml:space="preserve">, Carlson K, Gaynor J, Gustafson S, </w:t>
      </w:r>
      <w:proofErr w:type="spellStart"/>
      <w:r w:rsidRPr="00000DD3">
        <w:rPr>
          <w:rFonts w:ascii="Book Antiqua" w:hAnsi="Book Antiqua"/>
        </w:rPr>
        <w:t>Dhupa</w:t>
      </w:r>
      <w:proofErr w:type="spellEnd"/>
      <w:r w:rsidRPr="00000DD3">
        <w:rPr>
          <w:rFonts w:ascii="Book Antiqua" w:hAnsi="Book Antiqua"/>
        </w:rPr>
        <w:t xml:space="preserve"> S, Clement K, </w:t>
      </w:r>
      <w:proofErr w:type="spellStart"/>
      <w:r w:rsidRPr="00000DD3">
        <w:rPr>
          <w:rFonts w:ascii="Book Antiqua" w:hAnsi="Book Antiqua"/>
        </w:rPr>
        <w:t>Hoelzler</w:t>
      </w:r>
      <w:proofErr w:type="spellEnd"/>
      <w:r w:rsidRPr="00000DD3">
        <w:rPr>
          <w:rFonts w:ascii="Book Antiqua" w:hAnsi="Book Antiqua"/>
        </w:rPr>
        <w:t xml:space="preserve"> M, McCarthy T, Schwartz P, Adams C. A Prospective, Randomized, Masked, and Placebo-Controlled Efficacy Study of Intraarticular Allogeneic Adipose Stem Cells for the Treatment of Osteoarthritis in Dogs. </w:t>
      </w:r>
      <w:r w:rsidRPr="00000DD3">
        <w:rPr>
          <w:rFonts w:ascii="Book Antiqua" w:hAnsi="Book Antiqua"/>
          <w:i/>
        </w:rPr>
        <w:t>Front Vet Sci</w:t>
      </w:r>
      <w:r w:rsidRPr="00000DD3">
        <w:rPr>
          <w:rFonts w:ascii="Book Antiqua" w:hAnsi="Book Antiqua"/>
        </w:rPr>
        <w:t xml:space="preserve"> 2016; </w:t>
      </w:r>
      <w:r w:rsidRPr="00000DD3">
        <w:rPr>
          <w:rFonts w:ascii="Book Antiqua" w:hAnsi="Book Antiqua"/>
          <w:b/>
        </w:rPr>
        <w:t>3</w:t>
      </w:r>
      <w:r w:rsidRPr="00000DD3">
        <w:rPr>
          <w:rFonts w:ascii="Book Antiqua" w:hAnsi="Book Antiqua"/>
        </w:rPr>
        <w:t>: 81 [PMID: 27695698 DOI: 10.3389/fvets.2016.00081]</w:t>
      </w:r>
    </w:p>
    <w:p w14:paraId="51E47B35" w14:textId="77777777" w:rsidR="008D78C7" w:rsidRPr="00000DD3" w:rsidRDefault="008D78C7" w:rsidP="008D78C7">
      <w:pPr>
        <w:spacing w:line="360" w:lineRule="auto"/>
        <w:jc w:val="both"/>
        <w:rPr>
          <w:rFonts w:ascii="Book Antiqua" w:hAnsi="Book Antiqua"/>
        </w:rPr>
      </w:pPr>
      <w:r w:rsidRPr="00000DD3">
        <w:rPr>
          <w:rFonts w:ascii="Book Antiqua" w:hAnsi="Book Antiqua"/>
        </w:rPr>
        <w:t xml:space="preserve">124 </w:t>
      </w:r>
      <w:r w:rsidRPr="00000DD3">
        <w:rPr>
          <w:rFonts w:ascii="Book Antiqua" w:hAnsi="Book Antiqua"/>
          <w:b/>
        </w:rPr>
        <w:t>Shah K</w:t>
      </w:r>
      <w:r w:rsidRPr="00000DD3">
        <w:rPr>
          <w:rFonts w:ascii="Book Antiqua" w:hAnsi="Book Antiqua"/>
        </w:rPr>
        <w:t xml:space="preserve">, Drury T, </w:t>
      </w:r>
      <w:proofErr w:type="spellStart"/>
      <w:r w:rsidRPr="00000DD3">
        <w:rPr>
          <w:rFonts w:ascii="Book Antiqua" w:hAnsi="Book Antiqua"/>
        </w:rPr>
        <w:t>Roic</w:t>
      </w:r>
      <w:proofErr w:type="spellEnd"/>
      <w:r w:rsidRPr="00000DD3">
        <w:rPr>
          <w:rFonts w:ascii="Book Antiqua" w:hAnsi="Book Antiqua"/>
        </w:rPr>
        <w:t xml:space="preserve"> I, Hansen P, </w:t>
      </w:r>
      <w:proofErr w:type="spellStart"/>
      <w:r w:rsidRPr="00000DD3">
        <w:rPr>
          <w:rFonts w:ascii="Book Antiqua" w:hAnsi="Book Antiqua"/>
        </w:rPr>
        <w:t>Malin</w:t>
      </w:r>
      <w:proofErr w:type="spellEnd"/>
      <w:r w:rsidRPr="00000DD3">
        <w:rPr>
          <w:rFonts w:ascii="Book Antiqua" w:hAnsi="Book Antiqua"/>
        </w:rPr>
        <w:t xml:space="preserve"> M, Boyd R, Sumer H, Ferguson R. Outcome of Allogeneic Adult Stem Cell Therapy in Dogs Suffering from Osteoarthritis and Other Joint Defects. </w:t>
      </w:r>
      <w:r w:rsidRPr="00000DD3">
        <w:rPr>
          <w:rFonts w:ascii="Book Antiqua" w:hAnsi="Book Antiqua"/>
          <w:i/>
        </w:rPr>
        <w:t>Stem Cells Int</w:t>
      </w:r>
      <w:r w:rsidRPr="00000DD3">
        <w:rPr>
          <w:rFonts w:ascii="Book Antiqua" w:hAnsi="Book Antiqua"/>
        </w:rPr>
        <w:t xml:space="preserve"> 2018; </w:t>
      </w:r>
      <w:r w:rsidRPr="00000DD3">
        <w:rPr>
          <w:rFonts w:ascii="Book Antiqua" w:hAnsi="Book Antiqua"/>
          <w:b/>
        </w:rPr>
        <w:t>2018</w:t>
      </w:r>
      <w:r w:rsidRPr="00000DD3">
        <w:rPr>
          <w:rFonts w:ascii="Book Antiqua" w:hAnsi="Book Antiqua"/>
        </w:rPr>
        <w:t>: 7309201 [PMID: 30050578 DOI: 10.1155/2018/7309201]</w:t>
      </w:r>
    </w:p>
    <w:p w14:paraId="0E2DC5F7" w14:textId="77777777" w:rsidR="00116D17" w:rsidRPr="00000DD3" w:rsidRDefault="00116D17" w:rsidP="008D78C7">
      <w:pPr>
        <w:autoSpaceDE w:val="0"/>
        <w:autoSpaceDN w:val="0"/>
        <w:adjustRightInd w:val="0"/>
        <w:spacing w:line="360" w:lineRule="auto"/>
        <w:jc w:val="both"/>
        <w:rPr>
          <w:rFonts w:ascii="Book Antiqua" w:eastAsia="黑体" w:hAnsi="Book Antiqua" w:cstheme="minorHAnsi"/>
          <w:noProof/>
          <w:lang w:eastAsia="zh-CN"/>
        </w:rPr>
      </w:pPr>
    </w:p>
    <w:p w14:paraId="076CB11A" w14:textId="728DC9B3" w:rsidR="00116D17" w:rsidRPr="00A80B31" w:rsidRDefault="00116D17" w:rsidP="00A80B31">
      <w:pPr>
        <w:pStyle w:val="af7"/>
        <w:wordWrap w:val="0"/>
        <w:spacing w:line="360" w:lineRule="auto"/>
        <w:jc w:val="right"/>
        <w:rPr>
          <w:rFonts w:ascii="Book Antiqua" w:hAnsi="Book Antiqua"/>
          <w:sz w:val="24"/>
          <w:szCs w:val="24"/>
        </w:rPr>
      </w:pPr>
      <w:r w:rsidRPr="00000DD3">
        <w:rPr>
          <w:rFonts w:ascii="Book Antiqua" w:hAnsi="Book Antiqua"/>
          <w:b/>
          <w:sz w:val="24"/>
          <w:szCs w:val="24"/>
        </w:rPr>
        <w:t xml:space="preserve">P-Reviewer: </w:t>
      </w:r>
      <w:proofErr w:type="spellStart"/>
      <w:r w:rsidR="00A630C5" w:rsidRPr="00000DD3">
        <w:rPr>
          <w:rFonts w:ascii="Book Antiqua" w:hAnsi="Book Antiqua"/>
          <w:color w:val="000000"/>
          <w:sz w:val="24"/>
          <w:szCs w:val="24"/>
        </w:rPr>
        <w:t>Bolshakova</w:t>
      </w:r>
      <w:proofErr w:type="spellEnd"/>
      <w:r w:rsidR="00A630C5" w:rsidRPr="00000DD3">
        <w:rPr>
          <w:rFonts w:ascii="Book Antiqua" w:hAnsi="Book Antiqua"/>
          <w:color w:val="000000"/>
          <w:sz w:val="24"/>
          <w:szCs w:val="24"/>
        </w:rPr>
        <w:t xml:space="preserve"> GB, Ding J </w:t>
      </w:r>
      <w:r w:rsidRPr="00000DD3">
        <w:rPr>
          <w:rFonts w:ascii="Book Antiqua" w:hAnsi="Book Antiqua"/>
          <w:b/>
          <w:sz w:val="24"/>
          <w:szCs w:val="24"/>
        </w:rPr>
        <w:t xml:space="preserve">S-Editor: </w:t>
      </w:r>
      <w:r w:rsidRPr="00000DD3">
        <w:rPr>
          <w:rFonts w:ascii="Book Antiqua" w:hAnsi="Book Antiqua"/>
          <w:sz w:val="24"/>
          <w:szCs w:val="24"/>
        </w:rPr>
        <w:t>Ji FF</w:t>
      </w:r>
      <w:r w:rsidRPr="00000DD3">
        <w:rPr>
          <w:rFonts w:ascii="Book Antiqua" w:hAnsi="Book Antiqua"/>
          <w:b/>
          <w:sz w:val="24"/>
          <w:szCs w:val="24"/>
        </w:rPr>
        <w:t xml:space="preserve"> L-Editor: </w:t>
      </w:r>
      <w:r w:rsidR="00A80B31">
        <w:rPr>
          <w:rFonts w:ascii="Book Antiqua" w:hAnsi="Book Antiqua"/>
          <w:sz w:val="24"/>
          <w:szCs w:val="24"/>
        </w:rPr>
        <w:t xml:space="preserve">A </w:t>
      </w:r>
      <w:r w:rsidRPr="00000DD3">
        <w:rPr>
          <w:rFonts w:ascii="Book Antiqua" w:hAnsi="Book Antiqua"/>
          <w:b/>
          <w:sz w:val="24"/>
          <w:szCs w:val="24"/>
        </w:rPr>
        <w:t xml:space="preserve">E-Editor: </w:t>
      </w:r>
      <w:r w:rsidR="00A80B31">
        <w:rPr>
          <w:rFonts w:ascii="Book Antiqua" w:hAnsi="Book Antiqua"/>
          <w:sz w:val="24"/>
          <w:szCs w:val="24"/>
        </w:rPr>
        <w:t>Wu YXJ</w:t>
      </w:r>
      <w:bookmarkStart w:id="0" w:name="_GoBack"/>
      <w:bookmarkEnd w:id="0"/>
    </w:p>
    <w:p w14:paraId="6FD2F966" w14:textId="77777777" w:rsidR="00116D17" w:rsidRPr="00000DD3" w:rsidRDefault="00116D17" w:rsidP="008D78C7">
      <w:pPr>
        <w:pStyle w:val="af7"/>
        <w:spacing w:line="360" w:lineRule="auto"/>
        <w:rPr>
          <w:rFonts w:ascii="Book Antiqua" w:hAnsi="Book Antiqua"/>
          <w:b/>
          <w:sz w:val="24"/>
          <w:szCs w:val="24"/>
        </w:rPr>
      </w:pPr>
      <w:r w:rsidRPr="00000DD3">
        <w:rPr>
          <w:rFonts w:ascii="Book Antiqua" w:hAnsi="Book Antiqua"/>
          <w:b/>
          <w:sz w:val="24"/>
          <w:szCs w:val="24"/>
        </w:rPr>
        <w:t xml:space="preserve"> </w:t>
      </w:r>
    </w:p>
    <w:p w14:paraId="0BB6BEC9" w14:textId="00857D62" w:rsidR="00116D17" w:rsidRPr="00000DD3" w:rsidRDefault="00116D17" w:rsidP="008D78C7">
      <w:pPr>
        <w:snapToGrid w:val="0"/>
        <w:spacing w:line="360" w:lineRule="auto"/>
        <w:jc w:val="both"/>
        <w:rPr>
          <w:rFonts w:ascii="Book Antiqua" w:eastAsia="宋体" w:hAnsi="Book Antiqua" w:cs="Helvetica"/>
          <w:b/>
        </w:rPr>
      </w:pPr>
      <w:r w:rsidRPr="00000DD3">
        <w:rPr>
          <w:rFonts w:ascii="Book Antiqua" w:eastAsia="宋体" w:hAnsi="Book Antiqua" w:cs="Helvetica"/>
          <w:b/>
        </w:rPr>
        <w:t xml:space="preserve">Specialty type: </w:t>
      </w:r>
      <w:r w:rsidR="00A630C5" w:rsidRPr="00000DD3">
        <w:rPr>
          <w:rFonts w:ascii="Book Antiqua" w:eastAsia="微软雅黑" w:hAnsi="Book Antiqua" w:cs="宋体"/>
        </w:rPr>
        <w:t>Cell and tissue engineering</w:t>
      </w:r>
    </w:p>
    <w:p w14:paraId="7CC1DAE4" w14:textId="5CF5D39D" w:rsidR="00116D17" w:rsidRPr="00000DD3" w:rsidRDefault="00116D17" w:rsidP="008D78C7">
      <w:pPr>
        <w:snapToGrid w:val="0"/>
        <w:spacing w:line="360" w:lineRule="auto"/>
        <w:jc w:val="both"/>
        <w:rPr>
          <w:rFonts w:ascii="Book Antiqua" w:eastAsia="宋体" w:hAnsi="Book Antiqua" w:cs="Helvetica"/>
          <w:b/>
        </w:rPr>
      </w:pPr>
      <w:r w:rsidRPr="00000DD3">
        <w:rPr>
          <w:rFonts w:ascii="Book Antiqua" w:eastAsia="宋体" w:hAnsi="Book Antiqua" w:cs="Helvetica"/>
          <w:b/>
        </w:rPr>
        <w:t xml:space="preserve">Country of origin: </w:t>
      </w:r>
      <w:r w:rsidR="00A630C5" w:rsidRPr="00000DD3">
        <w:rPr>
          <w:rFonts w:ascii="Book Antiqua" w:eastAsia="宋体" w:hAnsi="Book Antiqua"/>
        </w:rPr>
        <w:t>Japan</w:t>
      </w:r>
    </w:p>
    <w:p w14:paraId="33F74DAC" w14:textId="77777777" w:rsidR="00116D17" w:rsidRPr="00000DD3" w:rsidRDefault="00116D17" w:rsidP="008D78C7">
      <w:pPr>
        <w:snapToGrid w:val="0"/>
        <w:spacing w:line="360" w:lineRule="auto"/>
        <w:jc w:val="both"/>
        <w:rPr>
          <w:rFonts w:ascii="Book Antiqua" w:eastAsia="宋体" w:hAnsi="Book Antiqua" w:cs="Helvetica"/>
          <w:b/>
        </w:rPr>
      </w:pPr>
      <w:r w:rsidRPr="00000DD3">
        <w:rPr>
          <w:rFonts w:ascii="Book Antiqua" w:eastAsia="宋体" w:hAnsi="Book Antiqua" w:cs="Helvetica"/>
          <w:b/>
        </w:rPr>
        <w:t>Peer-review report classification</w:t>
      </w:r>
    </w:p>
    <w:p w14:paraId="316B883E" w14:textId="77777777" w:rsidR="00116D17" w:rsidRPr="00000DD3" w:rsidRDefault="00116D17" w:rsidP="008D78C7">
      <w:pPr>
        <w:snapToGrid w:val="0"/>
        <w:spacing w:line="360" w:lineRule="auto"/>
        <w:jc w:val="both"/>
        <w:rPr>
          <w:rFonts w:ascii="Book Antiqua" w:eastAsia="宋体" w:hAnsi="Book Antiqua" w:cs="Helvetica"/>
        </w:rPr>
      </w:pPr>
      <w:r w:rsidRPr="00000DD3">
        <w:rPr>
          <w:rFonts w:ascii="Book Antiqua" w:eastAsia="宋体" w:hAnsi="Book Antiqua" w:cs="Helvetica"/>
        </w:rPr>
        <w:t>Grade A (Excellent): A</w:t>
      </w:r>
    </w:p>
    <w:p w14:paraId="05567450" w14:textId="45326541" w:rsidR="00116D17" w:rsidRPr="00000DD3" w:rsidRDefault="00116D17" w:rsidP="008D78C7">
      <w:pPr>
        <w:snapToGrid w:val="0"/>
        <w:spacing w:line="360" w:lineRule="auto"/>
        <w:jc w:val="both"/>
        <w:rPr>
          <w:rFonts w:ascii="Book Antiqua" w:eastAsia="宋体" w:hAnsi="Book Antiqua" w:cs="Helvetica"/>
          <w:lang w:eastAsia="zh-CN"/>
        </w:rPr>
      </w:pPr>
      <w:r w:rsidRPr="00000DD3">
        <w:rPr>
          <w:rFonts w:ascii="Book Antiqua" w:eastAsia="宋体" w:hAnsi="Book Antiqua" w:cs="Helvetica"/>
        </w:rPr>
        <w:t xml:space="preserve">Grade B (Very good): </w:t>
      </w:r>
      <w:r w:rsidR="00A630C5" w:rsidRPr="00000DD3">
        <w:rPr>
          <w:rFonts w:ascii="Book Antiqua" w:eastAsia="宋体" w:hAnsi="Book Antiqua" w:cs="Helvetica"/>
          <w:lang w:eastAsia="zh-CN"/>
        </w:rPr>
        <w:t>0</w:t>
      </w:r>
    </w:p>
    <w:p w14:paraId="60B8E6F8" w14:textId="77777777" w:rsidR="00116D17" w:rsidRPr="00000DD3" w:rsidRDefault="00116D17" w:rsidP="008D78C7">
      <w:pPr>
        <w:snapToGrid w:val="0"/>
        <w:spacing w:line="360" w:lineRule="auto"/>
        <w:jc w:val="both"/>
        <w:rPr>
          <w:rFonts w:ascii="Book Antiqua" w:eastAsia="宋体" w:hAnsi="Book Antiqua" w:cs="Helvetica"/>
        </w:rPr>
      </w:pPr>
      <w:r w:rsidRPr="00000DD3">
        <w:rPr>
          <w:rFonts w:ascii="Book Antiqua" w:eastAsia="宋体" w:hAnsi="Book Antiqua" w:cs="Helvetica"/>
        </w:rPr>
        <w:t>Grade C (Good): C</w:t>
      </w:r>
    </w:p>
    <w:p w14:paraId="3081A3FE" w14:textId="77777777" w:rsidR="00116D17" w:rsidRPr="00000DD3" w:rsidRDefault="00116D17" w:rsidP="008D78C7">
      <w:pPr>
        <w:snapToGrid w:val="0"/>
        <w:spacing w:line="360" w:lineRule="auto"/>
        <w:jc w:val="both"/>
        <w:rPr>
          <w:rFonts w:ascii="Book Antiqua" w:eastAsia="宋体" w:hAnsi="Book Antiqua" w:cs="Helvetica"/>
        </w:rPr>
      </w:pPr>
      <w:r w:rsidRPr="00000DD3">
        <w:rPr>
          <w:rFonts w:ascii="Book Antiqua" w:eastAsia="宋体" w:hAnsi="Book Antiqua" w:cs="Helvetica"/>
        </w:rPr>
        <w:t xml:space="preserve">Grade D (Fair): 0 </w:t>
      </w:r>
    </w:p>
    <w:p w14:paraId="0D103B66" w14:textId="787D1053" w:rsidR="00116D17" w:rsidRPr="00000DD3" w:rsidRDefault="00116D17" w:rsidP="008D78C7">
      <w:pPr>
        <w:autoSpaceDE w:val="0"/>
        <w:autoSpaceDN w:val="0"/>
        <w:adjustRightInd w:val="0"/>
        <w:spacing w:line="360" w:lineRule="auto"/>
        <w:jc w:val="both"/>
        <w:rPr>
          <w:rFonts w:ascii="Book Antiqua" w:eastAsia="黑体" w:hAnsi="Book Antiqua" w:cstheme="minorHAnsi"/>
          <w:noProof/>
          <w:lang w:eastAsia="zh-CN"/>
        </w:rPr>
      </w:pPr>
      <w:r w:rsidRPr="00000DD3">
        <w:rPr>
          <w:rFonts w:ascii="Book Antiqua" w:eastAsia="宋体" w:hAnsi="Book Antiqua" w:cs="Helvetica"/>
        </w:rPr>
        <w:t>Grade E (Poor): 0</w:t>
      </w:r>
    </w:p>
    <w:p w14:paraId="522C7641" w14:textId="77777777" w:rsidR="00AE190A" w:rsidRPr="00000DD3" w:rsidRDefault="00AE190A" w:rsidP="008D78C7">
      <w:pPr>
        <w:spacing w:line="360" w:lineRule="auto"/>
        <w:jc w:val="both"/>
        <w:rPr>
          <w:rFonts w:ascii="Book Antiqua" w:hAnsi="Book Antiqua" w:cstheme="minorHAnsi"/>
          <w:noProof/>
        </w:rPr>
      </w:pPr>
      <w:r w:rsidRPr="00000DD3">
        <w:rPr>
          <w:rFonts w:ascii="Book Antiqua" w:hAnsi="Book Antiqua" w:cstheme="minorHAnsi"/>
          <w:noProof/>
        </w:rPr>
        <w:br w:type="page"/>
      </w:r>
    </w:p>
    <w:p w14:paraId="3B457005" w14:textId="41565E1B" w:rsidR="006F0BBD" w:rsidRPr="00000DD3" w:rsidRDefault="00AE190A" w:rsidP="00874B98">
      <w:pPr>
        <w:autoSpaceDE w:val="0"/>
        <w:autoSpaceDN w:val="0"/>
        <w:adjustRightInd w:val="0"/>
        <w:spacing w:line="360" w:lineRule="auto"/>
        <w:jc w:val="both"/>
        <w:rPr>
          <w:rFonts w:ascii="Book Antiqua" w:hAnsi="Book Antiqua" w:cstheme="minorHAnsi"/>
          <w:noProof/>
        </w:rPr>
      </w:pPr>
      <w:r w:rsidRPr="00000DD3">
        <w:rPr>
          <w:rFonts w:ascii="Book Antiqua" w:eastAsiaTheme="minorEastAsia" w:hAnsi="Book Antiqua" w:cstheme="minorBidi"/>
          <w:b/>
          <w:bCs/>
          <w:noProof/>
          <w:kern w:val="24"/>
          <w:lang w:eastAsia="zh-CN"/>
        </w:rPr>
        <w:drawing>
          <wp:inline distT="0" distB="0" distL="0" distR="0" wp14:anchorId="2965085A" wp14:editId="479D96FC">
            <wp:extent cx="5396230" cy="3036570"/>
            <wp:effectExtent l="0" t="0" r="127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me0327.tif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96230" cy="3036570"/>
                    </a:xfrm>
                    <a:prstGeom prst="rect">
                      <a:avLst/>
                    </a:prstGeom>
                  </pic:spPr>
                </pic:pic>
              </a:graphicData>
            </a:graphic>
          </wp:inline>
        </w:drawing>
      </w:r>
    </w:p>
    <w:p w14:paraId="3BD5EC26" w14:textId="2B6492E9" w:rsidR="00132316" w:rsidRPr="00000DD3" w:rsidRDefault="00132316" w:rsidP="00874B98">
      <w:pPr>
        <w:pStyle w:val="af2"/>
        <w:spacing w:before="0" w:beforeAutospacing="0" w:after="0" w:afterAutospacing="0" w:line="360" w:lineRule="auto"/>
        <w:jc w:val="both"/>
        <w:rPr>
          <w:rFonts w:ascii="Book Antiqua" w:eastAsiaTheme="minorEastAsia" w:hAnsi="Book Antiqua" w:cstheme="minorBidi"/>
          <w:b/>
          <w:bCs/>
          <w:kern w:val="24"/>
        </w:rPr>
      </w:pPr>
    </w:p>
    <w:p w14:paraId="36D958A6" w14:textId="3D82304D" w:rsidR="00107BB3" w:rsidRPr="00000DD3" w:rsidRDefault="00107BB3" w:rsidP="00A630C5">
      <w:pPr>
        <w:pStyle w:val="af2"/>
        <w:spacing w:before="0" w:beforeAutospacing="0" w:after="0" w:afterAutospacing="0" w:line="360" w:lineRule="auto"/>
        <w:jc w:val="both"/>
        <w:rPr>
          <w:rFonts w:ascii="Book Antiqua" w:hAnsi="Book Antiqua"/>
        </w:rPr>
      </w:pPr>
      <w:r w:rsidRPr="00000DD3">
        <w:rPr>
          <w:rFonts w:ascii="Book Antiqua" w:eastAsiaTheme="minorEastAsia" w:hAnsi="Book Antiqua" w:cstheme="minorBidi"/>
          <w:b/>
          <w:bCs/>
          <w:kern w:val="24"/>
        </w:rPr>
        <w:t>Figure 1 Schematic representation of the role of mesenchymal stem cells for cartilage regeneration.</w:t>
      </w:r>
      <w:r w:rsidR="00A630C5" w:rsidRPr="00000DD3">
        <w:rPr>
          <w:rFonts w:ascii="Book Antiqua" w:eastAsia="黑体" w:hAnsi="Book Antiqua" w:cstheme="minorBidi" w:hint="eastAsia"/>
          <w:b/>
          <w:bCs/>
          <w:kern w:val="24"/>
          <w:lang w:eastAsia="zh-CN"/>
        </w:rPr>
        <w:t xml:space="preserve"> </w:t>
      </w:r>
      <w:r w:rsidR="00B7087F" w:rsidRPr="00000DD3">
        <w:rPr>
          <w:rFonts w:ascii="Book Antiqua" w:hAnsi="Book Antiqua" w:cstheme="minorHAnsi"/>
          <w:noProof/>
        </w:rPr>
        <w:t>Mesenchymal stem cells</w:t>
      </w:r>
      <w:r w:rsidR="00B7087F" w:rsidRPr="00000DD3">
        <w:rPr>
          <w:rFonts w:ascii="Book Antiqua" w:hAnsi="Book Antiqua" w:cstheme="minorHAnsi"/>
        </w:rPr>
        <w:t xml:space="preserve"> (MSCs) can be isolated from various types of tissues in dogs. </w:t>
      </w:r>
      <w:r w:rsidRPr="00000DD3">
        <w:rPr>
          <w:rFonts w:ascii="Book Antiqua" w:hAnsi="Book Antiqua" w:cstheme="minorHAnsi"/>
          <w:noProof/>
        </w:rPr>
        <w:t xml:space="preserve">MSCs </w:t>
      </w:r>
      <w:r w:rsidR="00B7087F" w:rsidRPr="00000DD3">
        <w:rPr>
          <w:rFonts w:ascii="Book Antiqua" w:hAnsi="Book Antiqua" w:cstheme="minorHAnsi"/>
        </w:rPr>
        <w:t>are an attractive therapeutic tool for cartilage regeneration as they can secrete trophic factors</w:t>
      </w:r>
      <w:r w:rsidR="000707D5" w:rsidRPr="00000DD3">
        <w:rPr>
          <w:rFonts w:ascii="Book Antiqua" w:hAnsi="Book Antiqua" w:cstheme="minorHAnsi"/>
        </w:rPr>
        <w:t xml:space="preserve"> for chondroprotection and immunosuppression</w:t>
      </w:r>
      <w:r w:rsidR="00B7087F" w:rsidRPr="00000DD3">
        <w:rPr>
          <w:rFonts w:ascii="Book Antiqua" w:hAnsi="Book Antiqua" w:cstheme="minorHAnsi"/>
        </w:rPr>
        <w:t>, recruit endogenous cells to the damaged lesion, and differentiate into chondrocytes, thereby ameliorating the cartilage injury.</w:t>
      </w:r>
    </w:p>
    <w:p w14:paraId="001A4D76" w14:textId="77777777" w:rsidR="00107BB3" w:rsidRPr="00000DD3" w:rsidRDefault="00107BB3" w:rsidP="00874B98">
      <w:pPr>
        <w:spacing w:line="360" w:lineRule="auto"/>
        <w:jc w:val="both"/>
        <w:rPr>
          <w:rFonts w:ascii="Book Antiqua" w:hAnsi="Book Antiqua" w:cstheme="minorHAnsi"/>
          <w:noProof/>
        </w:rPr>
      </w:pPr>
    </w:p>
    <w:p w14:paraId="32C7839A" w14:textId="27DEF629" w:rsidR="00107BB3" w:rsidRPr="00000DD3" w:rsidRDefault="00107BB3" w:rsidP="00874B98">
      <w:pPr>
        <w:spacing w:line="360" w:lineRule="auto"/>
        <w:jc w:val="both"/>
        <w:rPr>
          <w:rFonts w:ascii="Book Antiqua" w:hAnsi="Book Antiqua" w:cstheme="minorHAnsi"/>
          <w:noProof/>
        </w:rPr>
      </w:pPr>
      <w:r w:rsidRPr="00000DD3">
        <w:rPr>
          <w:rFonts w:ascii="Book Antiqua" w:hAnsi="Book Antiqua" w:cstheme="minorHAnsi"/>
          <w:noProof/>
        </w:rPr>
        <w:br w:type="page"/>
      </w:r>
    </w:p>
    <w:p w14:paraId="2F965DEF" w14:textId="2E42C581" w:rsidR="00842EA3" w:rsidRPr="00000DD3" w:rsidRDefault="00A630C5" w:rsidP="00874B98">
      <w:pPr>
        <w:spacing w:line="360" w:lineRule="auto"/>
        <w:jc w:val="both"/>
        <w:rPr>
          <w:rFonts w:ascii="Book Antiqua" w:hAnsi="Book Antiqua" w:cstheme="minorHAnsi"/>
          <w:noProof/>
        </w:rPr>
      </w:pPr>
      <w:r w:rsidRPr="00000DD3">
        <w:rPr>
          <w:rFonts w:ascii="Book Antiqua" w:hAnsi="Book Antiqua" w:cstheme="minorHAnsi"/>
          <w:noProof/>
          <w:lang w:eastAsia="zh-CN"/>
        </w:rPr>
        <mc:AlternateContent>
          <mc:Choice Requires="wps">
            <w:drawing>
              <wp:anchor distT="0" distB="0" distL="114300" distR="114300" simplePos="0" relativeHeight="251683840" behindDoc="0" locked="0" layoutInCell="1" allowOverlap="1" wp14:anchorId="3E4A9F51" wp14:editId="7F183205">
                <wp:simplePos x="0" y="0"/>
                <wp:positionH relativeFrom="column">
                  <wp:posOffset>248920</wp:posOffset>
                </wp:positionH>
                <wp:positionV relativeFrom="paragraph">
                  <wp:posOffset>6350</wp:posOffset>
                </wp:positionV>
                <wp:extent cx="344805" cy="531495"/>
                <wp:effectExtent l="0" t="0" r="0" b="1905"/>
                <wp:wrapNone/>
                <wp:docPr id="9" name="テキスト ボックス 9"/>
                <wp:cNvGraphicFramePr/>
                <a:graphic xmlns:a="http://schemas.openxmlformats.org/drawingml/2006/main">
                  <a:graphicData uri="http://schemas.microsoft.com/office/word/2010/wordprocessingShape">
                    <wps:wsp>
                      <wps:cNvSpPr txBox="1"/>
                      <wps:spPr>
                        <a:xfrm>
                          <a:off x="0" y="0"/>
                          <a:ext cx="344805" cy="531495"/>
                        </a:xfrm>
                        <a:prstGeom prst="rect">
                          <a:avLst/>
                        </a:prstGeom>
                        <a:noFill/>
                        <a:ln w="6350">
                          <a:noFill/>
                        </a:ln>
                      </wps:spPr>
                      <wps:txbx>
                        <w:txbxContent>
                          <w:p w14:paraId="61BB01FE" w14:textId="5EFD2F02" w:rsidR="00920603" w:rsidRPr="00A630C5" w:rsidRDefault="00920603" w:rsidP="00AF7EF3">
                            <w:pPr>
                              <w:jc w:val="center"/>
                              <w:rPr>
                                <w:rFonts w:ascii="Book Antiqua" w:hAnsi="Book Antiqua"/>
                                <w:b/>
                                <w:color w:val="EDEDED" w:themeColor="accent3" w:themeTint="33"/>
                                <w:sz w:val="28"/>
                              </w:rPr>
                            </w:pPr>
                            <w:r w:rsidRPr="00A630C5">
                              <w:rPr>
                                <w:rFonts w:ascii="Book Antiqua" w:hAnsi="Book Antiqua"/>
                                <w:b/>
                                <w:color w:val="EDEDED" w:themeColor="accent3" w:themeTint="33"/>
                                <w:sz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4A9F51" id="_x0000_t202" coordsize="21600,21600" o:spt="202" path="m,l,21600r21600,l21600,xe">
                <v:stroke joinstyle="miter"/>
                <v:path gradientshapeok="t" o:connecttype="rect"/>
              </v:shapetype>
              <v:shape id="テキスト ボックス 9" o:spid="_x0000_s1026" type="#_x0000_t202" style="position:absolute;left:0;text-align:left;margin-left:19.6pt;margin-top:.5pt;width:27.15pt;height:41.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PlXTQIAAGEEAAAOAAAAZHJzL2Uyb0RvYy54bWysVEtu2zAQ3RfoHQjua/kjp7FgOXATuChg&#10;JAGcImuaoiwBEoclaUvuMgaCHqJXKLrueXSRDinZMdKuim6o+XGG896Mpld1WZCd0CYHGdNBr0+J&#10;kBySXG5i+vlh8e6SEmOZTFgBUsR0Lwy9mr19M61UJIaQQZEITTCJNFGlYppZq6IgMDwTJTM9UEKi&#10;MwVdMouq3gSJZhVmL4tg2O9fBBXoRGngwhi03rROOvP501Rwe5emRlhSxBTfZv2p/bl2ZzCbsmij&#10;mcpy3j2D/cMrSpZLLHpKdcMsI1ud/5GqzLkGA6ntcSgDSNOcC98DdjPov+pmlTElfC8IjlEnmMz/&#10;S8tvd/ea5ElMJ5RIViJFzeG5efrRPP1qDt9Ic/jeHA7N00/UycTBVSkT4a2Vwnu2/gA10n60GzQ6&#10;FOpUl+6L/RH0I/D7E9iitoSjcRSGl/0xJRxd49EgnIxdluDlstLGfhRQEifEVCOXHmK2Wxrbhh5D&#10;XC0Ji7woPJ+FJFVML0bjvr9w8mDyQmIN10L7VCfZel13fa0h2WNbGto5MYovciy+ZMbeM42DgZ3g&#10;sNs7PNICsAh0EiUZ6K9/s7t45Au9lFQ4aDE1X7ZMC0qKTxKZnAzC0E2mV8Lx+yEq+tyzPvfIbXkN&#10;OMsDXCvFvejibXEUUw3lI+7E3FVFF5Mca8fUHsVr244/7hQX87kPwllUzC7lSnGX2sHpoH2oH5lW&#10;Hf4WibuF40iy6BUNbWxLxHxrIc09Rw7gFtUOd5xjz3K3c25RznUf9fJnmP0GAAD//wMAUEsDBBQA&#10;BgAIAAAAIQAEJlD83gAAAAYBAAAPAAAAZHJzL2Rvd25yZXYueG1sTI/BTsMwEETvSPyDtUjcqENK&#10;IQ1xqipShYTg0NILNyfeJhH2OsRuG/h6lhMcZ2c087ZYTc6KE46h96TgdpaAQGq86alVsH/b3GQg&#10;QtRktPWECr4wwKq8vCh0bvyZtnjaxVZwCYVcK+hiHHIpQ9Oh02HmByT2Dn50OrIcW2lGfeZyZ2Wa&#10;JPfS6Z54odMDVh02H7ujU/BcbV71tk5d9m2rp5fDevjcvy+Uur6a1o8gIk7xLwy/+IwOJTPV/kgm&#10;CKtgvkw5yXf+iO3lfAGiVpDdPYAsC/kfv/wBAAD//wMAUEsBAi0AFAAGAAgAAAAhALaDOJL+AAAA&#10;4QEAABMAAAAAAAAAAAAAAAAAAAAAAFtDb250ZW50X1R5cGVzXS54bWxQSwECLQAUAAYACAAAACEA&#10;OP0h/9YAAACUAQAACwAAAAAAAAAAAAAAAAAvAQAAX3JlbHMvLnJlbHNQSwECLQAUAAYACAAAACEA&#10;Jmz5V00CAABhBAAADgAAAAAAAAAAAAAAAAAuAgAAZHJzL2Uyb0RvYy54bWxQSwECLQAUAAYACAAA&#10;ACEABCZQ/N4AAAAGAQAADwAAAAAAAAAAAAAAAACnBAAAZHJzL2Rvd25yZXYueG1sUEsFBgAAAAAE&#10;AAQA8wAAALIFAAAAAA==&#10;" filled="f" stroked="f" strokeweight=".5pt">
                <v:textbox>
                  <w:txbxContent>
                    <w:p w14:paraId="61BB01FE" w14:textId="5EFD2F02" w:rsidR="00920603" w:rsidRPr="00A630C5" w:rsidRDefault="00920603" w:rsidP="00AF7EF3">
                      <w:pPr>
                        <w:jc w:val="center"/>
                        <w:rPr>
                          <w:rFonts w:ascii="Book Antiqua" w:hAnsi="Book Antiqua"/>
                          <w:b/>
                          <w:color w:val="EDEDED" w:themeColor="accent3" w:themeTint="33"/>
                          <w:sz w:val="28"/>
                        </w:rPr>
                      </w:pPr>
                      <w:r w:rsidRPr="00A630C5">
                        <w:rPr>
                          <w:rFonts w:ascii="Book Antiqua" w:hAnsi="Book Antiqua"/>
                          <w:b/>
                          <w:color w:val="EDEDED" w:themeColor="accent3" w:themeTint="33"/>
                          <w:sz w:val="28"/>
                        </w:rPr>
                        <w:t>B</w:t>
                      </w:r>
                    </w:p>
                  </w:txbxContent>
                </v:textbox>
              </v:shape>
            </w:pict>
          </mc:Fallback>
        </mc:AlternateContent>
      </w:r>
      <w:r w:rsidRPr="00000DD3">
        <w:rPr>
          <w:rFonts w:ascii="Book Antiqua" w:hAnsi="Book Antiqua" w:cstheme="minorHAnsi"/>
          <w:noProof/>
          <w:lang w:eastAsia="zh-CN"/>
        </w:rPr>
        <mc:AlternateContent>
          <mc:Choice Requires="wps">
            <w:drawing>
              <wp:anchor distT="0" distB="0" distL="114300" distR="114300" simplePos="0" relativeHeight="251682816" behindDoc="0" locked="0" layoutInCell="1" allowOverlap="1" wp14:anchorId="2662140A" wp14:editId="5E43E958">
                <wp:simplePos x="0" y="0"/>
                <wp:positionH relativeFrom="column">
                  <wp:posOffset>-2333213</wp:posOffset>
                </wp:positionH>
                <wp:positionV relativeFrom="paragraph">
                  <wp:posOffset>3810</wp:posOffset>
                </wp:positionV>
                <wp:extent cx="344805" cy="531495"/>
                <wp:effectExtent l="0" t="0" r="0" b="1905"/>
                <wp:wrapNone/>
                <wp:docPr id="8" name="テキスト ボックス 8"/>
                <wp:cNvGraphicFramePr/>
                <a:graphic xmlns:a="http://schemas.openxmlformats.org/drawingml/2006/main">
                  <a:graphicData uri="http://schemas.microsoft.com/office/word/2010/wordprocessingShape">
                    <wps:wsp>
                      <wps:cNvSpPr txBox="1"/>
                      <wps:spPr>
                        <a:xfrm>
                          <a:off x="0" y="0"/>
                          <a:ext cx="344805" cy="531495"/>
                        </a:xfrm>
                        <a:prstGeom prst="rect">
                          <a:avLst/>
                        </a:prstGeom>
                        <a:noFill/>
                        <a:ln w="6350">
                          <a:noFill/>
                        </a:ln>
                      </wps:spPr>
                      <wps:txbx>
                        <w:txbxContent>
                          <w:p w14:paraId="5198E7F0" w14:textId="07FC44D3" w:rsidR="00920603" w:rsidRPr="00A630C5" w:rsidRDefault="00920603" w:rsidP="00AF7EF3">
                            <w:pPr>
                              <w:jc w:val="center"/>
                              <w:rPr>
                                <w:rFonts w:ascii="Book Antiqua" w:hAnsi="Book Antiqua"/>
                                <w:b/>
                                <w:sz w:val="28"/>
                              </w:rPr>
                            </w:pPr>
                            <w:r w:rsidRPr="00A630C5">
                              <w:rPr>
                                <w:rFonts w:ascii="Book Antiqua" w:hAnsi="Book Antiqua"/>
                                <w:b/>
                                <w:sz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2140A" id="テキスト ボックス 8" o:spid="_x0000_s1027" type="#_x0000_t202" style="position:absolute;left:0;text-align:left;margin-left:-183.7pt;margin-top:.3pt;width:27.15pt;height:41.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UJEUAIAAGgEAAAOAAAAZHJzL2Uyb0RvYy54bWysVM1u2zAMvg/YOwi6L3YSp0uNOEXWIsOA&#10;oC2QDj0rshwbsEVNUmJnxwYo9hB7hWHnPY9fZJScpEG307CLTIoUf76P9OSqqUqyFdoUIBPa74WU&#10;CMkhLeQ6oZ8f5u/GlBjLZMpKkCKhO2Ho1fTtm0mtYjGAHMpUaIJBpIlrldDcWhUHgeG5qJjpgRIS&#10;jRnoillU9TpINasxelUGgzC8CGrQqdLAhTF4e9MZ6dTHzzLB7V2WGWFJmVCszfpT+3PlzmA6YfFa&#10;M5UX/FAG+4cqKlZITHoKdcMsIxtd/BGqKrgGA5ntcagCyLKCC98DdtMPX3WzzJkSvhcEx6gTTOb/&#10;heW323tNijShSJRkFVLU7p/bpx/t0692/420++/tft8+/USdjB1ctTIxvloqfGebD9Ag7cd7g5cO&#10;hSbTlftifwTtCPzuBLZoLOF4OYyicTiihKNpNOxHlyMXJXh5rLSxHwVUxAkJ1cilh5htF8Z2rkcX&#10;l0vCvChLz2cpSZ3Qi+Eo9A9OFgxeSszhWuhKdZJtVo1H4NTGCtIddqehGxej+LzAGhbM2HumcT6w&#10;IZx5e4dHVgLmgoNESQ7669/unT/ShlZKapy3hJovG6YFJeUniYRe9qPIDahXotH7ASr63LI6t8hN&#10;dQ040n3cLsW96PxteRQzDdUjrsbMZUUTkxxzJ9QexWvbbQGuFhezmXfCkVTMLuRScRfaoeoQfmge&#10;mVYHGizydwvHyWTxKzY6346P2cZCVniqHM4dqgf4cZw92YfVc/tyrnuvlx/E9DcAAAD//wMAUEsD&#10;BBQABgAIAAAAIQC36tqU4QAAAAkBAAAPAAAAZHJzL2Rvd25yZXYueG1sTI8xT8MwFIR3JP6D9ZDY&#10;UidNCVHIS1VFqpAQDC1d2JzYTSLs5xC7beDXY6Yynu509125no1mZzW5wRJCsoiBKWqtHKhDOLxv&#10;oxyY84Kk0JYUwrdysK5ub0pRSHuhnTrvfcdCCblCIPTejwXnru2VEW5hR0XBO9rJCB/k1HE5iUso&#10;N5ov4zjjRgwUFnoxqrpX7ef+ZBBe6u2b2DVLk//o+vn1uBm/Dh8PiPd38+YJmFezv4bhDz+gQxWY&#10;Gnsi6ZhGiNLscRWyCBmw4EdpkibAGoR8lQKvSv7/QfULAAD//wMAUEsBAi0AFAAGAAgAAAAhALaD&#10;OJL+AAAA4QEAABMAAAAAAAAAAAAAAAAAAAAAAFtDb250ZW50X1R5cGVzXS54bWxQSwECLQAUAAYA&#10;CAAAACEAOP0h/9YAAACUAQAACwAAAAAAAAAAAAAAAAAvAQAAX3JlbHMvLnJlbHNQSwECLQAUAAYA&#10;CAAAACEATwlCRFACAABoBAAADgAAAAAAAAAAAAAAAAAuAgAAZHJzL2Uyb0RvYy54bWxQSwECLQAU&#10;AAYACAAAACEAt+ralOEAAAAJAQAADwAAAAAAAAAAAAAAAACqBAAAZHJzL2Rvd25yZXYueG1sUEsF&#10;BgAAAAAEAAQA8wAAALgFAAAAAA==&#10;" filled="f" stroked="f" strokeweight=".5pt">
                <v:textbox>
                  <w:txbxContent>
                    <w:p w14:paraId="5198E7F0" w14:textId="07FC44D3" w:rsidR="00920603" w:rsidRPr="00A630C5" w:rsidRDefault="00920603" w:rsidP="00AF7EF3">
                      <w:pPr>
                        <w:jc w:val="center"/>
                        <w:rPr>
                          <w:rFonts w:ascii="Book Antiqua" w:hAnsi="Book Antiqua"/>
                          <w:b/>
                          <w:sz w:val="28"/>
                        </w:rPr>
                      </w:pPr>
                      <w:r w:rsidRPr="00A630C5">
                        <w:rPr>
                          <w:rFonts w:ascii="Book Antiqua" w:hAnsi="Book Antiqua"/>
                          <w:b/>
                          <w:sz w:val="28"/>
                        </w:rPr>
                        <w:t>A</w:t>
                      </w:r>
                    </w:p>
                  </w:txbxContent>
                </v:textbox>
              </v:shape>
            </w:pict>
          </mc:Fallback>
        </mc:AlternateContent>
      </w:r>
      <w:r w:rsidR="00FA3569" w:rsidRPr="00000DD3">
        <w:rPr>
          <w:rFonts w:ascii="Book Antiqua" w:eastAsiaTheme="minorEastAsia" w:hAnsi="Book Antiqua" w:cstheme="minorBidi"/>
          <w:b/>
          <w:bCs/>
          <w:noProof/>
          <w:kern w:val="24"/>
          <w:lang w:eastAsia="zh-CN"/>
        </w:rPr>
        <w:drawing>
          <wp:anchor distT="0" distB="0" distL="114300" distR="114300" simplePos="0" relativeHeight="251679744" behindDoc="0" locked="0" layoutInCell="1" allowOverlap="1" wp14:anchorId="1B790E61" wp14:editId="62B23209">
            <wp:simplePos x="0" y="0"/>
            <wp:positionH relativeFrom="column">
              <wp:posOffset>324284</wp:posOffset>
            </wp:positionH>
            <wp:positionV relativeFrom="paragraph">
              <wp:posOffset>8546</wp:posOffset>
            </wp:positionV>
            <wp:extent cx="2377643" cy="3167280"/>
            <wp:effectExtent l="0" t="0" r="0" b="0"/>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2A改0327.tiff"/>
                    <pic:cNvPicPr/>
                  </pic:nvPicPr>
                  <pic:blipFill rotWithShape="1">
                    <a:blip r:embed="rId10" cstate="print">
                      <a:extLst>
                        <a:ext uri="{28A0092B-C50C-407E-A947-70E740481C1C}">
                          <a14:useLocalDpi xmlns:a14="http://schemas.microsoft.com/office/drawing/2010/main" val="0"/>
                        </a:ext>
                      </a:extLst>
                    </a:blip>
                    <a:srcRect t="-99" r="46789" b="5496"/>
                    <a:stretch/>
                  </pic:blipFill>
                  <pic:spPr bwMode="auto">
                    <a:xfrm>
                      <a:off x="0" y="0"/>
                      <a:ext cx="2377643" cy="3167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569" w:rsidRPr="00000DD3">
        <w:rPr>
          <w:rFonts w:ascii="Book Antiqua" w:hAnsi="Book Antiqua"/>
          <w:noProof/>
          <w:lang w:eastAsia="zh-CN"/>
        </w:rPr>
        <w:drawing>
          <wp:anchor distT="0" distB="0" distL="114300" distR="114300" simplePos="0" relativeHeight="251680768" behindDoc="0" locked="0" layoutInCell="1" allowOverlap="1" wp14:anchorId="7932D1D3" wp14:editId="693670F6">
            <wp:simplePos x="0" y="0"/>
            <wp:positionH relativeFrom="column">
              <wp:posOffset>3024784</wp:posOffset>
            </wp:positionH>
            <wp:positionV relativeFrom="paragraph">
              <wp:posOffset>3994</wp:posOffset>
            </wp:positionV>
            <wp:extent cx="2379980" cy="3166745"/>
            <wp:effectExtent l="0" t="0" r="0" b="0"/>
            <wp:wrapSquare wrapText="bothSides"/>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2B改0327.tiff"/>
                    <pic:cNvPicPr/>
                  </pic:nvPicPr>
                  <pic:blipFill rotWithShape="1">
                    <a:blip r:embed="rId11" cstate="print">
                      <a:extLst>
                        <a:ext uri="{28A0092B-C50C-407E-A947-70E740481C1C}">
                          <a14:useLocalDpi xmlns:a14="http://schemas.microsoft.com/office/drawing/2010/main" val="0"/>
                        </a:ext>
                      </a:extLst>
                    </a:blip>
                    <a:srcRect r="46789" b="5514"/>
                    <a:stretch/>
                  </pic:blipFill>
                  <pic:spPr bwMode="auto">
                    <a:xfrm>
                      <a:off x="0" y="0"/>
                      <a:ext cx="2379980" cy="3166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9FFA1D" w14:textId="21F71B9C" w:rsidR="001B61D4" w:rsidRPr="00000DD3" w:rsidRDefault="001B61D4" w:rsidP="00874B98">
      <w:pPr>
        <w:pStyle w:val="af2"/>
        <w:spacing w:before="0" w:beforeAutospacing="0" w:after="0" w:afterAutospacing="0" w:line="360" w:lineRule="auto"/>
        <w:jc w:val="both"/>
        <w:rPr>
          <w:rFonts w:ascii="Book Antiqua" w:hAnsi="Book Antiqua"/>
        </w:rPr>
      </w:pPr>
      <w:r w:rsidRPr="00000DD3">
        <w:rPr>
          <w:rFonts w:ascii="Book Antiqua" w:eastAsiaTheme="minorEastAsia" w:hAnsi="Book Antiqua" w:cstheme="minorBidi"/>
          <w:b/>
          <w:bCs/>
          <w:kern w:val="24"/>
        </w:rPr>
        <w:t xml:space="preserve">Figure </w:t>
      </w:r>
      <w:r w:rsidR="00107BB3" w:rsidRPr="00000DD3">
        <w:rPr>
          <w:rFonts w:ascii="Book Antiqua" w:eastAsiaTheme="minorEastAsia" w:hAnsi="Book Antiqua" w:cstheme="minorBidi"/>
          <w:b/>
          <w:bCs/>
          <w:kern w:val="24"/>
        </w:rPr>
        <w:t>2</w:t>
      </w:r>
      <w:r w:rsidRPr="00000DD3">
        <w:rPr>
          <w:rFonts w:ascii="Book Antiqua" w:eastAsiaTheme="minorEastAsia" w:hAnsi="Book Antiqua" w:cstheme="minorBidi"/>
          <w:b/>
          <w:bCs/>
          <w:kern w:val="24"/>
        </w:rPr>
        <w:t xml:space="preserve"> Radiographic findings of osteoarthritis in dogs.</w:t>
      </w:r>
      <w:r w:rsidR="00A630C5" w:rsidRPr="00000DD3">
        <w:rPr>
          <w:rFonts w:ascii="Book Antiqua" w:eastAsia="黑体" w:hAnsi="Book Antiqua" w:hint="eastAsia"/>
          <w:lang w:eastAsia="zh-CN"/>
        </w:rPr>
        <w:t xml:space="preserve"> </w:t>
      </w:r>
      <w:r w:rsidRPr="00000DD3">
        <w:rPr>
          <w:rFonts w:ascii="Book Antiqua" w:eastAsiaTheme="minorEastAsia" w:hAnsi="Book Antiqua" w:cstheme="minorBidi"/>
          <w:kern w:val="24"/>
        </w:rPr>
        <w:t>A: A radiographic imag</w:t>
      </w:r>
      <w:r w:rsidR="00A630C5" w:rsidRPr="00000DD3">
        <w:rPr>
          <w:rFonts w:ascii="Book Antiqua" w:eastAsiaTheme="minorEastAsia" w:hAnsi="Book Antiqua" w:cstheme="minorBidi"/>
          <w:kern w:val="24"/>
        </w:rPr>
        <w:t xml:space="preserve">e of the hip joint in </w:t>
      </w:r>
      <w:proofErr w:type="gramStart"/>
      <w:r w:rsidR="00A630C5" w:rsidRPr="00000DD3">
        <w:rPr>
          <w:rFonts w:ascii="Book Antiqua" w:eastAsiaTheme="minorEastAsia" w:hAnsi="Book Antiqua" w:cstheme="minorBidi"/>
          <w:kern w:val="24"/>
        </w:rPr>
        <w:t>a</w:t>
      </w:r>
      <w:proofErr w:type="gramEnd"/>
      <w:r w:rsidR="00A630C5" w:rsidRPr="00000DD3">
        <w:rPr>
          <w:rFonts w:ascii="Book Antiqua" w:eastAsiaTheme="minorEastAsia" w:hAnsi="Book Antiqua" w:cstheme="minorBidi"/>
          <w:kern w:val="24"/>
        </w:rPr>
        <w:t xml:space="preserve"> 8 years</w:t>
      </w:r>
      <w:r w:rsidR="00A630C5" w:rsidRPr="00000DD3">
        <w:rPr>
          <w:rFonts w:ascii="Book Antiqua" w:eastAsia="黑体" w:hAnsi="Book Antiqua" w:cstheme="minorBidi" w:hint="eastAsia"/>
          <w:kern w:val="24"/>
          <w:lang w:eastAsia="zh-CN"/>
        </w:rPr>
        <w:t xml:space="preserve"> </w:t>
      </w:r>
      <w:r w:rsidRPr="00000DD3">
        <w:rPr>
          <w:rFonts w:ascii="Book Antiqua" w:eastAsiaTheme="minorEastAsia" w:hAnsi="Book Antiqua" w:cstheme="minorBidi"/>
          <w:kern w:val="24"/>
        </w:rPr>
        <w:t xml:space="preserve">old Labrador retriever suffering from </w:t>
      </w:r>
      <w:r w:rsidR="00A630C5" w:rsidRPr="00000DD3">
        <w:rPr>
          <w:rFonts w:ascii="Book Antiqua" w:eastAsiaTheme="minorEastAsia" w:hAnsi="Book Antiqua" w:cstheme="minorBidi"/>
          <w:bCs/>
          <w:kern w:val="24"/>
        </w:rPr>
        <w:t>osteoarthritis (OA)</w:t>
      </w:r>
      <w:r w:rsidR="00A630C5" w:rsidRPr="00000DD3">
        <w:rPr>
          <w:rFonts w:ascii="Book Antiqua" w:eastAsiaTheme="minorEastAsia" w:hAnsi="Book Antiqua" w:cstheme="minorBidi"/>
          <w:b/>
          <w:bCs/>
          <w:kern w:val="24"/>
        </w:rPr>
        <w:t xml:space="preserve"> </w:t>
      </w:r>
      <w:r w:rsidRPr="00000DD3">
        <w:rPr>
          <w:rFonts w:ascii="Book Antiqua" w:eastAsiaTheme="minorEastAsia" w:hAnsi="Book Antiqua" w:cstheme="minorBidi"/>
          <w:kern w:val="24"/>
        </w:rPr>
        <w:t>which results from hip dysplasia</w:t>
      </w:r>
      <w:r w:rsidR="00A630C5" w:rsidRPr="00000DD3">
        <w:rPr>
          <w:rFonts w:ascii="Book Antiqua" w:eastAsia="黑体" w:hAnsi="Book Antiqua" w:cstheme="minorBidi" w:hint="eastAsia"/>
          <w:kern w:val="24"/>
          <w:lang w:eastAsia="zh-CN"/>
        </w:rPr>
        <w:t>;</w:t>
      </w:r>
      <w:r w:rsidRPr="00000DD3">
        <w:rPr>
          <w:rFonts w:ascii="Book Antiqua" w:eastAsiaTheme="minorEastAsia" w:hAnsi="Book Antiqua" w:cstheme="minorBidi"/>
          <w:kern w:val="24"/>
        </w:rPr>
        <w:t xml:space="preserve"> B: A radiographic image o</w:t>
      </w:r>
      <w:r w:rsidR="00A630C5" w:rsidRPr="00000DD3">
        <w:rPr>
          <w:rFonts w:ascii="Book Antiqua" w:eastAsiaTheme="minorEastAsia" w:hAnsi="Book Antiqua" w:cstheme="minorBidi"/>
          <w:kern w:val="24"/>
        </w:rPr>
        <w:t>f the stifle joint in a 4 years</w:t>
      </w:r>
      <w:r w:rsidR="00A630C5" w:rsidRPr="00000DD3">
        <w:rPr>
          <w:rFonts w:ascii="Book Antiqua" w:eastAsia="黑体" w:hAnsi="Book Antiqua" w:cstheme="minorBidi" w:hint="eastAsia"/>
          <w:kern w:val="24"/>
          <w:lang w:eastAsia="zh-CN"/>
        </w:rPr>
        <w:t xml:space="preserve"> </w:t>
      </w:r>
      <w:r w:rsidRPr="00000DD3">
        <w:rPr>
          <w:rFonts w:ascii="Book Antiqua" w:eastAsiaTheme="minorEastAsia" w:hAnsi="Book Antiqua" w:cstheme="minorBidi"/>
          <w:kern w:val="24"/>
        </w:rPr>
        <w:t>old Shiba suffering from OA which results from cranial cruciate ligament rupture. Yellow arrowheads: osteophytes.</w:t>
      </w:r>
    </w:p>
    <w:p w14:paraId="652F3D34" w14:textId="77777777" w:rsidR="001B61D4" w:rsidRPr="00000DD3" w:rsidRDefault="001B61D4" w:rsidP="00874B98">
      <w:pPr>
        <w:pStyle w:val="af2"/>
        <w:spacing w:before="0" w:beforeAutospacing="0" w:after="0" w:afterAutospacing="0" w:line="360" w:lineRule="auto"/>
        <w:jc w:val="both"/>
        <w:rPr>
          <w:rFonts w:ascii="Book Antiqua" w:eastAsiaTheme="minorEastAsia" w:hAnsi="Book Antiqua" w:cstheme="minorBidi"/>
          <w:b/>
          <w:bCs/>
          <w:noProof/>
          <w:kern w:val="24"/>
        </w:rPr>
      </w:pPr>
    </w:p>
    <w:p w14:paraId="699AB04C" w14:textId="4B57CC7F" w:rsidR="00795217" w:rsidRPr="00000DD3" w:rsidRDefault="00795217" w:rsidP="00874B98">
      <w:pPr>
        <w:spacing w:line="360" w:lineRule="auto"/>
        <w:jc w:val="both"/>
        <w:rPr>
          <w:rFonts w:ascii="Book Antiqua" w:eastAsiaTheme="minorEastAsia" w:hAnsi="Book Antiqua" w:cstheme="minorBidi"/>
          <w:b/>
          <w:bCs/>
          <w:noProof/>
          <w:kern w:val="24"/>
        </w:rPr>
      </w:pPr>
      <w:r w:rsidRPr="00000DD3">
        <w:rPr>
          <w:rFonts w:ascii="Book Antiqua" w:eastAsiaTheme="minorEastAsia" w:hAnsi="Book Antiqua" w:cstheme="minorBidi"/>
          <w:b/>
          <w:bCs/>
          <w:noProof/>
          <w:kern w:val="24"/>
        </w:rPr>
        <w:br w:type="page"/>
      </w:r>
    </w:p>
    <w:p w14:paraId="0C5700E0" w14:textId="764411B5" w:rsidR="00AF7EF3" w:rsidRPr="00000DD3" w:rsidRDefault="00A630C5" w:rsidP="00874B98">
      <w:pPr>
        <w:pStyle w:val="af2"/>
        <w:spacing w:before="0" w:beforeAutospacing="0" w:after="0" w:afterAutospacing="0" w:line="360" w:lineRule="auto"/>
        <w:jc w:val="both"/>
        <w:rPr>
          <w:rFonts w:ascii="Book Antiqua" w:eastAsiaTheme="minorEastAsia" w:hAnsi="Book Antiqua" w:cstheme="minorBidi"/>
          <w:b/>
          <w:bCs/>
          <w:noProof/>
          <w:kern w:val="24"/>
        </w:rPr>
      </w:pPr>
      <w:r w:rsidRPr="00000DD3">
        <w:rPr>
          <w:rFonts w:ascii="Book Antiqua" w:hAnsi="Book Antiqua" w:cstheme="minorHAnsi"/>
          <w:noProof/>
          <w:lang w:eastAsia="zh-CN"/>
        </w:rPr>
        <mc:AlternateContent>
          <mc:Choice Requires="wps">
            <w:drawing>
              <wp:anchor distT="0" distB="0" distL="114300" distR="114300" simplePos="0" relativeHeight="251685888" behindDoc="0" locked="0" layoutInCell="1" allowOverlap="1" wp14:anchorId="4994E758" wp14:editId="3488F0ED">
                <wp:simplePos x="0" y="0"/>
                <wp:positionH relativeFrom="column">
                  <wp:posOffset>182245</wp:posOffset>
                </wp:positionH>
                <wp:positionV relativeFrom="paragraph">
                  <wp:posOffset>1905</wp:posOffset>
                </wp:positionV>
                <wp:extent cx="391795" cy="577850"/>
                <wp:effectExtent l="0" t="0" r="0" b="0"/>
                <wp:wrapNone/>
                <wp:docPr id="5" name="テキスト ボックス 14"/>
                <wp:cNvGraphicFramePr/>
                <a:graphic xmlns:a="http://schemas.openxmlformats.org/drawingml/2006/main">
                  <a:graphicData uri="http://schemas.microsoft.com/office/word/2010/wordprocessingShape">
                    <wps:wsp>
                      <wps:cNvSpPr txBox="1"/>
                      <wps:spPr>
                        <a:xfrm>
                          <a:off x="0" y="0"/>
                          <a:ext cx="391795" cy="577850"/>
                        </a:xfrm>
                        <a:prstGeom prst="rect">
                          <a:avLst/>
                        </a:prstGeom>
                        <a:noFill/>
                        <a:ln w="6350">
                          <a:noFill/>
                        </a:ln>
                      </wps:spPr>
                      <wps:txbx>
                        <w:txbxContent>
                          <w:p w14:paraId="03C8421D" w14:textId="122B2307" w:rsidR="00920603" w:rsidRPr="00A630C5" w:rsidRDefault="00920603" w:rsidP="00A630C5">
                            <w:pPr>
                              <w:jc w:val="center"/>
                              <w:rPr>
                                <w:rFonts w:ascii="Book Antiqua" w:eastAsia="黑体" w:hAnsi="Book Antiqua"/>
                                <w:b/>
                                <w:lang w:eastAsia="zh-CN"/>
                              </w:rPr>
                            </w:pPr>
                            <w:r w:rsidRPr="00A630C5">
                              <w:rPr>
                                <w:rFonts w:ascii="Book Antiqua" w:eastAsia="黑体" w:hAnsi="Book Antiqua"/>
                                <w:b/>
                                <w:lang w:eastAsia="zh-CN"/>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4E758" id="テキスト ボックス 14" o:spid="_x0000_s1028" type="#_x0000_t202" style="position:absolute;left:0;text-align:left;margin-left:14.35pt;margin-top:.15pt;width:30.85pt;height:4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jrHUQIAAGkEAAAOAAAAZHJzL2Uyb0RvYy54bWysVM2O2jAQvlfqO1i+lxAWliUirOiuqCqh&#10;3ZXYas/GcSBS4nFtQ0KPIK36EH2Fquc+T16kY4ewdNtT1Ysz4xnPz/fNZHxdFTnZCm0ykDENO11K&#10;hOSQZHIV00+Ps3dXlBjLZMJykCKmO2Ho9eTtm3GpItGDNeSJ0ASDSBOVKqZra1UUBIavRcFMB5SQ&#10;aExBF8yiqldBolmJ0Ys86HW7l0EJOlEauDAGb28bI534+GkquL1PUyMsyWOKtVl/an8u3RlMxixa&#10;aabWGT+Wwf6hioJlEpOeQt0yy8hGZ3+EKjKuwUBqOxyKANI048L3gN2E3VfdLNZMCd8LgmPUCSbz&#10;/8Lyu+2DJlkS0wElkhVIUX14rvff6/3P+vCV1Idv9eFQ73+gTsK+w6tUJsJnC4UPbfUeKuS9vTd4&#10;6WCoUl24LzZI0I7I705oi8oSjpcXo3A4wqwcTYPh8Grg2QheHitt7AcBBXFCTDWS6TFm27mxWAi6&#10;ti4ul4RZluee0FySMqaXFxjyNwu+yCU+dC00pTrJVsvKQ9Br21hCssPuNDTzYhSfZVjDnBn7wDQO&#10;CDaEQ2/v8UhzwFxwlChZg/7yt3vnj7yhlZISBy6m5vOGaUFJ/lEio6Ow33cT6pX+YNhDRZ9blucW&#10;uSluAGc6xPVS3IvO3+atmGoonnA3pi4rmpjkmDumthVvbLMGuFtcTKfeCWdSMTuXC8VdaIedQ/ix&#10;emJaHWmwyN8dtKPJoldsNL4N6tONhTTzVDmcG1SP8OM8ewaPu+cW5lz3Xi9/iMkvAAAA//8DAFBL&#10;AwQUAAYACAAAACEAjobjrt0AAAAFAQAADwAAAGRycy9kb3ducmV2LnhtbEyOzUvDQBTE74L/w/IE&#10;b3bT1I8YsyklUASxh9ZevL1kX5PgfsTsto3+9T5PehqGGWZ+xXKyRpxoDL13CuazBAS5xuvetQr2&#10;b+ubDESI6DQa70jBFwVYlpcXBeban92WTrvYCh5xIUcFXYxDLmVoOrIYZn4gx9nBjxYj27GVesQz&#10;j1sj0yS5lxZ7xw8dDlR11HzsjlbBS7Xe4LZObfZtqufXw2r43L/fKXV9Na2eQESa4l8ZfvEZHUpm&#10;qv3R6SCMgjR74KaCBQhOH5NbEDXrfAGyLOR/+vIHAAD//wMAUEsBAi0AFAAGAAgAAAAhALaDOJL+&#10;AAAA4QEAABMAAAAAAAAAAAAAAAAAAAAAAFtDb250ZW50X1R5cGVzXS54bWxQSwECLQAUAAYACAAA&#10;ACEAOP0h/9YAAACUAQAACwAAAAAAAAAAAAAAAAAvAQAAX3JlbHMvLnJlbHNQSwECLQAUAAYACAAA&#10;ACEAGUY6x1ECAABpBAAADgAAAAAAAAAAAAAAAAAuAgAAZHJzL2Uyb0RvYy54bWxQSwECLQAUAAYA&#10;CAAAACEAjobjrt0AAAAFAQAADwAAAAAAAAAAAAAAAACrBAAAZHJzL2Rvd25yZXYueG1sUEsFBgAA&#10;AAAEAAQA8wAAALUFAAAAAA==&#10;" filled="f" stroked="f" strokeweight=".5pt">
                <v:textbox>
                  <w:txbxContent>
                    <w:p w14:paraId="03C8421D" w14:textId="122B2307" w:rsidR="00920603" w:rsidRPr="00A630C5" w:rsidRDefault="00920603" w:rsidP="00A630C5">
                      <w:pPr>
                        <w:jc w:val="center"/>
                        <w:rPr>
                          <w:rFonts w:ascii="Book Antiqua" w:eastAsia="黑体" w:hAnsi="Book Antiqua"/>
                          <w:b/>
                          <w:lang w:eastAsia="zh-CN"/>
                        </w:rPr>
                      </w:pPr>
                      <w:r w:rsidRPr="00A630C5">
                        <w:rPr>
                          <w:rFonts w:ascii="Book Antiqua" w:eastAsia="黑体" w:hAnsi="Book Antiqua"/>
                          <w:b/>
                          <w:lang w:eastAsia="zh-CN"/>
                        </w:rPr>
                        <w:t>C</w:t>
                      </w:r>
                    </w:p>
                  </w:txbxContent>
                </v:textbox>
              </v:shape>
            </w:pict>
          </mc:Fallback>
        </mc:AlternateContent>
      </w:r>
      <w:r w:rsidRPr="00000DD3">
        <w:rPr>
          <w:rFonts w:ascii="Book Antiqua" w:hAnsi="Book Antiqua" w:cstheme="minorHAnsi"/>
          <w:noProof/>
          <w:lang w:eastAsia="zh-CN"/>
        </w:rPr>
        <mc:AlternateContent>
          <mc:Choice Requires="wps">
            <w:drawing>
              <wp:anchor distT="0" distB="0" distL="114300" distR="114300" simplePos="0" relativeHeight="251670528" behindDoc="0" locked="0" layoutInCell="1" allowOverlap="1" wp14:anchorId="107732F0" wp14:editId="7E85BBC7">
                <wp:simplePos x="0" y="0"/>
                <wp:positionH relativeFrom="column">
                  <wp:posOffset>-1668145</wp:posOffset>
                </wp:positionH>
                <wp:positionV relativeFrom="paragraph">
                  <wp:posOffset>-1905</wp:posOffset>
                </wp:positionV>
                <wp:extent cx="391795" cy="57785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391795" cy="577850"/>
                        </a:xfrm>
                        <a:prstGeom prst="rect">
                          <a:avLst/>
                        </a:prstGeom>
                        <a:noFill/>
                        <a:ln w="6350">
                          <a:noFill/>
                        </a:ln>
                      </wps:spPr>
                      <wps:txbx>
                        <w:txbxContent>
                          <w:p w14:paraId="1807F6EC" w14:textId="188A442C" w:rsidR="00920603" w:rsidRPr="00A630C5" w:rsidRDefault="00920603" w:rsidP="00AF7EF3">
                            <w:pPr>
                              <w:jc w:val="center"/>
                              <w:rPr>
                                <w:rFonts w:ascii="Book Antiqua" w:hAnsi="Book Antiqua"/>
                                <w:b/>
                              </w:rPr>
                            </w:pPr>
                            <w:r w:rsidRPr="00A630C5">
                              <w:rPr>
                                <w:rFonts w:ascii="Book Antiqua" w:hAnsi="Book Antiqua"/>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732F0" id="_x0000_s1029" type="#_x0000_t202" style="position:absolute;left:0;text-align:left;margin-left:-131.35pt;margin-top:-.15pt;width:30.85pt;height:4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QhzUQIAAGoEAAAOAAAAZHJzL2Uyb0RvYy54bWysVM1OGzEQvlfqO1i+l00gIRBlg1IQVSUE&#10;SKHi7Hi9ZKVdj2s77NIjkVAfoq9Q9dzn2RfpZ28SKO2p6sU74/nxzPfN7OSkqUp2r6wrSKe8v9fj&#10;TGlJWaHvUv7p5vzdEWfOC52JkrRK+YNy/GT69s2kNmO1T0sqM2UZkmg3rk3Kl96bcZI4uVSVcHtk&#10;lIYxJ1sJD9XeJZkVNbJXZbLf6x0mNdnMWJLKOdyedUY+jfnzXEl/ledOeVamHLX5eNp4LsKZTCdi&#10;fGeFWRZyU4b4hyoqUWg8ukt1JrxgK1v8kaoqpCVHud+TVCWU54VUsQd00++96ma+FEbFXgCOMzuY&#10;3P9LKy/vry0rMnA34EyLChy166f28Xv7+LNdf2Xt+lu7XrePP6Az+ACw2rgx4uYGkb55Tw2Ct/cO&#10;lwGHJrdV+KJDBjugf9jBrRrPJC4Pjvuj4yFnEqbhaHQ0jHQkz8HGOv9BUcWCkHILNiPI4v7CeRQC&#10;161LeEvTeVGWkdFSszrlhwdI+ZsFEaVGYGihKzVIvlk0EYODbRsLyh7QnaVuYJyR5wVquBDOXwuL&#10;CUFDmHp/hSMvCW/RRuJsSfbL3+6DP4iDlbMaE5dy93klrOKs/KhB6XF/MAgjGpXBcLQPxb60LF5a&#10;9Ko6JQx1H/tlZBSDvy+3Ym6pusVyzMKrMAkt8XbK/VY89d0eYLmkms2iE4bSCH+h50aG1AG7gPBN&#10;cyus2dDgwd8lbWdTjF+x0fl2qM9WnvIiUhVw7lDdwI+Bjgxuli9szEs9ej3/Iqa/AAAA//8DAFBL&#10;AwQUAAYACAAAACEAlfM7DOEAAAAKAQAADwAAAGRycy9kb3ducmV2LnhtbEyPwU7DMAyG70i8Q2Qk&#10;bl2yILZRmk5TpQkJwWFjF25pk7UViVOabCs8PeYEN1v+9Pv7i/XkHTvbMfYBFcxnApjFJpgeWwWH&#10;t222AhaTRqNdQKvgy0ZYl9dXhc5NuODOnvepZRSCMdcKupSGnPPYdNbrOAuDRbodw+h1onVsuRn1&#10;hcK941KIBfe6R/rQ6cFWnW0+9iev4LnavupdLf3q21VPL8fN8Hl4v1fq9mbaPAJLdkp/MPzqkzqU&#10;5FSHE5rInIJMLuSSWJrugBGQSTGndrWCB7EEXhb8f4XyBwAA//8DAFBLAQItABQABgAIAAAAIQC2&#10;gziS/gAAAOEBAAATAAAAAAAAAAAAAAAAAAAAAABbQ29udGVudF9UeXBlc10ueG1sUEsBAi0AFAAG&#10;AAgAAAAhADj9If/WAAAAlAEAAAsAAAAAAAAAAAAAAAAALwEAAF9yZWxzLy5yZWxzUEsBAi0AFAAG&#10;AAgAAAAhAO+1CHNRAgAAagQAAA4AAAAAAAAAAAAAAAAALgIAAGRycy9lMm9Eb2MueG1sUEsBAi0A&#10;FAAGAAgAAAAhAJXzOwzhAAAACgEAAA8AAAAAAAAAAAAAAAAAqwQAAGRycy9kb3ducmV2LnhtbFBL&#10;BQYAAAAABAAEAPMAAAC5BQAAAAA=&#10;" filled="f" stroked="f" strokeweight=".5pt">
                <v:textbox>
                  <w:txbxContent>
                    <w:p w14:paraId="1807F6EC" w14:textId="188A442C" w:rsidR="00920603" w:rsidRPr="00A630C5" w:rsidRDefault="00920603" w:rsidP="00AF7EF3">
                      <w:pPr>
                        <w:jc w:val="center"/>
                        <w:rPr>
                          <w:rFonts w:ascii="Book Antiqua" w:hAnsi="Book Antiqua"/>
                          <w:b/>
                        </w:rPr>
                      </w:pPr>
                      <w:r w:rsidRPr="00A630C5">
                        <w:rPr>
                          <w:rFonts w:ascii="Book Antiqua" w:hAnsi="Book Antiqua"/>
                          <w:b/>
                        </w:rPr>
                        <w:t>B</w:t>
                      </w:r>
                    </w:p>
                  </w:txbxContent>
                </v:textbox>
              </v:shape>
            </w:pict>
          </mc:Fallback>
        </mc:AlternateContent>
      </w:r>
      <w:r w:rsidRPr="00000DD3">
        <w:rPr>
          <w:rFonts w:ascii="Book Antiqua" w:hAnsi="Book Antiqua" w:cstheme="minorHAnsi"/>
          <w:noProof/>
          <w:lang w:eastAsia="zh-CN"/>
        </w:rPr>
        <mc:AlternateContent>
          <mc:Choice Requires="wps">
            <w:drawing>
              <wp:anchor distT="0" distB="0" distL="114300" distR="114300" simplePos="0" relativeHeight="251668480" behindDoc="0" locked="0" layoutInCell="1" allowOverlap="1" wp14:anchorId="1FCF4F1A" wp14:editId="2C683368">
                <wp:simplePos x="0" y="0"/>
                <wp:positionH relativeFrom="column">
                  <wp:posOffset>-3474720</wp:posOffset>
                </wp:positionH>
                <wp:positionV relativeFrom="paragraph">
                  <wp:posOffset>1270</wp:posOffset>
                </wp:positionV>
                <wp:extent cx="391795" cy="57785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391795" cy="577850"/>
                        </a:xfrm>
                        <a:prstGeom prst="rect">
                          <a:avLst/>
                        </a:prstGeom>
                        <a:noFill/>
                        <a:ln w="6350">
                          <a:noFill/>
                        </a:ln>
                      </wps:spPr>
                      <wps:txbx>
                        <w:txbxContent>
                          <w:p w14:paraId="592253DC" w14:textId="77777777" w:rsidR="00920603" w:rsidRPr="00A630C5" w:rsidRDefault="00920603" w:rsidP="00AF7EF3">
                            <w:pPr>
                              <w:jc w:val="center"/>
                              <w:rPr>
                                <w:rFonts w:ascii="Book Antiqua" w:hAnsi="Book Antiqua"/>
                                <w:b/>
                              </w:rPr>
                            </w:pPr>
                            <w:r w:rsidRPr="00A630C5">
                              <w:rPr>
                                <w:rFonts w:ascii="Book Antiqua" w:hAnsi="Book Antiqua"/>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F4F1A" id="テキスト ボックス 13" o:spid="_x0000_s1030" type="#_x0000_t202" style="position:absolute;left:0;text-align:left;margin-left:-273.6pt;margin-top:.1pt;width:30.85pt;height:4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1mZUQIAAGoEAAAOAAAAZHJzL2Uyb0RvYy54bWysVM1OGzEQvlfqO1i+l00gIRBlg1IQVSUE&#10;SKHi7Hi9ZKVdj2s77NIjkVAfoq9Q9dzn2RfpZ28SKO2p6sU74/nxzPfN7OSkqUp2r6wrSKe8v9fj&#10;TGlJWaHvUv7p5vzdEWfOC52JkrRK+YNy/GT69s2kNmO1T0sqM2UZkmg3rk3Kl96bcZI4uVSVcHtk&#10;lIYxJ1sJD9XeJZkVNbJXZbLf6x0mNdnMWJLKOdyedUY+jfnzXEl/ledOeVamHLX5eNp4LsKZTCdi&#10;fGeFWRZyU4b4hyoqUWg8ukt1JrxgK1v8kaoqpCVHud+TVCWU54VUsQd00++96ma+FEbFXgCOMzuY&#10;3P9LKy/vry0rMnB3wJkWFThq10/t4/f28We7/sra9bd2vW4ff0Bn8AFgtXFjxM0NIn3znhoEb+8d&#10;LgMOTW6r8EWHDHZA/7CDWzWeSVweHPdHx0POJEzD0ehoGOlInoONdf6DoooFIeUWbEaQxf2F8ygE&#10;rluX8Jam86IsI6OlZnXKDw+Q8jcLIkqNwNBCV2qQfLNoIgaDbRsLyh7QnaVuYJyR5wVquBDOXwuL&#10;CUFDmHp/hSMvCW/RRuJsSfbL3+6DP4iDlbMaE5dy93klrOKs/KhB6XF/MAgjGpXBcLQPxb60LF5a&#10;9Ko6JQx1H/tlZBSDvy+3Ym6pusVyzMKrMAkt8XbK/VY89d0eYLmkms2iE4bSCH+h50aG1AG7gPBN&#10;cyus2dDgwd8lbWdTjF+x0fl2qM9WnvIiUhVw7lDdwI+Bjgxuli9szEs9ej3/Iqa/AAAA//8DAFBL&#10;AwQUAAYACAAAACEAzYa/i+IAAAAJAQAADwAAAGRycy9kb3ducmV2LnhtbEyPQUvDQBCF74L/YRnB&#10;W7ppaDTGbEoJFEH00NqLt0l2mwSzszG7baO/3vGklwfDe7z3TbGe7SDOZvK9IwXLRQzCUON0T62C&#10;w9s2ykD4gKRxcGQUfBkP6/L6qsBcuwvtzHkfWsEl5HNU0IUw5lL6pjMW/cKNhtg7usli4HNqpZ7w&#10;wuV2kEkc30mLPfFCh6OpOtN87E9WwXO1fcVdndjse6ieXo6b8fPwnip1ezNvHkEEM4e/MPziMzqU&#10;zFS7E2kvBgVRurpPOKuAlf1olaUpiFrBwzIBWRby/wflDwAAAP//AwBQSwECLQAUAAYACAAAACEA&#10;toM4kv4AAADhAQAAEwAAAAAAAAAAAAAAAAAAAAAAW0NvbnRlbnRfVHlwZXNdLnhtbFBLAQItABQA&#10;BgAIAAAAIQA4/SH/1gAAAJQBAAALAAAAAAAAAAAAAAAAAC8BAABfcmVscy8ucmVsc1BLAQItABQA&#10;BgAIAAAAIQDb71mZUQIAAGoEAAAOAAAAAAAAAAAAAAAAAC4CAABkcnMvZTJvRG9jLnhtbFBLAQIt&#10;ABQABgAIAAAAIQDNhr+L4gAAAAkBAAAPAAAAAAAAAAAAAAAAAKsEAABkcnMvZG93bnJldi54bWxQ&#10;SwUGAAAAAAQABADzAAAAugUAAAAA&#10;" filled="f" stroked="f" strokeweight=".5pt">
                <v:textbox>
                  <w:txbxContent>
                    <w:p w14:paraId="592253DC" w14:textId="77777777" w:rsidR="00920603" w:rsidRPr="00A630C5" w:rsidRDefault="00920603" w:rsidP="00AF7EF3">
                      <w:pPr>
                        <w:jc w:val="center"/>
                        <w:rPr>
                          <w:rFonts w:ascii="Book Antiqua" w:hAnsi="Book Antiqua"/>
                          <w:b/>
                        </w:rPr>
                      </w:pPr>
                      <w:r w:rsidRPr="00A630C5">
                        <w:rPr>
                          <w:rFonts w:ascii="Book Antiqua" w:hAnsi="Book Antiqua"/>
                          <w:b/>
                        </w:rPr>
                        <w:t>A</w:t>
                      </w:r>
                    </w:p>
                  </w:txbxContent>
                </v:textbox>
              </v:shape>
            </w:pict>
          </mc:Fallback>
        </mc:AlternateContent>
      </w:r>
      <w:r w:rsidR="004176EB" w:rsidRPr="00000DD3">
        <w:rPr>
          <w:rFonts w:ascii="Book Antiqua" w:hAnsi="Book Antiqua" w:cstheme="minorHAnsi"/>
          <w:noProof/>
          <w:lang w:eastAsia="zh-CN"/>
        </w:rPr>
        <w:drawing>
          <wp:anchor distT="0" distB="0" distL="114300" distR="114300" simplePos="0" relativeHeight="251681792" behindDoc="0" locked="0" layoutInCell="1" allowOverlap="1" wp14:anchorId="0B5239C5" wp14:editId="6D7B4715">
            <wp:simplePos x="0" y="0"/>
            <wp:positionH relativeFrom="column">
              <wp:posOffset>3853815</wp:posOffset>
            </wp:positionH>
            <wp:positionV relativeFrom="paragraph">
              <wp:posOffset>3623</wp:posOffset>
            </wp:positionV>
            <wp:extent cx="1550629" cy="1547640"/>
            <wp:effectExtent l="0" t="0" r="0" b="190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３C .tiff"/>
                    <pic:cNvPicPr/>
                  </pic:nvPicPr>
                  <pic:blipFill rotWithShape="1">
                    <a:blip r:embed="rId12" cstate="print">
                      <a:extLst>
                        <a:ext uri="{28A0092B-C50C-407E-A947-70E740481C1C}">
                          <a14:useLocalDpi xmlns:a14="http://schemas.microsoft.com/office/drawing/2010/main" val="0"/>
                        </a:ext>
                      </a:extLst>
                    </a:blip>
                    <a:srcRect r="20975" b="40874"/>
                    <a:stretch/>
                  </pic:blipFill>
                  <pic:spPr bwMode="auto">
                    <a:xfrm>
                      <a:off x="0" y="0"/>
                      <a:ext cx="1550629" cy="1547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6BF9" w:rsidRPr="00000DD3">
        <w:rPr>
          <w:rFonts w:ascii="Book Antiqua" w:hAnsi="Book Antiqua" w:cstheme="minorHAnsi"/>
          <w:noProof/>
          <w:lang w:eastAsia="zh-CN"/>
        </w:rPr>
        <mc:AlternateContent>
          <mc:Choice Requires="wps">
            <w:drawing>
              <wp:anchor distT="0" distB="0" distL="114300" distR="114300" simplePos="0" relativeHeight="251672576" behindDoc="0" locked="0" layoutInCell="1" allowOverlap="1" wp14:anchorId="4F234772" wp14:editId="2D62D0C3">
                <wp:simplePos x="0" y="0"/>
                <wp:positionH relativeFrom="column">
                  <wp:posOffset>3524885</wp:posOffset>
                </wp:positionH>
                <wp:positionV relativeFrom="paragraph">
                  <wp:posOffset>-48260</wp:posOffset>
                </wp:positionV>
                <wp:extent cx="391795" cy="577850"/>
                <wp:effectExtent l="0" t="0" r="0" b="0"/>
                <wp:wrapNone/>
                <wp:docPr id="15" name="テキスト ボックス 15"/>
                <wp:cNvGraphicFramePr/>
                <a:graphic xmlns:a="http://schemas.openxmlformats.org/drawingml/2006/main">
                  <a:graphicData uri="http://schemas.microsoft.com/office/word/2010/wordprocessingShape">
                    <wps:wsp>
                      <wps:cNvSpPr txBox="1"/>
                      <wps:spPr>
                        <a:xfrm>
                          <a:off x="0" y="0"/>
                          <a:ext cx="391795" cy="577850"/>
                        </a:xfrm>
                        <a:prstGeom prst="rect">
                          <a:avLst/>
                        </a:prstGeom>
                        <a:noFill/>
                        <a:ln w="6350">
                          <a:noFill/>
                        </a:ln>
                      </wps:spPr>
                      <wps:txbx>
                        <w:txbxContent>
                          <w:p w14:paraId="358F5227" w14:textId="73E6489F" w:rsidR="00920603" w:rsidRPr="00E16BF9" w:rsidRDefault="00920603" w:rsidP="00AF7EF3">
                            <w:pPr>
                              <w:jc w:val="center"/>
                              <w:rPr>
                                <w:rFonts w:ascii="Book Antiqua" w:hAnsi="Book Antiqua"/>
                                <w:b/>
                                <w:sz w:val="28"/>
                                <w:szCs w:val="28"/>
                              </w:rPr>
                            </w:pPr>
                            <w:r w:rsidRPr="00E16BF9">
                              <w:rPr>
                                <w:rFonts w:ascii="Book Antiqua" w:hAnsi="Book Antiqua"/>
                                <w:b/>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34772" id="テキスト ボックス 15" o:spid="_x0000_s1031" type="#_x0000_t202" style="position:absolute;left:0;text-align:left;margin-left:277.55pt;margin-top:-3.8pt;width:30.85pt;height:4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6dTgIAAGoEAAAOAAAAZHJzL2Uyb0RvYy54bWysVN1O2zAUvp+0d7B8P9JCS2lFijoQ0yQE&#10;SDBx7TpOGynx8WyXhF1SCe0h9grTrvc8eZF9dtrC2K6m3TjHPv/fd06OT5qqZPfKuoJ0yvt7Pc6U&#10;lpQVepHyT7fn7444c17oTJSkVcoflOMn07dvjmszUfu0pDJTliGIdpPapHzpvZkkiZNLVQm3R0Zp&#10;KHOylfC42kWSWVEjelUm+73eYVKTzYwlqZzD61mn5NMYP8+V9Fd57pRnZcpRm4+njec8nMn0WEwW&#10;VphlITdliH+oohKFRtJdqDPhBVvZ4o9QVSEtOcr9nqQqoTwvpIo9oJt+71U3N0thVOwF4Dizg8n9&#10;v7Dy8v7asiIDd0POtKjAUbt+ah+/t48/2/VX1q6/tet1+/gDdwYbAFYbN4HfjYGnb95TA+ftu8Nj&#10;wKHJbRW+6JBBD+gfdnCrxjOJx4NxfzRGVgnVcDQ6GkY6kmdnY53/oKhiQUi5BZsRZHF/4TwKgenW&#10;JOTSdF6UZWS01KxO+eEBQv6mgUep4Rha6EoNkm/mTcRg196csgd0Z6kbGGfkeYEaLoTz18JiQtAQ&#10;pt5f4chLQi7aSJwtyX7523uwB3HQclZj4lLuPq+EVZyVHzUoHfcHgzCi8TIYjvZxsS8185cavapO&#10;CUPdx34ZGcVg78utmFuq7rAcs5AVKqElcqfcb8VT3+0Blkuq2SwaYSiN8Bf6xsgQOmAXEL5t7oQ1&#10;Gxo8+Luk7WyKySs2OtsO9dnKU15EqgLOHaob+DHQkcHN8oWNeXmPVs+/iOkvAAAA//8DAFBLAwQU&#10;AAYACAAAACEABxCW0eEAAAAJAQAADwAAAGRycy9kb3ducmV2LnhtbEyPQU+DQBCF7yb+h82YeGsX&#10;qiBBhqYhaUyMHlp78TawWyCyu8huW/TXO570OJkv732vWM9mEGc9+d5ZhHgZgdC2caq3LcLhbbvI&#10;QPhAVtHgrEb40h7W5fVVQblyF7vT531oBYdYnxNCF8KYS+mbThvySzdqy7+jmwwFPqdWqokuHG4G&#10;uYqiVBrqLTd0NOqq083H/mQQnqvtK+3qlcm+h+rp5bgZPw/vCeLtzbx5BBH0HP5g+NVndSjZqXYn&#10;q7wYEJIkiRlFWDykIBhI45S31AjZ3T3IspD/F5Q/AAAA//8DAFBLAQItABQABgAIAAAAIQC2gziS&#10;/gAAAOEBAAATAAAAAAAAAAAAAAAAAAAAAABbQ29udGVudF9UeXBlc10ueG1sUEsBAi0AFAAGAAgA&#10;AAAhADj9If/WAAAAlAEAAAsAAAAAAAAAAAAAAAAALwEAAF9yZWxzLy5yZWxzUEsBAi0AFAAGAAgA&#10;AAAhANtn/p1OAgAAagQAAA4AAAAAAAAAAAAAAAAALgIAAGRycy9lMm9Eb2MueG1sUEsBAi0AFAAG&#10;AAgAAAAhAAcQltHhAAAACQEAAA8AAAAAAAAAAAAAAAAAqAQAAGRycy9kb3ducmV2LnhtbFBLBQYA&#10;AAAABAAEAPMAAAC2BQAAAAA=&#10;" filled="f" stroked="f" strokeweight=".5pt">
                <v:textbox>
                  <w:txbxContent>
                    <w:p w14:paraId="358F5227" w14:textId="73E6489F" w:rsidR="00920603" w:rsidRPr="00E16BF9" w:rsidRDefault="00920603" w:rsidP="00AF7EF3">
                      <w:pPr>
                        <w:jc w:val="center"/>
                        <w:rPr>
                          <w:rFonts w:ascii="Book Antiqua" w:hAnsi="Book Antiqua"/>
                          <w:b/>
                          <w:sz w:val="28"/>
                          <w:szCs w:val="28"/>
                        </w:rPr>
                      </w:pPr>
                      <w:r w:rsidRPr="00E16BF9">
                        <w:rPr>
                          <w:rFonts w:ascii="Book Antiqua" w:hAnsi="Book Antiqua"/>
                          <w:b/>
                          <w:sz w:val="28"/>
                          <w:szCs w:val="28"/>
                        </w:rPr>
                        <w:t>C</w:t>
                      </w:r>
                    </w:p>
                  </w:txbxContent>
                </v:textbox>
              </v:shape>
            </w:pict>
          </mc:Fallback>
        </mc:AlternateContent>
      </w:r>
      <w:r w:rsidR="00E16BF9" w:rsidRPr="00000DD3">
        <w:rPr>
          <w:rFonts w:ascii="Book Antiqua" w:eastAsiaTheme="minorEastAsia" w:hAnsi="Book Antiqua" w:cstheme="minorBidi"/>
          <w:b/>
          <w:bCs/>
          <w:noProof/>
          <w:kern w:val="24"/>
          <w:lang w:eastAsia="zh-CN"/>
        </w:rPr>
        <w:drawing>
          <wp:anchor distT="0" distB="0" distL="114300" distR="114300" simplePos="0" relativeHeight="251665408" behindDoc="0" locked="0" layoutInCell="1" allowOverlap="1" wp14:anchorId="694DB7CC" wp14:editId="3B839D30">
            <wp:simplePos x="0" y="0"/>
            <wp:positionH relativeFrom="column">
              <wp:posOffset>2008311</wp:posOffset>
            </wp:positionH>
            <wp:positionV relativeFrom="paragraph">
              <wp:posOffset>6985</wp:posOffset>
            </wp:positionV>
            <wp:extent cx="1546860" cy="1546860"/>
            <wp:effectExtent l="0" t="0" r="2540" b="2540"/>
            <wp:wrapSquare wrapText="bothSides"/>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3B.tiff"/>
                    <pic:cNvPicPr/>
                  </pic:nvPicPr>
                  <pic:blipFill rotWithShape="1">
                    <a:blip r:embed="rId13" cstate="print">
                      <a:extLst>
                        <a:ext uri="{28A0092B-C50C-407E-A947-70E740481C1C}">
                          <a14:useLocalDpi xmlns:a14="http://schemas.microsoft.com/office/drawing/2010/main" val="0"/>
                        </a:ext>
                      </a:extLst>
                    </a:blip>
                    <a:srcRect r="21278" b="40979"/>
                    <a:stretch/>
                  </pic:blipFill>
                  <pic:spPr bwMode="auto">
                    <a:xfrm>
                      <a:off x="0" y="0"/>
                      <a:ext cx="1546860" cy="1546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7EF3" w:rsidRPr="00000DD3">
        <w:rPr>
          <w:rFonts w:ascii="Book Antiqua" w:eastAsiaTheme="minorEastAsia" w:hAnsi="Book Antiqua" w:cstheme="minorBidi"/>
          <w:b/>
          <w:bCs/>
          <w:noProof/>
          <w:kern w:val="24"/>
          <w:lang w:eastAsia="zh-CN"/>
        </w:rPr>
        <w:drawing>
          <wp:anchor distT="0" distB="0" distL="114300" distR="114300" simplePos="0" relativeHeight="251666432" behindDoc="0" locked="0" layoutInCell="1" allowOverlap="1" wp14:anchorId="7A8483DB" wp14:editId="6E100FD0">
            <wp:simplePos x="0" y="0"/>
            <wp:positionH relativeFrom="column">
              <wp:posOffset>199831</wp:posOffset>
            </wp:positionH>
            <wp:positionV relativeFrom="paragraph">
              <wp:posOffset>6350</wp:posOffset>
            </wp:positionV>
            <wp:extent cx="1546860" cy="1547495"/>
            <wp:effectExtent l="0" t="0" r="2540" b="1905"/>
            <wp:wrapSquare wrapText="bothSides"/>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3A.tiff"/>
                    <pic:cNvPicPr/>
                  </pic:nvPicPr>
                  <pic:blipFill rotWithShape="1">
                    <a:blip r:embed="rId14" cstate="print">
                      <a:extLst>
                        <a:ext uri="{28A0092B-C50C-407E-A947-70E740481C1C}">
                          <a14:useLocalDpi xmlns:a14="http://schemas.microsoft.com/office/drawing/2010/main" val="0"/>
                        </a:ext>
                      </a:extLst>
                    </a:blip>
                    <a:srcRect t="-1" r="21140" b="40876"/>
                    <a:stretch/>
                  </pic:blipFill>
                  <pic:spPr bwMode="auto">
                    <a:xfrm>
                      <a:off x="0" y="0"/>
                      <a:ext cx="1546860" cy="1547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7088AC" w14:textId="3BCCFA08" w:rsidR="00842EA3" w:rsidRPr="00000DD3" w:rsidRDefault="00842EA3" w:rsidP="00874B98">
      <w:pPr>
        <w:pStyle w:val="af2"/>
        <w:spacing w:before="0" w:beforeAutospacing="0" w:after="0" w:afterAutospacing="0" w:line="360" w:lineRule="auto"/>
        <w:jc w:val="both"/>
        <w:rPr>
          <w:rFonts w:ascii="Book Antiqua" w:eastAsiaTheme="minorEastAsia" w:hAnsi="Book Antiqua" w:cstheme="minorBidi"/>
          <w:noProof/>
          <w:kern w:val="24"/>
        </w:rPr>
      </w:pPr>
      <w:r w:rsidRPr="00000DD3">
        <w:rPr>
          <w:rFonts w:ascii="Book Antiqua" w:eastAsiaTheme="minorEastAsia" w:hAnsi="Book Antiqua" w:cstheme="minorBidi"/>
          <w:b/>
          <w:bCs/>
          <w:noProof/>
          <w:kern w:val="24"/>
        </w:rPr>
        <w:t xml:space="preserve">Figure </w:t>
      </w:r>
      <w:r w:rsidR="00BD4F0F" w:rsidRPr="00000DD3">
        <w:rPr>
          <w:rFonts w:ascii="Book Antiqua" w:eastAsiaTheme="minorEastAsia" w:hAnsi="Book Antiqua" w:cstheme="minorBidi"/>
          <w:b/>
          <w:bCs/>
          <w:noProof/>
          <w:kern w:val="24"/>
        </w:rPr>
        <w:t>3</w:t>
      </w:r>
      <w:r w:rsidRPr="00000DD3">
        <w:rPr>
          <w:rFonts w:ascii="Book Antiqua" w:eastAsiaTheme="minorEastAsia" w:hAnsi="Book Antiqua" w:cstheme="minorBidi"/>
          <w:b/>
          <w:bCs/>
          <w:noProof/>
          <w:kern w:val="24"/>
        </w:rPr>
        <w:t xml:space="preserve"> Trilineage differentiation of </w:t>
      </w:r>
      <w:r w:rsidR="00A630C5" w:rsidRPr="00000DD3">
        <w:rPr>
          <w:rFonts w:ascii="Book Antiqua" w:hAnsi="Book Antiqua" w:cs="Arial"/>
          <w:b/>
        </w:rPr>
        <w:t>canine</w:t>
      </w:r>
      <w:r w:rsidR="00A630C5" w:rsidRPr="00000DD3">
        <w:rPr>
          <w:rFonts w:ascii="Book Antiqua" w:hAnsi="Book Antiqua" w:cstheme="minorHAnsi"/>
          <w:b/>
          <w:noProof/>
        </w:rPr>
        <w:t xml:space="preserve"> mesenchymal stem cells</w:t>
      </w:r>
      <w:r w:rsidRPr="00000DD3">
        <w:rPr>
          <w:rFonts w:ascii="Book Antiqua" w:eastAsiaTheme="minorEastAsia" w:hAnsi="Book Antiqua" w:cstheme="minorBidi"/>
          <w:b/>
          <w:bCs/>
          <w:noProof/>
          <w:kern w:val="24"/>
        </w:rPr>
        <w:t>.</w:t>
      </w:r>
      <w:r w:rsidRPr="00000DD3">
        <w:rPr>
          <w:rFonts w:ascii="Book Antiqua" w:eastAsiaTheme="minorEastAsia" w:hAnsi="Book Antiqua" w:cstheme="minorBidi"/>
          <w:b/>
          <w:noProof/>
          <w:kern w:val="24"/>
        </w:rPr>
        <w:t xml:space="preserve"> </w:t>
      </w:r>
      <w:r w:rsidRPr="00000DD3">
        <w:rPr>
          <w:rFonts w:ascii="Book Antiqua" w:eastAsiaTheme="minorEastAsia" w:hAnsi="Book Antiqua" w:cstheme="minorBidi"/>
          <w:noProof/>
          <w:kern w:val="24"/>
        </w:rPr>
        <w:t xml:space="preserve">A: </w:t>
      </w:r>
      <w:r w:rsidR="00C70284" w:rsidRPr="00000DD3">
        <w:rPr>
          <w:rFonts w:ascii="Book Antiqua" w:eastAsiaTheme="minorEastAsia" w:hAnsi="Book Antiqua" w:cstheme="minorBidi"/>
          <w:noProof/>
          <w:kern w:val="24"/>
        </w:rPr>
        <w:t xml:space="preserve">Adipogenic differentiation confirmed by oil red-o staining. Bar = 50 µm; B: Osteogenic differentiation confirmed by alizarin red. Bar = 100 µm; C: </w:t>
      </w:r>
      <w:r w:rsidRPr="00000DD3">
        <w:rPr>
          <w:rFonts w:ascii="Book Antiqua" w:eastAsiaTheme="minorEastAsia" w:hAnsi="Book Antiqua" w:cstheme="minorBidi"/>
          <w:noProof/>
          <w:kern w:val="24"/>
        </w:rPr>
        <w:t xml:space="preserve">Chondrogenic differentiation confirmed by </w:t>
      </w:r>
      <w:r w:rsidR="00B10803" w:rsidRPr="00000DD3">
        <w:rPr>
          <w:rFonts w:ascii="Book Antiqua" w:eastAsiaTheme="minorEastAsia" w:hAnsi="Book Antiqua" w:cstheme="minorBidi"/>
          <w:noProof/>
          <w:kern w:val="24"/>
        </w:rPr>
        <w:t>t</w:t>
      </w:r>
      <w:r w:rsidRPr="00000DD3">
        <w:rPr>
          <w:rFonts w:ascii="Book Antiqua" w:eastAsiaTheme="minorEastAsia" w:hAnsi="Book Antiqua" w:cstheme="minorBidi"/>
          <w:noProof/>
          <w:kern w:val="24"/>
        </w:rPr>
        <w:t xml:space="preserve">oluidine blue staining. Bar = </w:t>
      </w:r>
      <w:r w:rsidR="0025084A" w:rsidRPr="00000DD3">
        <w:rPr>
          <w:rFonts w:ascii="Book Antiqua" w:eastAsiaTheme="minorEastAsia" w:hAnsi="Book Antiqua" w:cstheme="minorBidi"/>
          <w:noProof/>
          <w:kern w:val="24"/>
        </w:rPr>
        <w:t>250</w:t>
      </w:r>
      <w:r w:rsidRPr="00000DD3">
        <w:rPr>
          <w:rFonts w:ascii="Book Antiqua" w:eastAsiaTheme="minorEastAsia" w:hAnsi="Book Antiqua" w:cstheme="minorBidi"/>
          <w:noProof/>
          <w:kern w:val="24"/>
        </w:rPr>
        <w:t xml:space="preserve"> µm.</w:t>
      </w:r>
    </w:p>
    <w:p w14:paraId="36D70A54" w14:textId="4F3F1B4D" w:rsidR="006F0BBD" w:rsidRPr="00000DD3" w:rsidRDefault="006F0BBD" w:rsidP="00874B98">
      <w:pPr>
        <w:spacing w:line="360" w:lineRule="auto"/>
        <w:jc w:val="both"/>
        <w:rPr>
          <w:rFonts w:ascii="Book Antiqua" w:eastAsiaTheme="minorEastAsia" w:hAnsi="Book Antiqua" w:cstheme="minorBidi"/>
          <w:noProof/>
          <w:kern w:val="24"/>
        </w:rPr>
      </w:pPr>
      <w:r w:rsidRPr="00000DD3">
        <w:rPr>
          <w:rFonts w:ascii="Book Antiqua" w:eastAsiaTheme="minorEastAsia" w:hAnsi="Book Antiqua" w:cstheme="minorBidi"/>
          <w:noProof/>
          <w:kern w:val="24"/>
        </w:rPr>
        <w:br w:type="page"/>
      </w:r>
    </w:p>
    <w:p w14:paraId="7ECC851D" w14:textId="5A7CB587" w:rsidR="006F0BBD" w:rsidRPr="00000DD3" w:rsidRDefault="007905E1" w:rsidP="00874B98">
      <w:pPr>
        <w:pStyle w:val="af2"/>
        <w:spacing w:before="0" w:beforeAutospacing="0" w:after="0" w:afterAutospacing="0" w:line="360" w:lineRule="auto"/>
        <w:jc w:val="both"/>
        <w:rPr>
          <w:rFonts w:ascii="Book Antiqua" w:eastAsiaTheme="minorEastAsia" w:hAnsi="Book Antiqua" w:cstheme="minorBidi"/>
          <w:b/>
          <w:noProof/>
          <w:kern w:val="24"/>
        </w:rPr>
      </w:pPr>
      <w:r w:rsidRPr="00000DD3">
        <w:rPr>
          <w:rFonts w:ascii="Book Antiqua" w:hAnsi="Book Antiqua" w:cstheme="minorHAnsi"/>
          <w:noProof/>
          <w:lang w:eastAsia="zh-CN"/>
        </w:rPr>
        <mc:AlternateContent>
          <mc:Choice Requires="wps">
            <w:drawing>
              <wp:anchor distT="0" distB="0" distL="114300" distR="114300" simplePos="0" relativeHeight="251678720" behindDoc="0" locked="0" layoutInCell="1" allowOverlap="1" wp14:anchorId="14CCA8BB" wp14:editId="719C5454">
                <wp:simplePos x="0" y="0"/>
                <wp:positionH relativeFrom="column">
                  <wp:posOffset>3063875</wp:posOffset>
                </wp:positionH>
                <wp:positionV relativeFrom="paragraph">
                  <wp:posOffset>81280</wp:posOffset>
                </wp:positionV>
                <wp:extent cx="391795" cy="57785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391795" cy="577850"/>
                        </a:xfrm>
                        <a:prstGeom prst="rect">
                          <a:avLst/>
                        </a:prstGeom>
                        <a:noFill/>
                        <a:ln w="6350">
                          <a:noFill/>
                        </a:ln>
                      </wps:spPr>
                      <wps:txbx>
                        <w:txbxContent>
                          <w:p w14:paraId="2FBA690D" w14:textId="5C7294E4" w:rsidR="00920603" w:rsidRPr="007905E1" w:rsidRDefault="00920603" w:rsidP="00E16BF9">
                            <w:pPr>
                              <w:jc w:val="center"/>
                              <w:rPr>
                                <w:rFonts w:ascii="Book Antiqua" w:hAnsi="Book Antiqua"/>
                                <w:b/>
                                <w:color w:val="EDEDED" w:themeColor="accent3" w:themeTint="33"/>
                              </w:rPr>
                            </w:pPr>
                            <w:r w:rsidRPr="007905E1">
                              <w:rPr>
                                <w:rFonts w:ascii="Book Antiqua" w:hAnsi="Book Antiqua"/>
                                <w:b/>
                                <w:color w:val="EDEDED" w:themeColor="accent3" w:themeTint="33"/>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CA8BB" id="テキスト ボックス 19" o:spid="_x0000_s1032" type="#_x0000_t202" style="position:absolute;left:0;text-align:left;margin-left:241.25pt;margin-top:6.4pt;width:30.85pt;height:4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f5BUQIAAGoEAAAOAAAAZHJzL2Uyb0RvYy54bWysVM1OGzEQvlfqO1i+l02AEBJlg1IQVSUE&#10;SKHi7Hi9yUq7Htd22KVHIqE+RF+h6rnPsy/Sz94EKO2p6sU74/nxzPfN7OSkqUp2p6wrSKe8v9fj&#10;TGlJWaGXKf90c/7umDPnhc5ESVql/F45fjJ9+2ZSm7HapxWVmbIMSbQb1yblK+/NOEmcXKlKuD0y&#10;SsOYk62Eh2qXSWZFjexVmez3ekdJTTYzlqRyDrdnnZFPY/48V9Jf5blTnpUpR20+njaei3Am04kY&#10;L60wq0JuyxD/UEUlCo1Hn1KdCS/Y2hZ/pKoKaclR7vckVQnleSFV7AHd9HuvupmvhFGxF4DjzBNM&#10;7v+llZd315YVGbgbcaZFBY7azWP78L19+NluvrJ2863dbNqHH9AZfABYbdwYcXODSN+8pwbBu3uH&#10;y4BDk9sqfNEhgx3Q3z/BrRrPJC4PRv3haMCZhGkwHB4PIh3Jc7Cxzn9QVLEgpNyCzQiyuLtwHoXA&#10;decS3tJ0XpRlZLTUrE750QFS/mZBRKkRGFroSg2SbxZNxOBo18aCsnt0Z6kbGGfkeYEaLoTz18Ji&#10;QtAQpt5f4chLwlu0lThbkf3yt/vgD+Jg5azGxKXcfV4LqzgrP2pQOuofHoYRjcrhYLgPxb60LF5a&#10;9Lo6JQx1H/tlZBSDvy93Ym6pusVyzMKrMAkt8XbK/U489d0eYLmkms2iE4bSCH+h50aG1AG7gPBN&#10;cyus2dLgwd8l7WZTjF+x0fl2qM/WnvIiUhVw7lDdwo+Bjgxuly9szEs9ej3/Iqa/AAAA//8DAFBL&#10;AwQUAAYACAAAACEAJ4uvSOAAAAAKAQAADwAAAGRycy9kb3ducmV2LnhtbEyPzU7DMBCE70i8g7VI&#10;3KhTk6AoxKmqSBUSgkNLL9w2sZtE9U+I3Tbw9CwnetyZT7Mz5Wq2hp31FAbvJCwXCTDtWq8G10nY&#10;f2wecmAholNovNMSvnWAVXV7U2Kh/MVt9XkXO0YhLhQooY9xLDgPba8thoUftSPv4CeLkc6p42rC&#10;C4Vbw0WSPHGLg6MPPY667nV73J2shNd6847bRtj8x9Qvb4f1+LX/zKS8v5vXz8CinuM/DH/1qTpU&#10;1KnxJ6cCMxLSXGSEkiFoAgFZmgpgDQnJYw68Kvn1hOoXAAD//wMAUEsBAi0AFAAGAAgAAAAhALaD&#10;OJL+AAAA4QEAABMAAAAAAAAAAAAAAAAAAAAAAFtDb250ZW50X1R5cGVzXS54bWxQSwECLQAUAAYA&#10;CAAAACEAOP0h/9YAAACUAQAACwAAAAAAAAAAAAAAAAAvAQAAX3JlbHMvLnJlbHNQSwECLQAUAAYA&#10;CAAAACEApMX+QVECAABqBAAADgAAAAAAAAAAAAAAAAAuAgAAZHJzL2Uyb0RvYy54bWxQSwECLQAU&#10;AAYACAAAACEAJ4uvSOAAAAAKAQAADwAAAAAAAAAAAAAAAACrBAAAZHJzL2Rvd25yZXYueG1sUEsF&#10;BgAAAAAEAAQA8wAAALgFAAAAAA==&#10;" filled="f" stroked="f" strokeweight=".5pt">
                <v:textbox>
                  <w:txbxContent>
                    <w:p w14:paraId="2FBA690D" w14:textId="5C7294E4" w:rsidR="00920603" w:rsidRPr="007905E1" w:rsidRDefault="00920603" w:rsidP="00E16BF9">
                      <w:pPr>
                        <w:jc w:val="center"/>
                        <w:rPr>
                          <w:rFonts w:ascii="Book Antiqua" w:hAnsi="Book Antiqua"/>
                          <w:b/>
                          <w:color w:val="EDEDED" w:themeColor="accent3" w:themeTint="33"/>
                        </w:rPr>
                      </w:pPr>
                      <w:r w:rsidRPr="007905E1">
                        <w:rPr>
                          <w:rFonts w:ascii="Book Antiqua" w:hAnsi="Book Antiqua"/>
                          <w:b/>
                          <w:color w:val="EDEDED" w:themeColor="accent3" w:themeTint="33"/>
                        </w:rPr>
                        <w:t>B</w:t>
                      </w:r>
                    </w:p>
                  </w:txbxContent>
                </v:textbox>
              </v:shape>
            </w:pict>
          </mc:Fallback>
        </mc:AlternateContent>
      </w:r>
      <w:r w:rsidRPr="00000DD3">
        <w:rPr>
          <w:rFonts w:ascii="Book Antiqua" w:hAnsi="Book Antiqua" w:cstheme="minorHAnsi"/>
          <w:noProof/>
          <w:lang w:eastAsia="zh-CN"/>
        </w:rPr>
        <mc:AlternateContent>
          <mc:Choice Requires="wps">
            <w:drawing>
              <wp:anchor distT="0" distB="0" distL="114300" distR="114300" simplePos="0" relativeHeight="251676672" behindDoc="0" locked="0" layoutInCell="1" allowOverlap="1" wp14:anchorId="1DB71E27" wp14:editId="0416969A">
                <wp:simplePos x="0" y="0"/>
                <wp:positionH relativeFrom="column">
                  <wp:posOffset>368300</wp:posOffset>
                </wp:positionH>
                <wp:positionV relativeFrom="paragraph">
                  <wp:posOffset>81280</wp:posOffset>
                </wp:positionV>
                <wp:extent cx="391795" cy="577850"/>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391795" cy="577850"/>
                        </a:xfrm>
                        <a:prstGeom prst="rect">
                          <a:avLst/>
                        </a:prstGeom>
                        <a:noFill/>
                        <a:ln w="6350">
                          <a:noFill/>
                        </a:ln>
                      </wps:spPr>
                      <wps:txbx>
                        <w:txbxContent>
                          <w:p w14:paraId="64420C1A" w14:textId="77777777" w:rsidR="00920603" w:rsidRPr="007905E1" w:rsidRDefault="00920603" w:rsidP="00E16BF9">
                            <w:pPr>
                              <w:jc w:val="center"/>
                              <w:rPr>
                                <w:rFonts w:ascii="Book Antiqua" w:hAnsi="Book Antiqua"/>
                                <w:b/>
                                <w:color w:val="EDEDED" w:themeColor="accent3" w:themeTint="33"/>
                              </w:rPr>
                            </w:pPr>
                            <w:r w:rsidRPr="007905E1">
                              <w:rPr>
                                <w:rFonts w:ascii="Book Antiqua" w:hAnsi="Book Antiqua"/>
                                <w:b/>
                                <w:color w:val="EDEDED" w:themeColor="accent3" w:themeTint="33"/>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71E27" id="テキスト ボックス 18" o:spid="_x0000_s1033" type="#_x0000_t202" style="position:absolute;left:0;text-align:left;margin-left:29pt;margin-top:6.4pt;width:30.85pt;height:4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nXoUAIAAGoEAAAOAAAAZHJzL2Uyb0RvYy54bWysVM1OGzEQvlfqO1i+N5sEQiBig1JQqkoI&#10;kKDi7Hi9ZKVdj2s72aVHIqE+RF+h6rnPsy/Sz94EKO2p6sU74/nxzPfN7PFJU5VsrawrSKd80Otz&#10;prSkrNB3Kf90M393yJnzQmeiJK1Sfq8cP5m+fXNcm4ka0pLKTFmGJNpNapPypfdmkiROLlUlXI+M&#10;0jDmZCvhodq7JLOiRvaqTIb9/kFSk82MJamcw+1ZZ+TTmD/PlfSXee6UZ2XKUZuPp43nIpzJ9FhM&#10;7qwwy0JuyxD/UEUlCo1Hn1KdCS/YyhZ/pKoKaclR7nuSqoTyvJAq9oBuBv1X3VwvhVGxF4DjzBNM&#10;7v+llRfrK8uKDNyBKS0qcNRuHtuH7+3Dz3bzlbWbb+1m0z78gM7gA8Bq4yaIuzaI9M17ahC8u3e4&#10;DDg0ua3CFx0y2AH9/RPcqvFM4nLvaDA+GnEmYRqNx4ejSEfyHGys8x8UVSwIKbdgM4Is1ufOoxC4&#10;7lzCW5rmRVlGRkvN6pQf7CHlbxZElBqBoYWu1CD5ZtFEDMa7NhaU3aM7S93AOCPnBWo4F85fCYsJ&#10;QUOYen+JIy8Jb9FW4mxJ9svf7oM/iIOVsxoTl3L3eSWs4qz8qEHp0WB/P4xoVPZH4yEU+9KyeGnR&#10;q+qUMNQD7JeRUQz+vtyJuaXqFssxC6/CJLTE2yn3O/HUd3uA5ZJqNotOGEoj/Lm+NjKkDtgFhG+a&#10;W2HNlgYP/i5oN5ti8oqNzrdDfbbylBeRqoBzh+oWfgx0ZHC7fGFjXurR6/kXMf0FAAD//wMAUEsD&#10;BBQABgAIAAAAIQC/FuEK4AAAAAkBAAAPAAAAZHJzL2Rvd25yZXYueG1sTI/NTsNADITvSLzDykjc&#10;6KZBhRCyqapIFRKCQ0sv3Jysm0TsT8hu28DT457KzfaMxt8Uy8kacaQx9N4pmM8SEOQar3vXKth9&#10;rO8yECGi02i8IwU/FGBZXl8VmGt/chs6bmMrOMSFHBV0MQ65lKHpyGKY+YEca3s/Woy8jq3UI544&#10;3BqZJsmDtNg7/tDhQFVHzdf2YBW8Vut33NSpzX5N9fK2Xw3fu8+FUrc30+oZRKQpXsxwxmd0KJmp&#10;9gengzAKFhlXiXxPucFZnz89gqh5SO4zkGUh/zco/wAAAP//AwBQSwECLQAUAAYACAAAACEAtoM4&#10;kv4AAADhAQAAEwAAAAAAAAAAAAAAAAAAAAAAW0NvbnRlbnRfVHlwZXNdLnhtbFBLAQItABQABgAI&#10;AAAAIQA4/SH/1gAAAJQBAAALAAAAAAAAAAAAAAAAAC8BAABfcmVscy8ucmVsc1BLAQItABQABgAI&#10;AAAAIQAuAnXoUAIAAGoEAAAOAAAAAAAAAAAAAAAAAC4CAABkcnMvZTJvRG9jLnhtbFBLAQItABQA&#10;BgAIAAAAIQC/FuEK4AAAAAkBAAAPAAAAAAAAAAAAAAAAAKoEAABkcnMvZG93bnJldi54bWxQSwUG&#10;AAAAAAQABADzAAAAtwUAAAAA&#10;" filled="f" stroked="f" strokeweight=".5pt">
                <v:textbox>
                  <w:txbxContent>
                    <w:p w14:paraId="64420C1A" w14:textId="77777777" w:rsidR="00920603" w:rsidRPr="007905E1" w:rsidRDefault="00920603" w:rsidP="00E16BF9">
                      <w:pPr>
                        <w:jc w:val="center"/>
                        <w:rPr>
                          <w:rFonts w:ascii="Book Antiqua" w:hAnsi="Book Antiqua"/>
                          <w:b/>
                          <w:color w:val="EDEDED" w:themeColor="accent3" w:themeTint="33"/>
                        </w:rPr>
                      </w:pPr>
                      <w:r w:rsidRPr="007905E1">
                        <w:rPr>
                          <w:rFonts w:ascii="Book Antiqua" w:hAnsi="Book Antiqua"/>
                          <w:b/>
                          <w:color w:val="EDEDED" w:themeColor="accent3" w:themeTint="33"/>
                        </w:rPr>
                        <w:t>A</w:t>
                      </w:r>
                    </w:p>
                  </w:txbxContent>
                </v:textbox>
              </v:shape>
            </w:pict>
          </mc:Fallback>
        </mc:AlternateContent>
      </w:r>
      <w:r w:rsidR="00E16BF9" w:rsidRPr="00000DD3">
        <w:rPr>
          <w:rFonts w:ascii="Book Antiqua" w:eastAsiaTheme="minorEastAsia" w:hAnsi="Book Antiqua" w:cstheme="minorBidi"/>
          <w:b/>
          <w:noProof/>
          <w:kern w:val="24"/>
          <w:lang w:eastAsia="zh-CN"/>
        </w:rPr>
        <w:drawing>
          <wp:anchor distT="0" distB="0" distL="114300" distR="114300" simplePos="0" relativeHeight="251673600" behindDoc="0" locked="0" layoutInCell="1" allowOverlap="1" wp14:anchorId="377697FB" wp14:editId="45EC29DE">
            <wp:simplePos x="0" y="0"/>
            <wp:positionH relativeFrom="column">
              <wp:posOffset>368300</wp:posOffset>
            </wp:positionH>
            <wp:positionV relativeFrom="paragraph">
              <wp:posOffset>74930</wp:posOffset>
            </wp:positionV>
            <wp:extent cx="2331085" cy="1744345"/>
            <wp:effectExtent l="0" t="0" r="5715" b="0"/>
            <wp:wrapSquare wrapText="bothSides"/>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4A.tiff"/>
                    <pic:cNvPicPr/>
                  </pic:nvPicPr>
                  <pic:blipFill rotWithShape="1">
                    <a:blip r:embed="rId15" cstate="print">
                      <a:extLst>
                        <a:ext uri="{28A0092B-C50C-407E-A947-70E740481C1C}">
                          <a14:useLocalDpi xmlns:a14="http://schemas.microsoft.com/office/drawing/2010/main" val="0"/>
                        </a:ext>
                      </a:extLst>
                    </a:blip>
                    <a:srcRect r="26514" b="26612"/>
                    <a:stretch/>
                  </pic:blipFill>
                  <pic:spPr bwMode="auto">
                    <a:xfrm>
                      <a:off x="0" y="0"/>
                      <a:ext cx="2331085" cy="1744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6BF9" w:rsidRPr="00000DD3">
        <w:rPr>
          <w:rFonts w:ascii="Book Antiqua" w:hAnsi="Book Antiqua"/>
          <w:b/>
          <w:noProof/>
          <w:lang w:eastAsia="zh-CN"/>
        </w:rPr>
        <w:drawing>
          <wp:anchor distT="0" distB="0" distL="114300" distR="114300" simplePos="0" relativeHeight="251674624" behindDoc="0" locked="0" layoutInCell="1" allowOverlap="1" wp14:anchorId="59BC56C5" wp14:editId="6F85C106">
            <wp:simplePos x="0" y="0"/>
            <wp:positionH relativeFrom="column">
              <wp:posOffset>3064951</wp:posOffset>
            </wp:positionH>
            <wp:positionV relativeFrom="paragraph">
              <wp:posOffset>73660</wp:posOffset>
            </wp:positionV>
            <wp:extent cx="2329723" cy="1744723"/>
            <wp:effectExtent l="0" t="0" r="0" b="0"/>
            <wp:wrapSquare wrapText="bothSides"/>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4B.tiff"/>
                    <pic:cNvPicPr/>
                  </pic:nvPicPr>
                  <pic:blipFill rotWithShape="1">
                    <a:blip r:embed="rId16" cstate="print">
                      <a:extLst>
                        <a:ext uri="{28A0092B-C50C-407E-A947-70E740481C1C}">
                          <a14:useLocalDpi xmlns:a14="http://schemas.microsoft.com/office/drawing/2010/main" val="0"/>
                        </a:ext>
                      </a:extLst>
                    </a:blip>
                    <a:srcRect r="26341" b="26385"/>
                    <a:stretch/>
                  </pic:blipFill>
                  <pic:spPr bwMode="auto">
                    <a:xfrm>
                      <a:off x="0" y="0"/>
                      <a:ext cx="2329723" cy="17447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C19ACD" w14:textId="77777777" w:rsidR="00E16BF9" w:rsidRPr="00000DD3" w:rsidRDefault="00E16BF9" w:rsidP="00874B98">
      <w:pPr>
        <w:pStyle w:val="af2"/>
        <w:spacing w:before="0" w:beforeAutospacing="0" w:after="0" w:afterAutospacing="0" w:line="360" w:lineRule="auto"/>
        <w:jc w:val="both"/>
        <w:rPr>
          <w:rFonts w:ascii="Book Antiqua" w:hAnsi="Book Antiqua"/>
          <w:b/>
        </w:rPr>
      </w:pPr>
    </w:p>
    <w:p w14:paraId="67BFBD8F" w14:textId="77777777" w:rsidR="00E16BF9" w:rsidRPr="00000DD3" w:rsidRDefault="00E16BF9" w:rsidP="00874B98">
      <w:pPr>
        <w:pStyle w:val="af2"/>
        <w:spacing w:before="0" w:beforeAutospacing="0" w:after="0" w:afterAutospacing="0" w:line="360" w:lineRule="auto"/>
        <w:jc w:val="both"/>
        <w:rPr>
          <w:rFonts w:ascii="Book Antiqua" w:hAnsi="Book Antiqua"/>
          <w:b/>
        </w:rPr>
      </w:pPr>
    </w:p>
    <w:p w14:paraId="1CFD8D82" w14:textId="77777777" w:rsidR="00E16BF9" w:rsidRPr="00000DD3" w:rsidRDefault="00E16BF9" w:rsidP="00874B98">
      <w:pPr>
        <w:pStyle w:val="af2"/>
        <w:spacing w:before="0" w:beforeAutospacing="0" w:after="0" w:afterAutospacing="0" w:line="360" w:lineRule="auto"/>
        <w:jc w:val="both"/>
        <w:rPr>
          <w:rFonts w:ascii="Book Antiqua" w:hAnsi="Book Antiqua"/>
          <w:b/>
        </w:rPr>
      </w:pPr>
    </w:p>
    <w:p w14:paraId="6354FC02" w14:textId="77777777" w:rsidR="00E16BF9" w:rsidRPr="00000DD3" w:rsidRDefault="00E16BF9" w:rsidP="00874B98">
      <w:pPr>
        <w:pStyle w:val="af2"/>
        <w:spacing w:before="0" w:beforeAutospacing="0" w:after="0" w:afterAutospacing="0" w:line="360" w:lineRule="auto"/>
        <w:jc w:val="both"/>
        <w:rPr>
          <w:rFonts w:ascii="Book Antiqua" w:hAnsi="Book Antiqua"/>
          <w:b/>
        </w:rPr>
      </w:pPr>
    </w:p>
    <w:p w14:paraId="24BE20F3" w14:textId="77777777" w:rsidR="00E16BF9" w:rsidRPr="00000DD3" w:rsidRDefault="00E16BF9" w:rsidP="00874B98">
      <w:pPr>
        <w:pStyle w:val="af2"/>
        <w:spacing w:before="0" w:beforeAutospacing="0" w:after="0" w:afterAutospacing="0" w:line="360" w:lineRule="auto"/>
        <w:jc w:val="both"/>
        <w:rPr>
          <w:rFonts w:ascii="Book Antiqua" w:hAnsi="Book Antiqua"/>
          <w:b/>
        </w:rPr>
      </w:pPr>
    </w:p>
    <w:p w14:paraId="6F747300" w14:textId="4057AAE2" w:rsidR="00FC0C9B" w:rsidRPr="00000DD3" w:rsidRDefault="00FC0C9B" w:rsidP="00874B98">
      <w:pPr>
        <w:pStyle w:val="af2"/>
        <w:spacing w:before="0" w:beforeAutospacing="0" w:after="0" w:afterAutospacing="0" w:line="360" w:lineRule="auto"/>
        <w:jc w:val="both"/>
        <w:rPr>
          <w:rFonts w:ascii="Book Antiqua" w:hAnsi="Book Antiqua" w:cstheme="minorHAnsi"/>
          <w:b/>
          <w:noProof/>
        </w:rPr>
      </w:pPr>
      <w:r w:rsidRPr="00000DD3">
        <w:rPr>
          <w:rFonts w:ascii="Book Antiqua" w:hAnsi="Book Antiqua"/>
          <w:b/>
        </w:rPr>
        <w:t>Figure 4 Cartilage defect models in dog stifle joints.</w:t>
      </w:r>
      <w:r w:rsidR="007905E1" w:rsidRPr="00000DD3">
        <w:rPr>
          <w:rFonts w:ascii="Book Antiqua" w:eastAsia="黑体" w:hAnsi="Book Antiqua" w:cstheme="minorHAnsi" w:hint="eastAsia"/>
          <w:b/>
          <w:noProof/>
          <w:lang w:eastAsia="zh-CN"/>
        </w:rPr>
        <w:t xml:space="preserve"> </w:t>
      </w:r>
      <w:r w:rsidRPr="00000DD3">
        <w:rPr>
          <w:rFonts w:ascii="Book Antiqua" w:eastAsiaTheme="minorEastAsia" w:hAnsi="Book Antiqua" w:cstheme="minorBidi"/>
          <w:kern w:val="24"/>
        </w:rPr>
        <w:t>A: A macroscopic image of a partial-thickness cartilage defect model in a dog stifle joint</w:t>
      </w:r>
      <w:r w:rsidR="00183D4C" w:rsidRPr="00000DD3">
        <w:rPr>
          <w:rFonts w:ascii="Book Antiqua" w:eastAsia="黑体" w:hAnsi="Book Antiqua" w:cstheme="minorBidi" w:hint="eastAsia"/>
          <w:kern w:val="24"/>
          <w:lang w:eastAsia="zh-CN"/>
        </w:rPr>
        <w:t>;</w:t>
      </w:r>
      <w:r w:rsidRPr="00000DD3">
        <w:rPr>
          <w:rFonts w:ascii="Book Antiqua" w:eastAsiaTheme="minorEastAsia" w:hAnsi="Book Antiqua" w:cstheme="minorBidi"/>
          <w:kern w:val="24"/>
        </w:rPr>
        <w:t xml:space="preserve"> B: A macroscopic image of a full-thickness cartilage defect model in a dog stifle joint. </w:t>
      </w:r>
    </w:p>
    <w:p w14:paraId="264367BE" w14:textId="77777777" w:rsidR="00FC0C9B" w:rsidRPr="00000DD3" w:rsidRDefault="00FC0C9B" w:rsidP="00874B98">
      <w:pPr>
        <w:spacing w:line="360" w:lineRule="auto"/>
        <w:jc w:val="both"/>
        <w:rPr>
          <w:rFonts w:ascii="Book Antiqua" w:hAnsi="Book Antiqua" w:cstheme="minorHAnsi"/>
          <w:b/>
          <w:noProof/>
        </w:rPr>
      </w:pPr>
    </w:p>
    <w:p w14:paraId="751ECBE5" w14:textId="77777777" w:rsidR="00FC0C9B" w:rsidRPr="00000DD3" w:rsidRDefault="00FC0C9B" w:rsidP="00874B98">
      <w:pPr>
        <w:spacing w:line="360" w:lineRule="auto"/>
        <w:jc w:val="both"/>
        <w:rPr>
          <w:rFonts w:ascii="Book Antiqua" w:hAnsi="Book Antiqua" w:cstheme="minorHAnsi"/>
          <w:b/>
          <w:noProof/>
        </w:rPr>
      </w:pPr>
      <w:r w:rsidRPr="00000DD3">
        <w:rPr>
          <w:rFonts w:ascii="Book Antiqua" w:hAnsi="Book Antiqua" w:cstheme="minorHAnsi"/>
          <w:b/>
          <w:noProof/>
        </w:rPr>
        <w:br w:type="page"/>
      </w:r>
    </w:p>
    <w:p w14:paraId="41B2E735" w14:textId="7B3FE006" w:rsidR="00842EA3" w:rsidRPr="00000DD3" w:rsidRDefault="00842EA3" w:rsidP="00874B98">
      <w:pPr>
        <w:spacing w:line="360" w:lineRule="auto"/>
        <w:jc w:val="both"/>
        <w:rPr>
          <w:rFonts w:ascii="Book Antiqua" w:hAnsi="Book Antiqua" w:cstheme="minorHAnsi"/>
          <w:b/>
          <w:noProof/>
        </w:rPr>
      </w:pPr>
      <w:r w:rsidRPr="00000DD3">
        <w:rPr>
          <w:rFonts w:ascii="Book Antiqua" w:hAnsi="Book Antiqua" w:cstheme="minorHAnsi"/>
          <w:b/>
          <w:noProof/>
        </w:rPr>
        <w:t xml:space="preserve">Table </w:t>
      </w:r>
      <w:r w:rsidR="003831BF" w:rsidRPr="00000DD3">
        <w:rPr>
          <w:rFonts w:ascii="Book Antiqua" w:hAnsi="Book Antiqua" w:cstheme="minorHAnsi"/>
          <w:b/>
          <w:noProof/>
        </w:rPr>
        <w:t>1</w:t>
      </w:r>
      <w:r w:rsidRPr="00000DD3">
        <w:rPr>
          <w:rFonts w:ascii="Book Antiqua" w:hAnsi="Book Antiqua" w:cstheme="minorHAnsi"/>
          <w:b/>
          <w:noProof/>
        </w:rPr>
        <w:t xml:space="preserve"> Surface marker expression </w:t>
      </w:r>
      <w:r w:rsidR="00760597" w:rsidRPr="00000DD3">
        <w:rPr>
          <w:rFonts w:ascii="Book Antiqua" w:hAnsi="Book Antiqua" w:cstheme="minorHAnsi"/>
          <w:b/>
        </w:rPr>
        <w:t xml:space="preserve">in canine mesenchymal stem cells </w:t>
      </w:r>
    </w:p>
    <w:p w14:paraId="161C81A4" w14:textId="77777777" w:rsidR="006701BE" w:rsidRPr="00000DD3" w:rsidRDefault="006701BE" w:rsidP="00874B98">
      <w:pPr>
        <w:spacing w:line="360" w:lineRule="auto"/>
        <w:jc w:val="both"/>
        <w:rPr>
          <w:rFonts w:ascii="Book Antiqua" w:hAnsi="Book Antiqua" w:cstheme="minorHAnsi"/>
          <w:b/>
          <w:noProof/>
        </w:rPr>
      </w:pPr>
    </w:p>
    <w:tbl>
      <w:tblPr>
        <w:tblpPr w:leftFromText="142" w:rightFromText="142" w:vertAnchor="text" w:tblpY="1"/>
        <w:tblOverlap w:val="never"/>
        <w:tblW w:w="0" w:type="auto"/>
        <w:tblLayout w:type="fixed"/>
        <w:tblCellMar>
          <w:left w:w="0" w:type="dxa"/>
          <w:right w:w="0" w:type="dxa"/>
        </w:tblCellMar>
        <w:tblLook w:val="04A0" w:firstRow="1" w:lastRow="0" w:firstColumn="1" w:lastColumn="0" w:noHBand="0" w:noVBand="1"/>
      </w:tblPr>
      <w:tblGrid>
        <w:gridCol w:w="1560"/>
        <w:gridCol w:w="2761"/>
        <w:gridCol w:w="2762"/>
        <w:gridCol w:w="1405"/>
      </w:tblGrid>
      <w:tr w:rsidR="00874B98" w:rsidRPr="00000DD3" w14:paraId="4AB2B0E4" w14:textId="77777777" w:rsidTr="00AB78A8">
        <w:trPr>
          <w:trHeight w:val="58"/>
        </w:trPr>
        <w:tc>
          <w:tcPr>
            <w:tcW w:w="1560"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075CB9D8" w14:textId="21D196CE" w:rsidR="00842EA3" w:rsidRPr="00000DD3" w:rsidRDefault="00842EA3" w:rsidP="00874B98">
            <w:pPr>
              <w:spacing w:line="360" w:lineRule="auto"/>
              <w:jc w:val="both"/>
              <w:rPr>
                <w:rFonts w:ascii="Book Antiqua" w:hAnsi="Book Antiqua" w:cstheme="minorHAnsi"/>
                <w:b/>
                <w:noProof/>
              </w:rPr>
            </w:pPr>
            <w:r w:rsidRPr="00000DD3">
              <w:rPr>
                <w:rFonts w:ascii="Book Antiqua" w:hAnsi="Book Antiqua" w:cstheme="minorHAnsi"/>
                <w:b/>
                <w:noProof/>
              </w:rPr>
              <w:t xml:space="preserve">Source </w:t>
            </w:r>
          </w:p>
        </w:tc>
        <w:tc>
          <w:tcPr>
            <w:tcW w:w="2761"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0B5241EE" w14:textId="0093132A" w:rsidR="00842EA3" w:rsidRPr="00000DD3" w:rsidRDefault="00842EA3" w:rsidP="00874B98">
            <w:pPr>
              <w:spacing w:line="360" w:lineRule="auto"/>
              <w:jc w:val="both"/>
              <w:rPr>
                <w:rFonts w:ascii="Book Antiqua" w:hAnsi="Book Antiqua" w:cstheme="minorHAnsi"/>
                <w:b/>
                <w:noProof/>
              </w:rPr>
            </w:pPr>
            <w:r w:rsidRPr="00000DD3">
              <w:rPr>
                <w:rFonts w:ascii="Book Antiqua" w:hAnsi="Book Antiqua" w:cstheme="minorHAnsi"/>
                <w:b/>
                <w:noProof/>
              </w:rPr>
              <w:t xml:space="preserve">Positive marker </w:t>
            </w:r>
          </w:p>
        </w:tc>
        <w:tc>
          <w:tcPr>
            <w:tcW w:w="2762"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6DB7EC40" w14:textId="2552D9D2" w:rsidR="00842EA3" w:rsidRPr="00000DD3" w:rsidRDefault="00842EA3" w:rsidP="00874B98">
            <w:pPr>
              <w:spacing w:line="360" w:lineRule="auto"/>
              <w:jc w:val="both"/>
              <w:rPr>
                <w:rFonts w:ascii="Book Antiqua" w:hAnsi="Book Antiqua" w:cstheme="minorHAnsi"/>
                <w:b/>
                <w:noProof/>
              </w:rPr>
            </w:pPr>
            <w:r w:rsidRPr="00000DD3">
              <w:rPr>
                <w:rFonts w:ascii="Book Antiqua" w:hAnsi="Book Antiqua" w:cstheme="minorHAnsi"/>
                <w:b/>
                <w:noProof/>
              </w:rPr>
              <w:t xml:space="preserve">Negative marker </w:t>
            </w:r>
          </w:p>
        </w:tc>
        <w:tc>
          <w:tcPr>
            <w:tcW w:w="1405"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43EF3435" w14:textId="3F81DAEC" w:rsidR="00842EA3" w:rsidRPr="00000DD3" w:rsidRDefault="00842EA3" w:rsidP="00E437CC">
            <w:pPr>
              <w:spacing w:line="360" w:lineRule="auto"/>
              <w:jc w:val="both"/>
              <w:rPr>
                <w:rFonts w:ascii="Book Antiqua" w:eastAsia="黑体" w:hAnsi="Book Antiqua" w:cstheme="minorHAnsi"/>
                <w:b/>
                <w:noProof/>
                <w:lang w:eastAsia="zh-CN"/>
              </w:rPr>
            </w:pPr>
            <w:r w:rsidRPr="00000DD3">
              <w:rPr>
                <w:rFonts w:ascii="Book Antiqua" w:hAnsi="Book Antiqua" w:cstheme="minorHAnsi"/>
                <w:b/>
                <w:noProof/>
              </w:rPr>
              <w:t>Ref</w:t>
            </w:r>
            <w:r w:rsidR="00E437CC" w:rsidRPr="00000DD3">
              <w:rPr>
                <w:rFonts w:ascii="Book Antiqua" w:eastAsia="黑体" w:hAnsi="Book Antiqua" w:cstheme="minorHAnsi" w:hint="eastAsia"/>
                <w:b/>
                <w:noProof/>
                <w:lang w:eastAsia="zh-CN"/>
              </w:rPr>
              <w:t>.</w:t>
            </w:r>
          </w:p>
        </w:tc>
      </w:tr>
      <w:tr w:rsidR="00874B98" w:rsidRPr="00000DD3" w14:paraId="2143F3FB" w14:textId="77777777" w:rsidTr="00AB78A8">
        <w:trPr>
          <w:trHeight w:val="58"/>
        </w:trPr>
        <w:tc>
          <w:tcPr>
            <w:tcW w:w="1560" w:type="dxa"/>
            <w:tcBorders>
              <w:top w:val="single" w:sz="4" w:space="0" w:color="auto"/>
            </w:tcBorders>
            <w:shd w:val="clear" w:color="auto" w:fill="auto"/>
            <w:noWrap/>
            <w:tcMar>
              <w:top w:w="15" w:type="dxa"/>
              <w:left w:w="15" w:type="dxa"/>
              <w:bottom w:w="0" w:type="dxa"/>
              <w:right w:w="15" w:type="dxa"/>
            </w:tcMar>
            <w:hideMark/>
          </w:tcPr>
          <w:p w14:paraId="4438FA49"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Adipose tissue</w:t>
            </w:r>
          </w:p>
        </w:tc>
        <w:tc>
          <w:tcPr>
            <w:tcW w:w="2761" w:type="dxa"/>
            <w:tcBorders>
              <w:top w:val="single" w:sz="4" w:space="0" w:color="auto"/>
            </w:tcBorders>
            <w:shd w:val="clear" w:color="auto" w:fill="auto"/>
            <w:noWrap/>
            <w:tcMar>
              <w:top w:w="15" w:type="dxa"/>
              <w:left w:w="15" w:type="dxa"/>
              <w:bottom w:w="0" w:type="dxa"/>
              <w:right w:w="15" w:type="dxa"/>
            </w:tcMar>
            <w:hideMark/>
          </w:tcPr>
          <w:p w14:paraId="58E6AC18"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CD73, CD105</w:t>
            </w:r>
          </w:p>
        </w:tc>
        <w:tc>
          <w:tcPr>
            <w:tcW w:w="2762" w:type="dxa"/>
            <w:tcBorders>
              <w:top w:val="single" w:sz="4" w:space="0" w:color="auto"/>
            </w:tcBorders>
            <w:shd w:val="clear" w:color="auto" w:fill="auto"/>
            <w:noWrap/>
            <w:tcMar>
              <w:top w:w="15" w:type="dxa"/>
              <w:left w:w="15" w:type="dxa"/>
              <w:bottom w:w="0" w:type="dxa"/>
              <w:right w:w="15" w:type="dxa"/>
            </w:tcMar>
            <w:hideMark/>
          </w:tcPr>
          <w:p w14:paraId="2464EBF0"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CD14</w:t>
            </w:r>
          </w:p>
        </w:tc>
        <w:tc>
          <w:tcPr>
            <w:tcW w:w="1405" w:type="dxa"/>
            <w:vMerge w:val="restart"/>
            <w:tcBorders>
              <w:top w:val="single" w:sz="4" w:space="0" w:color="auto"/>
            </w:tcBorders>
            <w:shd w:val="clear" w:color="auto" w:fill="auto"/>
            <w:noWrap/>
            <w:tcMar>
              <w:top w:w="15" w:type="dxa"/>
              <w:left w:w="15" w:type="dxa"/>
              <w:bottom w:w="0" w:type="dxa"/>
              <w:right w:w="15" w:type="dxa"/>
            </w:tcMar>
            <w:hideMark/>
          </w:tcPr>
          <w:p w14:paraId="4EBC1A26" w14:textId="5F0659F1"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noProof/>
              </w:rPr>
              <w:t xml:space="preserve">Kang </w:t>
            </w:r>
            <w:r w:rsidRPr="00000DD3">
              <w:rPr>
                <w:rFonts w:ascii="Book Antiqua" w:hAnsi="Book Antiqua" w:cstheme="minorHAnsi"/>
                <w:i/>
                <w:iCs/>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{"citationItems":[{"id":"ITEM-1","itemData":{"DOI":"10.4142/jvs.2012.13.3.299","ISBN":"1976-555X (Electronic)\\n1229-845X (Linking)","ISSN":"1229845X","PMID":"23000587","abstract":"Alternative sources of mesenchymal stem cells (MSCs) for replacing bone marrow (BM) have been extensively investigated in the field of bone tissue engineering. The purpose of this study was to compare the osteogenic potential of canine MSCs derived from adipose tissue (AT), BM, umbilical cord blood (UCB), and Wharton's jelly (WJ) using in vitro culture techniques and in vivo orthotopic implantation assays. After canine MSCs were isolated from various tissues, the proliferation and osteogenic potential along with vascular endothelial growth factor (VEGF) production were measured and compared in vitro. For the in vivo assay, MSCs derived from each type of tissue were mixed with β-tricalcium phosphate and implanted into segmental bone defects in dogs. Among the different types of MSCs, AT-MSCs had a higher proliferation potential and BM-MSCs produced the most VEGF. AT-MSCs and UCB-MSCs showed greater in vitro osteogenic potential compared to the other cells. Radiographic and histological analyses showed that all tested MSCs had similar osteogenic capacities, and the level of new bone formation was much higher with implants containing MSCs than cell-free implants. These results indicate that AT-MSCs, UCB-MSCs, and WJ-MSCs can potentially be used in place of BM-MSCs for clinical bone engineering procedures.","author":[{"dropping-particle":"","family":"Kang","given":"Byung Jae","non-dropping-particle":"","parse-names":false,"suffix":""},{"dropping-particle":"","family":"Ryu","given":"Hak Hyun","non-dropping-particle":"","parse-names":false,"suffix":""},{"dropping-particle":"","family":"Park","given":"Sung Su","non-dropping-particle":"","parse-names":false,"suffix":""},{"dropping-particle":"","family":"Koyama","given":"Yoshihisa","non-dropping-particle":"","parse-names":false,"suffix":""},{"dropping-particle":"","family":"Kikuchi","given":"Masanori","non-dropping-particle":"","parse-names":false,"suffix":""},{"dropping-particle":"","family":"Woo","given":"Heung Myong","non-dropping-particle":"","parse-names":false,"suffix":""},{"dropping-particle":"","family":"Kim","given":"Wan Hee","non-dropping-particle":"","parse-names":false,"suffix":""},{"dropping-particle":"","family":"Kweon","given":"Oh Kyeong","non-dropping-particle":"","parse-names":false,"suffix":""}],"container-title":"Journal of Veterinary Science","id":"ITEM-1","issue":"3","issued":{"date-parts":[["2012"]]},"page":"299-310","title":"Comparing the osteogenic potential of canine mesenchymal stem cells derived from adipose tissues, bone marrow, umbilical cord blood, and Wharton's jelly for treating bone defects","type":"article-journal","volume":"13"},"uris":["http://www.mendeley.com/documents/?uuid=115143d3-f860-34a0-9ace-15ff46b6232f"]}],"mendeley":{"formattedCitation":"&lt;sup&gt;[50]&lt;/sup&gt;","plainTextFormattedCitation":"[50]","previouslyFormattedCitation":"&lt;sup&gt;[50]&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[50]</w:t>
            </w:r>
            <w:r w:rsidR="00E437CC" w:rsidRPr="00000DD3">
              <w:rPr>
                <w:rFonts w:ascii="Book Antiqua" w:hAnsi="Book Antiqua" w:cstheme="minorHAnsi"/>
                <w:noProof/>
              </w:rPr>
              <w:fldChar w:fldCharType="end"/>
            </w:r>
            <w:r w:rsidRPr="00000DD3">
              <w:rPr>
                <w:rFonts w:ascii="Book Antiqua" w:hAnsi="Book Antiqua" w:cstheme="minorHAnsi"/>
                <w:noProof/>
              </w:rPr>
              <w:t>, 2012</w:t>
            </w:r>
          </w:p>
        </w:tc>
      </w:tr>
      <w:tr w:rsidR="00874B98" w:rsidRPr="00000DD3" w14:paraId="67313BD3" w14:textId="77777777" w:rsidTr="00AB78A8">
        <w:trPr>
          <w:trHeight w:val="58"/>
        </w:trPr>
        <w:tc>
          <w:tcPr>
            <w:tcW w:w="1560" w:type="dxa"/>
            <w:shd w:val="clear" w:color="auto" w:fill="auto"/>
            <w:noWrap/>
            <w:tcMar>
              <w:top w:w="15" w:type="dxa"/>
              <w:left w:w="15" w:type="dxa"/>
              <w:bottom w:w="0" w:type="dxa"/>
              <w:right w:w="15" w:type="dxa"/>
            </w:tcMar>
            <w:hideMark/>
          </w:tcPr>
          <w:p w14:paraId="46F3A54C"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hideMark/>
          </w:tcPr>
          <w:p w14:paraId="0C192888"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CD73, CD105</w:t>
            </w:r>
          </w:p>
        </w:tc>
        <w:tc>
          <w:tcPr>
            <w:tcW w:w="2762" w:type="dxa"/>
            <w:shd w:val="clear" w:color="auto" w:fill="auto"/>
            <w:noWrap/>
            <w:tcMar>
              <w:top w:w="15" w:type="dxa"/>
              <w:left w:w="15" w:type="dxa"/>
              <w:bottom w:w="0" w:type="dxa"/>
              <w:right w:w="15" w:type="dxa"/>
            </w:tcMar>
            <w:hideMark/>
          </w:tcPr>
          <w:p w14:paraId="3C34ADAB"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CD14</w:t>
            </w:r>
          </w:p>
        </w:tc>
        <w:tc>
          <w:tcPr>
            <w:tcW w:w="1405" w:type="dxa"/>
            <w:vMerge/>
            <w:hideMark/>
          </w:tcPr>
          <w:p w14:paraId="4BF73ECE"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5767D876" w14:textId="77777777" w:rsidTr="00AB78A8">
        <w:trPr>
          <w:trHeight w:val="58"/>
        </w:trPr>
        <w:tc>
          <w:tcPr>
            <w:tcW w:w="1560" w:type="dxa"/>
            <w:shd w:val="clear" w:color="auto" w:fill="auto"/>
            <w:noWrap/>
            <w:tcMar>
              <w:top w:w="15" w:type="dxa"/>
              <w:left w:w="15" w:type="dxa"/>
              <w:bottom w:w="0" w:type="dxa"/>
              <w:right w:w="15" w:type="dxa"/>
            </w:tcMar>
            <w:hideMark/>
          </w:tcPr>
          <w:p w14:paraId="66D1096F"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Umbilical cord</w:t>
            </w:r>
          </w:p>
        </w:tc>
        <w:tc>
          <w:tcPr>
            <w:tcW w:w="2761" w:type="dxa"/>
            <w:shd w:val="clear" w:color="auto" w:fill="auto"/>
            <w:noWrap/>
            <w:tcMar>
              <w:top w:w="15" w:type="dxa"/>
              <w:left w:w="15" w:type="dxa"/>
              <w:bottom w:w="0" w:type="dxa"/>
              <w:right w:w="15" w:type="dxa"/>
            </w:tcMar>
            <w:hideMark/>
          </w:tcPr>
          <w:p w14:paraId="7C63C3DB"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CD73, CD105</w:t>
            </w:r>
          </w:p>
        </w:tc>
        <w:tc>
          <w:tcPr>
            <w:tcW w:w="2762" w:type="dxa"/>
            <w:shd w:val="clear" w:color="auto" w:fill="auto"/>
            <w:noWrap/>
            <w:tcMar>
              <w:top w:w="15" w:type="dxa"/>
              <w:left w:w="15" w:type="dxa"/>
              <w:bottom w:w="0" w:type="dxa"/>
              <w:right w:w="15" w:type="dxa"/>
            </w:tcMar>
            <w:hideMark/>
          </w:tcPr>
          <w:p w14:paraId="1A5DB547"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CD14</w:t>
            </w:r>
          </w:p>
        </w:tc>
        <w:tc>
          <w:tcPr>
            <w:tcW w:w="1405" w:type="dxa"/>
            <w:vMerge/>
            <w:hideMark/>
          </w:tcPr>
          <w:p w14:paraId="18001D11"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749960BD" w14:textId="77777777" w:rsidTr="00AB78A8">
        <w:trPr>
          <w:trHeight w:val="58"/>
        </w:trPr>
        <w:tc>
          <w:tcPr>
            <w:tcW w:w="1560" w:type="dxa"/>
            <w:shd w:val="clear" w:color="auto" w:fill="auto"/>
            <w:noWrap/>
            <w:tcMar>
              <w:top w:w="15" w:type="dxa"/>
              <w:left w:w="15" w:type="dxa"/>
              <w:bottom w:w="0" w:type="dxa"/>
              <w:right w:w="15" w:type="dxa"/>
            </w:tcMar>
            <w:hideMark/>
          </w:tcPr>
          <w:p w14:paraId="45E8050D"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Wharton's jelly</w:t>
            </w:r>
          </w:p>
        </w:tc>
        <w:tc>
          <w:tcPr>
            <w:tcW w:w="2761" w:type="dxa"/>
            <w:shd w:val="clear" w:color="auto" w:fill="auto"/>
            <w:noWrap/>
            <w:tcMar>
              <w:top w:w="15" w:type="dxa"/>
              <w:left w:w="15" w:type="dxa"/>
              <w:bottom w:w="0" w:type="dxa"/>
              <w:right w:w="15" w:type="dxa"/>
            </w:tcMar>
            <w:hideMark/>
          </w:tcPr>
          <w:p w14:paraId="7116A9EC"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CD73, CD105</w:t>
            </w:r>
          </w:p>
        </w:tc>
        <w:tc>
          <w:tcPr>
            <w:tcW w:w="2762" w:type="dxa"/>
            <w:shd w:val="clear" w:color="auto" w:fill="auto"/>
            <w:noWrap/>
            <w:tcMar>
              <w:top w:w="15" w:type="dxa"/>
              <w:left w:w="15" w:type="dxa"/>
              <w:bottom w:w="0" w:type="dxa"/>
              <w:right w:w="15" w:type="dxa"/>
            </w:tcMar>
            <w:hideMark/>
          </w:tcPr>
          <w:p w14:paraId="0D81B9A6"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CD14</w:t>
            </w:r>
          </w:p>
        </w:tc>
        <w:tc>
          <w:tcPr>
            <w:tcW w:w="1405" w:type="dxa"/>
            <w:vMerge/>
            <w:hideMark/>
          </w:tcPr>
          <w:p w14:paraId="44BBD2F9"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454DF327" w14:textId="77777777" w:rsidTr="00AB78A8">
        <w:trPr>
          <w:trHeight w:val="58"/>
        </w:trPr>
        <w:tc>
          <w:tcPr>
            <w:tcW w:w="1560" w:type="dxa"/>
            <w:shd w:val="clear" w:color="auto" w:fill="auto"/>
            <w:noWrap/>
            <w:tcMar>
              <w:top w:w="15" w:type="dxa"/>
              <w:left w:w="15" w:type="dxa"/>
              <w:bottom w:w="0" w:type="dxa"/>
              <w:right w:w="15" w:type="dxa"/>
            </w:tcMar>
            <w:hideMark/>
          </w:tcPr>
          <w:p w14:paraId="3B211B09"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Adipose tissue</w:t>
            </w:r>
          </w:p>
        </w:tc>
        <w:tc>
          <w:tcPr>
            <w:tcW w:w="2761" w:type="dxa"/>
            <w:shd w:val="clear" w:color="auto" w:fill="auto"/>
            <w:noWrap/>
            <w:tcMar>
              <w:top w:w="15" w:type="dxa"/>
              <w:left w:w="15" w:type="dxa"/>
              <w:bottom w:w="0" w:type="dxa"/>
              <w:right w:w="15" w:type="dxa"/>
            </w:tcMar>
            <w:hideMark/>
          </w:tcPr>
          <w:p w14:paraId="00170329"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w:t>
            </w:r>
          </w:p>
        </w:tc>
        <w:tc>
          <w:tcPr>
            <w:tcW w:w="2762" w:type="dxa"/>
            <w:shd w:val="clear" w:color="auto" w:fill="auto"/>
            <w:noWrap/>
            <w:tcMar>
              <w:top w:w="15" w:type="dxa"/>
              <w:left w:w="15" w:type="dxa"/>
              <w:bottom w:w="0" w:type="dxa"/>
              <w:right w:w="15" w:type="dxa"/>
            </w:tcMar>
            <w:hideMark/>
          </w:tcPr>
          <w:p w14:paraId="0DE0FC09"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CD146</w:t>
            </w:r>
          </w:p>
        </w:tc>
        <w:tc>
          <w:tcPr>
            <w:tcW w:w="1405" w:type="dxa"/>
            <w:vMerge w:val="restart"/>
            <w:shd w:val="clear" w:color="auto" w:fill="auto"/>
            <w:noWrap/>
            <w:tcMar>
              <w:top w:w="15" w:type="dxa"/>
              <w:left w:w="15" w:type="dxa"/>
              <w:bottom w:w="0" w:type="dxa"/>
              <w:right w:w="15" w:type="dxa"/>
            </w:tcMar>
            <w:hideMark/>
          </w:tcPr>
          <w:p w14:paraId="0B8696A5" w14:textId="01961B25" w:rsidR="00842EA3" w:rsidRPr="00000DD3" w:rsidRDefault="003D7F4B" w:rsidP="00E437CC">
            <w:pPr>
              <w:spacing w:line="360" w:lineRule="auto"/>
              <w:jc w:val="both"/>
              <w:rPr>
                <w:rFonts w:ascii="Book Antiqua" w:hAnsi="Book Antiqua" w:cstheme="minorHAnsi"/>
                <w:noProof/>
              </w:rPr>
            </w:pPr>
            <w:r w:rsidRPr="00000DD3">
              <w:rPr>
                <w:rFonts w:ascii="Book Antiqua" w:hAnsi="Book Antiqua" w:cstheme="minorHAnsi"/>
                <w:noProof/>
              </w:rPr>
              <w:t>Kisiel</w:t>
            </w:r>
            <w:r w:rsidR="00E437CC" w:rsidRPr="00000DD3">
              <w:rPr>
                <w:rFonts w:ascii="Book Antiqua" w:eastAsia="黑体" w:hAnsi="Book Antiqua" w:cstheme="minorHAnsi" w:hint="eastAsia"/>
                <w:noProof/>
                <w:lang w:eastAsia="zh-CN"/>
              </w:rPr>
              <w:t xml:space="preserve"> </w:t>
            </w:r>
            <w:r w:rsidR="00842EA3" w:rsidRPr="00000DD3">
              <w:rPr>
                <w:rFonts w:ascii="Book Antiqua" w:hAnsi="Book Antiqua" w:cstheme="minorHAnsi"/>
                <w:i/>
                <w:iCs/>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{"citationItems":[{"id":"ITEM-1","itemData":{"DOI":"10.2460/ajvr.73.8.1305.","PMID":"22849692","abstract":"Objective—To isolate and characterize mesenchymal stem cells (MSCs) from canine muscle and periosteum and compare proliferative capacities of bone marrow–, adipose tissue–, muscle-, and periosteum-derived MSCs (BMSCs, AMSCs, MMSCs, and PMSCs, respectively). Sample—7 canine cadavers. Procedures—MSCs were characterized on the basis of morphology, immunofluorescence of MSC-associated cell surface markers, and expression of pluripotency-associated tran- scription factors. Morphological and histochemical methods were used to evaluate differen- tiation of MSCs cultured in adipogenic, osteogenic, and chondrogenic media. Messenger ri- bonucleic acid expression of alkaline phosphatase, RUNX2, OSTERIX, and OSTEOPONTIN were evaluated as markers for osteogenic differentiation. Passage-1 MSCs were counted at 24, 48, 72, and 96 hours to determine tissue-specific MSC proliferative capacity. Mes- enchymal stem cell yield per gram of tissue was calculated for confluent passage-1 MSCs. Results—Successful isolation of BMSCs, AMSCs, MMSCs, and PMSCs was determined on the basis of morphology; expression of CD44 and CD90; no expression of CD34 and CD45; mRNA expression of SOX2, OCT4, and NANOG; and adipogenic and osteogenic differentiation. Proliferative capacity was not significantly different among BMSCs, AMSCs, MMSCs, and PMSCs over a 4-day culture period. Periosteum provided a significantly higher MSC yield per gram of tissue once confluent in passage 1 (mean ± SD of 19,400,000 ± 12,800,000 of PMSCs/g of periosteum obtained in a mean ± SD of 13 ± 1.64 days). Conclusions and Clinical Relevance—Results indicated that canine muscle and perios- teum may be sources of MSCs. Periosteum was a superior tissue source for MSC yield and may be useful in allogenic applications.","author":[{"dropping-particle":"","family":"Kisiel","given":"Agatha H.","non-dropping-particle":"","parse-names":false,"suffix":""},{"dropping-particle":"","family":"McDuffee","given":"Laurie A.","non-dropping-particle":"","parse-names":false,"suffix":""},{"dropping-particle":"","family":"Masaoud","given":"Elmabrok","non-dropping-particle":"","parse-names":false,"suffix":""},{"dropping-particle":"","family":"Bailey","given":"Trina R.","non-dropping-particle":"","parse-names":false,"suffix":""},{"dropping-particle":"","family":"Esparza Gonzalez","given":"Blanca P.","non-dropping-particle":"","parse-names":false,"suffix":""},{"dropping-particle":"","family":"Nino-Fong","given":"Rodolfo","non-dropping-particle":"","parse-names":false,"suffix":""}],"container-title":"American Journal of Veterinary Research","id":"ITEM-1","issue":"8","issued":{"date-parts":[["2012"]]},"page":"1305-1317","title":"Isolation, characterization, and in vitro proliferation of canine mesenchymal stem cells derived from bone marrow, adipose tissue, muscle, and periosteum","type":"article-journal","volume":"73"},"uris":["http://www.mendeley.com/documents/?uuid=7bff95f3-df21-3442-af2c-0336a7a37c96"]}],"mendeley":{"formattedCitation":"&lt;sup&gt;[52]&lt;/sup&gt;","plainTextFormattedCitation":"[52]","previouslyFormattedCitation":"&lt;sup&gt;[52]&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[52]</w:t>
            </w:r>
            <w:r w:rsidR="00E437CC" w:rsidRPr="00000DD3">
              <w:rPr>
                <w:rFonts w:ascii="Book Antiqua" w:hAnsi="Book Antiqua" w:cstheme="minorHAnsi"/>
                <w:noProof/>
              </w:rPr>
              <w:fldChar w:fldCharType="end"/>
            </w:r>
            <w:r w:rsidR="00842EA3" w:rsidRPr="00000DD3">
              <w:rPr>
                <w:rFonts w:ascii="Book Antiqua" w:hAnsi="Book Antiqua" w:cstheme="minorHAnsi"/>
                <w:noProof/>
              </w:rPr>
              <w:t>, 2012</w:t>
            </w:r>
          </w:p>
        </w:tc>
      </w:tr>
      <w:tr w:rsidR="00874B98" w:rsidRPr="00000DD3" w14:paraId="3F89C2F9" w14:textId="77777777" w:rsidTr="00AB78A8">
        <w:trPr>
          <w:trHeight w:val="58"/>
        </w:trPr>
        <w:tc>
          <w:tcPr>
            <w:tcW w:w="1560" w:type="dxa"/>
            <w:shd w:val="clear" w:color="auto" w:fill="auto"/>
            <w:noWrap/>
            <w:tcMar>
              <w:top w:w="15" w:type="dxa"/>
              <w:left w:w="15" w:type="dxa"/>
              <w:bottom w:w="0" w:type="dxa"/>
              <w:right w:w="15" w:type="dxa"/>
            </w:tcMar>
            <w:hideMark/>
          </w:tcPr>
          <w:p w14:paraId="5A760430"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hideMark/>
          </w:tcPr>
          <w:p w14:paraId="7C8B9813"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w:t>
            </w:r>
          </w:p>
        </w:tc>
        <w:tc>
          <w:tcPr>
            <w:tcW w:w="2762" w:type="dxa"/>
            <w:shd w:val="clear" w:color="auto" w:fill="auto"/>
            <w:noWrap/>
            <w:tcMar>
              <w:top w:w="15" w:type="dxa"/>
              <w:left w:w="15" w:type="dxa"/>
              <w:bottom w:w="0" w:type="dxa"/>
              <w:right w:w="15" w:type="dxa"/>
            </w:tcMar>
            <w:hideMark/>
          </w:tcPr>
          <w:p w14:paraId="12560DA9"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CD146</w:t>
            </w:r>
          </w:p>
        </w:tc>
        <w:tc>
          <w:tcPr>
            <w:tcW w:w="1405" w:type="dxa"/>
            <w:vMerge/>
            <w:hideMark/>
          </w:tcPr>
          <w:p w14:paraId="0A56D082"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490A9750" w14:textId="77777777" w:rsidTr="00AB78A8">
        <w:trPr>
          <w:trHeight w:val="58"/>
        </w:trPr>
        <w:tc>
          <w:tcPr>
            <w:tcW w:w="1560" w:type="dxa"/>
            <w:shd w:val="clear" w:color="auto" w:fill="auto"/>
            <w:noWrap/>
            <w:tcMar>
              <w:top w:w="15" w:type="dxa"/>
              <w:left w:w="15" w:type="dxa"/>
              <w:bottom w:w="0" w:type="dxa"/>
              <w:right w:w="15" w:type="dxa"/>
            </w:tcMar>
            <w:hideMark/>
          </w:tcPr>
          <w:p w14:paraId="2309A9B1"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Muscle</w:t>
            </w:r>
          </w:p>
        </w:tc>
        <w:tc>
          <w:tcPr>
            <w:tcW w:w="2761" w:type="dxa"/>
            <w:shd w:val="clear" w:color="auto" w:fill="auto"/>
            <w:noWrap/>
            <w:tcMar>
              <w:top w:w="15" w:type="dxa"/>
              <w:left w:w="15" w:type="dxa"/>
              <w:bottom w:w="0" w:type="dxa"/>
              <w:right w:w="15" w:type="dxa"/>
            </w:tcMar>
            <w:hideMark/>
          </w:tcPr>
          <w:p w14:paraId="44BFBFF8"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w:t>
            </w:r>
          </w:p>
        </w:tc>
        <w:tc>
          <w:tcPr>
            <w:tcW w:w="2762" w:type="dxa"/>
            <w:shd w:val="clear" w:color="auto" w:fill="auto"/>
            <w:noWrap/>
            <w:tcMar>
              <w:top w:w="15" w:type="dxa"/>
              <w:left w:w="15" w:type="dxa"/>
              <w:bottom w:w="0" w:type="dxa"/>
              <w:right w:w="15" w:type="dxa"/>
            </w:tcMar>
            <w:hideMark/>
          </w:tcPr>
          <w:p w14:paraId="0B3470AD"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CD146</w:t>
            </w:r>
          </w:p>
        </w:tc>
        <w:tc>
          <w:tcPr>
            <w:tcW w:w="1405" w:type="dxa"/>
            <w:vMerge/>
            <w:hideMark/>
          </w:tcPr>
          <w:p w14:paraId="75D35FAE"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5419E741" w14:textId="77777777" w:rsidTr="00AB78A8">
        <w:trPr>
          <w:trHeight w:val="58"/>
        </w:trPr>
        <w:tc>
          <w:tcPr>
            <w:tcW w:w="1560" w:type="dxa"/>
            <w:shd w:val="clear" w:color="auto" w:fill="auto"/>
            <w:noWrap/>
            <w:tcMar>
              <w:top w:w="15" w:type="dxa"/>
              <w:left w:w="15" w:type="dxa"/>
              <w:bottom w:w="0" w:type="dxa"/>
              <w:right w:w="15" w:type="dxa"/>
            </w:tcMar>
            <w:hideMark/>
          </w:tcPr>
          <w:p w14:paraId="365BB0B4"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Periosteum</w:t>
            </w:r>
          </w:p>
        </w:tc>
        <w:tc>
          <w:tcPr>
            <w:tcW w:w="2761" w:type="dxa"/>
            <w:shd w:val="clear" w:color="auto" w:fill="auto"/>
            <w:noWrap/>
            <w:tcMar>
              <w:top w:w="15" w:type="dxa"/>
              <w:left w:w="15" w:type="dxa"/>
              <w:bottom w:w="0" w:type="dxa"/>
              <w:right w:w="15" w:type="dxa"/>
            </w:tcMar>
            <w:hideMark/>
          </w:tcPr>
          <w:p w14:paraId="7696BEA8"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w:t>
            </w:r>
          </w:p>
        </w:tc>
        <w:tc>
          <w:tcPr>
            <w:tcW w:w="2762" w:type="dxa"/>
            <w:shd w:val="clear" w:color="auto" w:fill="auto"/>
            <w:noWrap/>
            <w:tcMar>
              <w:top w:w="15" w:type="dxa"/>
              <w:left w:w="15" w:type="dxa"/>
              <w:bottom w:w="0" w:type="dxa"/>
              <w:right w:w="15" w:type="dxa"/>
            </w:tcMar>
            <w:hideMark/>
          </w:tcPr>
          <w:p w14:paraId="101D27FF"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CD146</w:t>
            </w:r>
          </w:p>
        </w:tc>
        <w:tc>
          <w:tcPr>
            <w:tcW w:w="1405" w:type="dxa"/>
            <w:vMerge/>
            <w:hideMark/>
          </w:tcPr>
          <w:p w14:paraId="499429F1"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3434EDAE" w14:textId="77777777" w:rsidTr="00AB78A8">
        <w:trPr>
          <w:trHeight w:val="58"/>
        </w:trPr>
        <w:tc>
          <w:tcPr>
            <w:tcW w:w="1560" w:type="dxa"/>
            <w:shd w:val="clear" w:color="auto" w:fill="auto"/>
            <w:noWrap/>
            <w:tcMar>
              <w:top w:w="15" w:type="dxa"/>
              <w:left w:w="15" w:type="dxa"/>
              <w:bottom w:w="0" w:type="dxa"/>
              <w:right w:w="15" w:type="dxa"/>
            </w:tcMar>
            <w:hideMark/>
          </w:tcPr>
          <w:p w14:paraId="00C98740"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Adipose tissue</w:t>
            </w:r>
          </w:p>
        </w:tc>
        <w:tc>
          <w:tcPr>
            <w:tcW w:w="2761" w:type="dxa"/>
            <w:shd w:val="clear" w:color="auto" w:fill="auto"/>
            <w:noWrap/>
            <w:tcMar>
              <w:top w:w="15" w:type="dxa"/>
              <w:left w:w="15" w:type="dxa"/>
              <w:bottom w:w="0" w:type="dxa"/>
              <w:right w:w="15" w:type="dxa"/>
            </w:tcMar>
            <w:hideMark/>
          </w:tcPr>
          <w:p w14:paraId="4E566589"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w:t>
            </w:r>
          </w:p>
        </w:tc>
        <w:tc>
          <w:tcPr>
            <w:tcW w:w="2762" w:type="dxa"/>
            <w:shd w:val="clear" w:color="auto" w:fill="auto"/>
            <w:noWrap/>
            <w:tcMar>
              <w:top w:w="15" w:type="dxa"/>
              <w:left w:w="15" w:type="dxa"/>
              <w:bottom w:w="0" w:type="dxa"/>
              <w:right w:w="15" w:type="dxa"/>
            </w:tcMar>
            <w:hideMark/>
          </w:tcPr>
          <w:p w14:paraId="638216F4"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CD11b</w:t>
            </w:r>
          </w:p>
        </w:tc>
        <w:tc>
          <w:tcPr>
            <w:tcW w:w="1405" w:type="dxa"/>
            <w:vMerge w:val="restart"/>
            <w:shd w:val="clear" w:color="auto" w:fill="auto"/>
            <w:noWrap/>
            <w:tcMar>
              <w:top w:w="15" w:type="dxa"/>
              <w:left w:w="15" w:type="dxa"/>
              <w:bottom w:w="0" w:type="dxa"/>
              <w:right w:w="15" w:type="dxa"/>
            </w:tcMar>
            <w:hideMark/>
          </w:tcPr>
          <w:p w14:paraId="10B7804F" w14:textId="769C0E4A" w:rsidR="00842EA3" w:rsidRPr="00000DD3" w:rsidRDefault="00842EA3" w:rsidP="00874B98">
            <w:pPr>
              <w:pStyle w:val="aa"/>
              <w:spacing w:line="360" w:lineRule="auto"/>
              <w:ind w:leftChars="0" w:left="0"/>
              <w:jc w:val="both"/>
              <w:rPr>
                <w:rFonts w:ascii="Book Antiqua" w:hAnsi="Book Antiqua" w:cstheme="minorHAnsi"/>
                <w:noProof/>
              </w:rPr>
            </w:pPr>
            <w:r w:rsidRPr="00000DD3">
              <w:rPr>
                <w:rFonts w:ascii="Book Antiqua" w:hAnsi="Book Antiqua" w:cstheme="minorHAnsi"/>
                <w:noProof/>
              </w:rPr>
              <w:t>Sasaki</w:t>
            </w:r>
          </w:p>
          <w:p w14:paraId="6AC21F3A" w14:textId="4FFB4986"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i/>
                <w:iCs/>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{"citationItems":[{"id":"ITEM-1","itemData":{"DOI":"10.1371/journal.pone.0202922","ISBN":"1111111111","ISSN":"19326203","PMID":"30138399","abstract":"Osteoarthritis (OA), a common chronic joint disorder in both humans and canines, is characterized by a progressive loss of articular cartilage. Canines can serve as an animal model of OA for human medicine, and this research can simultaneously establish effective veterinary treatments for canine OA. One attractive treatment that can lead to cartilage regeneration is the use of mesenchymal stem cells (MSCs). However, for canine OA, little information is available regarding the best source of MSCs. The purpose of this study was to identify a promising MSC source for canine cartilage regeneration. We collected synovial, infrapatellar fat pad, inguinal adipose, and bone marrow tissues from six canines and then conducted a donor-matched comparison of the properties of MSCs derived from these four tissues. We examined the surface epitope expression, proliferation capacity, and trilineage differentiation potential of all four populations. Adherent cells derived from all four tissue sources exhibited positivity for CD90 and CD44 and negativity for CD45 and CD11b. The positive rate for CD90 was higher for synovium-derived than for adipose-derived and bone marrow-derived MSCs. Synovium-derived and infrapatellar fat pad-derived MSCs displayed substantial proliferation ability, and all four populations underwent trilineage differentiation. During chondrogenesis, the wet weight was heavier for cartilage pellets derived from synovium MSCs than from the other three sources. The synovium is therefore a promising source for MSCs for canine cartilage regeneration. Our findings provide useful information about canine MSCs that may be applicable to regenerative medicine for treatment of OA.","author":[{"dropping-particle":"","family":"Sasaki","given":"Akari","non-dropping-particle":"","parse-names":false,"suffix":""},{"dropping-particle":"","family":"Mizuno","given":"Mitsuru","non-dropping-particle":"","parse-names":false,"suffix":""},{"dropping-particle":"","family":"Ozeki","given":"Nobutake","non-dropping-particle":"","parse-names":false,"suffix":""},{"dropping-particle":"","family":"Katano","given":"Hisako","non-dropping-particle":"","parse-names":false,"suffix":""},{"dropping-particle":"","family":"Otabe","given":"Koji","non-dropping-particle":"","parse-names":false,"suffix":""},{"dropping-particle":"","family":"Tsuji","given":"Kunikazu","non-dropping-particle":"","parse-names":false,"suffix":""},{"dropping-particle":"","family":"Koga","given":"Hideyuki","non-dropping-particle":"","parse-names":false,"suffix":""},{"dropping-particle":"","family":"Mochizuki","given":"Manabu","non-dropping-particle":"","parse-names":false,"suffix":""},{"dropping-particle":"","family":"Sekiya","given":"Ichiro","non-dropping-particle":"","parse-names":false,"suffix":""}],"container-title":"PLoS ONE","id":"ITEM-1","issue":"8","issued":{"date-parts":[["2018"]]},"page":"1-20","title":"Canine mesenchymal stem cells from synovium have a higher chondrogenic potential than those from infrapatellar fat pad, adipose tissue, and bone marrow","type":"article-journal","volume":"13"},"uris":["http://www.mendeley.com/documents/?uuid=06e018b3-4bb7-4b65-8c48-df24ad3c85ac"]}],"mendeley":{"formattedCitation":"&lt;sup&gt;[40]&lt;/sup&gt;","plainTextFormattedCitation":"[40]","previouslyFormattedCitation":"&lt;sup&gt;[40]&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[40]</w:t>
            </w:r>
            <w:r w:rsidR="00E437CC" w:rsidRPr="00000DD3">
              <w:rPr>
                <w:rFonts w:ascii="Book Antiqua" w:hAnsi="Book Antiqua" w:cstheme="minorHAnsi"/>
                <w:noProof/>
              </w:rPr>
              <w:fldChar w:fldCharType="end"/>
            </w:r>
            <w:r w:rsidRPr="00000DD3">
              <w:rPr>
                <w:rFonts w:ascii="Book Antiqua" w:hAnsi="Book Antiqua" w:cstheme="minorHAnsi"/>
                <w:noProof/>
              </w:rPr>
              <w:t>, 2018</w:t>
            </w:r>
          </w:p>
        </w:tc>
      </w:tr>
      <w:tr w:rsidR="00874B98" w:rsidRPr="00000DD3" w14:paraId="6E78EBEE" w14:textId="77777777" w:rsidTr="00AB78A8">
        <w:trPr>
          <w:trHeight w:val="58"/>
        </w:trPr>
        <w:tc>
          <w:tcPr>
            <w:tcW w:w="1560" w:type="dxa"/>
            <w:shd w:val="clear" w:color="auto" w:fill="auto"/>
            <w:noWrap/>
            <w:tcMar>
              <w:top w:w="15" w:type="dxa"/>
              <w:left w:w="15" w:type="dxa"/>
              <w:bottom w:w="0" w:type="dxa"/>
              <w:right w:w="15" w:type="dxa"/>
            </w:tcMar>
            <w:hideMark/>
          </w:tcPr>
          <w:p w14:paraId="6D8EFE7B"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hideMark/>
          </w:tcPr>
          <w:p w14:paraId="21C59F75"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w:t>
            </w:r>
          </w:p>
        </w:tc>
        <w:tc>
          <w:tcPr>
            <w:tcW w:w="2762" w:type="dxa"/>
            <w:shd w:val="clear" w:color="auto" w:fill="auto"/>
            <w:noWrap/>
            <w:tcMar>
              <w:top w:w="15" w:type="dxa"/>
              <w:left w:w="15" w:type="dxa"/>
              <w:bottom w:w="0" w:type="dxa"/>
              <w:right w:w="15" w:type="dxa"/>
            </w:tcMar>
            <w:hideMark/>
          </w:tcPr>
          <w:p w14:paraId="35831F33"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CD11b</w:t>
            </w:r>
          </w:p>
        </w:tc>
        <w:tc>
          <w:tcPr>
            <w:tcW w:w="1405" w:type="dxa"/>
            <w:vMerge/>
            <w:hideMark/>
          </w:tcPr>
          <w:p w14:paraId="0250BD40"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67038061" w14:textId="77777777" w:rsidTr="00AB78A8">
        <w:trPr>
          <w:trHeight w:val="58"/>
        </w:trPr>
        <w:tc>
          <w:tcPr>
            <w:tcW w:w="1560" w:type="dxa"/>
            <w:shd w:val="clear" w:color="auto" w:fill="auto"/>
            <w:noWrap/>
            <w:tcMar>
              <w:top w:w="15" w:type="dxa"/>
              <w:left w:w="15" w:type="dxa"/>
              <w:bottom w:w="0" w:type="dxa"/>
              <w:right w:w="15" w:type="dxa"/>
            </w:tcMar>
            <w:hideMark/>
          </w:tcPr>
          <w:p w14:paraId="300005B2"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Synovium</w:t>
            </w:r>
          </w:p>
        </w:tc>
        <w:tc>
          <w:tcPr>
            <w:tcW w:w="2761" w:type="dxa"/>
            <w:shd w:val="clear" w:color="auto" w:fill="auto"/>
            <w:noWrap/>
            <w:tcMar>
              <w:top w:w="15" w:type="dxa"/>
              <w:left w:w="15" w:type="dxa"/>
              <w:bottom w:w="0" w:type="dxa"/>
              <w:right w:w="15" w:type="dxa"/>
            </w:tcMar>
            <w:hideMark/>
          </w:tcPr>
          <w:p w14:paraId="0BE74E5E"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w:t>
            </w:r>
          </w:p>
        </w:tc>
        <w:tc>
          <w:tcPr>
            <w:tcW w:w="2762" w:type="dxa"/>
            <w:shd w:val="clear" w:color="auto" w:fill="auto"/>
            <w:noWrap/>
            <w:tcMar>
              <w:top w:w="15" w:type="dxa"/>
              <w:left w:w="15" w:type="dxa"/>
              <w:bottom w:w="0" w:type="dxa"/>
              <w:right w:w="15" w:type="dxa"/>
            </w:tcMar>
            <w:hideMark/>
          </w:tcPr>
          <w:p w14:paraId="43B61150"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CD11b</w:t>
            </w:r>
          </w:p>
        </w:tc>
        <w:tc>
          <w:tcPr>
            <w:tcW w:w="1405" w:type="dxa"/>
            <w:vMerge/>
            <w:hideMark/>
          </w:tcPr>
          <w:p w14:paraId="3AC30780"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0AF12CB0" w14:textId="77777777" w:rsidTr="00AB78A8">
        <w:trPr>
          <w:trHeight w:val="58"/>
        </w:trPr>
        <w:tc>
          <w:tcPr>
            <w:tcW w:w="1560" w:type="dxa"/>
            <w:shd w:val="clear" w:color="auto" w:fill="auto"/>
            <w:noWrap/>
            <w:tcMar>
              <w:top w:w="15" w:type="dxa"/>
              <w:left w:w="15" w:type="dxa"/>
              <w:bottom w:w="0" w:type="dxa"/>
              <w:right w:w="15" w:type="dxa"/>
            </w:tcMar>
            <w:hideMark/>
          </w:tcPr>
          <w:p w14:paraId="0C610300"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Infrapatellar fat pad</w:t>
            </w:r>
          </w:p>
        </w:tc>
        <w:tc>
          <w:tcPr>
            <w:tcW w:w="2761" w:type="dxa"/>
            <w:shd w:val="clear" w:color="auto" w:fill="auto"/>
            <w:noWrap/>
            <w:tcMar>
              <w:top w:w="15" w:type="dxa"/>
              <w:left w:w="15" w:type="dxa"/>
              <w:bottom w:w="0" w:type="dxa"/>
              <w:right w:w="15" w:type="dxa"/>
            </w:tcMar>
            <w:hideMark/>
          </w:tcPr>
          <w:p w14:paraId="00BCD0D9"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w:t>
            </w:r>
          </w:p>
        </w:tc>
        <w:tc>
          <w:tcPr>
            <w:tcW w:w="2762" w:type="dxa"/>
            <w:shd w:val="clear" w:color="auto" w:fill="auto"/>
            <w:noWrap/>
            <w:tcMar>
              <w:top w:w="15" w:type="dxa"/>
              <w:left w:w="15" w:type="dxa"/>
              <w:bottom w:w="0" w:type="dxa"/>
              <w:right w:w="15" w:type="dxa"/>
            </w:tcMar>
            <w:hideMark/>
          </w:tcPr>
          <w:p w14:paraId="66A4D0FF"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CD11b</w:t>
            </w:r>
          </w:p>
        </w:tc>
        <w:tc>
          <w:tcPr>
            <w:tcW w:w="1405" w:type="dxa"/>
            <w:vMerge/>
            <w:hideMark/>
          </w:tcPr>
          <w:p w14:paraId="5BF2C15E"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52A55E4A" w14:textId="77777777" w:rsidTr="00AB78A8">
        <w:trPr>
          <w:trHeight w:val="58"/>
        </w:trPr>
        <w:tc>
          <w:tcPr>
            <w:tcW w:w="1560" w:type="dxa"/>
            <w:shd w:val="clear" w:color="auto" w:fill="auto"/>
            <w:noWrap/>
            <w:tcMar>
              <w:top w:w="15" w:type="dxa"/>
              <w:left w:w="15" w:type="dxa"/>
              <w:bottom w:w="0" w:type="dxa"/>
              <w:right w:w="15" w:type="dxa"/>
            </w:tcMar>
            <w:hideMark/>
          </w:tcPr>
          <w:p w14:paraId="614C00E0"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Adipose tissue</w:t>
            </w:r>
          </w:p>
        </w:tc>
        <w:tc>
          <w:tcPr>
            <w:tcW w:w="2761" w:type="dxa"/>
            <w:shd w:val="clear" w:color="auto" w:fill="auto"/>
            <w:noWrap/>
            <w:tcMar>
              <w:top w:w="15" w:type="dxa"/>
              <w:left w:w="15" w:type="dxa"/>
              <w:bottom w:w="0" w:type="dxa"/>
              <w:right w:w="15" w:type="dxa"/>
            </w:tcMar>
            <w:hideMark/>
          </w:tcPr>
          <w:p w14:paraId="3BCA8045"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CD105, CD9</w:t>
            </w:r>
          </w:p>
        </w:tc>
        <w:tc>
          <w:tcPr>
            <w:tcW w:w="2762" w:type="dxa"/>
            <w:shd w:val="clear" w:color="auto" w:fill="auto"/>
            <w:noWrap/>
            <w:tcMar>
              <w:top w:w="15" w:type="dxa"/>
              <w:left w:w="15" w:type="dxa"/>
              <w:bottom w:w="0" w:type="dxa"/>
              <w:right w:w="15" w:type="dxa"/>
            </w:tcMar>
            <w:hideMark/>
          </w:tcPr>
          <w:p w14:paraId="62A7AA4F"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Stro-1</w:t>
            </w:r>
          </w:p>
        </w:tc>
        <w:tc>
          <w:tcPr>
            <w:tcW w:w="1405" w:type="dxa"/>
            <w:vMerge w:val="restart"/>
            <w:shd w:val="clear" w:color="auto" w:fill="auto"/>
            <w:noWrap/>
            <w:tcMar>
              <w:top w:w="15" w:type="dxa"/>
              <w:left w:w="15" w:type="dxa"/>
              <w:bottom w:w="0" w:type="dxa"/>
              <w:right w:w="15" w:type="dxa"/>
            </w:tcMar>
            <w:hideMark/>
          </w:tcPr>
          <w:p w14:paraId="553D9155" w14:textId="76407B29"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Bearden</w:t>
            </w:r>
          </w:p>
          <w:p w14:paraId="35FD54A7" w14:textId="4E06FB55"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i/>
                <w:iCs/>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{"citationItems":[{"id":"ITEM-1","itemData":{"DOI":"10.1186/s13287-017-0639-6","ISSN":"17576512","PMID":"28974260","abstract":"BACKGROUND The dog represents an excellent large animal model for translational cell-based studies. Importantly, the properties of canine multipotent stromal cells (cMSCs) and the ideal tissue source for specific translational studies have yet to be established. The aim of this study was to characterize cMSCs derived from synovium, bone marrow, and adipose tissue using a donor-matched study design and a comprehensive series of in-vitro characterization, differentiation, and immunomodulation assays. METHODS Canine MSCs were isolated from five dogs with cranial cruciate ligament rupture. All 15 cMSC preparations were evaluated using colony forming unit (CFU) assays, flow cytometry analysis, RT-PCR for pluripotency-associated genes, proliferation assays, trilineage differentiation assays, and immunomodulation assays. Data were reported as mean</w:instrText>
            </w:r>
            <w:r w:rsidR="00E437CC" w:rsidRPr="00000DD3">
              <w:rPr>
                <w:rFonts w:ascii="Times New Roman" w:hAnsi="Times New Roman" w:cs="Times New Roman"/>
                <w:noProof/>
              </w:rPr>
              <w:instrText> </w:instrText>
            </w:r>
            <w:r w:rsidR="00E437CC" w:rsidRPr="00000DD3">
              <w:rPr>
                <w:rFonts w:ascii="Book Antiqua" w:hAnsi="Book Antiqua" w:cstheme="minorHAnsi"/>
                <w:noProof/>
              </w:rPr>
              <w:instrText>±</w:instrText>
            </w:r>
            <w:r w:rsidR="00E437CC" w:rsidRPr="00000DD3">
              <w:rPr>
                <w:rFonts w:ascii="Times New Roman" w:hAnsi="Times New Roman" w:cs="Times New Roman"/>
                <w:noProof/>
              </w:rPr>
              <w:instrText> </w:instrText>
            </w:r>
            <w:r w:rsidR="00E437CC" w:rsidRPr="00000DD3">
              <w:rPr>
                <w:rFonts w:ascii="Book Antiqua" w:hAnsi="Book Antiqua" w:cstheme="minorHAnsi"/>
                <w:noProof/>
              </w:rPr>
              <w:instrText>standard deviation and compared using repeated-measures analysis of variance and Tukey post-hoc test. Significance was established at p</w:instrText>
            </w:r>
            <w:r w:rsidR="00E437CC" w:rsidRPr="00000DD3">
              <w:rPr>
                <w:rFonts w:ascii="Times New Roman" w:hAnsi="Times New Roman" w:cs="Times New Roman"/>
                <w:noProof/>
              </w:rPr>
              <w:instrText> </w:instrText>
            </w:r>
            <w:r w:rsidR="00E437CC" w:rsidRPr="00000DD3">
              <w:rPr>
                <w:rFonts w:ascii="Book Antiqua" w:hAnsi="Book Antiqua" w:cstheme="minorHAnsi"/>
                <w:noProof/>
              </w:rPr>
              <w:instrText>&lt;</w:instrText>
            </w:r>
            <w:r w:rsidR="00E437CC" w:rsidRPr="00000DD3">
              <w:rPr>
                <w:rFonts w:ascii="Times New Roman" w:hAnsi="Times New Roman" w:cs="Times New Roman"/>
                <w:noProof/>
              </w:rPr>
              <w:instrText> </w:instrText>
            </w:r>
            <w:r w:rsidR="00E437CC" w:rsidRPr="00000DD3">
              <w:rPr>
                <w:rFonts w:ascii="Book Antiqua" w:hAnsi="Book Antiqua" w:cstheme="minorHAnsi"/>
                <w:noProof/>
              </w:rPr>
              <w:instrText>0.05. RESULTS All tissue samples produced plastic adherent, spindle-shaped preparations of cMSCs. Cells were negative for CD34, CD45, and STRO-1 and positive for CD9, CD44, and CD90, whereas the degree to which cells were positive for CD105 was variable depending on tissue of origin. Cells were positive for the pluripotency-associated genes NANOG, OCT4, and SOX2. Accounting for donor and tissue sources, there were significant differences in CFU potential, rate of proliferation, trilineage differentiation, and immunomodulatory response. Synovium and marrow cMSCs exhibited superior early osteogenic activity, but when assessing late-stage osteogenesis no significant differences were detected. Interestingly, bone morphogenic protein-2 (BMP-2) supplementation was necessary for early-stage and late-stage osteogenic differentiation, a finding consistent with other canine studies. Additionally, synovium and adipose cMSCs proliferated more rapidly, displayed higher CFU potential, and formed larger aggregates in chondrogenic assays, although proteoglycan and collagen type II staining were subjectively decreased in adipose pellets as compared to synovial and marrow pellets. Lastly, cMSCs derived from all three tissue sources modulated murine macrophage TNF-α and IL-6 levels in a lipopolysaccharide-stimulated coculture assay. CONCLUSIONS While cMSCs from synovium, marrow, and adipose tissue share a number of similarities, important differences in proliferation and trilineage differentiation …","author":[{"dropping-particle":"","family":"Bearden","given":"Robert N.","non-dropping-particle":"","parse-names":false,"suffix":""},{"dropping-particle":"","family":"Huggins","given":"Shannon S.","non-dropping-particle":"","parse-names":false,"suffix":""},{"dropping-particle":"","family":"Cummings","given":"Kevin J.","non-dropping-particle":"","parse-names":false,"suffix":""},{"dropping-particle":"","family":"Smith","given":"Roger","non-dropping-particle":"","parse-names":false,"suffix":""},{"dropping-particle":"","family":"Gregory","given":"Carl A.","non-dropping-particle":"","parse-names":false,"suffix":""},{"dropping-particle":"","family":"Saunders","given":"William B.","non-dropping-particle":"","parse-names":false,"suffix":""}],"container-title":"Stem Cell Research and Therapy","id":"ITEM-1","issue":"1","issued":{"date-parts":[["2017"]]},"page":"1-22","publisher":"Stem Cell Research &amp; Therapy","title":"In-vitro characterization of canine multipotent stromal cells isolated from synovium, bone marrow, and adipose tissue: A donor-matched comparative study","type":"article-journal","volume":"8"},"uris":["http://www.mendeley.com/documents/?uuid=93ce5912-c717-4e45-a0d6-6e2eb38783bb"]}],"mendeley":{"formattedCitation":"&lt;sup&gt;[53]&lt;/sup&gt;","plainTextFormattedCitation":"[53]","previouslyFormattedCitation":"&lt;sup&gt;[53]&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[53]</w:t>
            </w:r>
            <w:r w:rsidR="00E437CC" w:rsidRPr="00000DD3">
              <w:rPr>
                <w:rFonts w:ascii="Book Antiqua" w:hAnsi="Book Antiqua" w:cstheme="minorHAnsi"/>
                <w:noProof/>
              </w:rPr>
              <w:fldChar w:fldCharType="end"/>
            </w:r>
            <w:r w:rsidRPr="00000DD3">
              <w:rPr>
                <w:rFonts w:ascii="Book Antiqua" w:hAnsi="Book Antiqua" w:cstheme="minorHAnsi"/>
                <w:noProof/>
              </w:rPr>
              <w:t>, 2017</w:t>
            </w:r>
          </w:p>
        </w:tc>
      </w:tr>
      <w:tr w:rsidR="00874B98" w:rsidRPr="00000DD3" w14:paraId="2F7DC81F" w14:textId="77777777" w:rsidTr="00AB78A8">
        <w:trPr>
          <w:trHeight w:val="58"/>
        </w:trPr>
        <w:tc>
          <w:tcPr>
            <w:tcW w:w="1560" w:type="dxa"/>
            <w:shd w:val="clear" w:color="auto" w:fill="auto"/>
            <w:noWrap/>
            <w:tcMar>
              <w:top w:w="15" w:type="dxa"/>
              <w:left w:w="15" w:type="dxa"/>
              <w:bottom w:w="0" w:type="dxa"/>
              <w:right w:w="15" w:type="dxa"/>
            </w:tcMar>
            <w:hideMark/>
          </w:tcPr>
          <w:p w14:paraId="2D1F0BA2"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hideMark/>
          </w:tcPr>
          <w:p w14:paraId="1B0E1C06"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CD105, CD9</w:t>
            </w:r>
          </w:p>
        </w:tc>
        <w:tc>
          <w:tcPr>
            <w:tcW w:w="2762" w:type="dxa"/>
            <w:shd w:val="clear" w:color="auto" w:fill="auto"/>
            <w:noWrap/>
            <w:tcMar>
              <w:top w:w="15" w:type="dxa"/>
              <w:left w:w="15" w:type="dxa"/>
              <w:bottom w:w="0" w:type="dxa"/>
              <w:right w:w="15" w:type="dxa"/>
            </w:tcMar>
            <w:hideMark/>
          </w:tcPr>
          <w:p w14:paraId="0755C150"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Stro-1</w:t>
            </w:r>
          </w:p>
        </w:tc>
        <w:tc>
          <w:tcPr>
            <w:tcW w:w="1405" w:type="dxa"/>
            <w:vMerge/>
            <w:hideMark/>
          </w:tcPr>
          <w:p w14:paraId="7FE5D733"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2D0BE604" w14:textId="77777777" w:rsidTr="00AB78A8">
        <w:trPr>
          <w:trHeight w:val="58"/>
        </w:trPr>
        <w:tc>
          <w:tcPr>
            <w:tcW w:w="1560" w:type="dxa"/>
            <w:shd w:val="clear" w:color="auto" w:fill="auto"/>
            <w:noWrap/>
            <w:tcMar>
              <w:top w:w="15" w:type="dxa"/>
              <w:left w:w="15" w:type="dxa"/>
              <w:bottom w:w="0" w:type="dxa"/>
              <w:right w:w="15" w:type="dxa"/>
            </w:tcMar>
            <w:hideMark/>
          </w:tcPr>
          <w:p w14:paraId="07732C33"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Synovium</w:t>
            </w:r>
          </w:p>
        </w:tc>
        <w:tc>
          <w:tcPr>
            <w:tcW w:w="2761" w:type="dxa"/>
            <w:shd w:val="clear" w:color="auto" w:fill="auto"/>
            <w:noWrap/>
            <w:tcMar>
              <w:top w:w="15" w:type="dxa"/>
              <w:left w:w="15" w:type="dxa"/>
              <w:bottom w:w="0" w:type="dxa"/>
              <w:right w:w="15" w:type="dxa"/>
            </w:tcMar>
            <w:hideMark/>
          </w:tcPr>
          <w:p w14:paraId="68735952"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CD105, CD9</w:t>
            </w:r>
          </w:p>
        </w:tc>
        <w:tc>
          <w:tcPr>
            <w:tcW w:w="2762" w:type="dxa"/>
            <w:shd w:val="clear" w:color="auto" w:fill="auto"/>
            <w:noWrap/>
            <w:tcMar>
              <w:top w:w="15" w:type="dxa"/>
              <w:left w:w="15" w:type="dxa"/>
              <w:bottom w:w="0" w:type="dxa"/>
              <w:right w:w="15" w:type="dxa"/>
            </w:tcMar>
            <w:hideMark/>
          </w:tcPr>
          <w:p w14:paraId="2C3692DB"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Stro-1</w:t>
            </w:r>
          </w:p>
        </w:tc>
        <w:tc>
          <w:tcPr>
            <w:tcW w:w="1405" w:type="dxa"/>
            <w:vMerge/>
            <w:hideMark/>
          </w:tcPr>
          <w:p w14:paraId="44AC9CE5"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700FA711" w14:textId="77777777" w:rsidTr="00AB78A8">
        <w:trPr>
          <w:trHeight w:val="58"/>
        </w:trPr>
        <w:tc>
          <w:tcPr>
            <w:tcW w:w="1560" w:type="dxa"/>
            <w:shd w:val="clear" w:color="auto" w:fill="auto"/>
            <w:noWrap/>
            <w:tcMar>
              <w:top w:w="15" w:type="dxa"/>
              <w:left w:w="15" w:type="dxa"/>
              <w:bottom w:w="0" w:type="dxa"/>
              <w:right w:w="15" w:type="dxa"/>
            </w:tcMar>
            <w:hideMark/>
          </w:tcPr>
          <w:p w14:paraId="3C8405B7"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Adipose tissue</w:t>
            </w:r>
          </w:p>
        </w:tc>
        <w:tc>
          <w:tcPr>
            <w:tcW w:w="2761" w:type="dxa"/>
            <w:shd w:val="clear" w:color="auto" w:fill="auto"/>
            <w:noWrap/>
            <w:tcMar>
              <w:top w:w="15" w:type="dxa"/>
              <w:left w:w="15" w:type="dxa"/>
              <w:bottom w:w="0" w:type="dxa"/>
              <w:right w:w="15" w:type="dxa"/>
            </w:tcMar>
            <w:hideMark/>
          </w:tcPr>
          <w:p w14:paraId="2FDC044A"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w:t>
            </w:r>
          </w:p>
        </w:tc>
        <w:tc>
          <w:tcPr>
            <w:tcW w:w="2762" w:type="dxa"/>
            <w:shd w:val="clear" w:color="auto" w:fill="auto"/>
            <w:noWrap/>
            <w:tcMar>
              <w:top w:w="15" w:type="dxa"/>
              <w:left w:w="15" w:type="dxa"/>
              <w:bottom w:w="0" w:type="dxa"/>
              <w:right w:w="15" w:type="dxa"/>
            </w:tcMar>
            <w:hideMark/>
          </w:tcPr>
          <w:p w14:paraId="269D5750"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w:t>
            </w:r>
          </w:p>
        </w:tc>
        <w:tc>
          <w:tcPr>
            <w:tcW w:w="1405" w:type="dxa"/>
            <w:vMerge w:val="restart"/>
            <w:shd w:val="clear" w:color="auto" w:fill="auto"/>
            <w:noWrap/>
            <w:tcMar>
              <w:top w:w="15" w:type="dxa"/>
              <w:left w:w="15" w:type="dxa"/>
              <w:bottom w:w="0" w:type="dxa"/>
              <w:right w:w="15" w:type="dxa"/>
            </w:tcMar>
            <w:hideMark/>
          </w:tcPr>
          <w:p w14:paraId="7D2B5606" w14:textId="7CE4C3C4"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Reich</w:t>
            </w:r>
          </w:p>
          <w:p w14:paraId="02902CB4" w14:textId="2D4DBEAC"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i/>
                <w:iCs/>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{"citationItems":[{"id":"ITEM-1","itemData":{"DOI":"10.1007/s11259-012-9523-0","ISBN":"1573-7446 (Electronic)\\r0165-7380 (Linking)","ISSN":"01657380","PMID":"22392598","abstract":"In the dog, mesenchymal stem cells (MSCs) have been shown to reside in the bone marrow (bone marrow-derived mesenchymal stem cells: BM-MSCs) as well as in the adipose tissue (adipose tissue-derived stem cells: ADSCs). Potential application fields for these multipotent MSCs in small animal practice are joint diseases as MSCs of both sources have shown to possess chondrogenic differentiation ability. However, it is not clear whether the chondrogenic differentiation potential of cells of these two distinct tissues is truly equal. Therefore, we compared MSCs of both origins in this study in terms of their chondrogenic differentiation ability and suitability for clinical application. BM-MSCs harvested from the femoral neck and ADSCs from intra-abdominal fat tissue were examined for their morphology, population doubling time (PDT) and CD90 surface antigen expression. RT-PCR served to assess expression of pluripotency marker Oct4 and early differentiation marker genes. Chondrogenic differentiation ability was compared and validated using histochemistry, transmission electron microscopy (TEM) and quantitative RT-PCR. Both cell populations presented a highly similar morphology and marker expression in an undifferentiated stage except that freshly isolated ADSCs demonstrated a significantly faster PDT than BM-MSCs. In contrast, BM-MSCs revealed a morphological superior cartilage formation by the production of a more abundant and structured hyaline matrix and higher expression of lineage specific genes under the applied standard differentiation protocol. However, further investigations are necessary in order to find out if chondrogenic differentiation can be improved in canine ADSCs using different protocols and/or supplements.","author":[{"dropping-particle":"","family":"Reich","given":"Christine M","non-dropping-particle":"","parse-names":false,"suffix":""},{"dropping-particle":"","family":"Raabe","given":"Oksana","non-dropping-particle":"","parse-names":false,"suffix":""},{"dropping-particle":"","family":"Wenisch","given":"Sabine","non-dropping-particle":"","parse-names":false,"suffix":""},{"dropping-particle":"","family":"Bridger","given":"Philip S","non-dropping-particle":"","parse-names":false,"suffix":""},{"dropping-particle":"","family":"Kramer","given":"Martin","non-dropping-particle":"","parse-names":false,"suffix":""},{"dropping-particle":"","family":"Arnhold","given":"Stefan","non-dropping-particle":"","parse-names":false,"suffix":""}],"container-title":"Veterinary Research Communications","id":"ITEM-1","issue":"2","issued":{"date-parts":[["2012"]]},"page":"139-148","title":"Isolation, culture and chondrogenic differentiation of canine adipose tissue- and bone marrow-derived mesenchymal stem cells-A comparative study","type":"article-journal","volume":"36"},"uris":["http://www.mendeley.com/documents/?uuid=7bef8bba-0ea4-3972-a9b4-31813e085455"]}],"mendeley":{"formattedCitation":"&lt;sup&gt;[56]&lt;/sup&gt;","plainTextFormattedCitation":"[56]","previouslyFormattedCitation":"&lt;sup&gt;[56]&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[56]</w:t>
            </w:r>
            <w:r w:rsidR="00E437CC" w:rsidRPr="00000DD3">
              <w:rPr>
                <w:rFonts w:ascii="Book Antiqua" w:hAnsi="Book Antiqua" w:cstheme="minorHAnsi"/>
                <w:noProof/>
              </w:rPr>
              <w:fldChar w:fldCharType="end"/>
            </w:r>
            <w:r w:rsidRPr="00000DD3">
              <w:rPr>
                <w:rFonts w:ascii="Book Antiqua" w:hAnsi="Book Antiqua" w:cstheme="minorHAnsi"/>
                <w:noProof/>
              </w:rPr>
              <w:t>, 2012</w:t>
            </w:r>
          </w:p>
        </w:tc>
      </w:tr>
      <w:tr w:rsidR="00874B98" w:rsidRPr="00000DD3" w14:paraId="6EFC8B39" w14:textId="77777777" w:rsidTr="00AB78A8">
        <w:trPr>
          <w:trHeight w:val="58"/>
        </w:trPr>
        <w:tc>
          <w:tcPr>
            <w:tcW w:w="1560" w:type="dxa"/>
            <w:shd w:val="clear" w:color="auto" w:fill="auto"/>
            <w:noWrap/>
            <w:tcMar>
              <w:top w:w="15" w:type="dxa"/>
              <w:left w:w="15" w:type="dxa"/>
              <w:bottom w:w="0" w:type="dxa"/>
              <w:right w:w="15" w:type="dxa"/>
            </w:tcMar>
            <w:hideMark/>
          </w:tcPr>
          <w:p w14:paraId="2389216E"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hideMark/>
          </w:tcPr>
          <w:p w14:paraId="5ED432E1"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w:t>
            </w:r>
          </w:p>
        </w:tc>
        <w:tc>
          <w:tcPr>
            <w:tcW w:w="2762" w:type="dxa"/>
            <w:shd w:val="clear" w:color="auto" w:fill="auto"/>
            <w:noWrap/>
            <w:tcMar>
              <w:top w:w="15" w:type="dxa"/>
              <w:left w:w="15" w:type="dxa"/>
              <w:bottom w:w="0" w:type="dxa"/>
              <w:right w:w="15" w:type="dxa"/>
            </w:tcMar>
            <w:hideMark/>
          </w:tcPr>
          <w:p w14:paraId="0DB0CB3E"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w:t>
            </w:r>
          </w:p>
        </w:tc>
        <w:tc>
          <w:tcPr>
            <w:tcW w:w="1405" w:type="dxa"/>
            <w:vMerge/>
            <w:hideMark/>
          </w:tcPr>
          <w:p w14:paraId="5271B368"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3562269F" w14:textId="77777777" w:rsidTr="00AB78A8">
        <w:trPr>
          <w:trHeight w:val="58"/>
        </w:trPr>
        <w:tc>
          <w:tcPr>
            <w:tcW w:w="1560" w:type="dxa"/>
            <w:shd w:val="clear" w:color="auto" w:fill="auto"/>
            <w:noWrap/>
            <w:tcMar>
              <w:top w:w="15" w:type="dxa"/>
              <w:left w:w="15" w:type="dxa"/>
              <w:bottom w:w="0" w:type="dxa"/>
              <w:right w:w="15" w:type="dxa"/>
            </w:tcMar>
            <w:hideMark/>
          </w:tcPr>
          <w:p w14:paraId="6975FFDE"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Adipose tissue</w:t>
            </w:r>
          </w:p>
        </w:tc>
        <w:tc>
          <w:tcPr>
            <w:tcW w:w="2761" w:type="dxa"/>
            <w:shd w:val="clear" w:color="auto" w:fill="auto"/>
            <w:noWrap/>
            <w:tcMar>
              <w:top w:w="15" w:type="dxa"/>
              <w:left w:w="15" w:type="dxa"/>
              <w:bottom w:w="0" w:type="dxa"/>
              <w:right w:w="15" w:type="dxa"/>
            </w:tcMar>
            <w:hideMark/>
          </w:tcPr>
          <w:p w14:paraId="6EE5D2B8"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CD29</w:t>
            </w:r>
          </w:p>
        </w:tc>
        <w:tc>
          <w:tcPr>
            <w:tcW w:w="2762" w:type="dxa"/>
            <w:shd w:val="clear" w:color="auto" w:fill="auto"/>
            <w:noWrap/>
            <w:tcMar>
              <w:top w:w="15" w:type="dxa"/>
              <w:left w:w="15" w:type="dxa"/>
              <w:bottom w:w="0" w:type="dxa"/>
              <w:right w:w="15" w:type="dxa"/>
            </w:tcMar>
            <w:hideMark/>
          </w:tcPr>
          <w:p w14:paraId="01D1CC57"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w:t>
            </w:r>
          </w:p>
        </w:tc>
        <w:tc>
          <w:tcPr>
            <w:tcW w:w="1405" w:type="dxa"/>
            <w:vMerge w:val="restart"/>
            <w:shd w:val="clear" w:color="auto" w:fill="auto"/>
            <w:noWrap/>
            <w:tcMar>
              <w:top w:w="15" w:type="dxa"/>
              <w:left w:w="15" w:type="dxa"/>
              <w:bottom w:w="0" w:type="dxa"/>
              <w:right w:w="15" w:type="dxa"/>
            </w:tcMar>
            <w:hideMark/>
          </w:tcPr>
          <w:p w14:paraId="6898E3DE" w14:textId="1A98A36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Takemitsu</w:t>
            </w:r>
          </w:p>
          <w:p w14:paraId="4C6AB9AE" w14:textId="0B358647"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i/>
                <w:iCs/>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{"citationItems":[{"id":"ITEM-1","itemData":{"DOI":"10.1186/1746-6148-8-150","ISBN":"1746-6148","ISSN":"1746-6148","PMID":"22937862","abstract":"BACKGROUND: Bone marrow-derived mesenchymal stem cells (BM-MSCs) and adipose tissue-derived mesenchymal stem cells (AT-MSCs) are potential cellular sources of therapeutic stem cells. MSCs are a multipotent population of cells capable of differentiating into a number of mesodermal lineages. Treatment using MSCs appears to be a helpful approach for structural restoration in regenerative medicine. Correct identification of these cells is necessary, but there is inadequate information on the MSC profile of cell surface markers and mRNA expression in dogs. In this study, we performed molecular characterization of canine BM-MSCs and AT-MSCs using immunological and mRNA expression analysis.\\n\\nRESULTS: Samples were confirmed to be multipotent based on their osteogenic and adipogenic differentiation. And these cells were checked as stem cell, hematopoietic and embryonic stem cell (ESC) markers by flow cytometry. BM- and AT-MSCs showed high expression of CD29 and CD44, moderate expression of CD90, and were negative for CD34, CD45, SSEA-3, SSEA-4, TRA-1-60, and TRA-1-81. SSEA-1 was expressed at very low levels in AT-MSCs. Quantitative real-time PCR (qRT-PCR) revealed expression of Oct3/4, Sox2, and Nanog in BM- and AT-MSCs. There was no significant difference in expression of Oct3/4 and Sox2 between BM-MSCs and AT-MSCs. However, Nanog expression was 2.5-fold higher in AT-MSCs than in BM-MSCs. Using immunocytochemical analysis, Oct3/4 and Sox2 proteins were observed in BM- and AT-MSCs.\\n\\nCONCLUSION: Our results provide fundamental information to enable for more reproducible and reliable quality control in the identification of canine BM-MSCs and AT-MSCs by protein and mRNA expression analysis.","author":[{"dropping-particle":"","family":"Takemitsu","given":"Hiroshi","non-dropping-particle":"","parse-names":false,"suffix":""},{"dropping-particle":"","family":"Zhao","given":"Dongwei","non-dropping-particle":"","parse-names":false,"suffix":""},{"dropping-particle":"","family":"Yamamoto","given":"Ichiro","non-dropping-particle":"","parse-names":false,"suffix":""},{"dropping-particle":"","family":"Harada","given":"Yasuji","non-dropping-particle":"","parse-names":false,"suffix":""},{"dropping-particle":"","family":"Michishita","given":"Masaki","non-dropping-particle":"","parse-names":false,"suffix":""},{"dropping-particle":"","family":"Arai","given":"Toshiro","non-dropping-particle":"","parse-names":false,"suffix":""}],"container-title":"BMC veterinary research","id":"ITEM-1","issue":"1","issued":{"date-parts":[["2012"]]},"page":"150","title":"Comparison of bone marrow and adipose tissue-derived canine mesenchymal stem cells.","type":"article-journal","volume":"8"},"uris":["http://www.mendeley.com/documents/?uuid=cf2b9ad8-34e5-4fa5-93af-8fa1c79b3de0"]}],"mendeley":{"formattedCitation":"&lt;sup&gt;[64]&lt;/sup&gt;","plainTextFormattedCitation":"[64]","previouslyFormattedCitation":"&lt;sup&gt;[64]&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[64]</w:t>
            </w:r>
            <w:r w:rsidR="00E437CC" w:rsidRPr="00000DD3">
              <w:rPr>
                <w:rFonts w:ascii="Book Antiqua" w:hAnsi="Book Antiqua" w:cstheme="minorHAnsi"/>
                <w:noProof/>
              </w:rPr>
              <w:fldChar w:fldCharType="end"/>
            </w:r>
            <w:r w:rsidRPr="00000DD3">
              <w:rPr>
                <w:rFonts w:ascii="Book Antiqua" w:hAnsi="Book Antiqua" w:cstheme="minorHAnsi"/>
                <w:noProof/>
              </w:rPr>
              <w:t>, 2012</w:t>
            </w:r>
          </w:p>
        </w:tc>
      </w:tr>
      <w:tr w:rsidR="00874B98" w:rsidRPr="00000DD3" w14:paraId="0C6AF856" w14:textId="77777777" w:rsidTr="00AB78A8">
        <w:trPr>
          <w:trHeight w:val="58"/>
        </w:trPr>
        <w:tc>
          <w:tcPr>
            <w:tcW w:w="1560" w:type="dxa"/>
            <w:shd w:val="clear" w:color="auto" w:fill="auto"/>
            <w:noWrap/>
            <w:tcMar>
              <w:top w:w="15" w:type="dxa"/>
              <w:left w:w="15" w:type="dxa"/>
              <w:bottom w:w="0" w:type="dxa"/>
              <w:right w:w="15" w:type="dxa"/>
            </w:tcMar>
            <w:hideMark/>
          </w:tcPr>
          <w:p w14:paraId="11707682"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hideMark/>
          </w:tcPr>
          <w:p w14:paraId="227F1D6A"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CD29</w:t>
            </w:r>
          </w:p>
        </w:tc>
        <w:tc>
          <w:tcPr>
            <w:tcW w:w="2762" w:type="dxa"/>
            <w:shd w:val="clear" w:color="auto" w:fill="auto"/>
            <w:noWrap/>
            <w:tcMar>
              <w:top w:w="15" w:type="dxa"/>
              <w:left w:w="15" w:type="dxa"/>
              <w:bottom w:w="0" w:type="dxa"/>
              <w:right w:w="15" w:type="dxa"/>
            </w:tcMar>
            <w:hideMark/>
          </w:tcPr>
          <w:p w14:paraId="01982A3A"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w:t>
            </w:r>
          </w:p>
        </w:tc>
        <w:tc>
          <w:tcPr>
            <w:tcW w:w="1405" w:type="dxa"/>
            <w:vMerge/>
            <w:hideMark/>
          </w:tcPr>
          <w:p w14:paraId="4598A7D2"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24A1E37E" w14:textId="77777777" w:rsidTr="00AB78A8">
        <w:trPr>
          <w:trHeight w:val="58"/>
        </w:trPr>
        <w:tc>
          <w:tcPr>
            <w:tcW w:w="1560" w:type="dxa"/>
            <w:shd w:val="clear" w:color="auto" w:fill="auto"/>
            <w:noWrap/>
            <w:tcMar>
              <w:top w:w="15" w:type="dxa"/>
              <w:left w:w="15" w:type="dxa"/>
              <w:bottom w:w="0" w:type="dxa"/>
              <w:right w:w="15" w:type="dxa"/>
            </w:tcMar>
            <w:hideMark/>
          </w:tcPr>
          <w:p w14:paraId="7EC5C066"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Adipose tissue</w:t>
            </w:r>
          </w:p>
        </w:tc>
        <w:tc>
          <w:tcPr>
            <w:tcW w:w="2761" w:type="dxa"/>
            <w:shd w:val="clear" w:color="auto" w:fill="auto"/>
            <w:noWrap/>
            <w:tcMar>
              <w:top w:w="15" w:type="dxa"/>
              <w:left w:w="15" w:type="dxa"/>
              <w:bottom w:w="0" w:type="dxa"/>
              <w:right w:w="15" w:type="dxa"/>
            </w:tcMar>
            <w:hideMark/>
          </w:tcPr>
          <w:p w14:paraId="0372FC00"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MHC</w:t>
            </w:r>
            <w:r w:rsidRPr="00000DD3">
              <w:rPr>
                <w:rFonts w:ascii="宋体" w:eastAsia="宋体" w:hAnsi="宋体" w:cs="宋体" w:hint="eastAsia"/>
                <w:noProof/>
              </w:rPr>
              <w:t>Ⅰ</w:t>
            </w:r>
          </w:p>
        </w:tc>
        <w:tc>
          <w:tcPr>
            <w:tcW w:w="2762" w:type="dxa"/>
            <w:shd w:val="clear" w:color="auto" w:fill="auto"/>
            <w:noWrap/>
            <w:tcMar>
              <w:top w:w="15" w:type="dxa"/>
              <w:left w:w="15" w:type="dxa"/>
              <w:bottom w:w="0" w:type="dxa"/>
              <w:right w:w="15" w:type="dxa"/>
            </w:tcMar>
            <w:hideMark/>
          </w:tcPr>
          <w:p w14:paraId="6D3A31B0"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CD34, CD29, CD14, MHC</w:t>
            </w:r>
            <w:r w:rsidRPr="00000DD3">
              <w:rPr>
                <w:rFonts w:ascii="宋体" w:eastAsia="宋体" w:hAnsi="宋体" w:cs="宋体" w:hint="eastAsia"/>
                <w:noProof/>
              </w:rPr>
              <w:t>Ⅱ</w:t>
            </w:r>
          </w:p>
        </w:tc>
        <w:tc>
          <w:tcPr>
            <w:tcW w:w="1405" w:type="dxa"/>
            <w:vMerge w:val="restart"/>
            <w:shd w:val="clear" w:color="auto" w:fill="auto"/>
            <w:noWrap/>
            <w:tcMar>
              <w:top w:w="15" w:type="dxa"/>
              <w:left w:w="15" w:type="dxa"/>
              <w:bottom w:w="0" w:type="dxa"/>
              <w:right w:w="15" w:type="dxa"/>
            </w:tcMar>
            <w:hideMark/>
          </w:tcPr>
          <w:p w14:paraId="6C9114C9" w14:textId="2C92C17A"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Screven</w:t>
            </w:r>
          </w:p>
          <w:p w14:paraId="14D759EF" w14:textId="6555EDDA"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i/>
                <w:iCs/>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{"citationItems":[{"id":"ITEM-1","itemData":{"DOI":"10.1016/j.vetimm.2014.06.002","ISBN":"1873-2534 (Electronic)\\r0165-2427 (Linking)","ISSN":"18732534","PMID":"25026887","abstract":"Veterinary adult stem cell therapy is an emerging area of basic and clinical research. Like their human counterparts, veterinary mesenchymal stem cells (MSCs) offer many potential therapeutic benefits. The characterization of canine-derived MSCs, however, is poorly defined compared to human MSCs. Furthermore, little consensus exists regarding the expression of canine MSC cell surface markers. To address this issue, this study investigated characteristics of cultured canine MSCs derived from both adipose tissue and bone marrow. The canine MSCs were obtained from donors of various breeds and ages. A panel of cell surface markers for canine MSCs was selected based on current human and canine literature and the availability of canine-reactive antibodies. Using flow cytometry, canine MSCs were defined to be CD90+CD44+MHC I+CD14-CD29-CD34-MHC II-. Canine MSCs were further characterized using real-time RT-PCR as CD105+CD73+CD14+CD29+MHC II+CD45- at the mRNA level. Among these markers, canine MSCs differed from canine peripheral blood mononuclear cells (PBMCs) by the absence of CD45 expression at the mRNA level. A novel high-throughput canine-specific PCR array was developed and used to identify changes in the gene expression profiles of canine MSCs. Genes including PTPRC, TNF, β2M, TGFβ1, and PDGFRβ, were identified as unique to canine MSCs as compared to canine PBMCs. Our findings will facilitate characterization of canine MSCs for use in research and clinical trials. Moreover, the high-throughput PCR array is a novel tool for characterizing canine MSCs isolated from different tissues and potentially from different laboratories. © 2014.","author":[{"dropping-particle":"","family":"Screven","given":"Rudell","non-dropping-particle":"","parse-names":false,"suffix":""},{"dropping-particle":"","family":"Kenyon","given":"Elizabeth","non-dropping-particle":"","parse-names":false,"suffix":""},{"dropping-particle":"","family":"Myers","given":"Michael J.","non-dropping-particle":"","parse-names":false,"suffix":""},{"dropping-particle":"","family":"Yancy","given":"Haile F.","non-dropping-particle":"","parse-names":false,"suffix":""},{"dropping-particle":"","family":"Skasko","given":"Mark","non-dropping-particle":"","parse-names":false,"suffix":""},{"dropping-particle":"","family":"Boxer","given":"Lynne","non-dropping-particle":"","parse-names":false,"suffix":""},{"dropping-particle":"","family":"Bigley","given":"Elmer C.","non-dropping-particle":"","parse-names":false,"suffix":""},{"dropping-particle":"","family":"Borjesson","given":"Dori L.","non-dropping-particle":"","parse-names":false,"suffix":""},{"dropping-particle":"","family":"Zhu","given":"Min","non-dropping-particle":"","parse-names":false,"suffix":""}],"container-title":"Veterinary Immunology and Immunopathology","id":"ITEM-1","issue":"1-2","issued":{"date-parts":[["2014"]]},"page":"21-31","title":"Immunophenotype and gene expression profile of mesenchymal stem cells derived from canine adipose tissue and bone marrow","type":"article-journal","volume":"161"},"uris":["http://www.mendeley.com/documents/?uuid=d5727772-1149-314b-a927-8edbfbb7a0f2"]}],"mendeley":{"formattedCitation":"&lt;sup&gt;[49]&lt;/sup&gt;","plainTextFormattedCitation":"[49]","previouslyFormattedCitation":"&lt;sup&gt;[49]&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[49]</w:t>
            </w:r>
            <w:r w:rsidR="00E437CC" w:rsidRPr="00000DD3">
              <w:rPr>
                <w:rFonts w:ascii="Book Antiqua" w:hAnsi="Book Antiqua" w:cstheme="minorHAnsi"/>
                <w:noProof/>
              </w:rPr>
              <w:fldChar w:fldCharType="end"/>
            </w:r>
            <w:r w:rsidRPr="00000DD3">
              <w:rPr>
                <w:rFonts w:ascii="Book Antiqua" w:hAnsi="Book Antiqua" w:cstheme="minorHAnsi"/>
                <w:noProof/>
              </w:rPr>
              <w:t>, 2014</w:t>
            </w:r>
          </w:p>
        </w:tc>
      </w:tr>
      <w:tr w:rsidR="00874B98" w:rsidRPr="00000DD3" w14:paraId="46B6A275" w14:textId="77777777" w:rsidTr="00AB78A8">
        <w:trPr>
          <w:trHeight w:val="58"/>
        </w:trPr>
        <w:tc>
          <w:tcPr>
            <w:tcW w:w="1560" w:type="dxa"/>
            <w:shd w:val="clear" w:color="auto" w:fill="auto"/>
            <w:noWrap/>
            <w:tcMar>
              <w:top w:w="15" w:type="dxa"/>
              <w:left w:w="15" w:type="dxa"/>
              <w:bottom w:w="0" w:type="dxa"/>
              <w:right w:w="15" w:type="dxa"/>
            </w:tcMar>
            <w:hideMark/>
          </w:tcPr>
          <w:p w14:paraId="71A11F0E"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hideMark/>
          </w:tcPr>
          <w:p w14:paraId="4D314476"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MHC</w:t>
            </w:r>
            <w:r w:rsidRPr="00000DD3">
              <w:rPr>
                <w:rFonts w:ascii="宋体" w:eastAsia="宋体" w:hAnsi="宋体" w:cs="宋体" w:hint="eastAsia"/>
                <w:noProof/>
              </w:rPr>
              <w:t>Ⅰ</w:t>
            </w:r>
          </w:p>
        </w:tc>
        <w:tc>
          <w:tcPr>
            <w:tcW w:w="2762" w:type="dxa"/>
            <w:shd w:val="clear" w:color="auto" w:fill="auto"/>
            <w:noWrap/>
            <w:tcMar>
              <w:top w:w="15" w:type="dxa"/>
              <w:left w:w="15" w:type="dxa"/>
              <w:bottom w:w="0" w:type="dxa"/>
              <w:right w:w="15" w:type="dxa"/>
            </w:tcMar>
            <w:hideMark/>
          </w:tcPr>
          <w:p w14:paraId="761C3DC1"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CD34, CD29, CD14, MHC</w:t>
            </w:r>
            <w:r w:rsidRPr="00000DD3">
              <w:rPr>
                <w:rFonts w:ascii="宋体" w:eastAsia="宋体" w:hAnsi="宋体" w:cs="宋体" w:hint="eastAsia"/>
                <w:noProof/>
              </w:rPr>
              <w:t>Ⅱ</w:t>
            </w:r>
          </w:p>
        </w:tc>
        <w:tc>
          <w:tcPr>
            <w:tcW w:w="1405" w:type="dxa"/>
            <w:vMerge/>
            <w:hideMark/>
          </w:tcPr>
          <w:p w14:paraId="3479FB9E"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64073B6D" w14:textId="77777777" w:rsidTr="00AB78A8">
        <w:trPr>
          <w:trHeight w:val="58"/>
        </w:trPr>
        <w:tc>
          <w:tcPr>
            <w:tcW w:w="1560" w:type="dxa"/>
            <w:shd w:val="clear" w:color="auto" w:fill="auto"/>
            <w:noWrap/>
            <w:tcMar>
              <w:top w:w="15" w:type="dxa"/>
              <w:left w:w="15" w:type="dxa"/>
              <w:bottom w:w="0" w:type="dxa"/>
              <w:right w:w="15" w:type="dxa"/>
            </w:tcMar>
          </w:tcPr>
          <w:p w14:paraId="678335F9"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Adipose tissue</w:t>
            </w:r>
          </w:p>
        </w:tc>
        <w:tc>
          <w:tcPr>
            <w:tcW w:w="2761" w:type="dxa"/>
            <w:shd w:val="clear" w:color="auto" w:fill="auto"/>
            <w:noWrap/>
            <w:tcMar>
              <w:top w:w="15" w:type="dxa"/>
              <w:left w:w="15" w:type="dxa"/>
              <w:bottom w:w="0" w:type="dxa"/>
              <w:right w:w="15" w:type="dxa"/>
            </w:tcMar>
          </w:tcPr>
          <w:p w14:paraId="2FBA78A2"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w:t>
            </w:r>
          </w:p>
        </w:tc>
        <w:tc>
          <w:tcPr>
            <w:tcW w:w="2762" w:type="dxa"/>
            <w:shd w:val="clear" w:color="auto" w:fill="auto"/>
            <w:noWrap/>
            <w:tcMar>
              <w:top w:w="15" w:type="dxa"/>
              <w:left w:w="15" w:type="dxa"/>
              <w:bottom w:w="0" w:type="dxa"/>
              <w:right w:w="15" w:type="dxa"/>
            </w:tcMar>
          </w:tcPr>
          <w:p w14:paraId="1FB2BD43"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CD14</w:t>
            </w:r>
          </w:p>
        </w:tc>
        <w:tc>
          <w:tcPr>
            <w:tcW w:w="1405" w:type="dxa"/>
            <w:vMerge w:val="restart"/>
          </w:tcPr>
          <w:p w14:paraId="27138816" w14:textId="568FD02E"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Sullivan</w:t>
            </w:r>
          </w:p>
          <w:p w14:paraId="3358782E" w14:textId="45367E15"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i/>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{"citationItems":[{"id":"ITEM-1","itemData":{"DOI":"10.3389/fvets.2015.00082","ISBN":"2297-1769 (Electronic)\\r2297-1769 (Linking)","ISSN":"2297-1769","PMID":"26835460","abstract":"The objective of this study was to subjectively evaluate the harvest of two areas of adipose collection and three areas of bone marrow collection as potential sites for clinical harvest of adipose stromal vascular fraction (SVF) and bone marrow concentrate for clinical use by quantifying the amount of tissue harvested, subjective ease of harvest, the variation of each site, and determining the cell surface marker characteristics using commercially available antibodies. Bone marrow and adipose tissue samples were collected from 10 adult mixed breed dogs. Adipose tissue was collected from the caudal scapular region and falciform fat ligament. Bone marrow aspirates were collected from the ilium, humerus, and tibia. Tissues were weighed (adipose) or measured by volume (bone marrow), processed to isolate the SVF or bone marrow concentrate, and flow cytometry was performed to quantitate the percentage of cells that were CD90, CD44 positive, and CD45 negative. Sites and tissue types were compared using matched pairs t-test. Subjectively subcutaneous fat collection was the most difficult and large amounts of tissue dissection were necessary. Additionally the subcutaneous area yielded less than the goal amount of tissue. The bone marrow harvest ranged from 10 to 27.5 ml. Adipose tissue had the highest concentration of cells with CD90(+), CD44(+), and CD45(-) markers (P &lt; 0.05), and bone marrow had the highest total number of these cells at harvest (P &lt; 0.05). Variation was high for all sites, but the adipose collection yielded more consistent results. These results describe the relative cellular components in the SVF of adipose tissue and bone marrow as defined by the biomarkers chosen. Although bone marrow yielded higher absolute cell numbers on average, adipose tissue yielded more consistent results. Fat from the falciform ligament was easily obtained with less dissection and therefore created less perceived relative patient trauma.","author":[{"dropping-particle":"","family":"Sullivan","given":"Meghan O.","non-dropping-particle":"","parse-names":false,"suffix":""},{"dropping-particle":"","family":"Gordon-Evans","given":"Wanda J.","non-dropping-particle":"","parse-names":false,"suffix":""},{"dropping-particle":"","family":"Fredericks","given":"Lisa Page","non-dropping-particle":"","parse-names":false,"suffix":""},{"dropping-particle":"","family":"Kiefer","given":"Kristina","non-dropping-particle":"","parse-names":false,"suffix":""},{"dropping-particle":"","family":"Conzemius","given":"Michael G.","non-dropping-particle":"","parse-names":false,"suffix":""},{"dropping-particle":"","family":"Griffon","given":"Dominique J.","non-dropping-particle":"","parse-names":false,"suffix":""}],"container-title":"Frontiers in Veterinary Science","id":"ITEM-1","issue":"82","issued":{"date-parts":[["2016"]]},"title":"Comparison of mesenchymal stem cell surface markers from bone marrow aspirates and adipose stromal vascular fraction sites","type":"article-journal","volume":"2"},"uris":["http://www.mendeley.com/documents/?uuid=0333e662-5e7c-30ab-807a-00844d386a39"]}],"mendeley":{"formattedCitation":"&lt;sup&gt;[118]&lt;/sup&gt;","plainTextFormattedCitation":"[118]","previouslyFormattedCitation":"&lt;sup&gt;[118]&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[118]</w:t>
            </w:r>
            <w:r w:rsidR="00E437CC" w:rsidRPr="00000DD3">
              <w:rPr>
                <w:rFonts w:ascii="Book Antiqua" w:hAnsi="Book Antiqua" w:cstheme="minorHAnsi"/>
                <w:noProof/>
              </w:rPr>
              <w:fldChar w:fldCharType="end"/>
            </w:r>
            <w:r w:rsidRPr="00000DD3">
              <w:rPr>
                <w:rFonts w:ascii="Book Antiqua" w:hAnsi="Book Antiqua" w:cstheme="minorHAnsi"/>
                <w:i/>
                <w:noProof/>
              </w:rPr>
              <w:t>,</w:t>
            </w:r>
            <w:r w:rsidRPr="00000DD3">
              <w:rPr>
                <w:rFonts w:ascii="Book Antiqua" w:hAnsi="Book Antiqua" w:cstheme="minorHAnsi"/>
                <w:noProof/>
              </w:rPr>
              <w:t xml:space="preserve"> 201</w:t>
            </w:r>
            <w:r w:rsidR="003D7F4B" w:rsidRPr="00000DD3">
              <w:rPr>
                <w:rFonts w:ascii="Book Antiqua" w:hAnsi="Book Antiqua" w:cstheme="minorHAnsi"/>
                <w:noProof/>
              </w:rPr>
              <w:t>6</w:t>
            </w:r>
          </w:p>
        </w:tc>
      </w:tr>
      <w:tr w:rsidR="00874B98" w:rsidRPr="00000DD3" w14:paraId="1BF20569" w14:textId="77777777" w:rsidTr="00AB78A8">
        <w:trPr>
          <w:trHeight w:val="58"/>
        </w:trPr>
        <w:tc>
          <w:tcPr>
            <w:tcW w:w="1560" w:type="dxa"/>
            <w:shd w:val="clear" w:color="auto" w:fill="auto"/>
            <w:noWrap/>
            <w:tcMar>
              <w:top w:w="15" w:type="dxa"/>
              <w:left w:w="15" w:type="dxa"/>
              <w:bottom w:w="0" w:type="dxa"/>
              <w:right w:w="15" w:type="dxa"/>
            </w:tcMar>
          </w:tcPr>
          <w:p w14:paraId="047F9FB7"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tcPr>
          <w:p w14:paraId="2F1EDE2A"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w:t>
            </w:r>
          </w:p>
        </w:tc>
        <w:tc>
          <w:tcPr>
            <w:tcW w:w="2762" w:type="dxa"/>
            <w:shd w:val="clear" w:color="auto" w:fill="auto"/>
            <w:noWrap/>
            <w:tcMar>
              <w:top w:w="15" w:type="dxa"/>
              <w:left w:w="15" w:type="dxa"/>
              <w:bottom w:w="0" w:type="dxa"/>
              <w:right w:w="15" w:type="dxa"/>
            </w:tcMar>
          </w:tcPr>
          <w:p w14:paraId="4E3DAAF4"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CD14</w:t>
            </w:r>
          </w:p>
        </w:tc>
        <w:tc>
          <w:tcPr>
            <w:tcW w:w="1405" w:type="dxa"/>
            <w:vMerge/>
          </w:tcPr>
          <w:p w14:paraId="2ED4273C"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15487FE2" w14:textId="77777777" w:rsidTr="00AB78A8">
        <w:trPr>
          <w:trHeight w:val="58"/>
        </w:trPr>
        <w:tc>
          <w:tcPr>
            <w:tcW w:w="1560" w:type="dxa"/>
            <w:shd w:val="clear" w:color="auto" w:fill="auto"/>
            <w:noWrap/>
            <w:tcMar>
              <w:top w:w="15" w:type="dxa"/>
              <w:left w:w="15" w:type="dxa"/>
              <w:bottom w:w="0" w:type="dxa"/>
              <w:right w:w="15" w:type="dxa"/>
            </w:tcMar>
            <w:hideMark/>
          </w:tcPr>
          <w:p w14:paraId="2EC6541A"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Adipose tissue</w:t>
            </w:r>
          </w:p>
        </w:tc>
        <w:tc>
          <w:tcPr>
            <w:tcW w:w="2761" w:type="dxa"/>
            <w:shd w:val="clear" w:color="auto" w:fill="auto"/>
            <w:noWrap/>
            <w:tcMar>
              <w:top w:w="15" w:type="dxa"/>
              <w:left w:w="15" w:type="dxa"/>
              <w:bottom w:w="0" w:type="dxa"/>
              <w:right w:w="15" w:type="dxa"/>
            </w:tcMar>
            <w:hideMark/>
          </w:tcPr>
          <w:p w14:paraId="099543D0"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CD29, CD73, CD4, CD8, MHC</w:t>
            </w:r>
            <w:r w:rsidRPr="00000DD3">
              <w:rPr>
                <w:rFonts w:ascii="宋体" w:eastAsia="宋体" w:hAnsi="宋体" w:cs="宋体" w:hint="eastAsia"/>
                <w:noProof/>
              </w:rPr>
              <w:t>Ⅰ</w:t>
            </w:r>
          </w:p>
        </w:tc>
        <w:tc>
          <w:tcPr>
            <w:tcW w:w="2762" w:type="dxa"/>
            <w:shd w:val="clear" w:color="auto" w:fill="auto"/>
            <w:noWrap/>
            <w:tcMar>
              <w:top w:w="15" w:type="dxa"/>
              <w:left w:w="15" w:type="dxa"/>
              <w:bottom w:w="0" w:type="dxa"/>
              <w:right w:w="15" w:type="dxa"/>
            </w:tcMar>
            <w:hideMark/>
          </w:tcPr>
          <w:p w14:paraId="3E573849"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CD14, MHC</w:t>
            </w:r>
            <w:r w:rsidRPr="00000DD3">
              <w:rPr>
                <w:rFonts w:ascii="宋体" w:eastAsia="宋体" w:hAnsi="宋体" w:cs="宋体" w:hint="eastAsia"/>
                <w:noProof/>
              </w:rPr>
              <w:t>Ⅱ</w:t>
            </w:r>
          </w:p>
        </w:tc>
        <w:tc>
          <w:tcPr>
            <w:tcW w:w="1405" w:type="dxa"/>
            <w:vMerge w:val="restart"/>
            <w:shd w:val="clear" w:color="auto" w:fill="auto"/>
            <w:noWrap/>
            <w:tcMar>
              <w:top w:w="15" w:type="dxa"/>
              <w:left w:w="15" w:type="dxa"/>
              <w:bottom w:w="0" w:type="dxa"/>
              <w:right w:w="15" w:type="dxa"/>
            </w:tcMar>
            <w:hideMark/>
          </w:tcPr>
          <w:p w14:paraId="33172B6D" w14:textId="683E270D"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Russell</w:t>
            </w:r>
          </w:p>
          <w:p w14:paraId="1AE9C573" w14:textId="362944B8"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i/>
                <w:iCs/>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{"citationItems":[{"id":"ITEM-1","itemData":{"DOI":"10.1371/journal.pone.0167442","ISSN":"19326203","PMID":"27907211","abstract":"Background Mesenchymal stromal cells (MSC) hold promise for both cell replacement and immune modulation strategies owing to their progenitor and non-progenitor functions, respectively. Characterization of MSC from different sources is an important and necessary step before clinical use of these cells is widely adopted. Little is known about the biology and function of canine MSC compared to their mouse or human counterparts. This knowledge-gap impedes development of canine evidence-based MSC technologies. Hypothesis and Objectives We hypothesized that canine adipose tissue (AT) and bone marrow (BM) MSC (derived from the same dogs) will have similar differentiation and immune modulatory profiles. Our objectives were to evaluate progenitor and non-progenitor functions as well as other characteristics of AT- and BM-MSC including 1) proliferation rate, 2) cell surface marker expression, 3) DNA methylation levels, 4) potential for trilineage differentiation towards osteogenic, adipogenic, and chondrogenic cell fates, and 5) immunomodulatory potency in vitro. Results 1) AT-MSC proliferated at more than double the rate of BM-MSC (population doubling times in days) for passage (P) 2, AT: 1.69, BM: 3.81; P3, AT: 1.80, BM: 4.06; P4, AT: 2.37, BM: 5.34; P5, AT: 3.20, BM: 7.21). 2) Canine MSC, regardless of source, strongly expressed cell surface markers MHC I, CD29, CD44, and CD90, and were negative for MHC II and CD45. They also showed moderate expression of CD8 and CD73 and mild expression of CD14. Minor differences were found in expression of CD4 and CD34. 3) Global DNA methylation levels were significantly lower in BM-MSC compared to AT-MSC. 4) Little difference was found between AT- and BM-MSC in their potential for adipogenesis and osteogenesis. Chondrogenesis was poor to absent for both sources in spite of adding varying levels of bone-morphogenic protein to our standard transforming growth factor (TGF-β3)-based induction medium. 5) Immunomodulatory capacity was equal regardless of cell source when tested in mitogen-stimulated lymphocyte reactions. Priming of MSC with pro-inflammatory factors interferon-gamma and/or tumour necrosis factor did not increase the lymphocyte suppressive properties of the MSC compared to untreated MSC. Conclusions/Significance No significant differences were found between AT- and BM-MSC with regard to their immunophenotype, progenitor, and non-progenitor functions. Both MSC populations showed strong adipogenic and osteogenic pote…","author":[{"dropping-particle":"","family":"Russell","given":"Keith A.","non-dropping-particle":"","parse-names":false,"suffix":""},{"dropping-particle":"","family":"Chow","given":"Natalie H.C.","non-dropping-particle":"","parse-names":false,"suffix":""},{"dropping-particle":"","family":"Dukoff","given":"David","non-dropping-particle":"","parse-names":false,"suffix":""},{"dropping-particle":"","family":"Gibson","given":"Thomas W.G.","non-dropping-particle":"","parse-names":false,"suffix":""},{"dropping-particle":"","family":"Marre","given":"Jonathan","non-dropping-particle":"La","parse-names":false,"suffix":""},{"dropping-particle":"","family":"Betts","given":"Dean H.","non-dropping-particle":"","parse-names":false,"suffix":""},{"dropping-particle":"","family":"Koch","given":"Thomas G.","non-dropping-particle":"","parse-names":false,"suffix":""}],"container-title":"PLoS ONE","id":"ITEM-1","issue":"12","issued":{"date-parts":[["2016"]]},"page":"e0167442","title":"Characterization and immunomodulatory effects of canine adipose tissue- and bone marrow-derived mesenchymal stromal cells","type":"article-journal","volume":"11"},"uris":["http://www.mendeley.com/documents/?uuid=54ed6e68-edff-327f-92f1-8478de0264e8"]}],"mendeley":{"formattedCitation":"&lt;sup&gt;[57]&lt;/sup&gt;","plainTextFormattedCitation":"[57]","previouslyFormattedCitation":"&lt;sup&gt;[57]&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[57]</w:t>
            </w:r>
            <w:r w:rsidR="00E437CC" w:rsidRPr="00000DD3">
              <w:rPr>
                <w:rFonts w:ascii="Book Antiqua" w:hAnsi="Book Antiqua" w:cstheme="minorHAnsi"/>
                <w:noProof/>
              </w:rPr>
              <w:fldChar w:fldCharType="end"/>
            </w:r>
            <w:r w:rsidRPr="00000DD3">
              <w:rPr>
                <w:rFonts w:ascii="Book Antiqua" w:hAnsi="Book Antiqua" w:cstheme="minorHAnsi"/>
                <w:noProof/>
              </w:rPr>
              <w:t>, 2016</w:t>
            </w:r>
          </w:p>
        </w:tc>
      </w:tr>
      <w:tr w:rsidR="00874B98" w:rsidRPr="00000DD3" w14:paraId="12D91EA7" w14:textId="77777777" w:rsidTr="00AB78A8">
        <w:trPr>
          <w:trHeight w:val="58"/>
        </w:trPr>
        <w:tc>
          <w:tcPr>
            <w:tcW w:w="1560" w:type="dxa"/>
            <w:shd w:val="clear" w:color="auto" w:fill="auto"/>
            <w:noWrap/>
            <w:tcMar>
              <w:top w:w="15" w:type="dxa"/>
              <w:left w:w="15" w:type="dxa"/>
              <w:bottom w:w="0" w:type="dxa"/>
              <w:right w:w="15" w:type="dxa"/>
            </w:tcMar>
            <w:hideMark/>
          </w:tcPr>
          <w:p w14:paraId="195EAFEF"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hideMark/>
          </w:tcPr>
          <w:p w14:paraId="60902B74"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CD29, CD73, CD4, CD8, MHC</w:t>
            </w:r>
            <w:r w:rsidRPr="00000DD3">
              <w:rPr>
                <w:rFonts w:ascii="宋体" w:eastAsia="宋体" w:hAnsi="宋体" w:cs="宋体" w:hint="eastAsia"/>
                <w:noProof/>
              </w:rPr>
              <w:t>Ⅰ</w:t>
            </w:r>
          </w:p>
        </w:tc>
        <w:tc>
          <w:tcPr>
            <w:tcW w:w="2762" w:type="dxa"/>
            <w:shd w:val="clear" w:color="auto" w:fill="auto"/>
            <w:noWrap/>
            <w:tcMar>
              <w:top w:w="15" w:type="dxa"/>
              <w:left w:w="15" w:type="dxa"/>
              <w:bottom w:w="0" w:type="dxa"/>
              <w:right w:w="15" w:type="dxa"/>
            </w:tcMar>
            <w:hideMark/>
          </w:tcPr>
          <w:p w14:paraId="15DFF3DC"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CD14, MHC</w:t>
            </w:r>
            <w:r w:rsidRPr="00000DD3">
              <w:rPr>
                <w:rFonts w:ascii="宋体" w:eastAsia="宋体" w:hAnsi="宋体" w:cs="宋体" w:hint="eastAsia"/>
                <w:noProof/>
              </w:rPr>
              <w:t>Ⅱ</w:t>
            </w:r>
          </w:p>
        </w:tc>
        <w:tc>
          <w:tcPr>
            <w:tcW w:w="1405" w:type="dxa"/>
            <w:vMerge/>
            <w:hideMark/>
          </w:tcPr>
          <w:p w14:paraId="4B9AF5EB" w14:textId="77777777" w:rsidR="00842EA3" w:rsidRPr="00000DD3" w:rsidRDefault="00842EA3" w:rsidP="00874B98">
            <w:pPr>
              <w:spacing w:line="360" w:lineRule="auto"/>
              <w:jc w:val="both"/>
              <w:rPr>
                <w:rFonts w:ascii="Book Antiqua" w:hAnsi="Book Antiqua" w:cstheme="minorHAnsi"/>
                <w:noProof/>
              </w:rPr>
            </w:pPr>
          </w:p>
        </w:tc>
      </w:tr>
      <w:tr w:rsidR="00874B98" w:rsidRPr="00000DD3" w14:paraId="42B4DB8B" w14:textId="77777777" w:rsidTr="00AB78A8">
        <w:trPr>
          <w:trHeight w:val="58"/>
        </w:trPr>
        <w:tc>
          <w:tcPr>
            <w:tcW w:w="1560" w:type="dxa"/>
            <w:shd w:val="clear" w:color="auto" w:fill="auto"/>
            <w:noWrap/>
            <w:tcMar>
              <w:top w:w="15" w:type="dxa"/>
              <w:left w:w="15" w:type="dxa"/>
              <w:bottom w:w="0" w:type="dxa"/>
              <w:right w:w="15" w:type="dxa"/>
            </w:tcMar>
            <w:hideMark/>
          </w:tcPr>
          <w:p w14:paraId="2E799DD3"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Adipose tissue</w:t>
            </w:r>
          </w:p>
        </w:tc>
        <w:tc>
          <w:tcPr>
            <w:tcW w:w="2761" w:type="dxa"/>
            <w:shd w:val="clear" w:color="auto" w:fill="auto"/>
            <w:noWrap/>
            <w:tcMar>
              <w:top w:w="15" w:type="dxa"/>
              <w:left w:w="15" w:type="dxa"/>
              <w:bottom w:w="0" w:type="dxa"/>
              <w:right w:w="15" w:type="dxa"/>
            </w:tcMar>
            <w:hideMark/>
          </w:tcPr>
          <w:p w14:paraId="0AA86120"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MHC</w:t>
            </w:r>
            <w:r w:rsidRPr="00000DD3">
              <w:rPr>
                <w:rFonts w:ascii="宋体" w:eastAsia="宋体" w:hAnsi="宋体" w:cs="宋体" w:hint="eastAsia"/>
                <w:noProof/>
              </w:rPr>
              <w:t>Ⅰ</w:t>
            </w:r>
          </w:p>
        </w:tc>
        <w:tc>
          <w:tcPr>
            <w:tcW w:w="2762" w:type="dxa"/>
            <w:shd w:val="clear" w:color="auto" w:fill="auto"/>
            <w:noWrap/>
            <w:tcMar>
              <w:top w:w="15" w:type="dxa"/>
              <w:left w:w="15" w:type="dxa"/>
              <w:bottom w:w="0" w:type="dxa"/>
              <w:right w:w="15" w:type="dxa"/>
            </w:tcMar>
            <w:hideMark/>
          </w:tcPr>
          <w:p w14:paraId="78A2C850"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CD14, CD3, CD4, CD8, CD172a, CD11c, HLA-DR, sIgM</w:t>
            </w:r>
          </w:p>
        </w:tc>
        <w:tc>
          <w:tcPr>
            <w:tcW w:w="1405" w:type="dxa"/>
            <w:shd w:val="clear" w:color="auto" w:fill="auto"/>
            <w:noWrap/>
            <w:tcMar>
              <w:top w:w="15" w:type="dxa"/>
              <w:left w:w="15" w:type="dxa"/>
              <w:bottom w:w="0" w:type="dxa"/>
              <w:right w:w="15" w:type="dxa"/>
            </w:tcMar>
            <w:hideMark/>
          </w:tcPr>
          <w:p w14:paraId="17EB8E0A" w14:textId="77B5B6A4"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noProof/>
              </w:rPr>
              <w:t xml:space="preserve">Kang </w:t>
            </w:r>
            <w:r w:rsidRPr="00000DD3">
              <w:rPr>
                <w:rFonts w:ascii="Book Antiqua" w:hAnsi="Book Antiqua" w:cstheme="minorHAnsi"/>
                <w:i/>
                <w:iCs/>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{"citationItems":[{"id":"ITEM-1","itemData":{"DOI":"10.1089/scd.2007.0153","ISBN":"1557-8534 (Electronic)\\r1547-3287 (Linking)","ISSN":"1547-3287","PMID":"18717642","abstract":"Adipose tissue-derived mesenchymal stem cells (AD-MSCs), which can differentiate into several lineages, have immunomodulatory properties similar to those of bone marrow-derived MSCs. However, the specific mechanism by which the immunomodulatory effect of MSCs occurs is not clear. In this study, we isolated canine AD-MSCs (cAD-MSCs) and induced their development into adipocyte, osteocyte, and neuron-like cells. We then investigated their phenotype and cytokine expression to determine whether they were able to exert an immunomodulatory effect and what the underlying mechanisms of this effect were. cAD-MSCs expressed CD44, CD90, and MHC class I and were also partially positive for the expression of CD34; however, they did not express CD14 and CD45. In addition, they expressed the mRNA of transforming growth factor beta (TGF-beta), IL-6, IL-8, CCL2, CCL5, vascular endothelial growth factor, hepatocyte growth factor (HGF), tissue inhibitor metalloproteinase-1/2, and cyclooxygenase-2 but not that of IL-10. Further, leukocyte proliferation induced by mitogens was suppressed when they were cocultured with irradiated cAD-MSCs, as well as with culture supernatants of cAD-MSCs alone. Moreover, TNF-alpha production significantly decreased, whereas TGF-beta, IL-6, and interferon-gamma production significantly increased in cAD-MSCs that were cocultured with leukocytes. Finally, immonomodulatory factors of MSCs, such as TGF-beta, HGF, prostaglandin E2 (PGE2), and indoleamine 2, 3 dioxygenase (IDO), increased significantly in cAD-MSCs that were cocultured with leukocytes; however, the production of PGE2 and IDO showed different kinetics, and leukocyte proliferation was effectively restored by PGE2 and IDO inhibitors. Taken together, these results indicate that the immunomodulatory effects of cAD-MSCs are associated with soluble factors (TGF-beta, HGF, PGE2, and IDO). Therefore, it is suggested that cAD-MSCs have a potential therapeutic use in the treatment of immune-mediated disease.","author":[{"dropping-particle":"","family":"Kang","given":"Jung Won","non-dropping-particle":"","parse-names":false,"suffix":""},{"dropping-particle":"","family":"Kang","given":"Kyung Sun","non-dropping-particle":"","parse-names":false,"suffix":""},{"dropping-particle":"","family":"Koo","given":"Hye Cheong","non-dropping-particle":"","parse-names":false,"suffix":""},{"dropping-particle":"","family":"Park","given":"Jeong Ran","non-dropping-particle":"","parse-names":false,"suffix":""},{"dropping-particle":"","family":"Choi","given":"Eun Wha","non-dropping-particle":"","parse-names":false,"suffix":""},{"dropping-particle":"","family":"Park","given":"Yong Ho","non-dropping-particle":"","parse-names":false,"suffix":""}],"container-title":"Stem Cells and Development","id":"ITEM-1","issue":"4","issued":{"date-parts":[["2008"]]},"page":"681-694","title":"Soluble factors–mediated immunomodulatory effects of canine adipose tissue–derived mesenchymal stem cells","type":"article-journal","volume":"17"},"uris":["http://www.mendeley.com/documents/?uuid=54c5cfe5-6a36-3939-ba24-5b6f51d8fb48"]}],"mendeley":{"formattedCitation":"&lt;sup&gt;[62]&lt;/sup&gt;","plainTextFormattedCitation":"[62]","previouslyFormattedCitation":"&lt;sup&gt;[62]&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[62]</w:t>
            </w:r>
            <w:r w:rsidR="00E437CC" w:rsidRPr="00000DD3">
              <w:rPr>
                <w:rFonts w:ascii="Book Antiqua" w:hAnsi="Book Antiqua" w:cstheme="minorHAnsi"/>
                <w:noProof/>
              </w:rPr>
              <w:fldChar w:fldCharType="end"/>
            </w:r>
            <w:r w:rsidRPr="00000DD3">
              <w:rPr>
                <w:rFonts w:ascii="Book Antiqua" w:hAnsi="Book Antiqua" w:cstheme="minorHAnsi"/>
                <w:noProof/>
              </w:rPr>
              <w:t>, 2008</w:t>
            </w:r>
          </w:p>
        </w:tc>
      </w:tr>
      <w:tr w:rsidR="00874B98" w:rsidRPr="00000DD3" w14:paraId="245E11FB" w14:textId="77777777" w:rsidTr="00AB78A8">
        <w:trPr>
          <w:trHeight w:val="58"/>
        </w:trPr>
        <w:tc>
          <w:tcPr>
            <w:tcW w:w="1560" w:type="dxa"/>
            <w:shd w:val="clear" w:color="auto" w:fill="auto"/>
            <w:noWrap/>
            <w:tcMar>
              <w:top w:w="15" w:type="dxa"/>
              <w:left w:w="15" w:type="dxa"/>
              <w:bottom w:w="0" w:type="dxa"/>
              <w:right w:w="15" w:type="dxa"/>
            </w:tcMar>
            <w:hideMark/>
          </w:tcPr>
          <w:p w14:paraId="2F572908"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Adipose tissue</w:t>
            </w:r>
          </w:p>
        </w:tc>
        <w:tc>
          <w:tcPr>
            <w:tcW w:w="2761" w:type="dxa"/>
            <w:shd w:val="clear" w:color="auto" w:fill="auto"/>
            <w:noWrap/>
            <w:tcMar>
              <w:top w:w="15" w:type="dxa"/>
              <w:left w:w="15" w:type="dxa"/>
              <w:bottom w:w="0" w:type="dxa"/>
              <w:right w:w="15" w:type="dxa"/>
            </w:tcMar>
            <w:hideMark/>
          </w:tcPr>
          <w:p w14:paraId="3DCDE0F6"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CD29</w:t>
            </w:r>
          </w:p>
        </w:tc>
        <w:tc>
          <w:tcPr>
            <w:tcW w:w="2762" w:type="dxa"/>
            <w:shd w:val="clear" w:color="auto" w:fill="auto"/>
            <w:noWrap/>
            <w:tcMar>
              <w:top w:w="15" w:type="dxa"/>
              <w:left w:w="15" w:type="dxa"/>
              <w:bottom w:w="0" w:type="dxa"/>
              <w:right w:w="15" w:type="dxa"/>
            </w:tcMar>
            <w:hideMark/>
          </w:tcPr>
          <w:p w14:paraId="1E3C1B08"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CD14, CD117, CD13 CD105, CD73</w:t>
            </w:r>
          </w:p>
        </w:tc>
        <w:tc>
          <w:tcPr>
            <w:tcW w:w="1405" w:type="dxa"/>
            <w:shd w:val="clear" w:color="auto" w:fill="auto"/>
            <w:noWrap/>
            <w:tcMar>
              <w:top w:w="15" w:type="dxa"/>
              <w:left w:w="15" w:type="dxa"/>
              <w:bottom w:w="0" w:type="dxa"/>
              <w:right w:w="15" w:type="dxa"/>
            </w:tcMar>
            <w:hideMark/>
          </w:tcPr>
          <w:p w14:paraId="41B6FEE9" w14:textId="37F21B02" w:rsidR="00842EA3" w:rsidRPr="00000DD3" w:rsidRDefault="00842EA3" w:rsidP="002A1C48">
            <w:pPr>
              <w:spacing w:line="360" w:lineRule="auto"/>
              <w:jc w:val="both"/>
              <w:rPr>
                <w:rFonts w:ascii="Book Antiqua" w:hAnsi="Book Antiqua" w:cstheme="minorHAnsi"/>
                <w:noProof/>
              </w:rPr>
            </w:pPr>
            <w:r w:rsidRPr="00000DD3">
              <w:rPr>
                <w:rFonts w:ascii="Book Antiqua" w:hAnsi="Book Antiqua" w:cstheme="minorHAnsi"/>
                <w:noProof/>
              </w:rPr>
              <w:t>Vieira</w:t>
            </w:r>
            <w:r w:rsidR="00E437CC" w:rsidRPr="00000DD3">
              <w:rPr>
                <w:rFonts w:ascii="Book Antiqua" w:eastAsia="黑体" w:hAnsi="Book Antiqua" w:cstheme="minorHAnsi" w:hint="eastAsia"/>
                <w:noProof/>
                <w:lang w:eastAsia="zh-CN"/>
              </w:rPr>
              <w:t xml:space="preserve"> </w:t>
            </w:r>
            <w:r w:rsidRPr="00000DD3">
              <w:rPr>
                <w:rFonts w:ascii="Book Antiqua" w:hAnsi="Book Antiqua" w:cstheme="minorHAnsi"/>
                <w:i/>
                <w:iCs/>
                <w:noProof/>
              </w:rPr>
              <w:t>et al</w:t>
            </w:r>
            <w:r w:rsidR="00E437CC" w:rsidRPr="00000DD3">
              <w:rPr>
                <w:rFonts w:ascii="Book Antiqua" w:hAnsi="Book Antiqua" w:cstheme="minorHAnsi"/>
                <w:noProof/>
                <w:vertAlign w:val="superscript"/>
              </w:rPr>
              <w:t>[48</w:t>
            </w:r>
            <w:r w:rsidR="002A1C48" w:rsidRPr="00000DD3">
              <w:rPr>
                <w:rFonts w:ascii="Book Antiqua" w:hAnsi="Book Antiqua" w:cstheme="minorHAnsi"/>
                <w:noProof/>
              </w:rPr>
              <w:fldChar w:fldCharType="begin" w:fldLock="1"/>
            </w:r>
            <w:r w:rsidR="002A1C48" w:rsidRPr="00000DD3">
              <w:rPr>
                <w:rFonts w:ascii="Book Antiqua" w:hAnsi="Book Antiqua" w:cstheme="minorHAnsi"/>
                <w:noProof/>
              </w:rPr>
              <w:instrText>ADDIN CSL_CITATION {"citationItems":[{"id":"ITEM-1","itemData":{"DOI":"10.3727/096368909X481764","ISBN":"1555-3892 (Electronic)\\r0963-6897 (Linking)","ISSN":"09636897","PMID":"19995482","abstract":"Adipose tissue may represent a potential source of adult stem cells for tissue engineering applications in veterinary medicine. It can be obtained in large quantities, under local anesthesia, and with minimal discomfort. In this study, canine adipose tissue was obtained by biopsy from subcutaneous adipose tissue or by suction-assisted lipectomy (i.e., liposuction). Adipose tissue was processed to obtain a fibroblast-like population of cells similar to human adipose-derived stem cells (hASCs). These canine adipose-derived stem cells (cASCs) can be maintained in vitro for extended periods with stable population doubling and low levels of senescence. Immunofluorescence and flow cytometry show that the majority of cASCs are of mesodermal or mesenchymal origin. cASCs are able to differentiate in vitro into adipogenic, chondrogenic, myogenic, and osteogenic cells in the presence of lineage-specific induction factors. In conclusion, like human lipoaspirate, canine adipose tissue may also contain multipotent cells and represent an important stem cell source both for veterinary cell therapy as well as preclinical studies.","author":[{"dropping-particle":"","family":"Vieira","given":"N. M.","non-dropping-particle":"","parse-names":false,"suffix":""},{"dropping-particle":"","family":"Brandalise","given":"V.","non-dropping-particle":"","parse-names":false,"suffix":""},{"dropping-particle":"","family":"Zucconi","given":"E.","non-dropping-particle":"","parse-names":false,"suffix":""},{"dropping-particle":"","family":"Secco","given":"M.","non-dropping-particle":"","parse-names":false,"suffix":""},{"dropping-particle":"","family":"Strauss","given":"B. E.","non-dropping-particle":"","parse-names":false,"suffix":""},{"dropping-particle":"","family":"Zatz","given":"Mayana","non-dropping-particle":"","parse-names":false,"suffix":""}],"container-title":"Cell Transplantation","id":"ITEM-1","issue":"3","issued":{"date-parts":[["2010","3","1"]]},"page":"279-289","publisher":"SAGE PublicationsSage CA: Los Angeles, CA","title":"Isolation, characterization, and differentiation potential of canine adipose-derived stem cells","type":"article-journal","volume":"19"},"uris":["http://www.mendeley.com/documents/?uuid=22c258a0-6a2a-3069-ac65-aeceb84babc6"]}],"mendeley":{"formattedCitation":"&lt;sup&gt;[48]&lt;/sup&gt;","plainTextFormattedCitation":"[48]","previouslyFormattedCitation":"&lt;sup&gt;[48]&lt;/sup&gt;"},"properties":{"noteIndex":0},"schema":"https://github.com/citation-style-language/schema/raw/master/csl-citation.json"}</w:instrText>
            </w:r>
            <w:r w:rsidR="002A1C48" w:rsidRPr="00000DD3">
              <w:rPr>
                <w:rFonts w:ascii="Book Antiqua" w:hAnsi="Book Antiqua" w:cstheme="minorHAnsi"/>
                <w:noProof/>
              </w:rPr>
              <w:fldChar w:fldCharType="separate"/>
            </w:r>
            <w:r w:rsidR="002A1C48" w:rsidRPr="00000DD3">
              <w:rPr>
                <w:rFonts w:ascii="Book Antiqua" w:hAnsi="Book Antiqua" w:cstheme="minorHAnsi"/>
                <w:noProof/>
                <w:vertAlign w:val="superscript"/>
              </w:rPr>
              <w:t>]</w:t>
            </w:r>
            <w:r w:rsidR="002A1C48" w:rsidRPr="00000DD3">
              <w:rPr>
                <w:rFonts w:ascii="Book Antiqua" w:hAnsi="Book Antiqua" w:cstheme="minorHAnsi"/>
                <w:noProof/>
              </w:rPr>
              <w:fldChar w:fldCharType="end"/>
            </w:r>
            <w:r w:rsidRPr="00000DD3">
              <w:rPr>
                <w:rFonts w:ascii="Book Antiqua" w:hAnsi="Book Antiqua" w:cstheme="minorHAnsi"/>
                <w:noProof/>
              </w:rPr>
              <w:t>, 2010</w:t>
            </w:r>
          </w:p>
        </w:tc>
      </w:tr>
      <w:tr w:rsidR="00874B98" w:rsidRPr="00000DD3" w14:paraId="4AB0258B" w14:textId="77777777" w:rsidTr="00AB78A8">
        <w:trPr>
          <w:trHeight w:val="58"/>
        </w:trPr>
        <w:tc>
          <w:tcPr>
            <w:tcW w:w="1560" w:type="dxa"/>
            <w:shd w:val="clear" w:color="auto" w:fill="auto"/>
            <w:noWrap/>
            <w:tcMar>
              <w:top w:w="15" w:type="dxa"/>
              <w:left w:w="15" w:type="dxa"/>
              <w:bottom w:w="0" w:type="dxa"/>
              <w:right w:w="15" w:type="dxa"/>
            </w:tcMar>
            <w:hideMark/>
          </w:tcPr>
          <w:p w14:paraId="47E492CA"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Adipose tissue</w:t>
            </w:r>
          </w:p>
        </w:tc>
        <w:tc>
          <w:tcPr>
            <w:tcW w:w="2761" w:type="dxa"/>
            <w:shd w:val="clear" w:color="auto" w:fill="auto"/>
            <w:noWrap/>
            <w:tcMar>
              <w:top w:w="15" w:type="dxa"/>
              <w:left w:w="15" w:type="dxa"/>
              <w:bottom w:w="0" w:type="dxa"/>
              <w:right w:w="15" w:type="dxa"/>
            </w:tcMar>
            <w:hideMark/>
          </w:tcPr>
          <w:p w14:paraId="26E02999" w14:textId="335BCDB5"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w:t>
            </w:r>
            <w:r w:rsidR="00E437CC" w:rsidRPr="00000DD3">
              <w:rPr>
                <w:rFonts w:ascii="Book Antiqua" w:eastAsia="黑体" w:hAnsi="Book Antiqua" w:cstheme="minorHAnsi" w:hint="eastAsia"/>
                <w:noProof/>
                <w:lang w:eastAsia="zh-CN"/>
              </w:rPr>
              <w:t xml:space="preserve"> </w:t>
            </w:r>
            <w:r w:rsidRPr="00000DD3">
              <w:rPr>
                <w:rFonts w:ascii="Book Antiqua" w:hAnsi="Book Antiqua" w:cstheme="minorHAnsi"/>
                <w:noProof/>
              </w:rPr>
              <w:t>CD140, CD117</w:t>
            </w:r>
          </w:p>
        </w:tc>
        <w:tc>
          <w:tcPr>
            <w:tcW w:w="2762" w:type="dxa"/>
            <w:shd w:val="clear" w:color="auto" w:fill="auto"/>
            <w:noWrap/>
            <w:tcMar>
              <w:top w:w="15" w:type="dxa"/>
              <w:left w:w="15" w:type="dxa"/>
              <w:bottom w:w="0" w:type="dxa"/>
              <w:right w:w="15" w:type="dxa"/>
            </w:tcMar>
            <w:hideMark/>
          </w:tcPr>
          <w:p w14:paraId="00A8A0BD"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w:t>
            </w:r>
          </w:p>
        </w:tc>
        <w:tc>
          <w:tcPr>
            <w:tcW w:w="1405" w:type="dxa"/>
            <w:shd w:val="clear" w:color="auto" w:fill="auto"/>
            <w:noWrap/>
            <w:tcMar>
              <w:top w:w="15" w:type="dxa"/>
              <w:left w:w="15" w:type="dxa"/>
              <w:bottom w:w="0" w:type="dxa"/>
              <w:right w:w="15" w:type="dxa"/>
            </w:tcMar>
            <w:hideMark/>
          </w:tcPr>
          <w:p w14:paraId="6F3B22BA" w14:textId="7CBE80B0"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noProof/>
              </w:rPr>
              <w:t>Martinello</w:t>
            </w:r>
            <w:r w:rsidR="00E437CC" w:rsidRPr="00000DD3">
              <w:rPr>
                <w:rFonts w:ascii="Book Antiqua" w:eastAsia="黑体" w:hAnsi="Book Antiqua" w:cstheme="minorHAnsi" w:hint="eastAsia"/>
                <w:noProof/>
                <w:lang w:eastAsia="zh-CN"/>
              </w:rPr>
              <w:t xml:space="preserve"> </w:t>
            </w:r>
            <w:r w:rsidRPr="00000DD3">
              <w:rPr>
                <w:rFonts w:ascii="Book Antiqua" w:hAnsi="Book Antiqua" w:cstheme="minorHAnsi"/>
                <w:i/>
                <w:iCs/>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{"citationItems":[{"id":"ITEM-1","itemData":{"DOI":"10.1016/j.rvsc.2010.07.024","ISBN":"0498272796","ISSN":"00345288","PMID":"20732703","abstract":"Adult stem cells are nowadays used for treating several pathologies. A putative stem cell population was found in the adipose tissue of mammals and canine adipose tissue-derived-mesenchymal stem cells (cA-MSC) have been shown to possess the capacity to differentiate into several lineages. The main goal of our research was to fully characterize cA-MSC and examine the effects of cryopreservation on their stemness features. Each sample of cA-MSC was analyzed immediately and then again after being frozen in liquid nitrogen for one year. After the cryopreservation period cells conserved their fibroblast-like morphology, alkaline phosphatase positivity and CD expression but showed a lower proliferation ratio and a lower telomerase activity in comparison with fresh cells. Finally, the cryopreservation protocol did not change the cA-MSC adipogenic, osteogenic and myogenic differentiative potential. Our data demonstrate that stored cA-MSC might represent a promising type of progenitor cell for autologous cellular-based therapies in veterinary medicine. © 2010 Elsevier Ltd.","author":[{"dropping-particle":"","family":"Martinello","given":"T.","non-dropping-particle":"","parse-names":false,"suffix":""},{"dropping-particle":"","family":"Bronzini","given":"I.","non-dropping-particle":"","parse-names":false,"suffix":""},{"dropping-particle":"","family":"Maccatrozzo","given":"L.","non-dropping-particle":"","parse-names":false,"suffix":""},{"dropping-particle":"","family":"Mollo","given":"A.","non-dropping-particle":"","parse-names":false,"suffix":""},{"dropping-particle":"","family":"Sampaolesi","given":"M.","non-dropping-particle":"","parse-names":false,"suffix":""},{"dropping-particle":"","family":"Mascarello","given":"F.","non-dropping-particle":"","parse-names":false,"suffix":""},{"dropping-particle":"","family":"Decaminada","given":"M.","non-dropping-particle":"","parse-names":false,"suffix":""},{"dropping-particle":"","family":"Patruno","given":"M.","non-dropping-particle":"","parse-names":false,"suffix":""}],"container-title":"Research in Veterinary Science","id":"ITEM-1","issue":"1","issued":{"date-parts":[["2011"]]},"page":"18-24","title":"Canine adipose-derived-mesenchymal stem cells do not lose stem features after a long-term cryopreservation","type":"article-journal","volume":"91"},"uris":["http://www.mendeley.com/documents/?uuid=d8086d5b-7bc1-3f00-997f-fa733b6f8f1e"]}],"mendeley":{"formattedCitation":"&lt;sup&gt;[65]&lt;/sup&gt;","plainTextFormattedCitation":"[65]","previouslyFormattedCitation":"&lt;sup&gt;[65]&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[65]</w:t>
            </w:r>
            <w:r w:rsidR="00E437CC" w:rsidRPr="00000DD3">
              <w:rPr>
                <w:rFonts w:ascii="Book Antiqua" w:hAnsi="Book Antiqua" w:cstheme="minorHAnsi"/>
                <w:noProof/>
              </w:rPr>
              <w:fldChar w:fldCharType="end"/>
            </w:r>
            <w:r w:rsidRPr="00000DD3">
              <w:rPr>
                <w:rFonts w:ascii="Book Antiqua" w:hAnsi="Book Antiqua" w:cstheme="minorHAnsi"/>
                <w:noProof/>
              </w:rPr>
              <w:t>, 2011</w:t>
            </w:r>
          </w:p>
        </w:tc>
      </w:tr>
      <w:tr w:rsidR="00874B98" w:rsidRPr="00000DD3" w14:paraId="6A5B25C8" w14:textId="77777777" w:rsidTr="00AB78A8">
        <w:trPr>
          <w:trHeight w:val="58"/>
        </w:trPr>
        <w:tc>
          <w:tcPr>
            <w:tcW w:w="1560" w:type="dxa"/>
            <w:shd w:val="clear" w:color="auto" w:fill="auto"/>
            <w:noWrap/>
            <w:tcMar>
              <w:top w:w="15" w:type="dxa"/>
              <w:left w:w="15" w:type="dxa"/>
              <w:bottom w:w="0" w:type="dxa"/>
              <w:right w:w="15" w:type="dxa"/>
            </w:tcMar>
            <w:hideMark/>
          </w:tcPr>
          <w:p w14:paraId="629D1598"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hideMark/>
          </w:tcPr>
          <w:p w14:paraId="3F5248BA"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MHC</w:t>
            </w:r>
            <w:r w:rsidRPr="00000DD3">
              <w:rPr>
                <w:rFonts w:ascii="宋体" w:eastAsia="宋体" w:hAnsi="宋体" w:cs="宋体" w:hint="eastAsia"/>
                <w:noProof/>
              </w:rPr>
              <w:t>Ⅰ</w:t>
            </w:r>
          </w:p>
        </w:tc>
        <w:tc>
          <w:tcPr>
            <w:tcW w:w="2762" w:type="dxa"/>
            <w:shd w:val="clear" w:color="auto" w:fill="auto"/>
            <w:noWrap/>
            <w:tcMar>
              <w:top w:w="15" w:type="dxa"/>
              <w:left w:w="15" w:type="dxa"/>
              <w:bottom w:w="0" w:type="dxa"/>
              <w:right w:w="15" w:type="dxa"/>
            </w:tcMar>
            <w:hideMark/>
          </w:tcPr>
          <w:p w14:paraId="52BCDF9C"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 MHC</w:t>
            </w:r>
            <w:r w:rsidRPr="00000DD3">
              <w:rPr>
                <w:rFonts w:ascii="宋体" w:eastAsia="宋体" w:hAnsi="宋体" w:cs="宋体" w:hint="eastAsia"/>
                <w:noProof/>
              </w:rPr>
              <w:t>Ⅱ</w:t>
            </w:r>
          </w:p>
        </w:tc>
        <w:tc>
          <w:tcPr>
            <w:tcW w:w="1405" w:type="dxa"/>
            <w:shd w:val="clear" w:color="auto" w:fill="auto"/>
            <w:noWrap/>
            <w:tcMar>
              <w:top w:w="15" w:type="dxa"/>
              <w:left w:w="15" w:type="dxa"/>
              <w:bottom w:w="0" w:type="dxa"/>
              <w:right w:w="15" w:type="dxa"/>
            </w:tcMar>
            <w:hideMark/>
          </w:tcPr>
          <w:p w14:paraId="22491FF1" w14:textId="70E0CD17"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noProof/>
              </w:rPr>
              <w:t>Kamishina</w:t>
            </w:r>
            <w:r w:rsidR="00E437CC" w:rsidRPr="00000DD3">
              <w:rPr>
                <w:rFonts w:ascii="Book Antiqua" w:eastAsia="黑体" w:hAnsi="Book Antiqua" w:cstheme="minorHAnsi" w:hint="eastAsia"/>
                <w:noProof/>
                <w:lang w:eastAsia="zh-CN"/>
              </w:rPr>
              <w:t xml:space="preserve"> </w:t>
            </w:r>
            <w:r w:rsidRPr="00000DD3">
              <w:rPr>
                <w:rFonts w:ascii="Book Antiqua" w:hAnsi="Book Antiqua" w:cstheme="minorHAnsi"/>
                <w:i/>
                <w:iCs/>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{"citationItems":[{"id":"ITEM-1","itemData":{"DOI":"10.2460/ajvr.67.11.1921","ISBN":"0002-9645 (Print)\\r0002-9645 (Linking)","ISSN":"00029645","PMID":"17078756","abstract":"OBJECTIVE: To evaluate cell surface markers of bone marrow-derived canine mesenchymal stem cells (MSCs) by use of flow cytometric analysis and determine whether canine MSCs express proteins specific to neuronal and glial cells. SAMPLE POPULATION: Bone marrow aspirates collected from iliac crests of 5 cadavers of young adult dogs. PROCEDURES: Flow cytometric analysis was performed to evaluate cell surface markers and homogeneity of third-passage MSCs. Neural differentiation of canine MSCs was induced by use of dibutyryl cAMP and methyl-isobutylxanthine. Expressions of neuronal (beta III-tubulin) and glial (glial fibrillary acidic protein [GFAP] and myelin basic protein) proteins were evaluated by use of immunocytochemical and western blot analyses before and after neural differentiation. RESULTS: Third-passage canine MSCs appeared morphologically homogeneous and shared phenotypic characteristics with human and rodent MSCs. Immunocytochemical and western blot analyses revealed that canine MSCs constitutively expressed beta III-tubulin and GFAP. After induction of neural differentiation, increased expression of GFAP was found in all samples, whereas such change was inconsistent in beta III-tubulin expression. Myelin basic protein remained undetectable on canine MSCs for these culture conditions. CONCLUSIONS AND CLINICAL RELEVANCE: Canine bone marrow-derived mononuclear cells yielded an apparently homogeneous population of MSCs after expansion in culture. Expanded canine MSCs constitutively expressed neuron or astrocyte specific proteins. Furthermore, increases of intracellular cAMP concentrations induced increased expression of GFAP on canine MSCs, which suggests that these cells may have the capacity to respond to external signals. Canine MSCs may hold therapeutic potential for treatment of dogs with neurologic disorders.","author":[{"dropping-particle":"","family":"Kamishina","given":"Hiroaki","non-dropping-particle":"","parse-names":false,"suffix":""},{"dropping-particle":"","family":"Deng","given":"Jie","non-dropping-particle":"","parse-names":false,"suffix":""},{"dropping-particle":"","family":"Oji","given":"Takashi","non-dropping-particle":"","parse-names":false,"suffix":""},{"dropping-particle":"","family":"Cheeseman","given":"Jennifer A.","non-dropping-particle":"","parse-names":false,"suffix":""},{"dropping-particle":"","family":"Clemmons","given":"Roger M.","non-dropping-particle":"","parse-names":false,"suffix":""}],"container-title":"American Journal of Veterinary Research","id":"ITEM-1","issue":"11","issued":{"date-parts":[["2006"]]},"page":"1921-1928","title":"Expression of neural markers on bone marrow-derived canine mesenchymal stem cells","type":"article-journal","volume":"67"},"uris":["http://www.mendeley.com/documents/?uuid=8a0696ff-b39e-3432-9299-cb3190d0f47e"]}],"mendeley":{"formattedCitation":"&lt;sup&gt;[119]&lt;/sup&gt;","plainTextFormattedCitation":"[119]","previouslyFormattedCitation":"&lt;sup&gt;[119]&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[119]</w:t>
            </w:r>
            <w:r w:rsidR="00E437CC" w:rsidRPr="00000DD3">
              <w:rPr>
                <w:rFonts w:ascii="Book Antiqua" w:hAnsi="Book Antiqua" w:cstheme="minorHAnsi"/>
                <w:noProof/>
              </w:rPr>
              <w:fldChar w:fldCharType="end"/>
            </w:r>
            <w:r w:rsidRPr="00000DD3">
              <w:rPr>
                <w:rFonts w:ascii="Book Antiqua" w:hAnsi="Book Antiqua" w:cstheme="minorHAnsi"/>
                <w:noProof/>
              </w:rPr>
              <w:t>, 2006</w:t>
            </w:r>
          </w:p>
        </w:tc>
      </w:tr>
      <w:tr w:rsidR="00874B98" w:rsidRPr="00000DD3" w14:paraId="20D09450" w14:textId="77777777" w:rsidTr="00AB78A8">
        <w:trPr>
          <w:trHeight w:val="58"/>
        </w:trPr>
        <w:tc>
          <w:tcPr>
            <w:tcW w:w="1560" w:type="dxa"/>
            <w:shd w:val="clear" w:color="auto" w:fill="auto"/>
            <w:noWrap/>
            <w:tcMar>
              <w:top w:w="15" w:type="dxa"/>
              <w:left w:w="15" w:type="dxa"/>
              <w:bottom w:w="0" w:type="dxa"/>
              <w:right w:w="15" w:type="dxa"/>
            </w:tcMar>
            <w:hideMark/>
          </w:tcPr>
          <w:p w14:paraId="45C56391"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hideMark/>
          </w:tcPr>
          <w:p w14:paraId="40897975"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CD105</w:t>
            </w:r>
          </w:p>
        </w:tc>
        <w:tc>
          <w:tcPr>
            <w:tcW w:w="2762" w:type="dxa"/>
            <w:shd w:val="clear" w:color="auto" w:fill="auto"/>
            <w:noWrap/>
            <w:tcMar>
              <w:top w:w="15" w:type="dxa"/>
              <w:left w:w="15" w:type="dxa"/>
              <w:bottom w:w="0" w:type="dxa"/>
              <w:right w:w="15" w:type="dxa"/>
            </w:tcMar>
            <w:hideMark/>
          </w:tcPr>
          <w:p w14:paraId="750557CA"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w:t>
            </w:r>
          </w:p>
        </w:tc>
        <w:tc>
          <w:tcPr>
            <w:tcW w:w="1405" w:type="dxa"/>
            <w:shd w:val="clear" w:color="auto" w:fill="auto"/>
            <w:noWrap/>
            <w:tcMar>
              <w:top w:w="15" w:type="dxa"/>
              <w:left w:w="15" w:type="dxa"/>
              <w:bottom w:w="0" w:type="dxa"/>
              <w:right w:w="15" w:type="dxa"/>
            </w:tcMar>
            <w:hideMark/>
          </w:tcPr>
          <w:p w14:paraId="6905DBDD" w14:textId="64A6A5AA"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noProof/>
              </w:rPr>
              <w:t xml:space="preserve">Csaki </w:t>
            </w:r>
            <w:r w:rsidRPr="00000DD3">
              <w:rPr>
                <w:rFonts w:ascii="Book Antiqua" w:hAnsi="Book Antiqua"/>
                <w:i/>
                <w:iCs/>
                <w:noProof/>
              </w:rPr>
              <w:t>et al</w:t>
            </w:r>
            <w:r w:rsidR="00E437CC" w:rsidRPr="00000DD3">
              <w:rPr>
                <w:rFonts w:ascii="Book Antiqua" w:hAnsi="Book Antiqua"/>
                <w:noProof/>
              </w:rPr>
              <w:fldChar w:fldCharType="begin" w:fldLock="1"/>
            </w:r>
            <w:r w:rsidR="00E437CC" w:rsidRPr="00000DD3">
              <w:rPr>
                <w:rFonts w:ascii="Book Antiqua" w:hAnsi="Book Antiqua"/>
                <w:noProof/>
              </w:rPr>
              <w:instrText>ADDIN CSL_CITATION {"citationItems":[{"id":"ITEM-1","itemData":{"DOI":"10.1007/s00418-007-0337-z","ISBN":"0948-6143 (Print)\\r0948-6143 (Linking)","ISSN":"09486143","PMID":"17922135","abstract":"Musculoskeletal diseases with osteochondrotic articular cartilage defects, such as osteoarthritis, are an increasing problem for humans and companion animals which necessitates the development of novel and improved therapeutic strategies. Canine mesenchymal stem cells (cMSCs) offer significant promise as a multipotent source for cell-based therapies and could form the basis for the differentiation and cultivation of tissue grafts to replace damaged tissue. However, no comprehensive analysis has been undertaken to characterize the ultrastructure of in vitro differentiated cMSCs. The main goal of this paper was to focus on cMSCs and to analyse their differentiation capacity. To achieve this aim, bone marrow cMSCs from three canine patients were isolated, expanded in monolayer culture and characterized with respect to their ability for osteogenic, adipogenic and chondrogenic differentiation capacities. cMSCs showed proliferative potential and were capable of osteogenic, adipogenic and chondrogenic differentiation. cMSCs treated with the osteogenic induction medium differentiated into osteoblasts, produced typical bone matrix components, beta1-integrins and upregulated the osteogenic specific transcription factor Cbfa-1. cMSCs treated with the adipogenic induction medium showed typical adipocyte morphology, produced adiponectin, collagen type I and beta1-integrins, and upregulated the adipogenic specific transcription factor PPAR-gamma. cMSCs treated with the chondrogenic induction medium exhibited a round to oval shape, produced a cartilage-specific extracellular matrix, beta1-integrins and upregulated the chondrogenic specific transcription factor Sox9. These results demonstrate, at the biochemical, morphological and ultrastructural levels, the multipotency of cMSCs and thus highlight their potential therapeutic value for cell-based tissue engineering.","author":[{"dropping-particle":"","family":"Csaki","given":"C.","non-dropping-particle":"","parse-names":false,"suffix":""},{"dropping-particle":"","family":"Matis","given":"U.","non-dropping-particle":"","parse-names":false,"suffix":""},{"dropping-particle":"","family":"Mobasheri","given":"A.","non-dropping-particle":"","parse-names":false,"suffix":""},{"dropping-particle":"","family":"Ye","given":"H.","non-dropping-particle":"","parse-names":false,"suffix":""},{"dropping-particle":"","family":"Shakibaei","given":"M.","non-dropping-particle":"","parse-names":false,"suffix":""}],"container-title":"Histochemistry and Cell Biology","id":"ITEM-1","issue":"6","issued":{"date-parts":[["2007"]]},"page":"507-520","title":"Chondrogenesis, osteogenesis and adipogenesis of canine mesenchymal stem cells: A biochemical, morphological and ultrastructural study","type":"article-journal","volume":"128"},"uris":["http://www.mendeley.com/documents/?uuid=253957ac-50e8-41fe-ba4c-5d44812ae75e"]}],"mendeley":{"formattedCitation":"&lt;sup&gt;[46]&lt;/sup&gt;","plainTextFormattedCitation":"[46]","previouslyFormattedCitation":"&lt;sup&gt;[46]&lt;/sup&gt;"},"properties":{"noteIndex":0},"schema":"https://github.com/citation-style-language/schema/raw/master/csl-citation.json"}</w:instrText>
            </w:r>
            <w:r w:rsidR="00E437CC" w:rsidRPr="00000DD3">
              <w:rPr>
                <w:rFonts w:ascii="Book Antiqua" w:hAnsi="Book Antiqua"/>
                <w:noProof/>
              </w:rPr>
              <w:fldChar w:fldCharType="separate"/>
            </w:r>
            <w:r w:rsidR="00E437CC" w:rsidRPr="00000DD3">
              <w:rPr>
                <w:rFonts w:ascii="Book Antiqua" w:hAnsi="Book Antiqua"/>
                <w:noProof/>
                <w:vertAlign w:val="superscript"/>
              </w:rPr>
              <w:t>[46]</w:t>
            </w:r>
            <w:r w:rsidR="00E437CC" w:rsidRPr="00000DD3">
              <w:rPr>
                <w:rFonts w:ascii="Book Antiqua" w:hAnsi="Book Antiqua"/>
                <w:noProof/>
              </w:rPr>
              <w:fldChar w:fldCharType="end"/>
            </w:r>
            <w:r w:rsidRPr="00000DD3">
              <w:rPr>
                <w:rFonts w:ascii="Book Antiqua" w:hAnsi="Book Antiqua"/>
                <w:noProof/>
              </w:rPr>
              <w:t>, 2007</w:t>
            </w:r>
          </w:p>
        </w:tc>
      </w:tr>
      <w:tr w:rsidR="00874B98" w:rsidRPr="00000DD3" w14:paraId="0DF8F70F" w14:textId="77777777" w:rsidTr="00AB78A8">
        <w:trPr>
          <w:trHeight w:val="58"/>
        </w:trPr>
        <w:tc>
          <w:tcPr>
            <w:tcW w:w="1560" w:type="dxa"/>
            <w:shd w:val="clear" w:color="auto" w:fill="auto"/>
            <w:noWrap/>
            <w:tcMar>
              <w:top w:w="15" w:type="dxa"/>
              <w:left w:w="15" w:type="dxa"/>
              <w:bottom w:w="0" w:type="dxa"/>
              <w:right w:w="15" w:type="dxa"/>
            </w:tcMar>
            <w:hideMark/>
          </w:tcPr>
          <w:p w14:paraId="7CD69188"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hideMark/>
          </w:tcPr>
          <w:p w14:paraId="4E9A11C1"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CD44, Stro-1</w:t>
            </w:r>
          </w:p>
        </w:tc>
        <w:tc>
          <w:tcPr>
            <w:tcW w:w="2762" w:type="dxa"/>
            <w:shd w:val="clear" w:color="auto" w:fill="auto"/>
            <w:noWrap/>
            <w:tcMar>
              <w:top w:w="15" w:type="dxa"/>
              <w:left w:w="15" w:type="dxa"/>
              <w:bottom w:w="0" w:type="dxa"/>
              <w:right w:w="15" w:type="dxa"/>
            </w:tcMar>
            <w:hideMark/>
          </w:tcPr>
          <w:p w14:paraId="07A802FE"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w:t>
            </w:r>
          </w:p>
        </w:tc>
        <w:tc>
          <w:tcPr>
            <w:tcW w:w="1405" w:type="dxa"/>
            <w:shd w:val="clear" w:color="auto" w:fill="auto"/>
            <w:noWrap/>
            <w:tcMar>
              <w:top w:w="15" w:type="dxa"/>
              <w:left w:w="15" w:type="dxa"/>
              <w:bottom w:w="0" w:type="dxa"/>
              <w:right w:w="15" w:type="dxa"/>
            </w:tcMar>
            <w:hideMark/>
          </w:tcPr>
          <w:p w14:paraId="538770A3" w14:textId="6C48EF5D"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noProof/>
              </w:rPr>
              <w:t xml:space="preserve">Hodgkiss-Geere </w:t>
            </w:r>
            <w:r w:rsidRPr="00000DD3">
              <w:rPr>
                <w:rFonts w:ascii="Book Antiqua" w:hAnsi="Book Antiqua" w:cstheme="minorHAnsi"/>
                <w:i/>
                <w:iCs/>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{"citationItems":[{"id":"ITEM-1","itemData":{"DOI":"10.1016/j.tvjl.2012.05.011","ISBN":"1090-0233","ISSN":"10900233","PMID":"22721628","abstract":"Mesenchymal stem cells (MSCs) have potential for use in regenerative therapeutics, since they are capable of multi-lineage differentiation. In this study, primary canine MSCs (cMSCs) were isolated from bone marrow aspirates and characterised using marker expression and morphology. cMSCs expressed CD44 and STRO-1, but not CD34 or CD45.Morphologically, cMSCs were similar to previously described MSCs and were capable of chondrocyte differentiation towards articular type cartilage, characterised by increased collagen type II vs. collagen type I expression and expression of Sox-9. cMSCs demonstrated no significant alterations in marker profiles and failed to differentiate into cardiomyocytes in response to a cardiac differentiation protocol or when co-cultured with canine cardiac stem cells. The study indicated that cMSCs can be derived readily from bone marrow and are capable of differentiation into articular cartilage, but appear to have limited ability to differentiate into cardiomyocytes using current protocols. © 2012 Elsevier Ltd.","author":[{"dropping-particle":"","family":"Hodgkiss-Geere","given":"Hannah M.","non-dropping-particle":"","parse-names":false,"suffix":""},{"dropping-particle":"","family":"Argyle","given":"David J.","non-dropping-particle":"","parse-names":false,"suffix":""},{"dropping-particle":"","family":"Corcoran","given":"Brendan M.","non-dropping-particle":"","parse-names":false,"suffix":""},{"dropping-particle":"","family":"Whitelaw","given":"Bruce","non-dropping-particle":"","parse-names":false,"suffix":""},{"dropping-particle":"","family":"Milne","given":"Elspeth","non-dropping-particle":"","parse-names":false,"suffix":""},{"dropping-particle":"","family":"Bennett","given":"David","non-dropping-particle":"","parse-names":false,"suffix":""},{"dropping-particle":"","family":"Argyle","given":"Sally A.","non-dropping-particle":"","parse-names":false,"suffix":""}],"container-title":"Veterinary Journal","id":"ITEM-1","issue":"3","issued":{"date-parts":[["2012"]]},"page":"361-368","publisher":"Elsevier Ltd","title":"Characterisation and differentiation potential of bone marrow derived canine mesenchymal stem cells","type":"article-journal","volume":"194"},"uris":["http://www.mendeley.com/documents/?uuid=af4214ac-1c67-46d1-bf7f-e50c96f24029"]}],"mendeley":{"formattedCitation":"&lt;sup&gt;[120]&lt;/sup&gt;","plainTextFormattedCitation":"[120]","previouslyFormattedCitation":"&lt;sup&gt;[120]&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[120]</w:t>
            </w:r>
            <w:r w:rsidR="00E437CC" w:rsidRPr="00000DD3">
              <w:rPr>
                <w:rFonts w:ascii="Book Antiqua" w:hAnsi="Book Antiqua" w:cstheme="minorHAnsi"/>
                <w:noProof/>
              </w:rPr>
              <w:fldChar w:fldCharType="end"/>
            </w:r>
            <w:r w:rsidRPr="00000DD3">
              <w:rPr>
                <w:rFonts w:ascii="Book Antiqua" w:hAnsi="Book Antiqua" w:cstheme="minorHAnsi"/>
                <w:noProof/>
              </w:rPr>
              <w:t>, 2012</w:t>
            </w:r>
          </w:p>
        </w:tc>
      </w:tr>
      <w:tr w:rsidR="00874B98" w:rsidRPr="00000DD3" w14:paraId="542488C3" w14:textId="77777777" w:rsidTr="00AB78A8">
        <w:trPr>
          <w:trHeight w:val="58"/>
        </w:trPr>
        <w:tc>
          <w:tcPr>
            <w:tcW w:w="1560" w:type="dxa"/>
            <w:shd w:val="clear" w:color="auto" w:fill="auto"/>
            <w:noWrap/>
            <w:tcMar>
              <w:top w:w="15" w:type="dxa"/>
              <w:left w:w="15" w:type="dxa"/>
              <w:bottom w:w="0" w:type="dxa"/>
              <w:right w:w="15" w:type="dxa"/>
            </w:tcMar>
          </w:tcPr>
          <w:p w14:paraId="232AA5C3"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tcPr>
          <w:p w14:paraId="3625DCDE"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w:t>
            </w:r>
          </w:p>
        </w:tc>
        <w:tc>
          <w:tcPr>
            <w:tcW w:w="2762" w:type="dxa"/>
            <w:shd w:val="clear" w:color="auto" w:fill="auto"/>
            <w:noWrap/>
            <w:tcMar>
              <w:top w:w="15" w:type="dxa"/>
              <w:left w:w="15" w:type="dxa"/>
              <w:bottom w:w="0" w:type="dxa"/>
              <w:right w:w="15" w:type="dxa"/>
            </w:tcMar>
          </w:tcPr>
          <w:p w14:paraId="6596FEDF"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CD14</w:t>
            </w:r>
          </w:p>
        </w:tc>
        <w:tc>
          <w:tcPr>
            <w:tcW w:w="1405" w:type="dxa"/>
            <w:shd w:val="clear" w:color="auto" w:fill="auto"/>
            <w:noWrap/>
            <w:tcMar>
              <w:top w:w="15" w:type="dxa"/>
              <w:left w:w="15" w:type="dxa"/>
              <w:bottom w:w="0" w:type="dxa"/>
              <w:right w:w="15" w:type="dxa"/>
            </w:tcMar>
          </w:tcPr>
          <w:p w14:paraId="1BCAF4F8" w14:textId="14A2AE13"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noProof/>
              </w:rPr>
              <w:t>Bertolo</w:t>
            </w:r>
            <w:r w:rsidR="00E437CC" w:rsidRPr="00000DD3">
              <w:rPr>
                <w:rFonts w:ascii="Book Antiqua" w:eastAsia="黑体" w:hAnsi="Book Antiqua" w:cstheme="minorHAnsi" w:hint="eastAsia"/>
                <w:noProof/>
                <w:lang w:eastAsia="zh-CN"/>
              </w:rPr>
              <w:t xml:space="preserve"> </w:t>
            </w:r>
            <w:r w:rsidRPr="00000DD3">
              <w:rPr>
                <w:rFonts w:ascii="Book Antiqua" w:hAnsi="Book Antiqua" w:cstheme="minorHAnsi"/>
                <w:i/>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{"citationItems":[{"id":"ITEM-1","itemData":{"DOI":"10.3727/096368914X685294","ISSN":"09636897","PMID":"25375819","abstract":"The study of canine bone marrow-derived mesenchymal stem cells (MSC) has a prominent position in veterinary cell-based applications. Yet the plethora of breeds, their different life spans and inter-breed variations provide unclearness on what can be achieved specifically by such therapies. In this study, we compared a set of morphological, physiological, and genetic markers of MSC derived from large dog breeds, namely: Border collie, German shepherd, Labrador, Malinois, Golden retriever and Hovawart. We compared colony forming units (CFU) assay, population doubling time (PDT), senescence-associated beta-galactosidase (SA-beta-Gal) activity, telomere length and gene expression of MSC, as well as the ability of cells to differentiate to osteogenic, adipogenic and chondrogenic phenotypes. The influence of the culture media alpha-MEM, low glucose DMEM and high glucose DMEM, used in cell isolation and expansion, was investigated in presence and absence of basic Fibroblast Growth Factor (bFGF). Initial cell yield was not affected by culturing medium, but MSC expanded best in alpha-MEM supplemented with bFGF. After isolation, the number of MSC was similar among breeds - as shown by equivalent CFU - except in the Hovawart samples, which had fivefold less CFU. Telomere lengths was similar among breeds. MSC divided actively only for four weeks in culture (PDT = ~50 hours/division), except Border collie cells divided for longer time than cells from other groups. The percentage of senescent cells increased linearly in all breeds with time, with a faster rate in German shepherd, Labrador and Golden retriever. Border collie cells underwent efficient osteogenic differentiation, Hovawart cells performed the best in chondrogenic differentiation and Labrador cells in both, while German shepherd cells had the lower differentiation potential. MSC from all breed preserved the same adipogenic differentiation potential. In conclusion, despite variations, isolated MSC can be expanded and differentiated in vitro and all breeds are eligible for MSC-based therapies.","author":[{"dropping-particle":"","family":"Bertolo","given":"Alessandro","non-dropping-particle":"","parse-names":false,"suffix":""},{"dropping-particle":"","family":"Steffen","given":"Frank","non-dropping-particle":"","parse-names":false,"suffix":""},{"dropping-particle":"","family":"Malonzo-Marty","given":"Cherry","non-dropping-particle":"","parse-names":false,"suffix":""},{"dropping-particle":"","family":"Stoyanov","given":"Jivko","non-dropping-particle":"","parse-names":false,"suffix":""}],"container-title":"Cell Transplantation","id":"ITEM-1","issue":"10","issued":{"date-parts":[["2015"]]},"page":"1969-1980","title":"Canine mesenchymal stem cell potential and the importance of dog breed: Implication for cell-based therapies","type":"article-journal","volume":"24"},"uris":["http://www.mendeley.com/documents/?uuid=e9c4273c-2cfa-452a-9552-03da3ae7c70c"]}],"mendeley":{"formattedCitation":"&lt;sup&gt;[73]&lt;/sup&gt;","plainTextFormattedCitation":"[73]","previouslyFormattedCitation":"&lt;sup&gt;[73]&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[73]</w:t>
            </w:r>
            <w:r w:rsidR="00E437CC" w:rsidRPr="00000DD3">
              <w:rPr>
                <w:rFonts w:ascii="Book Antiqua" w:hAnsi="Book Antiqua" w:cstheme="minorHAnsi"/>
                <w:noProof/>
              </w:rPr>
              <w:fldChar w:fldCharType="end"/>
            </w:r>
            <w:r w:rsidRPr="00000DD3">
              <w:rPr>
                <w:rFonts w:ascii="Book Antiqua" w:hAnsi="Book Antiqua" w:cstheme="minorHAnsi"/>
                <w:noProof/>
              </w:rPr>
              <w:t>, 2015</w:t>
            </w:r>
          </w:p>
        </w:tc>
      </w:tr>
      <w:tr w:rsidR="00874B98" w:rsidRPr="00000DD3" w14:paraId="5D4C5E54" w14:textId="77777777" w:rsidTr="00AB78A8">
        <w:trPr>
          <w:trHeight w:val="58"/>
        </w:trPr>
        <w:tc>
          <w:tcPr>
            <w:tcW w:w="1560" w:type="dxa"/>
            <w:shd w:val="clear" w:color="auto" w:fill="auto"/>
            <w:noWrap/>
            <w:tcMar>
              <w:top w:w="15" w:type="dxa"/>
              <w:left w:w="15" w:type="dxa"/>
              <w:bottom w:w="0" w:type="dxa"/>
              <w:right w:w="15" w:type="dxa"/>
            </w:tcMar>
            <w:hideMark/>
          </w:tcPr>
          <w:p w14:paraId="189F834C"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hideMark/>
          </w:tcPr>
          <w:p w14:paraId="3A7CC803" w14:textId="36022793"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 xml:space="preserve">CD90, CD44, CD105, CD73, CD166, </w:t>
            </w:r>
            <w:r w:rsidR="00482682" w:rsidRPr="00000DD3">
              <w:rPr>
                <w:rFonts w:ascii="Book Antiqua" w:hAnsi="Book Antiqua" w:cstheme="minorHAnsi"/>
                <w:noProof/>
              </w:rPr>
              <w:t>v</w:t>
            </w:r>
            <w:r w:rsidRPr="00000DD3">
              <w:rPr>
                <w:rFonts w:ascii="Book Antiqua" w:hAnsi="Book Antiqua" w:cstheme="minorHAnsi"/>
                <w:noProof/>
              </w:rPr>
              <w:t>imentin</w:t>
            </w:r>
          </w:p>
        </w:tc>
        <w:tc>
          <w:tcPr>
            <w:tcW w:w="2762" w:type="dxa"/>
            <w:shd w:val="clear" w:color="auto" w:fill="auto"/>
            <w:noWrap/>
            <w:tcMar>
              <w:top w:w="15" w:type="dxa"/>
              <w:left w:w="15" w:type="dxa"/>
              <w:bottom w:w="0" w:type="dxa"/>
              <w:right w:w="15" w:type="dxa"/>
            </w:tcMar>
            <w:hideMark/>
          </w:tcPr>
          <w:p w14:paraId="6011E6EA"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CD31</w:t>
            </w:r>
          </w:p>
        </w:tc>
        <w:tc>
          <w:tcPr>
            <w:tcW w:w="1405" w:type="dxa"/>
            <w:shd w:val="clear" w:color="auto" w:fill="auto"/>
            <w:noWrap/>
            <w:tcMar>
              <w:top w:w="15" w:type="dxa"/>
              <w:left w:w="15" w:type="dxa"/>
              <w:bottom w:w="0" w:type="dxa"/>
              <w:right w:w="15" w:type="dxa"/>
            </w:tcMar>
            <w:hideMark/>
          </w:tcPr>
          <w:p w14:paraId="5BE43830" w14:textId="6DF76407"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noProof/>
              </w:rPr>
              <w:t>Zhang</w:t>
            </w:r>
            <w:r w:rsidR="00E437CC" w:rsidRPr="00000DD3">
              <w:rPr>
                <w:rFonts w:ascii="Book Antiqua" w:eastAsia="黑体" w:hAnsi="Book Antiqua" w:cstheme="minorHAnsi" w:hint="eastAsia"/>
                <w:noProof/>
                <w:lang w:eastAsia="zh-CN"/>
              </w:rPr>
              <w:t xml:space="preserve"> </w:t>
            </w:r>
            <w:r w:rsidRPr="00000DD3">
              <w:rPr>
                <w:rFonts w:ascii="Book Antiqua" w:hAnsi="Book Antiqua" w:cstheme="minorHAnsi"/>
                <w:i/>
                <w:iCs/>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10.3892/mmr.2018.9172","ISSN":"17913004","PMID":"29916546","author":[{"dropping-particle":"","family":"Zhang","given":"Shuang","non-dropping-particle":"","parse-names":false,"suffix":""},{"dropping-particle":"","family":"Zhao","given":"Chenqiong","non-dropping-particle":"","parse-names":false,"suffix":""},{"dropping-particle":"","family":"Liu","given":"Shi","non-dropping-particle":"","parse-names":false,"suffix":""},{"dropping-particle":"","family":"Wang","given":"Yufeng","non-dropping-particle":"","parse-names":false,"suffix":""},{"dropping-particle":"","family":"Zhao","given":"Yuhua","non-dropping-particle":"","parse-names":false,"suffix":""},{"dropping-particle":"","family":"Guan","given":"Weijun","non-dropping-particle":"","parse-names":false,"suffix":""},{"dropping-particle":"","family":"Zhu","given":"Zhiqiang","non-dropping-particle":"","parse-names":false,"suffix":""}],"container-title":"Molecular Medicine Reports","id":"ITEM-1","issue":"2","issued":{"date-parts":[["2018"]]},"page":"2097-2109","title":"Characteristics and multi-lineage differentiation of bone marrow mesenchymal stem cells derived from the Tibetan mastiff","type":"article-journal","volume":"18"},"uris":["http://www.mendeley.com/documents/?uuid=6ae5bf4c-2f03-3654-ac18-a358677153d3"]}],"mendeley":{"formattedCitation":"&lt;sup&gt;[47]&lt;/sup&gt;","plainTextFormattedCitation":"[47]","previouslyFormattedCitation":"&lt;sup&gt;[47]&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[47]</w:t>
            </w:r>
            <w:r w:rsidR="00E437CC" w:rsidRPr="00000DD3">
              <w:rPr>
                <w:rFonts w:ascii="Book Antiqua" w:hAnsi="Book Antiqua" w:cstheme="minorHAnsi"/>
                <w:noProof/>
              </w:rPr>
              <w:fldChar w:fldCharType="end"/>
            </w:r>
            <w:r w:rsidRPr="00000DD3">
              <w:rPr>
                <w:rFonts w:ascii="Book Antiqua" w:hAnsi="Book Antiqua" w:cstheme="minorHAnsi"/>
                <w:noProof/>
              </w:rPr>
              <w:t>, 2018</w:t>
            </w:r>
          </w:p>
        </w:tc>
      </w:tr>
      <w:tr w:rsidR="00874B98" w:rsidRPr="00000DD3" w14:paraId="2CE0D8EA" w14:textId="77777777" w:rsidTr="00AB78A8">
        <w:trPr>
          <w:trHeight w:val="58"/>
        </w:trPr>
        <w:tc>
          <w:tcPr>
            <w:tcW w:w="1560" w:type="dxa"/>
            <w:shd w:val="clear" w:color="auto" w:fill="auto"/>
            <w:noWrap/>
            <w:tcMar>
              <w:top w:w="15" w:type="dxa"/>
              <w:left w:w="15" w:type="dxa"/>
              <w:bottom w:w="0" w:type="dxa"/>
              <w:right w:w="15" w:type="dxa"/>
            </w:tcMar>
            <w:hideMark/>
          </w:tcPr>
          <w:p w14:paraId="55CBB500"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Bone marrow</w:t>
            </w:r>
          </w:p>
        </w:tc>
        <w:tc>
          <w:tcPr>
            <w:tcW w:w="2761" w:type="dxa"/>
            <w:shd w:val="clear" w:color="auto" w:fill="auto"/>
            <w:noWrap/>
            <w:tcMar>
              <w:top w:w="15" w:type="dxa"/>
              <w:left w:w="15" w:type="dxa"/>
              <w:bottom w:w="0" w:type="dxa"/>
              <w:right w:w="15" w:type="dxa"/>
            </w:tcMar>
            <w:hideMark/>
          </w:tcPr>
          <w:p w14:paraId="02EB9DD7"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 CD29, CD105, CD166</w:t>
            </w:r>
          </w:p>
        </w:tc>
        <w:tc>
          <w:tcPr>
            <w:tcW w:w="2762" w:type="dxa"/>
            <w:shd w:val="clear" w:color="auto" w:fill="auto"/>
            <w:noWrap/>
            <w:tcMar>
              <w:top w:w="15" w:type="dxa"/>
              <w:left w:w="15" w:type="dxa"/>
              <w:bottom w:w="0" w:type="dxa"/>
              <w:right w:w="15" w:type="dxa"/>
            </w:tcMar>
            <w:hideMark/>
          </w:tcPr>
          <w:p w14:paraId="2412F69B"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w:t>
            </w:r>
          </w:p>
        </w:tc>
        <w:tc>
          <w:tcPr>
            <w:tcW w:w="1405" w:type="dxa"/>
            <w:shd w:val="clear" w:color="auto" w:fill="auto"/>
            <w:noWrap/>
            <w:tcMar>
              <w:top w:w="15" w:type="dxa"/>
              <w:left w:w="15" w:type="dxa"/>
              <w:bottom w:w="0" w:type="dxa"/>
              <w:right w:w="15" w:type="dxa"/>
            </w:tcMar>
            <w:hideMark/>
          </w:tcPr>
          <w:p w14:paraId="068B6651" w14:textId="1C95A133"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noProof/>
              </w:rPr>
              <w:t xml:space="preserve">Li </w:t>
            </w:r>
            <w:r w:rsidRPr="00000DD3">
              <w:rPr>
                <w:rFonts w:ascii="Book Antiqua" w:hAnsi="Book Antiqua" w:cstheme="minorHAnsi"/>
                <w:i/>
                <w:iCs/>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{"citationItems":[{"id":"ITEM-1","itemData":{"DOI":"10.1038/s41598-018-27737-y","ISSN":"20452322","PMID":"29967404","abstract":"Mesenchymal stem cells (MSCs) and hyaluronic acid (HA) have been found in previous studies to have great potential for medical use. This study aimed to investigate the therapeutic effects of bone marrow mesenchymal stem cells (BMSCs) combined with HA on articular cartilage repair in canines. Twenty-four healthy canines (48 knee-joints), male or female with weight ranging from 5 to 6 kg, were operated on to induce cartilage defect model and divided into 3 groups randomly which received different treatments: BMSCs plus HA (BMSCs-HA), HA alone, and saline. Twenty-eight weeks after treatment, all canines were sacrificed and analyzed by gross appearance, magnetic resonance imaging (MRI), hematoxylin-eosin (HE) staining, Masson staining, toluidine blue staining, type II collagen immunohistochemistry, gross grading scale and histological scores. MSCs plus HA regenerated more cartilage-like tissue than did HA alone or saline. According to the macroscopic evaluation and histological assessment score, treatment with MSCs plus HA also lead to significant improvement in cartilage defects compared to those in the other 2 treatment groups (P &lt; 0.05). These findings suggested that allogeneic BMSCs plus HA rather than HA alone was effective in promoting the formation of cartilage-like tissue for repairing cartilage defect in canines.","author":[{"dropping-particle":"","family":"Li","given":"Lang","non-dropping-particle":"","parse-names":false,"suffix":""},{"dropping-particle":"","family":"Duan","given":"Xin","non-dropping-particle":"","parse-names":false,"suffix":""},{"dropping-particle":"","family":"Fan","given":"Zhaoxin","non-dropping-particle":"","parse-names":false,"suffix":""},{"dropping-particle":"","family":"Chen","given":"Long","non-dropping-particle":"","parse-names":false,"suffix":""},{"dropping-particle":"","family":"Xing","given":"Fei","non-dropping-particle":"","parse-names":false,"suffix":""},{"dropping-particle":"","family":"Xu","given":"Zhao","non-dropping-particle":"","parse-names":false,"suffix":""},{"dropping-particle":"","family":"Chen","given":"Qiang","non-dropping-particle":"","parse-names":false,"suffix":""},{"dropping-particle":"","family":"Xiang","given":"Zhou","non-dropping-particle":"","parse-names":false,"suffix":""}],"container-title":"Scientific Reports","id":"ITEM-1","issue":"1","issued":{"date-parts":[["2018"]]},"page":"9900","title":"Mesenchymal stem cells in combination with hyaluronic acid for articular cartilage defects","type":"article-journal","volume":"8"},"uris":["http://www.mendeley.com/documents/?uuid=5230d377-0e2a-31b0-b125-aea70e2ecce7"]}],"mendeley":{"formattedCitation":"&lt;sup&gt;[63]&lt;/sup&gt;","plainTextFormattedCitation":"[63]","previouslyFormattedCitation":"&lt;sup&gt;[63]&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[63]</w:t>
            </w:r>
            <w:r w:rsidR="00E437CC" w:rsidRPr="00000DD3">
              <w:rPr>
                <w:rFonts w:ascii="Book Antiqua" w:hAnsi="Book Antiqua" w:cstheme="minorHAnsi"/>
                <w:noProof/>
              </w:rPr>
              <w:fldChar w:fldCharType="end"/>
            </w:r>
            <w:r w:rsidRPr="00000DD3">
              <w:rPr>
                <w:rFonts w:ascii="Book Antiqua" w:hAnsi="Book Antiqua" w:cstheme="minorHAnsi"/>
                <w:noProof/>
              </w:rPr>
              <w:t>, 2018</w:t>
            </w:r>
          </w:p>
        </w:tc>
      </w:tr>
      <w:tr w:rsidR="00874B98" w:rsidRPr="00000DD3" w14:paraId="0DC1B1D5" w14:textId="77777777" w:rsidTr="00AB78A8">
        <w:trPr>
          <w:trHeight w:val="58"/>
        </w:trPr>
        <w:tc>
          <w:tcPr>
            <w:tcW w:w="1560" w:type="dxa"/>
            <w:shd w:val="clear" w:color="auto" w:fill="auto"/>
            <w:noWrap/>
            <w:tcMar>
              <w:top w:w="15" w:type="dxa"/>
              <w:left w:w="15" w:type="dxa"/>
              <w:bottom w:w="0" w:type="dxa"/>
              <w:right w:w="15" w:type="dxa"/>
            </w:tcMar>
          </w:tcPr>
          <w:p w14:paraId="48EE5848"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Synovium</w:t>
            </w:r>
          </w:p>
        </w:tc>
        <w:tc>
          <w:tcPr>
            <w:tcW w:w="2761" w:type="dxa"/>
            <w:shd w:val="clear" w:color="auto" w:fill="auto"/>
            <w:noWrap/>
            <w:tcMar>
              <w:top w:w="15" w:type="dxa"/>
              <w:left w:w="15" w:type="dxa"/>
              <w:bottom w:w="0" w:type="dxa"/>
              <w:right w:w="15" w:type="dxa"/>
            </w:tcMar>
          </w:tcPr>
          <w:p w14:paraId="7ABDA2BC"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 CD44</w:t>
            </w:r>
          </w:p>
        </w:tc>
        <w:tc>
          <w:tcPr>
            <w:tcW w:w="2762" w:type="dxa"/>
            <w:shd w:val="clear" w:color="auto" w:fill="auto"/>
            <w:noWrap/>
            <w:tcMar>
              <w:top w:w="15" w:type="dxa"/>
              <w:left w:w="15" w:type="dxa"/>
              <w:bottom w:w="0" w:type="dxa"/>
              <w:right w:w="15" w:type="dxa"/>
            </w:tcMar>
          </w:tcPr>
          <w:p w14:paraId="58190BAB"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w:t>
            </w:r>
          </w:p>
        </w:tc>
        <w:tc>
          <w:tcPr>
            <w:tcW w:w="1405" w:type="dxa"/>
            <w:shd w:val="clear" w:color="auto" w:fill="auto"/>
            <w:noWrap/>
            <w:tcMar>
              <w:top w:w="15" w:type="dxa"/>
              <w:left w:w="15" w:type="dxa"/>
              <w:bottom w:w="0" w:type="dxa"/>
              <w:right w:w="15" w:type="dxa"/>
            </w:tcMar>
          </w:tcPr>
          <w:p w14:paraId="53E1853F" w14:textId="364633B7" w:rsidR="00842EA3" w:rsidRPr="00000DD3" w:rsidRDefault="00D4476D" w:rsidP="00E437CC">
            <w:pPr>
              <w:spacing w:line="360" w:lineRule="auto"/>
              <w:jc w:val="both"/>
              <w:rPr>
                <w:rFonts w:ascii="Book Antiqua" w:hAnsi="Book Antiqua" w:cstheme="minorHAnsi"/>
                <w:noProof/>
              </w:rPr>
            </w:pPr>
            <w:r w:rsidRPr="00000DD3">
              <w:rPr>
                <w:rFonts w:ascii="Book Antiqua" w:hAnsi="Book Antiqua" w:cstheme="minorHAnsi"/>
                <w:noProof/>
              </w:rPr>
              <w:t>Wijekoon</w:t>
            </w:r>
            <w:r w:rsidR="00874B98" w:rsidRPr="00000DD3">
              <w:rPr>
                <w:rFonts w:ascii="Book Antiqua" w:hAnsi="Book Antiqua" w:cstheme="minorHAnsi"/>
                <w:noProof/>
              </w:rPr>
              <w:t xml:space="preserve"> </w:t>
            </w:r>
            <w:r w:rsidR="00842EA3" w:rsidRPr="00000DD3">
              <w:rPr>
                <w:rFonts w:ascii="Book Antiqua" w:hAnsi="Book Antiqua" w:cstheme="minorHAnsi"/>
                <w:i/>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{"citationItems":[{"id":"ITEM-1","itemData":{"DOI":"10.1016/j.rvsc.2017.07.004","ISSN":"15322661","PMID":"28711819","abstract":"The objective of this study was to assess the differentiation capability of synoviocytes derived from dogs with inflammatory joint conditions. Cranial cruciate ligament ruptured (CCLr) (n = 12) and medial patella luxated (MPL) (n = 10) knee joints of the dogs were used to collect the synovial membrane (SM). Synoviocytes were enzymatically released from the SM and analyzed by flow cytometry for specific cellular markers (CD44 and CD90) of mesenchymal stem cells (MSCs), while doing histopathology from another part of SM sections. Under specific culture conditions, synoviocytes were forced to differentiate into chondrogenesis, adipogenesis, osteogenesis and osteoclastogenesis to investigate the multipotency. Upon treatments phenotypes of cell cultures were analyzed by histopathology and by semi-quantitative reverse transcriptase polymerase chain reaction for the expression of each differentiation marker genes. Although flow cytometry showing similar MSCs populations in CCLr and MPL synovium, synovial cells derived from CCLr showed higher multipotency compared to MPL-derived samples. Further, synovial changes such as vascularity, mononuclear cell infiltration and cellular hypertrophy were more pronounced in CCLr-derived synovial tissue than in MPL. Taken together, these findings suggested that the differentiation capability of SM-derived multipotent stem cells varies with inflammatory severity occurring in different joint conditions.","author":[{"dropping-particle":"","family":"Wijekoon","given":"H. M.Suranji","non-dropping-particle":"","parse-names":false,"suffix":""},{"dropping-particle":"","family":"Toyota","given":"Kazuhide","non-dropping-particle":"","parse-names":false,"suffix":""},{"dropping-particle":"","family":"Kim","given":"Sangho","non-dropping-particle":"","parse-names":false,"suffix":""},{"dropping-particle":"","family":"Fang","given":"Jing","non-dropping-particle":"","parse-names":false,"suffix":""},{"dropping-particle":"","family":"Bwalya","given":"Eugene C.","non-dropping-particle":"","parse-names":false,"suffix":""},{"dropping-particle":"","family":"Hosoya","given":"Kenji","non-dropping-particle":"","parse-names":false,"suffix":""},{"dropping-particle":"","family":"Okumura","given":"Masahiro","non-dropping-particle":"","parse-names":false,"suffix":""}],"container-title":"Research in Veterinary Science","id":"ITEM-1","issued":{"date-parts":[["2017"]]},"page":"370-377","title":"Differentiation potential of synoviocytes derived from joints with cranial cruciate ligament rupture and medial patella luxation in dogs","type":"article-journal","volume":"114"},"uris":["http://www.mendeley.com/documents/?uuid=6aee5a53-718f-3607-935c-79b294c7654b"]}],"mendeley":{"formattedCitation":"&lt;sup&gt;[54]&lt;/sup&gt;","plainTextFormattedCitation":"[54]","previouslyFormattedCitation":"&lt;sup&gt;[54]&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[54]</w:t>
            </w:r>
            <w:r w:rsidR="00E437CC" w:rsidRPr="00000DD3">
              <w:rPr>
                <w:rFonts w:ascii="Book Antiqua" w:hAnsi="Book Antiqua" w:cstheme="minorHAnsi"/>
                <w:noProof/>
              </w:rPr>
              <w:fldChar w:fldCharType="end"/>
            </w:r>
            <w:r w:rsidR="00842EA3" w:rsidRPr="00000DD3">
              <w:rPr>
                <w:rFonts w:ascii="Book Antiqua" w:hAnsi="Book Antiqua" w:cstheme="minorHAnsi"/>
                <w:noProof/>
              </w:rPr>
              <w:t>, 2017</w:t>
            </w:r>
          </w:p>
        </w:tc>
      </w:tr>
      <w:tr w:rsidR="00874B98" w:rsidRPr="00000DD3" w14:paraId="483BB178" w14:textId="77777777" w:rsidTr="00AB78A8">
        <w:trPr>
          <w:trHeight w:val="58"/>
        </w:trPr>
        <w:tc>
          <w:tcPr>
            <w:tcW w:w="1560" w:type="dxa"/>
            <w:tcBorders>
              <w:bottom w:val="single" w:sz="4" w:space="0" w:color="auto"/>
            </w:tcBorders>
            <w:shd w:val="clear" w:color="auto" w:fill="auto"/>
            <w:noWrap/>
            <w:tcMar>
              <w:top w:w="15" w:type="dxa"/>
              <w:left w:w="15" w:type="dxa"/>
              <w:bottom w:w="0" w:type="dxa"/>
              <w:right w:w="15" w:type="dxa"/>
            </w:tcMar>
          </w:tcPr>
          <w:p w14:paraId="5ACFFA17"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Synovial fluid</w:t>
            </w:r>
          </w:p>
        </w:tc>
        <w:tc>
          <w:tcPr>
            <w:tcW w:w="2761" w:type="dxa"/>
            <w:tcBorders>
              <w:bottom w:val="single" w:sz="4" w:space="0" w:color="auto"/>
            </w:tcBorders>
            <w:shd w:val="clear" w:color="auto" w:fill="auto"/>
            <w:noWrap/>
            <w:tcMar>
              <w:top w:w="15" w:type="dxa"/>
              <w:left w:w="15" w:type="dxa"/>
              <w:bottom w:w="0" w:type="dxa"/>
              <w:right w:w="15" w:type="dxa"/>
            </w:tcMar>
          </w:tcPr>
          <w:p w14:paraId="77BA29A8"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CD90</w:t>
            </w:r>
          </w:p>
        </w:tc>
        <w:tc>
          <w:tcPr>
            <w:tcW w:w="2762" w:type="dxa"/>
            <w:tcBorders>
              <w:bottom w:val="single" w:sz="4" w:space="0" w:color="auto"/>
            </w:tcBorders>
            <w:shd w:val="clear" w:color="auto" w:fill="auto"/>
            <w:noWrap/>
            <w:tcMar>
              <w:top w:w="15" w:type="dxa"/>
              <w:left w:w="15" w:type="dxa"/>
              <w:bottom w:w="0" w:type="dxa"/>
              <w:right w:w="15" w:type="dxa"/>
            </w:tcMar>
          </w:tcPr>
          <w:p w14:paraId="3BDD020D" w14:textId="77777777" w:rsidR="00842EA3"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CD45, CD34</w:t>
            </w:r>
          </w:p>
        </w:tc>
        <w:tc>
          <w:tcPr>
            <w:tcW w:w="1405" w:type="dxa"/>
            <w:tcBorders>
              <w:bottom w:val="single" w:sz="4" w:space="0" w:color="auto"/>
            </w:tcBorders>
            <w:shd w:val="clear" w:color="auto" w:fill="auto"/>
            <w:noWrap/>
            <w:tcMar>
              <w:top w:w="15" w:type="dxa"/>
              <w:left w:w="15" w:type="dxa"/>
              <w:bottom w:w="0" w:type="dxa"/>
              <w:right w:w="15" w:type="dxa"/>
            </w:tcMar>
          </w:tcPr>
          <w:p w14:paraId="2D8681E8" w14:textId="418E221F" w:rsidR="00D4476D" w:rsidRPr="00000DD3" w:rsidRDefault="00842EA3" w:rsidP="00874B98">
            <w:pPr>
              <w:spacing w:line="360" w:lineRule="auto"/>
              <w:jc w:val="both"/>
              <w:rPr>
                <w:rFonts w:ascii="Book Antiqua" w:hAnsi="Book Antiqua" w:cstheme="minorHAnsi"/>
                <w:noProof/>
              </w:rPr>
            </w:pPr>
            <w:r w:rsidRPr="00000DD3">
              <w:rPr>
                <w:rFonts w:ascii="Book Antiqua" w:hAnsi="Book Antiqua" w:cstheme="minorHAnsi"/>
                <w:noProof/>
              </w:rPr>
              <w:t xml:space="preserve">Krawetz </w:t>
            </w:r>
          </w:p>
          <w:p w14:paraId="28A4757B" w14:textId="1BD1253C" w:rsidR="00842EA3" w:rsidRPr="00000DD3" w:rsidRDefault="00842EA3" w:rsidP="00E437CC">
            <w:pPr>
              <w:spacing w:line="360" w:lineRule="auto"/>
              <w:jc w:val="both"/>
              <w:rPr>
                <w:rFonts w:ascii="Book Antiqua" w:hAnsi="Book Antiqua" w:cstheme="minorHAnsi"/>
                <w:noProof/>
              </w:rPr>
            </w:pPr>
            <w:r w:rsidRPr="00000DD3">
              <w:rPr>
                <w:rFonts w:ascii="Book Antiqua" w:hAnsi="Book Antiqua" w:cstheme="minorHAnsi"/>
                <w:i/>
                <w:noProof/>
              </w:rPr>
              <w:t>et al</w:t>
            </w:r>
            <w:r w:rsidR="00E437CC" w:rsidRPr="00000DD3">
              <w:rPr>
                <w:rFonts w:ascii="Book Antiqua" w:hAnsi="Book Antiqua" w:cstheme="minorHAnsi"/>
                <w:noProof/>
              </w:rPr>
              <w:fldChar w:fldCharType="begin" w:fldLock="1"/>
            </w:r>
            <w:r w:rsidR="00E437CC" w:rsidRPr="00000DD3">
              <w:rPr>
                <w:rFonts w:ascii="Book Antiqua" w:hAnsi="Book Antiqua" w:cstheme="minorHAnsi"/>
                <w:noProof/>
              </w:rPr>
              <w:instrText>ADDIN CSL_CITATION {"citationItems":[{"id":"ITEM-1","itemData":{"DOI":"10.1371/journal.pone.0043616","ISBN":"1932-6203 (Electronic)\\r1932-6203 (Linking)","ISSN":"19326203","PMID":"22952721","abstract":"OBJECTIVE: Mesenchymal progenitor cells (MPCs) can differentiate into osteoblasts, adipocytes, and chondrocytes, and are in part responsible for maintaining tissue integrity. Recently, a progenitor cell population has been found within the synovial fluid that shares many similarities with bone marrow MPCs. These synovial fluid MPCs (sfMPCs) share the ability to differentiate into bone and fat, with a bias for cartilage differentiation. In this study, sfMPCs were isolated from human and canine synovial fluid collected from normal individuals and those with osteoarthritis (human: clinician-diagnosed, canine: experimental) to compare the differentiation potential of CD90+ vs. CD90- sfMPCs, and to determine if CD90 (Thy-1) is a predictive marker of synovial fluid progenitors with chondrogenic capacity in vitro.\\n\\nMETHODS: sfMPCs were derived from synovial fluid from normal and OA knee joints. These cells were induced to differentiate into chondrocytes and analyzed using quantitative PCR, immunofluorescence, and electron microscopy.\\n\\nRESULTS: The CD90+ subpopulation of sfMPCs had increased chondrogenic potential compared to the CD90- population. Furthermore, sfMPCs derived from healthy joints did not require a micro-mass step for efficient chondrogenesis. Whereas sfMPCs from OA synovial fluid retain the ability to undergo chondrogenic differentiation, they require micro-mass culture conditions.\\n\\nCONCLUSIONS: Overall, this study has demonstrated an increased chondrogenic potential within the CD90+ fraction of human and canine sfMPCs and that this population of cells derived from healthy normal joints do not require a micro-mass step for efficient chondrogenesis, while sfMPCs obtained from OA knee joints do not differentiate efficiently into chondrocytes without the micro-mass procedure. These results reveal a fundamental shift in the chondrogenic ability of cells isolated from arthritic joint fluids, and we speculate that the mechanism behind this change of cell behavior is exposure to the altered milieu of the OA joint fluid, which will be examined in further studies.","author":[{"dropping-particle":"","family":"Krawetz","given":"Roman J.","non-dropping-particle":"","parse-names":false,"suffix":""},{"dropping-particle":"","family":"Wu","given":"Yiru Elizabeth","non-dropping-particle":"","parse-names":false,"suffix":""},{"dropping-particle":"","family":"Martin","given":"Liam","non-dropping-particle":"","parse-names":false,"suffix":""},{"dropping-particle":"","family":"Rattner","given":"Jerome B.","non-dropping-particle":"","parse-names":false,"suffix":""},{"dropping-particle":"","family":"Matyas","given":"John R.","non-dropping-particle":"","parse-names":false,"suffix":""},{"dropping-particle":"","family":"Hart","given":"David A.","non-dropping-particle":"","parse-names":false,"suffix":""}],"container-title":"PLoS ONE","id":"ITEM-1","issue":"8","issued":{"date-parts":[["2012"]]},"page":"e43616","title":"Synovial fluid progenitors expressing CD90+ from normal but not osteoarthritic joints undergo chondrogenic differentiation without micro-mass culture","type":"article-journal","volume":"7"},"uris":["http://www.mendeley.com/documents/?uuid=498e3de0-9144-3924-823e-4a3070408b47"]}],"mendeley":{"formattedCitation":"&lt;sup&gt;[55]&lt;/sup&gt;","plainTextFormattedCitation":"[55]","previouslyFormattedCitation":"&lt;sup&gt;[55]&lt;/sup&gt;"},"properties":{"noteIndex":0},"schema":"https://github.com/citation-style-language/schema/raw/master/csl-citation.json"}</w:instrText>
            </w:r>
            <w:r w:rsidR="00E437CC" w:rsidRPr="00000DD3">
              <w:rPr>
                <w:rFonts w:ascii="Book Antiqua" w:hAnsi="Book Antiqua" w:cstheme="minorHAnsi"/>
                <w:noProof/>
              </w:rPr>
              <w:fldChar w:fldCharType="separate"/>
            </w:r>
            <w:r w:rsidR="00E437CC" w:rsidRPr="00000DD3">
              <w:rPr>
                <w:rFonts w:ascii="Book Antiqua" w:hAnsi="Book Antiqua" w:cstheme="minorHAnsi"/>
                <w:noProof/>
                <w:vertAlign w:val="superscript"/>
              </w:rPr>
              <w:t>[55]</w:t>
            </w:r>
            <w:r w:rsidR="00E437CC" w:rsidRPr="00000DD3">
              <w:rPr>
                <w:rFonts w:ascii="Book Antiqua" w:hAnsi="Book Antiqua" w:cstheme="minorHAnsi"/>
                <w:noProof/>
              </w:rPr>
              <w:fldChar w:fldCharType="end"/>
            </w:r>
            <w:r w:rsidRPr="00000DD3">
              <w:rPr>
                <w:rFonts w:ascii="Book Antiqua" w:hAnsi="Book Antiqua" w:cstheme="minorHAnsi"/>
                <w:noProof/>
              </w:rPr>
              <w:t>, 2012</w:t>
            </w:r>
          </w:p>
        </w:tc>
      </w:tr>
    </w:tbl>
    <w:p w14:paraId="351434DE" w14:textId="77777777" w:rsidR="00842EA3" w:rsidRPr="00000DD3" w:rsidRDefault="00842EA3" w:rsidP="00874B98">
      <w:pPr>
        <w:spacing w:line="360" w:lineRule="auto"/>
        <w:jc w:val="both"/>
        <w:rPr>
          <w:rFonts w:ascii="Book Antiqua" w:hAnsi="Book Antiqua" w:cstheme="minorHAnsi"/>
          <w:b/>
          <w:noProof/>
        </w:rPr>
      </w:pPr>
    </w:p>
    <w:p w14:paraId="034E573E" w14:textId="77777777" w:rsidR="003831BF" w:rsidRPr="00000DD3" w:rsidRDefault="003831BF" w:rsidP="00874B98">
      <w:pPr>
        <w:spacing w:line="360" w:lineRule="auto"/>
        <w:jc w:val="both"/>
        <w:rPr>
          <w:rFonts w:ascii="Book Antiqua" w:hAnsi="Book Antiqua" w:cstheme="minorHAnsi"/>
          <w:b/>
          <w:noProof/>
        </w:rPr>
      </w:pPr>
      <w:r w:rsidRPr="00000DD3">
        <w:rPr>
          <w:rFonts w:ascii="Book Antiqua" w:hAnsi="Book Antiqua" w:cstheme="minorHAnsi"/>
          <w:b/>
          <w:noProof/>
        </w:rPr>
        <w:br w:type="page"/>
      </w:r>
    </w:p>
    <w:p w14:paraId="2B1EA2CE" w14:textId="4B303D16" w:rsidR="003831BF" w:rsidRPr="00000DD3" w:rsidRDefault="003831BF" w:rsidP="00874B98">
      <w:pPr>
        <w:spacing w:line="360" w:lineRule="auto"/>
        <w:jc w:val="both"/>
        <w:rPr>
          <w:rFonts w:ascii="Book Antiqua" w:hAnsi="Book Antiqua" w:cstheme="minorHAnsi"/>
          <w:b/>
          <w:noProof/>
        </w:rPr>
      </w:pPr>
      <w:r w:rsidRPr="00000DD3">
        <w:rPr>
          <w:rFonts w:ascii="Book Antiqua" w:hAnsi="Book Antiqua" w:cstheme="minorHAnsi"/>
          <w:b/>
          <w:noProof/>
        </w:rPr>
        <w:t>Table 2</w:t>
      </w:r>
      <w:r w:rsidR="00482682" w:rsidRPr="00000DD3">
        <w:rPr>
          <w:rFonts w:ascii="Book Antiqua" w:eastAsia="黑体" w:hAnsi="Book Antiqua" w:cstheme="minorHAnsi" w:hint="eastAsia"/>
          <w:b/>
          <w:noProof/>
          <w:lang w:eastAsia="zh-CN"/>
        </w:rPr>
        <w:t xml:space="preserve"> </w:t>
      </w:r>
      <w:r w:rsidRPr="00000DD3">
        <w:rPr>
          <w:rFonts w:ascii="Book Antiqua" w:hAnsi="Book Antiqua" w:cstheme="minorHAnsi"/>
          <w:b/>
          <w:noProof/>
        </w:rPr>
        <w:t xml:space="preserve">Surface marker expression </w:t>
      </w:r>
      <w:r w:rsidR="009127AD" w:rsidRPr="00000DD3">
        <w:rPr>
          <w:rFonts w:ascii="Book Antiqua" w:hAnsi="Book Antiqua" w:cstheme="minorHAnsi"/>
          <w:b/>
          <w:noProof/>
        </w:rPr>
        <w:t xml:space="preserve">in canine mesenchymal stem cells </w:t>
      </w:r>
    </w:p>
    <w:p w14:paraId="51587394" w14:textId="77777777" w:rsidR="003831BF" w:rsidRPr="00000DD3" w:rsidRDefault="003831BF" w:rsidP="00874B98">
      <w:pPr>
        <w:spacing w:line="360" w:lineRule="auto"/>
        <w:jc w:val="both"/>
        <w:rPr>
          <w:rFonts w:ascii="Book Antiqua" w:hAnsi="Book Antiqua" w:cstheme="minorHAnsi"/>
          <w:b/>
          <w:noProof/>
        </w:rPr>
      </w:pPr>
    </w:p>
    <w:tbl>
      <w:tblPr>
        <w:tblW w:w="8498" w:type="dxa"/>
        <w:tblLayout w:type="fixed"/>
        <w:tblCellMar>
          <w:left w:w="0" w:type="dxa"/>
          <w:right w:w="0" w:type="dxa"/>
        </w:tblCellMar>
        <w:tblLook w:val="04A0" w:firstRow="1" w:lastRow="0" w:firstColumn="1" w:lastColumn="0" w:noHBand="0" w:noVBand="1"/>
      </w:tblPr>
      <w:tblGrid>
        <w:gridCol w:w="1418"/>
        <w:gridCol w:w="4111"/>
        <w:gridCol w:w="2969"/>
      </w:tblGrid>
      <w:tr w:rsidR="00874B98" w:rsidRPr="00000DD3" w14:paraId="520A86CD" w14:textId="77777777" w:rsidTr="00743B1E">
        <w:trPr>
          <w:trHeight w:val="320"/>
        </w:trPr>
        <w:tc>
          <w:tcPr>
            <w:tcW w:w="1418"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4956DE31" w14:textId="77777777" w:rsidR="003831BF" w:rsidRPr="00000DD3" w:rsidRDefault="003831BF" w:rsidP="00874B98">
            <w:pPr>
              <w:spacing w:line="360" w:lineRule="auto"/>
              <w:jc w:val="both"/>
              <w:rPr>
                <w:rFonts w:ascii="Book Antiqua" w:hAnsi="Book Antiqua"/>
                <w:b/>
                <w:noProof/>
              </w:rPr>
            </w:pPr>
            <w:r w:rsidRPr="00000DD3">
              <w:rPr>
                <w:rFonts w:ascii="Book Antiqua" w:hAnsi="Book Antiqua"/>
                <w:b/>
                <w:noProof/>
              </w:rPr>
              <w:t>Source</w:t>
            </w:r>
          </w:p>
        </w:tc>
        <w:tc>
          <w:tcPr>
            <w:tcW w:w="4111"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2496C715" w14:textId="77777777" w:rsidR="003831BF" w:rsidRPr="00000DD3" w:rsidRDefault="003831BF" w:rsidP="00874B98">
            <w:pPr>
              <w:spacing w:line="360" w:lineRule="auto"/>
              <w:jc w:val="both"/>
              <w:rPr>
                <w:rFonts w:ascii="Book Antiqua" w:hAnsi="Book Antiqua"/>
                <w:b/>
                <w:noProof/>
              </w:rPr>
            </w:pPr>
            <w:r w:rsidRPr="00000DD3">
              <w:rPr>
                <w:rFonts w:ascii="Book Antiqua" w:hAnsi="Book Antiqua"/>
                <w:b/>
                <w:noProof/>
              </w:rPr>
              <w:t xml:space="preserve">Differentiation potential </w:t>
            </w:r>
          </w:p>
        </w:tc>
        <w:tc>
          <w:tcPr>
            <w:tcW w:w="2969"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47603CD5" w14:textId="010BF50D" w:rsidR="003831BF" w:rsidRPr="00000DD3" w:rsidRDefault="003831BF" w:rsidP="00482682">
            <w:pPr>
              <w:spacing w:line="360" w:lineRule="auto"/>
              <w:jc w:val="both"/>
              <w:rPr>
                <w:rFonts w:ascii="Book Antiqua" w:eastAsia="黑体" w:hAnsi="Book Antiqua"/>
                <w:b/>
                <w:noProof/>
                <w:lang w:eastAsia="zh-CN"/>
              </w:rPr>
            </w:pPr>
            <w:r w:rsidRPr="00000DD3">
              <w:rPr>
                <w:rFonts w:ascii="Book Antiqua" w:hAnsi="Book Antiqua"/>
                <w:b/>
                <w:noProof/>
              </w:rPr>
              <w:t>Ref</w:t>
            </w:r>
            <w:r w:rsidR="00482682" w:rsidRPr="00000DD3">
              <w:rPr>
                <w:rFonts w:ascii="Book Antiqua" w:eastAsia="黑体" w:hAnsi="Book Antiqua" w:hint="eastAsia"/>
                <w:b/>
                <w:noProof/>
                <w:lang w:eastAsia="zh-CN"/>
              </w:rPr>
              <w:t>.</w:t>
            </w:r>
          </w:p>
        </w:tc>
      </w:tr>
      <w:tr w:rsidR="00874B98" w:rsidRPr="00000DD3" w14:paraId="451334DE" w14:textId="77777777" w:rsidTr="005A52F4">
        <w:trPr>
          <w:trHeight w:val="320"/>
        </w:trPr>
        <w:tc>
          <w:tcPr>
            <w:tcW w:w="1418" w:type="dxa"/>
            <w:tcBorders>
              <w:top w:val="single" w:sz="4" w:space="0" w:color="auto"/>
            </w:tcBorders>
            <w:shd w:val="clear" w:color="auto" w:fill="auto"/>
            <w:noWrap/>
            <w:tcMar>
              <w:top w:w="15" w:type="dxa"/>
              <w:left w:w="15" w:type="dxa"/>
              <w:bottom w:w="0" w:type="dxa"/>
              <w:right w:w="15" w:type="dxa"/>
            </w:tcMar>
            <w:hideMark/>
          </w:tcPr>
          <w:p w14:paraId="78E254FD"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tcBorders>
              <w:top w:val="single" w:sz="4" w:space="0" w:color="auto"/>
            </w:tcBorders>
            <w:shd w:val="clear" w:color="auto" w:fill="auto"/>
            <w:noWrap/>
            <w:tcMar>
              <w:top w:w="15" w:type="dxa"/>
              <w:left w:w="15" w:type="dxa"/>
              <w:bottom w:w="0" w:type="dxa"/>
              <w:right w:w="15" w:type="dxa"/>
            </w:tcMar>
            <w:hideMark/>
          </w:tcPr>
          <w:p w14:paraId="1DE36B0B" w14:textId="6B87CAB3" w:rsidR="003831BF" w:rsidRPr="00000DD3" w:rsidRDefault="003831BF" w:rsidP="00874B98">
            <w:pPr>
              <w:spacing w:line="360" w:lineRule="auto"/>
              <w:jc w:val="both"/>
              <w:rPr>
                <w:rFonts w:ascii="Book Antiqua" w:hAnsi="Book Antiqua"/>
                <w:noProof/>
              </w:rPr>
            </w:pPr>
            <w:r w:rsidRPr="00000DD3">
              <w:rPr>
                <w:rFonts w:ascii="Book Antiqua" w:hAnsi="Book Antiqua"/>
                <w:noProof/>
              </w:rPr>
              <w:t xml:space="preserve">Adipogenesis, </w:t>
            </w:r>
            <w:r w:rsidR="00482682" w:rsidRPr="00000DD3">
              <w:rPr>
                <w:rFonts w:ascii="Book Antiqua" w:hAnsi="Book Antiqua"/>
                <w:noProof/>
              </w:rPr>
              <w:t>osteogenesis, chondrogenesis</w:t>
            </w:r>
          </w:p>
        </w:tc>
        <w:tc>
          <w:tcPr>
            <w:tcW w:w="2969" w:type="dxa"/>
            <w:tcBorders>
              <w:top w:val="single" w:sz="4" w:space="0" w:color="auto"/>
            </w:tcBorders>
            <w:shd w:val="clear" w:color="auto" w:fill="auto"/>
            <w:noWrap/>
            <w:tcMar>
              <w:top w:w="15" w:type="dxa"/>
              <w:left w:w="15" w:type="dxa"/>
              <w:bottom w:w="0" w:type="dxa"/>
              <w:right w:w="15" w:type="dxa"/>
            </w:tcMar>
            <w:hideMark/>
          </w:tcPr>
          <w:p w14:paraId="388E45A9" w14:textId="5D5ED5DB" w:rsidR="003831BF" w:rsidRPr="00000DD3" w:rsidRDefault="003831BF" w:rsidP="00482682">
            <w:pPr>
              <w:spacing w:line="360" w:lineRule="auto"/>
              <w:jc w:val="both"/>
              <w:rPr>
                <w:rFonts w:ascii="Book Antiqua" w:hAnsi="Book Antiqua"/>
                <w:noProof/>
              </w:rPr>
            </w:pPr>
            <w:r w:rsidRPr="00000DD3">
              <w:rPr>
                <w:rFonts w:ascii="Book Antiqua" w:hAnsi="Book Antiqua"/>
                <w:noProof/>
              </w:rPr>
              <w:t xml:space="preserve">Csaki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{"citationItems":[{"id":"ITEM-1","itemData":{"DOI":"10.1007/s00418-007-0337-z","ISBN":"0948-6143 (Print)\\r0948-6143 (Linking)","ISSN":"09486143","PMID":"17922135","abstract":"Musculoskeletal diseases with osteochondrotic articular cartilage defects, such as osteoarthritis, are an increasing problem for humans and companion animals which necessitates the development of novel and improved therapeutic strategies. Canine mesenchymal stem cells (cMSCs) offer significant promise as a multipotent source for cell-based therapies and could form the basis for the differentiation and cultivation of tissue grafts to replace damaged tissue. However, no comprehensive analysis has been undertaken to characterize the ultrastructure of in vitro differentiated cMSCs. The main goal of this paper was to focus on cMSCs and to analyse their differentiation capacity. To achieve this aim, bone marrow cMSCs from three canine patients were isolated, expanded in monolayer culture and characterized with respect to their ability for osteogenic, adipogenic and chondrogenic differentiation capacities. cMSCs showed proliferative potential and were capable of osteogenic, adipogenic and chondrogenic differentiation. cMSCs treated with the osteogenic induction medium differentiated into osteoblasts, produced typical bone matrix components, beta1-integrins and upregulated the osteogenic specific transcription factor Cbfa-1. cMSCs treated with the adipogenic induction medium showed typical adipocyte morphology, produced adiponectin, collagen type I and beta1-integrins, and upregulated the adipogenic specific transcription factor PPAR-gamma. cMSCs treated with the chondrogenic induction medium exhibited a round to oval shape, produced a cartilage-specific extracellular matrix, beta1-integrins and upregulated the chondrogenic specific transcription factor Sox9. These results demonstrate, at the biochemical, morphological and ultrastructural levels, the multipotency of cMSCs and thus highlight their potential therapeutic value for cell-based tissue engineering.","author":[{"dropping-particle":"","family":"Csaki","given":"C.","non-dropping-particle":"","parse-names":false,"suffix":""},{"dropping-particle":"","family":"Matis","given":"U.","non-dropping-particle":"","parse-names":false,"suffix":""},{"dropping-particle":"","family":"Mobasheri","given":"A.","non-dropping-particle":"","parse-names":false,"suffix":""},{"dropping-particle":"","family":"Ye","given":"H.","non-dropping-particle":"","parse-names":false,"suffix":""},{"dropping-particle":"","family":"Shakibaei","given":"M.","non-dropping-particle":"","parse-names":false,"suffix":""}],"container-title":"Histochemistry and Cell Biology","id":"ITEM-1","issue":"6","issued":{"date-parts":[["2007"]]},"page":"507-520","title":"Chondrogenesis, osteogenesis and adipogenesis of canine mesenchymal stem cells: A biochemical, morphological and ultrastructural study","type":"article-journal","volume":"128"},"uris":["http://www.mendeley.com/documents/?uuid=253957ac-50e8-41fe-ba4c-5d44812ae75e"]}],"mendeley":{"formattedCitation":"&lt;sup&gt;[46]&lt;/sup&gt;","plainTextFormattedCitation":"[46]","previouslyFormattedCitation":"&lt;sup&gt;[46]&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[46]</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2007</w:t>
            </w:r>
          </w:p>
        </w:tc>
      </w:tr>
      <w:tr w:rsidR="00874B98" w:rsidRPr="00000DD3" w14:paraId="0C0B1890" w14:textId="77777777" w:rsidTr="005A52F4">
        <w:trPr>
          <w:trHeight w:val="320"/>
        </w:trPr>
        <w:tc>
          <w:tcPr>
            <w:tcW w:w="1418" w:type="dxa"/>
            <w:shd w:val="clear" w:color="auto" w:fill="auto"/>
            <w:noWrap/>
            <w:tcMar>
              <w:top w:w="15" w:type="dxa"/>
              <w:left w:w="15" w:type="dxa"/>
              <w:bottom w:w="0" w:type="dxa"/>
              <w:right w:w="15" w:type="dxa"/>
            </w:tcMar>
            <w:hideMark/>
          </w:tcPr>
          <w:p w14:paraId="0CE005A3"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shd w:val="clear" w:color="auto" w:fill="auto"/>
            <w:noWrap/>
            <w:tcMar>
              <w:top w:w="15" w:type="dxa"/>
              <w:left w:w="15" w:type="dxa"/>
              <w:bottom w:w="0" w:type="dxa"/>
              <w:right w:w="15" w:type="dxa"/>
            </w:tcMar>
            <w:hideMark/>
          </w:tcPr>
          <w:p w14:paraId="094501A7" w14:textId="28AC70B7" w:rsidR="003831BF" w:rsidRPr="00000DD3" w:rsidRDefault="003831BF" w:rsidP="00874B98">
            <w:pPr>
              <w:spacing w:line="360" w:lineRule="auto"/>
              <w:jc w:val="both"/>
              <w:rPr>
                <w:rFonts w:ascii="Book Antiqua" w:hAnsi="Book Antiqua"/>
                <w:noProof/>
              </w:rPr>
            </w:pPr>
            <w:r w:rsidRPr="00000DD3">
              <w:rPr>
                <w:rFonts w:ascii="Book Antiqua" w:hAnsi="Book Antiqua"/>
                <w:noProof/>
              </w:rPr>
              <w:t>Adipogenesis,</w:t>
            </w:r>
            <w:r w:rsidR="00482682" w:rsidRPr="00000DD3">
              <w:rPr>
                <w:rFonts w:ascii="Book Antiqua" w:hAnsi="Book Antiqua"/>
                <w:noProof/>
              </w:rPr>
              <w:t xml:space="preserve"> osteogenesis, neurogenesis</w:t>
            </w:r>
          </w:p>
        </w:tc>
        <w:tc>
          <w:tcPr>
            <w:tcW w:w="2969" w:type="dxa"/>
            <w:shd w:val="clear" w:color="auto" w:fill="auto"/>
            <w:noWrap/>
            <w:tcMar>
              <w:top w:w="15" w:type="dxa"/>
              <w:left w:w="15" w:type="dxa"/>
              <w:bottom w:w="0" w:type="dxa"/>
              <w:right w:w="15" w:type="dxa"/>
            </w:tcMar>
            <w:hideMark/>
          </w:tcPr>
          <w:p w14:paraId="375D296D" w14:textId="1F3637DD" w:rsidR="003831BF" w:rsidRPr="00000DD3" w:rsidRDefault="003831BF" w:rsidP="00482682">
            <w:pPr>
              <w:spacing w:line="360" w:lineRule="auto"/>
              <w:jc w:val="both"/>
              <w:rPr>
                <w:rFonts w:ascii="Book Antiqua" w:hAnsi="Book Antiqua"/>
                <w:noProof/>
              </w:rPr>
            </w:pPr>
            <w:r w:rsidRPr="00000DD3">
              <w:rPr>
                <w:rFonts w:ascii="Book Antiqua" w:hAnsi="Book Antiqua"/>
                <w:noProof/>
              </w:rPr>
              <w:t xml:space="preserve">Kang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{"citationItems":[{"id":"ITEM-1","itemData":{"DOI":"10.1089/scd.2007.0153","ISBN":"1557-8534 (Electronic)\\r1547-3287 (Linking)","ISSN":"1547-3287","PMID":"18717642","abstract":"Adipose tissue-derived mesenchymal stem cells (AD-MSCs), which can differentiate into several lineages, have immunomodulatory properties similar to those of bone marrow-derived MSCs. However, the specific mechanism by which the immunomodulatory effect of MSCs occurs is not clear. In this study, we isolated canine AD-MSCs (cAD-MSCs) and induced their development into adipocyte, osteocyte, and neuron-like cells. We then investigated their phenotype and cytokine expression to determine whether they were able to exert an immunomodulatory effect and what the underlying mechanisms of this effect were. cAD-MSCs expressed CD44, CD90, and MHC class I and were also partially positive for the expression of CD34; however, they did not express CD14 and CD45. In addition, they expressed the mRNA of transforming growth factor beta (TGF-beta), IL-6, IL-8, CCL2, CCL5, vascular endothelial growth factor, hepatocyte growth factor (HGF), tissue inhibitor metalloproteinase-1/2, and cyclooxygenase-2 but not that of IL-10. Further, leukocyte proliferation induced by mitogens was suppressed when they were cocultured with irradiated cAD-MSCs, as well as with culture supernatants of cAD-MSCs alone. Moreover, TNF-alpha production significantly decreased, whereas TGF-beta, IL-6, and interferon-gamma production significantly increased in cAD-MSCs that were cocultured with leukocytes. Finally, immonomodulatory factors of MSCs, such as TGF-beta, HGF, prostaglandin E2 (PGE2), and indoleamine 2, 3 dioxygenase (IDO), increased significantly in cAD-MSCs that were cocultured with leukocytes; however, the production of PGE2 and IDO showed different kinetics, and leukocyte proliferation was effectively restored by PGE2 and IDO inhibitors. Taken together, these results indicate that the immunomodulatory effects of cAD-MSCs are associated with soluble factors (TGF-beta, HGF, PGE2, and IDO). Therefore, it is suggested that cAD-MSCs have a potential therapeutic use in the treatment of immune-mediated disease.","author":[{"dropping-particle":"","family":"Kang","given":"Jung Won","non-dropping-particle":"","parse-names":false,"suffix":""},{"dropping-particle":"","family":"Kang","given":"Kyung Sun","non-dropping-particle":"","parse-names":false,"suffix":""},{"dropping-particle":"","family":"Koo","given":"Hye Cheong","non-dropping-particle":"","parse-names":false,"suffix":""},{"dropping-particle":"","family":"Park","given":"Jeong Ran","non-dropping-particle":"","parse-names":false,"suffix":""},{"dropping-particle":"","family":"Choi","given":"Eun Wha","non-dropping-particle":"","parse-names":false,"suffix":""},{"dropping-particle":"","family":"Park","given":"Yong Ho","non-dropping-particle":"","parse-names":false,"suffix":""}],"container-title":"Stem Cells and Development","id":"ITEM-1","issue":"4","issued":{"date-parts":[["2008"]]},"page":"681-694","title":"Soluble factors–mediated immunomodulatory effects of canine adipose tissue–derived mesenchymal stem cells","type":"article-journal","volume":"17"},"uris":["http://www.mendeley.com/documents/?uuid=54c5cfe5-6a36-3939-ba24-5b6f51d8fb48"]}],"mendeley":{"formattedCitation":"&lt;sup&gt;[62]&lt;/sup&gt;","plainTextFormattedCitation":"[62]","previouslyFormattedCitation":"&lt;sup&gt;[62]&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[62]</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2008</w:t>
            </w:r>
          </w:p>
        </w:tc>
      </w:tr>
      <w:tr w:rsidR="00874B98" w:rsidRPr="00000DD3" w14:paraId="1D27536F" w14:textId="77777777" w:rsidTr="005A52F4">
        <w:trPr>
          <w:trHeight w:val="320"/>
        </w:trPr>
        <w:tc>
          <w:tcPr>
            <w:tcW w:w="1418" w:type="dxa"/>
            <w:shd w:val="clear" w:color="auto" w:fill="auto"/>
            <w:noWrap/>
            <w:tcMar>
              <w:top w:w="15" w:type="dxa"/>
              <w:left w:w="15" w:type="dxa"/>
              <w:bottom w:w="0" w:type="dxa"/>
              <w:right w:w="15" w:type="dxa"/>
            </w:tcMar>
            <w:hideMark/>
          </w:tcPr>
          <w:p w14:paraId="20B9F740"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shd w:val="clear" w:color="auto" w:fill="auto"/>
            <w:noWrap/>
            <w:tcMar>
              <w:top w:w="15" w:type="dxa"/>
              <w:left w:w="15" w:type="dxa"/>
              <w:bottom w:w="0" w:type="dxa"/>
              <w:right w:w="15" w:type="dxa"/>
            </w:tcMar>
            <w:hideMark/>
          </w:tcPr>
          <w:p w14:paraId="194F08CD" w14:textId="52BC5C90" w:rsidR="003831BF" w:rsidRPr="00000DD3" w:rsidRDefault="003831BF" w:rsidP="00874B98">
            <w:pPr>
              <w:spacing w:line="360" w:lineRule="auto"/>
              <w:jc w:val="both"/>
              <w:rPr>
                <w:rFonts w:ascii="Book Antiqua" w:hAnsi="Book Antiqua"/>
                <w:noProof/>
              </w:rPr>
            </w:pPr>
            <w:r w:rsidRPr="00000DD3">
              <w:rPr>
                <w:rFonts w:ascii="Book Antiqua" w:hAnsi="Book Antiqua"/>
                <w:noProof/>
              </w:rPr>
              <w:t xml:space="preserve">Adipogenesis, </w:t>
            </w:r>
            <w:r w:rsidR="00482682" w:rsidRPr="00000DD3">
              <w:rPr>
                <w:rFonts w:ascii="Book Antiqua" w:hAnsi="Book Antiqua"/>
                <w:noProof/>
              </w:rPr>
              <w:t>osteogenesis, chondrogenesis</w:t>
            </w:r>
          </w:p>
        </w:tc>
        <w:tc>
          <w:tcPr>
            <w:tcW w:w="2969" w:type="dxa"/>
            <w:shd w:val="clear" w:color="auto" w:fill="auto"/>
            <w:noWrap/>
            <w:tcMar>
              <w:top w:w="15" w:type="dxa"/>
              <w:left w:w="15" w:type="dxa"/>
              <w:bottom w:w="0" w:type="dxa"/>
              <w:right w:w="15" w:type="dxa"/>
            </w:tcMar>
            <w:hideMark/>
          </w:tcPr>
          <w:p w14:paraId="08115CF2" w14:textId="567A60A2" w:rsidR="003831BF" w:rsidRPr="00000DD3" w:rsidRDefault="003831BF" w:rsidP="00482682">
            <w:pPr>
              <w:spacing w:line="360" w:lineRule="auto"/>
              <w:jc w:val="both"/>
              <w:rPr>
                <w:rFonts w:ascii="Book Antiqua" w:hAnsi="Book Antiqua"/>
                <w:noProof/>
              </w:rPr>
            </w:pPr>
            <w:r w:rsidRPr="00000DD3">
              <w:rPr>
                <w:rFonts w:ascii="Book Antiqua" w:hAnsi="Book Antiqua"/>
                <w:noProof/>
              </w:rPr>
              <w:t xml:space="preserve">Neupane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{"citationItems":[{"id":"ITEM-1","itemData":{"DOI":"10.1089/ten.tea.2007.0207","ISBN":"1937-3341 (Print)","ISSN":"1937-3341","PMID":"19230125","abstract":"This study is the first documentation of the isolation and extensive characterization of mesenchymal stem cells from canine adipose tissue. Methods previously used by our group to isolate and differentiate human adipose-derived mesenchymal stem cells (hAD-MSCs) have been modified and optimized for derivation of similar cells from canine adipose tissues. The canine adipose tissue-derived mesenchymal stem cells (cAD-MSCs) showed lower proliferation ability and were refractory to osteogenic and adipogenic differentiation under conditions employed to differentiate hAD-MSCs. The differentiation of cAD-MSCs into osteoblasts and adipocytes was effectively achieved under modified conditions, by using laminin-coated plates and peroxisome proliferative activated receptor, gamma (PPARgamma) ligands, respectively. The formation of micromass was sufficient to induce chondrogenesis, unlike hAD-MSCs, which require transforming growth factor beta (TGF-beta). These cells displayed anchorage-independent growth in soft agar, and their colony-forming efficiency in plastic was comparable with human counterparts. The cAD-MSCs expressed genes associated with pluripotency, while their differentiated progeny expressed appropriate lineage-specific genes. The optimization of growth and differentiation of cAD-MSCs should facilitate future stem cell-based reparative and regenerative studies in dogs. The dog is a promising biomedical model that is suitable for evaluation of novel therapies such as those employing stem cells in experimental and in spontaneous disease settings.","author":[{"dropping-particle":"","family":"Neupane","given":"Manish","non-dropping-particle":"","parse-names":false,"suffix":""},{"dropping-particle":"","family":"Chang","given":"Chia Cheng","non-dropping-particle":"","parse-names":false,"suffix":""},{"dropping-particle":"","family":"Kiupel","given":"Matti","non-dropping-particle":"","parse-names":false,"suffix":""},{"dropping-particle":"","family":"Yuzbasiyan-Gurkan","given":"Vilma","non-dropping-particle":"","parse-names":false,"suffix":""}],"container-title":"Tissue Engineering Part A","id":"ITEM-1","issue":"6","issued":{"date-parts":[["2008"]]},"page":"1007-1015","title":"Isolation and characterization of canine adipose–derived mesenchymal stem cells","type":"article-journal","volume":"14"},"uris":["http://www.mendeley.com/documents/?uuid=b7420c69-d164-48bd-8d2a-53f203867c3e"]}],"mendeley":{"formattedCitation":"&lt;sup&gt;[68]&lt;/sup&gt;","plainTextFormattedCitation":"[68]","previouslyFormattedCitation":"&lt;sup&gt;[68]&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[68]</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2008</w:t>
            </w:r>
          </w:p>
        </w:tc>
      </w:tr>
      <w:tr w:rsidR="00874B98" w:rsidRPr="00000DD3" w14:paraId="41267DBE" w14:textId="77777777" w:rsidTr="005A52F4">
        <w:trPr>
          <w:trHeight w:val="320"/>
        </w:trPr>
        <w:tc>
          <w:tcPr>
            <w:tcW w:w="1418" w:type="dxa"/>
            <w:shd w:val="clear" w:color="auto" w:fill="auto"/>
            <w:noWrap/>
            <w:tcMar>
              <w:top w:w="15" w:type="dxa"/>
              <w:left w:w="15" w:type="dxa"/>
              <w:bottom w:w="0" w:type="dxa"/>
              <w:right w:w="15" w:type="dxa"/>
            </w:tcMar>
            <w:hideMark/>
          </w:tcPr>
          <w:p w14:paraId="08B8808D"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shd w:val="clear" w:color="auto" w:fill="auto"/>
            <w:noWrap/>
            <w:tcMar>
              <w:top w:w="15" w:type="dxa"/>
              <w:left w:w="15" w:type="dxa"/>
              <w:bottom w:w="0" w:type="dxa"/>
              <w:right w:w="15" w:type="dxa"/>
            </w:tcMar>
            <w:hideMark/>
          </w:tcPr>
          <w:p w14:paraId="29284FAE" w14:textId="392D9D55" w:rsidR="003831BF" w:rsidRPr="00000DD3" w:rsidRDefault="003831BF" w:rsidP="00874B98">
            <w:pPr>
              <w:spacing w:line="360" w:lineRule="auto"/>
              <w:jc w:val="both"/>
              <w:rPr>
                <w:rFonts w:ascii="Book Antiqua" w:hAnsi="Book Antiqua"/>
                <w:noProof/>
              </w:rPr>
            </w:pPr>
            <w:r w:rsidRPr="00000DD3">
              <w:rPr>
                <w:rFonts w:ascii="Book Antiqua" w:hAnsi="Book Antiqua"/>
                <w:noProof/>
              </w:rPr>
              <w:t xml:space="preserve">Adipogenesis, </w:t>
            </w:r>
            <w:r w:rsidR="00482682" w:rsidRPr="00000DD3">
              <w:rPr>
                <w:rFonts w:ascii="Book Antiqua" w:hAnsi="Book Antiqua"/>
                <w:noProof/>
              </w:rPr>
              <w:t>osteogenesis, chondrogenesis, myogenesis</w:t>
            </w:r>
          </w:p>
        </w:tc>
        <w:tc>
          <w:tcPr>
            <w:tcW w:w="2969" w:type="dxa"/>
            <w:shd w:val="clear" w:color="auto" w:fill="auto"/>
            <w:noWrap/>
            <w:tcMar>
              <w:top w:w="15" w:type="dxa"/>
              <w:left w:w="15" w:type="dxa"/>
              <w:bottom w:w="0" w:type="dxa"/>
              <w:right w:w="15" w:type="dxa"/>
            </w:tcMar>
            <w:hideMark/>
          </w:tcPr>
          <w:p w14:paraId="0A85915E" w14:textId="58537488" w:rsidR="003831BF" w:rsidRPr="00000DD3" w:rsidRDefault="003831BF" w:rsidP="00482682">
            <w:pPr>
              <w:spacing w:line="360" w:lineRule="auto"/>
              <w:jc w:val="both"/>
              <w:rPr>
                <w:rFonts w:ascii="Book Antiqua" w:hAnsi="Book Antiqua"/>
                <w:noProof/>
              </w:rPr>
            </w:pPr>
            <w:r w:rsidRPr="00000DD3">
              <w:rPr>
                <w:rFonts w:ascii="Book Antiqua" w:hAnsi="Book Antiqua"/>
                <w:noProof/>
              </w:rPr>
              <w:t xml:space="preserve">Vieira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{"citationItems":[{"id":"ITEM-1","itemData":{"DOI":"10.3727/096368909X481764","ISBN":"1555-3892 (Electronic)\\r0963-6897 (Linking)","ISSN":"09636897","PMID":"19995482","abstract":"Adipose tissue may represent a potential source of adult stem cells for tissue engineering applications in veterinary medicine. It can be obtained in large quantities, under local anesthesia, and with minimal discomfort. In this study, canine adipose tissue was obtained by biopsy from subcutaneous adipose tissue or by suction-assisted lipectomy (i.e., liposuction). Adipose tissue was processed to obtain a fibroblast-like population of cells similar to human adipose-derived stem cells (hASCs). These canine adipose-derived stem cells (cASCs) can be maintained in vitro for extended periods with stable population doubling and low levels of senescence. Immunofluorescence and flow cytometry show that the majority of cASCs are of mesodermal or mesenchymal origin. cASCs are able to differentiate in vitro into adipogenic, chondrogenic, myogenic, and osteogenic cells in the presence of lineage-specific induction factors. In conclusion, like human lipoaspirate, canine adipose tissue may also contain multipotent cells and represent an important stem cell source both for veterinary cell therapy as well as preclinical studies.","author":[{"dropping-particle":"","family":"Vieira","given":"N. M.","non-dropping-particle":"","parse-names":false,"suffix":""},{"dropping-particle":"","family":"Brandalise","given":"V.","non-dropping-particle":"","parse-names":false,"suffix":""},{"dropping-particle":"","family":"Zucconi","given":"E.","non-dropping-particle":"","parse-names":false,"suffix":""},{"dropping-particle":"","family":"Secco","given":"M.","non-dropping-particle":"","parse-names":false,"suffix":""},{"dropping-particle":"","family":"Strauss","given":"B. E.","non-dropping-particle":"","parse-names":false,"suffix":""},{"dropping-particle":"","family":"Zatz","given":"Mayana","non-dropping-particle":"","parse-names":false,"suffix":""}],"container-title":"Cell Transplantation","id":"ITEM-1","issue":"3","issued":{"date-parts":[["2010","3","1"]]},"page":"279-289","publisher":"SAGE PublicationsSage CA: Los Angeles, CA","title":"Isolation, characterization, and differentiation potential of canine adipose-derived stem cells","type":"article-journal","volume":"19"},"uris":["http://www.mendeley.com/documents/?uuid=22c258a0-6a2a-3069-ac65-aeceb84babc6"]}],"mendeley":{"formattedCitation":"&lt;sup&gt;[48]&lt;/sup&gt;","plainTextFormattedCitation":"[48]","previouslyFormattedCitation":"&lt;sup&gt;[48]&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[48]</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2010</w:t>
            </w:r>
          </w:p>
        </w:tc>
      </w:tr>
      <w:tr w:rsidR="00874B98" w:rsidRPr="00000DD3" w14:paraId="64257373" w14:textId="77777777" w:rsidTr="005A52F4">
        <w:trPr>
          <w:trHeight w:val="320"/>
        </w:trPr>
        <w:tc>
          <w:tcPr>
            <w:tcW w:w="1418" w:type="dxa"/>
            <w:shd w:val="clear" w:color="auto" w:fill="auto"/>
            <w:noWrap/>
            <w:tcMar>
              <w:top w:w="15" w:type="dxa"/>
              <w:left w:w="15" w:type="dxa"/>
              <w:bottom w:w="0" w:type="dxa"/>
              <w:right w:w="15" w:type="dxa"/>
            </w:tcMar>
            <w:hideMark/>
          </w:tcPr>
          <w:p w14:paraId="7CB2BD82"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shd w:val="clear" w:color="auto" w:fill="auto"/>
            <w:noWrap/>
            <w:tcMar>
              <w:top w:w="15" w:type="dxa"/>
              <w:left w:w="15" w:type="dxa"/>
              <w:bottom w:w="0" w:type="dxa"/>
              <w:right w:w="15" w:type="dxa"/>
            </w:tcMar>
            <w:hideMark/>
          </w:tcPr>
          <w:p w14:paraId="701D1C1C" w14:textId="17C586C5" w:rsidR="003831BF" w:rsidRPr="00000DD3" w:rsidRDefault="003831BF" w:rsidP="00874B98">
            <w:pPr>
              <w:spacing w:line="360" w:lineRule="auto"/>
              <w:jc w:val="both"/>
              <w:rPr>
                <w:rFonts w:ascii="Book Antiqua" w:hAnsi="Book Antiqua"/>
                <w:noProof/>
              </w:rPr>
            </w:pPr>
            <w:r w:rsidRPr="00000DD3">
              <w:rPr>
                <w:rFonts w:ascii="Book Antiqua" w:hAnsi="Book Antiqua"/>
                <w:noProof/>
              </w:rPr>
              <w:t>Adipogenesis,</w:t>
            </w:r>
            <w:r w:rsidR="00482682" w:rsidRPr="00000DD3">
              <w:rPr>
                <w:rFonts w:ascii="Book Antiqua" w:hAnsi="Book Antiqua"/>
                <w:noProof/>
              </w:rPr>
              <w:t xml:space="preserve"> osteogenesis, myogenesis</w:t>
            </w:r>
          </w:p>
        </w:tc>
        <w:tc>
          <w:tcPr>
            <w:tcW w:w="2969" w:type="dxa"/>
            <w:shd w:val="clear" w:color="auto" w:fill="auto"/>
            <w:noWrap/>
            <w:tcMar>
              <w:top w:w="15" w:type="dxa"/>
              <w:left w:w="15" w:type="dxa"/>
              <w:bottom w:w="0" w:type="dxa"/>
              <w:right w:w="15" w:type="dxa"/>
            </w:tcMar>
            <w:hideMark/>
          </w:tcPr>
          <w:p w14:paraId="27CC4FFD" w14:textId="71E9B87D" w:rsidR="003831BF" w:rsidRPr="00000DD3" w:rsidRDefault="003831BF" w:rsidP="00482682">
            <w:pPr>
              <w:spacing w:line="360" w:lineRule="auto"/>
              <w:jc w:val="both"/>
              <w:rPr>
                <w:rFonts w:ascii="Book Antiqua" w:hAnsi="Book Antiqua"/>
                <w:noProof/>
              </w:rPr>
            </w:pPr>
            <w:r w:rsidRPr="00000DD3">
              <w:rPr>
                <w:rFonts w:ascii="Book Antiqua" w:hAnsi="Book Antiqua"/>
                <w:noProof/>
              </w:rPr>
              <w:t xml:space="preserve">Martinello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{"citationItems":[{"id":"ITEM-1","itemData":{"DOI":"10.1016/j.rvsc.2010.07.024","ISBN":"0498272796","ISSN":"00345288","PMID":"20732703","abstract":"Adult stem cells are nowadays used for treating several pathologies. A putative stem cell population was found in the adipose tissue of mammals and canine adipose tissue-derived-mesenchymal stem cells (cA-MSC) have been shown to possess the capacity to differentiate into several lineages. The main goal of our research was to fully characterize cA-MSC and examine the effects of cryopreservation on their stemness features. Each sample of cA-MSC was analyzed immediately and then again after being frozen in liquid nitrogen for one year. After the cryopreservation period cells conserved their fibroblast-like morphology, alkaline phosphatase positivity and CD expression but showed a lower proliferation ratio and a lower telomerase activity in comparison with fresh cells. Finally, the cryopreservation protocol did not change the cA-MSC adipogenic, osteogenic and myogenic differentiative potential. Our data demonstrate that stored cA-MSC might represent a promising type of progenitor cell for autologous cellular-based therapies in veterinary medicine. © 2010 Elsevier Ltd.","author":[{"dropping-particle":"","family":"Martinello","given":"T.","non-dropping-particle":"","parse-names":false,"suffix":""},{"dropping-particle":"","family":"Bronzini","given":"I.","non-dropping-particle":"","parse-names":false,"suffix":""},{"dropping-particle":"","family":"Maccatrozzo","given":"L.","non-dropping-particle":"","parse-names":false,"suffix":""},{"dropping-particle":"","family":"Mollo","given":"A.","non-dropping-particle":"","parse-names":false,"suffix":""},{"dropping-particle":"","family":"Sampaolesi","given":"M.","non-dropping-particle":"","parse-names":false,"suffix":""},{"dropping-particle":"","family":"Mascarello","given":"F.","non-dropping-particle":"","parse-names":false,"suffix":""},{"dropping-particle":"","family":"Decaminada","given":"M.","non-dropping-particle":"","parse-names":false,"suffix":""},{"dropping-particle":"","family":"Patruno","given":"M.","non-dropping-particle":"","parse-names":false,"suffix":""}],"container-title":"Research in Veterinary Science","id":"ITEM-1","issue":"1","issued":{"date-parts":[["2011"]]},"page":"18-24","title":"Canine adipose-derived-mesenchymal stem cells do not lose stem features after a long-term cryopreservation","type":"article-journal","volume":"91"},"uris":["http://www.mendeley.com/documents/?uuid=d8086d5b-7bc1-3f00-997f-fa733b6f8f1e"]}],"mendeley":{"formattedCitation":"&lt;sup&gt;[65]&lt;/sup&gt;","plainTextFormattedCitation":"[65]","previouslyFormattedCitation":"&lt;sup&gt;[65]&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[65]</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2011</w:t>
            </w:r>
          </w:p>
        </w:tc>
      </w:tr>
      <w:tr w:rsidR="00874B98" w:rsidRPr="00000DD3" w14:paraId="0A0C7D37" w14:textId="77777777" w:rsidTr="005A52F4">
        <w:trPr>
          <w:trHeight w:val="320"/>
        </w:trPr>
        <w:tc>
          <w:tcPr>
            <w:tcW w:w="1418" w:type="dxa"/>
            <w:shd w:val="clear" w:color="auto" w:fill="auto"/>
            <w:noWrap/>
            <w:tcMar>
              <w:top w:w="15" w:type="dxa"/>
              <w:left w:w="15" w:type="dxa"/>
              <w:bottom w:w="0" w:type="dxa"/>
              <w:right w:w="15" w:type="dxa"/>
            </w:tcMar>
            <w:hideMark/>
          </w:tcPr>
          <w:p w14:paraId="0BCAFB1E"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vMerge w:val="restart"/>
            <w:shd w:val="clear" w:color="auto" w:fill="auto"/>
            <w:noWrap/>
            <w:tcMar>
              <w:top w:w="15" w:type="dxa"/>
              <w:left w:w="15" w:type="dxa"/>
              <w:bottom w:w="0" w:type="dxa"/>
              <w:right w:w="15" w:type="dxa"/>
            </w:tcMar>
            <w:hideMark/>
          </w:tcPr>
          <w:p w14:paraId="05105670"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Chondrogenesis</w:t>
            </w:r>
          </w:p>
        </w:tc>
        <w:tc>
          <w:tcPr>
            <w:tcW w:w="2969" w:type="dxa"/>
            <w:vMerge w:val="restart"/>
            <w:shd w:val="clear" w:color="auto" w:fill="auto"/>
            <w:noWrap/>
            <w:tcMar>
              <w:top w:w="15" w:type="dxa"/>
              <w:left w:w="15" w:type="dxa"/>
              <w:bottom w:w="0" w:type="dxa"/>
              <w:right w:w="15" w:type="dxa"/>
            </w:tcMar>
            <w:hideMark/>
          </w:tcPr>
          <w:p w14:paraId="5ED0C46D" w14:textId="0A1964AA" w:rsidR="003831BF" w:rsidRPr="00000DD3" w:rsidRDefault="003831BF" w:rsidP="00482682">
            <w:pPr>
              <w:spacing w:line="360" w:lineRule="auto"/>
              <w:jc w:val="both"/>
              <w:rPr>
                <w:rFonts w:ascii="Book Antiqua" w:hAnsi="Book Antiqua"/>
                <w:noProof/>
              </w:rPr>
            </w:pPr>
            <w:r w:rsidRPr="00000DD3">
              <w:rPr>
                <w:rFonts w:ascii="Book Antiqua" w:hAnsi="Book Antiqua"/>
                <w:noProof/>
              </w:rPr>
              <w:t xml:space="preserve">Reich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{"citationItems":[{"id":"ITEM-1","itemData":{"DOI":"10.1007/s11259-012-9523-0","ISBN":"1573-7446 (Electronic)\\r0165-7380 (Linking)","ISSN":"01657380","PMID":"22392598","abstract":"In the dog, mesenchymal stem cells (MSCs) have been shown to reside in the bone marrow (bone marrow-derived mesenchymal stem cells: BM-MSCs) as well as in the adipose tissue (adipose tissue-derived stem cells: ADSCs). Potential application fields for these multipotent MSCs in small animal practice are joint diseases as MSCs of both sources have shown to possess chondrogenic differentiation ability. However, it is not clear whether the chondrogenic differentiation potential of cells of these two distinct tissues is truly equal. Therefore, we compared MSCs of both origins in this study in terms of their chondrogenic differentiation ability and suitability for clinical application. BM-MSCs harvested from the femoral neck and ADSCs from intra-abdominal fat tissue were examined for their morphology, population doubling time (PDT) and CD90 surface antigen expression. RT-PCR served to assess expression of pluripotency marker Oct4 and early differentiation marker genes. Chondrogenic differentiation ability was compared and validated using histochemistry, transmission electron microscopy (TEM) and quantitative RT-PCR. Both cell populations presented a highly similar morphology and marker expression in an undifferentiated stage except that freshly isolated ADSCs demonstrated a significantly faster PDT than BM-MSCs. In contrast, BM-MSCs revealed a morphological superior cartilage formation by the production of a more abundant and structured hyaline matrix and higher expression of lineage specific genes under the applied standard differentiation protocol. However, further investigations are necessary in order to find out if chondrogenic differentiation can be improved in canine ADSCs using different protocols and/or supplements.","author":[{"dropping-particle":"","family":"Reich","given":"Christine M","non-dropping-particle":"","parse-names":false,"suffix":""},{"dropping-particle":"","family":"Raabe","given":"Oksana","non-dropping-particle":"","parse-names":false,"suffix":""},{"dropping-particle":"","family":"Wenisch","given":"Sabine","non-dropping-particle":"","parse-names":false,"suffix":""},{"dropping-particle":"","family":"Bridger","given":"Philip S","non-dropping-particle":"","parse-names":false,"suffix":""},{"dropping-particle":"","family":"Kramer","given":"Martin","non-dropping-particle":"","parse-names":false,"suffix":""},{"dropping-particle":"","family":"Arnhold","given":"Stefan","non-dropping-particle":"","parse-names":false,"suffix":""}],"container-title":"Veterinary Research Communications","id":"ITEM-1","issue":"2","issued":{"date-parts":[["2012"]]},"page":"139-148","title":"Isolation, culture and chondrogenic differentiation of canine adipose tissue- and bone marrow-derived mesenchymal stem cells-A comparative study","type":"article-journal","volume":"36"},"uris":["http://www.mendeley.com/documents/?uuid=7bef8bba-0ea4-3972-a9b4-31813e085455"]}],"mendeley":{"formattedCitation":"&lt;sup&gt;[56]&lt;/sup&gt;","plainTextFormattedCitation":"[56]","previouslyFormattedCitation":"&lt;sup&gt;[56]&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[56]</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2012</w:t>
            </w:r>
          </w:p>
        </w:tc>
      </w:tr>
      <w:tr w:rsidR="00874B98" w:rsidRPr="00000DD3" w14:paraId="5E94F411" w14:textId="77777777" w:rsidTr="005A52F4">
        <w:trPr>
          <w:trHeight w:val="320"/>
        </w:trPr>
        <w:tc>
          <w:tcPr>
            <w:tcW w:w="1418" w:type="dxa"/>
            <w:shd w:val="clear" w:color="auto" w:fill="auto"/>
            <w:noWrap/>
            <w:tcMar>
              <w:top w:w="15" w:type="dxa"/>
              <w:left w:w="15" w:type="dxa"/>
              <w:bottom w:w="0" w:type="dxa"/>
              <w:right w:w="15" w:type="dxa"/>
            </w:tcMar>
            <w:hideMark/>
          </w:tcPr>
          <w:p w14:paraId="1C2C64E0"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Bone marrow</w:t>
            </w:r>
          </w:p>
        </w:tc>
        <w:tc>
          <w:tcPr>
            <w:tcW w:w="4111" w:type="dxa"/>
            <w:vMerge/>
            <w:hideMark/>
          </w:tcPr>
          <w:p w14:paraId="6E269A32" w14:textId="77777777" w:rsidR="003831BF" w:rsidRPr="00000DD3" w:rsidRDefault="003831BF" w:rsidP="00874B98">
            <w:pPr>
              <w:spacing w:line="360" w:lineRule="auto"/>
              <w:jc w:val="both"/>
              <w:rPr>
                <w:rFonts w:ascii="Book Antiqua" w:hAnsi="Book Antiqua"/>
                <w:noProof/>
              </w:rPr>
            </w:pPr>
          </w:p>
        </w:tc>
        <w:tc>
          <w:tcPr>
            <w:tcW w:w="2969" w:type="dxa"/>
            <w:vMerge/>
            <w:hideMark/>
          </w:tcPr>
          <w:p w14:paraId="59F6728A" w14:textId="77777777" w:rsidR="003831BF" w:rsidRPr="00000DD3" w:rsidRDefault="003831BF" w:rsidP="00874B98">
            <w:pPr>
              <w:spacing w:line="360" w:lineRule="auto"/>
              <w:jc w:val="both"/>
              <w:rPr>
                <w:rFonts w:ascii="Book Antiqua" w:hAnsi="Book Antiqua"/>
                <w:noProof/>
              </w:rPr>
            </w:pPr>
          </w:p>
        </w:tc>
      </w:tr>
      <w:tr w:rsidR="00874B98" w:rsidRPr="00000DD3" w14:paraId="12809851" w14:textId="77777777" w:rsidTr="005A52F4">
        <w:trPr>
          <w:trHeight w:val="320"/>
        </w:trPr>
        <w:tc>
          <w:tcPr>
            <w:tcW w:w="1418" w:type="dxa"/>
            <w:shd w:val="clear" w:color="auto" w:fill="auto"/>
            <w:noWrap/>
            <w:tcMar>
              <w:top w:w="15" w:type="dxa"/>
              <w:left w:w="15" w:type="dxa"/>
              <w:bottom w:w="0" w:type="dxa"/>
              <w:right w:w="15" w:type="dxa"/>
            </w:tcMar>
            <w:hideMark/>
          </w:tcPr>
          <w:p w14:paraId="13642B83"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vMerge w:val="restart"/>
            <w:shd w:val="clear" w:color="auto" w:fill="auto"/>
            <w:noWrap/>
            <w:tcMar>
              <w:top w:w="15" w:type="dxa"/>
              <w:left w:w="15" w:type="dxa"/>
              <w:bottom w:w="0" w:type="dxa"/>
              <w:right w:w="15" w:type="dxa"/>
            </w:tcMar>
            <w:hideMark/>
          </w:tcPr>
          <w:p w14:paraId="04E5F352"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Osteogenesis</w:t>
            </w:r>
          </w:p>
        </w:tc>
        <w:tc>
          <w:tcPr>
            <w:tcW w:w="2969" w:type="dxa"/>
            <w:vMerge w:val="restart"/>
            <w:shd w:val="clear" w:color="auto" w:fill="auto"/>
            <w:noWrap/>
            <w:tcMar>
              <w:top w:w="15" w:type="dxa"/>
              <w:left w:w="15" w:type="dxa"/>
              <w:bottom w:w="0" w:type="dxa"/>
              <w:right w:w="15" w:type="dxa"/>
            </w:tcMar>
            <w:hideMark/>
          </w:tcPr>
          <w:p w14:paraId="04B44325" w14:textId="3360F5DD" w:rsidR="003831BF" w:rsidRPr="00000DD3" w:rsidRDefault="003831BF" w:rsidP="00482682">
            <w:pPr>
              <w:spacing w:line="360" w:lineRule="auto"/>
              <w:jc w:val="both"/>
              <w:rPr>
                <w:rFonts w:ascii="Book Antiqua" w:hAnsi="Book Antiqua"/>
                <w:noProof/>
              </w:rPr>
            </w:pPr>
            <w:r w:rsidRPr="00000DD3">
              <w:rPr>
                <w:rFonts w:ascii="Book Antiqua" w:hAnsi="Book Antiqua"/>
                <w:noProof/>
              </w:rPr>
              <w:t xml:space="preserve">Kang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{"citationItems":[{"id":"ITEM-1","itemData":{"DOI":"10.4142/jvs.2012.13.3.299","ISBN":"1976-555X (Electronic)\\n1229-845X (Linking)","ISSN":"1229845X","PMID":"23000587","abstract":"Alternative sources of mesenchymal stem cells (MSCs) for replacing bone marrow (BM) have been extensively investigated in the field of bone tissue engineering. The purpose of this study was to compare the osteogenic potential of canine MSCs derived from adipose tissue (AT), BM, umbilical cord blood (UCB), and Wharton's jelly (WJ) using in vitro culture techniques and in vivo orthotopic implantation assays. After canine MSCs were isolated from various tissues, the proliferation and osteogenic potential along with vascular endothelial growth factor (VEGF) production were measured and compared in vitro. For the in vivo assay, MSCs derived from each type of tissue were mixed with β-tricalcium phosphate and implanted into segmental bone defects in dogs. Among the different types of MSCs, AT-MSCs had a higher proliferation potential and BM-MSCs produced the most VEGF. AT-MSCs and UCB-MSCs showed greater in vitro osteogenic potential compared to the other cells. Radiographic and histological analyses showed that all tested MSCs had similar osteogenic capacities, and the level of new bone formation was much higher with implants containing MSCs than cell-free implants. These results indicate that AT-MSCs, UCB-MSCs, and WJ-MSCs can potentially be used in place of BM-MSCs for clinical bone engineering procedures.","author":[{"dropping-particle":"","family":"Kang","given":"Byung Jae","non-dropping-particle":"","parse-names":false,"suffix":""},{"dropping-particle":"","family":"Ryu","given":"Hak Hyun","non-dropping-particle":"","parse-names":false,"suffix":""},{"dropping-particle":"","family":"Park","given":"Sung Su","non-dropping-particle":"","parse-names":false,"suffix":""},{"dropping-particle":"","family":"Koyama","given":"Yoshihisa","non-dropping-particle":"","parse-names":false,"suffix":""},{"dropping-particle":"","family":"Kikuchi","given":"Masanori","non-dropping-particle":"","parse-names":false,"suffix":""},{"dropping-particle":"","family":"Woo","given":"Heung Myong","non-dropping-particle":"","parse-names":false,"suffix":""},{"dropping-particle":"","family":"Kim","given":"Wan Hee","non-dropping-particle":"","parse-names":false,"suffix":""},{"dropping-particle":"","family":"Kweon","given":"Oh Kyeong","non-dropping-particle":"","parse-names":false,"suffix":""}],"container-title":"Journal of Veterinary Science","id":"ITEM-1","issue":"3","issued":{"date-parts":[["2012"]]},"page":"299-310","title":"Comparing the osteogenic potential of canine mesenchymal stem cells derived from adipose tissues, bone marrow, umbilical cord blood, and Wharton's jelly for treating bone defects","type":"article-journal","volume":"13"},"uris":["http://www.mendeley.com/documents/?uuid=115143d3-f860-34a0-9ace-15ff46b6232f"]}],"mendeley":{"formattedCitation":"&lt;sup&gt;[50]&lt;/sup&gt;","plainTextFormattedCitation":"[50]","previouslyFormattedCitation":"&lt;sup&gt;[50]&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[50]</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2012</w:t>
            </w:r>
          </w:p>
        </w:tc>
      </w:tr>
      <w:tr w:rsidR="00874B98" w:rsidRPr="00000DD3" w14:paraId="069B2C5D" w14:textId="77777777" w:rsidTr="005A52F4">
        <w:trPr>
          <w:trHeight w:val="320"/>
        </w:trPr>
        <w:tc>
          <w:tcPr>
            <w:tcW w:w="1418" w:type="dxa"/>
            <w:shd w:val="clear" w:color="auto" w:fill="auto"/>
            <w:noWrap/>
            <w:tcMar>
              <w:top w:w="15" w:type="dxa"/>
              <w:left w:w="15" w:type="dxa"/>
              <w:bottom w:w="0" w:type="dxa"/>
              <w:right w:w="15" w:type="dxa"/>
            </w:tcMar>
            <w:hideMark/>
          </w:tcPr>
          <w:p w14:paraId="6A6025E7"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Bone marrow</w:t>
            </w:r>
          </w:p>
        </w:tc>
        <w:tc>
          <w:tcPr>
            <w:tcW w:w="4111" w:type="dxa"/>
            <w:vMerge/>
            <w:hideMark/>
          </w:tcPr>
          <w:p w14:paraId="059AFDE4" w14:textId="77777777" w:rsidR="003831BF" w:rsidRPr="00000DD3" w:rsidRDefault="003831BF" w:rsidP="00874B98">
            <w:pPr>
              <w:spacing w:line="360" w:lineRule="auto"/>
              <w:jc w:val="both"/>
              <w:rPr>
                <w:rFonts w:ascii="Book Antiqua" w:hAnsi="Book Antiqua"/>
                <w:noProof/>
              </w:rPr>
            </w:pPr>
          </w:p>
        </w:tc>
        <w:tc>
          <w:tcPr>
            <w:tcW w:w="2969" w:type="dxa"/>
            <w:vMerge/>
            <w:hideMark/>
          </w:tcPr>
          <w:p w14:paraId="260AC7AE" w14:textId="77777777" w:rsidR="003831BF" w:rsidRPr="00000DD3" w:rsidRDefault="003831BF" w:rsidP="00874B98">
            <w:pPr>
              <w:spacing w:line="360" w:lineRule="auto"/>
              <w:jc w:val="both"/>
              <w:rPr>
                <w:rFonts w:ascii="Book Antiqua" w:hAnsi="Book Antiqua"/>
                <w:noProof/>
              </w:rPr>
            </w:pPr>
          </w:p>
        </w:tc>
      </w:tr>
      <w:tr w:rsidR="00874B98" w:rsidRPr="00000DD3" w14:paraId="2EB70EC0" w14:textId="77777777" w:rsidTr="005A52F4">
        <w:trPr>
          <w:trHeight w:val="320"/>
        </w:trPr>
        <w:tc>
          <w:tcPr>
            <w:tcW w:w="1418" w:type="dxa"/>
            <w:shd w:val="clear" w:color="auto" w:fill="auto"/>
            <w:noWrap/>
            <w:tcMar>
              <w:top w:w="15" w:type="dxa"/>
              <w:left w:w="15" w:type="dxa"/>
              <w:bottom w:w="0" w:type="dxa"/>
              <w:right w:w="15" w:type="dxa"/>
            </w:tcMar>
            <w:hideMark/>
          </w:tcPr>
          <w:p w14:paraId="0A01B093" w14:textId="664C9CD3" w:rsidR="003831BF" w:rsidRPr="00000DD3" w:rsidRDefault="003831BF" w:rsidP="00874B98">
            <w:pPr>
              <w:spacing w:line="360" w:lineRule="auto"/>
              <w:jc w:val="both"/>
              <w:rPr>
                <w:rFonts w:ascii="Book Antiqua" w:hAnsi="Book Antiqua"/>
                <w:noProof/>
              </w:rPr>
            </w:pPr>
            <w:r w:rsidRPr="00000DD3">
              <w:rPr>
                <w:rFonts w:ascii="Book Antiqua" w:hAnsi="Book Antiqua"/>
                <w:noProof/>
              </w:rPr>
              <w:t>U</w:t>
            </w:r>
            <w:r w:rsidR="00900086" w:rsidRPr="00000DD3">
              <w:rPr>
                <w:rFonts w:ascii="Book Antiqua" w:hAnsi="Book Antiqua"/>
                <w:noProof/>
              </w:rPr>
              <w:t>m</w:t>
            </w:r>
            <w:r w:rsidRPr="00000DD3">
              <w:rPr>
                <w:rFonts w:ascii="Book Antiqua" w:hAnsi="Book Antiqua"/>
                <w:noProof/>
              </w:rPr>
              <w:t>bilical cord</w:t>
            </w:r>
          </w:p>
        </w:tc>
        <w:tc>
          <w:tcPr>
            <w:tcW w:w="4111" w:type="dxa"/>
            <w:vMerge/>
            <w:hideMark/>
          </w:tcPr>
          <w:p w14:paraId="7DDFA122" w14:textId="77777777" w:rsidR="003831BF" w:rsidRPr="00000DD3" w:rsidRDefault="003831BF" w:rsidP="00874B98">
            <w:pPr>
              <w:spacing w:line="360" w:lineRule="auto"/>
              <w:jc w:val="both"/>
              <w:rPr>
                <w:rFonts w:ascii="Book Antiqua" w:hAnsi="Book Antiqua"/>
                <w:noProof/>
              </w:rPr>
            </w:pPr>
          </w:p>
        </w:tc>
        <w:tc>
          <w:tcPr>
            <w:tcW w:w="2969" w:type="dxa"/>
            <w:vMerge/>
            <w:hideMark/>
          </w:tcPr>
          <w:p w14:paraId="07359C3A" w14:textId="77777777" w:rsidR="003831BF" w:rsidRPr="00000DD3" w:rsidRDefault="003831BF" w:rsidP="00874B98">
            <w:pPr>
              <w:spacing w:line="360" w:lineRule="auto"/>
              <w:jc w:val="both"/>
              <w:rPr>
                <w:rFonts w:ascii="Book Antiqua" w:hAnsi="Book Antiqua"/>
                <w:noProof/>
              </w:rPr>
            </w:pPr>
          </w:p>
        </w:tc>
      </w:tr>
      <w:tr w:rsidR="00874B98" w:rsidRPr="00000DD3" w14:paraId="43DCF424" w14:textId="77777777" w:rsidTr="005A52F4">
        <w:trPr>
          <w:trHeight w:val="320"/>
        </w:trPr>
        <w:tc>
          <w:tcPr>
            <w:tcW w:w="1418" w:type="dxa"/>
            <w:shd w:val="clear" w:color="auto" w:fill="auto"/>
            <w:noWrap/>
            <w:tcMar>
              <w:top w:w="15" w:type="dxa"/>
              <w:left w:w="15" w:type="dxa"/>
              <w:bottom w:w="0" w:type="dxa"/>
              <w:right w:w="15" w:type="dxa"/>
            </w:tcMar>
            <w:hideMark/>
          </w:tcPr>
          <w:p w14:paraId="3FBD9FA3"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Wharton's jelly</w:t>
            </w:r>
          </w:p>
        </w:tc>
        <w:tc>
          <w:tcPr>
            <w:tcW w:w="4111" w:type="dxa"/>
            <w:vMerge/>
            <w:hideMark/>
          </w:tcPr>
          <w:p w14:paraId="68A1F96B" w14:textId="77777777" w:rsidR="003831BF" w:rsidRPr="00000DD3" w:rsidRDefault="003831BF" w:rsidP="00874B98">
            <w:pPr>
              <w:spacing w:line="360" w:lineRule="auto"/>
              <w:jc w:val="both"/>
              <w:rPr>
                <w:rFonts w:ascii="Book Antiqua" w:hAnsi="Book Antiqua"/>
                <w:noProof/>
              </w:rPr>
            </w:pPr>
          </w:p>
        </w:tc>
        <w:tc>
          <w:tcPr>
            <w:tcW w:w="2969" w:type="dxa"/>
            <w:vMerge/>
            <w:hideMark/>
          </w:tcPr>
          <w:p w14:paraId="28EA6978" w14:textId="77777777" w:rsidR="003831BF" w:rsidRPr="00000DD3" w:rsidRDefault="003831BF" w:rsidP="00874B98">
            <w:pPr>
              <w:spacing w:line="360" w:lineRule="auto"/>
              <w:jc w:val="both"/>
              <w:rPr>
                <w:rFonts w:ascii="Book Antiqua" w:hAnsi="Book Antiqua"/>
                <w:noProof/>
              </w:rPr>
            </w:pPr>
          </w:p>
        </w:tc>
      </w:tr>
      <w:tr w:rsidR="00874B98" w:rsidRPr="00000DD3" w14:paraId="3118C153" w14:textId="77777777" w:rsidTr="005A52F4">
        <w:trPr>
          <w:trHeight w:val="320"/>
        </w:trPr>
        <w:tc>
          <w:tcPr>
            <w:tcW w:w="1418" w:type="dxa"/>
            <w:shd w:val="clear" w:color="auto" w:fill="auto"/>
            <w:noWrap/>
            <w:tcMar>
              <w:top w:w="15" w:type="dxa"/>
              <w:left w:w="15" w:type="dxa"/>
              <w:bottom w:w="0" w:type="dxa"/>
              <w:right w:w="15" w:type="dxa"/>
            </w:tcMar>
            <w:hideMark/>
          </w:tcPr>
          <w:p w14:paraId="0E8ED0DD"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vMerge w:val="restart"/>
            <w:shd w:val="clear" w:color="auto" w:fill="auto"/>
            <w:noWrap/>
            <w:tcMar>
              <w:top w:w="15" w:type="dxa"/>
              <w:left w:w="15" w:type="dxa"/>
              <w:bottom w:w="0" w:type="dxa"/>
              <w:right w:w="15" w:type="dxa"/>
            </w:tcMar>
            <w:hideMark/>
          </w:tcPr>
          <w:p w14:paraId="17EF6237" w14:textId="369FFA01" w:rsidR="003831BF" w:rsidRPr="00000DD3" w:rsidRDefault="003831BF" w:rsidP="00874B98">
            <w:pPr>
              <w:spacing w:line="360" w:lineRule="auto"/>
              <w:jc w:val="both"/>
              <w:rPr>
                <w:rFonts w:ascii="Book Antiqua" w:hAnsi="Book Antiqua"/>
                <w:noProof/>
              </w:rPr>
            </w:pPr>
            <w:r w:rsidRPr="00000DD3">
              <w:rPr>
                <w:rFonts w:ascii="Book Antiqua" w:hAnsi="Book Antiqua"/>
                <w:noProof/>
              </w:rPr>
              <w:t xml:space="preserve">Adipogenesis, </w:t>
            </w:r>
            <w:r w:rsidR="00482682" w:rsidRPr="00000DD3">
              <w:rPr>
                <w:rFonts w:ascii="Book Antiqua" w:hAnsi="Book Antiqua"/>
                <w:noProof/>
              </w:rPr>
              <w:t>o</w:t>
            </w:r>
            <w:r w:rsidRPr="00000DD3">
              <w:rPr>
                <w:rFonts w:ascii="Book Antiqua" w:hAnsi="Book Antiqua"/>
                <w:noProof/>
              </w:rPr>
              <w:t>steogenesis</w:t>
            </w:r>
          </w:p>
        </w:tc>
        <w:tc>
          <w:tcPr>
            <w:tcW w:w="2969" w:type="dxa"/>
            <w:vMerge w:val="restart"/>
            <w:shd w:val="clear" w:color="auto" w:fill="auto"/>
            <w:noWrap/>
            <w:tcMar>
              <w:top w:w="15" w:type="dxa"/>
              <w:left w:w="15" w:type="dxa"/>
              <w:bottom w:w="0" w:type="dxa"/>
              <w:right w:w="15" w:type="dxa"/>
            </w:tcMar>
            <w:hideMark/>
          </w:tcPr>
          <w:p w14:paraId="559786BC" w14:textId="1A8DB927" w:rsidR="003831BF" w:rsidRPr="00000DD3" w:rsidRDefault="003831BF" w:rsidP="00482682">
            <w:pPr>
              <w:spacing w:line="360" w:lineRule="auto"/>
              <w:jc w:val="both"/>
              <w:rPr>
                <w:rFonts w:ascii="Book Antiqua" w:hAnsi="Book Antiqua"/>
                <w:noProof/>
              </w:rPr>
            </w:pPr>
            <w:r w:rsidRPr="00000DD3">
              <w:rPr>
                <w:rFonts w:ascii="Book Antiqua" w:hAnsi="Book Antiqua"/>
                <w:noProof/>
              </w:rPr>
              <w:t xml:space="preserve">Kisiel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{"citationItems":[{"id":"ITEM-1","itemData":{"DOI":"10.2460/ajvr.73.8.1305.","PMID":"22849692","abstract":"Objective—To isolate and characterize mesenchymal stem cells (MSCs) from canine muscle and periosteum and compare proliferative capacities of bone marrow–, adipose tissue–, muscle-, and periosteum-derived MSCs (BMSCs, AMSCs, MMSCs, and PMSCs, respectively). Sample—7 canine cadavers. Procedures—MSCs were characterized on the basis of morphology, immunofluorescence of MSC-associated cell surface markers, and expression of pluripotency-associated tran- scription factors. Morphological and histochemical methods were used to evaluate differen- tiation of MSCs cultured in adipogenic, osteogenic, and chondrogenic media. Messenger ri- bonucleic acid expression of alkaline phosphatase, RUNX2, OSTERIX, and OSTEOPONTIN were evaluated as markers for osteogenic differentiation. Passage-1 MSCs were counted at 24, 48, 72, and 96 hours to determine tissue-specific MSC proliferative capacity. Mes- enchymal stem cell yield per gram of tissue was calculated for confluent passage-1 MSCs. Results—Successful isolation of BMSCs, AMSCs, MMSCs, and PMSCs was determined on the basis of morphology; expression of CD44 and CD90; no expression of CD34 and CD45; mRNA expression of SOX2, OCT4, and NANOG; and adipogenic and osteogenic differentiation. Proliferative capacity was not significantly different among BMSCs, AMSCs, MMSCs, and PMSCs over a 4-day culture period. Periosteum provided a significantly higher MSC yield per gram of tissue once confluent in passage 1 (mean ± SD of 19,400,000 ± 12,800,000 of PMSCs/g of periosteum obtained in a mean ± SD of 13 ± 1.64 days). Conclusions and Clinical Relevance—Results indicated that canine muscle and perios- teum may be sources of MSCs. Periosteum was a superior tissue source for MSC yield and may be useful in allogenic applications.","author":[{"dropping-particle":"","family":"Kisiel","given":"Agatha H.","non-dropping-particle":"","parse-names":false,"suffix":""},{"dropping-particle":"","family":"McDuffee","given":"Laurie A.","non-dropping-particle":"","parse-names":false,"suffix":""},{"dropping-particle":"","family":"Masaoud","given":"Elmabrok","non-dropping-particle":"","parse-names":false,"suffix":""},{"dropping-particle":"","family":"Bailey","given":"Trina R.","non-dropping-particle":"","parse-names":false,"suffix":""},{"dropping-particle":"","family":"Esparza Gonzalez","given":"Blanca P.","non-dropping-particle":"","parse-names":false,"suffix":""},{"dropping-particle":"","family":"Nino-Fong","given":"Rodolfo","non-dropping-particle":"","parse-names":false,"suffix":""}],"container-title":"American Journal of Veterinary Research","id":"ITEM-1","issue":"8","issued":{"date-parts":[["2012"]]},"page":"1305-1317","title":"Isolation, characterization, and in vitro proliferation of canine mesenchymal stem cells derived from bone marrow, adipose tissue, muscle, and periosteum","type":"article-journal","volume":"73"},"uris":["http://www.mendeley.com/documents/?uuid=7bff95f3-df21-3442-af2c-0336a7a37c96"]}],"mendeley":{"formattedCitation":"&lt;sup&gt;[52]&lt;/sup&gt;","plainTextFormattedCitation":"[52]","previouslyFormattedCitation":"&lt;sup&gt;[52]&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[52]</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2012</w:t>
            </w:r>
          </w:p>
        </w:tc>
      </w:tr>
      <w:tr w:rsidR="00874B98" w:rsidRPr="00000DD3" w14:paraId="126D8538" w14:textId="77777777" w:rsidTr="005A52F4">
        <w:trPr>
          <w:trHeight w:val="320"/>
        </w:trPr>
        <w:tc>
          <w:tcPr>
            <w:tcW w:w="1418" w:type="dxa"/>
            <w:shd w:val="clear" w:color="auto" w:fill="auto"/>
            <w:noWrap/>
            <w:tcMar>
              <w:top w:w="15" w:type="dxa"/>
              <w:left w:w="15" w:type="dxa"/>
              <w:bottom w:w="0" w:type="dxa"/>
              <w:right w:w="15" w:type="dxa"/>
            </w:tcMar>
            <w:hideMark/>
          </w:tcPr>
          <w:p w14:paraId="1DBD5DA1"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Bone marrow</w:t>
            </w:r>
          </w:p>
        </w:tc>
        <w:tc>
          <w:tcPr>
            <w:tcW w:w="4111" w:type="dxa"/>
            <w:vMerge/>
            <w:hideMark/>
          </w:tcPr>
          <w:p w14:paraId="04BDA01D" w14:textId="77777777" w:rsidR="003831BF" w:rsidRPr="00000DD3" w:rsidRDefault="003831BF" w:rsidP="00874B98">
            <w:pPr>
              <w:spacing w:line="360" w:lineRule="auto"/>
              <w:jc w:val="both"/>
              <w:rPr>
                <w:rFonts w:ascii="Book Antiqua" w:hAnsi="Book Antiqua"/>
                <w:noProof/>
              </w:rPr>
            </w:pPr>
          </w:p>
        </w:tc>
        <w:tc>
          <w:tcPr>
            <w:tcW w:w="2969" w:type="dxa"/>
            <w:vMerge/>
            <w:hideMark/>
          </w:tcPr>
          <w:p w14:paraId="79B43BF8" w14:textId="77777777" w:rsidR="003831BF" w:rsidRPr="00000DD3" w:rsidRDefault="003831BF" w:rsidP="00874B98">
            <w:pPr>
              <w:spacing w:line="360" w:lineRule="auto"/>
              <w:jc w:val="both"/>
              <w:rPr>
                <w:rFonts w:ascii="Book Antiqua" w:hAnsi="Book Antiqua"/>
                <w:noProof/>
              </w:rPr>
            </w:pPr>
          </w:p>
        </w:tc>
      </w:tr>
      <w:tr w:rsidR="00874B98" w:rsidRPr="00000DD3" w14:paraId="46E6E30E" w14:textId="77777777" w:rsidTr="005A52F4">
        <w:trPr>
          <w:trHeight w:val="320"/>
        </w:trPr>
        <w:tc>
          <w:tcPr>
            <w:tcW w:w="1418" w:type="dxa"/>
            <w:shd w:val="clear" w:color="auto" w:fill="auto"/>
            <w:noWrap/>
            <w:tcMar>
              <w:top w:w="15" w:type="dxa"/>
              <w:left w:w="15" w:type="dxa"/>
              <w:bottom w:w="0" w:type="dxa"/>
              <w:right w:w="15" w:type="dxa"/>
            </w:tcMar>
            <w:hideMark/>
          </w:tcPr>
          <w:p w14:paraId="0E9C6D05"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Muscle</w:t>
            </w:r>
          </w:p>
        </w:tc>
        <w:tc>
          <w:tcPr>
            <w:tcW w:w="4111" w:type="dxa"/>
            <w:vMerge/>
            <w:hideMark/>
          </w:tcPr>
          <w:p w14:paraId="220F0AB9" w14:textId="77777777" w:rsidR="003831BF" w:rsidRPr="00000DD3" w:rsidRDefault="003831BF" w:rsidP="00874B98">
            <w:pPr>
              <w:spacing w:line="360" w:lineRule="auto"/>
              <w:jc w:val="both"/>
              <w:rPr>
                <w:rFonts w:ascii="Book Antiqua" w:hAnsi="Book Antiqua"/>
                <w:noProof/>
              </w:rPr>
            </w:pPr>
          </w:p>
        </w:tc>
        <w:tc>
          <w:tcPr>
            <w:tcW w:w="2969" w:type="dxa"/>
            <w:vMerge/>
            <w:hideMark/>
          </w:tcPr>
          <w:p w14:paraId="361B0DA2" w14:textId="77777777" w:rsidR="003831BF" w:rsidRPr="00000DD3" w:rsidRDefault="003831BF" w:rsidP="00874B98">
            <w:pPr>
              <w:spacing w:line="360" w:lineRule="auto"/>
              <w:jc w:val="both"/>
              <w:rPr>
                <w:rFonts w:ascii="Book Antiqua" w:hAnsi="Book Antiqua"/>
                <w:noProof/>
              </w:rPr>
            </w:pPr>
          </w:p>
        </w:tc>
      </w:tr>
      <w:tr w:rsidR="00874B98" w:rsidRPr="00000DD3" w14:paraId="478B6853" w14:textId="77777777" w:rsidTr="005A52F4">
        <w:trPr>
          <w:trHeight w:val="320"/>
        </w:trPr>
        <w:tc>
          <w:tcPr>
            <w:tcW w:w="1418" w:type="dxa"/>
            <w:shd w:val="clear" w:color="auto" w:fill="auto"/>
            <w:noWrap/>
            <w:tcMar>
              <w:top w:w="15" w:type="dxa"/>
              <w:left w:w="15" w:type="dxa"/>
              <w:bottom w:w="0" w:type="dxa"/>
              <w:right w:w="15" w:type="dxa"/>
            </w:tcMar>
            <w:hideMark/>
          </w:tcPr>
          <w:p w14:paraId="22A17CCF"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Periosteum</w:t>
            </w:r>
          </w:p>
        </w:tc>
        <w:tc>
          <w:tcPr>
            <w:tcW w:w="4111" w:type="dxa"/>
            <w:vMerge/>
            <w:hideMark/>
          </w:tcPr>
          <w:p w14:paraId="283DDA2E" w14:textId="77777777" w:rsidR="003831BF" w:rsidRPr="00000DD3" w:rsidRDefault="003831BF" w:rsidP="00874B98">
            <w:pPr>
              <w:spacing w:line="360" w:lineRule="auto"/>
              <w:jc w:val="both"/>
              <w:rPr>
                <w:rFonts w:ascii="Book Antiqua" w:hAnsi="Book Antiqua"/>
                <w:noProof/>
              </w:rPr>
            </w:pPr>
          </w:p>
        </w:tc>
        <w:tc>
          <w:tcPr>
            <w:tcW w:w="2969" w:type="dxa"/>
            <w:vMerge/>
            <w:hideMark/>
          </w:tcPr>
          <w:p w14:paraId="67E7ED67" w14:textId="77777777" w:rsidR="003831BF" w:rsidRPr="00000DD3" w:rsidRDefault="003831BF" w:rsidP="00874B98">
            <w:pPr>
              <w:spacing w:line="360" w:lineRule="auto"/>
              <w:jc w:val="both"/>
              <w:rPr>
                <w:rFonts w:ascii="Book Antiqua" w:hAnsi="Book Antiqua"/>
                <w:noProof/>
              </w:rPr>
            </w:pPr>
          </w:p>
        </w:tc>
      </w:tr>
      <w:tr w:rsidR="00874B98" w:rsidRPr="00000DD3" w14:paraId="4FCC3978" w14:textId="77777777" w:rsidTr="005A52F4">
        <w:trPr>
          <w:trHeight w:val="320"/>
        </w:trPr>
        <w:tc>
          <w:tcPr>
            <w:tcW w:w="1418" w:type="dxa"/>
            <w:shd w:val="clear" w:color="auto" w:fill="auto"/>
            <w:noWrap/>
            <w:tcMar>
              <w:top w:w="15" w:type="dxa"/>
              <w:left w:w="15" w:type="dxa"/>
              <w:bottom w:w="0" w:type="dxa"/>
              <w:right w:w="15" w:type="dxa"/>
            </w:tcMar>
            <w:hideMark/>
          </w:tcPr>
          <w:p w14:paraId="4A2E252C"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vMerge w:val="restart"/>
            <w:shd w:val="clear" w:color="auto" w:fill="auto"/>
            <w:noWrap/>
            <w:tcMar>
              <w:top w:w="15" w:type="dxa"/>
              <w:left w:w="15" w:type="dxa"/>
              <w:bottom w:w="0" w:type="dxa"/>
              <w:right w:w="15" w:type="dxa"/>
            </w:tcMar>
            <w:hideMark/>
          </w:tcPr>
          <w:p w14:paraId="6754EDD6" w14:textId="60C75466" w:rsidR="003831BF" w:rsidRPr="00000DD3" w:rsidRDefault="003831BF" w:rsidP="00874B98">
            <w:pPr>
              <w:spacing w:line="360" w:lineRule="auto"/>
              <w:jc w:val="both"/>
              <w:rPr>
                <w:rFonts w:ascii="Book Antiqua" w:hAnsi="Book Antiqua"/>
                <w:noProof/>
              </w:rPr>
            </w:pPr>
            <w:r w:rsidRPr="00000DD3">
              <w:rPr>
                <w:rFonts w:ascii="Book Antiqua" w:hAnsi="Book Antiqua"/>
                <w:noProof/>
              </w:rPr>
              <w:t xml:space="preserve">Adipogenesis, </w:t>
            </w:r>
            <w:r w:rsidR="00482682" w:rsidRPr="00000DD3">
              <w:rPr>
                <w:rFonts w:ascii="Book Antiqua" w:hAnsi="Book Antiqua"/>
                <w:noProof/>
              </w:rPr>
              <w:t>o</w:t>
            </w:r>
            <w:r w:rsidRPr="00000DD3">
              <w:rPr>
                <w:rFonts w:ascii="Book Antiqua" w:hAnsi="Book Antiqua"/>
                <w:noProof/>
              </w:rPr>
              <w:t>steogenesis</w:t>
            </w:r>
          </w:p>
        </w:tc>
        <w:tc>
          <w:tcPr>
            <w:tcW w:w="2969" w:type="dxa"/>
            <w:vMerge w:val="restart"/>
            <w:shd w:val="clear" w:color="auto" w:fill="auto"/>
            <w:noWrap/>
            <w:tcMar>
              <w:top w:w="15" w:type="dxa"/>
              <w:left w:w="15" w:type="dxa"/>
              <w:bottom w:w="0" w:type="dxa"/>
              <w:right w:w="15" w:type="dxa"/>
            </w:tcMar>
            <w:hideMark/>
          </w:tcPr>
          <w:p w14:paraId="40351750" w14:textId="47BD98C6" w:rsidR="003831BF" w:rsidRPr="00000DD3" w:rsidRDefault="003831BF" w:rsidP="00482682">
            <w:pPr>
              <w:spacing w:line="360" w:lineRule="auto"/>
              <w:jc w:val="both"/>
              <w:rPr>
                <w:rFonts w:ascii="Book Antiqua" w:hAnsi="Book Antiqua"/>
                <w:noProof/>
              </w:rPr>
            </w:pPr>
            <w:r w:rsidRPr="00000DD3">
              <w:rPr>
                <w:rFonts w:ascii="Book Antiqua" w:hAnsi="Book Antiqua"/>
                <w:noProof/>
              </w:rPr>
              <w:t xml:space="preserve">Takemitsu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{"citationItems":[{"id":"ITEM-1","itemData":{"DOI":"10.1186/1746-6148-8-150","ISBN":"1746-6148","ISSN":"1746-6148","PMID":"22937862","abstract":"BACKGROUND: Bone marrow-derived mesenchymal stem cells (BM-MSCs) and adipose tissue-derived mesenchymal stem cells (AT-MSCs) are potential cellular sources of therapeutic stem cells. MSCs are a multipotent population of cells capable of differentiating into a number of mesodermal lineages. Treatment using MSCs appears to be a helpful approach for structural restoration in regenerative medicine. Correct identification of these cells is necessary, but there is inadequate information on the MSC profile of cell surface markers and mRNA expression in dogs. In this study, we performed molecular characterization of canine BM-MSCs and AT-MSCs using immunological and mRNA expression analysis.\\n\\nRESULTS: Samples were confirmed to be multipotent based on their osteogenic and adipogenic differentiation. And these cells were checked as stem cell, hematopoietic and embryonic stem cell (ESC) markers by flow cytometry. BM- and AT-MSCs showed high expression of CD29 and CD44, moderate expression of CD90, and were negative for CD34, CD45, SSEA-3, SSEA-4, TRA-1-60, and TRA-1-81. SSEA-1 was expressed at very low levels in AT-MSCs. Quantitative real-time PCR (qRT-PCR) revealed expression of Oct3/4, Sox2, and Nanog in BM- and AT-MSCs. There was no significant difference in expression of Oct3/4 and Sox2 between BM-MSCs and AT-MSCs. However, Nanog expression was 2.5-fold higher in AT-MSCs than in BM-MSCs. Using immunocytochemical analysis, Oct3/4 and Sox2 proteins were observed in BM- and AT-MSCs.\\n\\nCONCLUSION: Our results provide fundamental information to enable for more reproducible and reliable quality control in the identification of canine BM-MSCs and AT-MSCs by protein and mRNA expression analysis.","author":[{"dropping-particle":"","family":"Takemitsu","given":"Hiroshi","non-dropping-particle":"","parse-names":false,"suffix":""},{"dropping-particle":"","family":"Zhao","given":"Dongwei","non-dropping-particle":"","parse-names":false,"suffix":""},{"dropping-particle":"","family":"Yamamoto","given":"Ichiro","non-dropping-particle":"","parse-names":false,"suffix":""},{"dropping-particle":"","family":"Harada","given":"Yasuji","non-dropping-particle":"","parse-names":false,"suffix":""},{"dropping-particle":"","family":"Michishita","given":"Masaki","non-dropping-particle":"","parse-names":false,"suffix":""},{"dropping-particle":"","family":"Arai","given":"Toshiro","non-dropping-particle":"","parse-names":false,"suffix":""}],"container-title":"BMC veterinary research","id":"ITEM-1","issue":"1","issued":{"date-parts":[["2012"]]},"page":"150","title":"Comparison of bone marrow and adipose tissue-derived canine mesenchymal stem cells.","type":"article-journal","volume":"8"},"uris":["http://www.mendeley.com/documents/?uuid=cf2b9ad8-34e5-4fa5-93af-8fa1c79b3de0"]}],"mendeley":{"formattedCitation":"&lt;sup&gt;[64]&lt;/sup&gt;","plainTextFormattedCitation":"[64]","previouslyFormattedCitation":"&lt;sup&gt;[64]&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[64]</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2012</w:t>
            </w:r>
          </w:p>
        </w:tc>
      </w:tr>
      <w:tr w:rsidR="00874B98" w:rsidRPr="00000DD3" w14:paraId="63F1F5A1" w14:textId="77777777" w:rsidTr="005A52F4">
        <w:trPr>
          <w:trHeight w:val="320"/>
        </w:trPr>
        <w:tc>
          <w:tcPr>
            <w:tcW w:w="1418" w:type="dxa"/>
            <w:shd w:val="clear" w:color="auto" w:fill="auto"/>
            <w:noWrap/>
            <w:tcMar>
              <w:top w:w="15" w:type="dxa"/>
              <w:left w:w="15" w:type="dxa"/>
              <w:bottom w:w="0" w:type="dxa"/>
              <w:right w:w="15" w:type="dxa"/>
            </w:tcMar>
            <w:hideMark/>
          </w:tcPr>
          <w:p w14:paraId="68C58F87"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Bone marrow</w:t>
            </w:r>
          </w:p>
        </w:tc>
        <w:tc>
          <w:tcPr>
            <w:tcW w:w="4111" w:type="dxa"/>
            <w:vMerge/>
            <w:hideMark/>
          </w:tcPr>
          <w:p w14:paraId="7E200D33" w14:textId="77777777" w:rsidR="003831BF" w:rsidRPr="00000DD3" w:rsidRDefault="003831BF" w:rsidP="00874B98">
            <w:pPr>
              <w:spacing w:line="360" w:lineRule="auto"/>
              <w:jc w:val="both"/>
              <w:rPr>
                <w:rFonts w:ascii="Book Antiqua" w:hAnsi="Book Antiqua"/>
                <w:noProof/>
              </w:rPr>
            </w:pPr>
          </w:p>
        </w:tc>
        <w:tc>
          <w:tcPr>
            <w:tcW w:w="2969" w:type="dxa"/>
            <w:vMerge/>
            <w:hideMark/>
          </w:tcPr>
          <w:p w14:paraId="2EA75198" w14:textId="77777777" w:rsidR="003831BF" w:rsidRPr="00000DD3" w:rsidRDefault="003831BF" w:rsidP="00874B98">
            <w:pPr>
              <w:spacing w:line="360" w:lineRule="auto"/>
              <w:jc w:val="both"/>
              <w:rPr>
                <w:rFonts w:ascii="Book Antiqua" w:hAnsi="Book Antiqua"/>
                <w:noProof/>
              </w:rPr>
            </w:pPr>
          </w:p>
        </w:tc>
      </w:tr>
      <w:tr w:rsidR="00874B98" w:rsidRPr="00000DD3" w14:paraId="5D278FA6" w14:textId="77777777" w:rsidTr="005A52F4">
        <w:trPr>
          <w:trHeight w:val="320"/>
        </w:trPr>
        <w:tc>
          <w:tcPr>
            <w:tcW w:w="1418" w:type="dxa"/>
            <w:shd w:val="clear" w:color="auto" w:fill="auto"/>
            <w:noWrap/>
            <w:tcMar>
              <w:top w:w="15" w:type="dxa"/>
              <w:left w:w="15" w:type="dxa"/>
              <w:bottom w:w="0" w:type="dxa"/>
              <w:right w:w="15" w:type="dxa"/>
            </w:tcMar>
            <w:hideMark/>
          </w:tcPr>
          <w:p w14:paraId="54691148"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Bone marrow</w:t>
            </w:r>
          </w:p>
        </w:tc>
        <w:tc>
          <w:tcPr>
            <w:tcW w:w="4111" w:type="dxa"/>
            <w:shd w:val="clear" w:color="auto" w:fill="auto"/>
            <w:noWrap/>
            <w:tcMar>
              <w:top w:w="15" w:type="dxa"/>
              <w:left w:w="15" w:type="dxa"/>
              <w:bottom w:w="0" w:type="dxa"/>
              <w:right w:w="15" w:type="dxa"/>
            </w:tcMar>
            <w:hideMark/>
          </w:tcPr>
          <w:p w14:paraId="5DC8D14B" w14:textId="75BE70EB" w:rsidR="003831BF" w:rsidRPr="00000DD3" w:rsidRDefault="003831BF" w:rsidP="00874B98">
            <w:pPr>
              <w:spacing w:line="360" w:lineRule="auto"/>
              <w:jc w:val="both"/>
              <w:rPr>
                <w:rFonts w:ascii="Book Antiqua" w:hAnsi="Book Antiqua"/>
                <w:noProof/>
              </w:rPr>
            </w:pPr>
            <w:r w:rsidRPr="00000DD3">
              <w:rPr>
                <w:rFonts w:ascii="Book Antiqua" w:hAnsi="Book Antiqua"/>
                <w:noProof/>
              </w:rPr>
              <w:t xml:space="preserve">Chondrogenesis, </w:t>
            </w:r>
            <w:r w:rsidR="00482682" w:rsidRPr="00000DD3">
              <w:rPr>
                <w:rFonts w:ascii="Book Antiqua" w:hAnsi="Book Antiqua"/>
                <w:noProof/>
              </w:rPr>
              <w:t>c</w:t>
            </w:r>
            <w:r w:rsidRPr="00000DD3">
              <w:rPr>
                <w:rFonts w:ascii="Book Antiqua" w:hAnsi="Book Antiqua"/>
                <w:noProof/>
              </w:rPr>
              <w:t>ardiogenesis</w:t>
            </w:r>
          </w:p>
        </w:tc>
        <w:tc>
          <w:tcPr>
            <w:tcW w:w="2969" w:type="dxa"/>
            <w:shd w:val="clear" w:color="auto" w:fill="auto"/>
            <w:noWrap/>
            <w:tcMar>
              <w:top w:w="15" w:type="dxa"/>
              <w:left w:w="15" w:type="dxa"/>
              <w:bottom w:w="0" w:type="dxa"/>
              <w:right w:w="15" w:type="dxa"/>
            </w:tcMar>
            <w:hideMark/>
          </w:tcPr>
          <w:p w14:paraId="7C1217CA" w14:textId="43633D4B" w:rsidR="003831BF" w:rsidRPr="00000DD3" w:rsidRDefault="003831BF" w:rsidP="00482682">
            <w:pPr>
              <w:spacing w:line="360" w:lineRule="auto"/>
              <w:jc w:val="both"/>
              <w:rPr>
                <w:rFonts w:ascii="Book Antiqua" w:hAnsi="Book Antiqua"/>
                <w:noProof/>
              </w:rPr>
            </w:pPr>
            <w:r w:rsidRPr="00000DD3">
              <w:rPr>
                <w:rFonts w:ascii="Book Antiqua" w:hAnsi="Book Antiqua"/>
                <w:noProof/>
              </w:rPr>
              <w:t xml:space="preserve">Hodgkiss-Geere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{"citationItems":[{"id":"ITEM-1","itemData":{"DOI":"10.1016/j.tvjl.2012.05.011","ISBN":"1090-0233","ISSN":"10900233","PMID":"22721628","abstract":"Mesenchymal stem cells (MSCs) have potential for use in regenerative therapeutics, since they are capable of multi-lineage differentiation. In this study, primary canine MSCs (cMSCs) were isolated from bone marrow aspirates and characterised using marker expression and morphology. cMSCs expressed CD44 and STRO-1, but not CD34 or CD45.Morphologically, cMSCs were similar to previously described MSCs and were capable of chondrocyte differentiation towards articular type cartilage, characterised by increased collagen type II vs. collagen type I expression and expression of Sox-9. cMSCs demonstrated no significant alterations in marker profiles and failed to differentiate into cardiomyocytes in response to a cardiac differentiation protocol or when co-cultured with canine cardiac stem cells. The study indicated that cMSCs can be derived readily from bone marrow and are capable of differentiation into articular cartilage, but appear to have limited ability to differentiate into cardiomyocytes using current protocols. © 2012 Elsevier Ltd.","author":[{"dropping-particle":"","family":"Hodgkiss-Geere","given":"Hannah M.","non-dropping-particle":"","parse-names":false,"suffix":""},{"dropping-particle":"","family":"Argyle","given":"David J.","non-dropping-particle":"","parse-names":false,"suffix":""},{"dropping-particle":"","family":"Corcoran","given":"Brendan M.","non-dropping-particle":"","parse-names":false,"suffix":""},{"dropping-particle":"","family":"Whitelaw","given":"Bruce","non-dropping-particle":"","parse-names":false,"suffix":""},{"dropping-particle":"","family":"Milne","given":"Elspeth","non-dropping-particle":"","parse-names":false,"suffix":""},{"dropping-particle":"","family":"Bennett","given":"David","non-dropping-particle":"","parse-names":false,"suffix":""},{"dropping-particle":"","family":"Argyle","given":"Sally A.","non-dropping-particle":"","parse-names":false,"suffix":""}],"container-title":"Veterinary Journal","id":"ITEM-1","issue":"3","issued":{"date-parts":[["2012"]]},"page":"361-368","publisher":"Elsevier Ltd","title":"Characterisation and differentiation potential of bone marrow derived canine mesenchymal stem cells","type":"article-journal","volume":"194"},"uris":["http://www.mendeley.com/documents/?uuid=af4214ac-1c67-46d1-bf7f-e50c96f24029"]}],"mendeley":{"formattedCitation":"&lt;sup&gt;[120]&lt;/sup&gt;","plainTextFormattedCitation":"[120]","previouslyFormattedCitation":"&lt;sup&gt;[120]&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[120]</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2012</w:t>
            </w:r>
          </w:p>
        </w:tc>
      </w:tr>
      <w:tr w:rsidR="00874B98" w:rsidRPr="00000DD3" w14:paraId="3658F1F8" w14:textId="77777777" w:rsidTr="005A52F4">
        <w:trPr>
          <w:trHeight w:val="320"/>
        </w:trPr>
        <w:tc>
          <w:tcPr>
            <w:tcW w:w="1418" w:type="dxa"/>
            <w:shd w:val="clear" w:color="auto" w:fill="auto"/>
            <w:noWrap/>
            <w:tcMar>
              <w:top w:w="15" w:type="dxa"/>
              <w:left w:w="15" w:type="dxa"/>
              <w:bottom w:w="0" w:type="dxa"/>
              <w:right w:w="15" w:type="dxa"/>
            </w:tcMar>
            <w:hideMark/>
          </w:tcPr>
          <w:p w14:paraId="51BEC977"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Synovial fluid</w:t>
            </w:r>
          </w:p>
        </w:tc>
        <w:tc>
          <w:tcPr>
            <w:tcW w:w="4111" w:type="dxa"/>
            <w:shd w:val="clear" w:color="auto" w:fill="auto"/>
            <w:noWrap/>
            <w:tcMar>
              <w:top w:w="15" w:type="dxa"/>
              <w:left w:w="15" w:type="dxa"/>
              <w:bottom w:w="0" w:type="dxa"/>
              <w:right w:w="15" w:type="dxa"/>
            </w:tcMar>
            <w:hideMark/>
          </w:tcPr>
          <w:p w14:paraId="1F43C53B"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Chondrogenesis</w:t>
            </w:r>
          </w:p>
        </w:tc>
        <w:tc>
          <w:tcPr>
            <w:tcW w:w="2969" w:type="dxa"/>
            <w:shd w:val="clear" w:color="auto" w:fill="auto"/>
            <w:noWrap/>
            <w:tcMar>
              <w:top w:w="15" w:type="dxa"/>
              <w:left w:w="15" w:type="dxa"/>
              <w:bottom w:w="0" w:type="dxa"/>
              <w:right w:w="15" w:type="dxa"/>
            </w:tcMar>
            <w:hideMark/>
          </w:tcPr>
          <w:p w14:paraId="05F22A99" w14:textId="2B6A9E6B" w:rsidR="003831BF" w:rsidRPr="00000DD3" w:rsidRDefault="003831BF" w:rsidP="00482682">
            <w:pPr>
              <w:spacing w:line="360" w:lineRule="auto"/>
              <w:jc w:val="both"/>
              <w:rPr>
                <w:rFonts w:ascii="Book Antiqua" w:hAnsi="Book Antiqua"/>
                <w:noProof/>
              </w:rPr>
            </w:pPr>
            <w:r w:rsidRPr="00000DD3">
              <w:rPr>
                <w:rFonts w:ascii="Book Antiqua" w:hAnsi="Book Antiqua"/>
                <w:noProof/>
              </w:rPr>
              <w:t xml:space="preserve">Krawetz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{"citationItems":[{"id":"ITEM-1","itemData":{"DOI":"10.1371/journal.pone.0043616","ISBN":"1932-6203 (Electronic)\\r1932-6203 (Linking)","ISSN":"19326203","PMID":"22952721","abstract":"OBJECTIVE: Mesenchymal progenitor cells (MPCs) can differentiate into osteoblasts, adipocytes, and chondrocytes, and are in part responsible for maintaining tissue integrity. Recently, a progenitor cell population has been found within the synovial fluid that shares many similarities with bone marrow MPCs. These synovial fluid MPCs (sfMPCs) share the ability to differentiate into bone and fat, with a bias for cartilage differentiation. In this study, sfMPCs were isolated from human and canine synovial fluid collected from normal individuals and those with osteoarthritis (human: clinician-diagnosed, canine: experimental) to compare the differentiation potential of CD90+ vs. CD90- sfMPCs, and to determine if CD90 (Thy-1) is a predictive marker of synovial fluid progenitors with chondrogenic capacity in vitro.\\n\\nMETHODS: sfMPCs were derived from synovial fluid from normal and OA knee joints. These cells were induced to differentiate into chondrocytes and analyzed using quantitative PCR, immunofluorescence, and electron microscopy.\\n\\nRESULTS: The CD90+ subpopulation of sfMPCs had increased chondrogenic potential compared to the CD90- population. Furthermore, sfMPCs derived from healthy joints did not require a micro-mass step for efficient chondrogenesis. Whereas sfMPCs from OA synovial fluid retain the ability to undergo chondrogenic differentiation, they require micro-mass culture conditions.\\n\\nCONCLUSIONS: Overall, this study has demonstrated an increased chondrogenic potential within the CD90+ fraction of human and canine sfMPCs and that this population of cells derived from healthy normal joints do not require a micro-mass step for efficient chondrogenesis, while sfMPCs obtained from OA knee joints do not differentiate efficiently into chondrocytes without the micro-mass procedure. These results reveal a fundamental shift in the chondrogenic ability of cells isolated from arthritic joint fluids, and we speculate that the mechanism behind this change of cell behavior is exposure to the altered milieu of the OA joint fluid, which will be examined in further studies.","author":[{"dropping-particle":"","family":"Krawetz","given":"Roman J.","non-dropping-particle":"","parse-names":false,"suffix":""},{"dropping-particle":"","family":"Wu","given":"Yiru Elizabeth","non-dropping-particle":"","parse-names":false,"suffix":""},{"dropping-particle":"","family":"Martin","given":"Liam","non-dropping-particle":"","parse-names":false,"suffix":""},{"dropping-particle":"","family":"Rattner","given":"Jerome B.","non-dropping-particle":"","parse-names":false,"suffix":""},{"dropping-particle":"","family":"Matyas","given":"John R.","non-dropping-particle":"","parse-names":false,"suffix":""},{"dropping-particle":"","family":"Hart","given":"David A.","non-dropping-particle":"","parse-names":false,"suffix":""}],"container-title":"PLoS ONE","id":"ITEM-1","issue":"8","issued":{"date-parts":[["2012"]]},"page":"e43616","title":"Synovial fluid progenitors expressing CD90+ from normal but not osteoarthritic joints undergo chondrogenic differentiation without micro-mass culture","type":"article-journal","volume":"7"},"uris":["http://www.mendeley.com/documents/?uuid=498e3de0-9144-3924-823e-4a3070408b47"]}],"mendeley":{"formattedCitation":"&lt;sup&gt;[55]&lt;/sup&gt;","plainTextFormattedCitation":"[55]","previouslyFormattedCitation":"&lt;sup&gt;[55]&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[55]</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2012</w:t>
            </w:r>
          </w:p>
        </w:tc>
      </w:tr>
      <w:tr w:rsidR="00874B98" w:rsidRPr="00000DD3" w14:paraId="3AA82160" w14:textId="77777777" w:rsidTr="005A52F4">
        <w:trPr>
          <w:trHeight w:val="320"/>
        </w:trPr>
        <w:tc>
          <w:tcPr>
            <w:tcW w:w="1418" w:type="dxa"/>
            <w:shd w:val="clear" w:color="auto" w:fill="auto"/>
            <w:noWrap/>
            <w:tcMar>
              <w:top w:w="15" w:type="dxa"/>
              <w:left w:w="15" w:type="dxa"/>
              <w:bottom w:w="0" w:type="dxa"/>
              <w:right w:w="15" w:type="dxa"/>
            </w:tcMar>
            <w:hideMark/>
          </w:tcPr>
          <w:p w14:paraId="0D478E63"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Bone marrow</w:t>
            </w:r>
          </w:p>
        </w:tc>
        <w:tc>
          <w:tcPr>
            <w:tcW w:w="4111" w:type="dxa"/>
            <w:shd w:val="clear" w:color="auto" w:fill="auto"/>
            <w:noWrap/>
            <w:tcMar>
              <w:top w:w="15" w:type="dxa"/>
              <w:left w:w="15" w:type="dxa"/>
              <w:bottom w:w="0" w:type="dxa"/>
              <w:right w:w="15" w:type="dxa"/>
            </w:tcMar>
            <w:hideMark/>
          </w:tcPr>
          <w:p w14:paraId="0D2E36E6" w14:textId="631030E6" w:rsidR="003831BF" w:rsidRPr="00000DD3" w:rsidRDefault="003831BF" w:rsidP="00874B98">
            <w:pPr>
              <w:spacing w:line="360" w:lineRule="auto"/>
              <w:jc w:val="both"/>
              <w:rPr>
                <w:rFonts w:ascii="Book Antiqua" w:hAnsi="Book Antiqua"/>
                <w:noProof/>
              </w:rPr>
            </w:pPr>
            <w:r w:rsidRPr="00000DD3">
              <w:rPr>
                <w:rFonts w:ascii="Book Antiqua" w:hAnsi="Book Antiqua"/>
                <w:noProof/>
              </w:rPr>
              <w:t>Adipogenesis,</w:t>
            </w:r>
            <w:r w:rsidR="00482682" w:rsidRPr="00000DD3">
              <w:rPr>
                <w:rFonts w:ascii="Book Antiqua" w:hAnsi="Book Antiqua"/>
                <w:noProof/>
              </w:rPr>
              <w:t xml:space="preserve"> osteogenesis, chondrogenesis</w:t>
            </w:r>
          </w:p>
        </w:tc>
        <w:tc>
          <w:tcPr>
            <w:tcW w:w="2969" w:type="dxa"/>
            <w:shd w:val="clear" w:color="auto" w:fill="auto"/>
            <w:noWrap/>
            <w:tcMar>
              <w:top w:w="15" w:type="dxa"/>
              <w:left w:w="15" w:type="dxa"/>
              <w:bottom w:w="0" w:type="dxa"/>
              <w:right w:w="15" w:type="dxa"/>
            </w:tcMar>
            <w:hideMark/>
          </w:tcPr>
          <w:p w14:paraId="40FCBB3E" w14:textId="4C113981" w:rsidR="003831BF" w:rsidRPr="00000DD3" w:rsidRDefault="003831BF" w:rsidP="00482682">
            <w:pPr>
              <w:spacing w:line="360" w:lineRule="auto"/>
              <w:jc w:val="both"/>
              <w:rPr>
                <w:rFonts w:ascii="Book Antiqua" w:hAnsi="Book Antiqua"/>
                <w:noProof/>
              </w:rPr>
            </w:pPr>
            <w:r w:rsidRPr="00000DD3">
              <w:rPr>
                <w:rFonts w:ascii="Book Antiqua" w:hAnsi="Book Antiqua"/>
                <w:noProof/>
              </w:rPr>
              <w:t xml:space="preserve">Volk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{"citationItems":[{"id":"ITEM-1","itemData":{"DOI":"10.3727/096368912X636821","ISBN":"1555-3892 (Electronic) 0963-6897 (Linking)","ISSN":"09636897","PMID":"22472645","abstract":"Clinical trials utilizing bone marrow-derived mesenchymal stem cell (BM-MSC) therapies show promise for treating a variety of pathologic conditions. Paramount to optimization of such cell-based therapies is a thorough understanding of MSC biology. Despite the tremendous potential that exists for the clinical use of canine BM-MSCs in veterinary medicine, as well as in preclinical studies for human medicine, relatively little information exists regarding basic biological properties of the cells. In this study, we compared the importance of donor characteristics (age and harvest site) and ex vivo expansion on canine BM-MSC frequency (CFU-f) and differentiation potential. Advancing age was found to have a negative effect on CFU-f as well as osteogenic potential. Site of harvest was also found to have significant effects on MSC properties. MSCs obtained from the humerus were found at the lowest frequency and were least osteogenic compared to those harvested from the tibia, femur, and ilium. Osteogenic potential diminished significantly by the third passage. These results suggest important donor parameters and culture effects to consider in translational studies examining MSC-based regenerative medical strategies.","author":[{"dropping-particle":"","family":"Volk","given":"Susan W.","non-dropping-particle":"","parse-names":false,"suffix":""},{"dropping-particle":"","family":"Wang","given":"Yanjian","non-dropping-particle":"","parse-names":false,"suffix":""},{"dropping-particle":"","family":"Hankenson","given":"Kurt D.","non-dropping-particle":"","parse-names":false,"suffix":""}],"container-title":"Cell Transplantation","id":"ITEM-1","issue":"10","issued":{"date-parts":[["2012"]]},"page":"2189-2200","title":"Effects of donor characteristics and ex vivo expansion on canine mesenchymal stem cell properties: Implications for MSC-based therapies","type":"article-journal","volume":"21"},"uris":["http://www.mendeley.com/documents/?uuid=a38bc415-f802-4c24-a6f3-d4fe410ef15c"]}],"mendeley":{"formattedCitation":"&lt;sup&gt;[59]&lt;/sup&gt;","plainTextFormattedCitation":"[59]","previouslyFormattedCitation":"&lt;sup&gt;[59]&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[59]</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2012</w:t>
            </w:r>
          </w:p>
        </w:tc>
      </w:tr>
      <w:tr w:rsidR="00874B98" w:rsidRPr="00000DD3" w14:paraId="4CF3DAA0" w14:textId="77777777" w:rsidTr="005A52F4">
        <w:trPr>
          <w:trHeight w:val="320"/>
        </w:trPr>
        <w:tc>
          <w:tcPr>
            <w:tcW w:w="1418" w:type="dxa"/>
            <w:shd w:val="clear" w:color="auto" w:fill="auto"/>
            <w:noWrap/>
            <w:tcMar>
              <w:top w:w="15" w:type="dxa"/>
              <w:left w:w="15" w:type="dxa"/>
              <w:bottom w:w="0" w:type="dxa"/>
              <w:right w:w="15" w:type="dxa"/>
            </w:tcMar>
            <w:hideMark/>
          </w:tcPr>
          <w:p w14:paraId="5F153046"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shd w:val="clear" w:color="auto" w:fill="auto"/>
            <w:noWrap/>
            <w:tcMar>
              <w:top w:w="15" w:type="dxa"/>
              <w:left w:w="15" w:type="dxa"/>
              <w:bottom w:w="0" w:type="dxa"/>
              <w:right w:w="15" w:type="dxa"/>
            </w:tcMar>
            <w:hideMark/>
          </w:tcPr>
          <w:p w14:paraId="4AE9C372" w14:textId="27BCF3CB" w:rsidR="003831BF" w:rsidRPr="00000DD3" w:rsidRDefault="003831BF" w:rsidP="00874B98">
            <w:pPr>
              <w:spacing w:line="360" w:lineRule="auto"/>
              <w:jc w:val="both"/>
              <w:rPr>
                <w:rFonts w:ascii="Book Antiqua" w:hAnsi="Book Antiqua"/>
                <w:noProof/>
              </w:rPr>
            </w:pPr>
            <w:r w:rsidRPr="00000DD3">
              <w:rPr>
                <w:rFonts w:ascii="Book Antiqua" w:hAnsi="Book Antiqua"/>
                <w:noProof/>
              </w:rPr>
              <w:t xml:space="preserve">Adipogenesis, </w:t>
            </w:r>
            <w:r w:rsidR="00482682" w:rsidRPr="00000DD3">
              <w:rPr>
                <w:rFonts w:ascii="Book Antiqua" w:hAnsi="Book Antiqua"/>
                <w:noProof/>
              </w:rPr>
              <w:t>osteogenesis, chondrogenesis</w:t>
            </w:r>
          </w:p>
        </w:tc>
        <w:tc>
          <w:tcPr>
            <w:tcW w:w="2969" w:type="dxa"/>
            <w:shd w:val="clear" w:color="auto" w:fill="auto"/>
            <w:noWrap/>
            <w:tcMar>
              <w:top w:w="15" w:type="dxa"/>
              <w:left w:w="15" w:type="dxa"/>
              <w:bottom w:w="0" w:type="dxa"/>
              <w:right w:w="15" w:type="dxa"/>
            </w:tcMar>
            <w:hideMark/>
          </w:tcPr>
          <w:p w14:paraId="04FBDA56" w14:textId="4F67E90B" w:rsidR="003831BF" w:rsidRPr="00000DD3" w:rsidRDefault="003831BF" w:rsidP="00482682">
            <w:pPr>
              <w:spacing w:line="360" w:lineRule="auto"/>
              <w:jc w:val="both"/>
              <w:rPr>
                <w:rFonts w:ascii="Book Antiqua" w:hAnsi="Book Antiqua"/>
                <w:noProof/>
              </w:rPr>
            </w:pPr>
            <w:r w:rsidRPr="00000DD3">
              <w:rPr>
                <w:rFonts w:ascii="Book Antiqua" w:hAnsi="Book Antiqua"/>
                <w:noProof/>
              </w:rPr>
              <w:t xml:space="preserve">Guercio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{"citationItems":[{"id":"ITEM-1","itemData":{"DOI":"10.1002/cbin.10090","ISBN":"1065-6995","ISSN":"10656995","PMID":"23505013","abstract":"Adipose tissue as a stem cell source is ubiquitously available and has several advantages compared to other sources, for example it is easily accessible in large quantities with minimal invasive harvesting procedure, and isolation of adipose-derived mesenchymal stem cells (MSCs) yields a high amount of stem cells, essential for stem cell-based therapies and tissue engineering. We have explored the effect of donor age, and the anatomical origin of the adipose tissue on several aspects of MSCs in dogs, such as cell yield, proliferative ability, multi-differentiation potential, colony-forming capacity, stemness marker expression. We also assessed the effect of cell passaging on the MSCs stemness. We found that the anatomical origin of the adipose tissue and the age of donors have effects only on the proliferative capacity of the MSCs. Moreover, cells show a progressive loss of the stemness characteristics with passages. Cell therapies need a suitable number of cells to use in clinical applications. Characterization of MSCs at different passages, allowed us to demonstrate that, under our culture conditions, the best quantitative and qualitative characteristics are obtained at early passages. Adult MSCs are of particular interest for the therapeutic approach to musculoskeletal diseases, and the dog provides an excellent preclinical model for the development of new approaches in regenerative medicine that might be applied to humans.","author":[{"dropping-particle":"","family":"Guercio","given":"Annalisa","non-dropping-particle":"","parse-names":false,"suffix":""},{"dropping-particle":"","family":"Bella","given":"Santina","non-dropping-particle":"Di","parse-names":false,"suffix":""},{"dropping-particle":"","family":"Casella","given":"Stefania","non-dropping-particle":"","parse-names":false,"suffix":""},{"dropping-particle":"","family":"Marco","given":"Patrizia","non-dropping-particle":"Di","parse-names":false,"suffix":""},{"dropping-particle":"","family":"Russo","given":"Carmelo","non-dropping-particle":"","parse-names":false,"suffix":""},{"dropping-particle":"","family":"Piccione","given":"Giuseppe","non-dropping-particle":"","parse-names":false,"suffix":""}],"container-title":"Cell Biology International","id":"ITEM-1","issue":"8","issued":{"date-parts":[["2013"]]},"page":"789-98","title":"Canine mesenchymal stem cells (MSCs): Characterization in relation to donor age and adipose tissue-harvesting site","type":"article-journal","volume":"37"},"uris":["http://www.mendeley.com/documents/?uuid=c12e3be1-6960-3ee5-a7e9-3aaae73004a2"]}],"mendeley":{"formattedCitation":"&lt;sup&gt;[58]&lt;/sup&gt;","plainTextFormattedCitation":"[58]","previouslyFormattedCitation":"&lt;sup&gt;[58]&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[58]</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2013</w:t>
            </w:r>
          </w:p>
        </w:tc>
      </w:tr>
      <w:tr w:rsidR="00874B98" w:rsidRPr="00000DD3" w14:paraId="6C46461B" w14:textId="77777777" w:rsidTr="005A52F4">
        <w:trPr>
          <w:trHeight w:val="320"/>
        </w:trPr>
        <w:tc>
          <w:tcPr>
            <w:tcW w:w="1418" w:type="dxa"/>
            <w:shd w:val="clear" w:color="auto" w:fill="auto"/>
            <w:noWrap/>
            <w:tcMar>
              <w:top w:w="15" w:type="dxa"/>
              <w:left w:w="15" w:type="dxa"/>
              <w:bottom w:w="0" w:type="dxa"/>
              <w:right w:w="15" w:type="dxa"/>
            </w:tcMar>
            <w:hideMark/>
          </w:tcPr>
          <w:p w14:paraId="42170D9B"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vMerge w:val="restart"/>
            <w:shd w:val="clear" w:color="auto" w:fill="auto"/>
            <w:noWrap/>
            <w:tcMar>
              <w:top w:w="15" w:type="dxa"/>
              <w:left w:w="15" w:type="dxa"/>
              <w:bottom w:w="0" w:type="dxa"/>
              <w:right w:w="15" w:type="dxa"/>
            </w:tcMar>
            <w:hideMark/>
          </w:tcPr>
          <w:p w14:paraId="0971D937" w14:textId="232BE7FD" w:rsidR="003831BF" w:rsidRPr="00000DD3" w:rsidRDefault="003831BF" w:rsidP="00874B98">
            <w:pPr>
              <w:spacing w:line="360" w:lineRule="auto"/>
              <w:jc w:val="both"/>
              <w:rPr>
                <w:rFonts w:ascii="Book Antiqua" w:hAnsi="Book Antiqua"/>
                <w:noProof/>
              </w:rPr>
            </w:pPr>
            <w:r w:rsidRPr="00000DD3">
              <w:rPr>
                <w:rFonts w:ascii="Book Antiqua" w:hAnsi="Book Antiqua"/>
                <w:noProof/>
              </w:rPr>
              <w:t xml:space="preserve">Adipogenesis, </w:t>
            </w:r>
            <w:r w:rsidR="00482682" w:rsidRPr="00000DD3">
              <w:rPr>
                <w:rFonts w:ascii="Book Antiqua" w:hAnsi="Book Antiqua"/>
                <w:noProof/>
              </w:rPr>
              <w:t>osteogenesis, chondrogenesis</w:t>
            </w:r>
          </w:p>
        </w:tc>
        <w:tc>
          <w:tcPr>
            <w:tcW w:w="2969" w:type="dxa"/>
            <w:vMerge w:val="restart"/>
            <w:shd w:val="clear" w:color="auto" w:fill="auto"/>
            <w:noWrap/>
            <w:tcMar>
              <w:top w:w="15" w:type="dxa"/>
              <w:left w:w="15" w:type="dxa"/>
              <w:bottom w:w="0" w:type="dxa"/>
              <w:right w:w="15" w:type="dxa"/>
            </w:tcMar>
            <w:hideMark/>
          </w:tcPr>
          <w:p w14:paraId="6FA6C7A7" w14:textId="33628DEE" w:rsidR="003831BF" w:rsidRPr="00000DD3" w:rsidRDefault="003831BF" w:rsidP="00482682">
            <w:pPr>
              <w:spacing w:line="360" w:lineRule="auto"/>
              <w:jc w:val="both"/>
              <w:rPr>
                <w:rFonts w:ascii="Book Antiqua" w:hAnsi="Book Antiqua"/>
                <w:noProof/>
              </w:rPr>
            </w:pPr>
            <w:r w:rsidRPr="00000DD3">
              <w:rPr>
                <w:rFonts w:ascii="Book Antiqua" w:hAnsi="Book Antiqua"/>
                <w:noProof/>
              </w:rPr>
              <w:t xml:space="preserve">Screven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{"citationItems":[{"id":"ITEM-1","itemData":{"DOI":"10.1016/j.vetimm.2014.06.002","ISBN":"1873-2534 (Electronic)\\r0165-2427 (Linking)","ISSN":"18732534","PMID":"25026887","abstract":"Veterinary adult stem cell therapy is an emerging area of basic and clinical research. Like their human counterparts, veterinary mesenchymal stem cells (MSCs) offer many potential therapeutic benefits. The characterization of canine-derived MSCs, however, is poorly defined compared to human MSCs. Furthermore, little consensus exists regarding the expression of canine MSC cell surface markers. To address this issue, this study investigated characteristics of cultured canine MSCs derived from both adipose tissue and bone marrow. The canine MSCs were obtained from donors of various breeds and ages. A panel of cell surface markers for canine MSCs was selected based on current human and canine literature and the availability of canine-reactive antibodies. Using flow cytometry, canine MSCs were defined to be CD90+CD44+MHC I+CD14-CD29-CD34-MHC II-. Canine MSCs were further characterized using real-time RT-PCR as CD105+CD73+CD14+CD29+MHC II+CD45- at the mRNA level. Among these markers, canine MSCs differed from canine peripheral blood mononuclear cells (PBMCs) by the absence of CD45 expression at the mRNA level. A novel high-throughput canine-specific PCR array was developed and used to identify changes in the gene expression profiles of canine MSCs. Genes including PTPRC, TNF, β2M, TGFβ1, and PDGFRβ, were identified as unique to canine MSCs as compared to canine PBMCs. Our findings will facilitate characterization of canine MSCs for use in research and clinical trials. Moreover, the high-throughput PCR array is a novel tool for characterizing canine MSCs isolated from different tissues and potentially from different laboratories. © 2014.","author":[{"dropping-particle":"","family":"Screven","given":"Rudell","non-dropping-particle":"","parse-names":false,"suffix":""},{"dropping-particle":"","family":"Kenyon","given":"Elizabeth","non-dropping-particle":"","parse-names":false,"suffix":""},{"dropping-particle":"","family":"Myers","given":"Michael J.","non-dropping-particle":"","parse-names":false,"suffix":""},{"dropping-particle":"","family":"Yancy","given":"Haile F.","non-dropping-particle":"","parse-names":false,"suffix":""},{"dropping-particle":"","family":"Skasko","given":"Mark","non-dropping-particle":"","parse-names":false,"suffix":""},{"dropping-particle":"","family":"Boxer","given":"Lynne","non-dropping-particle":"","parse-names":false,"suffix":""},{"dropping-particle":"","family":"Bigley","given":"Elmer C.","non-dropping-particle":"","parse-names":false,"suffix":""},{"dropping-particle":"","family":"Borjesson","given":"Dori L.","non-dropping-particle":"","parse-names":false,"suffix":""},{"dropping-particle":"","family":"Zhu","given":"Min","non-dropping-particle":"","parse-names":false,"suffix":""}],"container-title":"Veterinary Immunology and Immunopathology","id":"ITEM-1","issue":"1-2","issued":{"date-parts":[["2014"]]},"page":"21-31","title":"Immunophenotype and gene expression profile of mesenchymal stem cells derived from canine adipose tissue and bone marrow","type":"article-journal","volume":"161"},"uris":["http://www.mendeley.com/documents/?uuid=d5727772-1149-314b-a927-8edbfbb7a0f2"]}],"mendeley":{"formattedCitation":"&lt;sup&gt;[49]&lt;/sup&gt;","plainTextFormattedCitation":"[49]","previouslyFormattedCitation":"&lt;sup&gt;[49]&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[49]</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2014</w:t>
            </w:r>
          </w:p>
        </w:tc>
      </w:tr>
      <w:tr w:rsidR="00874B98" w:rsidRPr="00000DD3" w14:paraId="4848D41F" w14:textId="77777777" w:rsidTr="005A52F4">
        <w:trPr>
          <w:trHeight w:val="320"/>
        </w:trPr>
        <w:tc>
          <w:tcPr>
            <w:tcW w:w="1418" w:type="dxa"/>
            <w:shd w:val="clear" w:color="auto" w:fill="auto"/>
            <w:noWrap/>
            <w:tcMar>
              <w:top w:w="15" w:type="dxa"/>
              <w:left w:w="15" w:type="dxa"/>
              <w:bottom w:w="0" w:type="dxa"/>
              <w:right w:w="15" w:type="dxa"/>
            </w:tcMar>
            <w:hideMark/>
          </w:tcPr>
          <w:p w14:paraId="5EFC5E23" w14:textId="77777777" w:rsidR="003831BF" w:rsidRPr="00000DD3" w:rsidRDefault="003831BF" w:rsidP="00874B98">
            <w:pPr>
              <w:spacing w:line="360" w:lineRule="auto"/>
              <w:jc w:val="both"/>
              <w:rPr>
                <w:rFonts w:ascii="Book Antiqua" w:hAnsi="Book Antiqua"/>
                <w:noProof/>
              </w:rPr>
            </w:pPr>
            <w:r w:rsidRPr="00000DD3">
              <w:rPr>
                <w:rFonts w:ascii="Book Antiqua" w:hAnsi="Book Antiqua"/>
                <w:noProof/>
              </w:rPr>
              <w:t>Bone marrow</w:t>
            </w:r>
          </w:p>
        </w:tc>
        <w:tc>
          <w:tcPr>
            <w:tcW w:w="4111" w:type="dxa"/>
            <w:vMerge/>
            <w:hideMark/>
          </w:tcPr>
          <w:p w14:paraId="12B446F3" w14:textId="77777777" w:rsidR="003831BF" w:rsidRPr="00000DD3" w:rsidRDefault="003831BF" w:rsidP="00874B98">
            <w:pPr>
              <w:spacing w:line="360" w:lineRule="auto"/>
              <w:jc w:val="both"/>
              <w:rPr>
                <w:rFonts w:ascii="Book Antiqua" w:hAnsi="Book Antiqua"/>
                <w:noProof/>
              </w:rPr>
            </w:pPr>
          </w:p>
        </w:tc>
        <w:tc>
          <w:tcPr>
            <w:tcW w:w="2969" w:type="dxa"/>
            <w:vMerge/>
            <w:hideMark/>
          </w:tcPr>
          <w:p w14:paraId="291290C6" w14:textId="77777777" w:rsidR="003831BF" w:rsidRPr="00000DD3" w:rsidRDefault="003831BF" w:rsidP="00874B98">
            <w:pPr>
              <w:spacing w:line="360" w:lineRule="auto"/>
              <w:jc w:val="both"/>
              <w:rPr>
                <w:rFonts w:ascii="Book Antiqua" w:hAnsi="Book Antiqua"/>
                <w:noProof/>
              </w:rPr>
            </w:pPr>
          </w:p>
        </w:tc>
      </w:tr>
      <w:tr w:rsidR="00874B98" w:rsidRPr="00000DD3" w14:paraId="167D7BFB" w14:textId="77777777" w:rsidTr="005A52F4">
        <w:trPr>
          <w:trHeight w:val="320"/>
        </w:trPr>
        <w:tc>
          <w:tcPr>
            <w:tcW w:w="1418" w:type="dxa"/>
            <w:shd w:val="clear" w:color="auto" w:fill="auto"/>
            <w:noWrap/>
            <w:tcMar>
              <w:top w:w="15" w:type="dxa"/>
              <w:left w:w="15" w:type="dxa"/>
              <w:bottom w:w="0" w:type="dxa"/>
              <w:right w:w="15" w:type="dxa"/>
            </w:tcMar>
          </w:tcPr>
          <w:p w14:paraId="03FB1C38" w14:textId="05150D1A" w:rsidR="001718D0" w:rsidRPr="00000DD3" w:rsidRDefault="001718D0" w:rsidP="00874B98">
            <w:pPr>
              <w:spacing w:line="360" w:lineRule="auto"/>
              <w:jc w:val="both"/>
              <w:rPr>
                <w:rFonts w:ascii="Book Antiqua" w:hAnsi="Book Antiqua"/>
                <w:noProof/>
              </w:rPr>
            </w:pPr>
            <w:r w:rsidRPr="00000DD3">
              <w:rPr>
                <w:rFonts w:ascii="Book Antiqua" w:hAnsi="Book Antiqua"/>
                <w:noProof/>
              </w:rPr>
              <w:t>Bone marrow</w:t>
            </w:r>
          </w:p>
        </w:tc>
        <w:tc>
          <w:tcPr>
            <w:tcW w:w="4111" w:type="dxa"/>
          </w:tcPr>
          <w:p w14:paraId="53764877" w14:textId="1364DADF" w:rsidR="001718D0" w:rsidRPr="00000DD3" w:rsidRDefault="001718D0" w:rsidP="00874B98">
            <w:pPr>
              <w:spacing w:line="360" w:lineRule="auto"/>
              <w:jc w:val="both"/>
              <w:rPr>
                <w:rFonts w:ascii="Book Antiqua" w:hAnsi="Book Antiqua"/>
                <w:noProof/>
              </w:rPr>
            </w:pPr>
            <w:r w:rsidRPr="00000DD3">
              <w:rPr>
                <w:rFonts w:ascii="Book Antiqua" w:hAnsi="Book Antiqua"/>
                <w:noProof/>
              </w:rPr>
              <w:t xml:space="preserve">Adipogenesis, </w:t>
            </w:r>
            <w:r w:rsidR="00482682" w:rsidRPr="00000DD3">
              <w:rPr>
                <w:rFonts w:ascii="Book Antiqua" w:hAnsi="Book Antiqua"/>
                <w:noProof/>
              </w:rPr>
              <w:t>osteogenesis, chondrogenesis</w:t>
            </w:r>
          </w:p>
        </w:tc>
        <w:tc>
          <w:tcPr>
            <w:tcW w:w="2969" w:type="dxa"/>
          </w:tcPr>
          <w:p w14:paraId="7BC6D8F0" w14:textId="35C5CAE0" w:rsidR="001718D0" w:rsidRPr="00000DD3" w:rsidRDefault="001718D0" w:rsidP="00482682">
            <w:pPr>
              <w:spacing w:line="360" w:lineRule="auto"/>
              <w:jc w:val="both"/>
              <w:rPr>
                <w:rFonts w:ascii="Book Antiqua" w:hAnsi="Book Antiqua"/>
                <w:noProof/>
              </w:rPr>
            </w:pPr>
            <w:r w:rsidRPr="00000DD3">
              <w:rPr>
                <w:rFonts w:ascii="Book Antiqua" w:hAnsi="Book Antiqua"/>
                <w:noProof/>
              </w:rPr>
              <w:t xml:space="preserve">Bertolo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{"citationItems":[{"id":"ITEM-1","itemData":{"DOI":"10.23937/2469-570X/1410005","abstract":"Bone marrow is a major source of mesenchymal stem cells (MSC), which are used in tissue engineering and other autologous stem cell therapies. Studies designed to use large canine models and translate the results to human practice must take into account the ex vivo and in vitro differences in the bone marrow samples. A set of morphological and physiological markers was used to compare MSC derived from canine and human bone marrow. Despite anticlotting treatment, frequent bone marrow clotting was a problem with canine samples, so we developed a protocol for enzymatic digestion of undesirable clots. We compared colony forming units (CFU) assay, population doubling time (PDT), senescenceassociated β-galactosidase (SA-β-Gal) activity, as well as the ability of cells to differentiate to osteogenic, adipogenic and chondrogenic phenotypes. Urokinase digestion resulted in recovery of MSC: 4-fold more CFU from canine and 1.6-fold more from human samples when compared to untreated samples. Canine MSC were less robust in vitro – they divided actively only for four weeks in culture, while human cells divided for longer than eight weeks. After six weeks in culture, canine MSC underwent 17 population doublings of while human cells reached 26. The percentage of senescent cells increased linearly with time, but with a faster rate in canine MSC. Human and canine MSC underwent differentiation to all lineages; however canine MSC had generally lower differentiation potential. In conclusion, the discrepancy between canine and human cultures must be considered in future MSC-based therapies based on dogs as animal model.","author":[{"dropping-particle":"","family":"Bertolo","given":"Alessandro","non-dropping-particle":"","parse-names":false,"suffix":""},{"dropping-particle":"","family":"Schlaefli","given":"P.","non-dropping-particle":"","parse-names":false,"suffix":""},{"dropping-particle":"","family":"Malonzo-Marty","given":"C.","non-dropping-particle":"","parse-names":false,"suffix":""},{"dropping-particle":"","family":"Baur","given":"M.","non-dropping-particle":"","parse-names":false,"suffix":""},{"dropping-particle":"","family":"Pötzel","given":"T.","non-dropping-particle":"","parse-names":false,"suffix":""},{"dropping-particle":"","family":"Steffen","given":"F","non-dropping-particle":"","parse-names":false,"suffix":""},{"dropping-particle":"","family":"Stoyanov","given":"J","non-dropping-particle":"","parse-names":false,"suffix":""}],"container-title":"Int J Stem Cell Res Ther","id":"ITEM-1","issue":"1","issued":{"date-parts":[["2015"]]},"title":"Comparative characterization of canine and human mesenchymal stem cells derived from bone marrow","type":"article-journal","volume":"2"},"uris":["http://www.mendeley.com/documents/?uuid=bbcd9e0e-3ff5-34fb-a009-68c9b5d89a0c"]}],"mendeley":{"formattedCitation":"&lt;sup&gt;[60]&lt;/sup&gt;","plainTextFormattedCitation":"[60]","previouslyFormattedCitation":"&lt;sup&gt;[60]&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[60]</w:t>
            </w:r>
            <w:r w:rsidR="00482682" w:rsidRPr="00000DD3">
              <w:rPr>
                <w:rFonts w:ascii="Book Antiqua" w:hAnsi="Book Antiqua"/>
                <w:noProof/>
              </w:rPr>
              <w:fldChar w:fldCharType="end"/>
            </w:r>
            <w:r w:rsidRPr="00000DD3">
              <w:rPr>
                <w:rFonts w:ascii="Book Antiqua" w:hAnsi="Book Antiqua"/>
                <w:i/>
                <w:noProof/>
              </w:rPr>
              <w:t xml:space="preserve">, </w:t>
            </w:r>
            <w:r w:rsidRPr="00000DD3">
              <w:rPr>
                <w:rFonts w:ascii="Book Antiqua" w:hAnsi="Book Antiqua"/>
                <w:noProof/>
              </w:rPr>
              <w:t>2015</w:t>
            </w:r>
          </w:p>
        </w:tc>
      </w:tr>
      <w:tr w:rsidR="00874B98" w:rsidRPr="00000DD3" w14:paraId="731A9569" w14:textId="77777777" w:rsidTr="005A52F4">
        <w:trPr>
          <w:trHeight w:val="320"/>
        </w:trPr>
        <w:tc>
          <w:tcPr>
            <w:tcW w:w="1418" w:type="dxa"/>
            <w:shd w:val="clear" w:color="auto" w:fill="auto"/>
            <w:noWrap/>
            <w:tcMar>
              <w:top w:w="15" w:type="dxa"/>
              <w:left w:w="15" w:type="dxa"/>
              <w:bottom w:w="0" w:type="dxa"/>
              <w:right w:w="15" w:type="dxa"/>
            </w:tcMar>
            <w:hideMark/>
          </w:tcPr>
          <w:p w14:paraId="2CFE7B16"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vMerge w:val="restart"/>
            <w:shd w:val="clear" w:color="auto" w:fill="auto"/>
            <w:noWrap/>
            <w:tcMar>
              <w:top w:w="15" w:type="dxa"/>
              <w:left w:w="15" w:type="dxa"/>
              <w:bottom w:w="0" w:type="dxa"/>
              <w:right w:w="15" w:type="dxa"/>
            </w:tcMar>
            <w:hideMark/>
          </w:tcPr>
          <w:p w14:paraId="39C4BBF5" w14:textId="2A6406D7" w:rsidR="001718D0" w:rsidRPr="00000DD3" w:rsidRDefault="001718D0" w:rsidP="00874B98">
            <w:pPr>
              <w:spacing w:line="360" w:lineRule="auto"/>
              <w:jc w:val="both"/>
              <w:rPr>
                <w:rFonts w:ascii="Book Antiqua" w:hAnsi="Book Antiqua"/>
                <w:noProof/>
              </w:rPr>
            </w:pPr>
            <w:r w:rsidRPr="00000DD3">
              <w:rPr>
                <w:rFonts w:ascii="Book Antiqua" w:hAnsi="Book Antiqua"/>
                <w:noProof/>
              </w:rPr>
              <w:t xml:space="preserve">Osteogenesis, </w:t>
            </w:r>
            <w:r w:rsidR="00482682" w:rsidRPr="00000DD3">
              <w:rPr>
                <w:rFonts w:ascii="Book Antiqua" w:hAnsi="Book Antiqua"/>
                <w:noProof/>
              </w:rPr>
              <w:t>c</w:t>
            </w:r>
            <w:r w:rsidRPr="00000DD3">
              <w:rPr>
                <w:rFonts w:ascii="Book Antiqua" w:hAnsi="Book Antiqua"/>
                <w:noProof/>
              </w:rPr>
              <w:t>hondrogenesis</w:t>
            </w:r>
          </w:p>
        </w:tc>
        <w:tc>
          <w:tcPr>
            <w:tcW w:w="2969" w:type="dxa"/>
            <w:vMerge w:val="restart"/>
            <w:shd w:val="clear" w:color="auto" w:fill="auto"/>
            <w:noWrap/>
            <w:tcMar>
              <w:top w:w="15" w:type="dxa"/>
              <w:left w:w="15" w:type="dxa"/>
              <w:bottom w:w="0" w:type="dxa"/>
              <w:right w:w="15" w:type="dxa"/>
            </w:tcMar>
            <w:hideMark/>
          </w:tcPr>
          <w:p w14:paraId="4B6B6BFD" w14:textId="356786DA" w:rsidR="001718D0" w:rsidRPr="00000DD3" w:rsidRDefault="001718D0" w:rsidP="00482682">
            <w:pPr>
              <w:spacing w:line="360" w:lineRule="auto"/>
              <w:jc w:val="both"/>
              <w:rPr>
                <w:rFonts w:ascii="Book Antiqua" w:hAnsi="Book Antiqua"/>
                <w:noProof/>
              </w:rPr>
            </w:pPr>
            <w:r w:rsidRPr="00000DD3">
              <w:rPr>
                <w:rFonts w:ascii="Book Antiqua" w:hAnsi="Book Antiqua"/>
                <w:noProof/>
              </w:rPr>
              <w:t xml:space="preserve">Sullivan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{"citationItems":[{"id":"ITEM-1","itemData":{"DOI":"10.3389/fvets.2015.00082","ISBN":"2297-1769 (Electronic)\\r2297-1769 (Linking)","ISSN":"2297-1769","PMID":"26835460","abstract":"The objective of this study was to subjectively evaluate the harvest of two areas of adipose collection and three areas of bone marrow collection as potential sites for clinical harvest of adipose stromal vascular fraction (SVF) and bone marrow concentrate for clinical use by quantifying the amount of tissue harvested, subjective ease of harvest, the variation of each site, and determining the cell surface marker characteristics using commercially available antibodies. Bone marrow and adipose tissue samples were collected from 10 adult mixed breed dogs. Adipose tissue was collected from the caudal scapular region and falciform fat ligament. Bone marrow aspirates were collected from the ilium, humerus, and tibia. Tissues were weighed (adipose) or measured by volume (bone marrow), processed to isolate the SVF or bone marrow concentrate, and flow cytometry was performed to quantitate the percentage of cells that were CD90, CD44 positive, and CD45 negative. Sites and tissue types were compared using matched pairs t-test. Subjectively subcutaneous fat collection was the most difficult and large amounts of tissue dissection were necessary. Additionally the subcutaneous area yielded less than the goal amount of tissue. The bone marrow harvest ranged from 10 to 27.5 ml. Adipose tissue had the highest concentration of cells with CD90(+), CD44(+), and CD45(-) markers (P &lt; 0.05), and bone marrow had the highest total number of these cells at harvest (P &lt; 0.05). Variation was high for all sites, but the adipose collection yielded more consistent results. These results describe the relative cellular components in the SVF of adipose tissue and bone marrow as defined by the biomarkers chosen. Although bone marrow yielded higher absolute cell numbers on average, adipose tissue yielded more consistent results. Fat from the falciform ligament was easily obtained with less dissection and therefore created less perceived relative patient trauma.","author":[{"dropping-particle":"","family":"Sullivan","given":"Meghan O.","non-dropping-particle":"","parse-names":false,"suffix":""},{"dropping-particle":"","family":"Gordon-Evans","given":"Wanda J.","non-dropping-particle":"","parse-names":false,"suffix":""},{"dropping-particle":"","family":"Fredericks","given":"Lisa Page","non-dropping-particle":"","parse-names":false,"suffix":""},{"dropping-particle":"","family":"Kiefer","given":"Kristina","non-dropping-particle":"","parse-names":false,"suffix":""},{"dropping-particle":"","family":"Conzemius","given":"Michael G.","non-dropping-particle":"","parse-names":false,"suffix":""},{"dropping-particle":"","family":"Griffon","given":"Dominique J.","non-dropping-particle":"","parse-names":false,"suffix":""}],"container-title":"Frontiers in Veterinary Science","id":"ITEM-1","issue":"82","issued":{"date-parts":[["2016"]]},"title":"Comparison of mesenchymal stem cell surface markers from bone marrow aspirates and adipose stromal vascular fraction sites","type":"article-journal","volume":"2"},"uris":["http://www.mendeley.com/documents/?uuid=0333e662-5e7c-30ab-807a-00844d386a39"]}],"mendeley":{"formattedCitation":"&lt;sup&gt;[118]&lt;/sup&gt;","plainTextFormattedCitation":"[118]","previouslyFormattedCitation":"&lt;sup&gt;[118]&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[118]</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w:t>
            </w:r>
            <w:r w:rsidR="003F462D" w:rsidRPr="00000DD3">
              <w:rPr>
                <w:rFonts w:ascii="Book Antiqua" w:hAnsi="Book Antiqua"/>
                <w:noProof/>
              </w:rPr>
              <w:t>6</w:t>
            </w:r>
          </w:p>
        </w:tc>
      </w:tr>
      <w:tr w:rsidR="00874B98" w:rsidRPr="00000DD3" w14:paraId="6CB8ADC4" w14:textId="77777777" w:rsidTr="005A52F4">
        <w:trPr>
          <w:trHeight w:val="320"/>
        </w:trPr>
        <w:tc>
          <w:tcPr>
            <w:tcW w:w="1418" w:type="dxa"/>
            <w:shd w:val="clear" w:color="auto" w:fill="auto"/>
            <w:noWrap/>
            <w:tcMar>
              <w:top w:w="15" w:type="dxa"/>
              <w:left w:w="15" w:type="dxa"/>
              <w:bottom w:w="0" w:type="dxa"/>
              <w:right w:w="15" w:type="dxa"/>
            </w:tcMar>
            <w:hideMark/>
          </w:tcPr>
          <w:p w14:paraId="5DE2C871"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Bone marrow</w:t>
            </w:r>
          </w:p>
        </w:tc>
        <w:tc>
          <w:tcPr>
            <w:tcW w:w="4111" w:type="dxa"/>
            <w:vMerge/>
            <w:hideMark/>
          </w:tcPr>
          <w:p w14:paraId="60307516" w14:textId="77777777" w:rsidR="001718D0" w:rsidRPr="00000DD3" w:rsidRDefault="001718D0" w:rsidP="00874B98">
            <w:pPr>
              <w:spacing w:line="360" w:lineRule="auto"/>
              <w:jc w:val="both"/>
              <w:rPr>
                <w:rFonts w:ascii="Book Antiqua" w:hAnsi="Book Antiqua"/>
                <w:noProof/>
              </w:rPr>
            </w:pPr>
          </w:p>
        </w:tc>
        <w:tc>
          <w:tcPr>
            <w:tcW w:w="2969" w:type="dxa"/>
            <w:vMerge/>
            <w:hideMark/>
          </w:tcPr>
          <w:p w14:paraId="3E08A542" w14:textId="77777777" w:rsidR="001718D0" w:rsidRPr="00000DD3" w:rsidRDefault="001718D0" w:rsidP="00874B98">
            <w:pPr>
              <w:spacing w:line="360" w:lineRule="auto"/>
              <w:jc w:val="both"/>
              <w:rPr>
                <w:rFonts w:ascii="Book Antiqua" w:hAnsi="Book Antiqua"/>
                <w:noProof/>
              </w:rPr>
            </w:pPr>
          </w:p>
        </w:tc>
      </w:tr>
      <w:tr w:rsidR="00874B98" w:rsidRPr="00000DD3" w14:paraId="6591CCF9" w14:textId="77777777" w:rsidTr="005A52F4">
        <w:trPr>
          <w:trHeight w:val="320"/>
        </w:trPr>
        <w:tc>
          <w:tcPr>
            <w:tcW w:w="1418" w:type="dxa"/>
            <w:shd w:val="clear" w:color="auto" w:fill="auto"/>
            <w:noWrap/>
            <w:tcMar>
              <w:top w:w="15" w:type="dxa"/>
              <w:left w:w="15" w:type="dxa"/>
              <w:bottom w:w="0" w:type="dxa"/>
              <w:right w:w="15" w:type="dxa"/>
            </w:tcMar>
            <w:hideMark/>
          </w:tcPr>
          <w:p w14:paraId="122D9FE1"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vMerge w:val="restart"/>
            <w:shd w:val="clear" w:color="auto" w:fill="auto"/>
            <w:noWrap/>
            <w:tcMar>
              <w:top w:w="15" w:type="dxa"/>
              <w:left w:w="15" w:type="dxa"/>
              <w:bottom w:w="0" w:type="dxa"/>
              <w:right w:w="15" w:type="dxa"/>
            </w:tcMar>
            <w:hideMark/>
          </w:tcPr>
          <w:p w14:paraId="7B5B485C" w14:textId="433E58EB" w:rsidR="001718D0" w:rsidRPr="00000DD3" w:rsidRDefault="001718D0" w:rsidP="00874B98">
            <w:pPr>
              <w:spacing w:line="360" w:lineRule="auto"/>
              <w:jc w:val="both"/>
              <w:rPr>
                <w:rFonts w:ascii="Book Antiqua" w:hAnsi="Book Antiqua"/>
                <w:noProof/>
              </w:rPr>
            </w:pPr>
            <w:r w:rsidRPr="00000DD3">
              <w:rPr>
                <w:rFonts w:ascii="Book Antiqua" w:hAnsi="Book Antiqua"/>
                <w:noProof/>
              </w:rPr>
              <w:t xml:space="preserve">Adipogenesis, </w:t>
            </w:r>
            <w:r w:rsidR="00482682" w:rsidRPr="00000DD3">
              <w:rPr>
                <w:rFonts w:ascii="Book Antiqua" w:hAnsi="Book Antiqua"/>
                <w:noProof/>
              </w:rPr>
              <w:t>o</w:t>
            </w:r>
            <w:r w:rsidRPr="00000DD3">
              <w:rPr>
                <w:rFonts w:ascii="Book Antiqua" w:hAnsi="Book Antiqua"/>
                <w:noProof/>
              </w:rPr>
              <w:t>steogenesis</w:t>
            </w:r>
          </w:p>
        </w:tc>
        <w:tc>
          <w:tcPr>
            <w:tcW w:w="2969" w:type="dxa"/>
            <w:vMerge w:val="restart"/>
            <w:shd w:val="clear" w:color="auto" w:fill="auto"/>
            <w:noWrap/>
            <w:tcMar>
              <w:top w:w="15" w:type="dxa"/>
              <w:left w:w="15" w:type="dxa"/>
              <w:bottom w:w="0" w:type="dxa"/>
              <w:right w:w="15" w:type="dxa"/>
            </w:tcMar>
            <w:hideMark/>
          </w:tcPr>
          <w:p w14:paraId="77F3F884" w14:textId="41EE22F9" w:rsidR="001718D0" w:rsidRPr="00000DD3" w:rsidRDefault="001718D0" w:rsidP="00482682">
            <w:pPr>
              <w:spacing w:line="360" w:lineRule="auto"/>
              <w:jc w:val="both"/>
              <w:rPr>
                <w:rFonts w:ascii="Book Antiqua" w:hAnsi="Book Antiqua"/>
                <w:noProof/>
              </w:rPr>
            </w:pPr>
            <w:r w:rsidRPr="00000DD3">
              <w:rPr>
                <w:rFonts w:ascii="Book Antiqua" w:hAnsi="Book Antiqua"/>
                <w:noProof/>
              </w:rPr>
              <w:t xml:space="preserve">Russell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{"citationItems":[{"id":"ITEM-1","itemData":{"DOI":"10.1371/journal.pone.0167442","ISSN":"19326203","PMID":"27907211","abstract":"Background Mesenchymal stromal cells (MSC) hold promise for both cell replacement and immune modulation strategies owing to their progenitor and non-progenitor functions, respectively. Characterization of MSC from different sources is an important and necessary step before clinical use of these cells is widely adopted. Little is known about the biology and function of canine MSC compared to their mouse or human counterparts. This knowledge-gap impedes development of canine evidence-based MSC technologies. Hypothesis and Objectives We hypothesized that canine adipose tissue (AT) and bone marrow (BM) MSC (derived from the same dogs) will have similar differentiation and immune modulatory profiles. Our objectives were to evaluate progenitor and non-progenitor functions as well as other characteristics of AT- and BM-MSC including 1) proliferation rate, 2) cell surface marker expression, 3) DNA methylation levels, 4) potential for trilineage differentiation towards osteogenic, adipogenic, and chondrogenic cell fates, and 5) immunomodulatory potency in vitro. Results 1) AT-MSC proliferated at more than double the rate of BM-MSC (population doubling times in days) for passage (P) 2, AT: 1.69, BM: 3.81; P3, AT: 1.80, BM: 4.06; P4, AT: 2.37, BM: 5.34; P5, AT: 3.20, BM: 7.21). 2) Canine MSC, regardless of source, strongly expressed cell surface markers MHC I, CD29, CD44, and CD90, and were negative for MHC II and CD45. They also showed moderate expression of CD8 and CD73 and mild expression of CD14. Minor differences were found in expression of CD4 and CD34. 3) Global DNA methylation levels were significantly lower in BM-MSC compared to AT-MSC. 4) Little difference was found between AT- and BM-MSC in their potential for adipogenesis and osteogenesis. Chondrogenesis was poor to absent for both sources in spite of adding varying levels of bone-morphogenic protein to our standard transforming growth factor (TGF-β3)-based induction medium. 5) Immunomodulatory capacity was equal regardless of cell source when tested in mitogen-stimulated lymphocyte reactions. Priming of MSC with pro-inflammatory factors interferon-gamma and/or tumour necrosis factor did not increase the lymphocyte suppressive properties of the MSC compared to untreated MSC. Conclusions/Significance No significant differences were found between AT- and BM-MSC with regard to their immunophenotype, progenitor, and non-progenitor functions. Both MSC populations showed strong adipogenic and osteogenic pote…","author":[{"dropping-particle":"","family":"Russell","given":"Keith A.","non-dropping-particle":"","parse-names":false,"suffix":""},{"dropping-particle":"","family":"Chow","given":"Natalie H.C.","non-dropping-particle":"","parse-names":false,"suffix":""},{"dropping-particle":"","family":"Dukoff","given":"David","non-dropping-particle":"","parse-names":false,"suffix":""},{"dropping-particle":"","family":"Gibson","given":"Thomas W.G.","non-dropping-particle":"","parse-names":false,"suffix":""},{"dropping-particle":"","family":"Marre","given":"Jonathan","non-dropping-particle":"La","parse-names":false,"suffix":""},{"dropping-particle":"","family":"Betts","given":"Dean H.","non-dropping-particle":"","parse-names":false,"suffix":""},{"dropping-particle":"","family":"Koch","given":"Thomas G.","non-dropping-particle":"","parse-names":false,"suffix":""}],"container-title":"PLoS ONE","id":"ITEM-1","issue":"12","issued":{"date-parts":[["2016"]]},"page":"e0167442","title":"Characterization and immunomodulatory effects of canine adipose tissue- and bone marrow-derived mesenchymal stromal cells","type":"article-journal","volume":"11"},"uris":["http://www.mendeley.com/documents/?uuid=54ed6e68-edff-327f-92f1-8478de0264e8"]}],"mendeley":{"formattedCitation":"&lt;sup&gt;[57]&lt;/sup&gt;","plainTextFormattedCitation":"[57]","previouslyFormattedCitation":"&lt;sup&gt;[57]&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[57]</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2016</w:t>
            </w:r>
          </w:p>
        </w:tc>
      </w:tr>
      <w:tr w:rsidR="00874B98" w:rsidRPr="00000DD3" w14:paraId="79115917" w14:textId="77777777" w:rsidTr="005A52F4">
        <w:trPr>
          <w:trHeight w:val="320"/>
        </w:trPr>
        <w:tc>
          <w:tcPr>
            <w:tcW w:w="1418" w:type="dxa"/>
            <w:shd w:val="clear" w:color="auto" w:fill="auto"/>
            <w:noWrap/>
            <w:tcMar>
              <w:top w:w="15" w:type="dxa"/>
              <w:left w:w="15" w:type="dxa"/>
              <w:bottom w:w="0" w:type="dxa"/>
              <w:right w:w="15" w:type="dxa"/>
            </w:tcMar>
            <w:hideMark/>
          </w:tcPr>
          <w:p w14:paraId="25715163"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Bone marrow</w:t>
            </w:r>
          </w:p>
        </w:tc>
        <w:tc>
          <w:tcPr>
            <w:tcW w:w="4111" w:type="dxa"/>
            <w:vMerge/>
            <w:hideMark/>
          </w:tcPr>
          <w:p w14:paraId="074C1025" w14:textId="77777777" w:rsidR="001718D0" w:rsidRPr="00000DD3" w:rsidRDefault="001718D0" w:rsidP="00874B98">
            <w:pPr>
              <w:spacing w:line="360" w:lineRule="auto"/>
              <w:jc w:val="both"/>
              <w:rPr>
                <w:rFonts w:ascii="Book Antiqua" w:hAnsi="Book Antiqua"/>
                <w:noProof/>
              </w:rPr>
            </w:pPr>
          </w:p>
        </w:tc>
        <w:tc>
          <w:tcPr>
            <w:tcW w:w="2969" w:type="dxa"/>
            <w:vMerge/>
            <w:hideMark/>
          </w:tcPr>
          <w:p w14:paraId="0C14125E" w14:textId="77777777" w:rsidR="001718D0" w:rsidRPr="00000DD3" w:rsidRDefault="001718D0" w:rsidP="00874B98">
            <w:pPr>
              <w:spacing w:line="360" w:lineRule="auto"/>
              <w:jc w:val="both"/>
              <w:rPr>
                <w:rFonts w:ascii="Book Antiqua" w:hAnsi="Book Antiqua"/>
                <w:noProof/>
              </w:rPr>
            </w:pPr>
          </w:p>
        </w:tc>
      </w:tr>
      <w:tr w:rsidR="00874B98" w:rsidRPr="00000DD3" w14:paraId="0642C827" w14:textId="77777777" w:rsidTr="005A52F4">
        <w:trPr>
          <w:trHeight w:val="320"/>
        </w:trPr>
        <w:tc>
          <w:tcPr>
            <w:tcW w:w="1418" w:type="dxa"/>
            <w:shd w:val="clear" w:color="auto" w:fill="auto"/>
            <w:noWrap/>
            <w:tcMar>
              <w:top w:w="15" w:type="dxa"/>
              <w:left w:w="15" w:type="dxa"/>
              <w:bottom w:w="0" w:type="dxa"/>
              <w:right w:w="15" w:type="dxa"/>
            </w:tcMar>
            <w:hideMark/>
          </w:tcPr>
          <w:p w14:paraId="2993C95C"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Synovium</w:t>
            </w:r>
          </w:p>
        </w:tc>
        <w:tc>
          <w:tcPr>
            <w:tcW w:w="4111" w:type="dxa"/>
            <w:shd w:val="clear" w:color="auto" w:fill="auto"/>
            <w:noWrap/>
            <w:tcMar>
              <w:top w:w="15" w:type="dxa"/>
              <w:left w:w="15" w:type="dxa"/>
              <w:bottom w:w="0" w:type="dxa"/>
              <w:right w:w="15" w:type="dxa"/>
            </w:tcMar>
            <w:hideMark/>
          </w:tcPr>
          <w:p w14:paraId="25A08798" w14:textId="16868970" w:rsidR="001718D0" w:rsidRPr="00000DD3" w:rsidRDefault="001718D0" w:rsidP="00874B98">
            <w:pPr>
              <w:spacing w:line="360" w:lineRule="auto"/>
              <w:jc w:val="both"/>
              <w:rPr>
                <w:rFonts w:ascii="Book Antiqua" w:hAnsi="Book Antiqua"/>
                <w:noProof/>
              </w:rPr>
            </w:pPr>
            <w:r w:rsidRPr="00000DD3">
              <w:rPr>
                <w:rFonts w:ascii="Book Antiqua" w:hAnsi="Book Antiqua"/>
                <w:noProof/>
              </w:rPr>
              <w:t xml:space="preserve">Adipogenesis, </w:t>
            </w:r>
            <w:r w:rsidR="00482682" w:rsidRPr="00000DD3">
              <w:rPr>
                <w:rFonts w:ascii="Book Antiqua" w:hAnsi="Book Antiqua"/>
                <w:noProof/>
              </w:rPr>
              <w:t>osteogenesis, chondrogenesis, osteoclast differentiation</w:t>
            </w:r>
          </w:p>
        </w:tc>
        <w:tc>
          <w:tcPr>
            <w:tcW w:w="2969" w:type="dxa"/>
            <w:shd w:val="clear" w:color="auto" w:fill="auto"/>
            <w:noWrap/>
            <w:tcMar>
              <w:top w:w="15" w:type="dxa"/>
              <w:left w:w="15" w:type="dxa"/>
              <w:bottom w:w="0" w:type="dxa"/>
              <w:right w:w="15" w:type="dxa"/>
            </w:tcMar>
            <w:hideMark/>
          </w:tcPr>
          <w:p w14:paraId="1A7E9C66" w14:textId="1F6F8C58" w:rsidR="001718D0" w:rsidRPr="00000DD3" w:rsidRDefault="001718D0" w:rsidP="00482682">
            <w:pPr>
              <w:spacing w:line="360" w:lineRule="auto"/>
              <w:jc w:val="both"/>
              <w:rPr>
                <w:rFonts w:ascii="Book Antiqua" w:hAnsi="Book Antiqua"/>
                <w:noProof/>
              </w:rPr>
            </w:pPr>
            <w:r w:rsidRPr="00000DD3">
              <w:rPr>
                <w:rFonts w:ascii="Book Antiqua" w:hAnsi="Book Antiqua"/>
                <w:noProof/>
              </w:rPr>
              <w:t xml:space="preserve">Wijekoon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{"citationItems":[{"id":"ITEM-1","itemData":{"DOI":"10.1016/j.rvsc.2017.07.004","ISSN":"15322661","PMID":"28711819","abstract":"The objective of this study was to assess the differentiation capability of synoviocytes derived from dogs with inflammatory joint conditions. Cranial cruciate ligament ruptured (CCLr) (n = 12) and medial patella luxated (MPL) (n = 10) knee joints of the dogs were used to collect the synovial membrane (SM). Synoviocytes were enzymatically released from the SM and analyzed by flow cytometry for specific cellular markers (CD44 and CD90) of mesenchymal stem cells (MSCs), while doing histopathology from another part of SM sections. Under specific culture conditions, synoviocytes were forced to differentiate into chondrogenesis, adipogenesis, osteogenesis and osteoclastogenesis to investigate the multipotency. Upon treatments phenotypes of cell cultures were analyzed by histopathology and by semi-quantitative reverse transcriptase polymerase chain reaction for the expression of each differentiation marker genes. Although flow cytometry showing similar MSCs populations in CCLr and MPL synovium, synovial cells derived from CCLr showed higher multipotency compared to MPL-derived samples. Further, synovial changes such as vascularity, mononuclear cell infiltration and cellular hypertrophy were more pronounced in CCLr-derived synovial tissue than in MPL. Taken together, these findings suggested that the differentiation capability of SM-derived multipotent stem cells varies with inflammatory severity occurring in different joint conditions.","author":[{"dropping-particle":"","family":"Wijekoon","given":"H. M.Suranji","non-dropping-particle":"","parse-names":false,"suffix":""},{"dropping-particle":"","family":"Toyota","given":"Kazuhide","non-dropping-particle":"","parse-names":false,"suffix":""},{"dropping-particle":"","family":"Kim","given":"Sangho","non-dropping-particle":"","parse-names":false,"suffix":""},{"dropping-particle":"","family":"Fang","given":"Jing","non-dropping-particle":"","parse-names":false,"suffix":""},{"dropping-particle":"","family":"Bwalya","given":"Eugene C.","non-dropping-particle":"","parse-names":false,"suffix":""},{"dropping-particle":"","family":"Hosoya","given":"Kenji","non-dropping-particle":"","parse-names":false,"suffix":""},{"dropping-particle":"","family":"Okumura","given":"Masahiro","non-dropping-particle":"","parse-names":false,"suffix":""}],"container-title":"Research in Veterinary Science","id":"ITEM-1","issued":{"date-parts":[["2017"]]},"page":"370-377","title":"Differentiation potential of synoviocytes derived from joints with cranial cruciate ligament rupture and medial patella luxation in dogs","type":"article-journal","volume":"114"},"uris":["http://www.mendeley.com/documents/?uuid=6aee5a53-718f-3607-935c-79b294c7654b"]}],"mendeley":{"formattedCitation":"&lt;sup&gt;[54]&lt;/sup&gt;","plainTextFormattedCitation":"[54]","previouslyFormattedCitation":"&lt;sup&gt;[54]&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[54]</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2017</w:t>
            </w:r>
          </w:p>
        </w:tc>
      </w:tr>
      <w:tr w:rsidR="00874B98" w:rsidRPr="00000DD3" w14:paraId="10B1A373" w14:textId="77777777" w:rsidTr="005A52F4">
        <w:trPr>
          <w:trHeight w:val="320"/>
        </w:trPr>
        <w:tc>
          <w:tcPr>
            <w:tcW w:w="1418" w:type="dxa"/>
            <w:shd w:val="clear" w:color="auto" w:fill="auto"/>
            <w:noWrap/>
            <w:tcMar>
              <w:top w:w="15" w:type="dxa"/>
              <w:left w:w="15" w:type="dxa"/>
              <w:bottom w:w="0" w:type="dxa"/>
              <w:right w:w="15" w:type="dxa"/>
            </w:tcMar>
            <w:hideMark/>
          </w:tcPr>
          <w:p w14:paraId="4B054481"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vMerge w:val="restart"/>
            <w:shd w:val="clear" w:color="auto" w:fill="auto"/>
            <w:noWrap/>
            <w:tcMar>
              <w:top w:w="15" w:type="dxa"/>
              <w:left w:w="15" w:type="dxa"/>
              <w:bottom w:w="0" w:type="dxa"/>
              <w:right w:w="15" w:type="dxa"/>
            </w:tcMar>
            <w:hideMark/>
          </w:tcPr>
          <w:p w14:paraId="2421D584" w14:textId="32C08EFD" w:rsidR="001718D0" w:rsidRPr="00000DD3" w:rsidRDefault="001718D0" w:rsidP="00874B98">
            <w:pPr>
              <w:spacing w:line="360" w:lineRule="auto"/>
              <w:jc w:val="both"/>
              <w:rPr>
                <w:rFonts w:ascii="Book Antiqua" w:hAnsi="Book Antiqua"/>
                <w:noProof/>
              </w:rPr>
            </w:pPr>
            <w:r w:rsidRPr="00000DD3">
              <w:rPr>
                <w:rFonts w:ascii="Book Antiqua" w:hAnsi="Book Antiqua"/>
                <w:noProof/>
              </w:rPr>
              <w:t xml:space="preserve">Adipogenesis, </w:t>
            </w:r>
            <w:r w:rsidR="00482682" w:rsidRPr="00000DD3">
              <w:rPr>
                <w:rFonts w:ascii="Book Antiqua" w:hAnsi="Book Antiqua"/>
                <w:noProof/>
              </w:rPr>
              <w:t>osteogenesis, chondrogenesis</w:t>
            </w:r>
          </w:p>
        </w:tc>
        <w:tc>
          <w:tcPr>
            <w:tcW w:w="2969" w:type="dxa"/>
            <w:vMerge w:val="restart"/>
            <w:shd w:val="clear" w:color="auto" w:fill="auto"/>
            <w:noWrap/>
            <w:tcMar>
              <w:top w:w="15" w:type="dxa"/>
              <w:left w:w="15" w:type="dxa"/>
              <w:bottom w:w="0" w:type="dxa"/>
              <w:right w:w="15" w:type="dxa"/>
            </w:tcMar>
            <w:hideMark/>
          </w:tcPr>
          <w:p w14:paraId="4108FBD3" w14:textId="59331A7A" w:rsidR="001718D0" w:rsidRPr="00000DD3" w:rsidRDefault="001718D0" w:rsidP="00482682">
            <w:pPr>
              <w:spacing w:line="360" w:lineRule="auto"/>
              <w:jc w:val="both"/>
              <w:rPr>
                <w:rFonts w:ascii="Book Antiqua" w:hAnsi="Book Antiqua"/>
                <w:noProof/>
              </w:rPr>
            </w:pPr>
            <w:r w:rsidRPr="00000DD3">
              <w:rPr>
                <w:rFonts w:ascii="Book Antiqua" w:hAnsi="Book Antiqua"/>
                <w:noProof/>
              </w:rPr>
              <w:t xml:space="preserve">Bearden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{"citationItems":[{"id":"ITEM-1","itemData":{"DOI":"10.1186/s13287-017-0639-6","ISSN":"17576512","PMID":"28974260","abstract":"BACKGROUND The dog represents an excellent large animal model for translational cell-based studies. Importantly, the properties of canine multipotent stromal cells (cMSCs) and the ideal tissue source for specific translational studies have yet to be established. The aim of this study was to characterize cMSCs derived from synovium, bone marrow, and adipose tissue using a donor-matched study design and a comprehensive series of in-vitro characterization, differentiation, and immunomodulation assays. METHODS Canine MSCs were isolated from five dogs with cranial cruciate ligament rupture. All 15 cMSC preparations were evaluated using colony forming unit (CFU) assays, flow cytometry analysis, RT-PCR for pluripotency-associated genes, proliferation assays, trilineage differentiation assays, and immunomodulation assays. Data were reported as mean</w:instrText>
            </w:r>
            <w:r w:rsidR="00482682" w:rsidRPr="00000DD3">
              <w:rPr>
                <w:rFonts w:ascii="Times New Roman" w:hAnsi="Times New Roman" w:cs="Times New Roman"/>
                <w:noProof/>
              </w:rPr>
              <w:instrText> </w:instrText>
            </w:r>
            <w:r w:rsidR="00482682" w:rsidRPr="00000DD3">
              <w:rPr>
                <w:rFonts w:ascii="Book Antiqua" w:hAnsi="Book Antiqua"/>
                <w:noProof/>
              </w:rPr>
              <w:instrText>±</w:instrText>
            </w:r>
            <w:r w:rsidR="00482682" w:rsidRPr="00000DD3">
              <w:rPr>
                <w:rFonts w:ascii="Times New Roman" w:hAnsi="Times New Roman" w:cs="Times New Roman"/>
                <w:noProof/>
              </w:rPr>
              <w:instrText> </w:instrText>
            </w:r>
            <w:r w:rsidR="00482682" w:rsidRPr="00000DD3">
              <w:rPr>
                <w:rFonts w:ascii="Book Antiqua" w:hAnsi="Book Antiqua"/>
                <w:noProof/>
              </w:rPr>
              <w:instrText>standard deviation and compared using repeated-measures analysis of variance and Tukey post-hoc test. Significance was established at p</w:instrText>
            </w:r>
            <w:r w:rsidR="00482682" w:rsidRPr="00000DD3">
              <w:rPr>
                <w:rFonts w:ascii="Times New Roman" w:hAnsi="Times New Roman" w:cs="Times New Roman"/>
                <w:noProof/>
              </w:rPr>
              <w:instrText> </w:instrText>
            </w:r>
            <w:r w:rsidR="00482682" w:rsidRPr="00000DD3">
              <w:rPr>
                <w:rFonts w:ascii="Book Antiqua" w:hAnsi="Book Antiqua"/>
                <w:noProof/>
              </w:rPr>
              <w:instrText>&lt;</w:instrText>
            </w:r>
            <w:r w:rsidR="00482682" w:rsidRPr="00000DD3">
              <w:rPr>
                <w:rFonts w:ascii="Times New Roman" w:hAnsi="Times New Roman" w:cs="Times New Roman"/>
                <w:noProof/>
              </w:rPr>
              <w:instrText> </w:instrText>
            </w:r>
            <w:r w:rsidR="00482682" w:rsidRPr="00000DD3">
              <w:rPr>
                <w:rFonts w:ascii="Book Antiqua" w:hAnsi="Book Antiqua"/>
                <w:noProof/>
              </w:rPr>
              <w:instrText>0.05. RESULTS All tissue samples produced plastic adherent, spindle-shaped preparations of cMSCs. Cells were negative for CD34, CD45, and STRO-1 and positive for CD9, CD44, and CD90, whereas the degree to which cells were positive for CD105 was variable depending on tissue of origin. Cells were positive for the pluripotency-associated genes NANOG, OCT4, and SOX2. Accounting for donor and tissue sources, there were significant differences in CFU potential, rate of proliferation, trilineage differentiation, and immunomodulatory response. Synovium and marrow cMSCs exhibited superior early osteogenic activity, but when assessing late-stage osteogenesis no significant differences were detected. Interestingly, bone morphogenic protein-2 (BMP-2) supplementation was necessary for early-stage and late-stage osteogenic differentiation, a finding consistent with other canine studies. Additionally, synovium and adipose cMSCs proliferated more rapidly, displayed higher CFU potential, and formed larger aggregates in chondrogenic assays, although proteoglycan and collagen type II staining were subjectively decreased in adipose pellets as compared to synovial and marrow pellets. Lastly, cMSCs derived from all three tissue sources modulated murine macrophage TNF-α and IL-6 levels in a lipopolysaccharide-stimulated coculture assay. CONCLUSIONS While cMSCs from synovium, marrow, and adipose tissue share a number of similarities, important differences in proliferation and trilineage differentiation …","author":[{"dropping-particle":"","family":"Bearden","given":"Robert N.","non-dropping-particle":"","parse-names":false,"suffix":""},{"dropping-particle":"","family":"Huggins","given":"Shannon S.","non-dropping-particle":"","parse-names":false,"suffix":""},{"dropping-particle":"","family":"Cummings","given":"Kevin J.","non-dropping-particle":"","parse-names":false,"suffix":""},{"dropping-particle":"","family":"Smith","given":"Roger","non-dropping-particle":"","parse-names":false,"suffix":""},{"dropping-particle":"","family":"Gregory","given":"Carl A.","non-dropping-particle":"","parse-names":false,"suffix":""},{"dropping-particle":"","family":"Saunders","given":"William B.","non-dropping-particle":"","parse-names":false,"suffix":""}],"container-title":"Stem Cell Research and Therapy","id":"ITEM-1","issue":"1","issued":{"date-parts":[["2017"]]},"page":"1-22","publisher":"Stem Cell Research &amp; Therapy","title":"In-vitro characterization of canine multipotent stromal cells isolated from synovium, bone marrow, and adipose tissue: A donor-matched comparative study","type":"article-journal","volume":"8"},"uris":["http://www.mendeley.com/documents/?uuid=93ce5912-c717-4e45-a0d6-6e2eb38783bb"]}],"mendeley":{"formattedCitation":"&lt;sup&gt;[53]&lt;/sup&gt;","plainTextFormattedCitation":"[53]","previouslyFormattedCitation":"&lt;sup&gt;[53]&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[53]</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2017</w:t>
            </w:r>
          </w:p>
        </w:tc>
      </w:tr>
      <w:tr w:rsidR="00874B98" w:rsidRPr="00000DD3" w14:paraId="549450A3" w14:textId="77777777" w:rsidTr="005A52F4">
        <w:trPr>
          <w:trHeight w:val="320"/>
        </w:trPr>
        <w:tc>
          <w:tcPr>
            <w:tcW w:w="1418" w:type="dxa"/>
            <w:shd w:val="clear" w:color="auto" w:fill="auto"/>
            <w:noWrap/>
            <w:tcMar>
              <w:top w:w="15" w:type="dxa"/>
              <w:left w:w="15" w:type="dxa"/>
              <w:bottom w:w="0" w:type="dxa"/>
              <w:right w:w="15" w:type="dxa"/>
            </w:tcMar>
            <w:hideMark/>
          </w:tcPr>
          <w:p w14:paraId="09D8256F"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Bone marrow</w:t>
            </w:r>
          </w:p>
        </w:tc>
        <w:tc>
          <w:tcPr>
            <w:tcW w:w="4111" w:type="dxa"/>
            <w:vMerge/>
            <w:hideMark/>
          </w:tcPr>
          <w:p w14:paraId="4420BEB5" w14:textId="77777777" w:rsidR="001718D0" w:rsidRPr="00000DD3" w:rsidRDefault="001718D0" w:rsidP="00874B98">
            <w:pPr>
              <w:spacing w:line="360" w:lineRule="auto"/>
              <w:jc w:val="both"/>
              <w:rPr>
                <w:rFonts w:ascii="Book Antiqua" w:hAnsi="Book Antiqua"/>
                <w:noProof/>
              </w:rPr>
            </w:pPr>
          </w:p>
        </w:tc>
        <w:tc>
          <w:tcPr>
            <w:tcW w:w="2969" w:type="dxa"/>
            <w:vMerge/>
            <w:hideMark/>
          </w:tcPr>
          <w:p w14:paraId="3741061D" w14:textId="77777777" w:rsidR="001718D0" w:rsidRPr="00000DD3" w:rsidRDefault="001718D0" w:rsidP="00874B98">
            <w:pPr>
              <w:spacing w:line="360" w:lineRule="auto"/>
              <w:jc w:val="both"/>
              <w:rPr>
                <w:rFonts w:ascii="Book Antiqua" w:hAnsi="Book Antiqua"/>
                <w:noProof/>
              </w:rPr>
            </w:pPr>
          </w:p>
        </w:tc>
      </w:tr>
      <w:tr w:rsidR="00874B98" w:rsidRPr="00000DD3" w14:paraId="2C4CF196" w14:textId="77777777" w:rsidTr="005A52F4">
        <w:trPr>
          <w:trHeight w:val="320"/>
        </w:trPr>
        <w:tc>
          <w:tcPr>
            <w:tcW w:w="1418" w:type="dxa"/>
            <w:shd w:val="clear" w:color="auto" w:fill="auto"/>
            <w:noWrap/>
            <w:tcMar>
              <w:top w:w="15" w:type="dxa"/>
              <w:left w:w="15" w:type="dxa"/>
              <w:bottom w:w="0" w:type="dxa"/>
              <w:right w:w="15" w:type="dxa"/>
            </w:tcMar>
            <w:hideMark/>
          </w:tcPr>
          <w:p w14:paraId="58E66FB4"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Synovium</w:t>
            </w:r>
          </w:p>
        </w:tc>
        <w:tc>
          <w:tcPr>
            <w:tcW w:w="4111" w:type="dxa"/>
            <w:vMerge/>
            <w:hideMark/>
          </w:tcPr>
          <w:p w14:paraId="1B583B36" w14:textId="77777777" w:rsidR="001718D0" w:rsidRPr="00000DD3" w:rsidRDefault="001718D0" w:rsidP="00874B98">
            <w:pPr>
              <w:spacing w:line="360" w:lineRule="auto"/>
              <w:jc w:val="both"/>
              <w:rPr>
                <w:rFonts w:ascii="Book Antiqua" w:hAnsi="Book Antiqua"/>
                <w:noProof/>
              </w:rPr>
            </w:pPr>
          </w:p>
        </w:tc>
        <w:tc>
          <w:tcPr>
            <w:tcW w:w="2969" w:type="dxa"/>
            <w:vMerge/>
            <w:hideMark/>
          </w:tcPr>
          <w:p w14:paraId="22E452E5" w14:textId="77777777" w:rsidR="001718D0" w:rsidRPr="00000DD3" w:rsidRDefault="001718D0" w:rsidP="00874B98">
            <w:pPr>
              <w:spacing w:line="360" w:lineRule="auto"/>
              <w:jc w:val="both"/>
              <w:rPr>
                <w:rFonts w:ascii="Book Antiqua" w:hAnsi="Book Antiqua"/>
                <w:noProof/>
              </w:rPr>
            </w:pPr>
          </w:p>
        </w:tc>
      </w:tr>
      <w:tr w:rsidR="00874B98" w:rsidRPr="00000DD3" w14:paraId="75D7DF41" w14:textId="77777777" w:rsidTr="005A52F4">
        <w:trPr>
          <w:trHeight w:val="680"/>
        </w:trPr>
        <w:tc>
          <w:tcPr>
            <w:tcW w:w="1418" w:type="dxa"/>
            <w:shd w:val="clear" w:color="auto" w:fill="auto"/>
            <w:noWrap/>
            <w:tcMar>
              <w:top w:w="15" w:type="dxa"/>
              <w:left w:w="15" w:type="dxa"/>
              <w:bottom w:w="0" w:type="dxa"/>
              <w:right w:w="15" w:type="dxa"/>
            </w:tcMar>
            <w:hideMark/>
          </w:tcPr>
          <w:p w14:paraId="1EDCCB88"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Bone marrow</w:t>
            </w:r>
          </w:p>
        </w:tc>
        <w:tc>
          <w:tcPr>
            <w:tcW w:w="4111" w:type="dxa"/>
            <w:shd w:val="clear" w:color="auto" w:fill="auto"/>
            <w:tcMar>
              <w:top w:w="15" w:type="dxa"/>
              <w:left w:w="15" w:type="dxa"/>
              <w:bottom w:w="0" w:type="dxa"/>
              <w:right w:w="15" w:type="dxa"/>
            </w:tcMar>
            <w:hideMark/>
          </w:tcPr>
          <w:p w14:paraId="1778D130" w14:textId="462460D9" w:rsidR="001718D0" w:rsidRPr="00000DD3" w:rsidRDefault="001718D0" w:rsidP="00874B98">
            <w:pPr>
              <w:spacing w:line="360" w:lineRule="auto"/>
              <w:jc w:val="both"/>
              <w:rPr>
                <w:rFonts w:ascii="Book Antiqua" w:hAnsi="Book Antiqua"/>
                <w:noProof/>
              </w:rPr>
            </w:pPr>
            <w:r w:rsidRPr="00000DD3">
              <w:rPr>
                <w:rFonts w:ascii="Book Antiqua" w:hAnsi="Book Antiqua"/>
                <w:noProof/>
              </w:rPr>
              <w:t xml:space="preserve">Adipogenesis, </w:t>
            </w:r>
            <w:r w:rsidR="00482682" w:rsidRPr="00000DD3">
              <w:rPr>
                <w:rFonts w:ascii="Book Antiqua" w:hAnsi="Book Antiqua"/>
                <w:noProof/>
              </w:rPr>
              <w:t xml:space="preserve">osteogenesis, chondrogenesis </w:t>
            </w:r>
            <w:r w:rsidRPr="00000DD3">
              <w:rPr>
                <w:rFonts w:ascii="Book Antiqua" w:hAnsi="Book Antiqua"/>
                <w:noProof/>
              </w:rPr>
              <w:br/>
              <w:t>Hepatocyte and functional insulin-secreting cell differentiation</w:t>
            </w:r>
          </w:p>
        </w:tc>
        <w:tc>
          <w:tcPr>
            <w:tcW w:w="2969" w:type="dxa"/>
            <w:shd w:val="clear" w:color="auto" w:fill="auto"/>
            <w:noWrap/>
            <w:tcMar>
              <w:top w:w="15" w:type="dxa"/>
              <w:left w:w="15" w:type="dxa"/>
              <w:bottom w:w="0" w:type="dxa"/>
              <w:right w:w="15" w:type="dxa"/>
            </w:tcMar>
            <w:hideMark/>
          </w:tcPr>
          <w:p w14:paraId="10FDDB6F" w14:textId="02B67BC3" w:rsidR="001718D0" w:rsidRPr="00000DD3" w:rsidRDefault="001718D0" w:rsidP="00482682">
            <w:pPr>
              <w:spacing w:line="360" w:lineRule="auto"/>
              <w:jc w:val="both"/>
              <w:rPr>
                <w:rFonts w:ascii="Book Antiqua" w:hAnsi="Book Antiqua"/>
                <w:noProof/>
              </w:rPr>
            </w:pPr>
            <w:r w:rsidRPr="00000DD3">
              <w:rPr>
                <w:rFonts w:ascii="Book Antiqua" w:hAnsi="Book Antiqua"/>
                <w:noProof/>
              </w:rPr>
              <w:t xml:space="preserve">Zhang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10.3892/mmr.2018.9172","ISSN":"17913004","PMID":"29916546","author":[{"dropping-particle":"","family":"Zhang","given":"Shuang","non-dropping-particle":"","parse-names":false,"suffix":""},{"dropping-particle":"","family":"Zhao","given":"Chenqiong","non-dropping-particle":"","parse-names":false,"suffix":""},{"dropping-particle":"","family":"Liu","given":"Shi","non-dropping-particle":"","parse-names":false,"suffix":""},{"dropping-particle":"","family":"Wang","given":"Yufeng","non-dropping-particle":"","parse-names":false,"suffix":""},{"dropping-particle":"","family":"Zhao","given":"Yuhua","non-dropping-particle":"","parse-names":false,"suffix":""},{"dropping-particle":"","family":"Guan","given":"Weijun","non-dropping-particle":"","parse-names":false,"suffix":""},{"dropping-particle":"","family":"Zhu","given":"Zhiqiang","non-dropping-particle":"","parse-names":false,"suffix":""}],"container-title":"Molecular Medicine Reports","id":"ITEM-1","issue":"2","issued":{"date-parts":[["2018"]]},"page":"2097-2109","title":"Characteristics and multi-lineage differentiation of bone marrow mesenchymal stem cells derived from the Tibetan mastiff","type":"article-journal","volume":"18"},"uris":["http://www.mendeley.com/documents/?uuid=6ae5bf4c-2f03-3654-ac18-a358677153d3"]}],"mendeley":{"formattedCitation":"&lt;sup&gt;[47]&lt;/sup&gt;","plainTextFormattedCitation":"[47]","previouslyFormattedCitation":"&lt;sup&gt;[47]&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[47]</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2018</w:t>
            </w:r>
          </w:p>
        </w:tc>
      </w:tr>
      <w:tr w:rsidR="00874B98" w:rsidRPr="00000DD3" w14:paraId="004933A1" w14:textId="77777777" w:rsidTr="005A52F4">
        <w:trPr>
          <w:trHeight w:val="320"/>
        </w:trPr>
        <w:tc>
          <w:tcPr>
            <w:tcW w:w="1418" w:type="dxa"/>
            <w:shd w:val="clear" w:color="auto" w:fill="auto"/>
            <w:noWrap/>
            <w:tcMar>
              <w:top w:w="15" w:type="dxa"/>
              <w:left w:w="15" w:type="dxa"/>
              <w:bottom w:w="0" w:type="dxa"/>
              <w:right w:w="15" w:type="dxa"/>
            </w:tcMar>
            <w:hideMark/>
          </w:tcPr>
          <w:p w14:paraId="759CA7B6"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Adipose tissue</w:t>
            </w:r>
          </w:p>
        </w:tc>
        <w:tc>
          <w:tcPr>
            <w:tcW w:w="4111" w:type="dxa"/>
            <w:vMerge w:val="restart"/>
            <w:shd w:val="clear" w:color="auto" w:fill="auto"/>
            <w:noWrap/>
            <w:tcMar>
              <w:top w:w="15" w:type="dxa"/>
              <w:left w:w="15" w:type="dxa"/>
              <w:bottom w:w="0" w:type="dxa"/>
              <w:right w:w="15" w:type="dxa"/>
            </w:tcMar>
            <w:hideMark/>
          </w:tcPr>
          <w:p w14:paraId="15DAEEED" w14:textId="46BBA3DA" w:rsidR="001718D0" w:rsidRPr="00000DD3" w:rsidRDefault="001718D0" w:rsidP="00874B98">
            <w:pPr>
              <w:spacing w:line="360" w:lineRule="auto"/>
              <w:jc w:val="both"/>
              <w:rPr>
                <w:rFonts w:ascii="Book Antiqua" w:hAnsi="Book Antiqua"/>
                <w:noProof/>
              </w:rPr>
            </w:pPr>
            <w:r w:rsidRPr="00000DD3">
              <w:rPr>
                <w:rFonts w:ascii="Book Antiqua" w:hAnsi="Book Antiqua"/>
                <w:noProof/>
              </w:rPr>
              <w:t xml:space="preserve">Adipogenesis, </w:t>
            </w:r>
            <w:r w:rsidR="00482682" w:rsidRPr="00000DD3">
              <w:rPr>
                <w:rFonts w:ascii="Book Antiqua" w:hAnsi="Book Antiqua"/>
                <w:noProof/>
              </w:rPr>
              <w:t>o</w:t>
            </w:r>
            <w:r w:rsidRPr="00000DD3">
              <w:rPr>
                <w:rFonts w:ascii="Book Antiqua" w:hAnsi="Book Antiqua"/>
                <w:noProof/>
              </w:rPr>
              <w:t xml:space="preserve">steogenesis, </w:t>
            </w:r>
            <w:r w:rsidR="00482682" w:rsidRPr="00000DD3">
              <w:rPr>
                <w:rFonts w:ascii="Book Antiqua" w:hAnsi="Book Antiqua"/>
                <w:noProof/>
              </w:rPr>
              <w:t>c</w:t>
            </w:r>
            <w:r w:rsidRPr="00000DD3">
              <w:rPr>
                <w:rFonts w:ascii="Book Antiqua" w:hAnsi="Book Antiqua"/>
                <w:noProof/>
              </w:rPr>
              <w:t>hondrogenesis</w:t>
            </w:r>
          </w:p>
        </w:tc>
        <w:tc>
          <w:tcPr>
            <w:tcW w:w="2969" w:type="dxa"/>
            <w:vMerge w:val="restart"/>
            <w:shd w:val="clear" w:color="auto" w:fill="auto"/>
            <w:noWrap/>
            <w:tcMar>
              <w:top w:w="15" w:type="dxa"/>
              <w:left w:w="15" w:type="dxa"/>
              <w:bottom w:w="0" w:type="dxa"/>
              <w:right w:w="15" w:type="dxa"/>
            </w:tcMar>
            <w:hideMark/>
          </w:tcPr>
          <w:p w14:paraId="0B0CACAE" w14:textId="36DAC822" w:rsidR="001718D0" w:rsidRPr="00000DD3" w:rsidRDefault="001718D0" w:rsidP="00482682">
            <w:pPr>
              <w:spacing w:line="360" w:lineRule="auto"/>
              <w:jc w:val="both"/>
              <w:rPr>
                <w:rFonts w:ascii="Book Antiqua" w:hAnsi="Book Antiqua"/>
                <w:noProof/>
              </w:rPr>
            </w:pPr>
            <w:r w:rsidRPr="00000DD3">
              <w:rPr>
                <w:rFonts w:ascii="Book Antiqua" w:hAnsi="Book Antiqua"/>
                <w:noProof/>
              </w:rPr>
              <w:t xml:space="preserve">Sasaki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{"citationItems":[{"id":"ITEM-1","itemData":{"DOI":"10.1371/journal.pone.0202922","ISBN":"1111111111","ISSN":"19326203","PMID":"30138399","abstract":"Osteoarthritis (OA), a common chronic joint disorder in both humans and canines, is characterized by a progressive loss of articular cartilage. Canines can serve as an animal model of OA for human medicine, and this research can simultaneously establish effective veterinary treatments for canine OA. One attractive treatment that can lead to cartilage regeneration is the use of mesenchymal stem cells (MSCs). However, for canine OA, little information is available regarding the best source of MSCs. The purpose of this study was to identify a promising MSC source for canine cartilage regeneration. We collected synovial, infrapatellar fat pad, inguinal adipose, and bone marrow tissues from six canines and then conducted a donor-matched comparison of the properties of MSCs derived from these four tissues. We examined the surface epitope expression, proliferation capacity, and trilineage differentiation potential of all four populations. Adherent cells derived from all four tissue sources exhibited positivity for CD90 and CD44 and negativity for CD45 and CD11b. The positive rate for CD90 was higher for synovium-derived than for adipose-derived and bone marrow-derived MSCs. Synovium-derived and infrapatellar fat pad-derived MSCs displayed substantial proliferation ability, and all four populations underwent trilineage differentiation. During chondrogenesis, the wet weight was heavier for cartilage pellets derived from synovium MSCs than from the other three sources. The synovium is therefore a promising source for MSCs for canine cartilage regeneration. Our findings provide useful information about canine MSCs that may be applicable to regenerative medicine for treatment of OA.","author":[{"dropping-particle":"","family":"Sasaki","given":"Akari","non-dropping-particle":"","parse-names":false,"suffix":""},{"dropping-particle":"","family":"Mizuno","given":"Mitsuru","non-dropping-particle":"","parse-names":false,"suffix":""},{"dropping-particle":"","family":"Ozeki","given":"Nobutake","non-dropping-particle":"","parse-names":false,"suffix":""},{"dropping-particle":"","family":"Katano","given":"Hisako","non-dropping-particle":"","parse-names":false,"suffix":""},{"dropping-particle":"","family":"Otabe","given":"Koji","non-dropping-particle":"","parse-names":false,"suffix":""},{"dropping-particle":"","family":"Tsuji","given":"Kunikazu","non-dropping-particle":"","parse-names":false,"suffix":""},{"dropping-particle":"","family":"Koga","given":"Hideyuki","non-dropping-particle":"","parse-names":false,"suffix":""},{"dropping-particle":"","family":"Mochizuki","given":"Manabu","non-dropping-particle":"","parse-names":false,"suffix":""},{"dropping-particle":"","family":"Sekiya","given":"Ichiro","non-dropping-particle":"","parse-names":false,"suffix":""}],"container-title":"PLoS ONE","id":"ITEM-1","issue":"8","issued":{"date-parts":[["2018"]]},"page":"1-20","title":"Canine mesenchymal stem cells from synovium have a higher chondrogenic potential than those from infrapatellar fat pad, adipose tissue, and bone marrow","type":"article-journal","volume":"13"},"uris":["http://www.mendeley.com/documents/?uuid=06e018b3-4bb7-4b65-8c48-df24ad3c85ac"]}],"mendeley":{"formattedCitation":"&lt;sup&gt;[40]&lt;/sup&gt;","plainTextFormattedCitation":"[40]","previouslyFormattedCitation":"&lt;sup&gt;[40]&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[40]</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2018</w:t>
            </w:r>
          </w:p>
        </w:tc>
      </w:tr>
      <w:tr w:rsidR="00874B98" w:rsidRPr="00000DD3" w14:paraId="51D6A670" w14:textId="77777777" w:rsidTr="005A52F4">
        <w:trPr>
          <w:trHeight w:val="320"/>
        </w:trPr>
        <w:tc>
          <w:tcPr>
            <w:tcW w:w="1418" w:type="dxa"/>
            <w:shd w:val="clear" w:color="auto" w:fill="auto"/>
            <w:noWrap/>
            <w:tcMar>
              <w:top w:w="15" w:type="dxa"/>
              <w:left w:w="15" w:type="dxa"/>
              <w:bottom w:w="0" w:type="dxa"/>
              <w:right w:w="15" w:type="dxa"/>
            </w:tcMar>
            <w:hideMark/>
          </w:tcPr>
          <w:p w14:paraId="134E659B"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Bone marrow</w:t>
            </w:r>
          </w:p>
        </w:tc>
        <w:tc>
          <w:tcPr>
            <w:tcW w:w="4111" w:type="dxa"/>
            <w:vMerge/>
            <w:hideMark/>
          </w:tcPr>
          <w:p w14:paraId="419CB50A" w14:textId="77777777" w:rsidR="001718D0" w:rsidRPr="00000DD3" w:rsidRDefault="001718D0" w:rsidP="00874B98">
            <w:pPr>
              <w:spacing w:line="360" w:lineRule="auto"/>
              <w:jc w:val="both"/>
              <w:rPr>
                <w:rFonts w:ascii="Book Antiqua" w:hAnsi="Book Antiqua"/>
                <w:noProof/>
              </w:rPr>
            </w:pPr>
          </w:p>
        </w:tc>
        <w:tc>
          <w:tcPr>
            <w:tcW w:w="2969" w:type="dxa"/>
            <w:vMerge/>
            <w:hideMark/>
          </w:tcPr>
          <w:p w14:paraId="33DA1EA6" w14:textId="77777777" w:rsidR="001718D0" w:rsidRPr="00000DD3" w:rsidRDefault="001718D0" w:rsidP="00874B98">
            <w:pPr>
              <w:spacing w:line="360" w:lineRule="auto"/>
              <w:jc w:val="both"/>
              <w:rPr>
                <w:rFonts w:ascii="Book Antiqua" w:hAnsi="Book Antiqua"/>
                <w:noProof/>
              </w:rPr>
            </w:pPr>
          </w:p>
        </w:tc>
      </w:tr>
      <w:tr w:rsidR="00874B98" w:rsidRPr="00000DD3" w14:paraId="06E29AE8" w14:textId="77777777" w:rsidTr="005A52F4">
        <w:trPr>
          <w:trHeight w:val="320"/>
        </w:trPr>
        <w:tc>
          <w:tcPr>
            <w:tcW w:w="1418" w:type="dxa"/>
            <w:shd w:val="clear" w:color="auto" w:fill="auto"/>
            <w:noWrap/>
            <w:tcMar>
              <w:top w:w="15" w:type="dxa"/>
              <w:left w:w="15" w:type="dxa"/>
              <w:bottom w:w="0" w:type="dxa"/>
              <w:right w:w="15" w:type="dxa"/>
            </w:tcMar>
            <w:hideMark/>
          </w:tcPr>
          <w:p w14:paraId="32BBF240"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Synovium</w:t>
            </w:r>
          </w:p>
        </w:tc>
        <w:tc>
          <w:tcPr>
            <w:tcW w:w="4111" w:type="dxa"/>
            <w:vMerge/>
            <w:hideMark/>
          </w:tcPr>
          <w:p w14:paraId="6F4959BD" w14:textId="77777777" w:rsidR="001718D0" w:rsidRPr="00000DD3" w:rsidRDefault="001718D0" w:rsidP="00874B98">
            <w:pPr>
              <w:spacing w:line="360" w:lineRule="auto"/>
              <w:jc w:val="both"/>
              <w:rPr>
                <w:rFonts w:ascii="Book Antiqua" w:hAnsi="Book Antiqua"/>
                <w:noProof/>
              </w:rPr>
            </w:pPr>
          </w:p>
        </w:tc>
        <w:tc>
          <w:tcPr>
            <w:tcW w:w="2969" w:type="dxa"/>
            <w:vMerge/>
            <w:hideMark/>
          </w:tcPr>
          <w:p w14:paraId="6C04955A" w14:textId="77777777" w:rsidR="001718D0" w:rsidRPr="00000DD3" w:rsidRDefault="001718D0" w:rsidP="00874B98">
            <w:pPr>
              <w:spacing w:line="360" w:lineRule="auto"/>
              <w:jc w:val="both"/>
              <w:rPr>
                <w:rFonts w:ascii="Book Antiqua" w:hAnsi="Book Antiqua"/>
                <w:noProof/>
              </w:rPr>
            </w:pPr>
          </w:p>
        </w:tc>
      </w:tr>
      <w:tr w:rsidR="00874B98" w:rsidRPr="00000DD3" w14:paraId="26C96AEB" w14:textId="77777777" w:rsidTr="005A52F4">
        <w:trPr>
          <w:trHeight w:val="320"/>
        </w:trPr>
        <w:tc>
          <w:tcPr>
            <w:tcW w:w="1418" w:type="dxa"/>
            <w:shd w:val="clear" w:color="auto" w:fill="auto"/>
            <w:noWrap/>
            <w:tcMar>
              <w:top w:w="15" w:type="dxa"/>
              <w:left w:w="15" w:type="dxa"/>
              <w:bottom w:w="0" w:type="dxa"/>
              <w:right w:w="15" w:type="dxa"/>
            </w:tcMar>
            <w:hideMark/>
          </w:tcPr>
          <w:p w14:paraId="3E5D577A"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Infrapatellar fat pad</w:t>
            </w:r>
          </w:p>
        </w:tc>
        <w:tc>
          <w:tcPr>
            <w:tcW w:w="4111" w:type="dxa"/>
            <w:vMerge/>
            <w:hideMark/>
          </w:tcPr>
          <w:p w14:paraId="1DF1A8B5" w14:textId="77777777" w:rsidR="001718D0" w:rsidRPr="00000DD3" w:rsidRDefault="001718D0" w:rsidP="00874B98">
            <w:pPr>
              <w:spacing w:line="360" w:lineRule="auto"/>
              <w:jc w:val="both"/>
              <w:rPr>
                <w:rFonts w:ascii="Book Antiqua" w:hAnsi="Book Antiqua"/>
                <w:noProof/>
              </w:rPr>
            </w:pPr>
          </w:p>
        </w:tc>
        <w:tc>
          <w:tcPr>
            <w:tcW w:w="2969" w:type="dxa"/>
            <w:vMerge/>
            <w:hideMark/>
          </w:tcPr>
          <w:p w14:paraId="5AE1E2DF" w14:textId="77777777" w:rsidR="001718D0" w:rsidRPr="00000DD3" w:rsidRDefault="001718D0" w:rsidP="00874B98">
            <w:pPr>
              <w:spacing w:line="360" w:lineRule="auto"/>
              <w:jc w:val="both"/>
              <w:rPr>
                <w:rFonts w:ascii="Book Antiqua" w:hAnsi="Book Antiqua"/>
                <w:noProof/>
              </w:rPr>
            </w:pPr>
          </w:p>
        </w:tc>
      </w:tr>
      <w:tr w:rsidR="00874B98" w:rsidRPr="00000DD3" w14:paraId="334BE715" w14:textId="77777777" w:rsidTr="005A52F4">
        <w:trPr>
          <w:trHeight w:val="320"/>
        </w:trPr>
        <w:tc>
          <w:tcPr>
            <w:tcW w:w="1418" w:type="dxa"/>
            <w:tcBorders>
              <w:bottom w:val="single" w:sz="4" w:space="0" w:color="auto"/>
            </w:tcBorders>
            <w:shd w:val="clear" w:color="auto" w:fill="auto"/>
            <w:noWrap/>
            <w:tcMar>
              <w:top w:w="15" w:type="dxa"/>
              <w:left w:w="15" w:type="dxa"/>
              <w:bottom w:w="0" w:type="dxa"/>
              <w:right w:w="15" w:type="dxa"/>
            </w:tcMar>
            <w:hideMark/>
          </w:tcPr>
          <w:p w14:paraId="18176E0C"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Bone marrow</w:t>
            </w:r>
          </w:p>
        </w:tc>
        <w:tc>
          <w:tcPr>
            <w:tcW w:w="4111" w:type="dxa"/>
            <w:tcBorders>
              <w:bottom w:val="single" w:sz="4" w:space="0" w:color="auto"/>
            </w:tcBorders>
            <w:shd w:val="clear" w:color="auto" w:fill="auto"/>
            <w:noWrap/>
            <w:tcMar>
              <w:top w:w="15" w:type="dxa"/>
              <w:left w:w="15" w:type="dxa"/>
              <w:bottom w:w="0" w:type="dxa"/>
              <w:right w:w="15" w:type="dxa"/>
            </w:tcMar>
            <w:hideMark/>
          </w:tcPr>
          <w:p w14:paraId="55E5906F" w14:textId="77777777" w:rsidR="001718D0" w:rsidRPr="00000DD3" w:rsidRDefault="001718D0" w:rsidP="00874B98">
            <w:pPr>
              <w:spacing w:line="360" w:lineRule="auto"/>
              <w:jc w:val="both"/>
              <w:rPr>
                <w:rFonts w:ascii="Book Antiqua" w:hAnsi="Book Antiqua"/>
                <w:noProof/>
              </w:rPr>
            </w:pPr>
            <w:r w:rsidRPr="00000DD3">
              <w:rPr>
                <w:rFonts w:ascii="Book Antiqua" w:hAnsi="Book Antiqua"/>
                <w:noProof/>
              </w:rPr>
              <w:t>Chondrogenesis</w:t>
            </w:r>
          </w:p>
        </w:tc>
        <w:tc>
          <w:tcPr>
            <w:tcW w:w="2969" w:type="dxa"/>
            <w:tcBorders>
              <w:bottom w:val="single" w:sz="4" w:space="0" w:color="auto"/>
            </w:tcBorders>
            <w:shd w:val="clear" w:color="auto" w:fill="auto"/>
            <w:noWrap/>
            <w:tcMar>
              <w:top w:w="15" w:type="dxa"/>
              <w:left w:w="15" w:type="dxa"/>
              <w:bottom w:w="0" w:type="dxa"/>
              <w:right w:w="15" w:type="dxa"/>
            </w:tcMar>
            <w:hideMark/>
          </w:tcPr>
          <w:p w14:paraId="62E2D680" w14:textId="466AE006" w:rsidR="001718D0" w:rsidRPr="00000DD3" w:rsidRDefault="001718D0" w:rsidP="00482682">
            <w:pPr>
              <w:spacing w:line="360" w:lineRule="auto"/>
              <w:jc w:val="both"/>
              <w:rPr>
                <w:rFonts w:ascii="Book Antiqua" w:hAnsi="Book Antiqua"/>
                <w:noProof/>
              </w:rPr>
            </w:pPr>
            <w:r w:rsidRPr="00000DD3">
              <w:rPr>
                <w:rFonts w:ascii="Book Antiqua" w:hAnsi="Book Antiqua"/>
                <w:noProof/>
              </w:rPr>
              <w:t xml:space="preserve">Endo </w:t>
            </w:r>
            <w:r w:rsidRPr="00000DD3">
              <w:rPr>
                <w:rFonts w:ascii="Book Antiqua" w:hAnsi="Book Antiqua"/>
                <w:i/>
                <w:noProof/>
              </w:rPr>
              <w:t>et al</w:t>
            </w:r>
            <w:r w:rsidR="00482682" w:rsidRPr="00000DD3">
              <w:rPr>
                <w:rFonts w:ascii="Book Antiqua" w:hAnsi="Book Antiqua"/>
                <w:noProof/>
              </w:rPr>
              <w:fldChar w:fldCharType="begin" w:fldLock="1"/>
            </w:r>
            <w:r w:rsidR="00482682" w:rsidRPr="00000DD3">
              <w:rPr>
                <w:rFonts w:ascii="Book Antiqua" w:hAnsi="Book Antiqua"/>
                <w:noProof/>
              </w:rPr>
              <w:instrText>ADDIN CSL_CITATION {"citationItems":[{"id":"ITEM-1","itemData":{"DOI":"10.1089/ten.TEA.2018.0177","ISSN":"1937-3341","PMID":"30319056","author":[{"dropping-particle":"","family":"Endo","given":"Kentaro","non-dropping-particle":"","parse-names":false,"suffix":""},{"dropping-particle":"","family":"Fujita","given":"Naoki","non-dropping-particle":"","parse-names":false,"suffix":""},{"dropping-particle":"","family":"Nakagawa","given":"Takayuki","non-dropping-particle":"","parse-names":false,"suffix":""},{"dropping-particle":"","family":"Nishimura","given":"Ryohei","non-dropping-particle":"","parse-names":false,"suffix":""}],"container-title":"Tissue Engineering Part A","id":"ITEM-1","issued":{"date-parts":[["2018"]]},"title":"Effect of fibroblast growth factor-2 and serum on canine mesenchymal stem cell chondrogenesis","type":"article-journal"},"uris":["http://www.mendeley.com/documents/?uuid=771186d2-4d19-3b62-9ba8-ad6ff3070ea6"]}],"mendeley":{"formattedCitation":"&lt;sup&gt;[61]&lt;/sup&gt;","plainTextFormattedCitation":"[61]","previouslyFormattedCitation":"&lt;sup&gt;[61]&lt;/sup&gt;"},"properties":{"noteIndex":0},"schema":"https://github.com/citation-style-language/schema/raw/master/csl-citation.json"}</w:instrText>
            </w:r>
            <w:r w:rsidR="00482682" w:rsidRPr="00000DD3">
              <w:rPr>
                <w:rFonts w:ascii="Book Antiqua" w:hAnsi="Book Antiqua"/>
                <w:noProof/>
              </w:rPr>
              <w:fldChar w:fldCharType="separate"/>
            </w:r>
            <w:r w:rsidR="00482682" w:rsidRPr="00000DD3">
              <w:rPr>
                <w:rFonts w:ascii="Book Antiqua" w:hAnsi="Book Antiqua"/>
                <w:noProof/>
                <w:vertAlign w:val="superscript"/>
              </w:rPr>
              <w:t>[61]</w:t>
            </w:r>
            <w:r w:rsidR="00482682" w:rsidRPr="00000DD3">
              <w:rPr>
                <w:rFonts w:ascii="Book Antiqua" w:hAnsi="Book Antiqua"/>
                <w:noProof/>
              </w:rPr>
              <w:fldChar w:fldCharType="end"/>
            </w:r>
            <w:r w:rsidRPr="00000DD3">
              <w:rPr>
                <w:rFonts w:ascii="Book Antiqua" w:hAnsi="Book Antiqua"/>
                <w:i/>
                <w:noProof/>
              </w:rPr>
              <w:t>,</w:t>
            </w:r>
            <w:r w:rsidRPr="00000DD3">
              <w:rPr>
                <w:rFonts w:ascii="Book Antiqua" w:hAnsi="Book Antiqua"/>
                <w:noProof/>
              </w:rPr>
              <w:t xml:space="preserve"> 2018</w:t>
            </w:r>
          </w:p>
        </w:tc>
      </w:tr>
    </w:tbl>
    <w:p w14:paraId="3EB955DB" w14:textId="16AA0092" w:rsidR="006701BE" w:rsidRPr="00000DD3" w:rsidRDefault="006701BE" w:rsidP="00874B98">
      <w:pPr>
        <w:spacing w:line="360" w:lineRule="auto"/>
        <w:jc w:val="both"/>
        <w:rPr>
          <w:rFonts w:ascii="Book Antiqua" w:hAnsi="Book Antiqua" w:cstheme="minorHAnsi"/>
          <w:noProof/>
        </w:rPr>
      </w:pPr>
      <w:r w:rsidRPr="00000DD3">
        <w:rPr>
          <w:rFonts w:ascii="Book Antiqua" w:hAnsi="Book Antiqua" w:cstheme="minorHAnsi"/>
          <w:noProof/>
        </w:rPr>
        <w:br w:type="page"/>
      </w:r>
    </w:p>
    <w:p w14:paraId="02D03EF5" w14:textId="69113EB7" w:rsidR="006701BE" w:rsidRPr="00000DD3" w:rsidRDefault="006701BE" w:rsidP="00874B98">
      <w:pPr>
        <w:spacing w:line="360" w:lineRule="auto"/>
        <w:jc w:val="both"/>
        <w:rPr>
          <w:rFonts w:ascii="Book Antiqua" w:eastAsia="黑体" w:hAnsi="Book Antiqua" w:cstheme="minorHAnsi"/>
          <w:b/>
          <w:noProof/>
          <w:lang w:eastAsia="zh-CN"/>
        </w:rPr>
      </w:pPr>
      <w:r w:rsidRPr="00000DD3">
        <w:rPr>
          <w:rFonts w:ascii="Book Antiqua" w:hAnsi="Book Antiqua" w:cstheme="minorHAnsi"/>
          <w:b/>
          <w:noProof/>
        </w:rPr>
        <w:t xml:space="preserve">Table </w:t>
      </w:r>
      <w:r w:rsidR="00B20492" w:rsidRPr="00000DD3">
        <w:rPr>
          <w:rFonts w:ascii="Book Antiqua" w:hAnsi="Book Antiqua" w:cstheme="minorHAnsi"/>
          <w:b/>
          <w:noProof/>
        </w:rPr>
        <w:t>3</w:t>
      </w:r>
      <w:r w:rsidRPr="00000DD3">
        <w:rPr>
          <w:rFonts w:ascii="Book Antiqua" w:hAnsi="Book Antiqua" w:cstheme="minorHAnsi"/>
          <w:b/>
          <w:noProof/>
        </w:rPr>
        <w:t xml:space="preserve"> </w:t>
      </w:r>
      <w:r w:rsidRPr="00000DD3">
        <w:rPr>
          <w:rFonts w:ascii="Book Antiqua" w:hAnsi="Book Antiqua" w:cstheme="minorHAnsi"/>
          <w:b/>
          <w:i/>
          <w:noProof/>
        </w:rPr>
        <w:t>In vivo</w:t>
      </w:r>
      <w:r w:rsidRPr="00000DD3">
        <w:rPr>
          <w:rFonts w:ascii="Book Antiqua" w:hAnsi="Book Antiqua" w:cstheme="minorHAnsi"/>
          <w:b/>
          <w:noProof/>
        </w:rPr>
        <w:t xml:space="preserve"> study of </w:t>
      </w:r>
      <w:r w:rsidR="009127AD" w:rsidRPr="00000DD3">
        <w:rPr>
          <w:rFonts w:ascii="Book Antiqua" w:hAnsi="Book Antiqua" w:cstheme="minorHAnsi"/>
          <w:b/>
          <w:noProof/>
        </w:rPr>
        <w:t xml:space="preserve">canine mesenchymal stem cells </w:t>
      </w:r>
      <w:r w:rsidR="00482682" w:rsidRPr="00000DD3">
        <w:rPr>
          <w:rFonts w:ascii="Book Antiqua" w:hAnsi="Book Antiqua" w:cstheme="minorHAnsi"/>
          <w:b/>
          <w:noProof/>
        </w:rPr>
        <w:t>for cartilage repair</w:t>
      </w:r>
    </w:p>
    <w:p w14:paraId="12E4A6B0" w14:textId="5EA628C6" w:rsidR="00842EA3" w:rsidRPr="00000DD3" w:rsidRDefault="00842EA3" w:rsidP="00874B98">
      <w:pPr>
        <w:autoSpaceDE w:val="0"/>
        <w:autoSpaceDN w:val="0"/>
        <w:adjustRightInd w:val="0"/>
        <w:spacing w:line="360" w:lineRule="auto"/>
        <w:jc w:val="both"/>
        <w:rPr>
          <w:rFonts w:ascii="Book Antiqua" w:hAnsi="Book Antiqua" w:cstheme="minorHAnsi"/>
          <w:noProof/>
        </w:rPr>
      </w:pPr>
    </w:p>
    <w:tbl>
      <w:tblPr>
        <w:tblW w:w="8505" w:type="dxa"/>
        <w:tblCellMar>
          <w:left w:w="0" w:type="dxa"/>
          <w:right w:w="0" w:type="dxa"/>
        </w:tblCellMar>
        <w:tblLook w:val="04A0" w:firstRow="1" w:lastRow="0" w:firstColumn="1" w:lastColumn="0" w:noHBand="0" w:noVBand="1"/>
      </w:tblPr>
      <w:tblGrid>
        <w:gridCol w:w="828"/>
        <w:gridCol w:w="2028"/>
        <w:gridCol w:w="1091"/>
        <w:gridCol w:w="741"/>
        <w:gridCol w:w="1113"/>
        <w:gridCol w:w="1885"/>
        <w:gridCol w:w="842"/>
      </w:tblGrid>
      <w:tr w:rsidR="00874B98" w:rsidRPr="00000DD3" w14:paraId="670748DC" w14:textId="77777777" w:rsidTr="00743B1E">
        <w:trPr>
          <w:trHeight w:val="320"/>
        </w:trPr>
        <w:tc>
          <w:tcPr>
            <w:tcW w:w="851"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51900479" w14:textId="767B2388" w:rsidR="006701BE" w:rsidRPr="00000DD3" w:rsidRDefault="006701BE" w:rsidP="00874B98">
            <w:pPr>
              <w:spacing w:line="360" w:lineRule="auto"/>
              <w:jc w:val="both"/>
              <w:rPr>
                <w:rFonts w:ascii="Book Antiqua" w:hAnsi="Book Antiqua"/>
                <w:b/>
                <w:noProof/>
              </w:rPr>
            </w:pPr>
            <w:r w:rsidRPr="00000DD3">
              <w:rPr>
                <w:rFonts w:ascii="Book Antiqua" w:hAnsi="Book Antiqua"/>
                <w:b/>
                <w:noProof/>
              </w:rPr>
              <w:t xml:space="preserve">Source </w:t>
            </w:r>
          </w:p>
        </w:tc>
        <w:tc>
          <w:tcPr>
            <w:tcW w:w="1868"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1D0889A6" w14:textId="338E5993" w:rsidR="006701BE" w:rsidRPr="00000DD3" w:rsidRDefault="006701BE" w:rsidP="00874B98">
            <w:pPr>
              <w:spacing w:line="360" w:lineRule="auto"/>
              <w:jc w:val="both"/>
              <w:rPr>
                <w:rFonts w:ascii="Book Antiqua" w:hAnsi="Book Antiqua"/>
                <w:b/>
                <w:noProof/>
              </w:rPr>
            </w:pPr>
            <w:r w:rsidRPr="00000DD3">
              <w:rPr>
                <w:rFonts w:ascii="Book Antiqua" w:hAnsi="Book Antiqua"/>
                <w:b/>
                <w:noProof/>
              </w:rPr>
              <w:t>Injection</w:t>
            </w:r>
            <w:r w:rsidR="00266BE0" w:rsidRPr="00000DD3">
              <w:rPr>
                <w:rFonts w:ascii="Book Antiqua" w:hAnsi="Book Antiqua"/>
                <w:b/>
                <w:noProof/>
              </w:rPr>
              <w:t>/</w:t>
            </w:r>
            <w:r w:rsidR="00482682" w:rsidRPr="00000DD3">
              <w:rPr>
                <w:rFonts w:ascii="Book Antiqua" w:hAnsi="Book Antiqua"/>
                <w:b/>
                <w:noProof/>
              </w:rPr>
              <w:t>t</w:t>
            </w:r>
            <w:r w:rsidR="00266BE0" w:rsidRPr="00000DD3">
              <w:rPr>
                <w:rFonts w:ascii="Book Antiqua" w:hAnsi="Book Antiqua"/>
                <w:b/>
                <w:noProof/>
              </w:rPr>
              <w:t>ransplantation</w:t>
            </w:r>
          </w:p>
        </w:tc>
        <w:tc>
          <w:tcPr>
            <w:tcW w:w="960"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6B956A29" w14:textId="29C947A8" w:rsidR="006701BE" w:rsidRPr="00000DD3" w:rsidRDefault="006701BE" w:rsidP="00874B98">
            <w:pPr>
              <w:spacing w:line="360" w:lineRule="auto"/>
              <w:jc w:val="both"/>
              <w:rPr>
                <w:rFonts w:ascii="Book Antiqua" w:hAnsi="Book Antiqua"/>
                <w:b/>
                <w:noProof/>
              </w:rPr>
            </w:pPr>
            <w:r w:rsidRPr="00000DD3">
              <w:rPr>
                <w:rFonts w:ascii="Book Antiqua" w:hAnsi="Book Antiqua"/>
                <w:b/>
                <w:noProof/>
              </w:rPr>
              <w:t xml:space="preserve">Combination use </w:t>
            </w:r>
          </w:p>
        </w:tc>
        <w:tc>
          <w:tcPr>
            <w:tcW w:w="914"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5E16A453" w14:textId="3149EACD" w:rsidR="006701BE" w:rsidRPr="00000DD3" w:rsidRDefault="006701BE" w:rsidP="00874B98">
            <w:pPr>
              <w:spacing w:line="360" w:lineRule="auto"/>
              <w:jc w:val="both"/>
              <w:rPr>
                <w:rFonts w:ascii="Book Antiqua" w:hAnsi="Book Antiqua"/>
                <w:b/>
                <w:noProof/>
              </w:rPr>
            </w:pPr>
            <w:r w:rsidRPr="00000DD3">
              <w:rPr>
                <w:rFonts w:ascii="Book Antiqua" w:hAnsi="Book Antiqua"/>
                <w:b/>
                <w:noProof/>
              </w:rPr>
              <w:t>Cell number (million)</w:t>
            </w:r>
          </w:p>
        </w:tc>
        <w:tc>
          <w:tcPr>
            <w:tcW w:w="1275"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25AAE0B1" w14:textId="77777777" w:rsidR="006701BE" w:rsidRPr="00000DD3" w:rsidRDefault="006701BE" w:rsidP="00874B98">
            <w:pPr>
              <w:spacing w:line="360" w:lineRule="auto"/>
              <w:jc w:val="both"/>
              <w:rPr>
                <w:rFonts w:ascii="Book Antiqua" w:hAnsi="Book Antiqua"/>
                <w:b/>
                <w:noProof/>
              </w:rPr>
            </w:pPr>
            <w:r w:rsidRPr="00000DD3">
              <w:rPr>
                <w:rFonts w:ascii="Book Antiqua" w:hAnsi="Book Antiqua"/>
                <w:b/>
                <w:noProof/>
              </w:rPr>
              <w:t>Model</w:t>
            </w:r>
          </w:p>
        </w:tc>
        <w:tc>
          <w:tcPr>
            <w:tcW w:w="1724"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277AA64B" w14:textId="77777777" w:rsidR="006701BE" w:rsidRPr="00000DD3" w:rsidRDefault="006701BE" w:rsidP="00874B98">
            <w:pPr>
              <w:spacing w:line="360" w:lineRule="auto"/>
              <w:jc w:val="both"/>
              <w:rPr>
                <w:rFonts w:ascii="Book Antiqua" w:hAnsi="Book Antiqua"/>
                <w:b/>
                <w:noProof/>
              </w:rPr>
            </w:pPr>
            <w:r w:rsidRPr="00000DD3">
              <w:rPr>
                <w:rFonts w:ascii="Book Antiqua" w:hAnsi="Book Antiqua"/>
                <w:b/>
                <w:noProof/>
              </w:rPr>
              <w:t>Evaluation method</w:t>
            </w:r>
          </w:p>
        </w:tc>
        <w:tc>
          <w:tcPr>
            <w:tcW w:w="913"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274A435F" w14:textId="72E0843F" w:rsidR="006701BE" w:rsidRPr="00000DD3" w:rsidRDefault="006701BE" w:rsidP="00482682">
            <w:pPr>
              <w:spacing w:line="360" w:lineRule="auto"/>
              <w:jc w:val="both"/>
              <w:rPr>
                <w:rFonts w:ascii="Book Antiqua" w:eastAsia="黑体" w:hAnsi="Book Antiqua"/>
                <w:b/>
                <w:noProof/>
                <w:lang w:eastAsia="zh-CN"/>
              </w:rPr>
            </w:pPr>
            <w:r w:rsidRPr="00000DD3">
              <w:rPr>
                <w:rFonts w:ascii="Book Antiqua" w:hAnsi="Book Antiqua"/>
                <w:b/>
                <w:noProof/>
              </w:rPr>
              <w:t>Ref</w:t>
            </w:r>
            <w:r w:rsidR="00482682" w:rsidRPr="00000DD3">
              <w:rPr>
                <w:rFonts w:ascii="Book Antiqua" w:eastAsia="黑体" w:hAnsi="Book Antiqua" w:hint="eastAsia"/>
                <w:b/>
                <w:noProof/>
                <w:lang w:eastAsia="zh-CN"/>
              </w:rPr>
              <w:t>.</w:t>
            </w:r>
          </w:p>
        </w:tc>
      </w:tr>
      <w:tr w:rsidR="00874B98" w:rsidRPr="00000DD3" w14:paraId="0F8B527D" w14:textId="77777777" w:rsidTr="005A52F4">
        <w:trPr>
          <w:trHeight w:val="320"/>
        </w:trPr>
        <w:tc>
          <w:tcPr>
            <w:tcW w:w="851" w:type="dxa"/>
            <w:tcBorders>
              <w:top w:val="single" w:sz="4" w:space="0" w:color="auto"/>
            </w:tcBorders>
            <w:shd w:val="clear" w:color="auto" w:fill="auto"/>
            <w:noWrap/>
            <w:tcMar>
              <w:top w:w="15" w:type="dxa"/>
              <w:left w:w="15" w:type="dxa"/>
              <w:bottom w:w="0" w:type="dxa"/>
              <w:right w:w="15" w:type="dxa"/>
            </w:tcMar>
            <w:hideMark/>
          </w:tcPr>
          <w:p w14:paraId="1D83065A"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Bone marrow</w:t>
            </w:r>
          </w:p>
        </w:tc>
        <w:tc>
          <w:tcPr>
            <w:tcW w:w="1868" w:type="dxa"/>
            <w:tcBorders>
              <w:top w:val="single" w:sz="4" w:space="0" w:color="auto"/>
            </w:tcBorders>
            <w:shd w:val="clear" w:color="auto" w:fill="auto"/>
            <w:noWrap/>
            <w:tcMar>
              <w:top w:w="15" w:type="dxa"/>
              <w:left w:w="15" w:type="dxa"/>
              <w:bottom w:w="0" w:type="dxa"/>
              <w:right w:w="15" w:type="dxa"/>
            </w:tcMar>
            <w:hideMark/>
          </w:tcPr>
          <w:p w14:paraId="469769C9"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Single intraarticular, autologous</w:t>
            </w:r>
          </w:p>
        </w:tc>
        <w:tc>
          <w:tcPr>
            <w:tcW w:w="960" w:type="dxa"/>
            <w:tcBorders>
              <w:top w:val="single" w:sz="4" w:space="0" w:color="auto"/>
            </w:tcBorders>
            <w:shd w:val="clear" w:color="auto" w:fill="auto"/>
            <w:noWrap/>
            <w:tcMar>
              <w:top w:w="15" w:type="dxa"/>
              <w:left w:w="15" w:type="dxa"/>
              <w:bottom w:w="0" w:type="dxa"/>
              <w:right w:w="15" w:type="dxa"/>
            </w:tcMar>
            <w:hideMark/>
          </w:tcPr>
          <w:p w14:paraId="39C21B9D"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w:t>
            </w:r>
          </w:p>
        </w:tc>
        <w:tc>
          <w:tcPr>
            <w:tcW w:w="914" w:type="dxa"/>
            <w:tcBorders>
              <w:top w:val="single" w:sz="4" w:space="0" w:color="auto"/>
            </w:tcBorders>
            <w:shd w:val="clear" w:color="auto" w:fill="auto"/>
            <w:noWrap/>
            <w:tcMar>
              <w:top w:w="15" w:type="dxa"/>
              <w:left w:w="15" w:type="dxa"/>
              <w:bottom w:w="0" w:type="dxa"/>
              <w:right w:w="15" w:type="dxa"/>
            </w:tcMar>
            <w:hideMark/>
          </w:tcPr>
          <w:p w14:paraId="66AA1679" w14:textId="49C01120" w:rsidR="006701BE" w:rsidRPr="00000DD3" w:rsidRDefault="006701BE" w:rsidP="00874B98">
            <w:pPr>
              <w:spacing w:line="360" w:lineRule="auto"/>
              <w:jc w:val="both"/>
              <w:rPr>
                <w:rFonts w:ascii="Book Antiqua" w:hAnsi="Book Antiqua"/>
                <w:noProof/>
              </w:rPr>
            </w:pPr>
            <w:r w:rsidRPr="00000DD3">
              <w:rPr>
                <w:rFonts w:ascii="Book Antiqua" w:hAnsi="Book Antiqua"/>
                <w:noProof/>
              </w:rPr>
              <w:t>7-8</w:t>
            </w:r>
          </w:p>
        </w:tc>
        <w:tc>
          <w:tcPr>
            <w:tcW w:w="1275" w:type="dxa"/>
            <w:tcBorders>
              <w:top w:val="single" w:sz="4" w:space="0" w:color="auto"/>
            </w:tcBorders>
            <w:shd w:val="clear" w:color="auto" w:fill="auto"/>
            <w:noWrap/>
            <w:tcMar>
              <w:top w:w="15" w:type="dxa"/>
              <w:left w:w="15" w:type="dxa"/>
              <w:bottom w:w="0" w:type="dxa"/>
              <w:right w:w="15" w:type="dxa"/>
            </w:tcMar>
            <w:hideMark/>
          </w:tcPr>
          <w:p w14:paraId="262D01E4" w14:textId="1826F246" w:rsidR="006701BE" w:rsidRPr="00000DD3" w:rsidRDefault="006701BE" w:rsidP="00874B98">
            <w:pPr>
              <w:spacing w:line="360" w:lineRule="auto"/>
              <w:jc w:val="both"/>
              <w:rPr>
                <w:rFonts w:ascii="Book Antiqua" w:hAnsi="Book Antiqua"/>
                <w:noProof/>
              </w:rPr>
            </w:pPr>
            <w:r w:rsidRPr="00000DD3">
              <w:rPr>
                <w:rFonts w:ascii="Book Antiqua" w:hAnsi="Book Antiqua"/>
                <w:noProof/>
              </w:rPr>
              <w:t>Partial thickness</w:t>
            </w:r>
            <w:r w:rsidR="00874B98" w:rsidRPr="00000DD3">
              <w:rPr>
                <w:rFonts w:ascii="Book Antiqua" w:hAnsi="Book Antiqua"/>
                <w:noProof/>
              </w:rPr>
              <w:t xml:space="preserve"> </w:t>
            </w:r>
            <w:r w:rsidRPr="00000DD3">
              <w:rPr>
                <w:rFonts w:ascii="Book Antiqua" w:hAnsi="Book Antiqua"/>
                <w:noProof/>
              </w:rPr>
              <w:t>articular cartilage defect</w:t>
            </w:r>
          </w:p>
        </w:tc>
        <w:tc>
          <w:tcPr>
            <w:tcW w:w="1724" w:type="dxa"/>
            <w:tcBorders>
              <w:top w:val="single" w:sz="4" w:space="0" w:color="auto"/>
            </w:tcBorders>
            <w:shd w:val="clear" w:color="auto" w:fill="auto"/>
            <w:noWrap/>
            <w:tcMar>
              <w:top w:w="15" w:type="dxa"/>
              <w:left w:w="15" w:type="dxa"/>
              <w:bottom w:w="0" w:type="dxa"/>
              <w:right w:w="15" w:type="dxa"/>
            </w:tcMar>
            <w:hideMark/>
          </w:tcPr>
          <w:p w14:paraId="27AE4AD1" w14:textId="278A2EB4" w:rsidR="006701BE" w:rsidRPr="00000DD3" w:rsidRDefault="006701BE" w:rsidP="00874B98">
            <w:pPr>
              <w:spacing w:line="360" w:lineRule="auto"/>
              <w:jc w:val="both"/>
              <w:rPr>
                <w:rFonts w:ascii="Book Antiqua" w:hAnsi="Book Antiqua"/>
                <w:noProof/>
              </w:rPr>
            </w:pPr>
            <w:r w:rsidRPr="00000DD3">
              <w:rPr>
                <w:rFonts w:ascii="Book Antiqua" w:hAnsi="Book Antiqua"/>
                <w:noProof/>
              </w:rPr>
              <w:t>Histolog</w:t>
            </w:r>
            <w:r w:rsidR="000646FE" w:rsidRPr="00000DD3">
              <w:rPr>
                <w:rFonts w:ascii="Book Antiqua" w:hAnsi="Book Antiqua"/>
                <w:noProof/>
              </w:rPr>
              <w:t>y</w:t>
            </w:r>
          </w:p>
        </w:tc>
        <w:tc>
          <w:tcPr>
            <w:tcW w:w="913" w:type="dxa"/>
            <w:tcBorders>
              <w:top w:val="single" w:sz="4" w:space="0" w:color="auto"/>
            </w:tcBorders>
            <w:shd w:val="clear" w:color="auto" w:fill="auto"/>
            <w:noWrap/>
            <w:tcMar>
              <w:top w:w="15" w:type="dxa"/>
              <w:left w:w="15" w:type="dxa"/>
              <w:bottom w:w="0" w:type="dxa"/>
              <w:right w:w="15" w:type="dxa"/>
            </w:tcMar>
            <w:hideMark/>
          </w:tcPr>
          <w:p w14:paraId="455F39FF" w14:textId="0A37AF8B" w:rsidR="000C5A24" w:rsidRPr="00000DD3" w:rsidRDefault="006701BE" w:rsidP="00874B98">
            <w:pPr>
              <w:spacing w:line="360" w:lineRule="auto"/>
              <w:jc w:val="both"/>
              <w:rPr>
                <w:rFonts w:ascii="Book Antiqua" w:hAnsi="Book Antiqua"/>
                <w:noProof/>
              </w:rPr>
            </w:pPr>
            <w:r w:rsidRPr="00000DD3">
              <w:rPr>
                <w:rFonts w:ascii="Book Antiqua" w:hAnsi="Book Antiqua"/>
                <w:noProof/>
              </w:rPr>
              <w:t>El-Tookhy</w:t>
            </w:r>
          </w:p>
          <w:p w14:paraId="6478F63C" w14:textId="2DD8BF87" w:rsidR="006701BE" w:rsidRPr="00000DD3" w:rsidRDefault="006701BE" w:rsidP="008C622B">
            <w:pPr>
              <w:spacing w:line="360" w:lineRule="auto"/>
              <w:jc w:val="both"/>
              <w:rPr>
                <w:rFonts w:ascii="Book Antiqua" w:hAnsi="Book Antiqua"/>
                <w:noProof/>
              </w:rPr>
            </w:pPr>
            <w:r w:rsidRPr="00000DD3">
              <w:rPr>
                <w:rFonts w:ascii="Book Antiqua" w:hAnsi="Book Antiqua"/>
                <w:i/>
                <w:iCs/>
                <w:noProof/>
              </w:rPr>
              <w:t>et al</w:t>
            </w:r>
            <w:r w:rsidR="008C622B" w:rsidRPr="00000DD3">
              <w:rPr>
                <w:rFonts w:ascii="Book Antiqua" w:hAnsi="Book Antiqua"/>
                <w:noProof/>
              </w:rPr>
              <w:fldChar w:fldCharType="begin" w:fldLock="1"/>
            </w:r>
            <w:r w:rsidR="008C622B" w:rsidRPr="00000DD3">
              <w:rPr>
                <w:rFonts w:ascii="Book Antiqua" w:hAnsi="Book Antiqua"/>
                <w:noProof/>
              </w:rPr>
              <w:instrText>ADDIN CSL_CITATION {"citationItems":[{"id":"ITEM-1","itemData":{"abstract":"Objective: This study investigates the effect of intra-articular injection of autologous mesenchymal stem cells (MSCs) on healing of partial thickness chondral defects in dogs as an experimental animal model. Patients and methods: Methodology: A partial thickness cartilage defect was created on the cartilage covering the lateral femoral condoyle in 24 stifle joint of 12 domestic mongrel dogs. MSCs were harvested in a separate procedure and then injected intra-articularly in the cell treated groups. Animals were divided equally into three groups according to the intra-articular injection. Group one, represented the control group. Animals of this group were operated on but did not receive any intra-articular injections. Group two, animals were injected intra-articularly one day after creating the chondral defect. Group three, animals were injected intra-articularly one month after creating the chondral defect. Results: Animals were sacrificed at 1, 2, 6, and 8 weeks for morphological and histological analysis. All animals were assessed clinically and sacrificed for morphological and histological evaluation. Clinical recovery was significantly better in the two cell treated groups than the control and better in the early injected group than the late one. Histologically, tissue of the control group at the region of defect was fibro-cartilaginous in nature. In the early injected group, the healed area showed differentiated chondrocytes surrounded by lacunae with homogenous hyaline matrix forming hyaline cartilage. In the late injected group, the tissue appeared more cellular than fibrous. The surface layers and cells were typical of fibro-hyaline cartilage. Conclusion: The obtained results prove that the use of I/A injection of autologous MSCs is a viable option for treating partial cartilage defects.","author":[{"dropping-particle":"","family":"El-Tookhy","given":"","non-dropping-particle":"","parse-names":false,"suffix":""},{"dropping-particle":"","family":"Abou Elkheir","given":"W","non-dropping-particle":"","parse-names":false,"suffix":""},{"dropping-particle":"","family":"Mokbel","given":"A","non-dropping-particle":"","parse-names":false,"suffix":""},{"dropping-particle":"","family":"Osman","given":"A","non-dropping-particle":"","parse-names":false,"suffix":""}],"container-title":"The Egyptian Rheumatologist","id":"ITEM-1","issue":"2","issued":{"date-parts":[["2008"]]},"page":"1-10","title":"Intra-articular injection of autologous mesenchymal stem cells in experimental chondral defects in dogs","type":"article-journal","volume":"30"},"uris":["http://www.mendeley.com/documents/?uuid=4978aaeb-90c9-3130-a8cb-24732a405c22"]}],"mendeley":{"formattedCitation":"&lt;sup&gt;[86]&lt;/sup&gt;","plainTextFormattedCitation":"[86]","previouslyFormattedCitation":"&lt;sup&gt;[86]&lt;/sup&gt;"},"properties":{"noteIndex":0},"schema":"https://github.com/citation-style-language/schema/raw/master/csl-citation.json"}</w:instrText>
            </w:r>
            <w:r w:rsidR="008C622B" w:rsidRPr="00000DD3">
              <w:rPr>
                <w:rFonts w:ascii="Book Antiqua" w:hAnsi="Book Antiqua"/>
                <w:noProof/>
              </w:rPr>
              <w:fldChar w:fldCharType="separate"/>
            </w:r>
            <w:r w:rsidR="008C622B" w:rsidRPr="00000DD3">
              <w:rPr>
                <w:rFonts w:ascii="Book Antiqua" w:hAnsi="Book Antiqua"/>
                <w:noProof/>
                <w:vertAlign w:val="superscript"/>
              </w:rPr>
              <w:t>[86]</w:t>
            </w:r>
            <w:r w:rsidR="008C622B" w:rsidRPr="00000DD3">
              <w:rPr>
                <w:rFonts w:ascii="Book Antiqua" w:hAnsi="Book Antiqua"/>
                <w:noProof/>
              </w:rPr>
              <w:fldChar w:fldCharType="end"/>
            </w:r>
            <w:r w:rsidRPr="00000DD3">
              <w:rPr>
                <w:rFonts w:ascii="Book Antiqua" w:hAnsi="Book Antiqua"/>
                <w:noProof/>
              </w:rPr>
              <w:t>, 2008</w:t>
            </w:r>
          </w:p>
        </w:tc>
      </w:tr>
      <w:tr w:rsidR="00874B98" w:rsidRPr="00000DD3" w14:paraId="410625EA" w14:textId="77777777" w:rsidTr="005A52F4">
        <w:trPr>
          <w:trHeight w:val="320"/>
        </w:trPr>
        <w:tc>
          <w:tcPr>
            <w:tcW w:w="851" w:type="dxa"/>
            <w:shd w:val="clear" w:color="auto" w:fill="auto"/>
            <w:noWrap/>
            <w:tcMar>
              <w:top w:w="15" w:type="dxa"/>
              <w:left w:w="15" w:type="dxa"/>
              <w:bottom w:w="0" w:type="dxa"/>
              <w:right w:w="15" w:type="dxa"/>
            </w:tcMar>
            <w:hideMark/>
          </w:tcPr>
          <w:p w14:paraId="6EE82E18"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Adipose tissue</w:t>
            </w:r>
          </w:p>
        </w:tc>
        <w:tc>
          <w:tcPr>
            <w:tcW w:w="1868" w:type="dxa"/>
            <w:shd w:val="clear" w:color="auto" w:fill="auto"/>
            <w:noWrap/>
            <w:tcMar>
              <w:top w:w="15" w:type="dxa"/>
              <w:left w:w="15" w:type="dxa"/>
              <w:bottom w:w="0" w:type="dxa"/>
              <w:right w:w="15" w:type="dxa"/>
            </w:tcMar>
            <w:hideMark/>
          </w:tcPr>
          <w:p w14:paraId="5C3D40C2"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Single intraarticular, autologous</w:t>
            </w:r>
          </w:p>
        </w:tc>
        <w:tc>
          <w:tcPr>
            <w:tcW w:w="960" w:type="dxa"/>
            <w:shd w:val="clear" w:color="auto" w:fill="auto"/>
            <w:noWrap/>
            <w:tcMar>
              <w:top w:w="15" w:type="dxa"/>
              <w:left w:w="15" w:type="dxa"/>
              <w:bottom w:w="0" w:type="dxa"/>
              <w:right w:w="15" w:type="dxa"/>
            </w:tcMar>
            <w:hideMark/>
          </w:tcPr>
          <w:p w14:paraId="34EA3E00"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w:t>
            </w:r>
          </w:p>
        </w:tc>
        <w:tc>
          <w:tcPr>
            <w:tcW w:w="914" w:type="dxa"/>
            <w:shd w:val="clear" w:color="auto" w:fill="auto"/>
            <w:noWrap/>
            <w:tcMar>
              <w:top w:w="15" w:type="dxa"/>
              <w:left w:w="15" w:type="dxa"/>
              <w:bottom w:w="0" w:type="dxa"/>
              <w:right w:w="15" w:type="dxa"/>
            </w:tcMar>
            <w:hideMark/>
          </w:tcPr>
          <w:p w14:paraId="19595294" w14:textId="213CCC83" w:rsidR="006701BE" w:rsidRPr="00000DD3" w:rsidRDefault="006701BE" w:rsidP="00874B98">
            <w:pPr>
              <w:spacing w:line="360" w:lineRule="auto"/>
              <w:jc w:val="both"/>
              <w:rPr>
                <w:rFonts w:ascii="Book Antiqua" w:hAnsi="Book Antiqua"/>
                <w:noProof/>
              </w:rPr>
            </w:pPr>
            <w:r w:rsidRPr="00000DD3">
              <w:rPr>
                <w:rFonts w:ascii="Book Antiqua" w:hAnsi="Book Antiqua"/>
                <w:noProof/>
              </w:rPr>
              <w:t>7-8</w:t>
            </w:r>
          </w:p>
        </w:tc>
        <w:tc>
          <w:tcPr>
            <w:tcW w:w="1275" w:type="dxa"/>
            <w:shd w:val="clear" w:color="auto" w:fill="auto"/>
            <w:noWrap/>
            <w:tcMar>
              <w:top w:w="15" w:type="dxa"/>
              <w:left w:w="15" w:type="dxa"/>
              <w:bottom w:w="0" w:type="dxa"/>
              <w:right w:w="15" w:type="dxa"/>
            </w:tcMar>
            <w:hideMark/>
          </w:tcPr>
          <w:p w14:paraId="12C1C3AC" w14:textId="2BDCC6B8" w:rsidR="006701BE" w:rsidRPr="00000DD3" w:rsidRDefault="006701BE" w:rsidP="00874B98">
            <w:pPr>
              <w:spacing w:line="360" w:lineRule="auto"/>
              <w:jc w:val="both"/>
              <w:rPr>
                <w:rFonts w:ascii="Book Antiqua" w:hAnsi="Book Antiqua"/>
                <w:noProof/>
              </w:rPr>
            </w:pPr>
            <w:r w:rsidRPr="00000DD3">
              <w:rPr>
                <w:rFonts w:ascii="Book Antiqua" w:hAnsi="Book Antiqua"/>
                <w:noProof/>
              </w:rPr>
              <w:t>Partial thickness</w:t>
            </w:r>
            <w:r w:rsidR="00874B98" w:rsidRPr="00000DD3">
              <w:rPr>
                <w:rFonts w:ascii="Book Antiqua" w:hAnsi="Book Antiqua"/>
                <w:noProof/>
              </w:rPr>
              <w:t xml:space="preserve"> </w:t>
            </w:r>
            <w:r w:rsidRPr="00000DD3">
              <w:rPr>
                <w:rFonts w:ascii="Book Antiqua" w:hAnsi="Book Antiqua"/>
                <w:noProof/>
              </w:rPr>
              <w:t>articular cartilage defect</w:t>
            </w:r>
          </w:p>
        </w:tc>
        <w:tc>
          <w:tcPr>
            <w:tcW w:w="1724" w:type="dxa"/>
            <w:shd w:val="clear" w:color="auto" w:fill="auto"/>
            <w:noWrap/>
            <w:tcMar>
              <w:top w:w="15" w:type="dxa"/>
              <w:left w:w="15" w:type="dxa"/>
              <w:bottom w:w="0" w:type="dxa"/>
              <w:right w:w="15" w:type="dxa"/>
            </w:tcMar>
            <w:hideMark/>
          </w:tcPr>
          <w:p w14:paraId="2E7C5109" w14:textId="403A11CD" w:rsidR="006701BE" w:rsidRPr="00000DD3" w:rsidRDefault="006701BE" w:rsidP="00874B98">
            <w:pPr>
              <w:spacing w:line="360" w:lineRule="auto"/>
              <w:jc w:val="both"/>
              <w:rPr>
                <w:rFonts w:ascii="Book Antiqua" w:hAnsi="Book Antiqua"/>
                <w:noProof/>
              </w:rPr>
            </w:pPr>
            <w:r w:rsidRPr="00000DD3">
              <w:rPr>
                <w:rFonts w:ascii="Book Antiqua" w:hAnsi="Book Antiqua"/>
                <w:noProof/>
              </w:rPr>
              <w:t>Morpholog</w:t>
            </w:r>
            <w:r w:rsidR="000646FE" w:rsidRPr="00000DD3">
              <w:rPr>
                <w:rFonts w:ascii="Book Antiqua" w:hAnsi="Book Antiqua"/>
                <w:noProof/>
              </w:rPr>
              <w:t>y</w:t>
            </w:r>
            <w:r w:rsidRPr="00000DD3">
              <w:rPr>
                <w:rFonts w:ascii="Book Antiqua" w:hAnsi="Book Antiqua"/>
                <w:noProof/>
              </w:rPr>
              <w:t>, histolog</w:t>
            </w:r>
            <w:r w:rsidR="000646FE" w:rsidRPr="00000DD3">
              <w:rPr>
                <w:rFonts w:ascii="Book Antiqua" w:hAnsi="Book Antiqua"/>
                <w:noProof/>
              </w:rPr>
              <w:t>y</w:t>
            </w:r>
            <w:r w:rsidRPr="00000DD3">
              <w:rPr>
                <w:rFonts w:ascii="Book Antiqua" w:hAnsi="Book Antiqua"/>
                <w:noProof/>
              </w:rPr>
              <w:t>, fluorescence analysis</w:t>
            </w:r>
          </w:p>
        </w:tc>
        <w:tc>
          <w:tcPr>
            <w:tcW w:w="913" w:type="dxa"/>
            <w:shd w:val="clear" w:color="auto" w:fill="auto"/>
            <w:noWrap/>
            <w:tcMar>
              <w:top w:w="15" w:type="dxa"/>
              <w:left w:w="15" w:type="dxa"/>
              <w:bottom w:w="0" w:type="dxa"/>
              <w:right w:w="15" w:type="dxa"/>
            </w:tcMar>
            <w:hideMark/>
          </w:tcPr>
          <w:p w14:paraId="412D1410" w14:textId="6B4D1877" w:rsidR="000C5A24" w:rsidRPr="00000DD3" w:rsidRDefault="006701BE" w:rsidP="00874B98">
            <w:pPr>
              <w:spacing w:line="360" w:lineRule="auto"/>
              <w:jc w:val="both"/>
              <w:rPr>
                <w:rFonts w:ascii="Book Antiqua" w:hAnsi="Book Antiqua"/>
                <w:noProof/>
              </w:rPr>
            </w:pPr>
            <w:r w:rsidRPr="00000DD3">
              <w:rPr>
                <w:rFonts w:ascii="Book Antiqua" w:hAnsi="Book Antiqua"/>
                <w:noProof/>
              </w:rPr>
              <w:t>Mokbel</w:t>
            </w:r>
          </w:p>
          <w:p w14:paraId="723D9EE8" w14:textId="7DFCEE40" w:rsidR="006701BE" w:rsidRPr="00000DD3" w:rsidRDefault="006701BE" w:rsidP="008C622B">
            <w:pPr>
              <w:spacing w:line="360" w:lineRule="auto"/>
              <w:jc w:val="both"/>
              <w:rPr>
                <w:rFonts w:ascii="Book Antiqua" w:hAnsi="Book Antiqua"/>
                <w:noProof/>
              </w:rPr>
            </w:pPr>
            <w:r w:rsidRPr="00000DD3">
              <w:rPr>
                <w:rFonts w:ascii="Book Antiqua" w:hAnsi="Book Antiqua"/>
                <w:i/>
                <w:iCs/>
                <w:noProof/>
              </w:rPr>
              <w:t>et al</w:t>
            </w:r>
            <w:r w:rsidR="008C622B" w:rsidRPr="00000DD3">
              <w:rPr>
                <w:rFonts w:ascii="Book Antiqua" w:hAnsi="Book Antiqua"/>
                <w:noProof/>
              </w:rPr>
              <w:fldChar w:fldCharType="begin" w:fldLock="1"/>
            </w:r>
            <w:r w:rsidR="008C622B" w:rsidRPr="00000DD3">
              <w:rPr>
                <w:rFonts w:ascii="Book Antiqua" w:hAnsi="Book Antiqua"/>
                <w:noProof/>
              </w:rPr>
              <w:instrText>ADDIN CSL_CITATION {"citationItems":[{"id":"ITEM-1","itemData":{"ISBN":"0392-856X (Print)\\r0392-856X (Linking)","ISSN":"0392856X","PMID":"21385540","abstract":"Objective: This study was intended to verify the likelihood of homing of intra-articularily infected mesenchymal stem cells (MSCs) and its involvement in the healing process of experimentally induced, acute and chronic, partial chondral defects in dogs. Methods: Partial thickness chondral defects were created on the lateral femoral condyle of stifle joint in domestic mongrel dogs. MSCs were harvested in a separate procedure, labelled with green fluorescent protein (GFP) using monster GFP vector and suspended in buffer phosphate solution for intra-articular (IA) injection. Dogs were divided into three groups. Group I, served as the control. The dogs in the two cell-treated groups received a single IA injection of MSCs one day (Group II) and one month (Group III) after creating the defect. Sacrifice was scheduled at 2 and 8 weeks post-surgery for group I, and 2 and 8 weeks post-treatment, for the cell-treated groups. Morphological, histological, and fluorescence analysis was performed. Results: Recovery was significant both clinically and histologically in the two cell-treated groups (Group Il and III) compared to the control (Group I), (p&lt;0.001). In the meantime, Group-II showed better results at 8 weeks than Group III (p=0.01). Homing was confirmed by the incorporation of injected GFP-labelled MSCs within the newly formed cartilage. Conclusion: The obtained results prove that the use of IA injection of autologous MSCs is a viable option for treating partial cartilage defects. Cell labelling gave evidence to the certainty of cell homing within the neocartilage of all treated cases and the participation in the reparative process. © Copyright Clinical and Experimental Rheumatology 2011.","author":[{"dropping-particle":"","family":"Mokbel","given":"A.","non-dropping-particle":"","parse-names":false,"suffix":""},{"dropping-particle":"","family":"El-Tookhy","given":"O.","non-dropping-particle":"","parse-names":false,"suffix":""},{"dropping-particle":"","family":"Shamaa","given":"A. A.","non-dropping-particle":"","parse-names":false,"suffix":""},{"dropping-particle":"","family":"Sabry","given":"D.","non-dropping-particle":"","parse-names":false,"suffix":""},{"dropping-particle":"","family":"Rashed","given":"L.","non-dropping-particle":"","parse-names":false,"suffix":""},{"dropping-particle":"","family":"Mostafa","given":"A.","non-dropping-particle":"","parse-names":false,"suffix":""}],"container-title":"Clinical and Experimental Rheumatology","id":"ITEM-1","issue":"2","issued":{"date-parts":[["2011"]]},"page":"275-284","title":"Homing and efficacy of intra-articular injection of autologous mesenchymal stem cells in experimental chondral defects in dogs","type":"article-journal","volume":"29"},"uris":["http://www.mendeley.com/documents/?uuid=34242ab3-e496-3871-9026-0522cb392679"]}],"mendeley":{"formattedCitation":"&lt;sup&gt;[87]&lt;/sup&gt;","plainTextFormattedCitation":"[87]","previouslyFormattedCitation":"&lt;sup&gt;[87]&lt;/sup&gt;"},"properties":{"noteIndex":0},"schema":"https://github.com/citation-style-language/schema/raw/master/csl-citation.json"}</w:instrText>
            </w:r>
            <w:r w:rsidR="008C622B" w:rsidRPr="00000DD3">
              <w:rPr>
                <w:rFonts w:ascii="Book Antiqua" w:hAnsi="Book Antiqua"/>
                <w:noProof/>
              </w:rPr>
              <w:fldChar w:fldCharType="separate"/>
            </w:r>
            <w:r w:rsidR="008C622B" w:rsidRPr="00000DD3">
              <w:rPr>
                <w:rFonts w:ascii="Book Antiqua" w:hAnsi="Book Antiqua"/>
                <w:noProof/>
                <w:vertAlign w:val="superscript"/>
              </w:rPr>
              <w:t>[87]</w:t>
            </w:r>
            <w:r w:rsidR="008C622B" w:rsidRPr="00000DD3">
              <w:rPr>
                <w:rFonts w:ascii="Book Antiqua" w:hAnsi="Book Antiqua"/>
                <w:noProof/>
              </w:rPr>
              <w:fldChar w:fldCharType="end"/>
            </w:r>
            <w:r w:rsidRPr="00000DD3">
              <w:rPr>
                <w:rFonts w:ascii="Book Antiqua" w:hAnsi="Book Antiqua"/>
                <w:noProof/>
              </w:rPr>
              <w:t>, 2011</w:t>
            </w:r>
          </w:p>
        </w:tc>
      </w:tr>
      <w:tr w:rsidR="00874B98" w:rsidRPr="00000DD3" w14:paraId="17DCB497" w14:textId="77777777" w:rsidTr="005A52F4">
        <w:trPr>
          <w:trHeight w:val="320"/>
        </w:trPr>
        <w:tc>
          <w:tcPr>
            <w:tcW w:w="851" w:type="dxa"/>
            <w:shd w:val="clear" w:color="auto" w:fill="auto"/>
            <w:noWrap/>
            <w:tcMar>
              <w:top w:w="15" w:type="dxa"/>
              <w:left w:w="15" w:type="dxa"/>
              <w:bottom w:w="0" w:type="dxa"/>
              <w:right w:w="15" w:type="dxa"/>
            </w:tcMar>
            <w:hideMark/>
          </w:tcPr>
          <w:p w14:paraId="23E950C2"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Adipose tissue</w:t>
            </w:r>
          </w:p>
        </w:tc>
        <w:tc>
          <w:tcPr>
            <w:tcW w:w="1868" w:type="dxa"/>
            <w:shd w:val="clear" w:color="auto" w:fill="auto"/>
            <w:noWrap/>
            <w:tcMar>
              <w:top w:w="15" w:type="dxa"/>
              <w:left w:w="15" w:type="dxa"/>
              <w:bottom w:w="0" w:type="dxa"/>
              <w:right w:w="15" w:type="dxa"/>
            </w:tcMar>
            <w:hideMark/>
          </w:tcPr>
          <w:p w14:paraId="48CBF8A5"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Four times intraarticular, allogeneic</w:t>
            </w:r>
          </w:p>
        </w:tc>
        <w:tc>
          <w:tcPr>
            <w:tcW w:w="960" w:type="dxa"/>
            <w:shd w:val="clear" w:color="auto" w:fill="auto"/>
            <w:noWrap/>
            <w:tcMar>
              <w:top w:w="15" w:type="dxa"/>
              <w:left w:w="15" w:type="dxa"/>
              <w:bottom w:w="0" w:type="dxa"/>
              <w:right w:w="15" w:type="dxa"/>
            </w:tcMar>
            <w:hideMark/>
          </w:tcPr>
          <w:p w14:paraId="540EA76F"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w:t>
            </w:r>
          </w:p>
        </w:tc>
        <w:tc>
          <w:tcPr>
            <w:tcW w:w="914" w:type="dxa"/>
            <w:shd w:val="clear" w:color="auto" w:fill="auto"/>
            <w:noWrap/>
            <w:tcMar>
              <w:top w:w="15" w:type="dxa"/>
              <w:left w:w="15" w:type="dxa"/>
              <w:bottom w:w="0" w:type="dxa"/>
              <w:right w:w="15" w:type="dxa"/>
            </w:tcMar>
            <w:hideMark/>
          </w:tcPr>
          <w:p w14:paraId="2CCE949F" w14:textId="6849DAD5" w:rsidR="006701BE" w:rsidRPr="00000DD3" w:rsidRDefault="006701BE" w:rsidP="00874B98">
            <w:pPr>
              <w:spacing w:line="360" w:lineRule="auto"/>
              <w:jc w:val="both"/>
              <w:rPr>
                <w:rFonts w:ascii="Book Antiqua" w:hAnsi="Book Antiqua"/>
                <w:noProof/>
              </w:rPr>
            </w:pPr>
            <w:r w:rsidRPr="00000DD3">
              <w:rPr>
                <w:rFonts w:ascii="Book Antiqua" w:hAnsi="Book Antiqua"/>
                <w:noProof/>
              </w:rPr>
              <w:t>5</w:t>
            </w:r>
            <w:r w:rsidR="000C5A24" w:rsidRPr="00000DD3">
              <w:rPr>
                <w:rFonts w:ascii="Book Antiqua" w:hAnsi="Book Antiqua"/>
                <w:noProof/>
              </w:rPr>
              <w:t xml:space="preserve"> </w:t>
            </w:r>
            <w:r w:rsidRPr="00000DD3">
              <w:rPr>
                <w:rFonts w:ascii="Book Antiqua" w:hAnsi="Book Antiqua"/>
                <w:noProof/>
              </w:rPr>
              <w:t>(three times),</w:t>
            </w:r>
          </w:p>
          <w:p w14:paraId="513A30D4" w14:textId="12C50E9F" w:rsidR="006701BE" w:rsidRPr="00000DD3" w:rsidRDefault="006701BE" w:rsidP="00874B98">
            <w:pPr>
              <w:spacing w:line="360" w:lineRule="auto"/>
              <w:jc w:val="both"/>
              <w:rPr>
                <w:rFonts w:ascii="Book Antiqua" w:hAnsi="Book Antiqua"/>
                <w:noProof/>
              </w:rPr>
            </w:pPr>
            <w:r w:rsidRPr="00000DD3">
              <w:rPr>
                <w:rFonts w:ascii="Book Antiqua" w:hAnsi="Book Antiqua"/>
                <w:noProof/>
              </w:rPr>
              <w:t>66 (once)</w:t>
            </w:r>
          </w:p>
        </w:tc>
        <w:tc>
          <w:tcPr>
            <w:tcW w:w="1275" w:type="dxa"/>
            <w:shd w:val="clear" w:color="auto" w:fill="auto"/>
            <w:noWrap/>
            <w:tcMar>
              <w:top w:w="15" w:type="dxa"/>
              <w:left w:w="15" w:type="dxa"/>
              <w:bottom w:w="0" w:type="dxa"/>
              <w:right w:w="15" w:type="dxa"/>
            </w:tcMar>
            <w:hideMark/>
          </w:tcPr>
          <w:p w14:paraId="4070173F"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Intact</w:t>
            </w:r>
          </w:p>
        </w:tc>
        <w:tc>
          <w:tcPr>
            <w:tcW w:w="1724" w:type="dxa"/>
            <w:shd w:val="clear" w:color="auto" w:fill="auto"/>
            <w:noWrap/>
            <w:tcMar>
              <w:top w:w="15" w:type="dxa"/>
              <w:left w:w="15" w:type="dxa"/>
              <w:bottom w:w="0" w:type="dxa"/>
              <w:right w:w="15" w:type="dxa"/>
            </w:tcMar>
            <w:hideMark/>
          </w:tcPr>
          <w:p w14:paraId="2738AABF"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Pain and lameness scoring, immunohistochemistry</w:t>
            </w:r>
          </w:p>
        </w:tc>
        <w:tc>
          <w:tcPr>
            <w:tcW w:w="913" w:type="dxa"/>
            <w:shd w:val="clear" w:color="auto" w:fill="auto"/>
            <w:noWrap/>
            <w:tcMar>
              <w:top w:w="15" w:type="dxa"/>
              <w:left w:w="15" w:type="dxa"/>
              <w:bottom w:w="0" w:type="dxa"/>
              <w:right w:w="15" w:type="dxa"/>
            </w:tcMar>
            <w:hideMark/>
          </w:tcPr>
          <w:p w14:paraId="142C8417" w14:textId="07B079F5" w:rsidR="000C5A24" w:rsidRPr="00000DD3" w:rsidRDefault="006701BE" w:rsidP="00874B98">
            <w:pPr>
              <w:spacing w:line="360" w:lineRule="auto"/>
              <w:jc w:val="both"/>
              <w:rPr>
                <w:rFonts w:ascii="Book Antiqua" w:hAnsi="Book Antiqua"/>
                <w:noProof/>
              </w:rPr>
            </w:pPr>
            <w:r w:rsidRPr="00000DD3">
              <w:rPr>
                <w:rFonts w:ascii="Book Antiqua" w:hAnsi="Book Antiqua"/>
                <w:noProof/>
              </w:rPr>
              <w:t>Park</w:t>
            </w:r>
          </w:p>
          <w:p w14:paraId="43FB3994" w14:textId="72E34C75" w:rsidR="006701BE" w:rsidRPr="00000DD3" w:rsidRDefault="006701BE" w:rsidP="008C622B">
            <w:pPr>
              <w:spacing w:line="360" w:lineRule="auto"/>
              <w:jc w:val="both"/>
              <w:rPr>
                <w:rFonts w:ascii="Book Antiqua" w:hAnsi="Book Antiqua"/>
                <w:noProof/>
              </w:rPr>
            </w:pPr>
            <w:r w:rsidRPr="00000DD3">
              <w:rPr>
                <w:rFonts w:ascii="Book Antiqua" w:hAnsi="Book Antiqua"/>
                <w:i/>
                <w:iCs/>
                <w:noProof/>
              </w:rPr>
              <w:t>et al</w:t>
            </w:r>
            <w:r w:rsidR="008C622B" w:rsidRPr="00000DD3">
              <w:rPr>
                <w:rFonts w:ascii="Book Antiqua" w:hAnsi="Book Antiqua"/>
                <w:noProof/>
              </w:rPr>
              <w:fldChar w:fldCharType="begin" w:fldLock="1"/>
            </w:r>
            <w:r w:rsidR="008C622B" w:rsidRPr="00000DD3">
              <w:rPr>
                <w:rFonts w:ascii="Book Antiqua" w:hAnsi="Book Antiqua"/>
                <w:noProof/>
              </w:rPr>
              <w:instrText>ADDIN CSL_CITATION {"citationItems":[{"id":"ITEM-1","itemData":{"DOI":"10.1016/j.jcyt.2013.06.009","ISBN":"1477-2566 (Electronic)\\r1465-3249 (Linking)","ISSN":"14653249","PMID":"23992828","abstract":"Background aims: Mesenchymal stromal cells (MSCs) have been extensively studied as a cellular therapeutic for various pathologic conditions. However, there remains a paucity of data regarding regional and systemic safety of MSC transplantations, particularly with multiple deliveries of allogeneic cells. The purpose of this study was to investigate the safety and systemic immunomodulatory effects of repeated local delivery of allogeneic MSCs into the region of the lacrimal gland, the gland of the third eyelid and the knee joint in dogs. Methods: Allogeneic adipose tissue-derived canine MSCs were delivered to the regions of the lacrimal gland and the third eyelid gland as well as in the knee joints of six healthy laboratory beagles as follows: six times with 1-week intervals for delivery to the lacrimal gland and the third eyelid gland regions and three to four times with 1- to 2-week intervals for intra-articular transplantations. Dogs were sequentially evaluated by clinical examination. At the conclusion of the study, dogs were humanely euthanized, and a complete gross and histopathologic examination of all organ systems was performed. Mixed leukocyte reactions were also performed before the first transplantation and after the final transplantation. Results: Clinical and pathologic examinations found no severe consequences after repeated MSC transplantations. Results of mixed leukocyte reactions demonstrated suppression of T-cell proliferation after MSC transplantations. Conclusions: This is the first study to demonstrate regional and systemic safety and systemic immunomodulatory effects of repeated local delivery of allogeneic MSCs in vivo. © 2013 International Society for Cellular Therapy.","author":[{"dropping-particle":"","family":"Park","given":"Shin Ae","non-dropping-particle":"","parse-names":false,"suffix":""},{"dropping-particle":"","family":"Reilly","given":"Christopher M.","non-dropping-particle":"","parse-names":false,"suffix":""},{"dropping-particle":"","family":"Wood","given":"Joshua A.","non-dropping-particle":"","parse-names":false,"suffix":""},{"dropping-particle":"","family":"Chung","given":"Dai Jung","non-dropping-particle":"","parse-names":false,"suffix":""},{"dropping-particle":"","family":"Carrade","given":"Danielle D.","non-dropping-particle":"","parse-names":false,"suffix":""},{"dropping-particle":"","family":"Deremer","given":"Sarah L.","non-dropping-particle":"","parse-names":false,"suffix":""},{"dropping-particle":"","family":"Seraphin","given":"Rebecca L.","non-dropping-particle":"","parse-names":false,"suffix":""},{"dropping-particle":"","family":"Clark","given":"Kaitlin C.","non-dropping-particle":"","parse-names":false,"suffix":""},{"dropping-particle":"","family":"Zwingenberger","given":"Allison L.","non-dropping-particle":"","parse-names":false,"suffix":""},{"dropping-particle":"","family":"Borjesson","given":"Dori L.","non-dropping-particle":"","parse-names":false,"suffix":""},{"dropping-particle":"","family":"Hayashi","given":"Kei","non-dropping-particle":"","parse-names":false,"suffix":""},{"dropping-particle":"","family":"Russell","given":"Paul","non-dropping-particle":"","parse-names":false,"suffix":""},{"dropping-particle":"","family":"Murphy","given":"Christopher J.","non-dropping-particle":"","parse-names":false,"suffix":""}],"container-title":"Cytotherapy","id":"ITEM-1","issue":"12","issued":{"date-parts":[["2013"]]},"page":"1498-1510","title":"Safety and immunomodulatory effects of allogeneic canine adipose-derived mesenchymal stromal cells transplanted into the region of the lacrimal gland, the gland of the third eyelid and the knee joint","type":"article-journal","volume":"15"},"uris":["http://www.mendeley.com/documents/?uuid=b6c97531-e23b-3970-acb1-7421a9691c61"]}],"mendeley":{"formattedCitation":"&lt;sup&gt;[95]&lt;/sup&gt;","plainTextFormattedCitation":"[95]","previouslyFormattedCitation":"&lt;sup&gt;[95]&lt;/sup&gt;"},"properties":{"noteIndex":0},"schema":"https://github.com/citation-style-language/schema/raw/master/csl-citation.json"}</w:instrText>
            </w:r>
            <w:r w:rsidR="008C622B" w:rsidRPr="00000DD3">
              <w:rPr>
                <w:rFonts w:ascii="Book Antiqua" w:hAnsi="Book Antiqua"/>
                <w:noProof/>
              </w:rPr>
              <w:fldChar w:fldCharType="separate"/>
            </w:r>
            <w:r w:rsidR="008C622B" w:rsidRPr="00000DD3">
              <w:rPr>
                <w:rFonts w:ascii="Book Antiqua" w:hAnsi="Book Antiqua"/>
                <w:noProof/>
                <w:vertAlign w:val="superscript"/>
              </w:rPr>
              <w:t>[95]</w:t>
            </w:r>
            <w:r w:rsidR="008C622B" w:rsidRPr="00000DD3">
              <w:rPr>
                <w:rFonts w:ascii="Book Antiqua" w:hAnsi="Book Antiqua"/>
                <w:noProof/>
              </w:rPr>
              <w:fldChar w:fldCharType="end"/>
            </w:r>
            <w:r w:rsidRPr="00000DD3">
              <w:rPr>
                <w:rFonts w:ascii="Book Antiqua" w:hAnsi="Book Antiqua"/>
                <w:noProof/>
              </w:rPr>
              <w:t>, 2013</w:t>
            </w:r>
          </w:p>
        </w:tc>
      </w:tr>
      <w:tr w:rsidR="00874B98" w:rsidRPr="00000DD3" w14:paraId="570F1D89" w14:textId="77777777" w:rsidTr="005A52F4">
        <w:trPr>
          <w:trHeight w:val="320"/>
        </w:trPr>
        <w:tc>
          <w:tcPr>
            <w:tcW w:w="851" w:type="dxa"/>
            <w:shd w:val="clear" w:color="auto" w:fill="auto"/>
            <w:noWrap/>
            <w:tcMar>
              <w:top w:w="15" w:type="dxa"/>
              <w:left w:w="15" w:type="dxa"/>
              <w:bottom w:w="0" w:type="dxa"/>
              <w:right w:w="15" w:type="dxa"/>
            </w:tcMar>
            <w:hideMark/>
          </w:tcPr>
          <w:p w14:paraId="0908C5D2"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Bone marrow</w:t>
            </w:r>
          </w:p>
        </w:tc>
        <w:tc>
          <w:tcPr>
            <w:tcW w:w="1868" w:type="dxa"/>
            <w:shd w:val="clear" w:color="auto" w:fill="auto"/>
            <w:noWrap/>
            <w:tcMar>
              <w:top w:w="15" w:type="dxa"/>
              <w:left w:w="15" w:type="dxa"/>
              <w:bottom w:w="0" w:type="dxa"/>
              <w:right w:w="15" w:type="dxa"/>
            </w:tcMar>
            <w:hideMark/>
          </w:tcPr>
          <w:p w14:paraId="3099CF46"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Transplantation with scaffold, allogeneic</w:t>
            </w:r>
          </w:p>
        </w:tc>
        <w:tc>
          <w:tcPr>
            <w:tcW w:w="960" w:type="dxa"/>
            <w:shd w:val="clear" w:color="auto" w:fill="auto"/>
            <w:noWrap/>
            <w:tcMar>
              <w:top w:w="15" w:type="dxa"/>
              <w:left w:w="15" w:type="dxa"/>
              <w:bottom w:w="0" w:type="dxa"/>
              <w:right w:w="15" w:type="dxa"/>
            </w:tcMar>
            <w:hideMark/>
          </w:tcPr>
          <w:p w14:paraId="17B17CEF"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Scaffold</w:t>
            </w:r>
          </w:p>
        </w:tc>
        <w:tc>
          <w:tcPr>
            <w:tcW w:w="914" w:type="dxa"/>
            <w:shd w:val="clear" w:color="auto" w:fill="auto"/>
            <w:noWrap/>
            <w:tcMar>
              <w:top w:w="15" w:type="dxa"/>
              <w:left w:w="15" w:type="dxa"/>
              <w:bottom w:w="0" w:type="dxa"/>
              <w:right w:w="15" w:type="dxa"/>
            </w:tcMar>
            <w:hideMark/>
          </w:tcPr>
          <w:p w14:paraId="0F12A1C3" w14:textId="40A7AFAF" w:rsidR="000C5A24" w:rsidRPr="00000DD3" w:rsidRDefault="000C5A24" w:rsidP="00874B98">
            <w:pPr>
              <w:spacing w:line="360" w:lineRule="auto"/>
              <w:jc w:val="both"/>
              <w:rPr>
                <w:rFonts w:ascii="Book Antiqua" w:hAnsi="Book Antiqua"/>
                <w:noProof/>
              </w:rPr>
            </w:pPr>
            <w:r w:rsidRPr="00000DD3">
              <w:rPr>
                <w:rFonts w:ascii="Book Antiqua" w:hAnsi="Book Antiqua"/>
                <w:noProof/>
              </w:rPr>
              <w:t>0.01</w:t>
            </w:r>
          </w:p>
        </w:tc>
        <w:tc>
          <w:tcPr>
            <w:tcW w:w="1275" w:type="dxa"/>
            <w:shd w:val="clear" w:color="auto" w:fill="auto"/>
            <w:noWrap/>
            <w:tcMar>
              <w:top w:w="15" w:type="dxa"/>
              <w:left w:w="15" w:type="dxa"/>
              <w:bottom w:w="0" w:type="dxa"/>
              <w:right w:w="15" w:type="dxa"/>
            </w:tcMar>
            <w:hideMark/>
          </w:tcPr>
          <w:p w14:paraId="58D46D83"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Full-thickness cartilage defect</w:t>
            </w:r>
          </w:p>
        </w:tc>
        <w:tc>
          <w:tcPr>
            <w:tcW w:w="1724" w:type="dxa"/>
            <w:shd w:val="clear" w:color="auto" w:fill="auto"/>
            <w:noWrap/>
            <w:tcMar>
              <w:top w:w="15" w:type="dxa"/>
              <w:left w:w="15" w:type="dxa"/>
              <w:bottom w:w="0" w:type="dxa"/>
              <w:right w:w="15" w:type="dxa"/>
            </w:tcMar>
            <w:hideMark/>
          </w:tcPr>
          <w:p w14:paraId="687A12DA" w14:textId="6A407289" w:rsidR="006701BE" w:rsidRPr="00000DD3" w:rsidRDefault="006701BE" w:rsidP="00874B98">
            <w:pPr>
              <w:spacing w:line="360" w:lineRule="auto"/>
              <w:jc w:val="both"/>
              <w:rPr>
                <w:rFonts w:ascii="Book Antiqua" w:hAnsi="Book Antiqua"/>
                <w:noProof/>
              </w:rPr>
            </w:pPr>
            <w:r w:rsidRPr="00000DD3">
              <w:rPr>
                <w:rFonts w:ascii="Book Antiqua" w:hAnsi="Book Antiqua"/>
                <w:noProof/>
              </w:rPr>
              <w:t>Histolog</w:t>
            </w:r>
            <w:r w:rsidR="00C70284" w:rsidRPr="00000DD3">
              <w:rPr>
                <w:rFonts w:ascii="Book Antiqua" w:hAnsi="Book Antiqua"/>
                <w:noProof/>
              </w:rPr>
              <w:t>y</w:t>
            </w:r>
            <w:r w:rsidRPr="00000DD3">
              <w:rPr>
                <w:rFonts w:ascii="Book Antiqua" w:hAnsi="Book Antiqua"/>
                <w:noProof/>
              </w:rPr>
              <w:t>, immunohistochemi</w:t>
            </w:r>
            <w:r w:rsidR="00C70284" w:rsidRPr="00000DD3">
              <w:rPr>
                <w:rFonts w:ascii="Book Antiqua" w:hAnsi="Book Antiqua"/>
                <w:noProof/>
              </w:rPr>
              <w:t>stry</w:t>
            </w:r>
            <w:r w:rsidRPr="00000DD3">
              <w:rPr>
                <w:rFonts w:ascii="Book Antiqua" w:hAnsi="Book Antiqua"/>
                <w:noProof/>
              </w:rPr>
              <w:t>, micro CT</w:t>
            </w:r>
          </w:p>
        </w:tc>
        <w:tc>
          <w:tcPr>
            <w:tcW w:w="913" w:type="dxa"/>
            <w:shd w:val="clear" w:color="auto" w:fill="auto"/>
            <w:noWrap/>
            <w:tcMar>
              <w:top w:w="15" w:type="dxa"/>
              <w:left w:w="15" w:type="dxa"/>
              <w:bottom w:w="0" w:type="dxa"/>
              <w:right w:w="15" w:type="dxa"/>
            </w:tcMar>
            <w:hideMark/>
          </w:tcPr>
          <w:p w14:paraId="2B71D71F" w14:textId="14F922D6" w:rsidR="000C5A24" w:rsidRPr="00000DD3" w:rsidRDefault="006701BE" w:rsidP="00874B98">
            <w:pPr>
              <w:spacing w:line="360" w:lineRule="auto"/>
              <w:jc w:val="both"/>
              <w:rPr>
                <w:rFonts w:ascii="Book Antiqua" w:hAnsi="Book Antiqua"/>
                <w:i/>
                <w:iCs/>
                <w:noProof/>
              </w:rPr>
            </w:pPr>
            <w:r w:rsidRPr="00000DD3">
              <w:rPr>
                <w:rFonts w:ascii="Book Antiqua" w:hAnsi="Book Antiqua"/>
                <w:noProof/>
              </w:rPr>
              <w:t>Duan</w:t>
            </w:r>
          </w:p>
          <w:p w14:paraId="2E32345A" w14:textId="224302A6" w:rsidR="006701BE" w:rsidRPr="00000DD3" w:rsidRDefault="006701BE" w:rsidP="008C622B">
            <w:pPr>
              <w:spacing w:line="360" w:lineRule="auto"/>
              <w:jc w:val="both"/>
              <w:rPr>
                <w:rFonts w:ascii="Book Antiqua" w:hAnsi="Book Antiqua"/>
                <w:noProof/>
              </w:rPr>
            </w:pPr>
            <w:r w:rsidRPr="00000DD3">
              <w:rPr>
                <w:rFonts w:ascii="Book Antiqua" w:hAnsi="Book Antiqua"/>
                <w:i/>
                <w:iCs/>
                <w:noProof/>
              </w:rPr>
              <w:t>et al</w:t>
            </w:r>
            <w:r w:rsidR="008C622B" w:rsidRPr="00000DD3">
              <w:rPr>
                <w:rFonts w:ascii="Book Antiqua" w:hAnsi="Book Antiqua"/>
                <w:noProof/>
              </w:rPr>
              <w:fldChar w:fldCharType="begin" w:fldLock="1"/>
            </w:r>
            <w:r w:rsidR="008C622B" w:rsidRPr="00000DD3">
              <w:rPr>
                <w:rFonts w:ascii="Book Antiqua" w:hAnsi="Book Antiqua"/>
                <w:noProof/>
              </w:rPr>
              <w:instrText>ADDIN CSL_CITATION {"citationItems":[{"id":"ITEM-1","itemData":{"DOI":"10.1016/j.msec.2013.05.040","ISBN":"0928-4931","ISSN":"09284931","PMID":"23910301","abstract":"The limited repair potential of articular cartilage, which hardly heals after injury or debilitating osteoarthritis, is a clinical challenge. The aim of this work was to develop a novel type I collagen (Col)/glycosaminoglycan (GAGs)-porous titanium biphasic scaffold (CGT) and verify its ability to repair osteochondral defects in an animal model with bone marrow stem cells (bMSCs) in the chondral phase. The biphasic scaffold was composed of Col/GAGs as chondral phasic and porous titanium as subchondral phasic. Twenty-four full-thickness defects through the articular cartilage and into the subchondral bone were prepared by drilling into the surface of the femoral patellar groove. Animals were assigned to one of the three groups: 1) CGT with bMSCs (CGTM), 2) only CGT, and 3) no implantation (control). The defect areas were examined grossly, histologically and by micro-CT. The most satisfied cartilage repairing result was in the CGTM group, while CGT alone was better than the control group. Abundant subchondral bone formation was observed in the CGTM and CGT groups but not the control group. Our findings demonstrate that a composite based on a novel biphasic scaffold combined with bMSCs shows a high potential to repair large osteochondral defects in a canine model. © 2013 Elsevier B.V.","author":[{"dropping-particle":"","family":"Duan","given":"Xin","non-dropping-particle":"","parse-names":false,"suffix":""},{"dropping-particle":"","family":"Zhu","given":"Xiangdong","non-dropping-particle":"","parse-names":false,"suffix":""},{"dropping-particle":"","family":"Dong","given":"Xingxing","non-dropping-particle":"","parse-names":false,"suffix":""},{"dropping-particle":"","family":"Yang","given":"Jing","non-dropping-particle":"","parse-names":false,"suffix":""},{"dropping-particle":"","family":"Huang","given":"Fuguo","non-dropping-particle":"","parse-names":false,"suffix":""},{"dropping-particle":"","family":"Cen","given":"Shiqiang","non-dropping-particle":"","parse-names":false,"suffix":""},{"dropping-particle":"","family":"Leung","given":"Frankie","non-dropping-particle":"","parse-names":false,"suffix":""},{"dropping-particle":"","family":"Fan","given":"Hongsong","non-dropping-particle":"","parse-names":false,"suffix":""},{"dropping-particle":"","family":"Xiang","given":"Zhou","non-dropping-particle":"","parse-names":false,"suffix":""}],"container-title":"Materials Science and Engineering C","id":"ITEM-1","issue":"7","issued":{"date-parts":[["2013"]]},"page":"3951-7","title":"Repair of large osteochondral defects in a beagle model with a novel type i collagen/glycosaminoglycan-porous titanium biphasic scaffold","type":"article-journal","volume":"33"},"uris":["http://www.mendeley.com/documents/?uuid=738c2258-7ce5-3b18-8365-d7a16fe9c37c"]}],"mendeley":{"formattedCitation":"&lt;sup&gt;[89]&lt;/sup&gt;","plainTextFormattedCitation":"[89]","previouslyFormattedCitation":"&lt;sup&gt;[89]&lt;/sup&gt;"},"properties":{"noteIndex":0},"schema":"https://github.com/citation-style-language/schema/raw/master/csl-citation.json"}</w:instrText>
            </w:r>
            <w:r w:rsidR="008C622B" w:rsidRPr="00000DD3">
              <w:rPr>
                <w:rFonts w:ascii="Book Antiqua" w:hAnsi="Book Antiqua"/>
                <w:noProof/>
              </w:rPr>
              <w:fldChar w:fldCharType="separate"/>
            </w:r>
            <w:r w:rsidR="008C622B" w:rsidRPr="00000DD3">
              <w:rPr>
                <w:rFonts w:ascii="Book Antiqua" w:hAnsi="Book Antiqua"/>
                <w:noProof/>
                <w:vertAlign w:val="superscript"/>
              </w:rPr>
              <w:t>[89]</w:t>
            </w:r>
            <w:r w:rsidR="008C622B" w:rsidRPr="00000DD3">
              <w:rPr>
                <w:rFonts w:ascii="Book Antiqua" w:hAnsi="Book Antiqua"/>
                <w:noProof/>
              </w:rPr>
              <w:fldChar w:fldCharType="end"/>
            </w:r>
            <w:r w:rsidRPr="00000DD3">
              <w:rPr>
                <w:rFonts w:ascii="Book Antiqua" w:hAnsi="Book Antiqua"/>
                <w:noProof/>
              </w:rPr>
              <w:t>, 2013</w:t>
            </w:r>
          </w:p>
        </w:tc>
      </w:tr>
      <w:tr w:rsidR="00874B98" w:rsidRPr="00000DD3" w14:paraId="35004EA3" w14:textId="77777777" w:rsidTr="005A52F4">
        <w:trPr>
          <w:trHeight w:val="320"/>
        </w:trPr>
        <w:tc>
          <w:tcPr>
            <w:tcW w:w="851" w:type="dxa"/>
            <w:shd w:val="clear" w:color="auto" w:fill="auto"/>
            <w:noWrap/>
            <w:tcMar>
              <w:top w:w="15" w:type="dxa"/>
              <w:left w:w="15" w:type="dxa"/>
              <w:bottom w:w="0" w:type="dxa"/>
              <w:right w:w="15" w:type="dxa"/>
            </w:tcMar>
            <w:hideMark/>
          </w:tcPr>
          <w:p w14:paraId="79ECFD7D"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Synovium</w:t>
            </w:r>
          </w:p>
        </w:tc>
        <w:tc>
          <w:tcPr>
            <w:tcW w:w="1868" w:type="dxa"/>
            <w:shd w:val="clear" w:color="auto" w:fill="auto"/>
            <w:noWrap/>
            <w:tcMar>
              <w:top w:w="15" w:type="dxa"/>
              <w:left w:w="15" w:type="dxa"/>
              <w:bottom w:w="0" w:type="dxa"/>
              <w:right w:w="15" w:type="dxa"/>
            </w:tcMar>
            <w:hideMark/>
          </w:tcPr>
          <w:p w14:paraId="13C593C2"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Single intraarticular, autologous</w:t>
            </w:r>
          </w:p>
        </w:tc>
        <w:tc>
          <w:tcPr>
            <w:tcW w:w="960" w:type="dxa"/>
            <w:shd w:val="clear" w:color="auto" w:fill="auto"/>
            <w:noWrap/>
            <w:tcMar>
              <w:top w:w="15" w:type="dxa"/>
              <w:left w:w="15" w:type="dxa"/>
              <w:bottom w:w="0" w:type="dxa"/>
              <w:right w:w="15" w:type="dxa"/>
            </w:tcMar>
            <w:hideMark/>
          </w:tcPr>
          <w:p w14:paraId="1DC229F5" w14:textId="4D37D306" w:rsidR="006701BE" w:rsidRPr="00000DD3" w:rsidRDefault="006701BE" w:rsidP="00874B98">
            <w:pPr>
              <w:spacing w:line="360" w:lineRule="auto"/>
              <w:jc w:val="both"/>
              <w:rPr>
                <w:rFonts w:ascii="Book Antiqua" w:hAnsi="Book Antiqua"/>
                <w:noProof/>
              </w:rPr>
            </w:pPr>
            <w:r w:rsidRPr="00000DD3">
              <w:rPr>
                <w:rFonts w:ascii="Book Antiqua" w:hAnsi="Book Antiqua"/>
                <w:noProof/>
              </w:rPr>
              <w:t>Hyaluronic acid</w:t>
            </w:r>
          </w:p>
        </w:tc>
        <w:tc>
          <w:tcPr>
            <w:tcW w:w="914" w:type="dxa"/>
            <w:shd w:val="clear" w:color="auto" w:fill="auto"/>
            <w:noWrap/>
            <w:tcMar>
              <w:top w:w="15" w:type="dxa"/>
              <w:left w:w="15" w:type="dxa"/>
              <w:bottom w:w="0" w:type="dxa"/>
              <w:right w:w="15" w:type="dxa"/>
            </w:tcMar>
            <w:hideMark/>
          </w:tcPr>
          <w:p w14:paraId="21B484A5" w14:textId="442846D9" w:rsidR="000C5A24" w:rsidRPr="00000DD3" w:rsidRDefault="006701BE" w:rsidP="00874B98">
            <w:pPr>
              <w:spacing w:line="360" w:lineRule="auto"/>
              <w:jc w:val="both"/>
              <w:rPr>
                <w:rFonts w:ascii="Book Antiqua" w:hAnsi="Book Antiqua"/>
                <w:noProof/>
              </w:rPr>
            </w:pPr>
            <w:r w:rsidRPr="00000DD3">
              <w:rPr>
                <w:rFonts w:ascii="Book Antiqua" w:hAnsi="Book Antiqua"/>
                <w:noProof/>
              </w:rPr>
              <w:t>0.05, 5</w:t>
            </w:r>
          </w:p>
          <w:p w14:paraId="3CD0637C" w14:textId="5832CA59" w:rsidR="006701BE" w:rsidRPr="00000DD3" w:rsidRDefault="006701BE" w:rsidP="00874B98">
            <w:pPr>
              <w:spacing w:line="360" w:lineRule="auto"/>
              <w:jc w:val="both"/>
              <w:rPr>
                <w:rFonts w:ascii="Book Antiqua" w:hAnsi="Book Antiqua"/>
                <w:noProof/>
              </w:rPr>
            </w:pPr>
            <w:r w:rsidRPr="00000DD3">
              <w:rPr>
                <w:rFonts w:ascii="Book Antiqua" w:hAnsi="Book Antiqua"/>
                <w:noProof/>
              </w:rPr>
              <w:t>or 50</w:t>
            </w:r>
          </w:p>
        </w:tc>
        <w:tc>
          <w:tcPr>
            <w:tcW w:w="1275" w:type="dxa"/>
            <w:shd w:val="clear" w:color="auto" w:fill="auto"/>
            <w:noWrap/>
            <w:tcMar>
              <w:top w:w="15" w:type="dxa"/>
              <w:left w:w="15" w:type="dxa"/>
              <w:bottom w:w="0" w:type="dxa"/>
              <w:right w:w="15" w:type="dxa"/>
            </w:tcMar>
            <w:hideMark/>
          </w:tcPr>
          <w:p w14:paraId="218570D4" w14:textId="1DD4863F" w:rsidR="006701BE" w:rsidRPr="00000DD3" w:rsidRDefault="006701BE" w:rsidP="00874B98">
            <w:pPr>
              <w:spacing w:line="360" w:lineRule="auto"/>
              <w:jc w:val="both"/>
              <w:rPr>
                <w:rFonts w:ascii="Book Antiqua" w:hAnsi="Book Antiqua"/>
                <w:noProof/>
              </w:rPr>
            </w:pPr>
            <w:r w:rsidRPr="00000DD3">
              <w:rPr>
                <w:rFonts w:ascii="Book Antiqua" w:hAnsi="Book Antiqua"/>
                <w:noProof/>
              </w:rPr>
              <w:t>Partial thickness</w:t>
            </w:r>
            <w:r w:rsidR="00874B98" w:rsidRPr="00000DD3">
              <w:rPr>
                <w:rFonts w:ascii="Book Antiqua" w:hAnsi="Book Antiqua"/>
                <w:noProof/>
              </w:rPr>
              <w:t xml:space="preserve"> </w:t>
            </w:r>
            <w:r w:rsidRPr="00000DD3">
              <w:rPr>
                <w:rFonts w:ascii="Book Antiqua" w:hAnsi="Book Antiqua"/>
                <w:noProof/>
              </w:rPr>
              <w:t>articular cartilage defect</w:t>
            </w:r>
          </w:p>
        </w:tc>
        <w:tc>
          <w:tcPr>
            <w:tcW w:w="1724" w:type="dxa"/>
            <w:shd w:val="clear" w:color="auto" w:fill="auto"/>
            <w:noWrap/>
            <w:tcMar>
              <w:top w:w="15" w:type="dxa"/>
              <w:left w:w="15" w:type="dxa"/>
              <w:bottom w:w="0" w:type="dxa"/>
              <w:right w:w="15" w:type="dxa"/>
            </w:tcMar>
            <w:hideMark/>
          </w:tcPr>
          <w:p w14:paraId="17463442" w14:textId="14DF3B3C" w:rsidR="006701BE" w:rsidRPr="00000DD3" w:rsidRDefault="006701BE" w:rsidP="00874B98">
            <w:pPr>
              <w:spacing w:line="360" w:lineRule="auto"/>
              <w:jc w:val="both"/>
              <w:rPr>
                <w:rFonts w:ascii="Book Antiqua" w:hAnsi="Book Antiqua"/>
                <w:noProof/>
              </w:rPr>
            </w:pPr>
            <w:r w:rsidRPr="00000DD3">
              <w:rPr>
                <w:rFonts w:ascii="Book Antiqua" w:hAnsi="Book Antiqua"/>
                <w:noProof/>
              </w:rPr>
              <w:t>Histolo</w:t>
            </w:r>
            <w:r w:rsidR="00C70284" w:rsidRPr="00000DD3">
              <w:rPr>
                <w:rFonts w:ascii="Book Antiqua" w:hAnsi="Book Antiqua"/>
                <w:noProof/>
              </w:rPr>
              <w:t>gy</w:t>
            </w:r>
          </w:p>
        </w:tc>
        <w:tc>
          <w:tcPr>
            <w:tcW w:w="913" w:type="dxa"/>
            <w:shd w:val="clear" w:color="auto" w:fill="auto"/>
            <w:noWrap/>
            <w:tcMar>
              <w:top w:w="15" w:type="dxa"/>
              <w:left w:w="15" w:type="dxa"/>
              <w:bottom w:w="0" w:type="dxa"/>
              <w:right w:w="15" w:type="dxa"/>
            </w:tcMar>
            <w:hideMark/>
          </w:tcPr>
          <w:p w14:paraId="194615EC" w14:textId="451B7BAF" w:rsidR="000C5A24" w:rsidRPr="00000DD3" w:rsidRDefault="006701BE" w:rsidP="00874B98">
            <w:pPr>
              <w:spacing w:line="360" w:lineRule="auto"/>
              <w:jc w:val="both"/>
              <w:rPr>
                <w:rFonts w:ascii="Book Antiqua" w:hAnsi="Book Antiqua"/>
                <w:noProof/>
              </w:rPr>
            </w:pPr>
            <w:r w:rsidRPr="00000DD3">
              <w:rPr>
                <w:rFonts w:ascii="Book Antiqua" w:hAnsi="Book Antiqua"/>
                <w:noProof/>
              </w:rPr>
              <w:t>Miki</w:t>
            </w:r>
          </w:p>
          <w:p w14:paraId="7B4F8723" w14:textId="052059A3" w:rsidR="006701BE" w:rsidRPr="00000DD3" w:rsidRDefault="006701BE" w:rsidP="008C622B">
            <w:pPr>
              <w:spacing w:line="360" w:lineRule="auto"/>
              <w:jc w:val="both"/>
              <w:rPr>
                <w:rFonts w:ascii="Book Antiqua" w:hAnsi="Book Antiqua"/>
                <w:noProof/>
              </w:rPr>
            </w:pPr>
            <w:r w:rsidRPr="00000DD3">
              <w:rPr>
                <w:rFonts w:ascii="Book Antiqua" w:hAnsi="Book Antiqua"/>
                <w:i/>
                <w:iCs/>
                <w:noProof/>
              </w:rPr>
              <w:t>et al</w:t>
            </w:r>
            <w:r w:rsidR="008C622B" w:rsidRPr="00000DD3">
              <w:rPr>
                <w:rFonts w:ascii="Book Antiqua" w:hAnsi="Book Antiqua"/>
                <w:noProof/>
              </w:rPr>
              <w:fldChar w:fldCharType="begin" w:fldLock="1"/>
            </w:r>
            <w:r w:rsidR="008C622B" w:rsidRPr="00000DD3">
              <w:rPr>
                <w:rFonts w:ascii="Book Antiqua" w:hAnsi="Book Antiqua"/>
                <w:noProof/>
              </w:rPr>
              <w:instrText>ADDIN CSL_CITATION {"citationItems":[{"id":"ITEM-1","itemData":{"DOI":"10.4172/2157-7633.1000314","ISBN":"8133964121","ISSN":"21577633","abstract":"Objective: The purpose of this study was to evaluate effectiveness of intra-articular injection of synovium-derived mesenchymal stem cells (SMSCs) and hyaluronic acid (HA) for the treatment of articular cartilage defects in a canine model. Methods: Forty-eight knees of 24 beagle dogs were randomly assigned to 16 groups (n=3) according to both the number of injected SMSCs (0.5×105 cells, 5×106 cells, 5×107 cells) and the concentration of HA (0%, 0.01%, 0.1%, 0.5%). A partial-thickness cartilage defect was created in the medial femoral condyle under arthroscopy. After seven weeks, autologous SMSCs with or without 1 ml HA were percutaneously injected into the injured knee. In the control group, 1 ml saline was injected. Twelve weeks after the injection, evaluation was performed using the International Cartilage Repair Society (ICRS) visual assessment scale and the modified O’Driscoll histological score. Results: The mean ICRS visual assessment scale and the mean modified O’Driscoll histological score were 1.0 ± 0.00 and 11.0 ± 0.00 in the control group. On the other hand, the mean ICRS visual assessment scale and the mean modified O’Driscoll histological score were 7.3 ± 3.21 and 30.7 ± 7.23 in the group injected with 5×106 cells and 0.01% HA. Conclusion: Intra-articular injection of SMSCs with HA may be effective for stimulating articular cartilage repair. Our results suggest that there is an ideal combination of the number of SMSCs and the concentration of HA for promoting articular cartilage repair.","author":[{"dropping-particle":"","family":"Miki","given":"Shinya","non-dropping-particle":"","parse-names":false,"suffix":""},{"dropping-particle":"","family":"Takao","given":"Masato","non-dropping-particle":"","parse-names":false,"suffix":""},{"dropping-particle":"","family":"Miyamoto","given":"Wataru","non-dropping-particle":"","parse-names":false,"suffix":""},{"dropping-particle":"","family":"Matsushita","given":"Takashi","non-dropping-particle":"","parse-names":false,"suffix":""},{"dropping-particle":"","family":"Kawano","given":"Hirotaka","non-dropping-particle":"","parse-names":false,"suffix":""}],"container-title":"Journal of Stem Cell Research &amp; Therapy","id":"ITEM-1","issue":"11","issued":{"date-parts":[["2015"]]},"page":"1000314","title":"Intra-articular injection of synovium-derived mesenchymal stem cells with hyaluronic acid can repair articular cartilage defects in a canine model","type":"article-journal","volume":"5"},"uris":["http://www.mendeley.com/documents/?uuid=70dcb9b6-95be-3da0-aba0-aacc505c6024"]}],"mendeley":{"formattedCitation":"&lt;sup&gt;[88]&lt;/sup&gt;","plainTextFormattedCitation":"[88]","previouslyFormattedCitation":"&lt;sup&gt;[88]&lt;/sup&gt;"},"properties":{"noteIndex":0},"schema":"https://github.com/citation-style-language/schema/raw/master/csl-citation.json"}</w:instrText>
            </w:r>
            <w:r w:rsidR="008C622B" w:rsidRPr="00000DD3">
              <w:rPr>
                <w:rFonts w:ascii="Book Antiqua" w:hAnsi="Book Antiqua"/>
                <w:noProof/>
              </w:rPr>
              <w:fldChar w:fldCharType="separate"/>
            </w:r>
            <w:r w:rsidR="008C622B" w:rsidRPr="00000DD3">
              <w:rPr>
                <w:rFonts w:ascii="Book Antiqua" w:hAnsi="Book Antiqua"/>
                <w:noProof/>
                <w:vertAlign w:val="superscript"/>
              </w:rPr>
              <w:t>[88]</w:t>
            </w:r>
            <w:r w:rsidR="008C622B" w:rsidRPr="00000DD3">
              <w:rPr>
                <w:rFonts w:ascii="Book Antiqua" w:hAnsi="Book Antiqua"/>
                <w:noProof/>
              </w:rPr>
              <w:fldChar w:fldCharType="end"/>
            </w:r>
            <w:r w:rsidRPr="00000DD3">
              <w:rPr>
                <w:rFonts w:ascii="Book Antiqua" w:hAnsi="Book Antiqua"/>
                <w:noProof/>
              </w:rPr>
              <w:t>, 2015</w:t>
            </w:r>
          </w:p>
        </w:tc>
      </w:tr>
      <w:tr w:rsidR="00874B98" w:rsidRPr="00000DD3" w14:paraId="3E4C3012" w14:textId="77777777" w:rsidTr="005A52F4">
        <w:trPr>
          <w:trHeight w:val="320"/>
        </w:trPr>
        <w:tc>
          <w:tcPr>
            <w:tcW w:w="851" w:type="dxa"/>
            <w:shd w:val="clear" w:color="auto" w:fill="auto"/>
            <w:noWrap/>
            <w:tcMar>
              <w:top w:w="15" w:type="dxa"/>
              <w:left w:w="15" w:type="dxa"/>
              <w:bottom w:w="0" w:type="dxa"/>
              <w:right w:w="15" w:type="dxa"/>
            </w:tcMar>
            <w:hideMark/>
          </w:tcPr>
          <w:p w14:paraId="67D5A60B"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Adipose tissue</w:t>
            </w:r>
          </w:p>
        </w:tc>
        <w:tc>
          <w:tcPr>
            <w:tcW w:w="1868" w:type="dxa"/>
            <w:shd w:val="clear" w:color="auto" w:fill="auto"/>
            <w:noWrap/>
            <w:tcMar>
              <w:top w:w="15" w:type="dxa"/>
              <w:left w:w="15" w:type="dxa"/>
              <w:bottom w:w="0" w:type="dxa"/>
              <w:right w:w="15" w:type="dxa"/>
            </w:tcMar>
            <w:hideMark/>
          </w:tcPr>
          <w:p w14:paraId="0A4FE43E"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Single intraarticular, allogeneic</w:t>
            </w:r>
          </w:p>
        </w:tc>
        <w:tc>
          <w:tcPr>
            <w:tcW w:w="960" w:type="dxa"/>
            <w:shd w:val="clear" w:color="auto" w:fill="auto"/>
            <w:noWrap/>
            <w:tcMar>
              <w:top w:w="15" w:type="dxa"/>
              <w:left w:w="15" w:type="dxa"/>
              <w:bottom w:w="0" w:type="dxa"/>
              <w:right w:w="15" w:type="dxa"/>
            </w:tcMar>
            <w:hideMark/>
          </w:tcPr>
          <w:p w14:paraId="35F3D5BF"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Platelet-rich plasma</w:t>
            </w:r>
          </w:p>
        </w:tc>
        <w:tc>
          <w:tcPr>
            <w:tcW w:w="914" w:type="dxa"/>
            <w:shd w:val="clear" w:color="auto" w:fill="auto"/>
            <w:noWrap/>
            <w:tcMar>
              <w:top w:w="15" w:type="dxa"/>
              <w:left w:w="15" w:type="dxa"/>
              <w:bottom w:w="0" w:type="dxa"/>
              <w:right w:w="15" w:type="dxa"/>
            </w:tcMar>
            <w:hideMark/>
          </w:tcPr>
          <w:p w14:paraId="665BD534" w14:textId="6413582A" w:rsidR="006701BE" w:rsidRPr="00000DD3" w:rsidRDefault="006701BE" w:rsidP="00874B98">
            <w:pPr>
              <w:spacing w:line="360" w:lineRule="auto"/>
              <w:jc w:val="both"/>
              <w:rPr>
                <w:rFonts w:ascii="Book Antiqua" w:hAnsi="Book Antiqua"/>
                <w:noProof/>
              </w:rPr>
            </w:pPr>
            <w:r w:rsidRPr="00000DD3">
              <w:rPr>
                <w:rFonts w:ascii="Book Antiqua" w:hAnsi="Book Antiqua"/>
                <w:noProof/>
              </w:rPr>
              <w:t>10</w:t>
            </w:r>
          </w:p>
        </w:tc>
        <w:tc>
          <w:tcPr>
            <w:tcW w:w="1275" w:type="dxa"/>
            <w:shd w:val="clear" w:color="auto" w:fill="auto"/>
            <w:noWrap/>
            <w:tcMar>
              <w:top w:w="15" w:type="dxa"/>
              <w:left w:w="15" w:type="dxa"/>
              <w:bottom w:w="0" w:type="dxa"/>
              <w:right w:w="15" w:type="dxa"/>
            </w:tcMar>
            <w:hideMark/>
          </w:tcPr>
          <w:p w14:paraId="6C0F1D68"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Cranial cruciate ligament transection</w:t>
            </w:r>
          </w:p>
        </w:tc>
        <w:tc>
          <w:tcPr>
            <w:tcW w:w="1724" w:type="dxa"/>
            <w:shd w:val="clear" w:color="auto" w:fill="auto"/>
            <w:noWrap/>
            <w:tcMar>
              <w:top w:w="15" w:type="dxa"/>
              <w:left w:w="15" w:type="dxa"/>
              <w:bottom w:w="0" w:type="dxa"/>
              <w:right w:w="15" w:type="dxa"/>
            </w:tcMar>
            <w:hideMark/>
          </w:tcPr>
          <w:p w14:paraId="1AE7FFBE" w14:textId="4C9F694F" w:rsidR="006701BE" w:rsidRPr="00000DD3" w:rsidRDefault="006701BE" w:rsidP="00874B98">
            <w:pPr>
              <w:spacing w:line="360" w:lineRule="auto"/>
              <w:jc w:val="both"/>
              <w:rPr>
                <w:rFonts w:ascii="Book Antiqua" w:hAnsi="Book Antiqua"/>
                <w:noProof/>
              </w:rPr>
            </w:pPr>
            <w:r w:rsidRPr="00000DD3">
              <w:rPr>
                <w:rFonts w:ascii="Book Antiqua" w:hAnsi="Book Antiqua"/>
                <w:noProof/>
              </w:rPr>
              <w:t>Lameness scoring, focal compression strength, extracellular matrix composition, histopathology</w:t>
            </w:r>
            <w:r w:rsidR="00C70284" w:rsidRPr="00000DD3">
              <w:rPr>
                <w:rFonts w:ascii="Book Antiqua" w:hAnsi="Book Antiqua"/>
                <w:noProof/>
              </w:rPr>
              <w:t>,</w:t>
            </w:r>
            <w:r w:rsidRPr="00000DD3">
              <w:rPr>
                <w:rFonts w:ascii="Book Antiqua" w:hAnsi="Book Antiqua"/>
                <w:noProof/>
              </w:rPr>
              <w:t xml:space="preserve"> real-time PCR</w:t>
            </w:r>
          </w:p>
        </w:tc>
        <w:tc>
          <w:tcPr>
            <w:tcW w:w="913" w:type="dxa"/>
            <w:shd w:val="clear" w:color="auto" w:fill="auto"/>
            <w:noWrap/>
            <w:tcMar>
              <w:top w:w="15" w:type="dxa"/>
              <w:left w:w="15" w:type="dxa"/>
              <w:bottom w:w="0" w:type="dxa"/>
              <w:right w:w="15" w:type="dxa"/>
            </w:tcMar>
            <w:hideMark/>
          </w:tcPr>
          <w:p w14:paraId="514AD14C" w14:textId="097A40C6" w:rsidR="006701BE" w:rsidRPr="00000DD3" w:rsidRDefault="006701BE" w:rsidP="008C622B">
            <w:pPr>
              <w:spacing w:line="360" w:lineRule="auto"/>
              <w:jc w:val="both"/>
              <w:rPr>
                <w:rFonts w:ascii="Book Antiqua" w:hAnsi="Book Antiqua"/>
                <w:noProof/>
              </w:rPr>
            </w:pPr>
            <w:r w:rsidRPr="00000DD3">
              <w:rPr>
                <w:rFonts w:ascii="Book Antiqua" w:hAnsi="Book Antiqua"/>
                <w:noProof/>
              </w:rPr>
              <w:t>Yun</w:t>
            </w:r>
            <w:r w:rsidR="008C622B" w:rsidRPr="00000DD3">
              <w:rPr>
                <w:rFonts w:ascii="Book Antiqua" w:eastAsia="黑体" w:hAnsi="Book Antiqua" w:hint="eastAsia"/>
                <w:noProof/>
                <w:lang w:eastAsia="zh-CN"/>
              </w:rPr>
              <w:t xml:space="preserve"> </w:t>
            </w:r>
            <w:r w:rsidRPr="00000DD3">
              <w:rPr>
                <w:rFonts w:ascii="Book Antiqua" w:hAnsi="Book Antiqua"/>
                <w:i/>
                <w:iCs/>
                <w:noProof/>
              </w:rPr>
              <w:t>et al</w:t>
            </w:r>
            <w:r w:rsidR="008C622B" w:rsidRPr="00000DD3">
              <w:rPr>
                <w:rFonts w:ascii="Book Antiqua" w:hAnsi="Book Antiqua"/>
                <w:noProof/>
              </w:rPr>
              <w:fldChar w:fldCharType="begin" w:fldLock="1"/>
            </w:r>
            <w:r w:rsidR="008C622B" w:rsidRPr="00000DD3">
              <w:rPr>
                <w:rFonts w:ascii="Book Antiqua" w:hAnsi="Book Antiqua"/>
                <w:noProof/>
              </w:rPr>
              <w:instrText>ADDIN CSL_CITATION {"citationItems":[{"id":"ITEM-1","itemData":{"DOI":"10.1186/s13018-016-0342-9","ISBN":"1749-799x","ISSN":"1749799X","PMID":"26768536","abstract":"Background: The purpose of this study is to investigate the clinical effects of platelet-rich plasma (PRP) and adipose-derived mesenchymal stem cell (MSC) as the fundamental treatment of osteoarthritis (OA). Methods: Twenty four Beagle dogs were used as cranial cruciate ligament transection models. The dogs were divided into four groups ( n = 6) according to the intra-articular injection materials: the control group with phosphate-buffered saline (PBS), the PRP group with PRP, the MSC group with MSCs emerged in PBS, and the MSC and PRP co-treatment (MP) group with MSCs and PRP. Results: Lameness score, focal compression strength, articular extracellular matrix (ECM) compositions, histopathology, and real-time PCR were used to evaluate the effects of PRP and MSCs on canine OA. In the order of MP, PRP, and MSC group, these all showed positive effects on the evaluated categories. The lameness scores were lower, and the focal compression strengths of the affected femoral articular surface cartilages were higher than those in the OA control group. Also, the inflammatory changes, when evaluated with Mankin scoring and histomorphologic examination, were significantly ameliorated with the treatment of PRP and/or MSCs. The glycosaminoglycan and collagen composition of extracellular matrix was more favorable in the test groups. The ECM-related genes significantly increased through the up-regulation, while the protein expressions of inflammatory cytokines were decreased through the inhibitory effects of PRP and MSCs on chondrocyte apoptosis and inflammatory cytokines. Conclusions: Taken together, this study suggests that PRP and MSCs treatments have a beneficial effect on OA via the stimulation of ECM synthesis and chondrocyte proliferation and via the inhibition of inflammatory reaction.","author":[{"dropping-particle":"","family":"Yun","given":"Sungho","non-dropping-particle":"","parse-names":false,"suffix":""},{"dropping-particle":"","family":"Ku","given":"Sae Kwang","non-dropping-particle":"","parse-names":false,"suffix":""},{"dropping-particle":"","family":"Kwon","given":"Young Sam","non-dropping-particle":"","parse-names":false,"suffix":""}],"container-title":"Journal of Orthopaedic Surgery and Research","id":"ITEM-1","issue":"9","issued":{"date-parts":[["2016"]]},"title":"Adipose-derived mesenchymal stem cells and platelet-rich plasma synergistically ameliorate the surgical-induced osteoarthritis in Beagle dogs","type":"article-journal","volume":"11"},"uris":["http://www.mendeley.com/documents/?uuid=a31ec701-ff6d-38f2-8dab-b30027be293d"]}],"mendeley":{"formattedCitation":"&lt;sup&gt;[90]&lt;/sup&gt;","plainTextFormattedCitation":"[90]","previouslyFormattedCitation":"&lt;sup&gt;[90]&lt;/sup&gt;"},"properties":{"noteIndex":0},"schema":"https://github.com/citation-style-language/schema/raw/master/csl-citation.json"}</w:instrText>
            </w:r>
            <w:r w:rsidR="008C622B" w:rsidRPr="00000DD3">
              <w:rPr>
                <w:rFonts w:ascii="Book Antiqua" w:hAnsi="Book Antiqua"/>
                <w:noProof/>
              </w:rPr>
              <w:fldChar w:fldCharType="separate"/>
            </w:r>
            <w:r w:rsidR="008C622B" w:rsidRPr="00000DD3">
              <w:rPr>
                <w:rFonts w:ascii="Book Antiqua" w:hAnsi="Book Antiqua"/>
                <w:noProof/>
                <w:vertAlign w:val="superscript"/>
              </w:rPr>
              <w:t>[90]</w:t>
            </w:r>
            <w:r w:rsidR="008C622B" w:rsidRPr="00000DD3">
              <w:rPr>
                <w:rFonts w:ascii="Book Antiqua" w:hAnsi="Book Antiqua"/>
                <w:noProof/>
              </w:rPr>
              <w:fldChar w:fldCharType="end"/>
            </w:r>
            <w:r w:rsidRPr="00000DD3">
              <w:rPr>
                <w:rFonts w:ascii="Book Antiqua" w:hAnsi="Book Antiqua"/>
                <w:noProof/>
              </w:rPr>
              <w:t>, 2016</w:t>
            </w:r>
          </w:p>
        </w:tc>
      </w:tr>
      <w:tr w:rsidR="00874B98" w:rsidRPr="00000DD3" w14:paraId="31F4D196" w14:textId="77777777" w:rsidTr="005A52F4">
        <w:trPr>
          <w:trHeight w:val="320"/>
        </w:trPr>
        <w:tc>
          <w:tcPr>
            <w:tcW w:w="851" w:type="dxa"/>
            <w:shd w:val="clear" w:color="auto" w:fill="auto"/>
            <w:noWrap/>
            <w:tcMar>
              <w:top w:w="15" w:type="dxa"/>
              <w:left w:w="15" w:type="dxa"/>
              <w:bottom w:w="0" w:type="dxa"/>
              <w:right w:w="15" w:type="dxa"/>
            </w:tcMar>
            <w:hideMark/>
          </w:tcPr>
          <w:p w14:paraId="0BDCE5C1"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Bone marrow</w:t>
            </w:r>
          </w:p>
        </w:tc>
        <w:tc>
          <w:tcPr>
            <w:tcW w:w="1868" w:type="dxa"/>
            <w:shd w:val="clear" w:color="auto" w:fill="auto"/>
            <w:noWrap/>
            <w:tcMar>
              <w:top w:w="15" w:type="dxa"/>
              <w:left w:w="15" w:type="dxa"/>
              <w:bottom w:w="0" w:type="dxa"/>
              <w:right w:w="15" w:type="dxa"/>
            </w:tcMar>
            <w:hideMark/>
          </w:tcPr>
          <w:p w14:paraId="3466CDF8"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Single intraarticular, allogeneic</w:t>
            </w:r>
          </w:p>
        </w:tc>
        <w:tc>
          <w:tcPr>
            <w:tcW w:w="960" w:type="dxa"/>
            <w:shd w:val="clear" w:color="auto" w:fill="auto"/>
            <w:noWrap/>
            <w:tcMar>
              <w:top w:w="15" w:type="dxa"/>
              <w:left w:w="15" w:type="dxa"/>
              <w:bottom w:w="0" w:type="dxa"/>
              <w:right w:w="15" w:type="dxa"/>
            </w:tcMar>
            <w:hideMark/>
          </w:tcPr>
          <w:p w14:paraId="66F8670D" w14:textId="71A775B4" w:rsidR="006701BE" w:rsidRPr="00000DD3" w:rsidRDefault="006701BE" w:rsidP="00874B98">
            <w:pPr>
              <w:spacing w:line="360" w:lineRule="auto"/>
              <w:jc w:val="both"/>
              <w:rPr>
                <w:rFonts w:ascii="Book Antiqua" w:hAnsi="Book Antiqua"/>
                <w:noProof/>
              </w:rPr>
            </w:pPr>
            <w:r w:rsidRPr="00000DD3">
              <w:rPr>
                <w:rFonts w:ascii="Book Antiqua" w:hAnsi="Book Antiqua"/>
                <w:noProof/>
              </w:rPr>
              <w:t>Hyaluronic acid</w:t>
            </w:r>
          </w:p>
        </w:tc>
        <w:tc>
          <w:tcPr>
            <w:tcW w:w="914" w:type="dxa"/>
            <w:shd w:val="clear" w:color="auto" w:fill="auto"/>
            <w:noWrap/>
            <w:tcMar>
              <w:top w:w="15" w:type="dxa"/>
              <w:left w:w="15" w:type="dxa"/>
              <w:bottom w:w="0" w:type="dxa"/>
              <w:right w:w="15" w:type="dxa"/>
            </w:tcMar>
            <w:hideMark/>
          </w:tcPr>
          <w:p w14:paraId="62965442" w14:textId="552A26B0" w:rsidR="006701BE" w:rsidRPr="00000DD3" w:rsidRDefault="006701BE" w:rsidP="00874B98">
            <w:pPr>
              <w:spacing w:line="360" w:lineRule="auto"/>
              <w:jc w:val="both"/>
              <w:rPr>
                <w:rFonts w:ascii="Book Antiqua" w:hAnsi="Book Antiqua"/>
                <w:noProof/>
              </w:rPr>
            </w:pPr>
            <w:r w:rsidRPr="00000DD3">
              <w:rPr>
                <w:rFonts w:ascii="Book Antiqua" w:hAnsi="Book Antiqua"/>
                <w:noProof/>
              </w:rPr>
              <w:t>10</w:t>
            </w:r>
          </w:p>
        </w:tc>
        <w:tc>
          <w:tcPr>
            <w:tcW w:w="1275" w:type="dxa"/>
            <w:shd w:val="clear" w:color="auto" w:fill="auto"/>
            <w:noWrap/>
            <w:tcMar>
              <w:top w:w="15" w:type="dxa"/>
              <w:left w:w="15" w:type="dxa"/>
              <w:bottom w:w="0" w:type="dxa"/>
              <w:right w:w="15" w:type="dxa"/>
            </w:tcMar>
            <w:hideMark/>
          </w:tcPr>
          <w:p w14:paraId="3C2B4F74" w14:textId="088568BF" w:rsidR="006701BE" w:rsidRPr="00000DD3" w:rsidRDefault="006701BE" w:rsidP="00874B98">
            <w:pPr>
              <w:spacing w:line="360" w:lineRule="auto"/>
              <w:jc w:val="both"/>
              <w:rPr>
                <w:rFonts w:ascii="Book Antiqua" w:hAnsi="Book Antiqua"/>
                <w:noProof/>
              </w:rPr>
            </w:pPr>
            <w:r w:rsidRPr="00000DD3">
              <w:rPr>
                <w:rFonts w:ascii="Book Antiqua" w:hAnsi="Book Antiqua"/>
                <w:noProof/>
              </w:rPr>
              <w:t>Partial thickness</w:t>
            </w:r>
            <w:r w:rsidR="00874B98" w:rsidRPr="00000DD3">
              <w:rPr>
                <w:rFonts w:ascii="Book Antiqua" w:hAnsi="Book Antiqua"/>
                <w:noProof/>
              </w:rPr>
              <w:t xml:space="preserve"> </w:t>
            </w:r>
            <w:r w:rsidRPr="00000DD3">
              <w:rPr>
                <w:rFonts w:ascii="Book Antiqua" w:hAnsi="Book Antiqua"/>
                <w:noProof/>
              </w:rPr>
              <w:t>articular cartilage defect</w:t>
            </w:r>
          </w:p>
        </w:tc>
        <w:tc>
          <w:tcPr>
            <w:tcW w:w="1724" w:type="dxa"/>
            <w:shd w:val="clear" w:color="auto" w:fill="auto"/>
            <w:noWrap/>
            <w:tcMar>
              <w:top w:w="15" w:type="dxa"/>
              <w:left w:w="15" w:type="dxa"/>
              <w:bottom w:w="0" w:type="dxa"/>
              <w:right w:w="15" w:type="dxa"/>
            </w:tcMar>
            <w:hideMark/>
          </w:tcPr>
          <w:p w14:paraId="6493E90F" w14:textId="502C86AE" w:rsidR="006701BE" w:rsidRPr="00000DD3" w:rsidRDefault="006701BE" w:rsidP="00874B98">
            <w:pPr>
              <w:spacing w:line="360" w:lineRule="auto"/>
              <w:jc w:val="both"/>
              <w:rPr>
                <w:rFonts w:ascii="Book Antiqua" w:hAnsi="Book Antiqua"/>
                <w:noProof/>
              </w:rPr>
            </w:pPr>
            <w:r w:rsidRPr="00000DD3">
              <w:rPr>
                <w:rFonts w:ascii="Book Antiqua" w:hAnsi="Book Antiqua"/>
                <w:noProof/>
              </w:rPr>
              <w:t>Gross appearance, magnetic resonance imaging, histolog</w:t>
            </w:r>
            <w:r w:rsidR="00C70284" w:rsidRPr="00000DD3">
              <w:rPr>
                <w:rFonts w:ascii="Book Antiqua" w:hAnsi="Book Antiqua"/>
                <w:noProof/>
              </w:rPr>
              <w:t>y</w:t>
            </w:r>
            <w:r w:rsidRPr="00000DD3">
              <w:rPr>
                <w:rFonts w:ascii="Book Antiqua" w:hAnsi="Book Antiqua"/>
                <w:noProof/>
              </w:rPr>
              <w:t>, immunohistochemistry</w:t>
            </w:r>
          </w:p>
        </w:tc>
        <w:tc>
          <w:tcPr>
            <w:tcW w:w="913" w:type="dxa"/>
            <w:shd w:val="clear" w:color="auto" w:fill="auto"/>
            <w:noWrap/>
            <w:tcMar>
              <w:top w:w="15" w:type="dxa"/>
              <w:left w:w="15" w:type="dxa"/>
              <w:bottom w:w="0" w:type="dxa"/>
              <w:right w:w="15" w:type="dxa"/>
            </w:tcMar>
            <w:hideMark/>
          </w:tcPr>
          <w:p w14:paraId="1960CF13" w14:textId="157459CA" w:rsidR="006701BE" w:rsidRPr="00000DD3" w:rsidRDefault="006701BE" w:rsidP="008C622B">
            <w:pPr>
              <w:spacing w:line="360" w:lineRule="auto"/>
              <w:jc w:val="both"/>
              <w:rPr>
                <w:rFonts w:ascii="Book Antiqua" w:hAnsi="Book Antiqua"/>
                <w:noProof/>
              </w:rPr>
            </w:pPr>
            <w:r w:rsidRPr="00000DD3">
              <w:rPr>
                <w:rFonts w:ascii="Book Antiqua" w:hAnsi="Book Antiqua"/>
                <w:noProof/>
              </w:rPr>
              <w:t>Li</w:t>
            </w:r>
            <w:r w:rsidR="008C622B" w:rsidRPr="00000DD3">
              <w:rPr>
                <w:rFonts w:ascii="Book Antiqua" w:eastAsia="黑体" w:hAnsi="Book Antiqua" w:hint="eastAsia"/>
                <w:noProof/>
                <w:lang w:eastAsia="zh-CN"/>
              </w:rPr>
              <w:t xml:space="preserve"> </w:t>
            </w:r>
            <w:r w:rsidRPr="00000DD3">
              <w:rPr>
                <w:rFonts w:ascii="Book Antiqua" w:hAnsi="Book Antiqua"/>
                <w:i/>
                <w:iCs/>
                <w:noProof/>
              </w:rPr>
              <w:t>et al</w:t>
            </w:r>
            <w:r w:rsidR="008C622B" w:rsidRPr="00000DD3">
              <w:rPr>
                <w:rFonts w:ascii="Book Antiqua" w:hAnsi="Book Antiqua"/>
                <w:noProof/>
              </w:rPr>
              <w:fldChar w:fldCharType="begin" w:fldLock="1"/>
            </w:r>
            <w:r w:rsidR="008C622B" w:rsidRPr="00000DD3">
              <w:rPr>
                <w:rFonts w:ascii="Book Antiqua" w:hAnsi="Book Antiqua"/>
                <w:noProof/>
              </w:rPr>
              <w:instrText>ADDIN CSL_CITATION {"citationItems":[{"id":"ITEM-1","itemData":{"DOI":"10.1038/s41598-018-27737-y","ISSN":"20452322","PMID":"29967404","abstract":"Mesenchymal stem cells (MSCs) and hyaluronic acid (HA) have been found in previous studies to have great potential for medical use. This study aimed to investigate the therapeutic effects of bone marrow mesenchymal stem cells (BMSCs) combined with HA on articular cartilage repair in canines. Twenty-four healthy canines (48 knee-joints), male or female with weight ranging from 5 to 6 kg, were operated on to induce cartilage defect model and divided into 3 groups randomly which received different treatments: BMSCs plus HA (BMSCs-HA), HA alone, and saline. Twenty-eight weeks after treatment, all canines were sacrificed and analyzed by gross appearance, magnetic resonance imaging (MRI), hematoxylin-eosin (HE) staining, Masson staining, toluidine blue staining, type II collagen immunohistochemistry, gross grading scale and histological scores. MSCs plus HA regenerated more cartilage-like tissue than did HA alone or saline. According to the macroscopic evaluation and histological assessment score, treatment with MSCs plus HA also lead to significant improvement in cartilage defects compared to those in the other 2 treatment groups (P &lt; 0.05). These findings suggested that allogeneic BMSCs plus HA rather than HA alone was effective in promoting the formation of cartilage-like tissue for repairing cartilage defect in canines.","author":[{"dropping-particle":"","family":"Li","given":"Lang","non-dropping-particle":"","parse-names":false,"suffix":""},{"dropping-particle":"","family":"Duan","given":"Xin","non-dropping-particle":"","parse-names":false,"suffix":""},{"dropping-particle":"","family":"Fan","given":"Zhaoxin","non-dropping-particle":"","parse-names":false,"suffix":""},{"dropping-particle":"","family":"Chen","given":"Long","non-dropping-particle":"","parse-names":false,"suffix":""},{"dropping-particle":"","family":"Xing","given":"Fei","non-dropping-particle":"","parse-names":false,"suffix":""},{"dropping-particle":"","family":"Xu","given":"Zhao","non-dropping-particle":"","parse-names":false,"suffix":""},{"dropping-particle":"","family":"Chen","given":"Qiang","non-dropping-particle":"","parse-names":false,"suffix":""},{"dropping-particle":"","family":"Xiang","given":"Zhou","non-dropping-particle":"","parse-names":false,"suffix":""}],"container-title":"Scientific Reports","id":"ITEM-1","issue":"1","issued":{"date-parts":[["2018"]]},"page":"9900","title":"Mesenchymal stem cells in combination with hyaluronic acid for articular cartilage defects","type":"article-journal","volume":"8"},"uris":["http://www.mendeley.com/documents/?uuid=5230d377-0e2a-31b0-b125-aea70e2ecce7"]}],"mendeley":{"formattedCitation":"&lt;sup&gt;[63]&lt;/sup&gt;","plainTextFormattedCitation":"[63]","previouslyFormattedCitation":"&lt;sup&gt;[63]&lt;/sup&gt;"},"properties":{"noteIndex":0},"schema":"https://github.com/citation-style-language/schema/raw/master/csl-citation.json"}</w:instrText>
            </w:r>
            <w:r w:rsidR="008C622B" w:rsidRPr="00000DD3">
              <w:rPr>
                <w:rFonts w:ascii="Book Antiqua" w:hAnsi="Book Antiqua"/>
                <w:noProof/>
              </w:rPr>
              <w:fldChar w:fldCharType="separate"/>
            </w:r>
            <w:r w:rsidR="008C622B" w:rsidRPr="00000DD3">
              <w:rPr>
                <w:rFonts w:ascii="Book Antiqua" w:hAnsi="Book Antiqua"/>
                <w:noProof/>
                <w:vertAlign w:val="superscript"/>
              </w:rPr>
              <w:t>[63]</w:t>
            </w:r>
            <w:r w:rsidR="008C622B" w:rsidRPr="00000DD3">
              <w:rPr>
                <w:rFonts w:ascii="Book Antiqua" w:hAnsi="Book Antiqua"/>
                <w:noProof/>
              </w:rPr>
              <w:fldChar w:fldCharType="end"/>
            </w:r>
            <w:r w:rsidRPr="00000DD3">
              <w:rPr>
                <w:rFonts w:ascii="Book Antiqua" w:hAnsi="Book Antiqua"/>
                <w:noProof/>
              </w:rPr>
              <w:t>, 2018</w:t>
            </w:r>
          </w:p>
        </w:tc>
      </w:tr>
      <w:tr w:rsidR="00874B98" w:rsidRPr="00000DD3" w14:paraId="48F0B9C8" w14:textId="77777777" w:rsidTr="005A52F4">
        <w:trPr>
          <w:trHeight w:val="320"/>
        </w:trPr>
        <w:tc>
          <w:tcPr>
            <w:tcW w:w="851" w:type="dxa"/>
            <w:tcBorders>
              <w:bottom w:val="single" w:sz="4" w:space="0" w:color="auto"/>
            </w:tcBorders>
            <w:shd w:val="clear" w:color="auto" w:fill="auto"/>
            <w:noWrap/>
            <w:tcMar>
              <w:top w:w="15" w:type="dxa"/>
              <w:left w:w="15" w:type="dxa"/>
              <w:bottom w:w="0" w:type="dxa"/>
              <w:right w:w="15" w:type="dxa"/>
            </w:tcMar>
            <w:hideMark/>
          </w:tcPr>
          <w:p w14:paraId="18193E7D" w14:textId="0CF73386" w:rsidR="006701BE" w:rsidRPr="00000DD3" w:rsidRDefault="006701BE" w:rsidP="00874B98">
            <w:pPr>
              <w:spacing w:line="360" w:lineRule="auto"/>
              <w:jc w:val="both"/>
              <w:rPr>
                <w:rFonts w:ascii="Book Antiqua" w:hAnsi="Book Antiqua"/>
                <w:noProof/>
              </w:rPr>
            </w:pPr>
            <w:r w:rsidRPr="00000DD3">
              <w:rPr>
                <w:rFonts w:ascii="Book Antiqua" w:hAnsi="Book Antiqua"/>
                <w:noProof/>
              </w:rPr>
              <w:t>Umbilical cord</w:t>
            </w:r>
          </w:p>
        </w:tc>
        <w:tc>
          <w:tcPr>
            <w:tcW w:w="1868" w:type="dxa"/>
            <w:tcBorders>
              <w:bottom w:val="single" w:sz="4" w:space="0" w:color="auto"/>
            </w:tcBorders>
            <w:shd w:val="clear" w:color="auto" w:fill="auto"/>
            <w:noWrap/>
            <w:tcMar>
              <w:top w:w="15" w:type="dxa"/>
              <w:left w:w="15" w:type="dxa"/>
              <w:bottom w:w="0" w:type="dxa"/>
              <w:right w:w="15" w:type="dxa"/>
            </w:tcMar>
            <w:hideMark/>
          </w:tcPr>
          <w:p w14:paraId="1B7EF078"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Single intraarticular, allogeneic</w:t>
            </w:r>
          </w:p>
        </w:tc>
        <w:tc>
          <w:tcPr>
            <w:tcW w:w="960" w:type="dxa"/>
            <w:tcBorders>
              <w:bottom w:val="single" w:sz="4" w:space="0" w:color="auto"/>
            </w:tcBorders>
            <w:shd w:val="clear" w:color="auto" w:fill="auto"/>
            <w:noWrap/>
            <w:tcMar>
              <w:top w:w="15" w:type="dxa"/>
              <w:left w:w="15" w:type="dxa"/>
              <w:bottom w:w="0" w:type="dxa"/>
              <w:right w:w="15" w:type="dxa"/>
            </w:tcMar>
            <w:hideMark/>
          </w:tcPr>
          <w:p w14:paraId="6FDBE1C4" w14:textId="77777777" w:rsidR="006701BE" w:rsidRPr="00000DD3" w:rsidRDefault="006701BE" w:rsidP="00874B98">
            <w:pPr>
              <w:spacing w:line="360" w:lineRule="auto"/>
              <w:jc w:val="both"/>
              <w:rPr>
                <w:rFonts w:ascii="Book Antiqua" w:hAnsi="Book Antiqua"/>
                <w:noProof/>
              </w:rPr>
            </w:pPr>
            <w:r w:rsidRPr="00000DD3">
              <w:rPr>
                <w:rFonts w:ascii="Book Antiqua" w:hAnsi="Book Antiqua"/>
                <w:noProof/>
              </w:rPr>
              <w:t>-</w:t>
            </w:r>
          </w:p>
        </w:tc>
        <w:tc>
          <w:tcPr>
            <w:tcW w:w="914" w:type="dxa"/>
            <w:tcBorders>
              <w:bottom w:val="single" w:sz="4" w:space="0" w:color="auto"/>
            </w:tcBorders>
            <w:shd w:val="clear" w:color="auto" w:fill="auto"/>
            <w:noWrap/>
            <w:tcMar>
              <w:top w:w="15" w:type="dxa"/>
              <w:left w:w="15" w:type="dxa"/>
              <w:bottom w:w="0" w:type="dxa"/>
              <w:right w:w="15" w:type="dxa"/>
            </w:tcMar>
            <w:hideMark/>
          </w:tcPr>
          <w:p w14:paraId="6171028E" w14:textId="4D1B0933" w:rsidR="006701BE" w:rsidRPr="00000DD3" w:rsidRDefault="006701BE" w:rsidP="00874B98">
            <w:pPr>
              <w:spacing w:line="360" w:lineRule="auto"/>
              <w:jc w:val="both"/>
              <w:rPr>
                <w:rFonts w:ascii="Book Antiqua" w:hAnsi="Book Antiqua"/>
                <w:noProof/>
              </w:rPr>
            </w:pPr>
            <w:r w:rsidRPr="00000DD3">
              <w:rPr>
                <w:rFonts w:ascii="Book Antiqua" w:hAnsi="Book Antiqua"/>
                <w:noProof/>
              </w:rPr>
              <w:t>1</w:t>
            </w:r>
          </w:p>
        </w:tc>
        <w:tc>
          <w:tcPr>
            <w:tcW w:w="1275" w:type="dxa"/>
            <w:tcBorders>
              <w:bottom w:val="single" w:sz="4" w:space="0" w:color="auto"/>
            </w:tcBorders>
            <w:shd w:val="clear" w:color="auto" w:fill="auto"/>
            <w:noWrap/>
            <w:tcMar>
              <w:top w:w="15" w:type="dxa"/>
              <w:left w:w="15" w:type="dxa"/>
              <w:bottom w:w="0" w:type="dxa"/>
              <w:right w:w="15" w:type="dxa"/>
            </w:tcMar>
            <w:hideMark/>
          </w:tcPr>
          <w:p w14:paraId="477BE038" w14:textId="0D41FC80" w:rsidR="006701BE" w:rsidRPr="00000DD3" w:rsidRDefault="006701BE" w:rsidP="00874B98">
            <w:pPr>
              <w:spacing w:line="360" w:lineRule="auto"/>
              <w:jc w:val="both"/>
              <w:rPr>
                <w:rFonts w:ascii="Book Antiqua" w:hAnsi="Book Antiqua"/>
                <w:noProof/>
              </w:rPr>
            </w:pPr>
            <w:r w:rsidRPr="00000DD3">
              <w:rPr>
                <w:rFonts w:ascii="Book Antiqua" w:hAnsi="Book Antiqua"/>
                <w:noProof/>
              </w:rPr>
              <w:t>Surgical manipulation of articular cartilage</w:t>
            </w:r>
          </w:p>
        </w:tc>
        <w:tc>
          <w:tcPr>
            <w:tcW w:w="1724" w:type="dxa"/>
            <w:tcBorders>
              <w:bottom w:val="single" w:sz="4" w:space="0" w:color="auto"/>
            </w:tcBorders>
            <w:shd w:val="clear" w:color="auto" w:fill="auto"/>
            <w:noWrap/>
            <w:tcMar>
              <w:top w:w="15" w:type="dxa"/>
              <w:left w:w="15" w:type="dxa"/>
              <w:bottom w:w="0" w:type="dxa"/>
              <w:right w:w="15" w:type="dxa"/>
            </w:tcMar>
            <w:hideMark/>
          </w:tcPr>
          <w:p w14:paraId="7655ADFD" w14:textId="572FC8A9" w:rsidR="006701BE" w:rsidRPr="00000DD3" w:rsidRDefault="006701BE" w:rsidP="00874B98">
            <w:pPr>
              <w:spacing w:line="360" w:lineRule="auto"/>
              <w:jc w:val="both"/>
              <w:rPr>
                <w:rFonts w:ascii="Book Antiqua" w:hAnsi="Book Antiqua"/>
                <w:noProof/>
              </w:rPr>
            </w:pPr>
            <w:r w:rsidRPr="00000DD3">
              <w:rPr>
                <w:rFonts w:ascii="Book Antiqua" w:hAnsi="Book Antiqua"/>
                <w:noProof/>
              </w:rPr>
              <w:t>Magnetic resonance imaging, radiography, ultrasonography, blood test, scanning electron microscope</w:t>
            </w:r>
          </w:p>
        </w:tc>
        <w:tc>
          <w:tcPr>
            <w:tcW w:w="913" w:type="dxa"/>
            <w:tcBorders>
              <w:bottom w:val="single" w:sz="4" w:space="0" w:color="auto"/>
            </w:tcBorders>
            <w:shd w:val="clear" w:color="auto" w:fill="auto"/>
            <w:noWrap/>
            <w:tcMar>
              <w:top w:w="15" w:type="dxa"/>
              <w:left w:w="15" w:type="dxa"/>
              <w:bottom w:w="0" w:type="dxa"/>
              <w:right w:w="15" w:type="dxa"/>
            </w:tcMar>
            <w:hideMark/>
          </w:tcPr>
          <w:p w14:paraId="5000C775" w14:textId="776E5FB4" w:rsidR="006701BE" w:rsidRPr="00000DD3" w:rsidRDefault="000C5A24" w:rsidP="008C622B">
            <w:pPr>
              <w:spacing w:line="360" w:lineRule="auto"/>
              <w:jc w:val="both"/>
              <w:rPr>
                <w:rFonts w:ascii="Book Antiqua" w:hAnsi="Book Antiqua"/>
                <w:noProof/>
              </w:rPr>
            </w:pPr>
            <w:r w:rsidRPr="00000DD3">
              <w:rPr>
                <w:rFonts w:ascii="Book Antiqua" w:hAnsi="Book Antiqua"/>
                <w:noProof/>
              </w:rPr>
              <w:t>Zhang</w:t>
            </w:r>
            <w:r w:rsidR="008C622B" w:rsidRPr="00000DD3">
              <w:rPr>
                <w:rFonts w:ascii="Book Antiqua" w:eastAsia="黑体" w:hAnsi="Book Antiqua" w:hint="eastAsia"/>
                <w:noProof/>
                <w:lang w:eastAsia="zh-CN"/>
              </w:rPr>
              <w:t xml:space="preserve"> </w:t>
            </w:r>
            <w:r w:rsidRPr="00000DD3">
              <w:rPr>
                <w:rFonts w:ascii="Book Antiqua" w:hAnsi="Book Antiqua"/>
                <w:i/>
                <w:noProof/>
              </w:rPr>
              <w:t>et al</w:t>
            </w:r>
            <w:r w:rsidR="008C622B" w:rsidRPr="00000DD3">
              <w:rPr>
                <w:rFonts w:ascii="Book Antiqua" w:hAnsi="Book Antiqua"/>
                <w:noProof/>
              </w:rPr>
              <w:fldChar w:fldCharType="begin" w:fldLock="1"/>
            </w:r>
            <w:r w:rsidR="008C622B" w:rsidRPr="00000DD3">
              <w:rPr>
                <w:rFonts w:ascii="Book Antiqua" w:hAnsi="Book Antiqua"/>
                <w:noProof/>
              </w:rPr>
              <w:instrText>ADDIN CSL_CITATION {"citationItems":[{"id":"ITEM-1","itemData":{"DOI":"10.1155/2018/1983025","ISSN":"1687-966X","PMID":"29861739","abstract":"Objective . The aim of this study was to assess the efficacy of canine umbilical cord mesenchymal stem cells (UC-MSCs) on the treatment of knee osteoarthritis in dogs. Methods . Eight dogs were evenly assigned to two groups. The canine model of knee osteoarthritis was established by surgical manipulation of knee articular cartilage on these eight dogs. UC-MSCs were isolated from umbilical cord Wharton’s jelly by 0.1% type collagenase I and identified by immunofluorescence staining and adipogenic and osteogenic differentiation in vitro . A suspension of allogeneic UC-MSCs (1 × 10 6 ) and an equal amount of physiological saline was injected into the cavitas articularis in the treated and untreated control groups, respectively, on days 1 and 3 posttreatment. The structure of the canine knee joint was observed by magnetic resonance imaging (MRI), B-mode ultrasonography, and X-ray imaging at the 3rd, 7th, 14th, and 28th days after treatment. Concurrently, the levels of IL-6, IL-7, and TNF- α in the blood of the examined dogs were measured. Moreover, the recovery of cartilage and patella surface in the treated group and untreated group was compared using a scanning electron microscope (SEM) after a 35-day treatment. Results . Results revealed that the isolated cells were UC-MSCs, because they were positive for CD44 and negative for CD34 surface markers, and the cells were differentiated into adipocytes and osteoblasts. Imaging technology showed that as treatment time increased, the high signal in the MRI T2-weighted images decreased, the echo-free space in B ultrasonography images disappeared basically, and the continuous linear hypoechoic region at the trochlear sulcus thickened. On X-ray images, the serrate defect at the ventral cortex of the patella improved, and the low-density gap of the ventral patella and trochlear crest gradually increased in the treated group. On the contrary, the high signal in the MRI T2-weighted images and the echo-free space in B ultrasonography images still increased after a 14-day treatment in the untreated control group, and the linear hypoechoic region was discontinuous. On the X-ray images, there was no improvement in the serrate defect of the ventral cortex of the patella. Results for inflammatory factors showed that the blood levels of IL-6, IL-7, and TNF- α of the untreated control group were significantly higher than those of the treated group ( P &lt; 0.05 ) 7–14 days posttreatment. The result of SEM showed that the cartil…","author":[{"dropping-particle":"","family":"Zhang","given":"Bei Ying","non-dropping-particle":"","parse-names":false,"suffix":""},{"dropping-particle":"","family":"Wang","given":"Bing Yun","non-dropping-particle":"","parse-names":false,"suffix":""},{"dropping-particle":"","family":"Li","given":"Shao Chuan","non-dropping-particle":"","parse-names":false,"suffix":""},{"dropping-particle":"","family":"Luo","given":"Dong Zhang","non-dropping-particle":"","parse-names":false,"suffix":""},{"dropping-particle":"","family":"Zhan","given":"Xiaoshu","non-dropping-particle":"","parse-names":false,"suffix":""},{"dropping-particle":"","family":"Chen","given":"Sheng Feng","non-dropping-particle":"","parse-names":false,"suffix":""},{"dropping-particle":"","family":"Chen","given":"Zhi Sheng","non-dropping-particle":"","parse-names":false,"suffix":""},{"dropping-particle":"","family":"Liu","given":"Can Ying","non-dropping-particle":"","parse-names":false,"suffix":""},{"dropping-particle":"","family":"Ji","given":"Hui Qin","non-dropping-particle":"","parse-names":false,"suffix":""},{"dropping-particle":"","family":"Bai","given":"Yin Shan","non-dropping-particle":"","parse-names":false,"suffix":""},{"dropping-particle":"","family":"Li","given":"Dong Sheng","non-dropping-particle":"","parse-names":false,"suffix":""},{"dropping-particle":"","family":"He","given":"Yang","non-dropping-particle":"","parse-names":false,"suffix":""}],"container-title":"Stem Cells International","id":"ITEM-1","issued":{"date-parts":[["2018"]]},"title":"Evaluation of the curative effect of umbilical cord mesenchymal stem cell therapy for knee arthritis in dogs using imaging technology","type":"article-journal","volume":"2018"},"uris":["http://www.mendeley.com/documents/?uuid=a0503553-9dce-3dfb-b23b-6e90091290cf"]}],"mendeley":{"formattedCitation":"&lt;sup&gt;[51]&lt;/sup&gt;","plainTextFormattedCitation":"[51]","previouslyFormattedCitation":"&lt;sup&gt;[51]&lt;/sup&gt;"},"properties":{"noteIndex":0},"schema":"https://github.com/citation-style-language/schema/raw/master/csl-citation.json"}</w:instrText>
            </w:r>
            <w:r w:rsidR="008C622B" w:rsidRPr="00000DD3">
              <w:rPr>
                <w:rFonts w:ascii="Book Antiqua" w:hAnsi="Book Antiqua"/>
                <w:noProof/>
              </w:rPr>
              <w:fldChar w:fldCharType="separate"/>
            </w:r>
            <w:r w:rsidR="008C622B" w:rsidRPr="00000DD3">
              <w:rPr>
                <w:rFonts w:ascii="Book Antiqua" w:hAnsi="Book Antiqua"/>
                <w:noProof/>
                <w:vertAlign w:val="superscript"/>
              </w:rPr>
              <w:t>[51]</w:t>
            </w:r>
            <w:r w:rsidR="008C622B" w:rsidRPr="00000DD3">
              <w:rPr>
                <w:rFonts w:ascii="Book Antiqua" w:hAnsi="Book Antiqua"/>
                <w:noProof/>
              </w:rPr>
              <w:fldChar w:fldCharType="end"/>
            </w:r>
            <w:r w:rsidRPr="00000DD3">
              <w:rPr>
                <w:rFonts w:ascii="Book Antiqua" w:hAnsi="Book Antiqua"/>
                <w:noProof/>
              </w:rPr>
              <w:t>, 2018</w:t>
            </w:r>
          </w:p>
        </w:tc>
      </w:tr>
    </w:tbl>
    <w:p w14:paraId="09315324" w14:textId="77777777" w:rsidR="008C622B" w:rsidRPr="00000DD3" w:rsidRDefault="008C622B" w:rsidP="00874B98">
      <w:pPr>
        <w:spacing w:line="360" w:lineRule="auto"/>
        <w:jc w:val="both"/>
        <w:rPr>
          <w:rFonts w:ascii="Book Antiqua" w:hAnsi="Book Antiqua" w:cstheme="minorHAnsi"/>
          <w:b/>
          <w:noProof/>
        </w:rPr>
      </w:pPr>
    </w:p>
    <w:p w14:paraId="2F9F1840" w14:textId="77777777" w:rsidR="008C622B" w:rsidRPr="00000DD3" w:rsidRDefault="008C622B">
      <w:pPr>
        <w:rPr>
          <w:rFonts w:ascii="Book Antiqua" w:hAnsi="Book Antiqua" w:cstheme="minorHAnsi"/>
          <w:b/>
          <w:noProof/>
        </w:rPr>
      </w:pPr>
      <w:r w:rsidRPr="00000DD3">
        <w:rPr>
          <w:rFonts w:ascii="Book Antiqua" w:hAnsi="Book Antiqua" w:cstheme="minorHAnsi"/>
          <w:b/>
          <w:noProof/>
        </w:rPr>
        <w:br w:type="page"/>
      </w:r>
    </w:p>
    <w:p w14:paraId="56AC153B" w14:textId="1DD36812" w:rsidR="008D55BA" w:rsidRPr="00000DD3" w:rsidRDefault="00E24E44" w:rsidP="00874B98">
      <w:pPr>
        <w:spacing w:line="360" w:lineRule="auto"/>
        <w:jc w:val="both"/>
        <w:rPr>
          <w:rFonts w:ascii="Book Antiqua" w:eastAsia="黑体" w:hAnsi="Book Antiqua" w:cstheme="minorHAnsi"/>
          <w:b/>
          <w:noProof/>
          <w:lang w:eastAsia="zh-CN"/>
        </w:rPr>
      </w:pPr>
      <w:r w:rsidRPr="00000DD3">
        <w:rPr>
          <w:rFonts w:ascii="Book Antiqua" w:hAnsi="Book Antiqua" w:cstheme="minorHAnsi"/>
          <w:b/>
          <w:noProof/>
        </w:rPr>
        <w:t xml:space="preserve">Table </w:t>
      </w:r>
      <w:r w:rsidR="00B20492" w:rsidRPr="00000DD3">
        <w:rPr>
          <w:rFonts w:ascii="Book Antiqua" w:hAnsi="Book Antiqua" w:cstheme="minorHAnsi"/>
          <w:b/>
          <w:noProof/>
        </w:rPr>
        <w:t>4</w:t>
      </w:r>
      <w:r w:rsidRPr="00000DD3">
        <w:rPr>
          <w:rFonts w:ascii="Book Antiqua" w:hAnsi="Book Antiqua" w:cstheme="minorHAnsi"/>
          <w:b/>
          <w:noProof/>
        </w:rPr>
        <w:t xml:space="preserve"> Clinical study </w:t>
      </w:r>
      <w:r w:rsidR="00A51E3B" w:rsidRPr="00000DD3">
        <w:rPr>
          <w:rFonts w:ascii="Book Antiqua" w:hAnsi="Book Antiqua" w:cstheme="minorHAnsi"/>
          <w:b/>
          <w:noProof/>
        </w:rPr>
        <w:t>of</w:t>
      </w:r>
      <w:r w:rsidRPr="00000DD3">
        <w:rPr>
          <w:rFonts w:ascii="Book Antiqua" w:hAnsi="Book Antiqua" w:cstheme="minorHAnsi"/>
          <w:b/>
          <w:noProof/>
        </w:rPr>
        <w:t xml:space="preserve"> </w:t>
      </w:r>
      <w:r w:rsidR="009127AD" w:rsidRPr="00000DD3">
        <w:rPr>
          <w:rFonts w:ascii="Book Antiqua" w:hAnsi="Book Antiqua" w:cstheme="minorHAnsi"/>
          <w:b/>
          <w:noProof/>
        </w:rPr>
        <w:t xml:space="preserve">canine mesenchymal stem cells </w:t>
      </w:r>
      <w:r w:rsidR="00A51E3B" w:rsidRPr="00000DD3">
        <w:rPr>
          <w:rFonts w:ascii="Book Antiqua" w:hAnsi="Book Antiqua" w:cstheme="minorHAnsi"/>
          <w:b/>
          <w:noProof/>
        </w:rPr>
        <w:t>for osteoarthritis in dogs</w:t>
      </w:r>
    </w:p>
    <w:p w14:paraId="40F7AE0D" w14:textId="77777777" w:rsidR="001718D0" w:rsidRPr="00000DD3" w:rsidRDefault="001718D0" w:rsidP="00874B98">
      <w:pPr>
        <w:spacing w:line="360" w:lineRule="auto"/>
        <w:jc w:val="both"/>
        <w:rPr>
          <w:rFonts w:ascii="Book Antiqua" w:hAnsi="Book Antiqua" w:cstheme="minorHAnsi"/>
          <w:b/>
          <w:noProof/>
        </w:rPr>
      </w:pPr>
    </w:p>
    <w:tbl>
      <w:tblPr>
        <w:tblW w:w="8505" w:type="dxa"/>
        <w:tblCellMar>
          <w:left w:w="0" w:type="dxa"/>
          <w:right w:w="0" w:type="dxa"/>
        </w:tblCellMar>
        <w:tblLook w:val="04A0" w:firstRow="1" w:lastRow="0" w:firstColumn="1" w:lastColumn="0" w:noHBand="0" w:noVBand="1"/>
      </w:tblPr>
      <w:tblGrid>
        <w:gridCol w:w="766"/>
        <w:gridCol w:w="1230"/>
        <w:gridCol w:w="1230"/>
        <w:gridCol w:w="805"/>
        <w:gridCol w:w="1146"/>
        <w:gridCol w:w="2332"/>
        <w:gridCol w:w="1019"/>
      </w:tblGrid>
      <w:tr w:rsidR="00874B98" w:rsidRPr="00000DD3" w14:paraId="56BAC4BD" w14:textId="77777777" w:rsidTr="00743B1E">
        <w:trPr>
          <w:trHeight w:val="301"/>
        </w:trPr>
        <w:tc>
          <w:tcPr>
            <w:tcW w:w="851"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2B106090" w14:textId="0580BB49" w:rsidR="00A51E3B" w:rsidRPr="00000DD3" w:rsidRDefault="00A51E3B" w:rsidP="00874B98">
            <w:pPr>
              <w:spacing w:line="360" w:lineRule="auto"/>
              <w:jc w:val="both"/>
              <w:rPr>
                <w:rFonts w:ascii="Book Antiqua" w:hAnsi="Book Antiqua"/>
                <w:b/>
                <w:noProof/>
              </w:rPr>
            </w:pPr>
            <w:r w:rsidRPr="00000DD3">
              <w:rPr>
                <w:rFonts w:ascii="Book Antiqua" w:hAnsi="Book Antiqua"/>
                <w:b/>
                <w:noProof/>
              </w:rPr>
              <w:t>Source</w:t>
            </w:r>
          </w:p>
        </w:tc>
        <w:tc>
          <w:tcPr>
            <w:tcW w:w="1134"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2E5543D0" w14:textId="77777777" w:rsidR="00A51E3B" w:rsidRPr="00000DD3" w:rsidRDefault="00A51E3B" w:rsidP="00874B98">
            <w:pPr>
              <w:spacing w:line="360" w:lineRule="auto"/>
              <w:jc w:val="both"/>
              <w:rPr>
                <w:rFonts w:ascii="Book Antiqua" w:hAnsi="Book Antiqua"/>
                <w:b/>
                <w:noProof/>
              </w:rPr>
            </w:pPr>
            <w:r w:rsidRPr="00000DD3">
              <w:rPr>
                <w:rFonts w:ascii="Book Antiqua" w:hAnsi="Book Antiqua"/>
                <w:b/>
                <w:noProof/>
              </w:rPr>
              <w:t>Injection</w:t>
            </w:r>
          </w:p>
        </w:tc>
        <w:tc>
          <w:tcPr>
            <w:tcW w:w="992"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181751B1" w14:textId="77777777" w:rsidR="00A51E3B" w:rsidRPr="00000DD3" w:rsidRDefault="00A51E3B" w:rsidP="00874B98">
            <w:pPr>
              <w:spacing w:line="360" w:lineRule="auto"/>
              <w:jc w:val="both"/>
              <w:rPr>
                <w:rFonts w:ascii="Book Antiqua" w:hAnsi="Book Antiqua"/>
                <w:b/>
                <w:noProof/>
              </w:rPr>
            </w:pPr>
            <w:r w:rsidRPr="00000DD3">
              <w:rPr>
                <w:rFonts w:ascii="Book Antiqua" w:hAnsi="Book Antiqua"/>
                <w:b/>
                <w:noProof/>
              </w:rPr>
              <w:t>Cell number (million)</w:t>
            </w:r>
          </w:p>
        </w:tc>
        <w:tc>
          <w:tcPr>
            <w:tcW w:w="851"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51A59F95" w14:textId="77777777" w:rsidR="00A51E3B" w:rsidRPr="00000DD3" w:rsidRDefault="00A51E3B" w:rsidP="00874B98">
            <w:pPr>
              <w:spacing w:line="360" w:lineRule="auto"/>
              <w:jc w:val="both"/>
              <w:rPr>
                <w:rFonts w:ascii="Book Antiqua" w:hAnsi="Book Antiqua"/>
                <w:b/>
                <w:noProof/>
              </w:rPr>
            </w:pPr>
            <w:r w:rsidRPr="00000DD3">
              <w:rPr>
                <w:rFonts w:ascii="Book Antiqua" w:hAnsi="Book Antiqua"/>
                <w:b/>
                <w:noProof/>
              </w:rPr>
              <w:t>Target joint</w:t>
            </w:r>
          </w:p>
        </w:tc>
        <w:tc>
          <w:tcPr>
            <w:tcW w:w="850"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59E7FE61" w14:textId="77777777" w:rsidR="00A51E3B" w:rsidRPr="00000DD3" w:rsidRDefault="00A51E3B" w:rsidP="00874B98">
            <w:pPr>
              <w:spacing w:line="360" w:lineRule="auto"/>
              <w:jc w:val="both"/>
              <w:rPr>
                <w:rFonts w:ascii="Book Antiqua" w:hAnsi="Book Antiqua"/>
                <w:b/>
                <w:noProof/>
              </w:rPr>
            </w:pPr>
            <w:r w:rsidRPr="00000DD3">
              <w:rPr>
                <w:rFonts w:ascii="Book Antiqua" w:hAnsi="Book Antiqua"/>
                <w:b/>
                <w:noProof/>
              </w:rPr>
              <w:t>Observation period</w:t>
            </w:r>
          </w:p>
        </w:tc>
        <w:tc>
          <w:tcPr>
            <w:tcW w:w="2835"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3416B49E" w14:textId="77777777" w:rsidR="00A51E3B" w:rsidRPr="00000DD3" w:rsidRDefault="00A51E3B" w:rsidP="00874B98">
            <w:pPr>
              <w:spacing w:line="360" w:lineRule="auto"/>
              <w:jc w:val="both"/>
              <w:rPr>
                <w:rFonts w:ascii="Book Antiqua" w:hAnsi="Book Antiqua"/>
                <w:b/>
                <w:noProof/>
              </w:rPr>
            </w:pPr>
            <w:r w:rsidRPr="00000DD3">
              <w:rPr>
                <w:rFonts w:ascii="Book Antiqua" w:hAnsi="Book Antiqua"/>
                <w:b/>
                <w:noProof/>
              </w:rPr>
              <w:t>Evaluation points</w:t>
            </w:r>
          </w:p>
        </w:tc>
        <w:tc>
          <w:tcPr>
            <w:tcW w:w="992" w:type="dxa"/>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14:paraId="661BE205" w14:textId="4F7CE1E6" w:rsidR="00A51E3B" w:rsidRPr="00000DD3" w:rsidRDefault="00A51E3B" w:rsidP="008C622B">
            <w:pPr>
              <w:spacing w:line="360" w:lineRule="auto"/>
              <w:jc w:val="both"/>
              <w:rPr>
                <w:rFonts w:ascii="Book Antiqua" w:eastAsia="黑体" w:hAnsi="Book Antiqua"/>
                <w:b/>
                <w:noProof/>
                <w:lang w:eastAsia="zh-CN"/>
              </w:rPr>
            </w:pPr>
            <w:r w:rsidRPr="00000DD3">
              <w:rPr>
                <w:rFonts w:ascii="Book Antiqua" w:hAnsi="Book Antiqua"/>
                <w:b/>
                <w:noProof/>
              </w:rPr>
              <w:t>Ref</w:t>
            </w:r>
            <w:r w:rsidR="008C622B" w:rsidRPr="00000DD3">
              <w:rPr>
                <w:rFonts w:ascii="Book Antiqua" w:eastAsia="黑体" w:hAnsi="Book Antiqua" w:hint="eastAsia"/>
                <w:b/>
                <w:noProof/>
                <w:lang w:eastAsia="zh-CN"/>
              </w:rPr>
              <w:t>.</w:t>
            </w:r>
          </w:p>
        </w:tc>
      </w:tr>
      <w:tr w:rsidR="00874B98" w:rsidRPr="00000DD3" w14:paraId="5DBCFEC4" w14:textId="77777777" w:rsidTr="005A52F4">
        <w:trPr>
          <w:trHeight w:val="320"/>
        </w:trPr>
        <w:tc>
          <w:tcPr>
            <w:tcW w:w="851" w:type="dxa"/>
            <w:tcBorders>
              <w:top w:val="single" w:sz="4" w:space="0" w:color="auto"/>
            </w:tcBorders>
            <w:shd w:val="clear" w:color="auto" w:fill="auto"/>
            <w:noWrap/>
            <w:tcMar>
              <w:top w:w="15" w:type="dxa"/>
              <w:left w:w="15" w:type="dxa"/>
              <w:bottom w:w="0" w:type="dxa"/>
              <w:right w:w="15" w:type="dxa"/>
            </w:tcMar>
            <w:hideMark/>
          </w:tcPr>
          <w:p w14:paraId="561A6837"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Adipose tissue</w:t>
            </w:r>
          </w:p>
        </w:tc>
        <w:tc>
          <w:tcPr>
            <w:tcW w:w="1134" w:type="dxa"/>
            <w:tcBorders>
              <w:top w:val="single" w:sz="4" w:space="0" w:color="auto"/>
            </w:tcBorders>
            <w:shd w:val="clear" w:color="auto" w:fill="auto"/>
            <w:noWrap/>
            <w:tcMar>
              <w:top w:w="15" w:type="dxa"/>
              <w:left w:w="15" w:type="dxa"/>
              <w:bottom w:w="0" w:type="dxa"/>
              <w:right w:w="15" w:type="dxa"/>
            </w:tcMar>
            <w:hideMark/>
          </w:tcPr>
          <w:p w14:paraId="4E1CF2DA"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Single intraarticular, autologous</w:t>
            </w:r>
          </w:p>
        </w:tc>
        <w:tc>
          <w:tcPr>
            <w:tcW w:w="992" w:type="dxa"/>
            <w:tcBorders>
              <w:top w:val="single" w:sz="4" w:space="0" w:color="auto"/>
            </w:tcBorders>
            <w:shd w:val="clear" w:color="auto" w:fill="auto"/>
            <w:noWrap/>
            <w:tcMar>
              <w:top w:w="15" w:type="dxa"/>
              <w:left w:w="15" w:type="dxa"/>
              <w:bottom w:w="0" w:type="dxa"/>
              <w:right w:w="15" w:type="dxa"/>
            </w:tcMar>
            <w:hideMark/>
          </w:tcPr>
          <w:p w14:paraId="479D6C1D"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4.2-5</w:t>
            </w:r>
          </w:p>
        </w:tc>
        <w:tc>
          <w:tcPr>
            <w:tcW w:w="851" w:type="dxa"/>
            <w:tcBorders>
              <w:top w:val="single" w:sz="4" w:space="0" w:color="auto"/>
            </w:tcBorders>
            <w:shd w:val="clear" w:color="auto" w:fill="auto"/>
            <w:noWrap/>
            <w:tcMar>
              <w:top w:w="15" w:type="dxa"/>
              <w:left w:w="15" w:type="dxa"/>
              <w:bottom w:w="0" w:type="dxa"/>
              <w:right w:w="15" w:type="dxa"/>
            </w:tcMar>
            <w:hideMark/>
          </w:tcPr>
          <w:p w14:paraId="7D4962FB"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Hip</w:t>
            </w:r>
          </w:p>
        </w:tc>
        <w:tc>
          <w:tcPr>
            <w:tcW w:w="850" w:type="dxa"/>
            <w:tcBorders>
              <w:top w:val="single" w:sz="4" w:space="0" w:color="auto"/>
            </w:tcBorders>
            <w:shd w:val="clear" w:color="auto" w:fill="auto"/>
            <w:noWrap/>
            <w:tcMar>
              <w:top w:w="15" w:type="dxa"/>
              <w:left w:w="15" w:type="dxa"/>
              <w:bottom w:w="0" w:type="dxa"/>
              <w:right w:w="15" w:type="dxa"/>
            </w:tcMar>
            <w:hideMark/>
          </w:tcPr>
          <w:p w14:paraId="03673E35" w14:textId="6F2914E8" w:rsidR="00A51E3B" w:rsidRPr="00000DD3" w:rsidRDefault="00A51E3B" w:rsidP="00A94D33">
            <w:pPr>
              <w:spacing w:line="360" w:lineRule="auto"/>
              <w:jc w:val="both"/>
              <w:rPr>
                <w:rFonts w:ascii="Book Antiqua" w:hAnsi="Book Antiqua"/>
                <w:noProof/>
              </w:rPr>
            </w:pPr>
            <w:r w:rsidRPr="00000DD3">
              <w:rPr>
                <w:rFonts w:ascii="Book Antiqua" w:hAnsi="Book Antiqua"/>
                <w:noProof/>
              </w:rPr>
              <w:t>30, 60, 90 d</w:t>
            </w:r>
          </w:p>
        </w:tc>
        <w:tc>
          <w:tcPr>
            <w:tcW w:w="2835" w:type="dxa"/>
            <w:tcBorders>
              <w:top w:val="single" w:sz="4" w:space="0" w:color="auto"/>
            </w:tcBorders>
            <w:shd w:val="clear" w:color="auto" w:fill="auto"/>
            <w:noWrap/>
            <w:tcMar>
              <w:top w:w="15" w:type="dxa"/>
              <w:left w:w="15" w:type="dxa"/>
              <w:bottom w:w="0" w:type="dxa"/>
              <w:right w:w="15" w:type="dxa"/>
            </w:tcMar>
            <w:hideMark/>
          </w:tcPr>
          <w:p w14:paraId="2ACA3705"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Lameness, pain, range of motion, functional disability, owner questionnaire</w:t>
            </w:r>
          </w:p>
        </w:tc>
        <w:tc>
          <w:tcPr>
            <w:tcW w:w="992" w:type="dxa"/>
            <w:tcBorders>
              <w:top w:val="single" w:sz="4" w:space="0" w:color="auto"/>
            </w:tcBorders>
            <w:shd w:val="clear" w:color="auto" w:fill="auto"/>
            <w:noWrap/>
            <w:tcMar>
              <w:top w:w="15" w:type="dxa"/>
              <w:left w:w="15" w:type="dxa"/>
              <w:bottom w:w="0" w:type="dxa"/>
              <w:right w:w="15" w:type="dxa"/>
            </w:tcMar>
            <w:hideMark/>
          </w:tcPr>
          <w:p w14:paraId="42370C55" w14:textId="6979ECE2" w:rsidR="00B436EA" w:rsidRPr="00000DD3" w:rsidRDefault="00A51E3B" w:rsidP="00874B98">
            <w:pPr>
              <w:spacing w:line="360" w:lineRule="auto"/>
              <w:jc w:val="both"/>
              <w:rPr>
                <w:rFonts w:ascii="Book Antiqua" w:hAnsi="Book Antiqua"/>
                <w:noProof/>
              </w:rPr>
            </w:pPr>
            <w:r w:rsidRPr="00000DD3">
              <w:rPr>
                <w:rFonts w:ascii="Book Antiqua" w:hAnsi="Book Antiqua"/>
                <w:noProof/>
              </w:rPr>
              <w:t>Black</w:t>
            </w:r>
          </w:p>
          <w:p w14:paraId="2AAD8466" w14:textId="0F1310D8" w:rsidR="00A51E3B" w:rsidRPr="00000DD3" w:rsidRDefault="00A51E3B" w:rsidP="00A94D33">
            <w:pPr>
              <w:spacing w:line="360" w:lineRule="auto"/>
              <w:jc w:val="both"/>
              <w:rPr>
                <w:rFonts w:ascii="Book Antiqua" w:hAnsi="Book Antiqua"/>
                <w:noProof/>
              </w:rPr>
            </w:pPr>
            <w:r w:rsidRPr="00000DD3">
              <w:rPr>
                <w:rFonts w:ascii="Book Antiqua" w:hAnsi="Book Antiqua"/>
                <w:i/>
                <w:iCs/>
                <w:noProof/>
              </w:rPr>
              <w:t>et al</w:t>
            </w:r>
            <w:r w:rsidR="00A94D33" w:rsidRPr="00000DD3">
              <w:rPr>
                <w:rFonts w:ascii="Book Antiqua" w:hAnsi="Book Antiqua"/>
                <w:noProof/>
              </w:rPr>
              <w:fldChar w:fldCharType="begin" w:fldLock="1"/>
            </w:r>
            <w:r w:rsidR="00A94D33" w:rsidRPr="00000DD3">
              <w:rPr>
                <w:rFonts w:ascii="Book Antiqua" w:hAnsi="Book Antiqua"/>
                <w:noProof/>
              </w:rPr>
              <w:instrText>ADDIN CSL_CITATION {"citationItems":[{"id":"ITEM-1","itemData":{"PMID":"18183546","abstract":"Autologous stem cell therapy in the field of regenerative veterinary medicine involves harvesting tissue, such as fat, from the patient, isolating the stem and regenerative cells, and administering the cells back to the patient. Autologous adipose-derived stem cell therapy has been commercially available since 2003, and the current study evaluated such therapy in dogs with chronic osteoarthritis of the hip. Dogs treated with adipose-derived stem cell therapy had significantly improved scores for lameness and the compiled scores for lameness, pain, and range of motion compared with control dogs. This is the first randomized, blinded, placebo-controlled clinical trial reporting on the effectiveness of stem cell therapy in dogs.","author":[{"dropping-particle":"","family":"Black","given":"Linda L","non-dropping-particle":"","parse-names":false,"suffix":""},{"dropping-particle":"","family":"Gaynor","given":"James","non-dropping-particle":"","parse-names":false,"suffix":""},{"dropping-particle":"","family":"Gahring","given":"D.","non-dropping-particle":"","parse-names":false,"suffix":""},{"dropping-particle":"","family":"Adams","given":"C.","non-dropping-particle":"","parse-names":false,"suffix":""},{"dropping-particle":"","family":"Aron","given":"D.","non-dropping-particle":"","parse-names":false,"suffix":""},{"dropping-particle":"","family":"Harman","given":"S.","non-dropping-particle":"","parse-names":false,"suffix":""},{"dropping-particle":"","family":"Gingerich","given":"D. A.","non-dropping-particle":"","parse-names":false,"suffix":""},{"dropping-particle":"","family":"Harman","given":"R.","non-dropping-particle":"","parse-names":false,"suffix":""}],"container-title":"Veterinary Therapeutics","id":"ITEM-1","issue":"4","issued":{"date-parts":[["2007"]]},"page":"272-284","title":"Effect of adipose-derived mesenchymal stem and regenerative cells on lameness in dogs with chronic osteoarthritis of the coxofemoral joints : A randomized , double-blinded , multicenter , controlled trial.","type":"article-journal","volume":"8"},"uris":["http://www.mendeley.com/documents/?uuid=de465afb-ad29-38cd-8658-324392aadfb1"]}],"mendeley":{"formattedCitation":"&lt;sup&gt;[121]&lt;/sup&gt;","plainTextFormattedCitation":"[121]","previouslyFormattedCitation":"&lt;sup&gt;[121]&lt;/sup&gt;"},"properties":{"noteIndex":0},"schema":"https://github.com/citation-style-language/schema/raw/master/csl-citation.json"}</w:instrText>
            </w:r>
            <w:r w:rsidR="00A94D33" w:rsidRPr="00000DD3">
              <w:rPr>
                <w:rFonts w:ascii="Book Antiqua" w:hAnsi="Book Antiqua"/>
                <w:noProof/>
              </w:rPr>
              <w:fldChar w:fldCharType="separate"/>
            </w:r>
            <w:r w:rsidR="00A94D33" w:rsidRPr="00000DD3">
              <w:rPr>
                <w:rFonts w:ascii="Book Antiqua" w:hAnsi="Book Antiqua"/>
                <w:noProof/>
                <w:vertAlign w:val="superscript"/>
              </w:rPr>
              <w:t>[121]</w:t>
            </w:r>
            <w:r w:rsidR="00A94D33" w:rsidRPr="00000DD3">
              <w:rPr>
                <w:rFonts w:ascii="Book Antiqua" w:hAnsi="Book Antiqua"/>
                <w:noProof/>
              </w:rPr>
              <w:fldChar w:fldCharType="end"/>
            </w:r>
            <w:r w:rsidRPr="00000DD3">
              <w:rPr>
                <w:rFonts w:ascii="Book Antiqua" w:hAnsi="Book Antiqua"/>
                <w:noProof/>
              </w:rPr>
              <w:t>, 2007</w:t>
            </w:r>
          </w:p>
        </w:tc>
      </w:tr>
      <w:tr w:rsidR="00874B98" w:rsidRPr="00000DD3" w14:paraId="790B578A" w14:textId="77777777" w:rsidTr="005A52F4">
        <w:trPr>
          <w:trHeight w:val="320"/>
        </w:trPr>
        <w:tc>
          <w:tcPr>
            <w:tcW w:w="851" w:type="dxa"/>
            <w:shd w:val="clear" w:color="auto" w:fill="auto"/>
            <w:noWrap/>
            <w:tcMar>
              <w:top w:w="15" w:type="dxa"/>
              <w:left w:w="15" w:type="dxa"/>
              <w:bottom w:w="0" w:type="dxa"/>
              <w:right w:w="15" w:type="dxa"/>
            </w:tcMar>
            <w:hideMark/>
          </w:tcPr>
          <w:p w14:paraId="36868A82"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Adipose tissue</w:t>
            </w:r>
          </w:p>
        </w:tc>
        <w:tc>
          <w:tcPr>
            <w:tcW w:w="1134" w:type="dxa"/>
            <w:shd w:val="clear" w:color="auto" w:fill="auto"/>
            <w:noWrap/>
            <w:tcMar>
              <w:top w:w="15" w:type="dxa"/>
              <w:left w:w="15" w:type="dxa"/>
              <w:bottom w:w="0" w:type="dxa"/>
              <w:right w:w="15" w:type="dxa"/>
            </w:tcMar>
            <w:hideMark/>
          </w:tcPr>
          <w:p w14:paraId="627C66E1"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Single intraarticular, autologous</w:t>
            </w:r>
          </w:p>
        </w:tc>
        <w:tc>
          <w:tcPr>
            <w:tcW w:w="992" w:type="dxa"/>
            <w:shd w:val="clear" w:color="auto" w:fill="auto"/>
            <w:noWrap/>
            <w:tcMar>
              <w:top w:w="15" w:type="dxa"/>
              <w:left w:w="15" w:type="dxa"/>
              <w:bottom w:w="0" w:type="dxa"/>
              <w:right w:w="15" w:type="dxa"/>
            </w:tcMar>
            <w:hideMark/>
          </w:tcPr>
          <w:p w14:paraId="5983B4C8"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3-5</w:t>
            </w:r>
          </w:p>
        </w:tc>
        <w:tc>
          <w:tcPr>
            <w:tcW w:w="851" w:type="dxa"/>
            <w:shd w:val="clear" w:color="auto" w:fill="auto"/>
            <w:noWrap/>
            <w:tcMar>
              <w:top w:w="15" w:type="dxa"/>
              <w:left w:w="15" w:type="dxa"/>
              <w:bottom w:w="0" w:type="dxa"/>
              <w:right w:w="15" w:type="dxa"/>
            </w:tcMar>
            <w:hideMark/>
          </w:tcPr>
          <w:p w14:paraId="2CBB3DD7"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Elbow</w:t>
            </w:r>
          </w:p>
        </w:tc>
        <w:tc>
          <w:tcPr>
            <w:tcW w:w="850" w:type="dxa"/>
            <w:shd w:val="clear" w:color="auto" w:fill="auto"/>
            <w:noWrap/>
            <w:tcMar>
              <w:top w:w="15" w:type="dxa"/>
              <w:left w:w="15" w:type="dxa"/>
              <w:bottom w:w="0" w:type="dxa"/>
              <w:right w:w="15" w:type="dxa"/>
            </w:tcMar>
            <w:hideMark/>
          </w:tcPr>
          <w:p w14:paraId="26402B23" w14:textId="161403B1" w:rsidR="00A51E3B" w:rsidRPr="00000DD3" w:rsidRDefault="00A51E3B" w:rsidP="00A94D33">
            <w:pPr>
              <w:spacing w:line="360" w:lineRule="auto"/>
              <w:jc w:val="both"/>
              <w:rPr>
                <w:rFonts w:ascii="Book Antiqua" w:hAnsi="Book Antiqua"/>
                <w:noProof/>
              </w:rPr>
            </w:pPr>
            <w:r w:rsidRPr="00000DD3">
              <w:rPr>
                <w:rFonts w:ascii="Book Antiqua" w:hAnsi="Book Antiqua"/>
                <w:noProof/>
              </w:rPr>
              <w:t>30, 60, 90, 180 d</w:t>
            </w:r>
          </w:p>
        </w:tc>
        <w:tc>
          <w:tcPr>
            <w:tcW w:w="2835" w:type="dxa"/>
            <w:shd w:val="clear" w:color="auto" w:fill="auto"/>
            <w:noWrap/>
            <w:tcMar>
              <w:top w:w="15" w:type="dxa"/>
              <w:left w:w="15" w:type="dxa"/>
              <w:bottom w:w="0" w:type="dxa"/>
              <w:right w:w="15" w:type="dxa"/>
            </w:tcMar>
            <w:hideMark/>
          </w:tcPr>
          <w:p w14:paraId="06C3A2E1"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Lameness, pain, range of motion, functional disability, owner questionnaire</w:t>
            </w:r>
          </w:p>
        </w:tc>
        <w:tc>
          <w:tcPr>
            <w:tcW w:w="992" w:type="dxa"/>
            <w:shd w:val="clear" w:color="auto" w:fill="auto"/>
            <w:noWrap/>
            <w:tcMar>
              <w:top w:w="15" w:type="dxa"/>
              <w:left w:w="15" w:type="dxa"/>
              <w:bottom w:w="0" w:type="dxa"/>
              <w:right w:w="15" w:type="dxa"/>
            </w:tcMar>
            <w:hideMark/>
          </w:tcPr>
          <w:p w14:paraId="541A1688" w14:textId="66591904" w:rsidR="00B436EA" w:rsidRPr="00000DD3" w:rsidRDefault="00A51E3B" w:rsidP="00874B98">
            <w:pPr>
              <w:spacing w:line="360" w:lineRule="auto"/>
              <w:jc w:val="both"/>
              <w:rPr>
                <w:rFonts w:ascii="Book Antiqua" w:hAnsi="Book Antiqua"/>
                <w:noProof/>
              </w:rPr>
            </w:pPr>
            <w:r w:rsidRPr="00000DD3">
              <w:rPr>
                <w:rFonts w:ascii="Book Antiqua" w:hAnsi="Book Antiqua"/>
                <w:noProof/>
              </w:rPr>
              <w:t>Black</w:t>
            </w:r>
          </w:p>
          <w:p w14:paraId="1A4C37F4" w14:textId="43672090" w:rsidR="00A51E3B" w:rsidRPr="00000DD3" w:rsidRDefault="00A51E3B" w:rsidP="00A94D33">
            <w:pPr>
              <w:spacing w:line="360" w:lineRule="auto"/>
              <w:jc w:val="both"/>
              <w:rPr>
                <w:rFonts w:ascii="Book Antiqua" w:hAnsi="Book Antiqua"/>
                <w:noProof/>
              </w:rPr>
            </w:pPr>
            <w:r w:rsidRPr="00000DD3">
              <w:rPr>
                <w:rFonts w:ascii="Book Antiqua" w:hAnsi="Book Antiqua"/>
                <w:i/>
                <w:iCs/>
                <w:noProof/>
              </w:rPr>
              <w:t>et al</w:t>
            </w:r>
            <w:r w:rsidR="00A94D33" w:rsidRPr="00000DD3">
              <w:rPr>
                <w:rFonts w:ascii="Book Antiqua" w:hAnsi="Book Antiqua"/>
                <w:noProof/>
              </w:rPr>
              <w:fldChar w:fldCharType="begin" w:fldLock="1"/>
            </w:r>
            <w:r w:rsidR="00A94D33" w:rsidRPr="00000DD3">
              <w:rPr>
                <w:rFonts w:ascii="Book Antiqua" w:hAnsi="Book Antiqua"/>
                <w:noProof/>
              </w:rPr>
              <w:instrText>ADDIN CSL_CITATION {"citationItems":[{"id":"ITEM-1","itemData":{"PMID":"19003780","abstract":"Autologous adipose-derived mesenchymal stem cell (AD-MSC) therapy involves harvesting fat from the patient, isolating the stem and regenerative cells, and administering the cells back to the patient. Autologous AD-MSC therapy in veterinary regenerative medicine has been commercially available since 2003. Previously reported results from a blinded, controlled trial in dogs with chronic osteoarthritis of the coxofemoral (hip) joint demonstrated efficacy of a single intraarticular injection of autologous AD-MSC therapy. The primary objective of the current study was to evaluate the effectiveness of this therapy in dogs with chronic osteoarthritis of the humeroradial (elbow) joints and to determine the duration of effect. Fourteen dogs were recruited. Veterinarians assessed each dog for lameness, pain on manipulation, range of motion, and functional disability using a numeric rating scale at baseline and specified intervals up to 180 days after treatment. Statistically significant improvement in outcome measures was demonstrated.","author":[{"dropping-particle":"","family":"Black","given":"Linda L.","non-dropping-particle":"","parse-names":false,"suffix":""},{"dropping-particle":"","family":"Gaynor","given":"James","non-dropping-particle":"","parse-names":false,"suffix":""},{"dropping-particle":"","family":"Adams","given":"Cheryl","non-dropping-particle":"","parse-names":false,"suffix":""},{"dropping-particle":"","family":"Dhupa","given":"Sarit","non-dropping-particle":"","parse-names":false,"suffix":""},{"dropping-particle":"","family":"Sams","given":"Andrew E.","non-dropping-particle":"","parse-names":false,"suffix":""},{"dropping-particle":"","family":"Taylor","given":"Robert","non-dropping-particle":"","parse-names":false,"suffix":""},{"dropping-particle":"","family":"Harman","given":"Susan","non-dropping-particle":"","parse-names":false,"suffix":""},{"dropping-particle":"","family":"Gingerich","given":"Daniel A.","non-dropping-particle":"","parse-names":false,"suffix":""},{"dropping-particle":"","family":"Harman","given":"Robert","non-dropping-particle":"","parse-names":false,"suffix":""}],"container-title":"Veterinary Therapeutics","id":"ITEM-1","issue":"3","issued":{"date-parts":[["2008"]]},"page":"192-200","title":"Effect of intraarticular injection of autologous adipose-derived mesenchymal stem and regenerative cells on clinical signs ofchronic osteoarthritis of the elbow joint in dogs","type":"article-journal","volume":"9"},"uris":["http://www.mendeley.com/documents/?uuid=79af5a8c-8e55-3d7c-b1a7-4e79cbd87e04"]}],"mendeley":{"formattedCitation":"&lt;sup&gt;[107]&lt;/sup&gt;","plainTextFormattedCitation":"[107]","previouslyFormattedCitation":"&lt;sup&gt;[107]&lt;/sup&gt;"},"properties":{"noteIndex":0},"schema":"https://github.com/citation-style-language/schema/raw/master/csl-citation.json"}</w:instrText>
            </w:r>
            <w:r w:rsidR="00A94D33" w:rsidRPr="00000DD3">
              <w:rPr>
                <w:rFonts w:ascii="Book Antiqua" w:hAnsi="Book Antiqua"/>
                <w:noProof/>
              </w:rPr>
              <w:fldChar w:fldCharType="separate"/>
            </w:r>
            <w:r w:rsidR="00A94D33" w:rsidRPr="00000DD3">
              <w:rPr>
                <w:rFonts w:ascii="Book Antiqua" w:hAnsi="Book Antiqua"/>
                <w:noProof/>
                <w:vertAlign w:val="superscript"/>
              </w:rPr>
              <w:t>[107]</w:t>
            </w:r>
            <w:r w:rsidR="00A94D33" w:rsidRPr="00000DD3">
              <w:rPr>
                <w:rFonts w:ascii="Book Antiqua" w:hAnsi="Book Antiqua"/>
                <w:noProof/>
              </w:rPr>
              <w:fldChar w:fldCharType="end"/>
            </w:r>
            <w:r w:rsidRPr="00000DD3">
              <w:rPr>
                <w:rFonts w:ascii="Book Antiqua" w:hAnsi="Book Antiqua"/>
                <w:noProof/>
              </w:rPr>
              <w:t>, 2008</w:t>
            </w:r>
          </w:p>
        </w:tc>
      </w:tr>
      <w:tr w:rsidR="00874B98" w:rsidRPr="00000DD3" w14:paraId="25196863" w14:textId="77777777" w:rsidTr="005A52F4">
        <w:trPr>
          <w:trHeight w:val="320"/>
        </w:trPr>
        <w:tc>
          <w:tcPr>
            <w:tcW w:w="851" w:type="dxa"/>
            <w:shd w:val="clear" w:color="auto" w:fill="auto"/>
            <w:noWrap/>
            <w:tcMar>
              <w:top w:w="15" w:type="dxa"/>
              <w:left w:w="15" w:type="dxa"/>
              <w:bottom w:w="0" w:type="dxa"/>
              <w:right w:w="15" w:type="dxa"/>
            </w:tcMar>
            <w:hideMark/>
          </w:tcPr>
          <w:p w14:paraId="432A4969"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Adipose tissue</w:t>
            </w:r>
          </w:p>
        </w:tc>
        <w:tc>
          <w:tcPr>
            <w:tcW w:w="1134" w:type="dxa"/>
            <w:shd w:val="clear" w:color="auto" w:fill="auto"/>
            <w:noWrap/>
            <w:tcMar>
              <w:top w:w="15" w:type="dxa"/>
              <w:left w:w="15" w:type="dxa"/>
              <w:bottom w:w="0" w:type="dxa"/>
              <w:right w:w="15" w:type="dxa"/>
            </w:tcMar>
            <w:hideMark/>
          </w:tcPr>
          <w:p w14:paraId="484F19C9"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Single intraarticular with platelet-rich plasma or hyaluronic acid, autologous</w:t>
            </w:r>
          </w:p>
        </w:tc>
        <w:tc>
          <w:tcPr>
            <w:tcW w:w="992" w:type="dxa"/>
            <w:shd w:val="clear" w:color="auto" w:fill="auto"/>
            <w:noWrap/>
            <w:tcMar>
              <w:top w:w="15" w:type="dxa"/>
              <w:left w:w="15" w:type="dxa"/>
              <w:bottom w:w="0" w:type="dxa"/>
              <w:right w:w="15" w:type="dxa"/>
            </w:tcMar>
            <w:hideMark/>
          </w:tcPr>
          <w:p w14:paraId="1D9D094A"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3-5</w:t>
            </w:r>
          </w:p>
        </w:tc>
        <w:tc>
          <w:tcPr>
            <w:tcW w:w="851" w:type="dxa"/>
            <w:shd w:val="clear" w:color="auto" w:fill="auto"/>
            <w:noWrap/>
            <w:tcMar>
              <w:top w:w="15" w:type="dxa"/>
              <w:left w:w="15" w:type="dxa"/>
              <w:bottom w:w="0" w:type="dxa"/>
              <w:right w:w="15" w:type="dxa"/>
            </w:tcMar>
            <w:hideMark/>
          </w:tcPr>
          <w:p w14:paraId="2C7A2A7C"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Elbow</w:t>
            </w:r>
          </w:p>
        </w:tc>
        <w:tc>
          <w:tcPr>
            <w:tcW w:w="850" w:type="dxa"/>
            <w:shd w:val="clear" w:color="auto" w:fill="auto"/>
            <w:noWrap/>
            <w:tcMar>
              <w:top w:w="15" w:type="dxa"/>
              <w:left w:w="15" w:type="dxa"/>
              <w:bottom w:w="0" w:type="dxa"/>
              <w:right w:w="15" w:type="dxa"/>
            </w:tcMar>
            <w:hideMark/>
          </w:tcPr>
          <w:p w14:paraId="65BC9F47" w14:textId="295F8887" w:rsidR="00A51E3B" w:rsidRPr="00000DD3" w:rsidRDefault="00A51E3B" w:rsidP="00A94D33">
            <w:pPr>
              <w:spacing w:line="360" w:lineRule="auto"/>
              <w:jc w:val="both"/>
              <w:rPr>
                <w:rFonts w:ascii="Book Antiqua" w:hAnsi="Book Antiqua"/>
                <w:noProof/>
              </w:rPr>
            </w:pPr>
            <w:r w:rsidRPr="00000DD3">
              <w:rPr>
                <w:rFonts w:ascii="Book Antiqua" w:hAnsi="Book Antiqua"/>
                <w:noProof/>
              </w:rPr>
              <w:t>1</w:t>
            </w:r>
            <w:r w:rsidR="00C70284" w:rsidRPr="00000DD3">
              <w:rPr>
                <w:rFonts w:ascii="Book Antiqua" w:hAnsi="Book Antiqua"/>
                <w:noProof/>
              </w:rPr>
              <w:t xml:space="preserve"> </w:t>
            </w:r>
            <w:r w:rsidR="00A94D33" w:rsidRPr="00000DD3">
              <w:rPr>
                <w:rFonts w:ascii="Book Antiqua" w:hAnsi="Book Antiqua"/>
                <w:noProof/>
              </w:rPr>
              <w:t>w</w:t>
            </w:r>
            <w:r w:rsidRPr="00000DD3">
              <w:rPr>
                <w:rFonts w:ascii="Book Antiqua" w:hAnsi="Book Antiqua"/>
                <w:noProof/>
              </w:rPr>
              <w:t>k,</w:t>
            </w:r>
            <w:r w:rsidR="00A94D33" w:rsidRPr="00000DD3">
              <w:rPr>
                <w:rFonts w:ascii="Book Antiqua" w:eastAsia="黑体" w:hAnsi="Book Antiqua" w:hint="eastAsia"/>
                <w:noProof/>
                <w:lang w:eastAsia="zh-CN"/>
              </w:rPr>
              <w:t xml:space="preserve"> </w:t>
            </w:r>
            <w:r w:rsidRPr="00000DD3">
              <w:rPr>
                <w:rFonts w:ascii="Book Antiqua" w:hAnsi="Book Antiqua"/>
                <w:noProof/>
              </w:rPr>
              <w:t>1 mo</w:t>
            </w:r>
          </w:p>
        </w:tc>
        <w:tc>
          <w:tcPr>
            <w:tcW w:w="2835" w:type="dxa"/>
            <w:shd w:val="clear" w:color="auto" w:fill="auto"/>
            <w:noWrap/>
            <w:tcMar>
              <w:top w:w="15" w:type="dxa"/>
              <w:left w:w="15" w:type="dxa"/>
              <w:bottom w:w="0" w:type="dxa"/>
              <w:right w:w="15" w:type="dxa"/>
            </w:tcMar>
            <w:hideMark/>
          </w:tcPr>
          <w:p w14:paraId="10374488"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Not described</w:t>
            </w:r>
          </w:p>
        </w:tc>
        <w:tc>
          <w:tcPr>
            <w:tcW w:w="992" w:type="dxa"/>
            <w:shd w:val="clear" w:color="auto" w:fill="auto"/>
            <w:noWrap/>
            <w:tcMar>
              <w:top w:w="15" w:type="dxa"/>
              <w:left w:w="15" w:type="dxa"/>
              <w:bottom w:w="0" w:type="dxa"/>
              <w:right w:w="15" w:type="dxa"/>
            </w:tcMar>
            <w:hideMark/>
          </w:tcPr>
          <w:p w14:paraId="1D5E4CA0" w14:textId="3391F31C" w:rsidR="00B436EA" w:rsidRPr="00000DD3" w:rsidRDefault="00A51E3B" w:rsidP="00874B98">
            <w:pPr>
              <w:spacing w:line="360" w:lineRule="auto"/>
              <w:jc w:val="both"/>
              <w:rPr>
                <w:rFonts w:ascii="Book Antiqua" w:hAnsi="Book Antiqua"/>
                <w:noProof/>
              </w:rPr>
            </w:pPr>
            <w:r w:rsidRPr="00000DD3">
              <w:rPr>
                <w:rFonts w:ascii="Book Antiqua" w:hAnsi="Book Antiqua"/>
                <w:noProof/>
              </w:rPr>
              <w:t>Guercio</w:t>
            </w:r>
          </w:p>
          <w:p w14:paraId="334CD1CD" w14:textId="4744C04C" w:rsidR="00A51E3B" w:rsidRPr="00000DD3" w:rsidRDefault="00A51E3B" w:rsidP="00A94D33">
            <w:pPr>
              <w:spacing w:line="360" w:lineRule="auto"/>
              <w:jc w:val="both"/>
              <w:rPr>
                <w:rFonts w:ascii="Book Antiqua" w:hAnsi="Book Antiqua"/>
                <w:noProof/>
              </w:rPr>
            </w:pPr>
            <w:r w:rsidRPr="00000DD3">
              <w:rPr>
                <w:rFonts w:ascii="Book Antiqua" w:hAnsi="Book Antiqua"/>
                <w:i/>
                <w:iCs/>
                <w:noProof/>
              </w:rPr>
              <w:t>et al</w:t>
            </w:r>
            <w:r w:rsidR="00A94D33" w:rsidRPr="00000DD3">
              <w:rPr>
                <w:rFonts w:ascii="Book Antiqua" w:hAnsi="Book Antiqua"/>
                <w:noProof/>
              </w:rPr>
              <w:fldChar w:fldCharType="begin" w:fldLock="1"/>
            </w:r>
            <w:r w:rsidR="00A94D33" w:rsidRPr="00000DD3">
              <w:rPr>
                <w:rFonts w:ascii="Book Antiqua" w:hAnsi="Book Antiqua"/>
                <w:noProof/>
              </w:rPr>
              <w:instrText>ADDIN CSL_CITATION {"citationItems":[{"id":"ITEM-1","itemData":{"DOI":"10.1042/CBI20110304","ISBN":"1095-8355 (Electronic)\\n1065-6995 (Linking)","ISSN":"1065-6995","PMID":"21936851","abstract":"Autologous AD-MSC [adipose-derived MSC (mesenchymal stem cell)] therapy involves harvesting fat from the patient by isolating the stem and regenerative cells and administering the cells back to the patient. This study evaluated the production of canine AD-MSCs and their possible application in cellular therapy for dogs. To assess whether cellular therapy can replace drug therapy, the clinical effect of a single intra-articular injection of AD-MSCs was evaluated on 4 dogs with lameness associated with OA (osteoarthritis) of the humeroradial joints. MSCs were readily isolated from adult dog adipose tissue, and their ability to form colony and differentiate into various phenotypes was confirmed. AD-MSCs expressed OCT4, NANOG and SOX2 at the mRNA level, pluripotency markers usually ascribed to embryonic stem cells. The results suggest the stemness of the cells isolated from canine fat, and good quality control made them available for both experimental and clinical use. Follow-up studies to evaluate the effects of AD-MSC therapy showed that OA of the elbow joints improved with time, indicating significant potential for clinical use in the treatment of lameness, particularly when administered before the injury becomes severe.","author":[{"dropping-particle":"","family":"Guercio","given":"Annalisa","non-dropping-particle":"","parse-names":false,"suffix":""},{"dropping-particle":"","family":"Marco","given":"Patrizia","non-dropping-particle":"Di","parse-names":false,"suffix":""},{"dropping-particle":"","family":"Casella","given":"Stefania","non-dropping-particle":"","parse-names":false,"suffix":""},{"dropping-particle":"","family":"Cannella","given":"Vincenza","non-dropping-particle":"","parse-names":false,"suffix":""},{"dropping-particle":"","family":"Russotto","given":"Laura","non-dropping-particle":"","parse-names":false,"suffix":""},{"dropping-particle":"","family":"Purpari","given":"Giuseppa","non-dropping-particle":"","parse-names":false,"suffix":""},{"dropping-particle":"","family":"Bella","given":"Santina","non-dropping-particle":"Di","parse-names":false,"suffix":""},{"dropping-particle":"","family":"Piccione","given":"Giuseppe","non-dropping-particle":"","parse-names":false,"suffix":""}],"container-title":"Cell Biology International","id":"ITEM-1","issue":"2","issued":{"date-parts":[["2012"]]},"page":"189-194","title":"Production of canine mesenchymal stem cells from adipose tissue and their application in dogs with chronic osteoarthritis of the humeroradial joints","type":"article-journal","volume":"36"},"uris":["http://www.mendeley.com/documents/?uuid=9624d8c0-ebd6-4b41-9f5e-4b7d8492bc01"]}],"mendeley":{"formattedCitation":"&lt;sup&gt;[103]&lt;/sup&gt;","plainTextFormattedCitation":"[103]","previouslyFormattedCitation":"&lt;sup&gt;[103]&lt;/sup&gt;"},"properties":{"noteIndex":0},"schema":"https://github.com/citation-style-language/schema/raw/master/csl-citation.json"}</w:instrText>
            </w:r>
            <w:r w:rsidR="00A94D33" w:rsidRPr="00000DD3">
              <w:rPr>
                <w:rFonts w:ascii="Book Antiqua" w:hAnsi="Book Antiqua"/>
                <w:noProof/>
              </w:rPr>
              <w:fldChar w:fldCharType="separate"/>
            </w:r>
            <w:r w:rsidR="00A94D33" w:rsidRPr="00000DD3">
              <w:rPr>
                <w:rFonts w:ascii="Book Antiqua" w:hAnsi="Book Antiqua"/>
                <w:noProof/>
                <w:vertAlign w:val="superscript"/>
              </w:rPr>
              <w:t>[103]</w:t>
            </w:r>
            <w:r w:rsidR="00A94D33" w:rsidRPr="00000DD3">
              <w:rPr>
                <w:rFonts w:ascii="Book Antiqua" w:hAnsi="Book Antiqua"/>
                <w:noProof/>
              </w:rPr>
              <w:fldChar w:fldCharType="end"/>
            </w:r>
            <w:r w:rsidRPr="00000DD3">
              <w:rPr>
                <w:rFonts w:ascii="Book Antiqua" w:hAnsi="Book Antiqua"/>
                <w:noProof/>
              </w:rPr>
              <w:t>, 2012</w:t>
            </w:r>
          </w:p>
        </w:tc>
      </w:tr>
      <w:tr w:rsidR="00874B98" w:rsidRPr="00000DD3" w14:paraId="1A44A79B" w14:textId="77777777" w:rsidTr="005A52F4">
        <w:trPr>
          <w:trHeight w:val="320"/>
        </w:trPr>
        <w:tc>
          <w:tcPr>
            <w:tcW w:w="851" w:type="dxa"/>
            <w:shd w:val="clear" w:color="auto" w:fill="auto"/>
            <w:noWrap/>
            <w:tcMar>
              <w:top w:w="15" w:type="dxa"/>
              <w:left w:w="15" w:type="dxa"/>
              <w:bottom w:w="0" w:type="dxa"/>
              <w:right w:w="15" w:type="dxa"/>
            </w:tcMar>
            <w:hideMark/>
          </w:tcPr>
          <w:p w14:paraId="5AC6594F"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Adipose tissue</w:t>
            </w:r>
          </w:p>
        </w:tc>
        <w:tc>
          <w:tcPr>
            <w:tcW w:w="1134" w:type="dxa"/>
            <w:shd w:val="clear" w:color="auto" w:fill="auto"/>
            <w:noWrap/>
            <w:tcMar>
              <w:top w:w="15" w:type="dxa"/>
              <w:left w:w="15" w:type="dxa"/>
              <w:bottom w:w="0" w:type="dxa"/>
              <w:right w:w="15" w:type="dxa"/>
            </w:tcMar>
            <w:hideMark/>
          </w:tcPr>
          <w:p w14:paraId="065D0026"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Single intraarticular with platelet-rich plasma, autologous</w:t>
            </w:r>
          </w:p>
        </w:tc>
        <w:tc>
          <w:tcPr>
            <w:tcW w:w="992" w:type="dxa"/>
            <w:shd w:val="clear" w:color="auto" w:fill="auto"/>
            <w:noWrap/>
            <w:tcMar>
              <w:top w:w="15" w:type="dxa"/>
              <w:left w:w="15" w:type="dxa"/>
              <w:bottom w:w="0" w:type="dxa"/>
              <w:right w:w="15" w:type="dxa"/>
            </w:tcMar>
            <w:hideMark/>
          </w:tcPr>
          <w:p w14:paraId="38DB5A1E"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Over 30</w:t>
            </w:r>
          </w:p>
        </w:tc>
        <w:tc>
          <w:tcPr>
            <w:tcW w:w="851" w:type="dxa"/>
            <w:shd w:val="clear" w:color="auto" w:fill="auto"/>
            <w:noWrap/>
            <w:tcMar>
              <w:top w:w="15" w:type="dxa"/>
              <w:left w:w="15" w:type="dxa"/>
              <w:bottom w:w="0" w:type="dxa"/>
              <w:right w:w="15" w:type="dxa"/>
            </w:tcMar>
            <w:hideMark/>
          </w:tcPr>
          <w:p w14:paraId="521D0019"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Hip</w:t>
            </w:r>
          </w:p>
        </w:tc>
        <w:tc>
          <w:tcPr>
            <w:tcW w:w="850" w:type="dxa"/>
            <w:shd w:val="clear" w:color="auto" w:fill="auto"/>
            <w:noWrap/>
            <w:tcMar>
              <w:top w:w="15" w:type="dxa"/>
              <w:left w:w="15" w:type="dxa"/>
              <w:bottom w:w="0" w:type="dxa"/>
              <w:right w:w="15" w:type="dxa"/>
            </w:tcMar>
            <w:hideMark/>
          </w:tcPr>
          <w:p w14:paraId="3D9998B2" w14:textId="51055E29" w:rsidR="00A51E3B" w:rsidRPr="00000DD3" w:rsidRDefault="00A51E3B" w:rsidP="00A94D33">
            <w:pPr>
              <w:spacing w:line="360" w:lineRule="auto"/>
              <w:jc w:val="both"/>
              <w:rPr>
                <w:rFonts w:ascii="Book Antiqua" w:hAnsi="Book Antiqua"/>
                <w:noProof/>
              </w:rPr>
            </w:pPr>
            <w:r w:rsidRPr="00000DD3">
              <w:rPr>
                <w:rFonts w:ascii="Book Antiqua" w:hAnsi="Book Antiqua"/>
                <w:noProof/>
              </w:rPr>
              <w:t>0, 30, 90, 180 d</w:t>
            </w:r>
          </w:p>
        </w:tc>
        <w:tc>
          <w:tcPr>
            <w:tcW w:w="2835" w:type="dxa"/>
            <w:shd w:val="clear" w:color="auto" w:fill="auto"/>
            <w:noWrap/>
            <w:tcMar>
              <w:top w:w="15" w:type="dxa"/>
              <w:left w:w="15" w:type="dxa"/>
              <w:bottom w:w="0" w:type="dxa"/>
              <w:right w:w="15" w:type="dxa"/>
            </w:tcMar>
            <w:hideMark/>
          </w:tcPr>
          <w:p w14:paraId="4883C7CB"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Gait analysis</w:t>
            </w:r>
          </w:p>
        </w:tc>
        <w:tc>
          <w:tcPr>
            <w:tcW w:w="992" w:type="dxa"/>
            <w:shd w:val="clear" w:color="auto" w:fill="auto"/>
            <w:noWrap/>
            <w:tcMar>
              <w:top w:w="15" w:type="dxa"/>
              <w:left w:w="15" w:type="dxa"/>
              <w:bottom w:w="0" w:type="dxa"/>
              <w:right w:w="15" w:type="dxa"/>
            </w:tcMar>
            <w:hideMark/>
          </w:tcPr>
          <w:p w14:paraId="4C279526" w14:textId="0FE5DEC4" w:rsidR="00B436EA" w:rsidRPr="00000DD3" w:rsidRDefault="00A51E3B" w:rsidP="00874B98">
            <w:pPr>
              <w:spacing w:line="360" w:lineRule="auto"/>
              <w:jc w:val="both"/>
              <w:rPr>
                <w:rFonts w:ascii="Book Antiqua" w:hAnsi="Book Antiqua"/>
                <w:noProof/>
              </w:rPr>
            </w:pPr>
            <w:r w:rsidRPr="00000DD3">
              <w:rPr>
                <w:rFonts w:ascii="Book Antiqua" w:hAnsi="Book Antiqua"/>
                <w:noProof/>
              </w:rPr>
              <w:t>Vilar</w:t>
            </w:r>
          </w:p>
          <w:p w14:paraId="02949C81" w14:textId="196D4467" w:rsidR="00A51E3B" w:rsidRPr="00000DD3" w:rsidRDefault="00A51E3B" w:rsidP="00A94D33">
            <w:pPr>
              <w:spacing w:line="360" w:lineRule="auto"/>
              <w:jc w:val="both"/>
              <w:rPr>
                <w:rFonts w:ascii="Book Antiqua" w:hAnsi="Book Antiqua"/>
                <w:noProof/>
              </w:rPr>
            </w:pPr>
            <w:r w:rsidRPr="00000DD3">
              <w:rPr>
                <w:rFonts w:ascii="Book Antiqua" w:hAnsi="Book Antiqua"/>
                <w:i/>
                <w:iCs/>
                <w:noProof/>
              </w:rPr>
              <w:t>et al</w:t>
            </w:r>
            <w:r w:rsidR="00A94D33" w:rsidRPr="00000DD3">
              <w:rPr>
                <w:rFonts w:ascii="Book Antiqua" w:hAnsi="Book Antiqua"/>
                <w:noProof/>
              </w:rPr>
              <w:fldChar w:fldCharType="begin" w:fldLock="1"/>
            </w:r>
            <w:r w:rsidR="00A94D33" w:rsidRPr="00000DD3">
              <w:rPr>
                <w:rFonts w:ascii="Book Antiqua" w:hAnsi="Book Antiqua"/>
                <w:noProof/>
              </w:rPr>
              <w:instrText>ADDIN CSL_CITATION {"citationItems":[{"id":"ITEM-1","itemData":{"DOI":"10.1186/1746-6148-9-131","ISBN":"1746-6148 (Electronic) 1746-6148 (Linking)","ISSN":"1746-6148","PMID":"23819757","abstract":"BACKGROUND: Adipose-derived mesenchymal stem cell (ADMSC) therapy in regenerative medicine is a rapidly growing area of research and is currently also being used to treat osteoarthritis (OA). Force platform analysis has been consistently used to verify the efficacy of different therapeutic strategies for the treatment of OA in dogs, but never with AD-MSC.The aim of this study was to use a force platform to measure the efficacy of intraarticular ADMSC administration for limb function improvement in dogs with severe OA.\\n\\nRESULTS: Eight lame dogs with severe hip OA and a control group of 5 sound dogs were used for this study. Results were statistically analyzed to detect a significant increase in peak vertical force (PVF) and vertical impulse (VI) in treated dogs. Mean values of PVF and VI were significantly improved after treatment of the OA groups, reaching 53.02% and 14.84% of body weight, respectively, at day 180, compared with only 43.56% and 12.16% at day 0.\\n\\nCONCLUSION: This study objectively demonstrated that intraarticular ADMSC therapy resulted in reduced lameness due to OA.","author":[{"dropping-particle":"","family":"Vilar","given":"Jose M","non-dropping-particle":"","parse-names":false,"suffix":""},{"dropping-particle":"","family":"Morales","given":"Manuel","non-dropping-particle":"","parse-names":false,"suffix":""},{"dropping-particle":"","family":"Santana","given":"Angelo","non-dropping-particle":"","parse-names":false,"suffix":""},{"dropping-particle":"","family":"Spinella","given":"Giuseppe","non-dropping-particle":"","parse-names":false,"suffix":""},{"dropping-particle":"","family":"Rubio","given":"Mónica","non-dropping-particle":"","parse-names":false,"suffix":""},{"dropping-particle":"","family":"Cuervo","given":"Belen","non-dropping-particle":"","parse-names":false,"suffix":""},{"dropping-particle":"","family":"Cugat","given":"Ramón","non-dropping-particle":"","parse-names":false,"suffix":""},{"dropping-particle":"","family":"Carrillo","given":"Jose M","non-dropping-particle":"","parse-names":false,"suffix":""}],"container-title":"BMC veterinary research","id":"ITEM-1","issued":{"date-parts":[["2013"]]},"title":"Controlled, blinded force platform analysis of the effect of intraarticular injection of autologous adipose-derived mesenchymal stem cells associated to PRGF-Endoret in osteoarthritic dogs.","type":"article-journal","volume":"9"},"uris":["http://www.mendeley.com/documents/?uuid=1a1998a7-f6c7-4c8d-93ce-a923bcd2d598"]}],"mendeley":{"formattedCitation":"&lt;sup&gt;[104]&lt;/sup&gt;","plainTextFormattedCitation":"[104]","previouslyFormattedCitation":"&lt;sup&gt;[104]&lt;/sup&gt;"},"properties":{"noteIndex":0},"schema":"https://github.com/citation-style-language/schema/raw/master/csl-citation.json"}</w:instrText>
            </w:r>
            <w:r w:rsidR="00A94D33" w:rsidRPr="00000DD3">
              <w:rPr>
                <w:rFonts w:ascii="Book Antiqua" w:hAnsi="Book Antiqua"/>
                <w:noProof/>
              </w:rPr>
              <w:fldChar w:fldCharType="separate"/>
            </w:r>
            <w:r w:rsidR="00A94D33" w:rsidRPr="00000DD3">
              <w:rPr>
                <w:rFonts w:ascii="Book Antiqua" w:hAnsi="Book Antiqua"/>
                <w:noProof/>
                <w:vertAlign w:val="superscript"/>
              </w:rPr>
              <w:t>[104]</w:t>
            </w:r>
            <w:r w:rsidR="00A94D33" w:rsidRPr="00000DD3">
              <w:rPr>
                <w:rFonts w:ascii="Book Antiqua" w:hAnsi="Book Antiqua"/>
                <w:noProof/>
              </w:rPr>
              <w:fldChar w:fldCharType="end"/>
            </w:r>
            <w:r w:rsidRPr="00000DD3">
              <w:rPr>
                <w:rFonts w:ascii="Book Antiqua" w:hAnsi="Book Antiqua"/>
                <w:noProof/>
              </w:rPr>
              <w:t>, 2013</w:t>
            </w:r>
          </w:p>
        </w:tc>
      </w:tr>
      <w:tr w:rsidR="00874B98" w:rsidRPr="00000DD3" w14:paraId="0120D6D2" w14:textId="77777777" w:rsidTr="005A52F4">
        <w:trPr>
          <w:trHeight w:val="320"/>
        </w:trPr>
        <w:tc>
          <w:tcPr>
            <w:tcW w:w="851" w:type="dxa"/>
            <w:shd w:val="clear" w:color="auto" w:fill="auto"/>
            <w:noWrap/>
            <w:tcMar>
              <w:top w:w="15" w:type="dxa"/>
              <w:left w:w="15" w:type="dxa"/>
              <w:bottom w:w="0" w:type="dxa"/>
              <w:right w:w="15" w:type="dxa"/>
            </w:tcMar>
            <w:hideMark/>
          </w:tcPr>
          <w:p w14:paraId="56DE9544"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Adipose tissue</w:t>
            </w:r>
          </w:p>
        </w:tc>
        <w:tc>
          <w:tcPr>
            <w:tcW w:w="1134" w:type="dxa"/>
            <w:shd w:val="clear" w:color="auto" w:fill="auto"/>
            <w:noWrap/>
            <w:tcMar>
              <w:top w:w="15" w:type="dxa"/>
              <w:left w:w="15" w:type="dxa"/>
              <w:bottom w:w="0" w:type="dxa"/>
              <w:right w:w="15" w:type="dxa"/>
            </w:tcMar>
            <w:hideMark/>
          </w:tcPr>
          <w:p w14:paraId="341125C6"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Single intraarticular, autologous</w:t>
            </w:r>
          </w:p>
        </w:tc>
        <w:tc>
          <w:tcPr>
            <w:tcW w:w="992" w:type="dxa"/>
            <w:shd w:val="clear" w:color="auto" w:fill="auto"/>
            <w:noWrap/>
            <w:tcMar>
              <w:top w:w="15" w:type="dxa"/>
              <w:left w:w="15" w:type="dxa"/>
              <w:bottom w:w="0" w:type="dxa"/>
              <w:right w:w="15" w:type="dxa"/>
            </w:tcMar>
            <w:hideMark/>
          </w:tcPr>
          <w:p w14:paraId="10E2EF21"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30</w:t>
            </w:r>
          </w:p>
        </w:tc>
        <w:tc>
          <w:tcPr>
            <w:tcW w:w="851" w:type="dxa"/>
            <w:shd w:val="clear" w:color="auto" w:fill="auto"/>
            <w:noWrap/>
            <w:tcMar>
              <w:top w:w="15" w:type="dxa"/>
              <w:left w:w="15" w:type="dxa"/>
              <w:bottom w:w="0" w:type="dxa"/>
              <w:right w:w="15" w:type="dxa"/>
            </w:tcMar>
            <w:hideMark/>
          </w:tcPr>
          <w:p w14:paraId="6CFC826D"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Hip</w:t>
            </w:r>
          </w:p>
        </w:tc>
        <w:tc>
          <w:tcPr>
            <w:tcW w:w="850" w:type="dxa"/>
            <w:shd w:val="clear" w:color="auto" w:fill="auto"/>
            <w:noWrap/>
            <w:tcMar>
              <w:top w:w="15" w:type="dxa"/>
              <w:left w:w="15" w:type="dxa"/>
              <w:bottom w:w="0" w:type="dxa"/>
              <w:right w:w="15" w:type="dxa"/>
            </w:tcMar>
            <w:hideMark/>
          </w:tcPr>
          <w:p w14:paraId="2E248DB4" w14:textId="55FA30CC" w:rsidR="00A51E3B" w:rsidRPr="00000DD3" w:rsidRDefault="00A51E3B" w:rsidP="00A94D33">
            <w:pPr>
              <w:spacing w:line="360" w:lineRule="auto"/>
              <w:jc w:val="both"/>
              <w:rPr>
                <w:rFonts w:ascii="Book Antiqua" w:hAnsi="Book Antiqua"/>
                <w:noProof/>
              </w:rPr>
            </w:pPr>
            <w:r w:rsidRPr="00000DD3">
              <w:rPr>
                <w:rFonts w:ascii="Book Antiqua" w:hAnsi="Book Antiqua"/>
                <w:noProof/>
              </w:rPr>
              <w:t>1, 3, 6 mo</w:t>
            </w:r>
          </w:p>
        </w:tc>
        <w:tc>
          <w:tcPr>
            <w:tcW w:w="2835" w:type="dxa"/>
            <w:shd w:val="clear" w:color="auto" w:fill="auto"/>
            <w:noWrap/>
            <w:tcMar>
              <w:top w:w="15" w:type="dxa"/>
              <w:left w:w="15" w:type="dxa"/>
              <w:bottom w:w="0" w:type="dxa"/>
              <w:right w:w="15" w:type="dxa"/>
            </w:tcMar>
            <w:hideMark/>
          </w:tcPr>
          <w:p w14:paraId="4B5D00D7" w14:textId="4A898CAC" w:rsidR="00A51E3B" w:rsidRPr="00000DD3" w:rsidRDefault="00A51E3B" w:rsidP="00874B98">
            <w:pPr>
              <w:spacing w:line="360" w:lineRule="auto"/>
              <w:jc w:val="both"/>
              <w:rPr>
                <w:rFonts w:ascii="Book Antiqua" w:hAnsi="Book Antiqua"/>
                <w:noProof/>
              </w:rPr>
            </w:pPr>
            <w:r w:rsidRPr="00000DD3">
              <w:rPr>
                <w:rFonts w:ascii="Book Antiqua" w:hAnsi="Book Antiqua"/>
                <w:noProof/>
              </w:rPr>
              <w:t>Pain, functional disability, range of motion, owner questionnaire</w:t>
            </w:r>
          </w:p>
        </w:tc>
        <w:tc>
          <w:tcPr>
            <w:tcW w:w="992" w:type="dxa"/>
            <w:shd w:val="clear" w:color="auto" w:fill="auto"/>
            <w:noWrap/>
            <w:tcMar>
              <w:top w:w="15" w:type="dxa"/>
              <w:left w:w="15" w:type="dxa"/>
              <w:bottom w:w="0" w:type="dxa"/>
              <w:right w:w="15" w:type="dxa"/>
            </w:tcMar>
            <w:hideMark/>
          </w:tcPr>
          <w:p w14:paraId="617EFD44" w14:textId="71914B67" w:rsidR="00B436EA" w:rsidRPr="00000DD3" w:rsidRDefault="00A51E3B" w:rsidP="00874B98">
            <w:pPr>
              <w:spacing w:line="360" w:lineRule="auto"/>
              <w:jc w:val="both"/>
              <w:rPr>
                <w:rFonts w:ascii="Book Antiqua" w:hAnsi="Book Antiqua"/>
                <w:noProof/>
              </w:rPr>
            </w:pPr>
            <w:r w:rsidRPr="00000DD3">
              <w:rPr>
                <w:rFonts w:ascii="Book Antiqua" w:hAnsi="Book Antiqua"/>
                <w:noProof/>
              </w:rPr>
              <w:t>Cuervo</w:t>
            </w:r>
          </w:p>
          <w:p w14:paraId="49F618C3" w14:textId="35B1658B" w:rsidR="00A51E3B" w:rsidRPr="00000DD3" w:rsidRDefault="00A51E3B" w:rsidP="00A94D33">
            <w:pPr>
              <w:spacing w:line="360" w:lineRule="auto"/>
              <w:jc w:val="both"/>
              <w:rPr>
                <w:rFonts w:ascii="Book Antiqua" w:hAnsi="Book Antiqua"/>
                <w:noProof/>
              </w:rPr>
            </w:pPr>
            <w:r w:rsidRPr="00000DD3">
              <w:rPr>
                <w:rFonts w:ascii="Book Antiqua" w:hAnsi="Book Antiqua"/>
                <w:i/>
                <w:iCs/>
                <w:noProof/>
              </w:rPr>
              <w:t>et al</w:t>
            </w:r>
            <w:r w:rsidR="00A94D33" w:rsidRPr="00000DD3">
              <w:rPr>
                <w:rFonts w:ascii="Book Antiqua" w:hAnsi="Book Antiqua"/>
                <w:noProof/>
              </w:rPr>
              <w:fldChar w:fldCharType="begin" w:fldLock="1"/>
            </w:r>
            <w:r w:rsidR="00A94D33" w:rsidRPr="00000DD3">
              <w:rPr>
                <w:rFonts w:ascii="Book Antiqua" w:hAnsi="Book Antiqua"/>
                <w:noProof/>
              </w:rPr>
              <w:instrText>ADDIN CSL_CITATION {"citationItems":[{"id":"ITEM-1","itemData":{"DOI":"10.3390/ijms150813437","ISSN":"1422-0067","PMID":"25089877","abstract":"Purpose: The aim of this study was to compare the efficacy and safety of a single intra-articular injection of adipose mesenchymal stem cells (aMSCs) versus plasma rich in growth factors (PRGF) as a treatment for reducing symptoms in dogs with hip osteoarthritis (OA). Methods: This was a randomized, multicenter, blinded, parallel group. Thirty-nine dogs with symptomatic hip OA were assigned to one of the two groups, to receive aMSCs or PRGF. The primary outcome measures were pain and function subscales, including radiologic assessment, functional limitation and joint mobility. The secondary outcome measures were owners' satisfaction questionnaire, rescue analgesic requirement and overall safety. Data was collected at baseline, then, 1, 3 and 6 months OPEN ACCESS Int. J. Mol. Sci. 2014, 15 13438 post-treatment. Results: OA degree did not vary within groups. Functional limitation, range of motion (ROM), owner's and veterinary investigator visual analogue scale (VAS), and patient's quality of life improved from the first month up to six months. The aMSCs group obtained better results at 6 months. There were no adverse effects during the study. Our findings show that aMSCs and PRGF are safe and effective in the functional analysis at 1, 3 and 6 months; provide a significant improvement, reducing dog's pain, and improving physical function. With respect to basal levels for every parameter in patients with hip OA, aMSCs showed better results at 6 months.","author":[{"dropping-particle":"","family":"Cuervo","given":"Belen","non-dropping-particle":"","parse-names":false,"suffix":""},{"dropping-particle":"","family":"Rubio","given":"Monica","non-dropping-particle":"","parse-names":false,"suffix":""},{"dropping-particle":"","family":"Sopena","given":"Joaquin","non-dropping-particle":"","parse-names":false,"suffix":""},{"dropping-particle":"","family":"Dominguez","given":"Juan Manuel","non-dropping-particle":"","parse-names":false,"suffix":""},{"dropping-particle":"","family":"Vilar","given":"Jose","non-dropping-particle":"","parse-names":false,"suffix":""},{"dropping-particle":"","family":"Morales","given":"Manuel","non-dropping-particle":"","parse-names":false,"suffix":""},{"dropping-particle":"","family":"Cugat","given":"Ramón","non-dropping-particle":"","parse-names":false,"suffix":""},{"dropping-particle":"","family":"Carrillo","given":"Jose Maria","non-dropping-particle":"","parse-names":false,"suffix":""}],"container-title":"Int. J. Mol. Sci","id":"ITEM-1","issue":"8","issued":{"date-parts":[["2014"]]},"page":"13437-13460","title":"Hip osteoarthritis in dogs: A randomized study using mesenchymal stem cells from adipose tissue and plasma rich in growth factors","type":"article-journal","volume":"15"},"uris":["http://www.mendeley.com/documents/?uuid=1fe29f97-4653-39af-b5fe-6ca6b84fe0a3"]}],"mendeley":{"formattedCitation":"&lt;sup&gt;[122]&lt;/sup&gt;","plainTextFormattedCitation":"[122]","previouslyFormattedCitation":"&lt;sup&gt;[122]&lt;/sup&gt;"},"properties":{"noteIndex":0},"schema":"https://github.com/citation-style-language/schema/raw/master/csl-citation.json"}</w:instrText>
            </w:r>
            <w:r w:rsidR="00A94D33" w:rsidRPr="00000DD3">
              <w:rPr>
                <w:rFonts w:ascii="Book Antiqua" w:hAnsi="Book Antiqua"/>
                <w:noProof/>
              </w:rPr>
              <w:fldChar w:fldCharType="separate"/>
            </w:r>
            <w:r w:rsidR="00A94D33" w:rsidRPr="00000DD3">
              <w:rPr>
                <w:rFonts w:ascii="Book Antiqua" w:hAnsi="Book Antiqua"/>
                <w:noProof/>
                <w:vertAlign w:val="superscript"/>
              </w:rPr>
              <w:t>[122]</w:t>
            </w:r>
            <w:r w:rsidR="00A94D33" w:rsidRPr="00000DD3">
              <w:rPr>
                <w:rFonts w:ascii="Book Antiqua" w:hAnsi="Book Antiqua"/>
                <w:noProof/>
              </w:rPr>
              <w:fldChar w:fldCharType="end"/>
            </w:r>
            <w:r w:rsidRPr="00000DD3">
              <w:rPr>
                <w:rFonts w:ascii="Book Antiqua" w:hAnsi="Book Antiqua"/>
                <w:noProof/>
              </w:rPr>
              <w:t>, 2014</w:t>
            </w:r>
          </w:p>
        </w:tc>
      </w:tr>
      <w:tr w:rsidR="00874B98" w:rsidRPr="00000DD3" w14:paraId="7558DDAD" w14:textId="77777777" w:rsidTr="005A52F4">
        <w:trPr>
          <w:trHeight w:val="320"/>
        </w:trPr>
        <w:tc>
          <w:tcPr>
            <w:tcW w:w="851" w:type="dxa"/>
            <w:shd w:val="clear" w:color="auto" w:fill="auto"/>
            <w:noWrap/>
            <w:tcMar>
              <w:top w:w="15" w:type="dxa"/>
              <w:left w:w="15" w:type="dxa"/>
              <w:bottom w:w="0" w:type="dxa"/>
              <w:right w:w="15" w:type="dxa"/>
            </w:tcMar>
            <w:hideMark/>
          </w:tcPr>
          <w:p w14:paraId="63DDF1EE"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Adipose tissue</w:t>
            </w:r>
          </w:p>
        </w:tc>
        <w:tc>
          <w:tcPr>
            <w:tcW w:w="1134" w:type="dxa"/>
            <w:shd w:val="clear" w:color="auto" w:fill="auto"/>
            <w:noWrap/>
            <w:tcMar>
              <w:top w:w="15" w:type="dxa"/>
              <w:left w:w="15" w:type="dxa"/>
              <w:bottom w:w="0" w:type="dxa"/>
              <w:right w:w="15" w:type="dxa"/>
            </w:tcMar>
            <w:hideMark/>
          </w:tcPr>
          <w:p w14:paraId="549727C7"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Single intraarticular, autologous</w:t>
            </w:r>
          </w:p>
        </w:tc>
        <w:tc>
          <w:tcPr>
            <w:tcW w:w="992" w:type="dxa"/>
            <w:shd w:val="clear" w:color="auto" w:fill="auto"/>
            <w:noWrap/>
            <w:tcMar>
              <w:top w:w="15" w:type="dxa"/>
              <w:left w:w="15" w:type="dxa"/>
              <w:bottom w:w="0" w:type="dxa"/>
              <w:right w:w="15" w:type="dxa"/>
            </w:tcMar>
            <w:hideMark/>
          </w:tcPr>
          <w:p w14:paraId="45DDED50"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15</w:t>
            </w:r>
          </w:p>
        </w:tc>
        <w:tc>
          <w:tcPr>
            <w:tcW w:w="851" w:type="dxa"/>
            <w:shd w:val="clear" w:color="auto" w:fill="auto"/>
            <w:noWrap/>
            <w:tcMar>
              <w:top w:w="15" w:type="dxa"/>
              <w:left w:w="15" w:type="dxa"/>
              <w:bottom w:w="0" w:type="dxa"/>
              <w:right w:w="15" w:type="dxa"/>
            </w:tcMar>
            <w:hideMark/>
          </w:tcPr>
          <w:p w14:paraId="6DE5DEBE"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Hip</w:t>
            </w:r>
          </w:p>
        </w:tc>
        <w:tc>
          <w:tcPr>
            <w:tcW w:w="850" w:type="dxa"/>
            <w:shd w:val="clear" w:color="auto" w:fill="auto"/>
            <w:noWrap/>
            <w:tcMar>
              <w:top w:w="15" w:type="dxa"/>
              <w:left w:w="15" w:type="dxa"/>
              <w:bottom w:w="0" w:type="dxa"/>
              <w:right w:w="15" w:type="dxa"/>
            </w:tcMar>
            <w:hideMark/>
          </w:tcPr>
          <w:p w14:paraId="269F0035" w14:textId="7A2EDD25" w:rsidR="00A51E3B" w:rsidRPr="00000DD3" w:rsidRDefault="00A51E3B" w:rsidP="00A94D33">
            <w:pPr>
              <w:spacing w:line="360" w:lineRule="auto"/>
              <w:jc w:val="both"/>
              <w:rPr>
                <w:rFonts w:ascii="Book Antiqua" w:hAnsi="Book Antiqua"/>
                <w:noProof/>
              </w:rPr>
            </w:pPr>
            <w:r w:rsidRPr="00000DD3">
              <w:rPr>
                <w:rFonts w:ascii="Book Antiqua" w:hAnsi="Book Antiqua"/>
                <w:noProof/>
              </w:rPr>
              <w:t>0, 30, 90, 180 d</w:t>
            </w:r>
          </w:p>
        </w:tc>
        <w:tc>
          <w:tcPr>
            <w:tcW w:w="2835" w:type="dxa"/>
            <w:shd w:val="clear" w:color="auto" w:fill="auto"/>
            <w:noWrap/>
            <w:tcMar>
              <w:top w:w="15" w:type="dxa"/>
              <w:left w:w="15" w:type="dxa"/>
              <w:bottom w:w="0" w:type="dxa"/>
              <w:right w:w="15" w:type="dxa"/>
            </w:tcMar>
            <w:hideMark/>
          </w:tcPr>
          <w:p w14:paraId="3CD7BB5C"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Gait analysis</w:t>
            </w:r>
          </w:p>
        </w:tc>
        <w:tc>
          <w:tcPr>
            <w:tcW w:w="992" w:type="dxa"/>
            <w:shd w:val="clear" w:color="auto" w:fill="auto"/>
            <w:noWrap/>
            <w:tcMar>
              <w:top w:w="15" w:type="dxa"/>
              <w:left w:w="15" w:type="dxa"/>
              <w:bottom w:w="0" w:type="dxa"/>
              <w:right w:w="15" w:type="dxa"/>
            </w:tcMar>
            <w:hideMark/>
          </w:tcPr>
          <w:p w14:paraId="70BE930B" w14:textId="2A05C5EF" w:rsidR="00B436EA" w:rsidRPr="00000DD3" w:rsidRDefault="00A51E3B" w:rsidP="00874B98">
            <w:pPr>
              <w:spacing w:line="360" w:lineRule="auto"/>
              <w:jc w:val="both"/>
              <w:rPr>
                <w:rFonts w:ascii="Book Antiqua" w:hAnsi="Book Antiqua"/>
                <w:noProof/>
              </w:rPr>
            </w:pPr>
            <w:r w:rsidRPr="00000DD3">
              <w:rPr>
                <w:rFonts w:ascii="Book Antiqua" w:hAnsi="Book Antiqua"/>
                <w:noProof/>
              </w:rPr>
              <w:t>Vilar</w:t>
            </w:r>
          </w:p>
          <w:p w14:paraId="3B3B848D" w14:textId="3F3D3422" w:rsidR="00A51E3B" w:rsidRPr="00000DD3" w:rsidRDefault="00A51E3B" w:rsidP="00A94D33">
            <w:pPr>
              <w:spacing w:line="360" w:lineRule="auto"/>
              <w:jc w:val="both"/>
              <w:rPr>
                <w:rFonts w:ascii="Book Antiqua" w:hAnsi="Book Antiqua"/>
                <w:noProof/>
              </w:rPr>
            </w:pPr>
            <w:r w:rsidRPr="00000DD3">
              <w:rPr>
                <w:rFonts w:ascii="Book Antiqua" w:hAnsi="Book Antiqua"/>
                <w:i/>
                <w:iCs/>
                <w:noProof/>
              </w:rPr>
              <w:t>et al</w:t>
            </w:r>
            <w:r w:rsidR="00A94D33" w:rsidRPr="00000DD3">
              <w:rPr>
                <w:rFonts w:ascii="Book Antiqua" w:hAnsi="Book Antiqua"/>
                <w:noProof/>
              </w:rPr>
              <w:fldChar w:fldCharType="begin" w:fldLock="1"/>
            </w:r>
            <w:r w:rsidR="00A94D33" w:rsidRPr="00000DD3">
              <w:rPr>
                <w:rFonts w:ascii="Book Antiqua" w:hAnsi="Book Antiqua"/>
                <w:noProof/>
              </w:rPr>
              <w:instrText>ADDIN CSL_CITATION {"citationItems":[{"id":"ITEM-1","itemData":{"DOI":"10.1186/1746-6148-10-143","PMID":"24984756","abstract":"Regenerative medicine using Mesenchymal Stem Cells (MSC) alone or combined with Plasma Rich in Growth Factors (PRGF) is a rapidly growing area of clinical research and is currently also being used to treat osteoarthritis (OA). Force platform analysis has been consistently used to verify and quantify the efficacy of different therapeutic strategies for the treatment of OA in dogs including MSC associated to PRGF, but never with AD-MSC alone. The aim of this study was to use a force platform to measure the efficacy of intraarticular ADMSC administration for limb function improvement in dogs with severe OA. Ten lame dogs with severe hip OA and a control group of 5 sound dogs were used for this study. Results were statistically analyzed to detect a significant increase in peak vertical force (PVF) and vertical impulse (VI) in treated dogs. Mean values of PVF and VI were significantly improved within the first three months post-treatment in the OA group, increasing 9% and 2.5% body weight, respectively, at day 30. After this, the effect seems to decrease reaching initial values. Intraarticular ADMSC therapy objectively improved limb function in dogs with hip OA. The duration of maximal effect was less than 3 months.","author":[{"dropping-particle":"","family":"Vilar","given":"Jose M","non-dropping-particle":"","parse-names":false,"suffix":""},{"dropping-particle":"","family":"Batista","given":"Miguel","non-dropping-particle":"","parse-names":false,"suffix":""},{"dropping-particle":"","family":"Morales","given":"Manuel","non-dropping-particle":"","parse-names":false,"suffix":""},{"dropping-particle":"","family":"Santana","given":"Angelo","non-dropping-particle":"","parse-names":false,"suffix":""},{"dropping-particle":"","family":"Cuervo","given":"Belén","non-dropping-particle":"","parse-names":false,"suffix":""},{"dropping-particle":"","family":"Rubio","given":"Mónica","non-dropping-particle":"","parse-names":false,"suffix":""},{"dropping-particle":"","family":"Cugat","given":"Ramón","non-dropping-particle":"","parse-names":false,"suffix":""},{"dropping-particle":"","family":"Sopena","given":"Joaquín","non-dropping-particle":"","parse-names":false,"suffix":""},{"dropping-particle":"","family":"Carrillo","given":"Jose M","non-dropping-particle":"","parse-names":false,"suffix":""}],"container-title":"BMC Veterinary Research","id":"ITEM-1","issue":"1","issued":{"date-parts":[["2014"]]},"title":"Assessment of the effect of intraarticular injection of autologous adipose-derived mesenchymal stem cells in osteoarthritic dogs using a double blinded force platform analysis","type":"article-journal","volume":"10"},"uris":["http://www.mendeley.com/documents/?uuid=29205710-834d-3482-850a-6ac42a5e021a"]}],"mendeley":{"formattedCitation":"&lt;sup&gt;[108]&lt;/sup&gt;","plainTextFormattedCitation":"[108]","previouslyFormattedCitation":"&lt;sup&gt;[108]&lt;/sup&gt;"},"properties":{"noteIndex":0},"schema":"https://github.com/citation-style-language/schema/raw/master/csl-citation.json"}</w:instrText>
            </w:r>
            <w:r w:rsidR="00A94D33" w:rsidRPr="00000DD3">
              <w:rPr>
                <w:rFonts w:ascii="Book Antiqua" w:hAnsi="Book Antiqua"/>
                <w:noProof/>
              </w:rPr>
              <w:fldChar w:fldCharType="separate"/>
            </w:r>
            <w:r w:rsidR="00A94D33" w:rsidRPr="00000DD3">
              <w:rPr>
                <w:rFonts w:ascii="Book Antiqua" w:hAnsi="Book Antiqua"/>
                <w:noProof/>
                <w:vertAlign w:val="superscript"/>
              </w:rPr>
              <w:t>[108]</w:t>
            </w:r>
            <w:r w:rsidR="00A94D33" w:rsidRPr="00000DD3">
              <w:rPr>
                <w:rFonts w:ascii="Book Antiqua" w:hAnsi="Book Antiqua"/>
                <w:noProof/>
              </w:rPr>
              <w:fldChar w:fldCharType="end"/>
            </w:r>
            <w:r w:rsidRPr="00000DD3">
              <w:rPr>
                <w:rFonts w:ascii="Book Antiqua" w:hAnsi="Book Antiqua"/>
                <w:noProof/>
              </w:rPr>
              <w:t>, 2014</w:t>
            </w:r>
          </w:p>
        </w:tc>
      </w:tr>
      <w:tr w:rsidR="00874B98" w:rsidRPr="00000DD3" w14:paraId="69E4897F" w14:textId="77777777" w:rsidTr="005A52F4">
        <w:trPr>
          <w:trHeight w:val="320"/>
        </w:trPr>
        <w:tc>
          <w:tcPr>
            <w:tcW w:w="851" w:type="dxa"/>
            <w:shd w:val="clear" w:color="auto" w:fill="auto"/>
            <w:noWrap/>
            <w:tcMar>
              <w:top w:w="15" w:type="dxa"/>
              <w:left w:w="15" w:type="dxa"/>
              <w:bottom w:w="0" w:type="dxa"/>
              <w:right w:w="15" w:type="dxa"/>
            </w:tcMar>
            <w:hideMark/>
          </w:tcPr>
          <w:p w14:paraId="6D3D287C"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Adipose tissue</w:t>
            </w:r>
          </w:p>
        </w:tc>
        <w:tc>
          <w:tcPr>
            <w:tcW w:w="1134" w:type="dxa"/>
            <w:shd w:val="clear" w:color="auto" w:fill="auto"/>
            <w:noWrap/>
            <w:tcMar>
              <w:top w:w="15" w:type="dxa"/>
              <w:left w:w="15" w:type="dxa"/>
              <w:bottom w:w="0" w:type="dxa"/>
              <w:right w:w="15" w:type="dxa"/>
            </w:tcMar>
            <w:hideMark/>
          </w:tcPr>
          <w:p w14:paraId="5E4719F3"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Acupoint injection, allogeneic</w:t>
            </w:r>
          </w:p>
        </w:tc>
        <w:tc>
          <w:tcPr>
            <w:tcW w:w="992" w:type="dxa"/>
            <w:shd w:val="clear" w:color="auto" w:fill="auto"/>
            <w:noWrap/>
            <w:tcMar>
              <w:top w:w="15" w:type="dxa"/>
              <w:left w:w="15" w:type="dxa"/>
              <w:bottom w:w="0" w:type="dxa"/>
              <w:right w:w="15" w:type="dxa"/>
            </w:tcMar>
            <w:hideMark/>
          </w:tcPr>
          <w:p w14:paraId="68BB77AF"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0.2-0.8</w:t>
            </w:r>
          </w:p>
        </w:tc>
        <w:tc>
          <w:tcPr>
            <w:tcW w:w="851" w:type="dxa"/>
            <w:shd w:val="clear" w:color="auto" w:fill="auto"/>
            <w:noWrap/>
            <w:tcMar>
              <w:top w:w="15" w:type="dxa"/>
              <w:left w:w="15" w:type="dxa"/>
              <w:bottom w:w="0" w:type="dxa"/>
              <w:right w:w="15" w:type="dxa"/>
            </w:tcMar>
            <w:hideMark/>
          </w:tcPr>
          <w:p w14:paraId="7AEB70CD"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Hip</w:t>
            </w:r>
          </w:p>
        </w:tc>
        <w:tc>
          <w:tcPr>
            <w:tcW w:w="850" w:type="dxa"/>
            <w:shd w:val="clear" w:color="auto" w:fill="auto"/>
            <w:noWrap/>
            <w:tcMar>
              <w:top w:w="15" w:type="dxa"/>
              <w:left w:w="15" w:type="dxa"/>
              <w:bottom w:w="0" w:type="dxa"/>
              <w:right w:w="15" w:type="dxa"/>
            </w:tcMar>
            <w:hideMark/>
          </w:tcPr>
          <w:p w14:paraId="35536ED2" w14:textId="72E6C8E1" w:rsidR="00A51E3B" w:rsidRPr="00000DD3" w:rsidRDefault="00A51E3B" w:rsidP="00A94D33">
            <w:pPr>
              <w:spacing w:line="360" w:lineRule="auto"/>
              <w:jc w:val="both"/>
              <w:rPr>
                <w:rFonts w:ascii="Book Antiqua" w:hAnsi="Book Antiqua"/>
                <w:noProof/>
              </w:rPr>
            </w:pPr>
            <w:r w:rsidRPr="00000DD3">
              <w:rPr>
                <w:rFonts w:ascii="Book Antiqua" w:hAnsi="Book Antiqua"/>
                <w:noProof/>
              </w:rPr>
              <w:t>7, 15, 30 d</w:t>
            </w:r>
          </w:p>
        </w:tc>
        <w:tc>
          <w:tcPr>
            <w:tcW w:w="2835" w:type="dxa"/>
            <w:shd w:val="clear" w:color="auto" w:fill="auto"/>
            <w:noWrap/>
            <w:tcMar>
              <w:top w:w="15" w:type="dxa"/>
              <w:left w:w="15" w:type="dxa"/>
              <w:bottom w:w="0" w:type="dxa"/>
              <w:right w:w="15" w:type="dxa"/>
            </w:tcMar>
            <w:hideMark/>
          </w:tcPr>
          <w:p w14:paraId="5CCF3BFD"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Pain, functional disability, range of motion</w:t>
            </w:r>
          </w:p>
        </w:tc>
        <w:tc>
          <w:tcPr>
            <w:tcW w:w="992" w:type="dxa"/>
            <w:shd w:val="clear" w:color="auto" w:fill="auto"/>
            <w:noWrap/>
            <w:tcMar>
              <w:top w:w="15" w:type="dxa"/>
              <w:left w:w="15" w:type="dxa"/>
              <w:bottom w:w="0" w:type="dxa"/>
              <w:right w:w="15" w:type="dxa"/>
            </w:tcMar>
            <w:hideMark/>
          </w:tcPr>
          <w:p w14:paraId="7D1CDE58" w14:textId="4898D67A" w:rsidR="00B436EA" w:rsidRPr="00000DD3" w:rsidRDefault="00540162" w:rsidP="00874B98">
            <w:pPr>
              <w:spacing w:line="360" w:lineRule="auto"/>
              <w:jc w:val="both"/>
              <w:rPr>
                <w:rFonts w:ascii="Book Antiqua" w:hAnsi="Book Antiqua"/>
                <w:noProof/>
              </w:rPr>
            </w:pPr>
            <w:r w:rsidRPr="00000DD3">
              <w:rPr>
                <w:rFonts w:ascii="Book Antiqua" w:hAnsi="Book Antiqua"/>
                <w:noProof/>
              </w:rPr>
              <w:t>Marx</w:t>
            </w:r>
          </w:p>
          <w:p w14:paraId="153D409D" w14:textId="52F97F63" w:rsidR="00A51E3B" w:rsidRPr="00000DD3" w:rsidRDefault="00A51E3B" w:rsidP="00A94D33">
            <w:pPr>
              <w:spacing w:line="360" w:lineRule="auto"/>
              <w:jc w:val="both"/>
              <w:rPr>
                <w:rFonts w:ascii="Book Antiqua" w:hAnsi="Book Antiqua"/>
                <w:noProof/>
              </w:rPr>
            </w:pPr>
            <w:r w:rsidRPr="00000DD3">
              <w:rPr>
                <w:rFonts w:ascii="Book Antiqua" w:hAnsi="Book Antiqua"/>
                <w:i/>
                <w:iCs/>
                <w:noProof/>
              </w:rPr>
              <w:t>et al</w:t>
            </w:r>
            <w:r w:rsidR="00A94D33" w:rsidRPr="00000DD3">
              <w:rPr>
                <w:rFonts w:ascii="Book Antiqua" w:hAnsi="Book Antiqua"/>
                <w:noProof/>
              </w:rPr>
              <w:fldChar w:fldCharType="begin" w:fldLock="1"/>
            </w:r>
            <w:r w:rsidR="00A94D33" w:rsidRPr="00000DD3">
              <w:rPr>
                <w:rFonts w:ascii="Book Antiqua" w:hAnsi="Book Antiqua"/>
                <w:noProof/>
              </w:rPr>
              <w:instrText>ADDIN CSL_CITATION {"citationItems":[{"id":"ITEM-1","itemData":{"DOI":"10.1155/2014/391274","ISBN":"1687-966X (Print)","ISSN":"16879678","PMID":"25180040","abstract":"Stem cells isolated from adipose tissue show great therapeutic potential in veterinary medicine, but some points such as the use of fresh or cultured cells and route of administration need better knowledge. This study aimed to evaluate the effect of autologous stromal vascular fraction (SVF, n = 4) or allogeneic cultured adipose-derived stem cells (ASCs, n = 5) injected into acupuncture points in dogs with hip dysplasia and weak response to drug therapy. Canine ASCs have proliferation and differentiation potential similar to ASCs from other species. After the first week of treatment, clinical evaluation showed marked improvement compared with baseline results in all patients treated with autologous SVF and three of the dogs treated with allogeneic ASCs. On days 15 and 30, all dogs showed improvement in range of motion, lameness at trot, and pain on manipulation of the joints, except for one ASC-treated patient. Positive results were more clearly seen in the SVF-treated group. These results show that autologous SVF or allogeneic ASCs can be safely used in acupoint injection for treating hip dysplasia in dogs and represent an important therapeutic alternative for this type of pathology. Further studies are necessary to assess a possible advantage of SVF cells in treating joint diseases.","author":[{"dropping-particle":"","family":"Marx","given":"Camila","non-dropping-particle":"","parse-names":false,"suffix":""},{"dropping-particle":"","family":"Silveira","given":"Maiele Dornelles","non-dropping-particle":"","parse-names":false,"suffix":""},{"dropping-particle":"","family":"Selbach","given":"Isabel","non-dropping-particle":"","parse-names":false,"suffix":""},{"dropping-particle":"","family":"Silva","given":"Ariel Silveira","non-dropping-particle":"Da","parse-names":false,"suffix":""},{"dropping-particle":"","family":"Braga","given":"Luisa Maria Gomes De Macedo","non-dropping-particle":"","parse-names":false,"suffix":""},{"dropping-particle":"","family":"Camassola","given":"Melissa","non-dropping-particle":"","parse-names":false,"suffix":""},{"dropping-particle":"","family":"Nardi","given":"Nance Beyer","non-dropping-particle":"","parse-names":false,"suffix":""}],"container-title":"Stem Cells International","id":"ITEM-1","issued":{"date-parts":[["2014"]]},"title":"Acupoint injection of autologous stromal vascular fraction and allogeneic adipose-derived stem cells to treat hip dysplasia in dogs","type":"article-journal","volume":"2014"},"uris":["http://www.mendeley.com/documents/?uuid=88d03a7a-fa3f-39d4-b857-aa58be5229b7"]}],"mendeley":{"formattedCitation":"&lt;sup&gt;[106]&lt;/sup&gt;","plainTextFormattedCitation":"[106]","previouslyFormattedCitation":"&lt;sup&gt;[106]&lt;/sup&gt;"},"properties":{"noteIndex":0},"schema":"https://github.com/citation-style-language/schema/raw/master/csl-citation.json"}</w:instrText>
            </w:r>
            <w:r w:rsidR="00A94D33" w:rsidRPr="00000DD3">
              <w:rPr>
                <w:rFonts w:ascii="Book Antiqua" w:hAnsi="Book Antiqua"/>
                <w:noProof/>
              </w:rPr>
              <w:fldChar w:fldCharType="separate"/>
            </w:r>
            <w:r w:rsidR="00A94D33" w:rsidRPr="00000DD3">
              <w:rPr>
                <w:rFonts w:ascii="Book Antiqua" w:hAnsi="Book Antiqua"/>
                <w:noProof/>
                <w:vertAlign w:val="superscript"/>
              </w:rPr>
              <w:t>[106]</w:t>
            </w:r>
            <w:r w:rsidR="00A94D33" w:rsidRPr="00000DD3">
              <w:rPr>
                <w:rFonts w:ascii="Book Antiqua" w:hAnsi="Book Antiqua"/>
                <w:noProof/>
              </w:rPr>
              <w:fldChar w:fldCharType="end"/>
            </w:r>
            <w:r w:rsidRPr="00000DD3">
              <w:rPr>
                <w:rFonts w:ascii="Book Antiqua" w:hAnsi="Book Antiqua"/>
                <w:noProof/>
              </w:rPr>
              <w:t>, 2014</w:t>
            </w:r>
          </w:p>
        </w:tc>
      </w:tr>
      <w:tr w:rsidR="00874B98" w:rsidRPr="00000DD3" w14:paraId="139F2349" w14:textId="77777777" w:rsidTr="005A52F4">
        <w:trPr>
          <w:trHeight w:val="320"/>
        </w:trPr>
        <w:tc>
          <w:tcPr>
            <w:tcW w:w="851" w:type="dxa"/>
            <w:shd w:val="clear" w:color="auto" w:fill="auto"/>
            <w:noWrap/>
            <w:tcMar>
              <w:top w:w="15" w:type="dxa"/>
              <w:left w:w="15" w:type="dxa"/>
              <w:bottom w:w="0" w:type="dxa"/>
              <w:right w:w="15" w:type="dxa"/>
            </w:tcMar>
            <w:hideMark/>
          </w:tcPr>
          <w:p w14:paraId="7F7BAB65"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Adipose tissue</w:t>
            </w:r>
          </w:p>
        </w:tc>
        <w:tc>
          <w:tcPr>
            <w:tcW w:w="1134" w:type="dxa"/>
            <w:shd w:val="clear" w:color="auto" w:fill="auto"/>
            <w:noWrap/>
            <w:tcMar>
              <w:top w:w="15" w:type="dxa"/>
              <w:left w:w="15" w:type="dxa"/>
              <w:bottom w:w="0" w:type="dxa"/>
              <w:right w:w="15" w:type="dxa"/>
            </w:tcMar>
            <w:hideMark/>
          </w:tcPr>
          <w:p w14:paraId="466B2EDD"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Single intraarticular, allogeneic</w:t>
            </w:r>
          </w:p>
        </w:tc>
        <w:tc>
          <w:tcPr>
            <w:tcW w:w="992" w:type="dxa"/>
            <w:shd w:val="clear" w:color="auto" w:fill="auto"/>
            <w:noWrap/>
            <w:tcMar>
              <w:top w:w="15" w:type="dxa"/>
              <w:left w:w="15" w:type="dxa"/>
              <w:bottom w:w="0" w:type="dxa"/>
              <w:right w:w="15" w:type="dxa"/>
            </w:tcMar>
            <w:hideMark/>
          </w:tcPr>
          <w:p w14:paraId="18F1A0CA"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12</w:t>
            </w:r>
          </w:p>
        </w:tc>
        <w:tc>
          <w:tcPr>
            <w:tcW w:w="851" w:type="dxa"/>
            <w:shd w:val="clear" w:color="auto" w:fill="auto"/>
            <w:noWrap/>
            <w:tcMar>
              <w:top w:w="15" w:type="dxa"/>
              <w:left w:w="15" w:type="dxa"/>
              <w:bottom w:w="0" w:type="dxa"/>
              <w:right w:w="15" w:type="dxa"/>
            </w:tcMar>
            <w:hideMark/>
          </w:tcPr>
          <w:p w14:paraId="08B22A52" w14:textId="2F1D8961" w:rsidR="00A51E3B" w:rsidRPr="00000DD3" w:rsidRDefault="00A51E3B" w:rsidP="00874B98">
            <w:pPr>
              <w:spacing w:line="360" w:lineRule="auto"/>
              <w:jc w:val="both"/>
              <w:rPr>
                <w:rFonts w:ascii="Book Antiqua" w:hAnsi="Book Antiqua"/>
                <w:noProof/>
              </w:rPr>
            </w:pPr>
            <w:r w:rsidRPr="00000DD3">
              <w:rPr>
                <w:rFonts w:ascii="Book Antiqua" w:hAnsi="Book Antiqua"/>
                <w:noProof/>
              </w:rPr>
              <w:t>Hip, elbow, stifle, shoulder</w:t>
            </w:r>
          </w:p>
        </w:tc>
        <w:tc>
          <w:tcPr>
            <w:tcW w:w="850" w:type="dxa"/>
            <w:shd w:val="clear" w:color="auto" w:fill="auto"/>
            <w:noWrap/>
            <w:tcMar>
              <w:top w:w="15" w:type="dxa"/>
              <w:left w:w="15" w:type="dxa"/>
              <w:bottom w:w="0" w:type="dxa"/>
              <w:right w:w="15" w:type="dxa"/>
            </w:tcMar>
            <w:hideMark/>
          </w:tcPr>
          <w:p w14:paraId="360E4376" w14:textId="1AB54412" w:rsidR="00A51E3B" w:rsidRPr="00000DD3" w:rsidRDefault="00A51E3B" w:rsidP="00A94D33">
            <w:pPr>
              <w:spacing w:line="360" w:lineRule="auto"/>
              <w:jc w:val="both"/>
              <w:rPr>
                <w:rFonts w:ascii="Book Antiqua" w:hAnsi="Book Antiqua"/>
                <w:noProof/>
              </w:rPr>
            </w:pPr>
            <w:r w:rsidRPr="00000DD3">
              <w:rPr>
                <w:rFonts w:ascii="Book Antiqua" w:hAnsi="Book Antiqua"/>
                <w:noProof/>
              </w:rPr>
              <w:t>60 d</w:t>
            </w:r>
          </w:p>
        </w:tc>
        <w:tc>
          <w:tcPr>
            <w:tcW w:w="2835" w:type="dxa"/>
            <w:shd w:val="clear" w:color="auto" w:fill="auto"/>
            <w:noWrap/>
            <w:tcMar>
              <w:top w:w="15" w:type="dxa"/>
              <w:left w:w="15" w:type="dxa"/>
              <w:bottom w:w="0" w:type="dxa"/>
              <w:right w:w="15" w:type="dxa"/>
            </w:tcMar>
            <w:hideMark/>
          </w:tcPr>
          <w:p w14:paraId="5C3EDE22"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Pain, owner questionnaire</w:t>
            </w:r>
          </w:p>
        </w:tc>
        <w:tc>
          <w:tcPr>
            <w:tcW w:w="992" w:type="dxa"/>
            <w:shd w:val="clear" w:color="auto" w:fill="auto"/>
            <w:noWrap/>
            <w:tcMar>
              <w:top w:w="15" w:type="dxa"/>
              <w:left w:w="15" w:type="dxa"/>
              <w:bottom w:w="0" w:type="dxa"/>
              <w:right w:w="15" w:type="dxa"/>
            </w:tcMar>
            <w:hideMark/>
          </w:tcPr>
          <w:p w14:paraId="05D6B5D5" w14:textId="7082DE7D" w:rsidR="00B436EA" w:rsidRPr="00000DD3" w:rsidRDefault="00A51E3B" w:rsidP="00874B98">
            <w:pPr>
              <w:spacing w:line="360" w:lineRule="auto"/>
              <w:jc w:val="both"/>
              <w:rPr>
                <w:rFonts w:ascii="Book Antiqua" w:hAnsi="Book Antiqua"/>
                <w:noProof/>
              </w:rPr>
            </w:pPr>
            <w:r w:rsidRPr="00000DD3">
              <w:rPr>
                <w:rFonts w:ascii="Book Antiqua" w:hAnsi="Book Antiqua"/>
                <w:noProof/>
              </w:rPr>
              <w:t>Harman</w:t>
            </w:r>
          </w:p>
          <w:p w14:paraId="72DC9724" w14:textId="6BCE9DA6" w:rsidR="00A51E3B" w:rsidRPr="00000DD3" w:rsidRDefault="00A51E3B" w:rsidP="00A94D33">
            <w:pPr>
              <w:spacing w:line="360" w:lineRule="auto"/>
              <w:jc w:val="both"/>
              <w:rPr>
                <w:rFonts w:ascii="Book Antiqua" w:hAnsi="Book Antiqua"/>
                <w:noProof/>
              </w:rPr>
            </w:pPr>
            <w:r w:rsidRPr="00000DD3">
              <w:rPr>
                <w:rFonts w:ascii="Book Antiqua" w:hAnsi="Book Antiqua"/>
                <w:i/>
                <w:iCs/>
                <w:noProof/>
              </w:rPr>
              <w:t>et al</w:t>
            </w:r>
            <w:r w:rsidR="00A94D33" w:rsidRPr="00000DD3">
              <w:rPr>
                <w:rFonts w:ascii="Book Antiqua" w:hAnsi="Book Antiqua"/>
                <w:noProof/>
              </w:rPr>
              <w:fldChar w:fldCharType="begin" w:fldLock="1"/>
            </w:r>
            <w:r w:rsidR="00A94D33" w:rsidRPr="00000DD3">
              <w:rPr>
                <w:rFonts w:ascii="Book Antiqua" w:hAnsi="Book Antiqua"/>
                <w:noProof/>
              </w:rPr>
              <w:instrText>ADDIN CSL_CITATION {"citationItems":[{"id":"ITEM-1","itemData":{"DOI":"10.3389/fvets.2016.00081","ISSN":"2297-1769","PMID":"27695698","abstract":"Osteoarthritis (OA) is a degenerative joint disease with a high prevalence in dogs. Mesenchymal stem cells (MSCs) have been used to treat humans, dogs, and horses with OA. This report describes a prospective, randomized, blinded, and placebo-controlled clinical efficacy study of intraarticular allogeneic adipose stem cells for the treatment of dogs with OA. Health assessments and measurements of pain and activity impairment were performed at baseline and at selected time points through day 60. The primary outcome variable was the owner Client-Specific Outcome Measurement (CSOM) and secondary measures included veterinary pain on manipulation, veterinary global score, and owner global score. The dogs were treated with either a saline placebo or a single dose of allogeneic adipose-derived MSCs in either one or two joints. Seventy-four dogs were statistically analyzed for efficacy outcomes. Success in the primary outcome variable, CSOM, was statistically improved in the treated dogs compared to the placebo dogs (79.2 versus 55.4%, p = 0.029). The veterinary pain on manipulation score (92.8 versus 50.2%, p = 0.017) and the veterinary global score (86.9 versus 30.8%, p = 0.009) were both statistically improved in treated dogs compared to placebo. There was no detected significant difference between treated and placebo dogs in the incidence of adverse events or negative health findings. Allogeneic adipose-derived stem cell treatment was shown to be efficacious compared to placebo. This large study of dogs also provides valuable animal clinical safety and efficacy outcome data to our colleagues developing human stem cell therapy.","author":[{"dropping-particle":"","family":"Harman","given":"Robert","non-dropping-particle":"","parse-names":false,"suffix":""},{"dropping-particle":"","family":"Carlson","given":"Kim","non-dropping-particle":"","parse-names":false,"suffix":""},{"dropping-particle":"","family":"Gaynor","given":"Jamie","non-dropping-particle":"","parse-names":false,"suffix":""},{"dropping-particle":"","family":"Gustafson","given":"Scott","non-dropping-particle":"","parse-names":false,"suffix":""},{"dropping-particle":"","family":"Dhupa","given":"Sarit","non-dropping-particle":"","parse-names":false,"suffix":""},{"dropping-particle":"","family":"Clement","given":"Keith","non-dropping-particle":"","parse-names":false,"suffix":""},{"dropping-particle":"","family":"Hoelzler","given":"Michael","non-dropping-particle":"","parse-names":false,"suffix":""},{"dropping-particle":"","family":"McCarthy","given":"Tim","non-dropping-particle":"","parse-names":false,"suffix":""},{"dropping-particle":"","family":"Schwartz","given":"Pamela","non-dropping-particle":"","parse-names":false,"suffix":""},{"dropping-particle":"","family":"Adams","given":"Cheryl","non-dropping-particle":"","parse-names":false,"suffix":""}],"container-title":"Frontiers in Veterinary Science","id":"ITEM-1","issue":"81","issued":{"date-parts":[["2016"]]},"title":"A prospective, randomized, masked, and placebo-controlled efficacy study of intraarticular allogeneic adipose stem cells for the treatment of osteoarthritis in dogs","type":"article-journal","volume":"3"},"uris":["http://www.mendeley.com/documents/?uuid=0c881c4b-c3e1-4359-9dff-8fe4bf27d9f8"]}],"mendeley":{"formattedCitation":"&lt;sup&gt;[123]&lt;/sup&gt;","plainTextFormattedCitation":"[123]","previouslyFormattedCitation":"&lt;sup&gt;[123]&lt;/sup&gt;"},"properties":{"noteIndex":0},"schema":"https://github.com/citation-style-language/schema/raw/master/csl-citation.json"}</w:instrText>
            </w:r>
            <w:r w:rsidR="00A94D33" w:rsidRPr="00000DD3">
              <w:rPr>
                <w:rFonts w:ascii="Book Antiqua" w:hAnsi="Book Antiqua"/>
                <w:noProof/>
              </w:rPr>
              <w:fldChar w:fldCharType="separate"/>
            </w:r>
            <w:r w:rsidR="00A94D33" w:rsidRPr="00000DD3">
              <w:rPr>
                <w:rFonts w:ascii="Book Antiqua" w:hAnsi="Book Antiqua"/>
                <w:noProof/>
                <w:vertAlign w:val="superscript"/>
              </w:rPr>
              <w:t>[123]</w:t>
            </w:r>
            <w:r w:rsidR="00A94D33" w:rsidRPr="00000DD3">
              <w:rPr>
                <w:rFonts w:ascii="Book Antiqua" w:hAnsi="Book Antiqua"/>
                <w:noProof/>
              </w:rPr>
              <w:fldChar w:fldCharType="end"/>
            </w:r>
            <w:r w:rsidRPr="00000DD3">
              <w:rPr>
                <w:rFonts w:ascii="Book Antiqua" w:hAnsi="Book Antiqua"/>
                <w:noProof/>
              </w:rPr>
              <w:t>, 2016</w:t>
            </w:r>
          </w:p>
        </w:tc>
      </w:tr>
      <w:tr w:rsidR="00874B98" w:rsidRPr="00000DD3" w14:paraId="05E0EF09" w14:textId="77777777" w:rsidTr="005A52F4">
        <w:trPr>
          <w:trHeight w:val="320"/>
        </w:trPr>
        <w:tc>
          <w:tcPr>
            <w:tcW w:w="851" w:type="dxa"/>
            <w:shd w:val="clear" w:color="auto" w:fill="auto"/>
            <w:noWrap/>
            <w:tcMar>
              <w:top w:w="15" w:type="dxa"/>
              <w:left w:w="15" w:type="dxa"/>
              <w:bottom w:w="0" w:type="dxa"/>
              <w:right w:w="15" w:type="dxa"/>
            </w:tcMar>
            <w:hideMark/>
          </w:tcPr>
          <w:p w14:paraId="5B196DE0"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Bone marrow</w:t>
            </w:r>
          </w:p>
        </w:tc>
        <w:tc>
          <w:tcPr>
            <w:tcW w:w="1134" w:type="dxa"/>
            <w:shd w:val="clear" w:color="auto" w:fill="auto"/>
            <w:noWrap/>
            <w:tcMar>
              <w:top w:w="15" w:type="dxa"/>
              <w:left w:w="15" w:type="dxa"/>
              <w:bottom w:w="0" w:type="dxa"/>
              <w:right w:w="15" w:type="dxa"/>
            </w:tcMar>
            <w:hideMark/>
          </w:tcPr>
          <w:p w14:paraId="799919B7"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Single intraarticular and single intravenous, autologous</w:t>
            </w:r>
          </w:p>
        </w:tc>
        <w:tc>
          <w:tcPr>
            <w:tcW w:w="992" w:type="dxa"/>
            <w:shd w:val="clear" w:color="auto" w:fill="auto"/>
            <w:noWrap/>
            <w:tcMar>
              <w:top w:w="15" w:type="dxa"/>
              <w:left w:w="15" w:type="dxa"/>
              <w:bottom w:w="0" w:type="dxa"/>
              <w:right w:w="15" w:type="dxa"/>
            </w:tcMar>
            <w:hideMark/>
          </w:tcPr>
          <w:p w14:paraId="017C7E8A"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5 for intraarticular, 2 for intravenous</w:t>
            </w:r>
          </w:p>
        </w:tc>
        <w:tc>
          <w:tcPr>
            <w:tcW w:w="851" w:type="dxa"/>
            <w:shd w:val="clear" w:color="auto" w:fill="auto"/>
            <w:noWrap/>
            <w:tcMar>
              <w:top w:w="15" w:type="dxa"/>
              <w:left w:w="15" w:type="dxa"/>
              <w:bottom w:w="0" w:type="dxa"/>
              <w:right w:w="15" w:type="dxa"/>
            </w:tcMar>
            <w:hideMark/>
          </w:tcPr>
          <w:p w14:paraId="200F2DC1"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Stifle</w:t>
            </w:r>
          </w:p>
        </w:tc>
        <w:tc>
          <w:tcPr>
            <w:tcW w:w="850" w:type="dxa"/>
            <w:shd w:val="clear" w:color="auto" w:fill="auto"/>
            <w:noWrap/>
            <w:tcMar>
              <w:top w:w="15" w:type="dxa"/>
              <w:left w:w="15" w:type="dxa"/>
              <w:bottom w:w="0" w:type="dxa"/>
              <w:right w:w="15" w:type="dxa"/>
            </w:tcMar>
            <w:hideMark/>
          </w:tcPr>
          <w:p w14:paraId="015B12BF" w14:textId="77F1403A" w:rsidR="00A51E3B" w:rsidRPr="00000DD3" w:rsidRDefault="00A94D33" w:rsidP="00874B98">
            <w:pPr>
              <w:spacing w:line="360" w:lineRule="auto"/>
              <w:jc w:val="both"/>
              <w:rPr>
                <w:rFonts w:ascii="Book Antiqua" w:eastAsia="黑体" w:hAnsi="Book Antiqua"/>
                <w:noProof/>
                <w:lang w:eastAsia="zh-CN"/>
              </w:rPr>
            </w:pPr>
            <w:r w:rsidRPr="00000DD3">
              <w:rPr>
                <w:rFonts w:ascii="Book Antiqua" w:hAnsi="Book Antiqua"/>
                <w:noProof/>
              </w:rPr>
              <w:t>4, 8 wk</w:t>
            </w:r>
          </w:p>
        </w:tc>
        <w:tc>
          <w:tcPr>
            <w:tcW w:w="2835" w:type="dxa"/>
            <w:shd w:val="clear" w:color="auto" w:fill="auto"/>
            <w:noWrap/>
            <w:tcMar>
              <w:top w:w="15" w:type="dxa"/>
              <w:left w:w="15" w:type="dxa"/>
              <w:bottom w:w="0" w:type="dxa"/>
              <w:right w:w="15" w:type="dxa"/>
            </w:tcMar>
            <w:hideMark/>
          </w:tcPr>
          <w:p w14:paraId="1DEAC8E5" w14:textId="24626AF0" w:rsidR="00A51E3B" w:rsidRPr="00000DD3" w:rsidRDefault="00A51E3B" w:rsidP="00874B98">
            <w:pPr>
              <w:spacing w:line="360" w:lineRule="auto"/>
              <w:jc w:val="both"/>
              <w:rPr>
                <w:rFonts w:ascii="Book Antiqua" w:hAnsi="Book Antiqua"/>
                <w:noProof/>
              </w:rPr>
            </w:pPr>
            <w:r w:rsidRPr="00000DD3">
              <w:rPr>
                <w:rFonts w:ascii="Book Antiqua" w:hAnsi="Book Antiqua"/>
                <w:noProof/>
              </w:rPr>
              <w:t>Circulating T lymphocyte, C reactive protein and cytokine concentration, total cell count in synovial</w:t>
            </w:r>
            <w:r w:rsidR="00C70284" w:rsidRPr="00000DD3">
              <w:rPr>
                <w:rFonts w:ascii="Book Antiqua" w:hAnsi="Book Antiqua"/>
                <w:noProof/>
              </w:rPr>
              <w:t xml:space="preserve"> </w:t>
            </w:r>
            <w:r w:rsidRPr="00000DD3">
              <w:rPr>
                <w:rFonts w:ascii="Book Antiqua" w:hAnsi="Book Antiqua"/>
                <w:noProof/>
              </w:rPr>
              <w:t>fluid</w:t>
            </w:r>
          </w:p>
        </w:tc>
        <w:tc>
          <w:tcPr>
            <w:tcW w:w="992" w:type="dxa"/>
            <w:shd w:val="clear" w:color="auto" w:fill="auto"/>
            <w:noWrap/>
            <w:tcMar>
              <w:top w:w="15" w:type="dxa"/>
              <w:left w:w="15" w:type="dxa"/>
              <w:bottom w:w="0" w:type="dxa"/>
              <w:right w:w="15" w:type="dxa"/>
            </w:tcMar>
            <w:hideMark/>
          </w:tcPr>
          <w:p w14:paraId="40762A6D" w14:textId="5D1C57E9" w:rsidR="00B436EA" w:rsidRPr="00000DD3" w:rsidRDefault="00A51E3B" w:rsidP="00874B98">
            <w:pPr>
              <w:spacing w:line="360" w:lineRule="auto"/>
              <w:jc w:val="both"/>
              <w:rPr>
                <w:rFonts w:ascii="Book Antiqua" w:hAnsi="Book Antiqua"/>
                <w:noProof/>
              </w:rPr>
            </w:pPr>
            <w:r w:rsidRPr="00000DD3">
              <w:rPr>
                <w:rFonts w:ascii="Book Antiqua" w:hAnsi="Book Antiqua"/>
                <w:noProof/>
              </w:rPr>
              <w:t>Muir</w:t>
            </w:r>
          </w:p>
          <w:p w14:paraId="5329CE6C" w14:textId="5DECB659" w:rsidR="00A51E3B" w:rsidRPr="00000DD3" w:rsidRDefault="00A51E3B" w:rsidP="00A94D33">
            <w:pPr>
              <w:spacing w:line="360" w:lineRule="auto"/>
              <w:jc w:val="both"/>
              <w:rPr>
                <w:rFonts w:ascii="Book Antiqua" w:hAnsi="Book Antiqua"/>
                <w:noProof/>
              </w:rPr>
            </w:pPr>
            <w:r w:rsidRPr="00000DD3">
              <w:rPr>
                <w:rFonts w:ascii="Book Antiqua" w:hAnsi="Book Antiqua"/>
                <w:i/>
                <w:iCs/>
                <w:noProof/>
              </w:rPr>
              <w:t>et al</w:t>
            </w:r>
            <w:r w:rsidR="00A94D33" w:rsidRPr="00000DD3">
              <w:rPr>
                <w:rFonts w:ascii="Book Antiqua" w:hAnsi="Book Antiqua"/>
                <w:noProof/>
              </w:rPr>
              <w:fldChar w:fldCharType="begin" w:fldLock="1"/>
            </w:r>
            <w:r w:rsidR="00A94D33" w:rsidRPr="00000DD3">
              <w:rPr>
                <w:rFonts w:ascii="Book Antiqua" w:hAnsi="Book Antiqua"/>
                <w:noProof/>
              </w:rPr>
              <w:instrText>ADDIN CSL_CITATION {"citationItems":[{"id":"ITEM-1","itemData":{"DOI":"10.1371/journal.pone.0159095","ISBN":"1932-6203","ISSN":"19326203","PMID":"27575050","abstract":"Mid-substance rupture of the canine cranial cruciate ligament rupture\\n(CR) and associated stifle osteoarthritis (OA) is an important\\nveterinary health problem. CR causes stifle joint instability and\\ncontralateral CR often develops. The dog is an important model for human\\nanterior cruciate ligament (ACL) rupture, where rupture of graft repair\\nor the contralateral ACL is also common. This suggests that both genetic\\nand environmental factors may increase ligament rupture risk. We\\ninvestigated use of bone marrow-derived mesenchymal stem cells (BM-MSCs)\\nto reduce systemic and stifle joint inflammatory responses in dogs with\\nCR. Twelve dogs with unilateral CR and contralateral stable partial CR\\nwere enrolled prospectively. BM-MSCs were collected during surgical\\ntreatment of the unstable CR stifle and culture-expanded. BM-MSCs were\\nsubsequently injected at a dose of 2x10(6) BMMSCs/kg intravenously and\\n5x10(6) BM-MSCs by intra-articular injection of the partial CR stifle.\\nBlood (entry, 4 and 8 weeks) and stifle synovial fluid (entry and 8\\nweeks) were obtained after BM-MSC injection. No adverse events after\\nBM-MSC treatment were detected. Circulating CD8(+) T lymphocytes were\\nlower after BM-MSC injection. Serum C-reactive protein (CRP) was\\ndecreased at 4 weeks and serum CXCL8 was increased at 8 weeks. Synovial\\nCRP in the complete CR stifle was decreased at 8 weeks. Synovial IFN\\ngamma was also lower in both stifles after BM-MSC injection.\\nSynovial/serum CRP ratio at diagnosis in the partial CR stifle was\\nsignificantly correlated with development of a second CR. Systemic and\\nintra-articular injection of autologous BM-MSCs in dogs with partial CR\\nsuppresses systemic and stifle joint inflammation, including CRP\\nconcentrations. Intra-articular injection of autologous BM-MSCs had\\nprofound effects on the correlation and conditional dependencies of\\ncytokines using causal networks. Such treatment effects could ameliorate\\nrisk of a second CR by modifying the stifle joint inflammatory response\\nassociated with cranial cruciate ligament matrix degeneration or damage.","author":[{"dropping-particle":"","family":"Muir","given":"Peter","non-dropping-particle":"","parse-names":false,"suffix":""},{"dropping-particle":"","family":"Hans","given":"Eric C.","non-dropping-particle":"","parse-names":false,"suffix":""},{"dropping-particle":"","family":"Racette","given":"Molly","non-dropping-particle":"","parse-names":false,"suffix":""},{"dropping-particle":"","family":"Volstad","given":"Nicola","non-dropping-particle":"","parse-names":false,"suffix":""},{"dropping-particle":"","family":"Sample","given":"Susannah J.","non-dropping-particle":"","parse-names":false,"suffix":""},{"dropping-particle":"","family":"Heaton","given":"Caitlin","non-dropping-particle":"","parse-names":false,"suffix":""},{"dropping-particle":"","family":"Holzman","given":"Gerianne","non-dropping-particle":"","parse-names":false,"suffix":""},{"dropping-particle":"","family":"Schaefer","given":"Susan L.","non-dropping-particle":"","parse-names":false,"suffix":""},{"dropping-particle":"","family":"Bloom","given":"Debra D.","non-dropping-particle":"","parse-names":false,"suffix":""},{"dropping-particle":"","family":"Bleedorn","given":"Jason A.","non-dropping-particle":"","parse-names":false,"suffix":""},{"dropping-particle":"","family":"Hao","given":"Zhengling","non-dropping-particle":"","parse-names":false,"suffix":""},{"dropping-particle":"","family":"Amene","given":"Ermias","non-dropping-particle":"","parse-names":false,"suffix":""},{"dropping-particle":"","family":"Suresh","given":"M.","non-dropping-particle":"","parse-names":false,"suffix":""},{"dropping-particle":"","family":"Hematti","given":"Peiman","non-dropping-particle":"","parse-names":false,"suffix":""}],"container-title":"PLoS ONE","id":"ITEM-1","issue":"8","issued":{"date-parts":[["2016"]]},"page":"e0159095","title":"Autologous bone marrow-derived mesenchymal stem cells modulate molecular markers of inflammation in dogs with cruciate ligament rupture","type":"article-journal","volume":"11"},"uris":["http://www.mendeley.com/documents/?uuid=4bdefcf8-3444-4521-a8a0-94f2a4fa7416"]}],"mendeley":{"formattedCitation":"&lt;sup&gt;[110]&lt;/sup&gt;","plainTextFormattedCitation":"[110]","previouslyFormattedCitation":"&lt;sup&gt;[110]&lt;/sup&gt;"},"properties":{"noteIndex":0},"schema":"https://github.com/citation-style-language/schema/raw/master/csl-citation.json"}</w:instrText>
            </w:r>
            <w:r w:rsidR="00A94D33" w:rsidRPr="00000DD3">
              <w:rPr>
                <w:rFonts w:ascii="Book Antiqua" w:hAnsi="Book Antiqua"/>
                <w:noProof/>
              </w:rPr>
              <w:fldChar w:fldCharType="separate"/>
            </w:r>
            <w:r w:rsidR="00A94D33" w:rsidRPr="00000DD3">
              <w:rPr>
                <w:rFonts w:ascii="Book Antiqua" w:hAnsi="Book Antiqua"/>
                <w:noProof/>
                <w:vertAlign w:val="superscript"/>
              </w:rPr>
              <w:t>[110]</w:t>
            </w:r>
            <w:r w:rsidR="00A94D33" w:rsidRPr="00000DD3">
              <w:rPr>
                <w:rFonts w:ascii="Book Antiqua" w:hAnsi="Book Antiqua"/>
                <w:noProof/>
              </w:rPr>
              <w:fldChar w:fldCharType="end"/>
            </w:r>
            <w:r w:rsidRPr="00000DD3">
              <w:rPr>
                <w:rFonts w:ascii="Book Antiqua" w:hAnsi="Book Antiqua"/>
                <w:noProof/>
              </w:rPr>
              <w:t>, 2016</w:t>
            </w:r>
          </w:p>
        </w:tc>
      </w:tr>
      <w:tr w:rsidR="00874B98" w:rsidRPr="00000DD3" w14:paraId="7C954A4F" w14:textId="77777777" w:rsidTr="005A52F4">
        <w:trPr>
          <w:trHeight w:val="320"/>
        </w:trPr>
        <w:tc>
          <w:tcPr>
            <w:tcW w:w="851" w:type="dxa"/>
            <w:shd w:val="clear" w:color="auto" w:fill="auto"/>
            <w:noWrap/>
            <w:tcMar>
              <w:top w:w="15" w:type="dxa"/>
              <w:left w:w="15" w:type="dxa"/>
              <w:bottom w:w="0" w:type="dxa"/>
              <w:right w:w="15" w:type="dxa"/>
            </w:tcMar>
            <w:hideMark/>
          </w:tcPr>
          <w:p w14:paraId="213EF208"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Adipose tissue</w:t>
            </w:r>
          </w:p>
        </w:tc>
        <w:tc>
          <w:tcPr>
            <w:tcW w:w="1134" w:type="dxa"/>
            <w:shd w:val="clear" w:color="auto" w:fill="auto"/>
            <w:noWrap/>
            <w:tcMar>
              <w:top w:w="15" w:type="dxa"/>
              <w:left w:w="15" w:type="dxa"/>
              <w:bottom w:w="0" w:type="dxa"/>
              <w:right w:w="15" w:type="dxa"/>
            </w:tcMar>
            <w:hideMark/>
          </w:tcPr>
          <w:p w14:paraId="06D7D482"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Single intraarticular with hyaluronic acid, allogeneic</w:t>
            </w:r>
          </w:p>
        </w:tc>
        <w:tc>
          <w:tcPr>
            <w:tcW w:w="992" w:type="dxa"/>
            <w:shd w:val="clear" w:color="auto" w:fill="auto"/>
            <w:noWrap/>
            <w:tcMar>
              <w:top w:w="15" w:type="dxa"/>
              <w:left w:w="15" w:type="dxa"/>
              <w:bottom w:w="0" w:type="dxa"/>
              <w:right w:w="15" w:type="dxa"/>
            </w:tcMar>
            <w:hideMark/>
          </w:tcPr>
          <w:p w14:paraId="21002A2A"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12</w:t>
            </w:r>
          </w:p>
        </w:tc>
        <w:tc>
          <w:tcPr>
            <w:tcW w:w="851" w:type="dxa"/>
            <w:shd w:val="clear" w:color="auto" w:fill="auto"/>
            <w:noWrap/>
            <w:tcMar>
              <w:top w:w="15" w:type="dxa"/>
              <w:left w:w="15" w:type="dxa"/>
              <w:bottom w:w="0" w:type="dxa"/>
              <w:right w:w="15" w:type="dxa"/>
            </w:tcMar>
            <w:hideMark/>
          </w:tcPr>
          <w:p w14:paraId="1E5E43CF"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Elbow</w:t>
            </w:r>
          </w:p>
        </w:tc>
        <w:tc>
          <w:tcPr>
            <w:tcW w:w="850" w:type="dxa"/>
            <w:shd w:val="clear" w:color="auto" w:fill="auto"/>
            <w:noWrap/>
            <w:tcMar>
              <w:top w:w="15" w:type="dxa"/>
              <w:left w:w="15" w:type="dxa"/>
              <w:bottom w:w="0" w:type="dxa"/>
              <w:right w:w="15" w:type="dxa"/>
            </w:tcMar>
            <w:hideMark/>
          </w:tcPr>
          <w:p w14:paraId="215C18AB" w14:textId="7D39E3EF" w:rsidR="00A51E3B" w:rsidRPr="00000DD3" w:rsidRDefault="00A51E3B" w:rsidP="00A94D33">
            <w:pPr>
              <w:spacing w:line="360" w:lineRule="auto"/>
              <w:jc w:val="both"/>
              <w:rPr>
                <w:rFonts w:ascii="Book Antiqua" w:hAnsi="Book Antiqua"/>
                <w:noProof/>
              </w:rPr>
            </w:pPr>
            <w:r w:rsidRPr="00000DD3">
              <w:rPr>
                <w:rFonts w:ascii="Book Antiqua" w:hAnsi="Book Antiqua"/>
                <w:noProof/>
              </w:rPr>
              <w:t>6, 9, 12 mo</w:t>
            </w:r>
          </w:p>
        </w:tc>
        <w:tc>
          <w:tcPr>
            <w:tcW w:w="2835" w:type="dxa"/>
            <w:shd w:val="clear" w:color="auto" w:fill="auto"/>
            <w:noWrap/>
            <w:tcMar>
              <w:top w:w="15" w:type="dxa"/>
              <w:left w:w="15" w:type="dxa"/>
              <w:bottom w:w="0" w:type="dxa"/>
              <w:right w:w="15" w:type="dxa"/>
            </w:tcMar>
            <w:hideMark/>
          </w:tcPr>
          <w:p w14:paraId="652B2200"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Owner questionnaire, arthroscopic image, histology</w:t>
            </w:r>
          </w:p>
        </w:tc>
        <w:tc>
          <w:tcPr>
            <w:tcW w:w="992" w:type="dxa"/>
            <w:shd w:val="clear" w:color="auto" w:fill="auto"/>
            <w:noWrap/>
            <w:tcMar>
              <w:top w:w="15" w:type="dxa"/>
              <w:left w:w="15" w:type="dxa"/>
              <w:bottom w:w="0" w:type="dxa"/>
              <w:right w:w="15" w:type="dxa"/>
            </w:tcMar>
            <w:hideMark/>
          </w:tcPr>
          <w:p w14:paraId="78DC8E78" w14:textId="0722EDC9" w:rsidR="00B436EA" w:rsidRPr="00000DD3" w:rsidRDefault="00A51E3B" w:rsidP="00874B98">
            <w:pPr>
              <w:spacing w:line="360" w:lineRule="auto"/>
              <w:jc w:val="both"/>
              <w:rPr>
                <w:rFonts w:ascii="Book Antiqua" w:hAnsi="Book Antiqua"/>
                <w:noProof/>
              </w:rPr>
            </w:pPr>
            <w:r w:rsidRPr="00000DD3">
              <w:rPr>
                <w:rFonts w:ascii="Book Antiqua" w:hAnsi="Book Antiqua"/>
                <w:noProof/>
              </w:rPr>
              <w:t>Kriston-Pál</w:t>
            </w:r>
          </w:p>
          <w:p w14:paraId="42C43796" w14:textId="4EAE1330" w:rsidR="00A51E3B" w:rsidRPr="00000DD3" w:rsidRDefault="00A51E3B" w:rsidP="00A94D33">
            <w:pPr>
              <w:spacing w:line="360" w:lineRule="auto"/>
              <w:jc w:val="both"/>
              <w:rPr>
                <w:rFonts w:ascii="Book Antiqua" w:hAnsi="Book Antiqua"/>
                <w:noProof/>
              </w:rPr>
            </w:pPr>
            <w:r w:rsidRPr="00000DD3">
              <w:rPr>
                <w:rFonts w:ascii="Book Antiqua" w:hAnsi="Book Antiqua"/>
                <w:i/>
                <w:iCs/>
                <w:noProof/>
              </w:rPr>
              <w:t>et al</w:t>
            </w:r>
            <w:r w:rsidR="00A94D33" w:rsidRPr="00000DD3">
              <w:rPr>
                <w:rFonts w:ascii="Book Antiqua" w:hAnsi="Book Antiqua"/>
                <w:noProof/>
              </w:rPr>
              <w:fldChar w:fldCharType="begin" w:fldLock="1"/>
            </w:r>
            <w:r w:rsidR="00A94D33" w:rsidRPr="00000DD3">
              <w:rPr>
                <w:rFonts w:ascii="Book Antiqua" w:hAnsi="Book Antiqua"/>
                <w:noProof/>
              </w:rPr>
              <w:instrText>ADDIN CSL_CITATION {"citationItems":[{"id":"ITEM-1","itemData":{"ISBN":"3662599600","ISSN":"1928-9022","PMID":"28197017","abstract":"Visceral adipose tissue (AT) obtained from surgical waste during routine ovariectomies was used as a source for isolating canine mesenchymal stem cells (MSCs). As determined by cytofluorimetry, passage 2 cells expressed MSC markers CD44 and CD90 and were negative for lineage-specific markers CD34 and CD45. The cells differentiated toward osteogenic, adipogenic, and chondrogenic directions. With therapeutic aims, 30 dogs (39 joints) suffering from elbow dysplasia (ED) and osteoarthritis (OA) were intra-articularly transplanted with allogeneic MSCs suspended in 0.5% hyaluronic acid (HA). A highly significant improvement was achieved without any medication as demonstrated by the degree of lameness during the follow-up period of 1 y. Control arthroscopy of 1 transplanted dog indicated that the cartilage had regenerated. Histological analysis of the cartilage biopsy confirmed that the regenerated cartilage was of hyaline type. These results demonstrate that transplantation of allogeneic adipose tissue-derived mesenchymal stem cells (AT-MSCs) is a novel, noninvasive, and highly effective therapeutic tool in treating canine elbow dysplasia. Du tissu adipeux viscéral (TA) obtenu de résidus chirurgicaux lors d’ovariectomies de routine a été utilisé comme source pour isoler des cellules souches mésenchymateuses canines (CSMs). Tel que déterminé par cytofluorométrie, les cellules du 2e passage exprimaient les marqueurs de CSM CD44 et CD90, et étaient négatives pour les marqueurs spécifiques de lignée CD34 et CD45. Les cellules se sont différenciées dans des directions ostéogéniques, adipogéniques, et chondrogéniques. À des fins thérapeutiques, 30 chiens (39 articulations) souffrant de dysplasie du coude (DC) et d’ostéoarthrite (OA) ont reçu une transplantation intra articulaire de CSMs allogéniques en suspension dans 0,5 % d’acide hyaluronique (AH). Une amélioration hautement significative a été obtenue sans aucune médication tel que démontré par le degré de boiterie durant la période de suivi de 1 an. Une arthroscopie de contrôle de un des chiens ayant reçu une transplantation montrait que le cartilage s’était régénéré. L’analyse histologique de la biopsie du cartilage a confirmé que le cartilage régénéré était de type hyalin. Ces résultats démontrent que la transplantation de cellules souches mésenchymateuses dérivées de tissu adipeux allogène est un outil thérapeutique novateur, non-invasif, et très efficace pour traiter la dysplasie du coude chez le chien.(Tra…","author":[{"dropping-particle":"","family":"Kriston-Pál","given":"Éva","non-dropping-particle":"","parse-names":false,"suffix":""},{"dropping-particle":"","family":"Czibula","given":"Ágnes","non-dropping-particle":"","parse-names":false,"suffix":""},{"dropping-particle":"","family":"Gyuris","given":"Zoltán","non-dropping-particle":"","parse-names":false,"suffix":""},{"dropping-particle":"","family":"Balka","given":"Gyula","non-dropping-particle":"","parse-names":false,"suffix":""},{"dropping-particle":"","family":"Seregi","given":"Antal","non-dropping-particle":"","parse-names":false,"suffix":""},{"dropping-particle":"","family":"Sükösd","given":"Farkas","non-dropping-particle":"","parse-names":false,"suffix":""},{"dropping-particle":"","family":"Süth","given":"Miklós","non-dropping-particle":"","parse-names":false,"suffix":""},{"dropping-particle":"","family":"Kiss-Tóth","given":"Endre","non-dropping-particle":"","parse-names":false,"suffix":""},{"dropping-particle":"","family":"Haracska","given":"Lajos","non-dropping-particle":"","parse-names":false,"suffix":""},{"dropping-particle":"","family":"Uher","given":"Ferenc","non-dropping-particle":"","parse-names":false,"suffix":""},{"dropping-particle":"","family":"Monostori","given":"Éva","non-dropping-particle":"","parse-names":false,"suffix":""}],"container-title":"Canadian journal of veterinary research = Revue canadienne de recherche veterinaire","id":"ITEM-1","issue":"1","issued":{"date-parts":[["2017"]]},"page":"73-78","title":"Characterization and therapeutic application of canine adipose mesenchymal stem cells to treat elbow osteoarthritis.","type":"article-journal","volume":"81"},"uris":["http://www.mendeley.com/documents/?uuid=348e3bc2-30bf-34a4-8e4a-8a930a899105"]}],"mendeley":{"formattedCitation":"&lt;sup&gt;[105]&lt;/sup&gt;","plainTextFormattedCitation":"[105]","previouslyFormattedCitation":"&lt;sup&gt;[105]&lt;/sup&gt;"},"properties":{"noteIndex":0},"schema":"https://github.com/citation-style-language/schema/raw/master/csl-citation.json"}</w:instrText>
            </w:r>
            <w:r w:rsidR="00A94D33" w:rsidRPr="00000DD3">
              <w:rPr>
                <w:rFonts w:ascii="Book Antiqua" w:hAnsi="Book Antiqua"/>
                <w:noProof/>
              </w:rPr>
              <w:fldChar w:fldCharType="separate"/>
            </w:r>
            <w:r w:rsidR="00A94D33" w:rsidRPr="00000DD3">
              <w:rPr>
                <w:rFonts w:ascii="Book Antiqua" w:hAnsi="Book Antiqua"/>
                <w:noProof/>
                <w:vertAlign w:val="superscript"/>
              </w:rPr>
              <w:t>[105]</w:t>
            </w:r>
            <w:r w:rsidR="00A94D33" w:rsidRPr="00000DD3">
              <w:rPr>
                <w:rFonts w:ascii="Book Antiqua" w:hAnsi="Book Antiqua"/>
                <w:noProof/>
              </w:rPr>
              <w:fldChar w:fldCharType="end"/>
            </w:r>
            <w:r w:rsidRPr="00000DD3">
              <w:rPr>
                <w:rFonts w:ascii="Book Antiqua" w:hAnsi="Book Antiqua"/>
                <w:noProof/>
              </w:rPr>
              <w:t>, 2017</w:t>
            </w:r>
          </w:p>
        </w:tc>
      </w:tr>
      <w:tr w:rsidR="00874B98" w:rsidRPr="00874B98" w14:paraId="407F4CC9" w14:textId="77777777" w:rsidTr="005A52F4">
        <w:trPr>
          <w:trHeight w:val="320"/>
        </w:trPr>
        <w:tc>
          <w:tcPr>
            <w:tcW w:w="851" w:type="dxa"/>
            <w:tcBorders>
              <w:bottom w:val="single" w:sz="4" w:space="0" w:color="auto"/>
            </w:tcBorders>
            <w:shd w:val="clear" w:color="auto" w:fill="auto"/>
            <w:noWrap/>
            <w:tcMar>
              <w:top w:w="15" w:type="dxa"/>
              <w:left w:w="15" w:type="dxa"/>
              <w:bottom w:w="0" w:type="dxa"/>
              <w:right w:w="15" w:type="dxa"/>
            </w:tcMar>
            <w:hideMark/>
          </w:tcPr>
          <w:p w14:paraId="0650AA38"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Adipose tissue</w:t>
            </w:r>
          </w:p>
        </w:tc>
        <w:tc>
          <w:tcPr>
            <w:tcW w:w="1134" w:type="dxa"/>
            <w:tcBorders>
              <w:bottom w:val="single" w:sz="4" w:space="0" w:color="auto"/>
            </w:tcBorders>
            <w:shd w:val="clear" w:color="auto" w:fill="auto"/>
            <w:noWrap/>
            <w:tcMar>
              <w:top w:w="15" w:type="dxa"/>
              <w:left w:w="15" w:type="dxa"/>
              <w:bottom w:w="0" w:type="dxa"/>
              <w:right w:w="15" w:type="dxa"/>
            </w:tcMar>
            <w:hideMark/>
          </w:tcPr>
          <w:p w14:paraId="5F9EE103"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Single intraarticular and/or single intravenous, allogeneic</w:t>
            </w:r>
          </w:p>
        </w:tc>
        <w:tc>
          <w:tcPr>
            <w:tcW w:w="992" w:type="dxa"/>
            <w:tcBorders>
              <w:bottom w:val="single" w:sz="4" w:space="0" w:color="auto"/>
            </w:tcBorders>
            <w:shd w:val="clear" w:color="auto" w:fill="auto"/>
            <w:noWrap/>
            <w:tcMar>
              <w:top w:w="15" w:type="dxa"/>
              <w:left w:w="15" w:type="dxa"/>
              <w:bottom w:w="0" w:type="dxa"/>
              <w:right w:w="15" w:type="dxa"/>
            </w:tcMar>
            <w:hideMark/>
          </w:tcPr>
          <w:p w14:paraId="6D2B128B"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Not described</w:t>
            </w:r>
          </w:p>
        </w:tc>
        <w:tc>
          <w:tcPr>
            <w:tcW w:w="851" w:type="dxa"/>
            <w:tcBorders>
              <w:bottom w:val="single" w:sz="4" w:space="0" w:color="auto"/>
            </w:tcBorders>
            <w:shd w:val="clear" w:color="auto" w:fill="auto"/>
            <w:noWrap/>
            <w:tcMar>
              <w:top w:w="15" w:type="dxa"/>
              <w:left w:w="15" w:type="dxa"/>
              <w:bottom w:w="0" w:type="dxa"/>
              <w:right w:w="15" w:type="dxa"/>
            </w:tcMar>
            <w:hideMark/>
          </w:tcPr>
          <w:p w14:paraId="28735243" w14:textId="77777777" w:rsidR="00A51E3B" w:rsidRPr="00000DD3" w:rsidRDefault="00A51E3B" w:rsidP="00874B98">
            <w:pPr>
              <w:spacing w:line="360" w:lineRule="auto"/>
              <w:jc w:val="both"/>
              <w:rPr>
                <w:rFonts w:ascii="Book Antiqua" w:hAnsi="Book Antiqua"/>
                <w:noProof/>
              </w:rPr>
            </w:pPr>
            <w:r w:rsidRPr="00000DD3">
              <w:rPr>
                <w:rFonts w:ascii="Book Antiqua" w:hAnsi="Book Antiqua"/>
                <w:noProof/>
              </w:rPr>
              <w:t>Various joints</w:t>
            </w:r>
          </w:p>
        </w:tc>
        <w:tc>
          <w:tcPr>
            <w:tcW w:w="850" w:type="dxa"/>
            <w:tcBorders>
              <w:bottom w:val="single" w:sz="4" w:space="0" w:color="auto"/>
            </w:tcBorders>
            <w:shd w:val="clear" w:color="auto" w:fill="auto"/>
            <w:noWrap/>
            <w:tcMar>
              <w:top w:w="15" w:type="dxa"/>
              <w:left w:w="15" w:type="dxa"/>
              <w:bottom w:w="0" w:type="dxa"/>
              <w:right w:w="15" w:type="dxa"/>
            </w:tcMar>
            <w:hideMark/>
          </w:tcPr>
          <w:p w14:paraId="6B27A03D" w14:textId="60B7F03C" w:rsidR="00A51E3B" w:rsidRPr="00000DD3" w:rsidRDefault="00A94D33" w:rsidP="00874B98">
            <w:pPr>
              <w:spacing w:line="360" w:lineRule="auto"/>
              <w:jc w:val="both"/>
              <w:rPr>
                <w:rFonts w:ascii="Book Antiqua" w:eastAsia="黑体" w:hAnsi="Book Antiqua"/>
                <w:noProof/>
                <w:lang w:eastAsia="zh-CN"/>
              </w:rPr>
            </w:pPr>
            <w:r w:rsidRPr="00000DD3">
              <w:rPr>
                <w:rFonts w:ascii="Book Antiqua" w:hAnsi="Book Antiqua"/>
                <w:noProof/>
              </w:rPr>
              <w:t>10 wk</w:t>
            </w:r>
          </w:p>
        </w:tc>
        <w:tc>
          <w:tcPr>
            <w:tcW w:w="2835" w:type="dxa"/>
            <w:tcBorders>
              <w:bottom w:val="single" w:sz="4" w:space="0" w:color="auto"/>
            </w:tcBorders>
            <w:shd w:val="clear" w:color="auto" w:fill="auto"/>
            <w:noWrap/>
            <w:tcMar>
              <w:top w:w="15" w:type="dxa"/>
              <w:left w:w="15" w:type="dxa"/>
              <w:bottom w:w="0" w:type="dxa"/>
              <w:right w:w="15" w:type="dxa"/>
            </w:tcMar>
            <w:hideMark/>
          </w:tcPr>
          <w:p w14:paraId="6A3B446F" w14:textId="274DB2D9" w:rsidR="00A51E3B" w:rsidRPr="00000DD3" w:rsidRDefault="00A51E3B" w:rsidP="00874B98">
            <w:pPr>
              <w:spacing w:line="360" w:lineRule="auto"/>
              <w:jc w:val="both"/>
              <w:rPr>
                <w:rFonts w:ascii="Book Antiqua" w:hAnsi="Book Antiqua"/>
                <w:noProof/>
              </w:rPr>
            </w:pPr>
            <w:r w:rsidRPr="00000DD3">
              <w:rPr>
                <w:rFonts w:ascii="Book Antiqua" w:hAnsi="Book Antiqua"/>
                <w:noProof/>
              </w:rPr>
              <w:t>Lameness, pain, range of motion, functional disability</w:t>
            </w:r>
          </w:p>
        </w:tc>
        <w:tc>
          <w:tcPr>
            <w:tcW w:w="992" w:type="dxa"/>
            <w:tcBorders>
              <w:bottom w:val="single" w:sz="4" w:space="0" w:color="auto"/>
            </w:tcBorders>
            <w:shd w:val="clear" w:color="auto" w:fill="auto"/>
            <w:noWrap/>
            <w:tcMar>
              <w:top w:w="15" w:type="dxa"/>
              <w:left w:w="15" w:type="dxa"/>
              <w:bottom w:w="0" w:type="dxa"/>
              <w:right w:w="15" w:type="dxa"/>
            </w:tcMar>
            <w:hideMark/>
          </w:tcPr>
          <w:p w14:paraId="3A17B7C9" w14:textId="7E7C8F40" w:rsidR="00B436EA" w:rsidRPr="00000DD3" w:rsidRDefault="009340F0" w:rsidP="00874B98">
            <w:pPr>
              <w:spacing w:line="360" w:lineRule="auto"/>
              <w:jc w:val="both"/>
              <w:rPr>
                <w:rFonts w:ascii="Book Antiqua" w:hAnsi="Book Antiqua"/>
                <w:noProof/>
              </w:rPr>
            </w:pPr>
            <w:r w:rsidRPr="00000DD3">
              <w:rPr>
                <w:rFonts w:ascii="Book Antiqua" w:hAnsi="Book Antiqua"/>
                <w:noProof/>
              </w:rPr>
              <w:t>Shah</w:t>
            </w:r>
          </w:p>
          <w:p w14:paraId="7EBD5553" w14:textId="01BB035C" w:rsidR="00A51E3B" w:rsidRPr="00874B98" w:rsidRDefault="00A51E3B" w:rsidP="00A94D33">
            <w:pPr>
              <w:spacing w:line="360" w:lineRule="auto"/>
              <w:jc w:val="both"/>
              <w:rPr>
                <w:rFonts w:ascii="Book Antiqua" w:hAnsi="Book Antiqua"/>
                <w:noProof/>
              </w:rPr>
            </w:pPr>
            <w:r w:rsidRPr="00000DD3">
              <w:rPr>
                <w:rFonts w:ascii="Book Antiqua" w:hAnsi="Book Antiqua"/>
                <w:i/>
                <w:iCs/>
                <w:noProof/>
              </w:rPr>
              <w:t>et al</w:t>
            </w:r>
            <w:r w:rsidR="00A94D33" w:rsidRPr="00000DD3">
              <w:rPr>
                <w:rFonts w:ascii="Book Antiqua" w:hAnsi="Book Antiqua"/>
                <w:noProof/>
              </w:rPr>
              <w:fldChar w:fldCharType="begin" w:fldLock="1"/>
            </w:r>
            <w:r w:rsidR="00A94D33" w:rsidRPr="00000DD3">
              <w:rPr>
                <w:rFonts w:ascii="Book Antiqua" w:hAnsi="Book Antiqua"/>
                <w:noProof/>
              </w:rPr>
              <w:instrText>ADDIN CSL_CITATION {"citationItems":[{"id":"ITEM-1","itemData":{"DOI":"10.1155/2018/7309201","ISSN":"1687-966X","PMID":"30050578","abstract":"Osteoarthritis is a common condition that causes joint pain and stiffness that affects both humans and dogs. In Australia, allogeneic canine adipose-derived mesenchymal stem cells for therapy have been commercially available since 2010. In this report, we describe the outcome of the treatment of two hundred and three dogs diagnosed with degenerative arthritis with severe chronic pain in joints causing lameness at walk, reduced mobility, and functional disability. Posttreatment assessment data after 10 weeks revealed significant improvement ( p &lt; 0.007 ) of the symptoms: pain reduction, improvement of mobility, and increased daily activity as measured as quality of life score. Ninety percent of young dogs (&lt;9 years) showed excellent improvement in pain and mobility and were able to run and resume normal activity. Sixty percent of older dogs showed good improvement. However, 12% of dogs did not exhibit any change in symptoms; one dog showed worsening of the symptoms. This report provides the support for the safety and efficacies of allogeneic adipose-derived mesenchymal stem cells in a regenerative therapeutic veterinary model.","author":[{"dropping-particle":"","family":"Shah","given":"Kiran","non-dropping-particle":"","parse-names":false,"suffix":""},{"dropping-particle":"","family":"Drury","given":"Tara","non-dropping-particle":"","parse-names":false,"suffix":""},{"dropping-particle":"","family":"Roic","given":"Ivelise","non-dropping-particle":"","parse-names":false,"suffix":""},{"dropping-particle":"","family":"Hansen","given":"Peter","non-dropping-particle":"","parse-names":false,"suffix":""},{"dropping-particle":"","family":"Malin","given":"Mark","non-dropping-particle":"","parse-names":false,"suffix":""},{"dropping-particle":"","family":"Boyd","given":"Richard","non-dropping-particle":"","parse-names":false,"suffix":""},{"dropping-particle":"","family":"Sumer","given":"Huseyin","non-dropping-particle":"","parse-names":false,"suffix":""},{"dropping-particle":"","family":"Ferguson","given":"Ray","non-dropping-particle":"","parse-names":false,"suffix":""}],"container-title":"Stem Cells International","id":"ITEM-1","issued":{"date-parts":[["2018"]]},"page":"7309201","title":"Outcome of allogeneic adult stem cell therapy in dogs suffering from osteoarthritis and other joint defects.","type":"article-journal","volume":"2018"},"uris":["http://www.mendeley.com/documents/?uuid=954eb36e-68e2-39c1-8376-f16db3fee246"]}],"mendeley":{"formattedCitation":"&lt;sup&gt;[124]&lt;/sup&gt;","plainTextFormattedCitation":"[124]","previouslyFormattedCitation":"&lt;sup&gt;[124]&lt;/sup&gt;"},"properties":{"noteIndex":0},"schema":"https://github.com/citation-style-language/schema/raw/master/csl-citation.json"}</w:instrText>
            </w:r>
            <w:r w:rsidR="00A94D33" w:rsidRPr="00000DD3">
              <w:rPr>
                <w:rFonts w:ascii="Book Antiqua" w:hAnsi="Book Antiqua"/>
                <w:noProof/>
              </w:rPr>
              <w:fldChar w:fldCharType="separate"/>
            </w:r>
            <w:r w:rsidR="00A94D33" w:rsidRPr="00000DD3">
              <w:rPr>
                <w:rFonts w:ascii="Book Antiqua" w:hAnsi="Book Antiqua"/>
                <w:noProof/>
                <w:vertAlign w:val="superscript"/>
              </w:rPr>
              <w:t>[124]</w:t>
            </w:r>
            <w:r w:rsidR="00A94D33" w:rsidRPr="00000DD3">
              <w:rPr>
                <w:rFonts w:ascii="Book Antiqua" w:hAnsi="Book Antiqua"/>
                <w:noProof/>
              </w:rPr>
              <w:fldChar w:fldCharType="end"/>
            </w:r>
            <w:r w:rsidRPr="00000DD3">
              <w:rPr>
                <w:rFonts w:ascii="Book Antiqua" w:hAnsi="Book Antiqua"/>
                <w:noProof/>
              </w:rPr>
              <w:t>, 2018</w:t>
            </w:r>
          </w:p>
        </w:tc>
      </w:tr>
    </w:tbl>
    <w:p w14:paraId="245F579F" w14:textId="3A42FDFE" w:rsidR="002B58A3" w:rsidRPr="00A94D33" w:rsidRDefault="002B58A3" w:rsidP="00874B98">
      <w:pPr>
        <w:autoSpaceDE w:val="0"/>
        <w:autoSpaceDN w:val="0"/>
        <w:adjustRightInd w:val="0"/>
        <w:spacing w:line="360" w:lineRule="auto"/>
        <w:jc w:val="both"/>
        <w:rPr>
          <w:rFonts w:ascii="Book Antiqua" w:eastAsia="黑体" w:hAnsi="Book Antiqua" w:cstheme="minorHAnsi"/>
          <w:lang w:eastAsia="zh-CN"/>
        </w:rPr>
      </w:pPr>
    </w:p>
    <w:sectPr w:rsidR="002B58A3" w:rsidRPr="00A94D33" w:rsidSect="00E965F1">
      <w:footerReference w:type="default" r:id="rId17"/>
      <w:pgSz w:w="11900" w:h="16840"/>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25C0C8" w14:textId="77777777" w:rsidR="003C70E4" w:rsidRDefault="003C70E4" w:rsidP="00151364">
      <w:r>
        <w:separator/>
      </w:r>
    </w:p>
  </w:endnote>
  <w:endnote w:type="continuationSeparator" w:id="0">
    <w:p w14:paraId="6419E192" w14:textId="77777777" w:rsidR="003C70E4" w:rsidRDefault="003C70E4" w:rsidP="001513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TimesNewRomanPS-BoldItalicMT">
    <w:altName w:val="Arial Unicode MS"/>
    <w:charset w:val="00"/>
    <w:family w:val="roman"/>
    <w:pitch w:val="default"/>
    <w:sig w:usb0="00000000" w:usb1="00000000" w:usb2="00000010" w:usb3="00000000" w:csb0="00040001" w:csb1="00000000"/>
  </w:font>
  <w:font w:name="Calibri">
    <w:panose1 w:val="020F0502020204030204"/>
    <w:charset w:val="00"/>
    <w:family w:val="swiss"/>
    <w:pitch w:val="variable"/>
    <w:sig w:usb0="E0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16290586"/>
      <w:docPartObj>
        <w:docPartGallery w:val="Page Numbers (Bottom of Page)"/>
        <w:docPartUnique/>
      </w:docPartObj>
    </w:sdtPr>
    <w:sdtEndPr>
      <w:rPr>
        <w:rFonts w:ascii="Book Antiqua" w:hAnsi="Book Antiqua"/>
      </w:rPr>
    </w:sdtEndPr>
    <w:sdtContent>
      <w:p w14:paraId="13A20CFC" w14:textId="7E7CF84F" w:rsidR="00920603" w:rsidRPr="00783149" w:rsidRDefault="00920603">
        <w:pPr>
          <w:pStyle w:val="a8"/>
          <w:jc w:val="center"/>
          <w:rPr>
            <w:rFonts w:ascii="Book Antiqua" w:hAnsi="Book Antiqua"/>
          </w:rPr>
        </w:pPr>
        <w:r w:rsidRPr="00783149">
          <w:rPr>
            <w:rFonts w:ascii="Book Antiqua" w:hAnsi="Book Antiqua"/>
          </w:rPr>
          <w:fldChar w:fldCharType="begin"/>
        </w:r>
        <w:r w:rsidRPr="00783149">
          <w:rPr>
            <w:rFonts w:ascii="Book Antiqua" w:hAnsi="Book Antiqua"/>
          </w:rPr>
          <w:instrText>PAGE   \* MERGEFORMAT</w:instrText>
        </w:r>
        <w:r w:rsidRPr="00783149">
          <w:rPr>
            <w:rFonts w:ascii="Book Antiqua" w:hAnsi="Book Antiqua"/>
          </w:rPr>
          <w:fldChar w:fldCharType="separate"/>
        </w:r>
        <w:r w:rsidR="000B1B76" w:rsidRPr="000B1B76">
          <w:rPr>
            <w:rFonts w:ascii="Book Antiqua" w:hAnsi="Book Antiqua"/>
            <w:noProof/>
            <w:lang w:val="ja-JP"/>
          </w:rPr>
          <w:t>10</w:t>
        </w:r>
        <w:r w:rsidRPr="00783149">
          <w:rPr>
            <w:rFonts w:ascii="Book Antiqua" w:hAnsi="Book Antiqua"/>
          </w:rPr>
          <w:fldChar w:fldCharType="end"/>
        </w:r>
      </w:p>
    </w:sdtContent>
  </w:sdt>
  <w:p w14:paraId="79C91E48" w14:textId="77777777" w:rsidR="00920603" w:rsidRDefault="0092060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6EDA81" w14:textId="77777777" w:rsidR="003C70E4" w:rsidRDefault="003C70E4" w:rsidP="00151364">
      <w:r>
        <w:separator/>
      </w:r>
    </w:p>
  </w:footnote>
  <w:footnote w:type="continuationSeparator" w:id="0">
    <w:p w14:paraId="73F87E75" w14:textId="77777777" w:rsidR="003C70E4" w:rsidRDefault="003C70E4" w:rsidP="0015136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C57CB3"/>
    <w:multiLevelType w:val="hybridMultilevel"/>
    <w:tmpl w:val="553EB29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242974D5"/>
    <w:multiLevelType w:val="multilevel"/>
    <w:tmpl w:val="21CE6898"/>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2" w15:restartNumberingAfterBreak="0">
    <w:nsid w:val="54DD701F"/>
    <w:multiLevelType w:val="hybridMultilevel"/>
    <w:tmpl w:val="F5AC5096"/>
    <w:lvl w:ilvl="0" w:tplc="FF76083A">
      <w:start w:val="1"/>
      <w:numFmt w:val="decimal"/>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 w15:restartNumberingAfterBreak="0">
    <w:nsid w:val="572A2EC2"/>
    <w:multiLevelType w:val="hybridMultilevel"/>
    <w:tmpl w:val="BE50B6F4"/>
    <w:lvl w:ilvl="0" w:tplc="6A746B2A">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5C8D486F"/>
    <w:multiLevelType w:val="hybridMultilevel"/>
    <w:tmpl w:val="FD705AB8"/>
    <w:lvl w:ilvl="0" w:tplc="A8868EFC">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7CB74BCA"/>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num w:numId="1">
    <w:abstractNumId w:val="1"/>
  </w:num>
  <w:num w:numId="2">
    <w:abstractNumId w:val="2"/>
  </w:num>
  <w:num w:numId="3">
    <w:abstractNumId w:val="3"/>
  </w:num>
  <w:num w:numId="4">
    <w:abstractNumId w:val="5"/>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09"/>
  <w:bordersDoNotSurroundHeader/>
  <w:bordersDoNotSurroundFooter/>
  <w:proofState w:spelling="clean" w:grammar="clean"/>
  <w:doNotTrackFormatting/>
  <w:defaultTabStop w:val="840"/>
  <w:drawingGridHorizontalSpacing w:val="12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13A89"/>
    <w:rsid w:val="00000DD3"/>
    <w:rsid w:val="0000292D"/>
    <w:rsid w:val="00002F23"/>
    <w:rsid w:val="00005133"/>
    <w:rsid w:val="000068C9"/>
    <w:rsid w:val="0001210F"/>
    <w:rsid w:val="00013E4E"/>
    <w:rsid w:val="000159D6"/>
    <w:rsid w:val="00015BC1"/>
    <w:rsid w:val="00016299"/>
    <w:rsid w:val="00020E77"/>
    <w:rsid w:val="00040860"/>
    <w:rsid w:val="000408FD"/>
    <w:rsid w:val="000414FB"/>
    <w:rsid w:val="0004225A"/>
    <w:rsid w:val="000426C6"/>
    <w:rsid w:val="000427F1"/>
    <w:rsid w:val="0005038A"/>
    <w:rsid w:val="000509B0"/>
    <w:rsid w:val="0005501B"/>
    <w:rsid w:val="0005658F"/>
    <w:rsid w:val="00056A21"/>
    <w:rsid w:val="000575CC"/>
    <w:rsid w:val="000619DA"/>
    <w:rsid w:val="000646FE"/>
    <w:rsid w:val="000648DD"/>
    <w:rsid w:val="00065299"/>
    <w:rsid w:val="000670D6"/>
    <w:rsid w:val="000674FC"/>
    <w:rsid w:val="000707D5"/>
    <w:rsid w:val="00073C18"/>
    <w:rsid w:val="0007436A"/>
    <w:rsid w:val="000745B7"/>
    <w:rsid w:val="00074EC4"/>
    <w:rsid w:val="00075D85"/>
    <w:rsid w:val="000773BE"/>
    <w:rsid w:val="00080549"/>
    <w:rsid w:val="00083822"/>
    <w:rsid w:val="00084AB2"/>
    <w:rsid w:val="00087F9F"/>
    <w:rsid w:val="00090025"/>
    <w:rsid w:val="00090683"/>
    <w:rsid w:val="00090DBA"/>
    <w:rsid w:val="000914A8"/>
    <w:rsid w:val="000926E3"/>
    <w:rsid w:val="0009696F"/>
    <w:rsid w:val="000974D1"/>
    <w:rsid w:val="000A0EA4"/>
    <w:rsid w:val="000A2D1C"/>
    <w:rsid w:val="000A5466"/>
    <w:rsid w:val="000A55A7"/>
    <w:rsid w:val="000B006F"/>
    <w:rsid w:val="000B1B76"/>
    <w:rsid w:val="000B1E5F"/>
    <w:rsid w:val="000B1F63"/>
    <w:rsid w:val="000C2F70"/>
    <w:rsid w:val="000C5A24"/>
    <w:rsid w:val="000C5D8F"/>
    <w:rsid w:val="000C5E70"/>
    <w:rsid w:val="000D1F31"/>
    <w:rsid w:val="000D3185"/>
    <w:rsid w:val="000D38EC"/>
    <w:rsid w:val="000E1B7A"/>
    <w:rsid w:val="000E1E44"/>
    <w:rsid w:val="000E2185"/>
    <w:rsid w:val="000E251A"/>
    <w:rsid w:val="000E35AA"/>
    <w:rsid w:val="000F1684"/>
    <w:rsid w:val="000F30B5"/>
    <w:rsid w:val="000F3215"/>
    <w:rsid w:val="000F5D5C"/>
    <w:rsid w:val="000F73B3"/>
    <w:rsid w:val="000F741C"/>
    <w:rsid w:val="00101BEF"/>
    <w:rsid w:val="00101FD2"/>
    <w:rsid w:val="00102F83"/>
    <w:rsid w:val="00103971"/>
    <w:rsid w:val="00107BB3"/>
    <w:rsid w:val="00111F4F"/>
    <w:rsid w:val="00112F4D"/>
    <w:rsid w:val="00116D17"/>
    <w:rsid w:val="00120D2C"/>
    <w:rsid w:val="00120DB6"/>
    <w:rsid w:val="001219DD"/>
    <w:rsid w:val="00122323"/>
    <w:rsid w:val="00122E82"/>
    <w:rsid w:val="0012613E"/>
    <w:rsid w:val="00131D57"/>
    <w:rsid w:val="00132316"/>
    <w:rsid w:val="00133607"/>
    <w:rsid w:val="00134E6E"/>
    <w:rsid w:val="0013641B"/>
    <w:rsid w:val="00136C72"/>
    <w:rsid w:val="0014116E"/>
    <w:rsid w:val="001417AC"/>
    <w:rsid w:val="0014257C"/>
    <w:rsid w:val="00143D72"/>
    <w:rsid w:val="00144B5D"/>
    <w:rsid w:val="00144E6F"/>
    <w:rsid w:val="0014735D"/>
    <w:rsid w:val="001478DF"/>
    <w:rsid w:val="00151364"/>
    <w:rsid w:val="001513EE"/>
    <w:rsid w:val="001538E0"/>
    <w:rsid w:val="00160595"/>
    <w:rsid w:val="0016218C"/>
    <w:rsid w:val="001621CE"/>
    <w:rsid w:val="001718D0"/>
    <w:rsid w:val="001719BF"/>
    <w:rsid w:val="00173E61"/>
    <w:rsid w:val="001754B8"/>
    <w:rsid w:val="00176651"/>
    <w:rsid w:val="00176F4B"/>
    <w:rsid w:val="0018280A"/>
    <w:rsid w:val="00183D4C"/>
    <w:rsid w:val="00184B32"/>
    <w:rsid w:val="0018546E"/>
    <w:rsid w:val="001901D2"/>
    <w:rsid w:val="001902D5"/>
    <w:rsid w:val="00190D3A"/>
    <w:rsid w:val="00192CA4"/>
    <w:rsid w:val="0019313D"/>
    <w:rsid w:val="00195D63"/>
    <w:rsid w:val="00195F6A"/>
    <w:rsid w:val="001961A3"/>
    <w:rsid w:val="001A00D6"/>
    <w:rsid w:val="001A096A"/>
    <w:rsid w:val="001A2B8E"/>
    <w:rsid w:val="001A7252"/>
    <w:rsid w:val="001B39E0"/>
    <w:rsid w:val="001B466D"/>
    <w:rsid w:val="001B61D4"/>
    <w:rsid w:val="001B6827"/>
    <w:rsid w:val="001C2226"/>
    <w:rsid w:val="001C357C"/>
    <w:rsid w:val="001C4C03"/>
    <w:rsid w:val="001C6D94"/>
    <w:rsid w:val="001C7797"/>
    <w:rsid w:val="001D027E"/>
    <w:rsid w:val="001D1ED9"/>
    <w:rsid w:val="001D234C"/>
    <w:rsid w:val="001D3A3B"/>
    <w:rsid w:val="001D3D62"/>
    <w:rsid w:val="001D5523"/>
    <w:rsid w:val="001D5C27"/>
    <w:rsid w:val="001E0858"/>
    <w:rsid w:val="001E2F78"/>
    <w:rsid w:val="001E3A2C"/>
    <w:rsid w:val="001E4810"/>
    <w:rsid w:val="001E661A"/>
    <w:rsid w:val="001F0468"/>
    <w:rsid w:val="001F094B"/>
    <w:rsid w:val="001F0B3F"/>
    <w:rsid w:val="001F18F9"/>
    <w:rsid w:val="001F28CE"/>
    <w:rsid w:val="001F32B9"/>
    <w:rsid w:val="001F3AF4"/>
    <w:rsid w:val="001F56A2"/>
    <w:rsid w:val="001F6C11"/>
    <w:rsid w:val="001F75E7"/>
    <w:rsid w:val="002008EB"/>
    <w:rsid w:val="00201AA5"/>
    <w:rsid w:val="002053F9"/>
    <w:rsid w:val="00212B1D"/>
    <w:rsid w:val="00213AFF"/>
    <w:rsid w:val="002157E5"/>
    <w:rsid w:val="00216BDF"/>
    <w:rsid w:val="00220050"/>
    <w:rsid w:val="00221266"/>
    <w:rsid w:val="00221D81"/>
    <w:rsid w:val="0022207C"/>
    <w:rsid w:val="002221DA"/>
    <w:rsid w:val="002327F1"/>
    <w:rsid w:val="00232D4E"/>
    <w:rsid w:val="00233EC0"/>
    <w:rsid w:val="00237E32"/>
    <w:rsid w:val="00244BC1"/>
    <w:rsid w:val="00244DB1"/>
    <w:rsid w:val="002463DC"/>
    <w:rsid w:val="002472DE"/>
    <w:rsid w:val="00247A96"/>
    <w:rsid w:val="00250359"/>
    <w:rsid w:val="0025084A"/>
    <w:rsid w:val="00250D42"/>
    <w:rsid w:val="002527ED"/>
    <w:rsid w:val="00252969"/>
    <w:rsid w:val="00255F82"/>
    <w:rsid w:val="00261C26"/>
    <w:rsid w:val="002620AE"/>
    <w:rsid w:val="0026450B"/>
    <w:rsid w:val="00266101"/>
    <w:rsid w:val="00266BE0"/>
    <w:rsid w:val="0027236A"/>
    <w:rsid w:val="00272867"/>
    <w:rsid w:val="002800F8"/>
    <w:rsid w:val="002815B4"/>
    <w:rsid w:val="00282448"/>
    <w:rsid w:val="002829D9"/>
    <w:rsid w:val="0028412C"/>
    <w:rsid w:val="002846F8"/>
    <w:rsid w:val="00284DE2"/>
    <w:rsid w:val="002869B2"/>
    <w:rsid w:val="0028707D"/>
    <w:rsid w:val="0029203B"/>
    <w:rsid w:val="00292148"/>
    <w:rsid w:val="002935CD"/>
    <w:rsid w:val="002945CC"/>
    <w:rsid w:val="002953DE"/>
    <w:rsid w:val="002A03BF"/>
    <w:rsid w:val="002A1C48"/>
    <w:rsid w:val="002A3712"/>
    <w:rsid w:val="002A774A"/>
    <w:rsid w:val="002B01EC"/>
    <w:rsid w:val="002B0B8B"/>
    <w:rsid w:val="002B1026"/>
    <w:rsid w:val="002B1A17"/>
    <w:rsid w:val="002B5095"/>
    <w:rsid w:val="002B58A3"/>
    <w:rsid w:val="002C4976"/>
    <w:rsid w:val="002C6407"/>
    <w:rsid w:val="002C6BAA"/>
    <w:rsid w:val="002D261D"/>
    <w:rsid w:val="002D3C32"/>
    <w:rsid w:val="002D4595"/>
    <w:rsid w:val="002D7944"/>
    <w:rsid w:val="002E5B6F"/>
    <w:rsid w:val="002E66EC"/>
    <w:rsid w:val="002E6E31"/>
    <w:rsid w:val="002E729C"/>
    <w:rsid w:val="002F13BF"/>
    <w:rsid w:val="002F3B7C"/>
    <w:rsid w:val="002F499C"/>
    <w:rsid w:val="002F5C2F"/>
    <w:rsid w:val="00300109"/>
    <w:rsid w:val="0030025C"/>
    <w:rsid w:val="00300553"/>
    <w:rsid w:val="00303298"/>
    <w:rsid w:val="00307737"/>
    <w:rsid w:val="00307CD6"/>
    <w:rsid w:val="00307F23"/>
    <w:rsid w:val="00311478"/>
    <w:rsid w:val="00311765"/>
    <w:rsid w:val="00314703"/>
    <w:rsid w:val="00314FD8"/>
    <w:rsid w:val="003227A5"/>
    <w:rsid w:val="0032379F"/>
    <w:rsid w:val="00324129"/>
    <w:rsid w:val="003258B5"/>
    <w:rsid w:val="003325B9"/>
    <w:rsid w:val="00333EA3"/>
    <w:rsid w:val="00335883"/>
    <w:rsid w:val="003362B9"/>
    <w:rsid w:val="003456C0"/>
    <w:rsid w:val="0035241F"/>
    <w:rsid w:val="00352DB0"/>
    <w:rsid w:val="00353D9C"/>
    <w:rsid w:val="003610D5"/>
    <w:rsid w:val="00361488"/>
    <w:rsid w:val="003622F1"/>
    <w:rsid w:val="003637E7"/>
    <w:rsid w:val="00363A7C"/>
    <w:rsid w:val="00364923"/>
    <w:rsid w:val="00367647"/>
    <w:rsid w:val="003737E1"/>
    <w:rsid w:val="00374D6D"/>
    <w:rsid w:val="00377B94"/>
    <w:rsid w:val="003831BF"/>
    <w:rsid w:val="00385681"/>
    <w:rsid w:val="003856C3"/>
    <w:rsid w:val="00393CFA"/>
    <w:rsid w:val="00396785"/>
    <w:rsid w:val="00397A56"/>
    <w:rsid w:val="003A040F"/>
    <w:rsid w:val="003A050F"/>
    <w:rsid w:val="003A1E24"/>
    <w:rsid w:val="003A4CCF"/>
    <w:rsid w:val="003A7758"/>
    <w:rsid w:val="003A7A2A"/>
    <w:rsid w:val="003B147D"/>
    <w:rsid w:val="003B1B89"/>
    <w:rsid w:val="003B42D0"/>
    <w:rsid w:val="003B584E"/>
    <w:rsid w:val="003C0A31"/>
    <w:rsid w:val="003C1B10"/>
    <w:rsid w:val="003C20E3"/>
    <w:rsid w:val="003C24D9"/>
    <w:rsid w:val="003C2DB0"/>
    <w:rsid w:val="003C33AE"/>
    <w:rsid w:val="003C360A"/>
    <w:rsid w:val="003C3B39"/>
    <w:rsid w:val="003C46D0"/>
    <w:rsid w:val="003C6688"/>
    <w:rsid w:val="003C70E4"/>
    <w:rsid w:val="003D0084"/>
    <w:rsid w:val="003D23EC"/>
    <w:rsid w:val="003D2D80"/>
    <w:rsid w:val="003D5A81"/>
    <w:rsid w:val="003D5DD2"/>
    <w:rsid w:val="003D7F4B"/>
    <w:rsid w:val="003E3593"/>
    <w:rsid w:val="003E4D80"/>
    <w:rsid w:val="003E5BB1"/>
    <w:rsid w:val="003F0D51"/>
    <w:rsid w:val="003F462D"/>
    <w:rsid w:val="003F54CC"/>
    <w:rsid w:val="003F59C5"/>
    <w:rsid w:val="003F646A"/>
    <w:rsid w:val="003F7A23"/>
    <w:rsid w:val="003F7AF8"/>
    <w:rsid w:val="00400334"/>
    <w:rsid w:val="00401045"/>
    <w:rsid w:val="00401AEA"/>
    <w:rsid w:val="0040269D"/>
    <w:rsid w:val="004109B0"/>
    <w:rsid w:val="004125D8"/>
    <w:rsid w:val="00413B42"/>
    <w:rsid w:val="00414D48"/>
    <w:rsid w:val="0041599F"/>
    <w:rsid w:val="004161F9"/>
    <w:rsid w:val="004176EB"/>
    <w:rsid w:val="00420D06"/>
    <w:rsid w:val="0042121D"/>
    <w:rsid w:val="00421B62"/>
    <w:rsid w:val="00423571"/>
    <w:rsid w:val="004301DA"/>
    <w:rsid w:val="00430739"/>
    <w:rsid w:val="0043179B"/>
    <w:rsid w:val="00433DEE"/>
    <w:rsid w:val="0043715A"/>
    <w:rsid w:val="0044247B"/>
    <w:rsid w:val="00442A04"/>
    <w:rsid w:val="00443187"/>
    <w:rsid w:val="004437D7"/>
    <w:rsid w:val="00446446"/>
    <w:rsid w:val="00450126"/>
    <w:rsid w:val="0045161A"/>
    <w:rsid w:val="004545E6"/>
    <w:rsid w:val="00455228"/>
    <w:rsid w:val="0045530E"/>
    <w:rsid w:val="00456655"/>
    <w:rsid w:val="00457467"/>
    <w:rsid w:val="004604C6"/>
    <w:rsid w:val="004612C9"/>
    <w:rsid w:val="004631BE"/>
    <w:rsid w:val="00466401"/>
    <w:rsid w:val="00466CB8"/>
    <w:rsid w:val="00466DD7"/>
    <w:rsid w:val="004714FC"/>
    <w:rsid w:val="00472893"/>
    <w:rsid w:val="00473527"/>
    <w:rsid w:val="00476F82"/>
    <w:rsid w:val="00477727"/>
    <w:rsid w:val="00482682"/>
    <w:rsid w:val="004843C7"/>
    <w:rsid w:val="0048621F"/>
    <w:rsid w:val="0048647D"/>
    <w:rsid w:val="00491BCF"/>
    <w:rsid w:val="00493AAA"/>
    <w:rsid w:val="00494828"/>
    <w:rsid w:val="00495FEB"/>
    <w:rsid w:val="00497E45"/>
    <w:rsid w:val="004A294E"/>
    <w:rsid w:val="004A2D0D"/>
    <w:rsid w:val="004A6472"/>
    <w:rsid w:val="004A75AA"/>
    <w:rsid w:val="004B0A0B"/>
    <w:rsid w:val="004B4266"/>
    <w:rsid w:val="004C1D54"/>
    <w:rsid w:val="004C1E60"/>
    <w:rsid w:val="004C204F"/>
    <w:rsid w:val="004C4511"/>
    <w:rsid w:val="004C57AD"/>
    <w:rsid w:val="004D4631"/>
    <w:rsid w:val="004D6FEE"/>
    <w:rsid w:val="004D749A"/>
    <w:rsid w:val="004D7695"/>
    <w:rsid w:val="004D7C36"/>
    <w:rsid w:val="004E06DB"/>
    <w:rsid w:val="004E3FD7"/>
    <w:rsid w:val="004E5FB9"/>
    <w:rsid w:val="004E65C9"/>
    <w:rsid w:val="004F4D62"/>
    <w:rsid w:val="004F63AA"/>
    <w:rsid w:val="0050009C"/>
    <w:rsid w:val="00500402"/>
    <w:rsid w:val="00500937"/>
    <w:rsid w:val="00501FA9"/>
    <w:rsid w:val="00504D30"/>
    <w:rsid w:val="005108A0"/>
    <w:rsid w:val="005136E8"/>
    <w:rsid w:val="005217C5"/>
    <w:rsid w:val="00524B7A"/>
    <w:rsid w:val="005326C9"/>
    <w:rsid w:val="0053471F"/>
    <w:rsid w:val="005347B8"/>
    <w:rsid w:val="005349BD"/>
    <w:rsid w:val="005361CA"/>
    <w:rsid w:val="00536692"/>
    <w:rsid w:val="00540162"/>
    <w:rsid w:val="00547FFB"/>
    <w:rsid w:val="00551F29"/>
    <w:rsid w:val="00553079"/>
    <w:rsid w:val="00554CF0"/>
    <w:rsid w:val="0056040B"/>
    <w:rsid w:val="00562E8F"/>
    <w:rsid w:val="005671F3"/>
    <w:rsid w:val="00570076"/>
    <w:rsid w:val="00572DD5"/>
    <w:rsid w:val="00573463"/>
    <w:rsid w:val="005800AA"/>
    <w:rsid w:val="00581D2C"/>
    <w:rsid w:val="00583DC2"/>
    <w:rsid w:val="00584C50"/>
    <w:rsid w:val="0059043B"/>
    <w:rsid w:val="00592F32"/>
    <w:rsid w:val="00594D2A"/>
    <w:rsid w:val="00597094"/>
    <w:rsid w:val="005974D5"/>
    <w:rsid w:val="005A2C97"/>
    <w:rsid w:val="005A52F4"/>
    <w:rsid w:val="005A55DC"/>
    <w:rsid w:val="005A6A9C"/>
    <w:rsid w:val="005B27E5"/>
    <w:rsid w:val="005B42CD"/>
    <w:rsid w:val="005B51D8"/>
    <w:rsid w:val="005C1364"/>
    <w:rsid w:val="005C1498"/>
    <w:rsid w:val="005C373A"/>
    <w:rsid w:val="005C5CD4"/>
    <w:rsid w:val="005C6734"/>
    <w:rsid w:val="005C7880"/>
    <w:rsid w:val="005C7DCD"/>
    <w:rsid w:val="005D046A"/>
    <w:rsid w:val="005D121C"/>
    <w:rsid w:val="005D1FA6"/>
    <w:rsid w:val="005D339E"/>
    <w:rsid w:val="005D4D4F"/>
    <w:rsid w:val="005D5461"/>
    <w:rsid w:val="005D672C"/>
    <w:rsid w:val="005D7327"/>
    <w:rsid w:val="005E0DC2"/>
    <w:rsid w:val="005E0F37"/>
    <w:rsid w:val="005E39AD"/>
    <w:rsid w:val="005E4E7F"/>
    <w:rsid w:val="005E710D"/>
    <w:rsid w:val="005E7387"/>
    <w:rsid w:val="005E75CC"/>
    <w:rsid w:val="005F06F6"/>
    <w:rsid w:val="005F3B66"/>
    <w:rsid w:val="005F4473"/>
    <w:rsid w:val="005F4792"/>
    <w:rsid w:val="005F75CD"/>
    <w:rsid w:val="00603DCE"/>
    <w:rsid w:val="00604AAC"/>
    <w:rsid w:val="00606979"/>
    <w:rsid w:val="00606D58"/>
    <w:rsid w:val="00611309"/>
    <w:rsid w:val="00614061"/>
    <w:rsid w:val="00616B33"/>
    <w:rsid w:val="00623003"/>
    <w:rsid w:val="00623D3E"/>
    <w:rsid w:val="00623F18"/>
    <w:rsid w:val="00624365"/>
    <w:rsid w:val="00624FA1"/>
    <w:rsid w:val="006271DF"/>
    <w:rsid w:val="00635985"/>
    <w:rsid w:val="00641A54"/>
    <w:rsid w:val="00641AD3"/>
    <w:rsid w:val="00641D23"/>
    <w:rsid w:val="006426E5"/>
    <w:rsid w:val="0064460E"/>
    <w:rsid w:val="00644FF9"/>
    <w:rsid w:val="006461B7"/>
    <w:rsid w:val="00651B5B"/>
    <w:rsid w:val="006544B0"/>
    <w:rsid w:val="00654787"/>
    <w:rsid w:val="00656ABA"/>
    <w:rsid w:val="006701BE"/>
    <w:rsid w:val="00675B84"/>
    <w:rsid w:val="006777FF"/>
    <w:rsid w:val="006865E8"/>
    <w:rsid w:val="0068669C"/>
    <w:rsid w:val="00686A41"/>
    <w:rsid w:val="00687A19"/>
    <w:rsid w:val="0069150A"/>
    <w:rsid w:val="00691FC8"/>
    <w:rsid w:val="00696980"/>
    <w:rsid w:val="006A1D2E"/>
    <w:rsid w:val="006A3361"/>
    <w:rsid w:val="006A37F0"/>
    <w:rsid w:val="006A386F"/>
    <w:rsid w:val="006A49B9"/>
    <w:rsid w:val="006A6E27"/>
    <w:rsid w:val="006B102E"/>
    <w:rsid w:val="006B1D5F"/>
    <w:rsid w:val="006B2B1F"/>
    <w:rsid w:val="006B3216"/>
    <w:rsid w:val="006B705E"/>
    <w:rsid w:val="006B751C"/>
    <w:rsid w:val="006B7C6D"/>
    <w:rsid w:val="006C1512"/>
    <w:rsid w:val="006C1B92"/>
    <w:rsid w:val="006C30EF"/>
    <w:rsid w:val="006C41A3"/>
    <w:rsid w:val="006C625A"/>
    <w:rsid w:val="006C6E28"/>
    <w:rsid w:val="006D1050"/>
    <w:rsid w:val="006D1728"/>
    <w:rsid w:val="006D1CD3"/>
    <w:rsid w:val="006D26D8"/>
    <w:rsid w:val="006D31B4"/>
    <w:rsid w:val="006D43A5"/>
    <w:rsid w:val="006D5231"/>
    <w:rsid w:val="006D77EC"/>
    <w:rsid w:val="006D7988"/>
    <w:rsid w:val="006E25DE"/>
    <w:rsid w:val="006E4955"/>
    <w:rsid w:val="006F097C"/>
    <w:rsid w:val="006F0BBD"/>
    <w:rsid w:val="006F0DAD"/>
    <w:rsid w:val="006F1894"/>
    <w:rsid w:val="006F5C43"/>
    <w:rsid w:val="007017E4"/>
    <w:rsid w:val="00707763"/>
    <w:rsid w:val="00710E21"/>
    <w:rsid w:val="00711C92"/>
    <w:rsid w:val="00712B45"/>
    <w:rsid w:val="00713E3D"/>
    <w:rsid w:val="00717B29"/>
    <w:rsid w:val="00720653"/>
    <w:rsid w:val="00721C30"/>
    <w:rsid w:val="00724EB8"/>
    <w:rsid w:val="00731171"/>
    <w:rsid w:val="007323BE"/>
    <w:rsid w:val="00734650"/>
    <w:rsid w:val="0073504D"/>
    <w:rsid w:val="00735684"/>
    <w:rsid w:val="007359F3"/>
    <w:rsid w:val="007364DC"/>
    <w:rsid w:val="0073668C"/>
    <w:rsid w:val="00741843"/>
    <w:rsid w:val="00741D87"/>
    <w:rsid w:val="00741EAF"/>
    <w:rsid w:val="0074387A"/>
    <w:rsid w:val="00743B1E"/>
    <w:rsid w:val="00743B29"/>
    <w:rsid w:val="00744E0F"/>
    <w:rsid w:val="00746812"/>
    <w:rsid w:val="0074789F"/>
    <w:rsid w:val="00751BC9"/>
    <w:rsid w:val="00755091"/>
    <w:rsid w:val="007551D8"/>
    <w:rsid w:val="00755C40"/>
    <w:rsid w:val="00760597"/>
    <w:rsid w:val="00762439"/>
    <w:rsid w:val="007646F5"/>
    <w:rsid w:val="00764A01"/>
    <w:rsid w:val="007670FF"/>
    <w:rsid w:val="00770C29"/>
    <w:rsid w:val="00771AC0"/>
    <w:rsid w:val="00771B19"/>
    <w:rsid w:val="007724E2"/>
    <w:rsid w:val="00772C7D"/>
    <w:rsid w:val="00783149"/>
    <w:rsid w:val="00784B00"/>
    <w:rsid w:val="00786F6C"/>
    <w:rsid w:val="007905E1"/>
    <w:rsid w:val="007918A4"/>
    <w:rsid w:val="00792040"/>
    <w:rsid w:val="00792795"/>
    <w:rsid w:val="007950F2"/>
    <w:rsid w:val="00795217"/>
    <w:rsid w:val="00795C7C"/>
    <w:rsid w:val="00796F48"/>
    <w:rsid w:val="007A0101"/>
    <w:rsid w:val="007A04AB"/>
    <w:rsid w:val="007A320C"/>
    <w:rsid w:val="007A3D6C"/>
    <w:rsid w:val="007A3F95"/>
    <w:rsid w:val="007A4B4C"/>
    <w:rsid w:val="007A4E2B"/>
    <w:rsid w:val="007B0D49"/>
    <w:rsid w:val="007B2E2B"/>
    <w:rsid w:val="007B502D"/>
    <w:rsid w:val="007B72A5"/>
    <w:rsid w:val="007C6BD3"/>
    <w:rsid w:val="007C7235"/>
    <w:rsid w:val="007D0843"/>
    <w:rsid w:val="007D37FA"/>
    <w:rsid w:val="007D3D74"/>
    <w:rsid w:val="007D536E"/>
    <w:rsid w:val="007D7E1A"/>
    <w:rsid w:val="007E1B82"/>
    <w:rsid w:val="007E4030"/>
    <w:rsid w:val="007E6542"/>
    <w:rsid w:val="007E65BA"/>
    <w:rsid w:val="007E77A7"/>
    <w:rsid w:val="007E77B6"/>
    <w:rsid w:val="007E7BE5"/>
    <w:rsid w:val="007F00DB"/>
    <w:rsid w:val="007F17C8"/>
    <w:rsid w:val="007F585E"/>
    <w:rsid w:val="007F742A"/>
    <w:rsid w:val="008016E0"/>
    <w:rsid w:val="00802777"/>
    <w:rsid w:val="00811897"/>
    <w:rsid w:val="00811F8E"/>
    <w:rsid w:val="00815751"/>
    <w:rsid w:val="00815F75"/>
    <w:rsid w:val="008160EB"/>
    <w:rsid w:val="008168C5"/>
    <w:rsid w:val="00816BCC"/>
    <w:rsid w:val="00817DF9"/>
    <w:rsid w:val="00823321"/>
    <w:rsid w:val="0082432E"/>
    <w:rsid w:val="008252BB"/>
    <w:rsid w:val="00827F1F"/>
    <w:rsid w:val="0083338A"/>
    <w:rsid w:val="008353F3"/>
    <w:rsid w:val="0083671C"/>
    <w:rsid w:val="008372BE"/>
    <w:rsid w:val="00842DB1"/>
    <w:rsid w:val="00842EA3"/>
    <w:rsid w:val="008437E0"/>
    <w:rsid w:val="00843FA4"/>
    <w:rsid w:val="00844CED"/>
    <w:rsid w:val="00844DA2"/>
    <w:rsid w:val="00845320"/>
    <w:rsid w:val="0084588A"/>
    <w:rsid w:val="00850839"/>
    <w:rsid w:val="008525C9"/>
    <w:rsid w:val="00853E3F"/>
    <w:rsid w:val="0085482A"/>
    <w:rsid w:val="00855D8F"/>
    <w:rsid w:val="0085685F"/>
    <w:rsid w:val="00857DC2"/>
    <w:rsid w:val="00861172"/>
    <w:rsid w:val="0086231C"/>
    <w:rsid w:val="00863832"/>
    <w:rsid w:val="00863D0A"/>
    <w:rsid w:val="00865F36"/>
    <w:rsid w:val="00866BA3"/>
    <w:rsid w:val="0086714C"/>
    <w:rsid w:val="00867E2F"/>
    <w:rsid w:val="00870BC1"/>
    <w:rsid w:val="008736C4"/>
    <w:rsid w:val="008744B1"/>
    <w:rsid w:val="00874B98"/>
    <w:rsid w:val="00874D30"/>
    <w:rsid w:val="00877ADC"/>
    <w:rsid w:val="00877BB3"/>
    <w:rsid w:val="00881168"/>
    <w:rsid w:val="00883B96"/>
    <w:rsid w:val="0088463C"/>
    <w:rsid w:val="00884A0D"/>
    <w:rsid w:val="00887579"/>
    <w:rsid w:val="00887CA5"/>
    <w:rsid w:val="00890CC8"/>
    <w:rsid w:val="00890FE4"/>
    <w:rsid w:val="00891517"/>
    <w:rsid w:val="00895E69"/>
    <w:rsid w:val="00896310"/>
    <w:rsid w:val="00896C8F"/>
    <w:rsid w:val="0089786E"/>
    <w:rsid w:val="008A03DC"/>
    <w:rsid w:val="008A0401"/>
    <w:rsid w:val="008A0685"/>
    <w:rsid w:val="008A1A9E"/>
    <w:rsid w:val="008A232D"/>
    <w:rsid w:val="008A2912"/>
    <w:rsid w:val="008A2AE5"/>
    <w:rsid w:val="008A56DA"/>
    <w:rsid w:val="008A63CF"/>
    <w:rsid w:val="008B1030"/>
    <w:rsid w:val="008B2D07"/>
    <w:rsid w:val="008B57B0"/>
    <w:rsid w:val="008B7F4B"/>
    <w:rsid w:val="008C574B"/>
    <w:rsid w:val="008C622B"/>
    <w:rsid w:val="008C6CBE"/>
    <w:rsid w:val="008C752D"/>
    <w:rsid w:val="008D0033"/>
    <w:rsid w:val="008D0C54"/>
    <w:rsid w:val="008D1AFB"/>
    <w:rsid w:val="008D1EE5"/>
    <w:rsid w:val="008D55BA"/>
    <w:rsid w:val="008D5E0A"/>
    <w:rsid w:val="008D6365"/>
    <w:rsid w:val="008D7527"/>
    <w:rsid w:val="008D78C7"/>
    <w:rsid w:val="008D7A73"/>
    <w:rsid w:val="008E1923"/>
    <w:rsid w:val="008E2F89"/>
    <w:rsid w:val="008E3262"/>
    <w:rsid w:val="008E6D64"/>
    <w:rsid w:val="008E72B1"/>
    <w:rsid w:val="008F1BCD"/>
    <w:rsid w:val="008F1C4D"/>
    <w:rsid w:val="008F1F7B"/>
    <w:rsid w:val="00900086"/>
    <w:rsid w:val="0090076C"/>
    <w:rsid w:val="00900D7B"/>
    <w:rsid w:val="00901683"/>
    <w:rsid w:val="00901AF0"/>
    <w:rsid w:val="00902979"/>
    <w:rsid w:val="00902F32"/>
    <w:rsid w:val="009034DC"/>
    <w:rsid w:val="0090474C"/>
    <w:rsid w:val="00907A0E"/>
    <w:rsid w:val="009107FB"/>
    <w:rsid w:val="009111D0"/>
    <w:rsid w:val="00911E86"/>
    <w:rsid w:val="009121D3"/>
    <w:rsid w:val="009127AD"/>
    <w:rsid w:val="00914FB2"/>
    <w:rsid w:val="0091517A"/>
    <w:rsid w:val="00915AA1"/>
    <w:rsid w:val="00916F29"/>
    <w:rsid w:val="00920603"/>
    <w:rsid w:val="009232DF"/>
    <w:rsid w:val="00927701"/>
    <w:rsid w:val="00930207"/>
    <w:rsid w:val="009304AD"/>
    <w:rsid w:val="0093350E"/>
    <w:rsid w:val="00933B15"/>
    <w:rsid w:val="009340F0"/>
    <w:rsid w:val="00936B65"/>
    <w:rsid w:val="00940A3E"/>
    <w:rsid w:val="00941B73"/>
    <w:rsid w:val="00941B77"/>
    <w:rsid w:val="00941E14"/>
    <w:rsid w:val="00942742"/>
    <w:rsid w:val="00942BA5"/>
    <w:rsid w:val="009431EA"/>
    <w:rsid w:val="009454D1"/>
    <w:rsid w:val="009463BD"/>
    <w:rsid w:val="00951129"/>
    <w:rsid w:val="00951654"/>
    <w:rsid w:val="009518A6"/>
    <w:rsid w:val="00955BBC"/>
    <w:rsid w:val="00955D78"/>
    <w:rsid w:val="0095719F"/>
    <w:rsid w:val="00957682"/>
    <w:rsid w:val="00957CB3"/>
    <w:rsid w:val="0096551B"/>
    <w:rsid w:val="00965F22"/>
    <w:rsid w:val="00966943"/>
    <w:rsid w:val="00971876"/>
    <w:rsid w:val="0097379E"/>
    <w:rsid w:val="009769C2"/>
    <w:rsid w:val="00977350"/>
    <w:rsid w:val="00980CC9"/>
    <w:rsid w:val="00981AD8"/>
    <w:rsid w:val="009827F9"/>
    <w:rsid w:val="00984327"/>
    <w:rsid w:val="00986694"/>
    <w:rsid w:val="00986F13"/>
    <w:rsid w:val="00987BE1"/>
    <w:rsid w:val="00990F47"/>
    <w:rsid w:val="00992797"/>
    <w:rsid w:val="00993938"/>
    <w:rsid w:val="0099635B"/>
    <w:rsid w:val="009972C2"/>
    <w:rsid w:val="009A0357"/>
    <w:rsid w:val="009A2234"/>
    <w:rsid w:val="009A22C8"/>
    <w:rsid w:val="009A3E28"/>
    <w:rsid w:val="009A4AC2"/>
    <w:rsid w:val="009A4F09"/>
    <w:rsid w:val="009A65D4"/>
    <w:rsid w:val="009A74D6"/>
    <w:rsid w:val="009B0036"/>
    <w:rsid w:val="009B0E43"/>
    <w:rsid w:val="009B2947"/>
    <w:rsid w:val="009B3598"/>
    <w:rsid w:val="009B5A43"/>
    <w:rsid w:val="009B74D4"/>
    <w:rsid w:val="009B78B3"/>
    <w:rsid w:val="009C01E1"/>
    <w:rsid w:val="009C0651"/>
    <w:rsid w:val="009C26B7"/>
    <w:rsid w:val="009C3E3C"/>
    <w:rsid w:val="009C5C8F"/>
    <w:rsid w:val="009C6D32"/>
    <w:rsid w:val="009D227C"/>
    <w:rsid w:val="009D2655"/>
    <w:rsid w:val="009D2CE1"/>
    <w:rsid w:val="009D3F64"/>
    <w:rsid w:val="009D5AFA"/>
    <w:rsid w:val="009D62E9"/>
    <w:rsid w:val="009D6304"/>
    <w:rsid w:val="009E1A64"/>
    <w:rsid w:val="009E399D"/>
    <w:rsid w:val="009E6380"/>
    <w:rsid w:val="009F085A"/>
    <w:rsid w:val="009F1160"/>
    <w:rsid w:val="009F12BE"/>
    <w:rsid w:val="009F22D5"/>
    <w:rsid w:val="009F3DE6"/>
    <w:rsid w:val="009F4446"/>
    <w:rsid w:val="009F4DA2"/>
    <w:rsid w:val="009F6647"/>
    <w:rsid w:val="00A00672"/>
    <w:rsid w:val="00A020CB"/>
    <w:rsid w:val="00A04553"/>
    <w:rsid w:val="00A04C31"/>
    <w:rsid w:val="00A04C49"/>
    <w:rsid w:val="00A07EBC"/>
    <w:rsid w:val="00A10C53"/>
    <w:rsid w:val="00A121E0"/>
    <w:rsid w:val="00A14708"/>
    <w:rsid w:val="00A16277"/>
    <w:rsid w:val="00A21446"/>
    <w:rsid w:val="00A22551"/>
    <w:rsid w:val="00A22F0C"/>
    <w:rsid w:val="00A25A3F"/>
    <w:rsid w:val="00A2741B"/>
    <w:rsid w:val="00A332EC"/>
    <w:rsid w:val="00A363A8"/>
    <w:rsid w:val="00A379AA"/>
    <w:rsid w:val="00A4141E"/>
    <w:rsid w:val="00A441C4"/>
    <w:rsid w:val="00A456C4"/>
    <w:rsid w:val="00A4679D"/>
    <w:rsid w:val="00A51E3B"/>
    <w:rsid w:val="00A54597"/>
    <w:rsid w:val="00A56BFA"/>
    <w:rsid w:val="00A6212E"/>
    <w:rsid w:val="00A62C2A"/>
    <w:rsid w:val="00A630C5"/>
    <w:rsid w:val="00A63389"/>
    <w:rsid w:val="00A70187"/>
    <w:rsid w:val="00A708C7"/>
    <w:rsid w:val="00A70D92"/>
    <w:rsid w:val="00A7269B"/>
    <w:rsid w:val="00A749BF"/>
    <w:rsid w:val="00A777F7"/>
    <w:rsid w:val="00A80B31"/>
    <w:rsid w:val="00A84E2E"/>
    <w:rsid w:val="00A85A3A"/>
    <w:rsid w:val="00A86D75"/>
    <w:rsid w:val="00A90FB1"/>
    <w:rsid w:val="00A94D33"/>
    <w:rsid w:val="00A95EF8"/>
    <w:rsid w:val="00A97555"/>
    <w:rsid w:val="00AA093C"/>
    <w:rsid w:val="00AA272B"/>
    <w:rsid w:val="00AA2CBE"/>
    <w:rsid w:val="00AA3D18"/>
    <w:rsid w:val="00AA67E2"/>
    <w:rsid w:val="00AA6E37"/>
    <w:rsid w:val="00AB1E48"/>
    <w:rsid w:val="00AB2849"/>
    <w:rsid w:val="00AB3E56"/>
    <w:rsid w:val="00AB574E"/>
    <w:rsid w:val="00AB5858"/>
    <w:rsid w:val="00AB6FBE"/>
    <w:rsid w:val="00AB78A8"/>
    <w:rsid w:val="00AC1662"/>
    <w:rsid w:val="00AC2296"/>
    <w:rsid w:val="00AC6443"/>
    <w:rsid w:val="00AC7F13"/>
    <w:rsid w:val="00AD0604"/>
    <w:rsid w:val="00AD5397"/>
    <w:rsid w:val="00AD6759"/>
    <w:rsid w:val="00AD6F7C"/>
    <w:rsid w:val="00AD71EE"/>
    <w:rsid w:val="00AE190A"/>
    <w:rsid w:val="00AE344B"/>
    <w:rsid w:val="00AE4492"/>
    <w:rsid w:val="00AE6805"/>
    <w:rsid w:val="00AE6DD1"/>
    <w:rsid w:val="00AF0F74"/>
    <w:rsid w:val="00AF1259"/>
    <w:rsid w:val="00AF1FE8"/>
    <w:rsid w:val="00AF322F"/>
    <w:rsid w:val="00AF370A"/>
    <w:rsid w:val="00AF5840"/>
    <w:rsid w:val="00AF5B27"/>
    <w:rsid w:val="00AF7EF3"/>
    <w:rsid w:val="00B06FE4"/>
    <w:rsid w:val="00B10567"/>
    <w:rsid w:val="00B10803"/>
    <w:rsid w:val="00B116A9"/>
    <w:rsid w:val="00B134E2"/>
    <w:rsid w:val="00B14517"/>
    <w:rsid w:val="00B159EB"/>
    <w:rsid w:val="00B20492"/>
    <w:rsid w:val="00B204B7"/>
    <w:rsid w:val="00B22F5D"/>
    <w:rsid w:val="00B27557"/>
    <w:rsid w:val="00B31CB3"/>
    <w:rsid w:val="00B358C0"/>
    <w:rsid w:val="00B358C1"/>
    <w:rsid w:val="00B43155"/>
    <w:rsid w:val="00B436EA"/>
    <w:rsid w:val="00B5614F"/>
    <w:rsid w:val="00B60928"/>
    <w:rsid w:val="00B60B9A"/>
    <w:rsid w:val="00B60BBF"/>
    <w:rsid w:val="00B62249"/>
    <w:rsid w:val="00B65C9C"/>
    <w:rsid w:val="00B663F1"/>
    <w:rsid w:val="00B7087F"/>
    <w:rsid w:val="00B73205"/>
    <w:rsid w:val="00B7489F"/>
    <w:rsid w:val="00B77061"/>
    <w:rsid w:val="00B80203"/>
    <w:rsid w:val="00B80322"/>
    <w:rsid w:val="00B809F3"/>
    <w:rsid w:val="00B81CAB"/>
    <w:rsid w:val="00B81F78"/>
    <w:rsid w:val="00B81FA8"/>
    <w:rsid w:val="00B834AA"/>
    <w:rsid w:val="00B8570D"/>
    <w:rsid w:val="00B85A88"/>
    <w:rsid w:val="00B90014"/>
    <w:rsid w:val="00B920B8"/>
    <w:rsid w:val="00B95FE4"/>
    <w:rsid w:val="00B963FB"/>
    <w:rsid w:val="00B96558"/>
    <w:rsid w:val="00BA00F8"/>
    <w:rsid w:val="00BA233B"/>
    <w:rsid w:val="00BA6A91"/>
    <w:rsid w:val="00BA7621"/>
    <w:rsid w:val="00BB04ED"/>
    <w:rsid w:val="00BB0C5A"/>
    <w:rsid w:val="00BB2849"/>
    <w:rsid w:val="00BB5A8A"/>
    <w:rsid w:val="00BB5B72"/>
    <w:rsid w:val="00BB5BBA"/>
    <w:rsid w:val="00BB62F3"/>
    <w:rsid w:val="00BC0E4E"/>
    <w:rsid w:val="00BC41E7"/>
    <w:rsid w:val="00BC68DD"/>
    <w:rsid w:val="00BC7842"/>
    <w:rsid w:val="00BD14F4"/>
    <w:rsid w:val="00BD4F0F"/>
    <w:rsid w:val="00BD6AE1"/>
    <w:rsid w:val="00BE1D61"/>
    <w:rsid w:val="00BE2382"/>
    <w:rsid w:val="00BE31B2"/>
    <w:rsid w:val="00BE34BF"/>
    <w:rsid w:val="00BE5E73"/>
    <w:rsid w:val="00BE6437"/>
    <w:rsid w:val="00BE7111"/>
    <w:rsid w:val="00BF2E64"/>
    <w:rsid w:val="00BF39F8"/>
    <w:rsid w:val="00BF6522"/>
    <w:rsid w:val="00BF7D91"/>
    <w:rsid w:val="00C01D31"/>
    <w:rsid w:val="00C03874"/>
    <w:rsid w:val="00C0467A"/>
    <w:rsid w:val="00C0488C"/>
    <w:rsid w:val="00C07A22"/>
    <w:rsid w:val="00C10211"/>
    <w:rsid w:val="00C1083B"/>
    <w:rsid w:val="00C12765"/>
    <w:rsid w:val="00C133BF"/>
    <w:rsid w:val="00C14E28"/>
    <w:rsid w:val="00C15267"/>
    <w:rsid w:val="00C16202"/>
    <w:rsid w:val="00C166C0"/>
    <w:rsid w:val="00C17AB1"/>
    <w:rsid w:val="00C218AD"/>
    <w:rsid w:val="00C2226D"/>
    <w:rsid w:val="00C235A4"/>
    <w:rsid w:val="00C24240"/>
    <w:rsid w:val="00C34C6E"/>
    <w:rsid w:val="00C37F5F"/>
    <w:rsid w:val="00C42F40"/>
    <w:rsid w:val="00C447C9"/>
    <w:rsid w:val="00C463BE"/>
    <w:rsid w:val="00C4669F"/>
    <w:rsid w:val="00C52175"/>
    <w:rsid w:val="00C5479C"/>
    <w:rsid w:val="00C54DF4"/>
    <w:rsid w:val="00C55634"/>
    <w:rsid w:val="00C600F5"/>
    <w:rsid w:val="00C64BD1"/>
    <w:rsid w:val="00C64D11"/>
    <w:rsid w:val="00C672A8"/>
    <w:rsid w:val="00C70284"/>
    <w:rsid w:val="00C702F6"/>
    <w:rsid w:val="00C70E9C"/>
    <w:rsid w:val="00C71FAD"/>
    <w:rsid w:val="00C7484A"/>
    <w:rsid w:val="00C76CD9"/>
    <w:rsid w:val="00C76EB2"/>
    <w:rsid w:val="00C8229E"/>
    <w:rsid w:val="00C84AB9"/>
    <w:rsid w:val="00C84B00"/>
    <w:rsid w:val="00C8597F"/>
    <w:rsid w:val="00C9215F"/>
    <w:rsid w:val="00C938F7"/>
    <w:rsid w:val="00C965B0"/>
    <w:rsid w:val="00C972A9"/>
    <w:rsid w:val="00C97AA8"/>
    <w:rsid w:val="00CA0794"/>
    <w:rsid w:val="00CA0D1D"/>
    <w:rsid w:val="00CA0DE3"/>
    <w:rsid w:val="00CA23C4"/>
    <w:rsid w:val="00CA241A"/>
    <w:rsid w:val="00CA28EE"/>
    <w:rsid w:val="00CA4155"/>
    <w:rsid w:val="00CA5147"/>
    <w:rsid w:val="00CB4991"/>
    <w:rsid w:val="00CB7E1D"/>
    <w:rsid w:val="00CC0399"/>
    <w:rsid w:val="00CC3CFD"/>
    <w:rsid w:val="00CC617D"/>
    <w:rsid w:val="00CC6305"/>
    <w:rsid w:val="00CD06C1"/>
    <w:rsid w:val="00CD313C"/>
    <w:rsid w:val="00CE07EC"/>
    <w:rsid w:val="00CE1529"/>
    <w:rsid w:val="00CE3A70"/>
    <w:rsid w:val="00CE42D9"/>
    <w:rsid w:val="00CE4DA7"/>
    <w:rsid w:val="00CE50C6"/>
    <w:rsid w:val="00CE6689"/>
    <w:rsid w:val="00CF3B74"/>
    <w:rsid w:val="00CF4831"/>
    <w:rsid w:val="00CF4B33"/>
    <w:rsid w:val="00CF6AE1"/>
    <w:rsid w:val="00CF7C33"/>
    <w:rsid w:val="00D00278"/>
    <w:rsid w:val="00D01224"/>
    <w:rsid w:val="00D0343E"/>
    <w:rsid w:val="00D05A55"/>
    <w:rsid w:val="00D12B8B"/>
    <w:rsid w:val="00D1398E"/>
    <w:rsid w:val="00D17C5B"/>
    <w:rsid w:val="00D21358"/>
    <w:rsid w:val="00D22547"/>
    <w:rsid w:val="00D256D5"/>
    <w:rsid w:val="00D25C5A"/>
    <w:rsid w:val="00D2716A"/>
    <w:rsid w:val="00D342EC"/>
    <w:rsid w:val="00D35B2A"/>
    <w:rsid w:val="00D35CE9"/>
    <w:rsid w:val="00D3714A"/>
    <w:rsid w:val="00D37EED"/>
    <w:rsid w:val="00D416C5"/>
    <w:rsid w:val="00D431F3"/>
    <w:rsid w:val="00D4476D"/>
    <w:rsid w:val="00D462C1"/>
    <w:rsid w:val="00D47B90"/>
    <w:rsid w:val="00D502AB"/>
    <w:rsid w:val="00D511CF"/>
    <w:rsid w:val="00D53474"/>
    <w:rsid w:val="00D57933"/>
    <w:rsid w:val="00D718E2"/>
    <w:rsid w:val="00D723DB"/>
    <w:rsid w:val="00D7290C"/>
    <w:rsid w:val="00D74652"/>
    <w:rsid w:val="00D760C8"/>
    <w:rsid w:val="00D76952"/>
    <w:rsid w:val="00D77417"/>
    <w:rsid w:val="00D82C25"/>
    <w:rsid w:val="00D83884"/>
    <w:rsid w:val="00D9124E"/>
    <w:rsid w:val="00D91FDF"/>
    <w:rsid w:val="00D93191"/>
    <w:rsid w:val="00D94CC9"/>
    <w:rsid w:val="00D94F8B"/>
    <w:rsid w:val="00D9508E"/>
    <w:rsid w:val="00D95F13"/>
    <w:rsid w:val="00D96CF8"/>
    <w:rsid w:val="00DA027E"/>
    <w:rsid w:val="00DA28F9"/>
    <w:rsid w:val="00DA55E6"/>
    <w:rsid w:val="00DA5EAF"/>
    <w:rsid w:val="00DA6349"/>
    <w:rsid w:val="00DA71EE"/>
    <w:rsid w:val="00DB00CB"/>
    <w:rsid w:val="00DB4D44"/>
    <w:rsid w:val="00DB5649"/>
    <w:rsid w:val="00DB5EFD"/>
    <w:rsid w:val="00DB64F4"/>
    <w:rsid w:val="00DB6611"/>
    <w:rsid w:val="00DC0C81"/>
    <w:rsid w:val="00DC1962"/>
    <w:rsid w:val="00DC390A"/>
    <w:rsid w:val="00DC5905"/>
    <w:rsid w:val="00DC6114"/>
    <w:rsid w:val="00DD199E"/>
    <w:rsid w:val="00DD1E1F"/>
    <w:rsid w:val="00DD23DE"/>
    <w:rsid w:val="00DD26E1"/>
    <w:rsid w:val="00DD4716"/>
    <w:rsid w:val="00DD4876"/>
    <w:rsid w:val="00DD5433"/>
    <w:rsid w:val="00DD655A"/>
    <w:rsid w:val="00DD6CBB"/>
    <w:rsid w:val="00DD7D22"/>
    <w:rsid w:val="00DE33FE"/>
    <w:rsid w:val="00DE35F8"/>
    <w:rsid w:val="00DE6244"/>
    <w:rsid w:val="00DE6532"/>
    <w:rsid w:val="00DF1863"/>
    <w:rsid w:val="00DF2C3D"/>
    <w:rsid w:val="00DF3F5C"/>
    <w:rsid w:val="00DF4437"/>
    <w:rsid w:val="00DF4805"/>
    <w:rsid w:val="00DF5E03"/>
    <w:rsid w:val="00DF7504"/>
    <w:rsid w:val="00E0019C"/>
    <w:rsid w:val="00E00460"/>
    <w:rsid w:val="00E006F9"/>
    <w:rsid w:val="00E015DA"/>
    <w:rsid w:val="00E0300A"/>
    <w:rsid w:val="00E04F16"/>
    <w:rsid w:val="00E05B97"/>
    <w:rsid w:val="00E07422"/>
    <w:rsid w:val="00E165BF"/>
    <w:rsid w:val="00E165ED"/>
    <w:rsid w:val="00E16BF9"/>
    <w:rsid w:val="00E20420"/>
    <w:rsid w:val="00E20802"/>
    <w:rsid w:val="00E22AFD"/>
    <w:rsid w:val="00E23D69"/>
    <w:rsid w:val="00E23F62"/>
    <w:rsid w:val="00E24E44"/>
    <w:rsid w:val="00E25944"/>
    <w:rsid w:val="00E26B9A"/>
    <w:rsid w:val="00E26F9B"/>
    <w:rsid w:val="00E300E0"/>
    <w:rsid w:val="00E32A3F"/>
    <w:rsid w:val="00E331ED"/>
    <w:rsid w:val="00E366E1"/>
    <w:rsid w:val="00E37F6A"/>
    <w:rsid w:val="00E437CC"/>
    <w:rsid w:val="00E45527"/>
    <w:rsid w:val="00E45A75"/>
    <w:rsid w:val="00E45FAC"/>
    <w:rsid w:val="00E465C0"/>
    <w:rsid w:val="00E4772B"/>
    <w:rsid w:val="00E5106F"/>
    <w:rsid w:val="00E525B9"/>
    <w:rsid w:val="00E53D3D"/>
    <w:rsid w:val="00E556A9"/>
    <w:rsid w:val="00E5593E"/>
    <w:rsid w:val="00E55BDE"/>
    <w:rsid w:val="00E57F78"/>
    <w:rsid w:val="00E669FA"/>
    <w:rsid w:val="00E738DF"/>
    <w:rsid w:val="00E7462D"/>
    <w:rsid w:val="00E76A1D"/>
    <w:rsid w:val="00E83714"/>
    <w:rsid w:val="00E8510C"/>
    <w:rsid w:val="00E92652"/>
    <w:rsid w:val="00E95C15"/>
    <w:rsid w:val="00E965F1"/>
    <w:rsid w:val="00E967AA"/>
    <w:rsid w:val="00EA290F"/>
    <w:rsid w:val="00EA2CDB"/>
    <w:rsid w:val="00EA36F1"/>
    <w:rsid w:val="00EA6AE0"/>
    <w:rsid w:val="00EA78A8"/>
    <w:rsid w:val="00EA78FB"/>
    <w:rsid w:val="00EB03C3"/>
    <w:rsid w:val="00EB36D2"/>
    <w:rsid w:val="00EB4F28"/>
    <w:rsid w:val="00EB4F77"/>
    <w:rsid w:val="00EB7195"/>
    <w:rsid w:val="00EC06ED"/>
    <w:rsid w:val="00EC4E09"/>
    <w:rsid w:val="00EC6264"/>
    <w:rsid w:val="00EC6840"/>
    <w:rsid w:val="00EC705B"/>
    <w:rsid w:val="00EC7965"/>
    <w:rsid w:val="00ED1EA6"/>
    <w:rsid w:val="00ED2581"/>
    <w:rsid w:val="00ED4C16"/>
    <w:rsid w:val="00ED7E80"/>
    <w:rsid w:val="00EE04C7"/>
    <w:rsid w:val="00EE05A2"/>
    <w:rsid w:val="00EE5710"/>
    <w:rsid w:val="00EF3359"/>
    <w:rsid w:val="00EF37C6"/>
    <w:rsid w:val="00EF3811"/>
    <w:rsid w:val="00EF3F4C"/>
    <w:rsid w:val="00EF4B64"/>
    <w:rsid w:val="00F02562"/>
    <w:rsid w:val="00F03AB6"/>
    <w:rsid w:val="00F13144"/>
    <w:rsid w:val="00F13431"/>
    <w:rsid w:val="00F13A89"/>
    <w:rsid w:val="00F16D19"/>
    <w:rsid w:val="00F20932"/>
    <w:rsid w:val="00F218C5"/>
    <w:rsid w:val="00F22AB7"/>
    <w:rsid w:val="00F23159"/>
    <w:rsid w:val="00F24FBC"/>
    <w:rsid w:val="00F27209"/>
    <w:rsid w:val="00F3152D"/>
    <w:rsid w:val="00F31666"/>
    <w:rsid w:val="00F33CDC"/>
    <w:rsid w:val="00F3417C"/>
    <w:rsid w:val="00F34C74"/>
    <w:rsid w:val="00F366C5"/>
    <w:rsid w:val="00F374A5"/>
    <w:rsid w:val="00F37CFD"/>
    <w:rsid w:val="00F40416"/>
    <w:rsid w:val="00F439B0"/>
    <w:rsid w:val="00F448C4"/>
    <w:rsid w:val="00F458FD"/>
    <w:rsid w:val="00F45DC6"/>
    <w:rsid w:val="00F47110"/>
    <w:rsid w:val="00F473D3"/>
    <w:rsid w:val="00F52950"/>
    <w:rsid w:val="00F535F2"/>
    <w:rsid w:val="00F55A92"/>
    <w:rsid w:val="00F56079"/>
    <w:rsid w:val="00F56087"/>
    <w:rsid w:val="00F57BF0"/>
    <w:rsid w:val="00F6072A"/>
    <w:rsid w:val="00F608C6"/>
    <w:rsid w:val="00F61192"/>
    <w:rsid w:val="00F62E75"/>
    <w:rsid w:val="00F64C50"/>
    <w:rsid w:val="00F653A1"/>
    <w:rsid w:val="00F72781"/>
    <w:rsid w:val="00F80DB4"/>
    <w:rsid w:val="00F818F3"/>
    <w:rsid w:val="00F81BAA"/>
    <w:rsid w:val="00F81F33"/>
    <w:rsid w:val="00F8260A"/>
    <w:rsid w:val="00F85953"/>
    <w:rsid w:val="00F906F6"/>
    <w:rsid w:val="00F908CE"/>
    <w:rsid w:val="00F94F82"/>
    <w:rsid w:val="00FA17C3"/>
    <w:rsid w:val="00FA3569"/>
    <w:rsid w:val="00FA58CD"/>
    <w:rsid w:val="00FA62F5"/>
    <w:rsid w:val="00FA6C9C"/>
    <w:rsid w:val="00FB1D5C"/>
    <w:rsid w:val="00FB2866"/>
    <w:rsid w:val="00FB3045"/>
    <w:rsid w:val="00FB31F4"/>
    <w:rsid w:val="00FB3545"/>
    <w:rsid w:val="00FB3E20"/>
    <w:rsid w:val="00FB6032"/>
    <w:rsid w:val="00FB7AE8"/>
    <w:rsid w:val="00FC0C9B"/>
    <w:rsid w:val="00FC1690"/>
    <w:rsid w:val="00FC26F1"/>
    <w:rsid w:val="00FC2B5B"/>
    <w:rsid w:val="00FC3EF0"/>
    <w:rsid w:val="00FC464F"/>
    <w:rsid w:val="00FC6216"/>
    <w:rsid w:val="00FC79DC"/>
    <w:rsid w:val="00FD113D"/>
    <w:rsid w:val="00FD4C35"/>
    <w:rsid w:val="00FD4DB0"/>
    <w:rsid w:val="00FD5243"/>
    <w:rsid w:val="00FE092F"/>
    <w:rsid w:val="00FE0CE7"/>
    <w:rsid w:val="00FE25AA"/>
    <w:rsid w:val="00FE2DFA"/>
    <w:rsid w:val="00FE520F"/>
    <w:rsid w:val="00FE596E"/>
    <w:rsid w:val="00FE6C71"/>
    <w:rsid w:val="00FE7BBB"/>
    <w:rsid w:val="00FF052D"/>
    <w:rsid w:val="00FF397C"/>
    <w:rsid w:val="00FF4F6A"/>
    <w:rsid w:val="00FF665B"/>
    <w:rsid w:val="00FF66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EA1C832"/>
  <w15:docId w15:val="{04F396B5-06EF-416B-9C94-B6CC7A184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51E3B"/>
    <w:rPr>
      <w:rFonts w:ascii="MS PGothic" w:eastAsia="MS PGothic" w:hAnsi="MS PGothic" w:cs="MS PGothic"/>
      <w:kern w:val="0"/>
      <w:sz w:val="24"/>
    </w:rPr>
  </w:style>
  <w:style w:type="paragraph" w:styleId="1">
    <w:name w:val="heading 1"/>
    <w:basedOn w:val="a"/>
    <w:link w:val="10"/>
    <w:uiPriority w:val="9"/>
    <w:qFormat/>
    <w:rsid w:val="00B204B7"/>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endnote text"/>
    <w:basedOn w:val="a"/>
    <w:link w:val="a4"/>
    <w:uiPriority w:val="99"/>
    <w:semiHidden/>
    <w:unhideWhenUsed/>
    <w:rsid w:val="00151364"/>
    <w:pPr>
      <w:snapToGrid w:val="0"/>
    </w:pPr>
  </w:style>
  <w:style w:type="character" w:customStyle="1" w:styleId="a4">
    <w:name w:val="尾注文本 字符"/>
    <w:basedOn w:val="a0"/>
    <w:link w:val="a3"/>
    <w:uiPriority w:val="99"/>
    <w:semiHidden/>
    <w:rsid w:val="00151364"/>
  </w:style>
  <w:style w:type="character" w:styleId="a5">
    <w:name w:val="endnote reference"/>
    <w:basedOn w:val="a0"/>
    <w:uiPriority w:val="99"/>
    <w:semiHidden/>
    <w:unhideWhenUsed/>
    <w:rsid w:val="00151364"/>
    <w:rPr>
      <w:vertAlign w:val="superscript"/>
    </w:rPr>
  </w:style>
  <w:style w:type="paragraph" w:styleId="a6">
    <w:name w:val="header"/>
    <w:basedOn w:val="a"/>
    <w:link w:val="a7"/>
    <w:uiPriority w:val="99"/>
    <w:unhideWhenUsed/>
    <w:rsid w:val="00151364"/>
    <w:pPr>
      <w:widowControl w:val="0"/>
      <w:tabs>
        <w:tab w:val="center" w:pos="4252"/>
        <w:tab w:val="right" w:pos="8504"/>
      </w:tabs>
      <w:snapToGrid w:val="0"/>
      <w:jc w:val="both"/>
    </w:pPr>
    <w:rPr>
      <w:rFonts w:asciiTheme="minorHAnsi" w:eastAsiaTheme="minorEastAsia" w:hAnsiTheme="minorHAnsi" w:cstheme="minorBidi"/>
      <w:kern w:val="2"/>
      <w:sz w:val="21"/>
    </w:rPr>
  </w:style>
  <w:style w:type="character" w:customStyle="1" w:styleId="a7">
    <w:name w:val="页眉 字符"/>
    <w:basedOn w:val="a0"/>
    <w:link w:val="a6"/>
    <w:uiPriority w:val="99"/>
    <w:rsid w:val="00151364"/>
  </w:style>
  <w:style w:type="paragraph" w:styleId="a8">
    <w:name w:val="footer"/>
    <w:basedOn w:val="a"/>
    <w:link w:val="a9"/>
    <w:uiPriority w:val="99"/>
    <w:unhideWhenUsed/>
    <w:rsid w:val="00151364"/>
    <w:pPr>
      <w:widowControl w:val="0"/>
      <w:tabs>
        <w:tab w:val="center" w:pos="4252"/>
        <w:tab w:val="right" w:pos="8504"/>
      </w:tabs>
      <w:snapToGrid w:val="0"/>
      <w:jc w:val="both"/>
    </w:pPr>
    <w:rPr>
      <w:rFonts w:asciiTheme="minorHAnsi" w:eastAsiaTheme="minorEastAsia" w:hAnsiTheme="minorHAnsi" w:cstheme="minorBidi"/>
      <w:kern w:val="2"/>
      <w:sz w:val="21"/>
    </w:rPr>
  </w:style>
  <w:style w:type="character" w:customStyle="1" w:styleId="a9">
    <w:name w:val="页脚 字符"/>
    <w:basedOn w:val="a0"/>
    <w:link w:val="a8"/>
    <w:uiPriority w:val="99"/>
    <w:rsid w:val="00151364"/>
  </w:style>
  <w:style w:type="paragraph" w:styleId="aa">
    <w:name w:val="List Paragraph"/>
    <w:basedOn w:val="a"/>
    <w:uiPriority w:val="34"/>
    <w:qFormat/>
    <w:rsid w:val="0013641B"/>
    <w:pPr>
      <w:ind w:leftChars="400" w:left="840"/>
    </w:pPr>
  </w:style>
  <w:style w:type="character" w:styleId="ab">
    <w:name w:val="annotation reference"/>
    <w:basedOn w:val="a0"/>
    <w:uiPriority w:val="99"/>
    <w:semiHidden/>
    <w:unhideWhenUsed/>
    <w:rsid w:val="00ED7E80"/>
    <w:rPr>
      <w:sz w:val="18"/>
      <w:szCs w:val="18"/>
    </w:rPr>
  </w:style>
  <w:style w:type="paragraph" w:styleId="ac">
    <w:name w:val="annotation text"/>
    <w:basedOn w:val="a"/>
    <w:link w:val="ad"/>
    <w:uiPriority w:val="99"/>
    <w:unhideWhenUsed/>
    <w:rsid w:val="00ED7E80"/>
  </w:style>
  <w:style w:type="character" w:customStyle="1" w:styleId="ad">
    <w:name w:val="批注文字 字符"/>
    <w:basedOn w:val="a0"/>
    <w:link w:val="ac"/>
    <w:uiPriority w:val="99"/>
    <w:rsid w:val="00ED7E80"/>
    <w:rPr>
      <w:rFonts w:ascii="MS PGothic" w:eastAsia="MS PGothic" w:hAnsi="MS PGothic" w:cs="MS PGothic"/>
      <w:kern w:val="0"/>
      <w:sz w:val="24"/>
    </w:rPr>
  </w:style>
  <w:style w:type="paragraph" w:styleId="ae">
    <w:name w:val="annotation subject"/>
    <w:basedOn w:val="ac"/>
    <w:next w:val="ac"/>
    <w:link w:val="af"/>
    <w:uiPriority w:val="99"/>
    <w:semiHidden/>
    <w:unhideWhenUsed/>
    <w:rsid w:val="00ED7E80"/>
    <w:rPr>
      <w:b/>
      <w:bCs/>
    </w:rPr>
  </w:style>
  <w:style w:type="character" w:customStyle="1" w:styleId="af">
    <w:name w:val="批注主题 字符"/>
    <w:basedOn w:val="ad"/>
    <w:link w:val="ae"/>
    <w:uiPriority w:val="99"/>
    <w:semiHidden/>
    <w:rsid w:val="00ED7E80"/>
    <w:rPr>
      <w:rFonts w:ascii="MS PGothic" w:eastAsia="MS PGothic" w:hAnsi="MS PGothic" w:cs="MS PGothic"/>
      <w:b/>
      <w:bCs/>
      <w:kern w:val="0"/>
      <w:sz w:val="24"/>
    </w:rPr>
  </w:style>
  <w:style w:type="paragraph" w:styleId="af0">
    <w:name w:val="Balloon Text"/>
    <w:basedOn w:val="a"/>
    <w:link w:val="af1"/>
    <w:uiPriority w:val="99"/>
    <w:semiHidden/>
    <w:unhideWhenUsed/>
    <w:rsid w:val="00ED7E80"/>
    <w:rPr>
      <w:rFonts w:ascii="MS Mincho" w:eastAsia="MS Mincho"/>
      <w:sz w:val="20"/>
      <w:szCs w:val="18"/>
    </w:rPr>
  </w:style>
  <w:style w:type="character" w:customStyle="1" w:styleId="af1">
    <w:name w:val="批注框文本 字符"/>
    <w:basedOn w:val="a0"/>
    <w:link w:val="af0"/>
    <w:uiPriority w:val="99"/>
    <w:semiHidden/>
    <w:rsid w:val="00ED7E80"/>
    <w:rPr>
      <w:rFonts w:ascii="MS Mincho" w:eastAsia="MS Mincho" w:hAnsi="MS PGothic" w:cs="MS PGothic"/>
      <w:kern w:val="0"/>
      <w:sz w:val="20"/>
      <w:szCs w:val="18"/>
    </w:rPr>
  </w:style>
  <w:style w:type="character" w:customStyle="1" w:styleId="10">
    <w:name w:val="标题 1 字符"/>
    <w:basedOn w:val="a0"/>
    <w:link w:val="1"/>
    <w:uiPriority w:val="9"/>
    <w:rsid w:val="00B204B7"/>
    <w:rPr>
      <w:rFonts w:ascii="MS PGothic" w:eastAsia="MS PGothic" w:hAnsi="MS PGothic" w:cs="MS PGothic"/>
      <w:b/>
      <w:bCs/>
      <w:kern w:val="36"/>
      <w:sz w:val="48"/>
      <w:szCs w:val="48"/>
    </w:rPr>
  </w:style>
  <w:style w:type="character" w:customStyle="1" w:styleId="apple-converted-space">
    <w:name w:val="apple-converted-space"/>
    <w:basedOn w:val="a0"/>
    <w:rsid w:val="00B204B7"/>
  </w:style>
  <w:style w:type="character" w:customStyle="1" w:styleId="highlight">
    <w:name w:val="highlight"/>
    <w:basedOn w:val="a0"/>
    <w:rsid w:val="00B204B7"/>
  </w:style>
  <w:style w:type="paragraph" w:styleId="af2">
    <w:name w:val="Normal (Web)"/>
    <w:basedOn w:val="a"/>
    <w:uiPriority w:val="99"/>
    <w:unhideWhenUsed/>
    <w:rsid w:val="00842EA3"/>
    <w:pPr>
      <w:spacing w:before="100" w:beforeAutospacing="1" w:after="100" w:afterAutospacing="1"/>
    </w:pPr>
  </w:style>
  <w:style w:type="paragraph" w:styleId="af3">
    <w:name w:val="Revision"/>
    <w:hidden/>
    <w:uiPriority w:val="99"/>
    <w:semiHidden/>
    <w:rsid w:val="00EB4F28"/>
    <w:rPr>
      <w:rFonts w:ascii="MS PGothic" w:eastAsia="MS PGothic" w:hAnsi="MS PGothic" w:cs="MS PGothic"/>
      <w:kern w:val="0"/>
      <w:sz w:val="24"/>
    </w:rPr>
  </w:style>
  <w:style w:type="character" w:styleId="af4">
    <w:name w:val="Hyperlink"/>
    <w:basedOn w:val="a0"/>
    <w:uiPriority w:val="99"/>
    <w:unhideWhenUsed/>
    <w:rsid w:val="00BC7842"/>
    <w:rPr>
      <w:color w:val="0000FF"/>
      <w:u w:val="single"/>
    </w:rPr>
  </w:style>
  <w:style w:type="character" w:styleId="af5">
    <w:name w:val="FollowedHyperlink"/>
    <w:basedOn w:val="a0"/>
    <w:uiPriority w:val="99"/>
    <w:semiHidden/>
    <w:unhideWhenUsed/>
    <w:rsid w:val="00BC7842"/>
    <w:rPr>
      <w:color w:val="954F72" w:themeColor="followedHyperlink"/>
      <w:u w:val="single"/>
    </w:rPr>
  </w:style>
  <w:style w:type="character" w:customStyle="1" w:styleId="UnresolvedMention1">
    <w:name w:val="Unresolved Mention1"/>
    <w:basedOn w:val="a0"/>
    <w:uiPriority w:val="99"/>
    <w:semiHidden/>
    <w:unhideWhenUsed/>
    <w:rsid w:val="008F1C4D"/>
    <w:rPr>
      <w:color w:val="605E5C"/>
      <w:shd w:val="clear" w:color="auto" w:fill="E1DFDD"/>
    </w:rPr>
  </w:style>
  <w:style w:type="character" w:styleId="af6">
    <w:name w:val="line number"/>
    <w:basedOn w:val="a0"/>
    <w:uiPriority w:val="99"/>
    <w:semiHidden/>
    <w:unhideWhenUsed/>
    <w:rsid w:val="00B134E2"/>
  </w:style>
  <w:style w:type="paragraph" w:styleId="af7">
    <w:name w:val="Plain Text"/>
    <w:basedOn w:val="a"/>
    <w:link w:val="af8"/>
    <w:semiHidden/>
    <w:unhideWhenUsed/>
    <w:rsid w:val="00116D17"/>
    <w:pPr>
      <w:widowControl w:val="0"/>
      <w:jc w:val="both"/>
    </w:pPr>
    <w:rPr>
      <w:rFonts w:ascii="宋体" w:eastAsia="宋体" w:hAnsi="Courier New" w:cs="Courier New"/>
      <w:kern w:val="2"/>
      <w:sz w:val="21"/>
      <w:szCs w:val="21"/>
      <w:lang w:eastAsia="zh-CN"/>
    </w:rPr>
  </w:style>
  <w:style w:type="character" w:customStyle="1" w:styleId="af8">
    <w:name w:val="纯文本 字符"/>
    <w:basedOn w:val="a0"/>
    <w:link w:val="af7"/>
    <w:semiHidden/>
    <w:rsid w:val="00116D17"/>
    <w:rPr>
      <w:rFonts w:ascii="宋体" w:eastAsia="宋体" w:hAnsi="Courier New" w:cs="Courier New"/>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366893">
      <w:bodyDiv w:val="1"/>
      <w:marLeft w:val="0"/>
      <w:marRight w:val="0"/>
      <w:marTop w:val="0"/>
      <w:marBottom w:val="0"/>
      <w:divBdr>
        <w:top w:val="none" w:sz="0" w:space="0" w:color="auto"/>
        <w:left w:val="none" w:sz="0" w:space="0" w:color="auto"/>
        <w:bottom w:val="none" w:sz="0" w:space="0" w:color="auto"/>
        <w:right w:val="none" w:sz="0" w:space="0" w:color="auto"/>
      </w:divBdr>
    </w:div>
    <w:div w:id="181012339">
      <w:bodyDiv w:val="1"/>
      <w:marLeft w:val="0"/>
      <w:marRight w:val="0"/>
      <w:marTop w:val="0"/>
      <w:marBottom w:val="0"/>
      <w:divBdr>
        <w:top w:val="none" w:sz="0" w:space="0" w:color="auto"/>
        <w:left w:val="none" w:sz="0" w:space="0" w:color="auto"/>
        <w:bottom w:val="none" w:sz="0" w:space="0" w:color="auto"/>
        <w:right w:val="none" w:sz="0" w:space="0" w:color="auto"/>
      </w:divBdr>
    </w:div>
    <w:div w:id="212891200">
      <w:bodyDiv w:val="1"/>
      <w:marLeft w:val="0"/>
      <w:marRight w:val="0"/>
      <w:marTop w:val="0"/>
      <w:marBottom w:val="0"/>
      <w:divBdr>
        <w:top w:val="none" w:sz="0" w:space="0" w:color="auto"/>
        <w:left w:val="none" w:sz="0" w:space="0" w:color="auto"/>
        <w:bottom w:val="none" w:sz="0" w:space="0" w:color="auto"/>
        <w:right w:val="none" w:sz="0" w:space="0" w:color="auto"/>
      </w:divBdr>
    </w:div>
    <w:div w:id="220598736">
      <w:bodyDiv w:val="1"/>
      <w:marLeft w:val="0"/>
      <w:marRight w:val="0"/>
      <w:marTop w:val="0"/>
      <w:marBottom w:val="0"/>
      <w:divBdr>
        <w:top w:val="none" w:sz="0" w:space="0" w:color="auto"/>
        <w:left w:val="none" w:sz="0" w:space="0" w:color="auto"/>
        <w:bottom w:val="none" w:sz="0" w:space="0" w:color="auto"/>
        <w:right w:val="none" w:sz="0" w:space="0" w:color="auto"/>
      </w:divBdr>
    </w:div>
    <w:div w:id="464546044">
      <w:bodyDiv w:val="1"/>
      <w:marLeft w:val="0"/>
      <w:marRight w:val="0"/>
      <w:marTop w:val="0"/>
      <w:marBottom w:val="0"/>
      <w:divBdr>
        <w:top w:val="none" w:sz="0" w:space="0" w:color="auto"/>
        <w:left w:val="none" w:sz="0" w:space="0" w:color="auto"/>
        <w:bottom w:val="none" w:sz="0" w:space="0" w:color="auto"/>
        <w:right w:val="none" w:sz="0" w:space="0" w:color="auto"/>
      </w:divBdr>
    </w:div>
    <w:div w:id="496119816">
      <w:bodyDiv w:val="1"/>
      <w:marLeft w:val="0"/>
      <w:marRight w:val="0"/>
      <w:marTop w:val="0"/>
      <w:marBottom w:val="0"/>
      <w:divBdr>
        <w:top w:val="none" w:sz="0" w:space="0" w:color="auto"/>
        <w:left w:val="none" w:sz="0" w:space="0" w:color="auto"/>
        <w:bottom w:val="none" w:sz="0" w:space="0" w:color="auto"/>
        <w:right w:val="none" w:sz="0" w:space="0" w:color="auto"/>
      </w:divBdr>
    </w:div>
    <w:div w:id="526068175">
      <w:bodyDiv w:val="1"/>
      <w:marLeft w:val="0"/>
      <w:marRight w:val="0"/>
      <w:marTop w:val="0"/>
      <w:marBottom w:val="0"/>
      <w:divBdr>
        <w:top w:val="none" w:sz="0" w:space="0" w:color="auto"/>
        <w:left w:val="none" w:sz="0" w:space="0" w:color="auto"/>
        <w:bottom w:val="none" w:sz="0" w:space="0" w:color="auto"/>
        <w:right w:val="none" w:sz="0" w:space="0" w:color="auto"/>
      </w:divBdr>
    </w:div>
    <w:div w:id="600648737">
      <w:bodyDiv w:val="1"/>
      <w:marLeft w:val="0"/>
      <w:marRight w:val="0"/>
      <w:marTop w:val="0"/>
      <w:marBottom w:val="0"/>
      <w:divBdr>
        <w:top w:val="none" w:sz="0" w:space="0" w:color="auto"/>
        <w:left w:val="none" w:sz="0" w:space="0" w:color="auto"/>
        <w:bottom w:val="none" w:sz="0" w:space="0" w:color="auto"/>
        <w:right w:val="none" w:sz="0" w:space="0" w:color="auto"/>
      </w:divBdr>
    </w:div>
    <w:div w:id="623074473">
      <w:bodyDiv w:val="1"/>
      <w:marLeft w:val="0"/>
      <w:marRight w:val="0"/>
      <w:marTop w:val="0"/>
      <w:marBottom w:val="0"/>
      <w:divBdr>
        <w:top w:val="none" w:sz="0" w:space="0" w:color="auto"/>
        <w:left w:val="none" w:sz="0" w:space="0" w:color="auto"/>
        <w:bottom w:val="none" w:sz="0" w:space="0" w:color="auto"/>
        <w:right w:val="none" w:sz="0" w:space="0" w:color="auto"/>
      </w:divBdr>
    </w:div>
    <w:div w:id="665405476">
      <w:bodyDiv w:val="1"/>
      <w:marLeft w:val="0"/>
      <w:marRight w:val="0"/>
      <w:marTop w:val="0"/>
      <w:marBottom w:val="0"/>
      <w:divBdr>
        <w:top w:val="none" w:sz="0" w:space="0" w:color="auto"/>
        <w:left w:val="none" w:sz="0" w:space="0" w:color="auto"/>
        <w:bottom w:val="none" w:sz="0" w:space="0" w:color="auto"/>
        <w:right w:val="none" w:sz="0" w:space="0" w:color="auto"/>
      </w:divBdr>
    </w:div>
    <w:div w:id="672802275">
      <w:bodyDiv w:val="1"/>
      <w:marLeft w:val="0"/>
      <w:marRight w:val="0"/>
      <w:marTop w:val="0"/>
      <w:marBottom w:val="0"/>
      <w:divBdr>
        <w:top w:val="none" w:sz="0" w:space="0" w:color="auto"/>
        <w:left w:val="none" w:sz="0" w:space="0" w:color="auto"/>
        <w:bottom w:val="none" w:sz="0" w:space="0" w:color="auto"/>
        <w:right w:val="none" w:sz="0" w:space="0" w:color="auto"/>
      </w:divBdr>
    </w:div>
    <w:div w:id="674188069">
      <w:bodyDiv w:val="1"/>
      <w:marLeft w:val="0"/>
      <w:marRight w:val="0"/>
      <w:marTop w:val="0"/>
      <w:marBottom w:val="0"/>
      <w:divBdr>
        <w:top w:val="none" w:sz="0" w:space="0" w:color="auto"/>
        <w:left w:val="none" w:sz="0" w:space="0" w:color="auto"/>
        <w:bottom w:val="none" w:sz="0" w:space="0" w:color="auto"/>
        <w:right w:val="none" w:sz="0" w:space="0" w:color="auto"/>
      </w:divBdr>
    </w:div>
    <w:div w:id="751321447">
      <w:bodyDiv w:val="1"/>
      <w:marLeft w:val="0"/>
      <w:marRight w:val="0"/>
      <w:marTop w:val="0"/>
      <w:marBottom w:val="0"/>
      <w:divBdr>
        <w:top w:val="none" w:sz="0" w:space="0" w:color="auto"/>
        <w:left w:val="none" w:sz="0" w:space="0" w:color="auto"/>
        <w:bottom w:val="none" w:sz="0" w:space="0" w:color="auto"/>
        <w:right w:val="none" w:sz="0" w:space="0" w:color="auto"/>
      </w:divBdr>
    </w:div>
    <w:div w:id="975797220">
      <w:bodyDiv w:val="1"/>
      <w:marLeft w:val="0"/>
      <w:marRight w:val="0"/>
      <w:marTop w:val="0"/>
      <w:marBottom w:val="0"/>
      <w:divBdr>
        <w:top w:val="none" w:sz="0" w:space="0" w:color="auto"/>
        <w:left w:val="none" w:sz="0" w:space="0" w:color="auto"/>
        <w:bottom w:val="none" w:sz="0" w:space="0" w:color="auto"/>
        <w:right w:val="none" w:sz="0" w:space="0" w:color="auto"/>
      </w:divBdr>
    </w:div>
    <w:div w:id="1035228408">
      <w:bodyDiv w:val="1"/>
      <w:marLeft w:val="0"/>
      <w:marRight w:val="0"/>
      <w:marTop w:val="0"/>
      <w:marBottom w:val="0"/>
      <w:divBdr>
        <w:top w:val="none" w:sz="0" w:space="0" w:color="auto"/>
        <w:left w:val="none" w:sz="0" w:space="0" w:color="auto"/>
        <w:bottom w:val="none" w:sz="0" w:space="0" w:color="auto"/>
        <w:right w:val="none" w:sz="0" w:space="0" w:color="auto"/>
      </w:divBdr>
    </w:div>
    <w:div w:id="1137722976">
      <w:bodyDiv w:val="1"/>
      <w:marLeft w:val="0"/>
      <w:marRight w:val="0"/>
      <w:marTop w:val="0"/>
      <w:marBottom w:val="0"/>
      <w:divBdr>
        <w:top w:val="none" w:sz="0" w:space="0" w:color="auto"/>
        <w:left w:val="none" w:sz="0" w:space="0" w:color="auto"/>
        <w:bottom w:val="none" w:sz="0" w:space="0" w:color="auto"/>
        <w:right w:val="none" w:sz="0" w:space="0" w:color="auto"/>
      </w:divBdr>
    </w:div>
    <w:div w:id="1177770476">
      <w:bodyDiv w:val="1"/>
      <w:marLeft w:val="0"/>
      <w:marRight w:val="0"/>
      <w:marTop w:val="0"/>
      <w:marBottom w:val="0"/>
      <w:divBdr>
        <w:top w:val="none" w:sz="0" w:space="0" w:color="auto"/>
        <w:left w:val="none" w:sz="0" w:space="0" w:color="auto"/>
        <w:bottom w:val="none" w:sz="0" w:space="0" w:color="auto"/>
        <w:right w:val="none" w:sz="0" w:space="0" w:color="auto"/>
      </w:divBdr>
    </w:div>
    <w:div w:id="1211261789">
      <w:bodyDiv w:val="1"/>
      <w:marLeft w:val="0"/>
      <w:marRight w:val="0"/>
      <w:marTop w:val="0"/>
      <w:marBottom w:val="0"/>
      <w:divBdr>
        <w:top w:val="none" w:sz="0" w:space="0" w:color="auto"/>
        <w:left w:val="none" w:sz="0" w:space="0" w:color="auto"/>
        <w:bottom w:val="none" w:sz="0" w:space="0" w:color="auto"/>
        <w:right w:val="none" w:sz="0" w:space="0" w:color="auto"/>
      </w:divBdr>
    </w:div>
    <w:div w:id="1351756176">
      <w:bodyDiv w:val="1"/>
      <w:marLeft w:val="0"/>
      <w:marRight w:val="0"/>
      <w:marTop w:val="0"/>
      <w:marBottom w:val="0"/>
      <w:divBdr>
        <w:top w:val="none" w:sz="0" w:space="0" w:color="auto"/>
        <w:left w:val="none" w:sz="0" w:space="0" w:color="auto"/>
        <w:bottom w:val="none" w:sz="0" w:space="0" w:color="auto"/>
        <w:right w:val="none" w:sz="0" w:space="0" w:color="auto"/>
      </w:divBdr>
    </w:div>
    <w:div w:id="1354454984">
      <w:bodyDiv w:val="1"/>
      <w:marLeft w:val="0"/>
      <w:marRight w:val="0"/>
      <w:marTop w:val="0"/>
      <w:marBottom w:val="0"/>
      <w:divBdr>
        <w:top w:val="none" w:sz="0" w:space="0" w:color="auto"/>
        <w:left w:val="none" w:sz="0" w:space="0" w:color="auto"/>
        <w:bottom w:val="none" w:sz="0" w:space="0" w:color="auto"/>
        <w:right w:val="none" w:sz="0" w:space="0" w:color="auto"/>
      </w:divBdr>
    </w:div>
    <w:div w:id="1374113937">
      <w:bodyDiv w:val="1"/>
      <w:marLeft w:val="0"/>
      <w:marRight w:val="0"/>
      <w:marTop w:val="0"/>
      <w:marBottom w:val="0"/>
      <w:divBdr>
        <w:top w:val="none" w:sz="0" w:space="0" w:color="auto"/>
        <w:left w:val="none" w:sz="0" w:space="0" w:color="auto"/>
        <w:bottom w:val="none" w:sz="0" w:space="0" w:color="auto"/>
        <w:right w:val="none" w:sz="0" w:space="0" w:color="auto"/>
      </w:divBdr>
    </w:div>
    <w:div w:id="1376082841">
      <w:bodyDiv w:val="1"/>
      <w:marLeft w:val="0"/>
      <w:marRight w:val="0"/>
      <w:marTop w:val="0"/>
      <w:marBottom w:val="0"/>
      <w:divBdr>
        <w:top w:val="none" w:sz="0" w:space="0" w:color="auto"/>
        <w:left w:val="none" w:sz="0" w:space="0" w:color="auto"/>
        <w:bottom w:val="none" w:sz="0" w:space="0" w:color="auto"/>
        <w:right w:val="none" w:sz="0" w:space="0" w:color="auto"/>
      </w:divBdr>
    </w:div>
    <w:div w:id="1520704913">
      <w:bodyDiv w:val="1"/>
      <w:marLeft w:val="0"/>
      <w:marRight w:val="0"/>
      <w:marTop w:val="0"/>
      <w:marBottom w:val="0"/>
      <w:divBdr>
        <w:top w:val="none" w:sz="0" w:space="0" w:color="auto"/>
        <w:left w:val="none" w:sz="0" w:space="0" w:color="auto"/>
        <w:bottom w:val="none" w:sz="0" w:space="0" w:color="auto"/>
        <w:right w:val="none" w:sz="0" w:space="0" w:color="auto"/>
      </w:divBdr>
    </w:div>
    <w:div w:id="1525631836">
      <w:bodyDiv w:val="1"/>
      <w:marLeft w:val="0"/>
      <w:marRight w:val="0"/>
      <w:marTop w:val="0"/>
      <w:marBottom w:val="0"/>
      <w:divBdr>
        <w:top w:val="none" w:sz="0" w:space="0" w:color="auto"/>
        <w:left w:val="none" w:sz="0" w:space="0" w:color="auto"/>
        <w:bottom w:val="none" w:sz="0" w:space="0" w:color="auto"/>
        <w:right w:val="none" w:sz="0" w:space="0" w:color="auto"/>
      </w:divBdr>
    </w:div>
    <w:div w:id="1537111821">
      <w:bodyDiv w:val="1"/>
      <w:marLeft w:val="0"/>
      <w:marRight w:val="0"/>
      <w:marTop w:val="0"/>
      <w:marBottom w:val="0"/>
      <w:divBdr>
        <w:top w:val="none" w:sz="0" w:space="0" w:color="auto"/>
        <w:left w:val="none" w:sz="0" w:space="0" w:color="auto"/>
        <w:bottom w:val="none" w:sz="0" w:space="0" w:color="auto"/>
        <w:right w:val="none" w:sz="0" w:space="0" w:color="auto"/>
      </w:divBdr>
    </w:div>
    <w:div w:id="1785298428">
      <w:bodyDiv w:val="1"/>
      <w:marLeft w:val="0"/>
      <w:marRight w:val="0"/>
      <w:marTop w:val="0"/>
      <w:marBottom w:val="0"/>
      <w:divBdr>
        <w:top w:val="none" w:sz="0" w:space="0" w:color="auto"/>
        <w:left w:val="none" w:sz="0" w:space="0" w:color="auto"/>
        <w:bottom w:val="none" w:sz="0" w:space="0" w:color="auto"/>
        <w:right w:val="none" w:sz="0" w:space="0" w:color="auto"/>
      </w:divBdr>
    </w:div>
    <w:div w:id="1858688812">
      <w:bodyDiv w:val="1"/>
      <w:marLeft w:val="0"/>
      <w:marRight w:val="0"/>
      <w:marTop w:val="0"/>
      <w:marBottom w:val="0"/>
      <w:divBdr>
        <w:top w:val="none" w:sz="0" w:space="0" w:color="auto"/>
        <w:left w:val="none" w:sz="0" w:space="0" w:color="auto"/>
        <w:bottom w:val="none" w:sz="0" w:space="0" w:color="auto"/>
        <w:right w:val="none" w:sz="0" w:space="0" w:color="auto"/>
      </w:divBdr>
    </w:div>
    <w:div w:id="1881816869">
      <w:bodyDiv w:val="1"/>
      <w:marLeft w:val="0"/>
      <w:marRight w:val="0"/>
      <w:marTop w:val="0"/>
      <w:marBottom w:val="0"/>
      <w:divBdr>
        <w:top w:val="none" w:sz="0" w:space="0" w:color="auto"/>
        <w:left w:val="none" w:sz="0" w:space="0" w:color="auto"/>
        <w:bottom w:val="none" w:sz="0" w:space="0" w:color="auto"/>
        <w:right w:val="none" w:sz="0" w:space="0" w:color="auto"/>
      </w:divBdr>
    </w:div>
    <w:div w:id="1907758669">
      <w:bodyDiv w:val="1"/>
      <w:marLeft w:val="0"/>
      <w:marRight w:val="0"/>
      <w:marTop w:val="0"/>
      <w:marBottom w:val="0"/>
      <w:divBdr>
        <w:top w:val="none" w:sz="0" w:space="0" w:color="auto"/>
        <w:left w:val="none" w:sz="0" w:space="0" w:color="auto"/>
        <w:bottom w:val="none" w:sz="0" w:space="0" w:color="auto"/>
        <w:right w:val="none" w:sz="0" w:space="0" w:color="auto"/>
      </w:divBdr>
    </w:div>
    <w:div w:id="2028481568">
      <w:bodyDiv w:val="1"/>
      <w:marLeft w:val="0"/>
      <w:marRight w:val="0"/>
      <w:marTop w:val="0"/>
      <w:marBottom w:val="0"/>
      <w:divBdr>
        <w:top w:val="none" w:sz="0" w:space="0" w:color="auto"/>
        <w:left w:val="none" w:sz="0" w:space="0" w:color="auto"/>
        <w:bottom w:val="none" w:sz="0" w:space="0" w:color="auto"/>
        <w:right w:val="none" w:sz="0" w:space="0" w:color="auto"/>
      </w:divBdr>
    </w:div>
    <w:div w:id="2089500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image" Target="media/image2.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s>
</file>

<file path=word/theme/theme1.xml><?xml version="1.0" encoding="utf-8"?>
<a:theme xmlns:a="http://schemas.openxmlformats.org/drawingml/2006/main" name="Office テーマ">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D38449-9F99-48AC-A59A-7FB64C699E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472</TotalTime>
  <Pages>1</Pages>
  <Words>134599</Words>
  <Characters>767219</Characters>
  <Application>Microsoft Office Word</Application>
  <DocSecurity>0</DocSecurity>
  <Lines>6393</Lines>
  <Paragraphs>1800</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900018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akari sasaki</dc:creator>
  <cp:keywords/>
  <dc:description/>
  <cp:lastModifiedBy>吴 云晓健</cp:lastModifiedBy>
  <cp:revision>6</cp:revision>
  <cp:lastPrinted>2019-03-13T03:30:00Z</cp:lastPrinted>
  <dcterms:created xsi:type="dcterms:W3CDTF">2019-04-09T03:39:00Z</dcterms:created>
  <dcterms:modified xsi:type="dcterms:W3CDTF">2019-05-25T08:13:00Z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http://www.zotero.org/styles/acta-biomaterialia</vt:lpwstr>
  </property>
  <property fmtid="{D5CDD505-2E9C-101B-9397-08002B2CF9AE}" pid="3" name="Mendeley Recent Style Name 0_1">
    <vt:lpwstr>Acta Biomaterialia</vt:lpwstr>
  </property>
  <property fmtid="{D5CDD505-2E9C-101B-9397-08002B2CF9AE}" pid="4" name="Mendeley Recent Style Id 1_1">
    <vt:lpwstr>http://www.zotero.org/styles/elsevier-vancouver</vt:lpwstr>
  </property>
  <property fmtid="{D5CDD505-2E9C-101B-9397-08002B2CF9AE}" pid="5" name="Mendeley Recent Style Name 1_1">
    <vt:lpwstr>Elsevier - Vancouver</vt:lpwstr>
  </property>
  <property fmtid="{D5CDD505-2E9C-101B-9397-08002B2CF9AE}" pid="6" name="Mendeley Recent Style Id 2_1">
    <vt:lpwstr>http://www.zotero.org/styles/modern-language-association</vt:lpwstr>
  </property>
  <property fmtid="{D5CDD505-2E9C-101B-9397-08002B2CF9AE}" pid="7" name="Mendeley Recent Style Name 2_1">
    <vt:lpwstr>Modern Language Association 7th edition</vt:lpwstr>
  </property>
  <property fmtid="{D5CDD505-2E9C-101B-9397-08002B2CF9AE}" pid="8" name="Mendeley Recent Style Id 3_1">
    <vt:lpwstr>http://www.zotero.org/styles/sage-vancouver</vt:lpwstr>
  </property>
  <property fmtid="{D5CDD505-2E9C-101B-9397-08002B2CF9AE}" pid="9" name="Mendeley Recent Style Name 3_1">
    <vt:lpwstr>SAGE - Vancouver</vt:lpwstr>
  </property>
  <property fmtid="{D5CDD505-2E9C-101B-9397-08002B2CF9AE}" pid="10" name="Mendeley Recent Style Id 4_1">
    <vt:lpwstr>http://www.zotero.org/styles/the-world-journal-of-biological-psychiatry</vt:lpwstr>
  </property>
  <property fmtid="{D5CDD505-2E9C-101B-9397-08002B2CF9AE}" pid="11" name="Mendeley Recent Style Name 4_1">
    <vt:lpwstr>The World Journal of Biological Psychiatry</vt:lpwstr>
  </property>
  <property fmtid="{D5CDD505-2E9C-101B-9397-08002B2CF9AE}" pid="12" name="Mendeley Recent Style Id 5_1">
    <vt:lpwstr>http://www.zotero.org/styles/vancouver</vt:lpwstr>
  </property>
  <property fmtid="{D5CDD505-2E9C-101B-9397-08002B2CF9AE}" pid="13" name="Mendeley Recent Style Name 5_1">
    <vt:lpwstr>Vancouver</vt:lpwstr>
  </property>
  <property fmtid="{D5CDD505-2E9C-101B-9397-08002B2CF9AE}" pid="14" name="Mendeley Recent Style Id 6_1">
    <vt:lpwstr>http://www.zotero.org/styles/vancouver-author-date</vt:lpwstr>
  </property>
  <property fmtid="{D5CDD505-2E9C-101B-9397-08002B2CF9AE}" pid="15" name="Mendeley Recent Style Name 6_1">
    <vt:lpwstr>Vancouver (author-date)</vt:lpwstr>
  </property>
  <property fmtid="{D5CDD505-2E9C-101B-9397-08002B2CF9AE}" pid="16" name="Mendeley Recent Style Id 7_1">
    <vt:lpwstr>http://www.zotero.org/styles/vancouver-brackets</vt:lpwstr>
  </property>
  <property fmtid="{D5CDD505-2E9C-101B-9397-08002B2CF9AE}" pid="17" name="Mendeley Recent Style Name 7_1">
    <vt:lpwstr>Vancouver (brackets)</vt:lpwstr>
  </property>
  <property fmtid="{D5CDD505-2E9C-101B-9397-08002B2CF9AE}" pid="18" name="Mendeley Recent Style Id 8_1">
    <vt:lpwstr>http://www.zotero.org/styles/world-journal-of-gastroenterology</vt:lpwstr>
  </property>
  <property fmtid="{D5CDD505-2E9C-101B-9397-08002B2CF9AE}" pid="19" name="Mendeley Recent Style Name 8_1">
    <vt:lpwstr>World Journal of Gastroenterology</vt:lpwstr>
  </property>
  <property fmtid="{D5CDD505-2E9C-101B-9397-08002B2CF9AE}" pid="20" name="Mendeley Recent Style Id 9_1">
    <vt:lpwstr>http://csl.mendeley.com/styles/476711391/world-journal-of-stemcells</vt:lpwstr>
  </property>
  <property fmtid="{D5CDD505-2E9C-101B-9397-08002B2CF9AE}" pid="21" name="Mendeley Recent Style Name 9_1">
    <vt:lpwstr>World Journal of Gastroenterology - akari sasaki</vt:lpwstr>
  </property>
  <property fmtid="{D5CDD505-2E9C-101B-9397-08002B2CF9AE}" pid="22" name="Mendeley Document_1">
    <vt:lpwstr>True</vt:lpwstr>
  </property>
  <property fmtid="{D5CDD505-2E9C-101B-9397-08002B2CF9AE}" pid="23" name="Mendeley Unique User Id_1">
    <vt:lpwstr>55279ad0-7530-3311-bd2f-5a4fb1547cab</vt:lpwstr>
  </property>
  <property fmtid="{D5CDD505-2E9C-101B-9397-08002B2CF9AE}" pid="24" name="Mendeley Citation Style_1">
    <vt:lpwstr>http://csl.mendeley.com/styles/476711391/world-journal-of-stemcells</vt:lpwstr>
  </property>
</Properties>
</file>