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5D04BEB" w14:textId="20B9EB83" w:rsidR="006603DF" w:rsidRPr="00AE5088" w:rsidRDefault="006603DF"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Name of Journal: </w:t>
      </w:r>
      <w:r w:rsidRPr="00AE5088">
        <w:rPr>
          <w:rFonts w:ascii="Book Antiqua" w:hAnsi="Book Antiqua" w:cs="Times New Roman"/>
          <w:i/>
          <w:sz w:val="24"/>
          <w:szCs w:val="24"/>
          <w:lang w:val="en-US"/>
        </w:rPr>
        <w:t>World Journal of </w:t>
      </w:r>
      <w:r w:rsidRPr="00AE5088">
        <w:rPr>
          <w:rStyle w:val="il"/>
          <w:rFonts w:ascii="Book Antiqua" w:hAnsi="Book Antiqua" w:cs="Times New Roman"/>
          <w:i/>
          <w:sz w:val="24"/>
          <w:szCs w:val="24"/>
          <w:lang w:val="en-US"/>
        </w:rPr>
        <w:t>Diabetes</w:t>
      </w:r>
    </w:p>
    <w:p w14:paraId="32FD5B4E" w14:textId="5BDC1FA9" w:rsidR="006603DF" w:rsidRPr="00AE5088" w:rsidRDefault="006603DF" w:rsidP="005232A1">
      <w:pPr>
        <w:spacing w:after="0" w:line="360" w:lineRule="auto"/>
        <w:jc w:val="both"/>
        <w:rPr>
          <w:rFonts w:ascii="Book Antiqua" w:hAnsi="Book Antiqua"/>
          <w:b/>
          <w:sz w:val="24"/>
          <w:szCs w:val="24"/>
        </w:rPr>
      </w:pPr>
      <w:r w:rsidRPr="00AE5088">
        <w:rPr>
          <w:rFonts w:ascii="Book Antiqua" w:hAnsi="Book Antiqua"/>
          <w:b/>
          <w:sz w:val="24"/>
          <w:szCs w:val="24"/>
        </w:rPr>
        <w:t>Manuscript NO:</w:t>
      </w:r>
      <w:r w:rsidRPr="00AE5088">
        <w:rPr>
          <w:rFonts w:ascii="Book Antiqua" w:hAnsi="Book Antiqua"/>
          <w:sz w:val="24"/>
          <w:szCs w:val="24"/>
        </w:rPr>
        <w:t xml:space="preserve"> 46683</w:t>
      </w:r>
    </w:p>
    <w:p w14:paraId="217BD36F" w14:textId="0439D52D" w:rsidR="006603DF" w:rsidRPr="00AE5088" w:rsidRDefault="006603DF"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Manuscript Type: </w:t>
      </w:r>
      <w:r w:rsidRPr="00AE5088">
        <w:rPr>
          <w:rStyle w:val="il"/>
          <w:rFonts w:ascii="Book Antiqua" w:hAnsi="Book Antiqua" w:cs="Times New Roman"/>
          <w:sz w:val="24"/>
          <w:szCs w:val="24"/>
          <w:lang w:val="en-US"/>
        </w:rPr>
        <w:t>REVIEW</w:t>
      </w:r>
    </w:p>
    <w:p w14:paraId="27435883" w14:textId="77777777" w:rsidR="007D1713" w:rsidRPr="00AE5088" w:rsidRDefault="007D1713" w:rsidP="005232A1">
      <w:pPr>
        <w:spacing w:after="0" w:line="360" w:lineRule="auto"/>
        <w:jc w:val="both"/>
        <w:rPr>
          <w:rFonts w:ascii="Book Antiqua" w:hAnsi="Book Antiqua" w:cs="Times New Roman"/>
          <w:b/>
          <w:sz w:val="24"/>
          <w:szCs w:val="24"/>
          <w:lang w:val="en-US"/>
        </w:rPr>
      </w:pPr>
    </w:p>
    <w:p w14:paraId="5DA75083" w14:textId="7169906D" w:rsidR="007D1713" w:rsidRPr="00AE5088" w:rsidRDefault="007D1713"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Recent advances and perspectives in next generation sequencing application to the genetic research of type 2 diabetes</w:t>
      </w:r>
    </w:p>
    <w:p w14:paraId="79D68CD8" w14:textId="77777777" w:rsidR="006603DF" w:rsidRPr="00AE5088" w:rsidRDefault="006603DF" w:rsidP="005232A1">
      <w:pPr>
        <w:spacing w:after="0" w:line="360" w:lineRule="auto"/>
        <w:jc w:val="both"/>
        <w:rPr>
          <w:rFonts w:ascii="Book Antiqua" w:hAnsi="Book Antiqua" w:cs="Times New Roman"/>
          <w:b/>
          <w:sz w:val="24"/>
          <w:szCs w:val="24"/>
          <w:lang w:val="en-US"/>
        </w:rPr>
      </w:pPr>
    </w:p>
    <w:p w14:paraId="76C890E5" w14:textId="41330D3C" w:rsidR="007D1713" w:rsidRPr="00AE5088" w:rsidRDefault="007D1713" w:rsidP="005232A1">
      <w:pPr>
        <w:spacing w:after="0" w:line="360" w:lineRule="auto"/>
        <w:jc w:val="both"/>
        <w:rPr>
          <w:rFonts w:ascii="Book Antiqua" w:hAnsi="Book Antiqua" w:cs="Times New Roman"/>
          <w:sz w:val="24"/>
          <w:szCs w:val="24"/>
          <w:lang w:val="en-US"/>
        </w:rPr>
      </w:pPr>
      <w:proofErr w:type="spellStart"/>
      <w:r w:rsidRPr="00AE5088">
        <w:rPr>
          <w:rFonts w:ascii="Book Antiqua" w:eastAsia="Times New Roman" w:hAnsi="Book Antiqua" w:cs="Times New Roman"/>
          <w:sz w:val="24"/>
          <w:szCs w:val="24"/>
          <w:lang w:val="en-US"/>
        </w:rPr>
        <w:t>Nasykhova</w:t>
      </w:r>
      <w:proofErr w:type="spellEnd"/>
      <w:r w:rsidRPr="00AE5088">
        <w:rPr>
          <w:rFonts w:ascii="Book Antiqua" w:eastAsia="Times New Roman" w:hAnsi="Book Antiqua" w:cs="Times New Roman"/>
          <w:sz w:val="24"/>
          <w:szCs w:val="24"/>
          <w:lang w:val="en-US"/>
        </w:rPr>
        <w:t xml:space="preserve"> YA </w:t>
      </w:r>
      <w:r w:rsidRPr="00AE5088">
        <w:rPr>
          <w:rFonts w:ascii="Book Antiqua" w:eastAsia="Times New Roman" w:hAnsi="Book Antiqua" w:cs="Times New Roman"/>
          <w:i/>
          <w:sz w:val="24"/>
          <w:szCs w:val="24"/>
          <w:lang w:val="en-US"/>
        </w:rPr>
        <w:t>et al.</w:t>
      </w:r>
      <w:r w:rsidRPr="00AE5088">
        <w:rPr>
          <w:rFonts w:ascii="Book Antiqua" w:eastAsia="Times New Roman" w:hAnsi="Book Antiqua" w:cs="Times New Roman"/>
          <w:sz w:val="24"/>
          <w:szCs w:val="24"/>
          <w:lang w:val="en-US"/>
        </w:rPr>
        <w:t xml:space="preserve"> </w:t>
      </w:r>
      <w:r w:rsidRPr="00AE5088">
        <w:rPr>
          <w:rFonts w:ascii="Book Antiqua" w:hAnsi="Book Antiqua" w:cs="Times New Roman"/>
          <w:sz w:val="24"/>
          <w:szCs w:val="24"/>
          <w:lang w:val="en-US"/>
        </w:rPr>
        <w:t xml:space="preserve">NGS application to the genetic research of </w:t>
      </w:r>
      <w:r w:rsidR="008169F5" w:rsidRPr="00AE5088">
        <w:rPr>
          <w:rFonts w:ascii="Book Antiqua" w:hAnsi="Book Antiqua" w:cs="Times New Roman"/>
          <w:sz w:val="24"/>
          <w:szCs w:val="24"/>
          <w:lang w:val="en-US"/>
        </w:rPr>
        <w:t>T2D</w:t>
      </w:r>
    </w:p>
    <w:p w14:paraId="076BA332" w14:textId="77777777" w:rsidR="007D1713" w:rsidRPr="00AE5088" w:rsidRDefault="007D1713" w:rsidP="005232A1">
      <w:pPr>
        <w:spacing w:after="0" w:line="360" w:lineRule="auto"/>
        <w:jc w:val="both"/>
        <w:rPr>
          <w:rFonts w:ascii="Book Antiqua" w:hAnsi="Book Antiqua" w:cs="Times New Roman"/>
          <w:sz w:val="24"/>
          <w:szCs w:val="24"/>
          <w:lang w:val="en-US"/>
        </w:rPr>
      </w:pPr>
    </w:p>
    <w:p w14:paraId="47606E56" w14:textId="36E6465C"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sz w:val="24"/>
          <w:szCs w:val="24"/>
          <w:lang w:val="en-US"/>
        </w:rPr>
        <w:t>Yulia</w:t>
      </w:r>
      <w:proofErr w:type="spellEnd"/>
      <w:r w:rsidRPr="00AE5088">
        <w:rPr>
          <w:rFonts w:ascii="Book Antiqua" w:eastAsia="Times New Roman" w:hAnsi="Book Antiqua" w:cs="Times New Roman"/>
          <w:sz w:val="24"/>
          <w:szCs w:val="24"/>
          <w:lang w:val="en-US"/>
        </w:rPr>
        <w:t xml:space="preserve"> A </w:t>
      </w:r>
      <w:proofErr w:type="spellStart"/>
      <w:r w:rsidRPr="00AE5088">
        <w:rPr>
          <w:rFonts w:ascii="Book Antiqua" w:eastAsia="Times New Roman" w:hAnsi="Book Antiqua" w:cs="Times New Roman"/>
          <w:sz w:val="24"/>
          <w:szCs w:val="24"/>
          <w:lang w:val="en-US"/>
        </w:rPr>
        <w:t>Nasykhova</w:t>
      </w:r>
      <w:proofErr w:type="spellEnd"/>
      <w:r w:rsidRPr="00AE5088">
        <w:rPr>
          <w:rFonts w:ascii="Book Antiqua" w:eastAsia="Times New Roman" w:hAnsi="Book Antiqua" w:cs="Times New Roman"/>
          <w:sz w:val="24"/>
          <w:szCs w:val="24"/>
          <w:lang w:val="en-US"/>
        </w:rPr>
        <w:t xml:space="preserve">, </w:t>
      </w:r>
      <w:proofErr w:type="spellStart"/>
      <w:r w:rsidRPr="00AE5088">
        <w:rPr>
          <w:rFonts w:ascii="Book Antiqua" w:eastAsia="Times New Roman" w:hAnsi="Book Antiqua" w:cs="Times New Roman"/>
          <w:sz w:val="24"/>
          <w:szCs w:val="24"/>
          <w:lang w:val="en-US"/>
        </w:rPr>
        <w:t>Yury</w:t>
      </w:r>
      <w:proofErr w:type="spellEnd"/>
      <w:r w:rsidRPr="00AE5088">
        <w:rPr>
          <w:rFonts w:ascii="Book Antiqua" w:eastAsia="Times New Roman" w:hAnsi="Book Antiqua" w:cs="Times New Roman"/>
          <w:sz w:val="24"/>
          <w:szCs w:val="24"/>
          <w:lang w:val="en-US"/>
        </w:rPr>
        <w:t xml:space="preserve"> A </w:t>
      </w:r>
      <w:proofErr w:type="spellStart"/>
      <w:r w:rsidRPr="00AE5088">
        <w:rPr>
          <w:rFonts w:ascii="Book Antiqua" w:eastAsia="Times New Roman" w:hAnsi="Book Antiqua" w:cs="Times New Roman"/>
          <w:sz w:val="24"/>
          <w:szCs w:val="24"/>
          <w:lang w:val="en-US"/>
        </w:rPr>
        <w:t>Barbitoff</w:t>
      </w:r>
      <w:proofErr w:type="spellEnd"/>
      <w:r w:rsidRPr="00AE5088">
        <w:rPr>
          <w:rFonts w:ascii="Book Antiqua" w:eastAsia="Times New Roman" w:hAnsi="Book Antiqua" w:cs="Times New Roman"/>
          <w:sz w:val="24"/>
          <w:szCs w:val="24"/>
          <w:lang w:val="en-US"/>
        </w:rPr>
        <w:t xml:space="preserve">, Elena A </w:t>
      </w:r>
      <w:proofErr w:type="spellStart"/>
      <w:r w:rsidRPr="00AE5088">
        <w:rPr>
          <w:rFonts w:ascii="Book Antiqua" w:eastAsia="Times New Roman" w:hAnsi="Book Antiqua" w:cs="Times New Roman"/>
          <w:sz w:val="24"/>
          <w:szCs w:val="24"/>
          <w:lang w:val="en-US"/>
        </w:rPr>
        <w:t>Serebryakova</w:t>
      </w:r>
      <w:proofErr w:type="spellEnd"/>
      <w:r w:rsidRPr="00AE5088">
        <w:rPr>
          <w:rFonts w:ascii="Book Antiqua" w:eastAsia="Times New Roman" w:hAnsi="Book Antiqua" w:cs="Times New Roman"/>
          <w:sz w:val="24"/>
          <w:szCs w:val="24"/>
          <w:lang w:val="en-US"/>
        </w:rPr>
        <w:t xml:space="preserve">, Dmitry S </w:t>
      </w:r>
      <w:proofErr w:type="spellStart"/>
      <w:r w:rsidRPr="00AE5088">
        <w:rPr>
          <w:rFonts w:ascii="Book Antiqua" w:eastAsia="Times New Roman" w:hAnsi="Book Antiqua" w:cs="Times New Roman"/>
          <w:sz w:val="24"/>
          <w:szCs w:val="24"/>
          <w:lang w:val="en-US"/>
        </w:rPr>
        <w:t>Katserov</w:t>
      </w:r>
      <w:proofErr w:type="spellEnd"/>
      <w:r w:rsidRPr="00AE5088">
        <w:rPr>
          <w:rFonts w:ascii="Book Antiqua" w:eastAsia="Times New Roman" w:hAnsi="Book Antiqua" w:cs="Times New Roman"/>
          <w:sz w:val="24"/>
          <w:szCs w:val="24"/>
          <w:lang w:val="en-US"/>
        </w:rPr>
        <w:t xml:space="preserve">, Andrey S </w:t>
      </w:r>
      <w:proofErr w:type="spellStart"/>
      <w:r w:rsidRPr="00AE5088">
        <w:rPr>
          <w:rFonts w:ascii="Book Antiqua" w:eastAsia="Times New Roman" w:hAnsi="Book Antiqua" w:cs="Times New Roman"/>
          <w:sz w:val="24"/>
          <w:szCs w:val="24"/>
          <w:lang w:val="en-US"/>
        </w:rPr>
        <w:t>Glotov</w:t>
      </w:r>
      <w:proofErr w:type="spellEnd"/>
      <w:r w:rsidRPr="00AE5088">
        <w:rPr>
          <w:rFonts w:ascii="Book Antiqua" w:eastAsia="Times New Roman" w:hAnsi="Book Antiqua" w:cs="Times New Roman"/>
          <w:sz w:val="24"/>
          <w:szCs w:val="24"/>
          <w:lang w:val="en-US"/>
        </w:rPr>
        <w:t xml:space="preserve"> </w:t>
      </w:r>
    </w:p>
    <w:p w14:paraId="3B26160F" w14:textId="53298FD7" w:rsidR="006603DF" w:rsidRPr="00AE5088" w:rsidRDefault="006603DF" w:rsidP="005232A1">
      <w:pPr>
        <w:spacing w:after="0" w:line="360" w:lineRule="auto"/>
        <w:jc w:val="both"/>
        <w:rPr>
          <w:rFonts w:ascii="Book Antiqua" w:hAnsi="Book Antiqua" w:cs="Times New Roman"/>
          <w:b/>
          <w:sz w:val="24"/>
          <w:szCs w:val="24"/>
          <w:lang w:val="en-US"/>
        </w:rPr>
      </w:pPr>
    </w:p>
    <w:p w14:paraId="571F4004" w14:textId="265896C9" w:rsidR="0014328E" w:rsidRPr="00AE5088" w:rsidRDefault="0014328E"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Yulia</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Nasykhova</w:t>
      </w:r>
      <w:proofErr w:type="spellEnd"/>
      <w:r w:rsidRPr="00AE5088">
        <w:rPr>
          <w:rFonts w:ascii="Book Antiqua" w:eastAsia="Times New Roman" w:hAnsi="Book Antiqua" w:cs="Times New Roman"/>
          <w:b/>
          <w:sz w:val="24"/>
          <w:szCs w:val="24"/>
          <w:lang w:val="en-US"/>
        </w:rPr>
        <w:t xml:space="preserve">, </w:t>
      </w:r>
      <w:proofErr w:type="spellStart"/>
      <w:r w:rsidRPr="00AE5088">
        <w:rPr>
          <w:rFonts w:ascii="Book Antiqua" w:eastAsia="Times New Roman" w:hAnsi="Book Antiqua" w:cs="Times New Roman"/>
          <w:b/>
          <w:sz w:val="24"/>
          <w:szCs w:val="24"/>
          <w:lang w:val="en-US"/>
        </w:rPr>
        <w:t>Yury</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Barbitoff</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Laboratory of Biobanking and Genomic Medicine of Institute of Translation Biomedicine, St. Petersburg State University, St. Petersburg 199034, Russia</w:t>
      </w:r>
    </w:p>
    <w:p w14:paraId="7C800A7C" w14:textId="77777777" w:rsidR="0014328E" w:rsidRPr="00AE5088" w:rsidRDefault="0014328E" w:rsidP="005232A1">
      <w:pPr>
        <w:spacing w:after="0" w:line="360" w:lineRule="auto"/>
        <w:jc w:val="both"/>
        <w:rPr>
          <w:rFonts w:ascii="Book Antiqua" w:hAnsi="Book Antiqua" w:cs="Times New Roman"/>
          <w:b/>
          <w:sz w:val="24"/>
          <w:szCs w:val="24"/>
          <w:lang w:val="en-US"/>
        </w:rPr>
      </w:pPr>
    </w:p>
    <w:p w14:paraId="5975A36C" w14:textId="6091C31B"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Yulia</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Nasykhova</w:t>
      </w:r>
      <w:proofErr w:type="spellEnd"/>
      <w:r w:rsidRPr="00AE5088">
        <w:rPr>
          <w:rFonts w:ascii="Book Antiqua" w:eastAsia="Times New Roman" w:hAnsi="Book Antiqua" w:cs="Times New Roman"/>
          <w:b/>
          <w:sz w:val="24"/>
          <w:szCs w:val="24"/>
          <w:lang w:val="en-US"/>
        </w:rPr>
        <w:t xml:space="preserve">, Elena A </w:t>
      </w:r>
      <w:proofErr w:type="spellStart"/>
      <w:r w:rsidRPr="00AE5088">
        <w:rPr>
          <w:rFonts w:ascii="Book Antiqua" w:eastAsia="Times New Roman" w:hAnsi="Book Antiqua" w:cs="Times New Roman"/>
          <w:b/>
          <w:sz w:val="24"/>
          <w:szCs w:val="24"/>
          <w:lang w:val="en-US"/>
        </w:rPr>
        <w:t>Serebryakova</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sz w:val="24"/>
          <w:szCs w:val="24"/>
          <w:lang w:val="en-US"/>
        </w:rPr>
        <w:t xml:space="preserve">, Department of </w:t>
      </w:r>
      <w:r w:rsidR="0014328E" w:rsidRPr="00AE5088">
        <w:rPr>
          <w:rFonts w:ascii="Book Antiqua" w:eastAsia="Times New Roman" w:hAnsi="Book Antiqua" w:cs="Times New Roman"/>
          <w:sz w:val="24"/>
          <w:szCs w:val="24"/>
          <w:lang w:val="en-US"/>
        </w:rPr>
        <w:t>Genomic Medicine</w:t>
      </w:r>
      <w:r w:rsidRPr="00AE5088">
        <w:rPr>
          <w:rFonts w:ascii="Book Antiqua" w:eastAsia="Times New Roman" w:hAnsi="Book Antiqua" w:cs="Times New Roman"/>
          <w:sz w:val="24"/>
          <w:szCs w:val="24"/>
          <w:lang w:val="en-US"/>
        </w:rPr>
        <w:t xml:space="preserve">, D.O. Ott Research Institute of Obstetrics, </w:t>
      </w:r>
      <w:proofErr w:type="spellStart"/>
      <w:r w:rsidRPr="00AE5088">
        <w:rPr>
          <w:rFonts w:ascii="Book Antiqua" w:eastAsia="Times New Roman" w:hAnsi="Book Antiqua" w:cs="Times New Roman"/>
          <w:sz w:val="24"/>
          <w:szCs w:val="24"/>
          <w:lang w:val="en-US"/>
        </w:rPr>
        <w:t>Gynaecology</w:t>
      </w:r>
      <w:proofErr w:type="spellEnd"/>
      <w:r w:rsidRPr="00AE5088">
        <w:rPr>
          <w:rFonts w:ascii="Book Antiqua" w:eastAsia="Times New Roman" w:hAnsi="Book Antiqua" w:cs="Times New Roman"/>
          <w:sz w:val="24"/>
          <w:szCs w:val="24"/>
          <w:lang w:val="en-US"/>
        </w:rPr>
        <w:t xml:space="preserve"> and </w:t>
      </w:r>
      <w:proofErr w:type="spellStart"/>
      <w:r w:rsidRPr="00AE5088">
        <w:rPr>
          <w:rFonts w:ascii="Book Antiqua" w:eastAsia="Times New Roman" w:hAnsi="Book Antiqua" w:cs="Times New Roman"/>
          <w:sz w:val="24"/>
          <w:szCs w:val="24"/>
          <w:lang w:val="en-US"/>
        </w:rPr>
        <w:t>Reproductology</w:t>
      </w:r>
      <w:proofErr w:type="spellEnd"/>
      <w:r w:rsidRPr="00AE5088">
        <w:rPr>
          <w:rFonts w:ascii="Book Antiqua" w:eastAsia="Times New Roman" w:hAnsi="Book Antiqua" w:cs="Times New Roman"/>
          <w:sz w:val="24"/>
          <w:szCs w:val="24"/>
          <w:lang w:val="en-US"/>
        </w:rPr>
        <w:t xml:space="preserve">, St. Petersburg </w:t>
      </w:r>
      <w:r w:rsidR="002C0030" w:rsidRPr="00AE5088">
        <w:rPr>
          <w:rFonts w:ascii="Book Antiqua" w:eastAsia="Times New Roman" w:hAnsi="Book Antiqua" w:cs="Times New Roman"/>
          <w:sz w:val="24"/>
          <w:szCs w:val="24"/>
          <w:lang w:val="en-US"/>
        </w:rPr>
        <w:t xml:space="preserve">199034, </w:t>
      </w:r>
      <w:r w:rsidRPr="00AE5088">
        <w:rPr>
          <w:rFonts w:ascii="Book Antiqua" w:eastAsia="Times New Roman" w:hAnsi="Book Antiqua" w:cs="Times New Roman"/>
          <w:sz w:val="24"/>
          <w:szCs w:val="24"/>
          <w:lang w:val="en-US"/>
        </w:rPr>
        <w:t>Russia</w:t>
      </w:r>
    </w:p>
    <w:p w14:paraId="52F6DFB7"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76A33636" w14:textId="04B539BE"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Yury</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Barbitoff</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Bioinformatics Institute, St. Petersburg </w:t>
      </w:r>
      <w:r w:rsidR="008859C9" w:rsidRPr="00AE5088">
        <w:rPr>
          <w:rFonts w:ascii="Book Antiqua" w:eastAsia="Times New Roman" w:hAnsi="Book Antiqua" w:cs="Times New Roman"/>
          <w:sz w:val="24"/>
          <w:szCs w:val="24"/>
          <w:lang w:val="en-US"/>
        </w:rPr>
        <w:t xml:space="preserve">194021, </w:t>
      </w:r>
      <w:r w:rsidRPr="00AE5088">
        <w:rPr>
          <w:rFonts w:ascii="Book Antiqua" w:eastAsia="Times New Roman" w:hAnsi="Book Antiqua" w:cs="Times New Roman"/>
          <w:sz w:val="24"/>
          <w:szCs w:val="24"/>
          <w:lang w:val="en-US"/>
        </w:rPr>
        <w:t>Russia</w:t>
      </w:r>
    </w:p>
    <w:p w14:paraId="3968CE0A"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6E63A8A1" w14:textId="0B5F9CBF" w:rsidR="007D1713" w:rsidRPr="00AE5088" w:rsidRDefault="007D1713" w:rsidP="005232A1">
      <w:pPr>
        <w:spacing w:after="0" w:line="360" w:lineRule="auto"/>
        <w:jc w:val="both"/>
        <w:rPr>
          <w:rFonts w:ascii="Book Antiqua" w:eastAsia="Times New Roman" w:hAnsi="Book Antiqua" w:cs="Times New Roman"/>
          <w:sz w:val="24"/>
          <w:szCs w:val="24"/>
          <w:lang w:val="en-US"/>
        </w:rPr>
      </w:pPr>
      <w:proofErr w:type="spellStart"/>
      <w:r w:rsidRPr="00AE5088">
        <w:rPr>
          <w:rFonts w:ascii="Book Antiqua" w:eastAsia="Times New Roman" w:hAnsi="Book Antiqua" w:cs="Times New Roman"/>
          <w:b/>
          <w:sz w:val="24"/>
          <w:szCs w:val="24"/>
          <w:lang w:val="en-US"/>
        </w:rPr>
        <w:t>Yury</w:t>
      </w:r>
      <w:proofErr w:type="spellEnd"/>
      <w:r w:rsidRPr="00AE5088">
        <w:rPr>
          <w:rFonts w:ascii="Book Antiqua" w:eastAsia="Times New Roman" w:hAnsi="Book Antiqua" w:cs="Times New Roman"/>
          <w:b/>
          <w:sz w:val="24"/>
          <w:szCs w:val="24"/>
          <w:lang w:val="en-US"/>
        </w:rPr>
        <w:t xml:space="preserve"> A </w:t>
      </w:r>
      <w:proofErr w:type="spellStart"/>
      <w:r w:rsidRPr="00AE5088">
        <w:rPr>
          <w:rFonts w:ascii="Book Antiqua" w:eastAsia="Times New Roman" w:hAnsi="Book Antiqua" w:cs="Times New Roman"/>
          <w:b/>
          <w:sz w:val="24"/>
          <w:szCs w:val="24"/>
          <w:lang w:val="en-US"/>
        </w:rPr>
        <w:t>Barbitoff</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Department of Genetics and Biotechnology, St. Petersburg State University,</w:t>
      </w:r>
      <w:r w:rsidR="0014328E" w:rsidRPr="00AE5088">
        <w:rPr>
          <w:rFonts w:ascii="Book Antiqua" w:eastAsia="Times New Roman" w:hAnsi="Book Antiqua" w:cs="Times New Roman"/>
          <w:sz w:val="24"/>
          <w:szCs w:val="24"/>
          <w:lang w:val="en-US"/>
        </w:rPr>
        <w:t xml:space="preserve"> </w:t>
      </w:r>
      <w:r w:rsidRPr="00AE5088">
        <w:rPr>
          <w:rFonts w:ascii="Book Antiqua" w:eastAsia="Times New Roman" w:hAnsi="Book Antiqua" w:cs="Times New Roman"/>
          <w:sz w:val="24"/>
          <w:szCs w:val="24"/>
          <w:lang w:val="en-US"/>
        </w:rPr>
        <w:t>St. Petersburg</w:t>
      </w:r>
      <w:r w:rsidR="002C0030" w:rsidRPr="00AE5088">
        <w:rPr>
          <w:rFonts w:ascii="Book Antiqua" w:eastAsia="Times New Roman" w:hAnsi="Book Antiqua" w:cs="Times New Roman"/>
          <w:sz w:val="24"/>
          <w:szCs w:val="24"/>
          <w:lang w:val="en-US"/>
        </w:rPr>
        <w:t xml:space="preserve"> 199034,</w:t>
      </w:r>
      <w:r w:rsidRPr="00AE5088">
        <w:rPr>
          <w:rFonts w:ascii="Book Antiqua" w:eastAsia="Times New Roman" w:hAnsi="Book Antiqua" w:cs="Times New Roman"/>
          <w:sz w:val="24"/>
          <w:szCs w:val="24"/>
          <w:lang w:val="en-US"/>
        </w:rPr>
        <w:t xml:space="preserve"> Russia</w:t>
      </w:r>
    </w:p>
    <w:p w14:paraId="6E0D0108"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004921CD" w14:textId="6F59D3AA" w:rsidR="007D1713" w:rsidRPr="00AE5088" w:rsidRDefault="007D1713" w:rsidP="005232A1">
      <w:pPr>
        <w:spacing w:after="0" w:line="360" w:lineRule="auto"/>
        <w:jc w:val="both"/>
        <w:rPr>
          <w:rFonts w:ascii="Book Antiqua" w:eastAsia="Times New Roman" w:hAnsi="Book Antiqua" w:cs="Times New Roman"/>
          <w:sz w:val="24"/>
          <w:szCs w:val="24"/>
          <w:lang w:val="en-US"/>
        </w:rPr>
      </w:pPr>
      <w:r w:rsidRPr="00AE5088">
        <w:rPr>
          <w:rFonts w:ascii="Book Antiqua" w:eastAsia="Times New Roman" w:hAnsi="Book Antiqua" w:cs="Times New Roman"/>
          <w:b/>
          <w:sz w:val="24"/>
          <w:szCs w:val="24"/>
          <w:lang w:val="en-US"/>
        </w:rPr>
        <w:t xml:space="preserve">Elena A </w:t>
      </w:r>
      <w:proofErr w:type="spellStart"/>
      <w:r w:rsidRPr="00AE5088">
        <w:rPr>
          <w:rFonts w:ascii="Book Antiqua" w:eastAsia="Times New Roman" w:hAnsi="Book Antiqua" w:cs="Times New Roman"/>
          <w:b/>
          <w:sz w:val="24"/>
          <w:szCs w:val="24"/>
          <w:lang w:val="en-US"/>
        </w:rPr>
        <w:t>Serebryakova</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Department of Genetics, City Hospital No. 40, St. Petersburg </w:t>
      </w:r>
      <w:r w:rsidR="008859C9" w:rsidRPr="00AE5088">
        <w:rPr>
          <w:rFonts w:ascii="Book Antiqua" w:eastAsia="Times New Roman" w:hAnsi="Book Antiqua" w:cs="Times New Roman"/>
          <w:sz w:val="24"/>
          <w:szCs w:val="24"/>
          <w:lang w:val="en-US"/>
        </w:rPr>
        <w:t xml:space="preserve">197706, </w:t>
      </w:r>
      <w:r w:rsidRPr="00AE5088">
        <w:rPr>
          <w:rFonts w:ascii="Book Antiqua" w:eastAsia="Times New Roman" w:hAnsi="Book Antiqua" w:cs="Times New Roman"/>
          <w:sz w:val="24"/>
          <w:szCs w:val="24"/>
          <w:lang w:val="en-US"/>
        </w:rPr>
        <w:t>Russia</w:t>
      </w:r>
    </w:p>
    <w:p w14:paraId="4C0ED04C" w14:textId="77777777" w:rsidR="0014328E" w:rsidRPr="00AE5088" w:rsidRDefault="0014328E" w:rsidP="005232A1">
      <w:pPr>
        <w:spacing w:after="0" w:line="360" w:lineRule="auto"/>
        <w:jc w:val="both"/>
        <w:rPr>
          <w:rFonts w:ascii="Book Antiqua" w:eastAsia="Times New Roman" w:hAnsi="Book Antiqua" w:cs="Times New Roman"/>
          <w:sz w:val="24"/>
          <w:szCs w:val="24"/>
          <w:lang w:val="en-US"/>
        </w:rPr>
      </w:pPr>
    </w:p>
    <w:p w14:paraId="10A26BF3" w14:textId="76F9F78B" w:rsidR="007D1713" w:rsidRPr="00AE5088" w:rsidRDefault="007D1713" w:rsidP="005232A1">
      <w:pPr>
        <w:spacing w:after="0" w:line="360" w:lineRule="auto"/>
        <w:jc w:val="both"/>
        <w:rPr>
          <w:rFonts w:ascii="Book Antiqua" w:eastAsia="Times New Roman" w:hAnsi="Book Antiqua" w:cs="Times New Roman"/>
          <w:sz w:val="24"/>
          <w:szCs w:val="24"/>
          <w:lang w:val="en-US"/>
        </w:rPr>
      </w:pPr>
      <w:r w:rsidRPr="00AE5088">
        <w:rPr>
          <w:rFonts w:ascii="Book Antiqua" w:eastAsia="Times New Roman" w:hAnsi="Book Antiqua" w:cs="Times New Roman"/>
          <w:b/>
          <w:sz w:val="24"/>
          <w:szCs w:val="24"/>
          <w:lang w:val="en-US"/>
        </w:rPr>
        <w:t xml:space="preserve">Dmitry S </w:t>
      </w:r>
      <w:proofErr w:type="spellStart"/>
      <w:r w:rsidRPr="00AE5088">
        <w:rPr>
          <w:rFonts w:ascii="Book Antiqua" w:eastAsia="Times New Roman" w:hAnsi="Book Antiqua" w:cs="Times New Roman"/>
          <w:b/>
          <w:sz w:val="24"/>
          <w:szCs w:val="24"/>
          <w:lang w:val="en-US"/>
        </w:rPr>
        <w:t>Katserov</w:t>
      </w:r>
      <w:proofErr w:type="spellEnd"/>
      <w:r w:rsidRPr="00AE5088">
        <w:rPr>
          <w:rFonts w:ascii="Book Antiqua" w:eastAsia="Times New Roman" w:hAnsi="Book Antiqua" w:cs="Times New Roman"/>
          <w:b/>
          <w:sz w:val="24"/>
          <w:szCs w:val="24"/>
          <w:lang w:val="en-US"/>
        </w:rPr>
        <w:t xml:space="preserve">, 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w:t>
      </w:r>
      <w:r w:rsidRPr="00AE5088">
        <w:rPr>
          <w:rFonts w:ascii="Book Antiqua" w:eastAsia="Times New Roman" w:hAnsi="Book Antiqua" w:cs="Times New Roman"/>
          <w:sz w:val="24"/>
          <w:szCs w:val="24"/>
          <w:lang w:val="en-US"/>
        </w:rPr>
        <w:t xml:space="preserve"> Institute of </w:t>
      </w:r>
      <w:r w:rsidR="0014328E" w:rsidRPr="00AE5088">
        <w:rPr>
          <w:rFonts w:ascii="Book Antiqua" w:eastAsia="Times New Roman" w:hAnsi="Book Antiqua" w:cs="Times New Roman"/>
          <w:sz w:val="24"/>
          <w:szCs w:val="24"/>
          <w:lang w:val="en-US"/>
        </w:rPr>
        <w:t>Living System</w:t>
      </w:r>
      <w:r w:rsidRPr="00AE5088">
        <w:rPr>
          <w:rFonts w:ascii="Book Antiqua" w:eastAsia="Times New Roman" w:hAnsi="Book Antiqua" w:cs="Times New Roman"/>
          <w:sz w:val="24"/>
          <w:szCs w:val="24"/>
          <w:lang w:val="en-US"/>
        </w:rPr>
        <w:t xml:space="preserve">s, Immanuel Kant Baltic Federal University, Kaliningrad </w:t>
      </w:r>
      <w:r w:rsidR="008859C9" w:rsidRPr="00AE5088">
        <w:rPr>
          <w:rFonts w:ascii="Book Antiqua" w:eastAsia="Times New Roman" w:hAnsi="Book Antiqua" w:cs="Times New Roman"/>
          <w:sz w:val="24"/>
          <w:szCs w:val="24"/>
          <w:lang w:val="en-US"/>
        </w:rPr>
        <w:t xml:space="preserve">236016, </w:t>
      </w:r>
      <w:r w:rsidRPr="00AE5088">
        <w:rPr>
          <w:rFonts w:ascii="Book Antiqua" w:eastAsia="Times New Roman" w:hAnsi="Book Antiqua" w:cs="Times New Roman"/>
          <w:sz w:val="24"/>
          <w:szCs w:val="24"/>
          <w:lang w:val="en-US"/>
        </w:rPr>
        <w:t>Russia</w:t>
      </w:r>
    </w:p>
    <w:p w14:paraId="4213FEC7" w14:textId="77777777" w:rsidR="007D1713" w:rsidRPr="00AE5088" w:rsidRDefault="007D1713" w:rsidP="005232A1">
      <w:pPr>
        <w:spacing w:after="0" w:line="360" w:lineRule="auto"/>
        <w:jc w:val="both"/>
        <w:rPr>
          <w:rFonts w:ascii="Book Antiqua" w:eastAsia="Times New Roman" w:hAnsi="Book Antiqua" w:cs="Times New Roman"/>
          <w:sz w:val="24"/>
          <w:szCs w:val="24"/>
          <w:lang w:val="en-US"/>
        </w:rPr>
      </w:pPr>
    </w:p>
    <w:p w14:paraId="1421F4AA" w14:textId="18BCBA8F" w:rsidR="007D1713" w:rsidRPr="00AE5088" w:rsidRDefault="00507447" w:rsidP="005232A1">
      <w:pPr>
        <w:spacing w:after="0" w:line="360" w:lineRule="auto"/>
        <w:jc w:val="both"/>
        <w:rPr>
          <w:rFonts w:ascii="Book Antiqua" w:eastAsia="Times New Roman" w:hAnsi="Book Antiqua" w:cs="Times New Roman"/>
          <w:sz w:val="24"/>
          <w:szCs w:val="24"/>
          <w:lang w:val="en-US" w:eastAsia="zh-CN"/>
        </w:rPr>
      </w:pPr>
      <w:r w:rsidRPr="00AE5088">
        <w:rPr>
          <w:rFonts w:ascii="Book Antiqua" w:hAnsi="Book Antiqua"/>
          <w:b/>
          <w:sz w:val="24"/>
          <w:szCs w:val="24"/>
        </w:rPr>
        <w:lastRenderedPageBreak/>
        <w:t>ORCID number:</w:t>
      </w:r>
      <w:r w:rsidRPr="00AE5088">
        <w:rPr>
          <w:rFonts w:ascii="Book Antiqua" w:hAnsi="Book Antiqua"/>
          <w:sz w:val="24"/>
          <w:szCs w:val="24"/>
        </w:rPr>
        <w:t> </w:t>
      </w:r>
      <w:proofErr w:type="spellStart"/>
      <w:r w:rsidR="007D1713" w:rsidRPr="00AE5088">
        <w:rPr>
          <w:rFonts w:ascii="Book Antiqua" w:eastAsia="Times New Roman" w:hAnsi="Book Antiqua" w:cs="Times New Roman"/>
          <w:sz w:val="24"/>
          <w:szCs w:val="24"/>
          <w:lang w:val="en-US"/>
        </w:rPr>
        <w:t>Yulia</w:t>
      </w:r>
      <w:proofErr w:type="spellEnd"/>
      <w:r w:rsidR="007D1713" w:rsidRPr="00AE5088">
        <w:rPr>
          <w:rFonts w:ascii="Book Antiqua" w:eastAsia="Times New Roman" w:hAnsi="Book Antiqua" w:cs="Times New Roman"/>
          <w:sz w:val="24"/>
          <w:szCs w:val="24"/>
          <w:lang w:val="en-US"/>
        </w:rPr>
        <w:t xml:space="preserve"> A </w:t>
      </w:r>
      <w:proofErr w:type="spellStart"/>
      <w:r w:rsidR="007D1713" w:rsidRPr="00AE5088">
        <w:rPr>
          <w:rFonts w:ascii="Book Antiqua" w:eastAsia="Times New Roman" w:hAnsi="Book Antiqua" w:cs="Times New Roman"/>
          <w:sz w:val="24"/>
          <w:szCs w:val="24"/>
          <w:lang w:val="en-US"/>
        </w:rPr>
        <w:t>Nasykhova</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0000-0002-3543-4963</w:t>
      </w:r>
      <w:r w:rsidR="007D1713" w:rsidRPr="00AE5088">
        <w:rPr>
          <w:rFonts w:ascii="Book Antiqua" w:eastAsia="Times New Roman" w:hAnsi="Book Antiqua" w:cs="Times New Roman"/>
          <w:sz w:val="24"/>
          <w:szCs w:val="24"/>
          <w:lang w:val="en-US"/>
        </w:rPr>
        <w:t xml:space="preserve">); </w:t>
      </w:r>
      <w:proofErr w:type="spellStart"/>
      <w:r w:rsidR="007D1713" w:rsidRPr="00AE5088">
        <w:rPr>
          <w:rFonts w:ascii="Book Antiqua" w:eastAsia="Times New Roman" w:hAnsi="Book Antiqua" w:cs="Times New Roman"/>
          <w:sz w:val="24"/>
          <w:szCs w:val="24"/>
          <w:lang w:val="en-US"/>
        </w:rPr>
        <w:t>Yury</w:t>
      </w:r>
      <w:proofErr w:type="spellEnd"/>
      <w:r w:rsidR="007D1713" w:rsidRPr="00AE5088">
        <w:rPr>
          <w:rFonts w:ascii="Book Antiqua" w:eastAsia="Times New Roman" w:hAnsi="Book Antiqua" w:cs="Times New Roman"/>
          <w:sz w:val="24"/>
          <w:szCs w:val="24"/>
          <w:lang w:val="en-US"/>
        </w:rPr>
        <w:t xml:space="preserve"> A </w:t>
      </w:r>
      <w:proofErr w:type="spellStart"/>
      <w:r w:rsidR="007D1713" w:rsidRPr="00AE5088">
        <w:rPr>
          <w:rFonts w:ascii="Book Antiqua" w:eastAsia="Times New Roman" w:hAnsi="Book Antiqua" w:cs="Times New Roman"/>
          <w:sz w:val="24"/>
          <w:szCs w:val="24"/>
          <w:lang w:val="en-US"/>
        </w:rPr>
        <w:t>Barbitoff</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0000-0002-3222-440X</w:t>
      </w:r>
      <w:r w:rsidR="007D1713" w:rsidRPr="00AE5088">
        <w:rPr>
          <w:rFonts w:ascii="Book Antiqua" w:eastAsia="Times New Roman" w:hAnsi="Book Antiqua" w:cs="Times New Roman"/>
          <w:sz w:val="24"/>
          <w:szCs w:val="24"/>
          <w:lang w:val="en-US"/>
        </w:rPr>
        <w:t xml:space="preserve">); Elena A </w:t>
      </w:r>
      <w:proofErr w:type="spellStart"/>
      <w:r w:rsidR="007D1713" w:rsidRPr="00AE5088">
        <w:rPr>
          <w:rFonts w:ascii="Book Antiqua" w:eastAsia="Times New Roman" w:hAnsi="Book Antiqua" w:cs="Times New Roman"/>
          <w:sz w:val="24"/>
          <w:szCs w:val="24"/>
          <w:lang w:val="en-US"/>
        </w:rPr>
        <w:t>Serebryakova</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0000-0001-5602-0156</w:t>
      </w:r>
      <w:r w:rsidR="007D1713" w:rsidRPr="00AE5088">
        <w:rPr>
          <w:rFonts w:ascii="Book Antiqua" w:eastAsia="Times New Roman" w:hAnsi="Book Antiqua" w:cs="Times New Roman"/>
          <w:sz w:val="24"/>
          <w:szCs w:val="24"/>
          <w:lang w:val="en-US"/>
        </w:rPr>
        <w:t xml:space="preserve">); Dmitry S </w:t>
      </w:r>
      <w:proofErr w:type="spellStart"/>
      <w:r w:rsidR="007D1713" w:rsidRPr="00AE5088">
        <w:rPr>
          <w:rFonts w:ascii="Book Antiqua" w:eastAsia="Times New Roman" w:hAnsi="Book Antiqua" w:cs="Times New Roman"/>
          <w:sz w:val="24"/>
          <w:szCs w:val="24"/>
          <w:lang w:val="en-US"/>
        </w:rPr>
        <w:t>Katserov</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0000-0001-6780-1820</w:t>
      </w:r>
      <w:r w:rsidR="007D1713" w:rsidRPr="00AE5088">
        <w:rPr>
          <w:rFonts w:ascii="Book Antiqua" w:eastAsia="Times New Roman" w:hAnsi="Book Antiqua" w:cs="Times New Roman"/>
          <w:sz w:val="24"/>
          <w:szCs w:val="24"/>
          <w:lang w:val="en-US"/>
        </w:rPr>
        <w:t xml:space="preserve">); Andrey S </w:t>
      </w:r>
      <w:proofErr w:type="spellStart"/>
      <w:r w:rsidR="007D1713" w:rsidRPr="00AE5088">
        <w:rPr>
          <w:rFonts w:ascii="Book Antiqua" w:eastAsia="Times New Roman" w:hAnsi="Book Antiqua" w:cs="Times New Roman"/>
          <w:sz w:val="24"/>
          <w:szCs w:val="24"/>
          <w:lang w:val="en-US"/>
        </w:rPr>
        <w:t>Glotov</w:t>
      </w:r>
      <w:proofErr w:type="spellEnd"/>
      <w:r w:rsidR="007D1713" w:rsidRPr="00AE5088">
        <w:rPr>
          <w:rFonts w:ascii="Book Antiqua" w:eastAsia="Times New Roman" w:hAnsi="Book Antiqua" w:cs="Times New Roman"/>
          <w:sz w:val="24"/>
          <w:szCs w:val="24"/>
          <w:lang w:val="en-US"/>
        </w:rPr>
        <w:t xml:space="preserve"> (</w:t>
      </w:r>
      <w:r w:rsidR="00F32288" w:rsidRPr="00AE5088">
        <w:rPr>
          <w:rFonts w:ascii="Book Antiqua" w:eastAsia="Times New Roman" w:hAnsi="Book Antiqua" w:cs="Times New Roman"/>
          <w:sz w:val="24"/>
          <w:szCs w:val="24"/>
          <w:lang w:val="en-US"/>
        </w:rPr>
        <w:t>0000-0002-7465-4504</w:t>
      </w:r>
      <w:r w:rsidR="007D1713" w:rsidRPr="00AE5088">
        <w:rPr>
          <w:rFonts w:ascii="Book Antiqua" w:eastAsia="Times New Roman" w:hAnsi="Book Antiqua" w:cs="Times New Roman"/>
          <w:sz w:val="24"/>
          <w:szCs w:val="24"/>
          <w:lang w:val="en-US"/>
        </w:rPr>
        <w:t>)</w:t>
      </w:r>
      <w:r w:rsidRPr="00AE5088">
        <w:rPr>
          <w:rFonts w:ascii="Book Antiqua" w:eastAsia="SimSun" w:hAnsi="Book Antiqua" w:cs="SimSun"/>
          <w:sz w:val="24"/>
          <w:szCs w:val="24"/>
          <w:lang w:val="en-US" w:eastAsia="zh-CN"/>
        </w:rPr>
        <w:t>.</w:t>
      </w:r>
    </w:p>
    <w:p w14:paraId="75B3D7AD" w14:textId="77777777" w:rsidR="007D1713" w:rsidRPr="00AE5088" w:rsidRDefault="007D1713" w:rsidP="005232A1">
      <w:pPr>
        <w:spacing w:after="0" w:line="360" w:lineRule="auto"/>
        <w:jc w:val="both"/>
        <w:rPr>
          <w:rFonts w:ascii="Book Antiqua" w:eastAsia="Times New Roman" w:hAnsi="Book Antiqua" w:cs="Times New Roman"/>
          <w:sz w:val="24"/>
          <w:szCs w:val="24"/>
          <w:lang w:val="en-US"/>
        </w:rPr>
      </w:pPr>
    </w:p>
    <w:p w14:paraId="0F65F15A" w14:textId="1B446403" w:rsidR="007D1713" w:rsidRPr="00AE5088" w:rsidRDefault="007D1713"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 xml:space="preserve">Author contributions: </w:t>
      </w:r>
      <w:r w:rsidR="00507447" w:rsidRPr="00AE5088">
        <w:rPr>
          <w:rFonts w:ascii="Book Antiqua" w:hAnsi="Book Antiqua" w:cs="Times New Roman"/>
          <w:sz w:val="24"/>
          <w:szCs w:val="24"/>
          <w:lang w:val="en-US"/>
        </w:rPr>
        <w:t>All</w:t>
      </w:r>
      <w:r w:rsidR="00507447" w:rsidRPr="00AE5088">
        <w:rPr>
          <w:rFonts w:ascii="Book Antiqua" w:hAnsi="Book Antiqua" w:cs="Times New Roman"/>
          <w:b/>
          <w:sz w:val="24"/>
          <w:szCs w:val="24"/>
          <w:lang w:val="en-US"/>
        </w:rPr>
        <w:t xml:space="preserve"> </w:t>
      </w:r>
      <w:r w:rsidRPr="00AE5088">
        <w:rPr>
          <w:rFonts w:ascii="Book Antiqua" w:eastAsia="Times New Roman" w:hAnsi="Book Antiqua" w:cs="Times New Roman"/>
          <w:sz w:val="24"/>
          <w:szCs w:val="24"/>
          <w:lang w:val="en-US"/>
        </w:rPr>
        <w:t>authors contributed equally to the work.</w:t>
      </w:r>
    </w:p>
    <w:p w14:paraId="54E8B394" w14:textId="77777777" w:rsidR="007D1713" w:rsidRPr="00AE5088" w:rsidRDefault="007D1713" w:rsidP="005232A1">
      <w:pPr>
        <w:spacing w:after="0" w:line="360" w:lineRule="auto"/>
        <w:jc w:val="both"/>
        <w:rPr>
          <w:rFonts w:ascii="Book Antiqua" w:eastAsia="Times New Roman" w:hAnsi="Book Antiqua" w:cs="Times New Roman"/>
          <w:b/>
          <w:sz w:val="24"/>
          <w:szCs w:val="24"/>
          <w:lang w:val="en-US"/>
        </w:rPr>
      </w:pPr>
    </w:p>
    <w:p w14:paraId="3DDE9456" w14:textId="38D9B0C1" w:rsidR="00F32288" w:rsidRPr="00AE5088" w:rsidRDefault="0008725A" w:rsidP="005232A1">
      <w:pPr>
        <w:spacing w:after="0" w:line="360" w:lineRule="auto"/>
        <w:jc w:val="both"/>
        <w:rPr>
          <w:rFonts w:ascii="Book Antiqua" w:hAnsi="Book Antiqua" w:cs="Garamond-Bold"/>
          <w:bCs/>
          <w:sz w:val="24"/>
          <w:szCs w:val="24"/>
          <w:lang w:val="en-US"/>
        </w:rPr>
      </w:pPr>
      <w:r w:rsidRPr="00AE5088">
        <w:rPr>
          <w:rFonts w:ascii="Book Antiqua" w:hAnsi="Book Antiqua"/>
          <w:b/>
          <w:sz w:val="24"/>
          <w:szCs w:val="24"/>
          <w:lang w:val="en-US"/>
        </w:rPr>
        <w:t>Supported by</w:t>
      </w:r>
      <w:r w:rsidRPr="00AE5088">
        <w:rPr>
          <w:rFonts w:ascii="Book Antiqua" w:hAnsi="Book Antiqua" w:cs="Garamond-Bold"/>
          <w:bCs/>
          <w:sz w:val="24"/>
          <w:szCs w:val="24"/>
          <w:lang w:val="en-US"/>
        </w:rPr>
        <w:t xml:space="preserve"> </w:t>
      </w:r>
      <w:r w:rsidR="00507447" w:rsidRPr="00AE5088">
        <w:rPr>
          <w:rFonts w:ascii="Book Antiqua" w:hAnsi="Book Antiqua" w:cs="Times New Roman"/>
          <w:sz w:val="24"/>
          <w:szCs w:val="24"/>
          <w:lang w:val="en-US"/>
        </w:rPr>
        <w:t xml:space="preserve">D.O. Ott Research Institute of Obstetrics, </w:t>
      </w:r>
      <w:proofErr w:type="spellStart"/>
      <w:r w:rsidR="00507447" w:rsidRPr="00AE5088">
        <w:rPr>
          <w:rFonts w:ascii="Book Antiqua" w:hAnsi="Book Antiqua" w:cs="Times New Roman"/>
          <w:sz w:val="24"/>
          <w:szCs w:val="24"/>
          <w:lang w:val="en-US"/>
        </w:rPr>
        <w:t>Gynaecology</w:t>
      </w:r>
      <w:proofErr w:type="spellEnd"/>
      <w:r w:rsidR="00507447" w:rsidRPr="00AE5088">
        <w:rPr>
          <w:rFonts w:ascii="Book Antiqua" w:hAnsi="Book Antiqua" w:cs="Times New Roman"/>
          <w:sz w:val="24"/>
          <w:szCs w:val="24"/>
          <w:lang w:val="en-US"/>
        </w:rPr>
        <w:t xml:space="preserve"> and </w:t>
      </w:r>
      <w:proofErr w:type="spellStart"/>
      <w:r w:rsidR="00507447" w:rsidRPr="00AE5088">
        <w:rPr>
          <w:rFonts w:ascii="Book Antiqua" w:hAnsi="Book Antiqua" w:cs="Times New Roman"/>
          <w:sz w:val="24"/>
          <w:szCs w:val="24"/>
          <w:lang w:val="en-US"/>
        </w:rPr>
        <w:t>Reproductology</w:t>
      </w:r>
      <w:proofErr w:type="spellEnd"/>
      <w:r w:rsidR="00507447" w:rsidRPr="00AE5088">
        <w:rPr>
          <w:rFonts w:ascii="Book Antiqua" w:hAnsi="Book Antiqua" w:cs="Times New Roman"/>
          <w:sz w:val="24"/>
          <w:szCs w:val="24"/>
          <w:lang w:val="en-US"/>
        </w:rPr>
        <w:t xml:space="preserve">, </w:t>
      </w:r>
      <w:r w:rsidR="00F32288" w:rsidRPr="00AE5088">
        <w:rPr>
          <w:rFonts w:ascii="Book Antiqua" w:hAnsi="Book Antiqua" w:cs="Times New Roman"/>
          <w:sz w:val="24"/>
          <w:szCs w:val="24"/>
          <w:lang w:val="en-US"/>
        </w:rPr>
        <w:t>project 558-2019-0012 of FSBSI.</w:t>
      </w:r>
    </w:p>
    <w:p w14:paraId="7E3E2335" w14:textId="7888A449" w:rsidR="007D1713" w:rsidRPr="00AE5088" w:rsidRDefault="007D1713" w:rsidP="005232A1">
      <w:pPr>
        <w:spacing w:after="0" w:line="360" w:lineRule="auto"/>
        <w:jc w:val="both"/>
        <w:rPr>
          <w:rFonts w:ascii="Book Antiqua" w:eastAsia="Times New Roman" w:hAnsi="Book Antiqua" w:cs="Times New Roman"/>
          <w:b/>
          <w:sz w:val="24"/>
          <w:szCs w:val="24"/>
          <w:lang w:val="en-US"/>
        </w:rPr>
      </w:pPr>
    </w:p>
    <w:p w14:paraId="70F3EA22" w14:textId="0FF5F67C"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Conflict-of-interest statement</w:t>
      </w:r>
      <w:r w:rsidRPr="00AE5088">
        <w:rPr>
          <w:rFonts w:ascii="Book Antiqua" w:hAnsi="Book Antiqua" w:cs="TimesNewRomanPS-BoldItalicMT"/>
          <w:b/>
          <w:iCs/>
          <w:sz w:val="24"/>
          <w:szCs w:val="24"/>
        </w:rPr>
        <w:t xml:space="preserve">: </w:t>
      </w:r>
      <w:r w:rsidRPr="00AE5088">
        <w:rPr>
          <w:rFonts w:ascii="Book Antiqua" w:eastAsia="Times New Roman" w:hAnsi="Book Antiqua" w:cs="Times New Roman"/>
          <w:sz w:val="24"/>
          <w:szCs w:val="24"/>
          <w:lang w:val="en-US"/>
        </w:rPr>
        <w:t>No potential conflicts of interest.</w:t>
      </w:r>
    </w:p>
    <w:p w14:paraId="35479559" w14:textId="77777777" w:rsidR="00507447" w:rsidRPr="00AE5088" w:rsidRDefault="00507447" w:rsidP="005232A1">
      <w:pPr>
        <w:adjustRightInd w:val="0"/>
        <w:snapToGrid w:val="0"/>
        <w:spacing w:after="0" w:line="360" w:lineRule="auto"/>
        <w:jc w:val="both"/>
        <w:rPr>
          <w:rFonts w:ascii="Book Antiqua" w:hAnsi="Book Antiqua"/>
          <w:sz w:val="24"/>
          <w:szCs w:val="24"/>
        </w:rPr>
      </w:pPr>
    </w:p>
    <w:p w14:paraId="16394E2D" w14:textId="77777777" w:rsidR="00507447" w:rsidRPr="00AE5088" w:rsidRDefault="00507447" w:rsidP="005232A1">
      <w:pPr>
        <w:adjustRightInd w:val="0"/>
        <w:snapToGrid w:val="0"/>
        <w:spacing w:after="0" w:line="360" w:lineRule="auto"/>
        <w:jc w:val="both"/>
        <w:rPr>
          <w:rFonts w:ascii="Book Antiqua" w:hAnsi="Book Antiqua"/>
          <w:sz w:val="24"/>
          <w:szCs w:val="24"/>
        </w:rPr>
      </w:pPr>
      <w:r w:rsidRPr="00AE5088">
        <w:rPr>
          <w:rFonts w:ascii="Book Antiqua" w:hAnsi="Book Antiqua"/>
          <w:b/>
          <w:sz w:val="24"/>
          <w:szCs w:val="24"/>
        </w:rPr>
        <w:t xml:space="preserve">Open-Access: </w:t>
      </w:r>
      <w:r w:rsidRPr="00AE508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E5088">
          <w:rPr>
            <w:rStyle w:val="Hyperlink"/>
            <w:rFonts w:ascii="Book Antiqua" w:hAnsi="Book Antiqua"/>
            <w:color w:val="auto"/>
            <w:sz w:val="24"/>
            <w:szCs w:val="24"/>
            <w:u w:val="none"/>
          </w:rPr>
          <w:t>http://creativecommons.org/licenses/by-nc/4.0/</w:t>
        </w:r>
      </w:hyperlink>
    </w:p>
    <w:p w14:paraId="7941EB7C" w14:textId="69FDBD00" w:rsidR="00507447" w:rsidRPr="00AE5088" w:rsidRDefault="00507447" w:rsidP="005232A1">
      <w:pPr>
        <w:spacing w:after="0" w:line="360" w:lineRule="auto"/>
        <w:jc w:val="both"/>
        <w:rPr>
          <w:rFonts w:ascii="Book Antiqua" w:eastAsia="Times New Roman" w:hAnsi="Book Antiqua" w:cs="Times New Roman"/>
          <w:b/>
          <w:sz w:val="24"/>
          <w:szCs w:val="24"/>
          <w:lang w:val="en-US"/>
        </w:rPr>
      </w:pPr>
    </w:p>
    <w:p w14:paraId="46488D8E" w14:textId="6FC73F38" w:rsidR="00507447" w:rsidRPr="00AE5088" w:rsidRDefault="00507447" w:rsidP="005232A1">
      <w:pPr>
        <w:spacing w:after="0" w:line="360" w:lineRule="auto"/>
        <w:jc w:val="both"/>
        <w:rPr>
          <w:rFonts w:ascii="Book Antiqua" w:eastAsia="SimSun" w:hAnsi="Book Antiqua" w:cs="SimSun"/>
          <w:sz w:val="24"/>
          <w:szCs w:val="24"/>
        </w:rPr>
      </w:pPr>
      <w:r w:rsidRPr="00AE5088">
        <w:rPr>
          <w:rFonts w:ascii="Book Antiqua" w:eastAsia="SimSun" w:hAnsi="Book Antiqua" w:cs="SimSun"/>
          <w:b/>
          <w:sz w:val="24"/>
          <w:szCs w:val="24"/>
        </w:rPr>
        <w:t>Manuscript source:</w:t>
      </w:r>
      <w:r w:rsidRPr="00AE5088">
        <w:rPr>
          <w:rFonts w:ascii="Book Antiqua" w:eastAsia="SimSun" w:hAnsi="Book Antiqua" w:cs="SimSun"/>
          <w:sz w:val="24"/>
          <w:szCs w:val="24"/>
        </w:rPr>
        <w:t> Invited manuscript</w:t>
      </w:r>
    </w:p>
    <w:p w14:paraId="49D12A40" w14:textId="77777777" w:rsidR="00507447" w:rsidRPr="00AE5088" w:rsidRDefault="00507447" w:rsidP="005232A1">
      <w:pPr>
        <w:spacing w:after="0" w:line="360" w:lineRule="auto"/>
        <w:jc w:val="both"/>
        <w:rPr>
          <w:rFonts w:ascii="Book Antiqua" w:eastAsia="Times New Roman" w:hAnsi="Book Antiqua" w:cs="Times New Roman"/>
          <w:b/>
          <w:sz w:val="24"/>
          <w:szCs w:val="24"/>
          <w:lang w:val="en-US"/>
        </w:rPr>
      </w:pPr>
    </w:p>
    <w:p w14:paraId="03ED5872" w14:textId="236249D3" w:rsidR="00507447" w:rsidRPr="00EE222C" w:rsidRDefault="00507447" w:rsidP="005232A1">
      <w:pPr>
        <w:spacing w:after="0" w:line="360" w:lineRule="auto"/>
        <w:jc w:val="both"/>
        <w:rPr>
          <w:rFonts w:ascii="Book Antiqua" w:eastAsiaTheme="minorEastAsia" w:hAnsi="Book Antiqua" w:cs="Times New Roman"/>
          <w:sz w:val="24"/>
          <w:szCs w:val="24"/>
          <w:lang w:val="en-US" w:eastAsia="zh-CN"/>
        </w:rPr>
      </w:pPr>
      <w:r w:rsidRPr="00AE5088">
        <w:rPr>
          <w:rFonts w:ascii="Book Antiqua" w:hAnsi="Book Antiqua"/>
          <w:b/>
          <w:sz w:val="24"/>
          <w:szCs w:val="24"/>
        </w:rPr>
        <w:t>Corresponding author:</w:t>
      </w:r>
      <w:r w:rsidR="007D1713" w:rsidRPr="00AE5088">
        <w:rPr>
          <w:rFonts w:ascii="Book Antiqua" w:eastAsia="Times New Roman" w:hAnsi="Book Antiqua" w:cs="Times New Roman"/>
          <w:sz w:val="24"/>
          <w:szCs w:val="24"/>
          <w:lang w:val="en-US"/>
        </w:rPr>
        <w:t xml:space="preserve"> </w:t>
      </w:r>
      <w:r w:rsidRPr="00AE5088">
        <w:rPr>
          <w:rFonts w:ascii="Book Antiqua" w:eastAsia="Times New Roman" w:hAnsi="Book Antiqua" w:cs="Times New Roman"/>
          <w:b/>
          <w:sz w:val="24"/>
          <w:szCs w:val="24"/>
          <w:lang w:val="en-US"/>
        </w:rPr>
        <w:t xml:space="preserve">Andrey S </w:t>
      </w:r>
      <w:proofErr w:type="spellStart"/>
      <w:r w:rsidRPr="00AE5088">
        <w:rPr>
          <w:rFonts w:ascii="Book Antiqua" w:eastAsia="Times New Roman" w:hAnsi="Book Antiqua" w:cs="Times New Roman"/>
          <w:b/>
          <w:sz w:val="24"/>
          <w:szCs w:val="24"/>
          <w:lang w:val="en-US"/>
        </w:rPr>
        <w:t>Glotov</w:t>
      </w:r>
      <w:proofErr w:type="spellEnd"/>
      <w:r w:rsidRPr="00AE5088">
        <w:rPr>
          <w:rFonts w:ascii="Book Antiqua" w:eastAsia="Times New Roman" w:hAnsi="Book Antiqua" w:cs="Times New Roman"/>
          <w:b/>
          <w:sz w:val="24"/>
          <w:szCs w:val="24"/>
          <w:lang w:val="en-US"/>
        </w:rPr>
        <w:t xml:space="preserve">, DSc, PhD, Senior Scientist, </w:t>
      </w:r>
      <w:r w:rsidRPr="00AE5088">
        <w:rPr>
          <w:rFonts w:ascii="Book Antiqua" w:eastAsia="Times New Roman" w:hAnsi="Book Antiqua" w:cs="Times New Roman"/>
          <w:sz w:val="24"/>
          <w:szCs w:val="24"/>
          <w:lang w:val="en-US"/>
        </w:rPr>
        <w:t xml:space="preserve">Department of Genomic Medicine, D.O. Ott Research Institute of Obstetrics, </w:t>
      </w:r>
      <w:proofErr w:type="spellStart"/>
      <w:r w:rsidRPr="00AE5088">
        <w:rPr>
          <w:rFonts w:ascii="Book Antiqua" w:eastAsia="Times New Roman" w:hAnsi="Book Antiqua" w:cs="Times New Roman"/>
          <w:sz w:val="24"/>
          <w:szCs w:val="24"/>
          <w:lang w:val="en-US"/>
        </w:rPr>
        <w:t>Gynaecology</w:t>
      </w:r>
      <w:proofErr w:type="spellEnd"/>
      <w:r w:rsidRPr="00AE5088">
        <w:rPr>
          <w:rFonts w:ascii="Book Antiqua" w:eastAsia="Times New Roman" w:hAnsi="Book Antiqua" w:cs="Times New Roman"/>
          <w:sz w:val="24"/>
          <w:szCs w:val="24"/>
          <w:lang w:val="en-US"/>
        </w:rPr>
        <w:t xml:space="preserve"> and </w:t>
      </w:r>
      <w:proofErr w:type="spellStart"/>
      <w:r w:rsidRPr="00AE5088">
        <w:rPr>
          <w:rFonts w:ascii="Book Antiqua" w:eastAsia="Times New Roman" w:hAnsi="Book Antiqua" w:cs="Times New Roman"/>
          <w:sz w:val="24"/>
          <w:szCs w:val="24"/>
          <w:lang w:val="en-US"/>
        </w:rPr>
        <w:t>Reproductology</w:t>
      </w:r>
      <w:proofErr w:type="spellEnd"/>
      <w:r w:rsidRPr="00AE5088">
        <w:rPr>
          <w:rFonts w:ascii="Book Antiqua" w:eastAsia="Times New Roman" w:hAnsi="Book Antiqua" w:cs="Times New Roman"/>
          <w:sz w:val="24"/>
          <w:szCs w:val="24"/>
          <w:lang w:val="en-US"/>
        </w:rPr>
        <w:t xml:space="preserve">, </w:t>
      </w:r>
      <w:proofErr w:type="spellStart"/>
      <w:r w:rsidRPr="00AE5088">
        <w:rPr>
          <w:rFonts w:ascii="Book Antiqua" w:eastAsia="Times New Roman" w:hAnsi="Book Antiqua" w:cs="Times New Roman"/>
          <w:sz w:val="24"/>
          <w:szCs w:val="24"/>
          <w:lang w:val="en-US"/>
        </w:rPr>
        <w:t>Mendeleevskaya</w:t>
      </w:r>
      <w:proofErr w:type="spellEnd"/>
      <w:r w:rsidRPr="00AE5088">
        <w:rPr>
          <w:rFonts w:ascii="Book Antiqua" w:eastAsia="Times New Roman" w:hAnsi="Book Antiqua" w:cs="Times New Roman"/>
          <w:sz w:val="24"/>
          <w:szCs w:val="24"/>
          <w:lang w:val="en-US"/>
        </w:rPr>
        <w:t xml:space="preserve"> Line 3, St. Petersburg 199034, Russia. </w:t>
      </w:r>
      <w:hyperlink r:id="rId10" w:history="1">
        <w:r w:rsidR="00EE222C" w:rsidRPr="00366006">
          <w:rPr>
            <w:rStyle w:val="Hyperlink"/>
            <w:rFonts w:ascii="Book Antiqua" w:eastAsia="Times New Roman" w:hAnsi="Book Antiqua" w:cs="Times New Roman"/>
            <w:sz w:val="24"/>
            <w:szCs w:val="24"/>
            <w:lang w:val="en-US"/>
          </w:rPr>
          <w:t>anglotov@mail.ru</w:t>
        </w:r>
      </w:hyperlink>
      <w:r w:rsidRPr="00AE5088">
        <w:rPr>
          <w:rFonts w:ascii="Book Antiqua" w:eastAsia="Times New Roman" w:hAnsi="Book Antiqua" w:cs="Times New Roman"/>
          <w:sz w:val="24"/>
          <w:szCs w:val="24"/>
          <w:lang w:val="en-US"/>
        </w:rPr>
        <w:t xml:space="preserve"> </w:t>
      </w:r>
      <w:r w:rsidR="00EE222C">
        <w:rPr>
          <w:rFonts w:ascii="Book Antiqua" w:eastAsiaTheme="minorEastAsia" w:hAnsi="Book Antiqua" w:cs="Times New Roman" w:hint="eastAsia"/>
          <w:sz w:val="24"/>
          <w:szCs w:val="24"/>
          <w:lang w:val="en-US" w:eastAsia="zh-CN"/>
        </w:rPr>
        <w:t xml:space="preserve"> </w:t>
      </w:r>
    </w:p>
    <w:p w14:paraId="23C25E45" w14:textId="64A73040" w:rsidR="0008725A" w:rsidRPr="00AE5088" w:rsidRDefault="0008725A" w:rsidP="005232A1">
      <w:pPr>
        <w:spacing w:after="0" w:line="360" w:lineRule="auto"/>
        <w:jc w:val="both"/>
        <w:rPr>
          <w:rFonts w:ascii="Book Antiqua" w:hAnsi="Book Antiqua" w:cs="Times New Roman"/>
          <w:b/>
          <w:sz w:val="24"/>
          <w:szCs w:val="24"/>
        </w:rPr>
      </w:pPr>
      <w:r w:rsidRPr="00AE5088">
        <w:rPr>
          <w:rFonts w:ascii="Book Antiqua" w:hAnsi="Book Antiqua" w:cs="Times New Roman"/>
          <w:b/>
          <w:sz w:val="24"/>
          <w:szCs w:val="24"/>
          <w:lang w:val="en-US"/>
        </w:rPr>
        <w:t>Telephone</w:t>
      </w:r>
      <w:r w:rsidRPr="00AE5088">
        <w:rPr>
          <w:rFonts w:ascii="Book Antiqua" w:hAnsi="Book Antiqua" w:cs="Times New Roman"/>
          <w:b/>
          <w:sz w:val="24"/>
          <w:szCs w:val="24"/>
        </w:rPr>
        <w:t xml:space="preserve">: </w:t>
      </w:r>
      <w:r w:rsidR="00564EA5" w:rsidRPr="00AE5088">
        <w:rPr>
          <w:rFonts w:ascii="Book Antiqua" w:hAnsi="Book Antiqua" w:cs="Times New Roman"/>
          <w:sz w:val="24"/>
          <w:szCs w:val="24"/>
        </w:rPr>
        <w:t>+7-911-7832003</w:t>
      </w:r>
    </w:p>
    <w:p w14:paraId="72A735B6" w14:textId="5B20D58D" w:rsidR="0008725A" w:rsidRPr="00AE5088" w:rsidRDefault="0008725A"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Fax:</w:t>
      </w:r>
      <w:r w:rsidR="00C97629" w:rsidRPr="00AE5088">
        <w:rPr>
          <w:rFonts w:ascii="Book Antiqua" w:hAnsi="Book Antiqua" w:cs="Times New Roman"/>
          <w:b/>
          <w:sz w:val="24"/>
          <w:szCs w:val="24"/>
          <w:lang w:val="en-US"/>
        </w:rPr>
        <w:t xml:space="preserve"> </w:t>
      </w:r>
      <w:r w:rsidR="00564EA5" w:rsidRPr="00AE5088">
        <w:rPr>
          <w:rFonts w:ascii="Book Antiqua" w:hAnsi="Book Antiqua" w:cs="Times New Roman"/>
          <w:sz w:val="24"/>
          <w:szCs w:val="24"/>
          <w:lang w:val="en-US"/>
        </w:rPr>
        <w:t>+7-812-3280262</w:t>
      </w:r>
    </w:p>
    <w:p w14:paraId="5C48AEC2" w14:textId="77777777" w:rsidR="0008725A" w:rsidRPr="00AE5088" w:rsidRDefault="0008725A" w:rsidP="005232A1">
      <w:pPr>
        <w:spacing w:after="0" w:line="360" w:lineRule="auto"/>
        <w:jc w:val="both"/>
        <w:rPr>
          <w:rFonts w:ascii="Book Antiqua" w:eastAsia="Times New Roman" w:hAnsi="Book Antiqua" w:cs="Times New Roman"/>
          <w:sz w:val="24"/>
          <w:szCs w:val="24"/>
          <w:lang w:val="en-US"/>
        </w:rPr>
      </w:pPr>
    </w:p>
    <w:p w14:paraId="5DA7D95D" w14:textId="71A7252F"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Received: </w:t>
      </w:r>
      <w:r w:rsidR="00935C59" w:rsidRPr="00AE5088">
        <w:rPr>
          <w:rFonts w:ascii="Book Antiqua" w:hAnsi="Book Antiqua"/>
          <w:sz w:val="24"/>
          <w:szCs w:val="24"/>
        </w:rPr>
        <w:t>February 21, 2019</w:t>
      </w:r>
      <w:r w:rsidR="00AE5088" w:rsidRPr="00AE5088">
        <w:rPr>
          <w:rFonts w:ascii="Book Antiqua" w:hAnsi="Book Antiqua"/>
          <w:sz w:val="24"/>
          <w:szCs w:val="24"/>
        </w:rPr>
        <w:t xml:space="preserve"> </w:t>
      </w:r>
    </w:p>
    <w:p w14:paraId="0B4AAFDC" w14:textId="2715F269"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Peer-review started:</w:t>
      </w:r>
      <w:r w:rsidR="00935C59" w:rsidRPr="00AE5088">
        <w:rPr>
          <w:rFonts w:ascii="Book Antiqua" w:hAnsi="Book Antiqua"/>
          <w:sz w:val="24"/>
          <w:szCs w:val="24"/>
        </w:rPr>
        <w:t xml:space="preserve"> February 22, 2019</w:t>
      </w:r>
      <w:r w:rsidR="00AE5088" w:rsidRPr="00AE5088">
        <w:rPr>
          <w:rFonts w:ascii="Book Antiqua" w:hAnsi="Book Antiqua"/>
          <w:sz w:val="24"/>
          <w:szCs w:val="24"/>
        </w:rPr>
        <w:t xml:space="preserve"> </w:t>
      </w:r>
    </w:p>
    <w:p w14:paraId="4B49540D" w14:textId="1F31166D"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First decision:</w:t>
      </w:r>
      <w:r w:rsidR="00935C59" w:rsidRPr="00AE5088">
        <w:rPr>
          <w:rFonts w:ascii="Book Antiqua" w:hAnsi="Book Antiqua"/>
          <w:sz w:val="24"/>
          <w:szCs w:val="24"/>
        </w:rPr>
        <w:t xml:space="preserve"> May 8, 2019</w:t>
      </w:r>
      <w:r w:rsidR="00AE5088" w:rsidRPr="00AE5088">
        <w:rPr>
          <w:rFonts w:ascii="Book Antiqua" w:hAnsi="Book Antiqua"/>
          <w:sz w:val="24"/>
          <w:szCs w:val="24"/>
        </w:rPr>
        <w:t xml:space="preserve"> </w:t>
      </w:r>
    </w:p>
    <w:p w14:paraId="572A5B5A" w14:textId="6C82E9FD"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Revised: </w:t>
      </w:r>
      <w:r w:rsidR="00935C59" w:rsidRPr="00AE5088">
        <w:rPr>
          <w:rFonts w:ascii="Book Antiqua" w:hAnsi="Book Antiqua"/>
          <w:sz w:val="24"/>
          <w:szCs w:val="24"/>
        </w:rPr>
        <w:t>May 23, 2019</w:t>
      </w:r>
      <w:r w:rsidR="00AE5088" w:rsidRPr="00AE5088">
        <w:rPr>
          <w:rFonts w:ascii="Book Antiqua" w:hAnsi="Book Antiqua"/>
          <w:sz w:val="24"/>
          <w:szCs w:val="24"/>
        </w:rPr>
        <w:t xml:space="preserve"> </w:t>
      </w:r>
      <w:r w:rsidRPr="00AE5088">
        <w:rPr>
          <w:rFonts w:ascii="Book Antiqua" w:hAnsi="Book Antiqua"/>
          <w:b/>
          <w:sz w:val="24"/>
          <w:szCs w:val="24"/>
        </w:rPr>
        <w:t xml:space="preserve"> </w:t>
      </w:r>
    </w:p>
    <w:p w14:paraId="0EFF635D" w14:textId="086B8A1F"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Accepted:</w:t>
      </w:r>
      <w:r w:rsidR="005B390B" w:rsidRPr="005B390B">
        <w:t xml:space="preserve"> </w:t>
      </w:r>
      <w:r w:rsidR="005B390B" w:rsidRPr="005B390B">
        <w:rPr>
          <w:rFonts w:ascii="Book Antiqua" w:hAnsi="Book Antiqua"/>
          <w:bCs/>
          <w:sz w:val="24"/>
          <w:szCs w:val="24"/>
        </w:rPr>
        <w:t>June 10, 2019</w:t>
      </w:r>
      <w:r w:rsidR="00AE5088" w:rsidRPr="00AE5088">
        <w:rPr>
          <w:rFonts w:ascii="Book Antiqua" w:hAnsi="Book Antiqua"/>
          <w:b/>
          <w:sz w:val="24"/>
          <w:szCs w:val="24"/>
        </w:rPr>
        <w:t xml:space="preserve"> </w:t>
      </w:r>
    </w:p>
    <w:p w14:paraId="7693AE30" w14:textId="2C4400BC" w:rsidR="00507447" w:rsidRPr="00AE5088" w:rsidRDefault="00507447" w:rsidP="005232A1">
      <w:pPr>
        <w:spacing w:after="0" w:line="360" w:lineRule="auto"/>
        <w:jc w:val="both"/>
        <w:rPr>
          <w:rFonts w:ascii="Book Antiqua" w:hAnsi="Book Antiqua"/>
          <w:sz w:val="24"/>
          <w:szCs w:val="24"/>
        </w:rPr>
      </w:pPr>
      <w:r w:rsidRPr="00AE5088">
        <w:rPr>
          <w:rFonts w:ascii="Book Antiqua" w:hAnsi="Book Antiqua"/>
          <w:b/>
          <w:sz w:val="24"/>
          <w:szCs w:val="24"/>
        </w:rPr>
        <w:lastRenderedPageBreak/>
        <w:t>Article in press:</w:t>
      </w:r>
      <w:r w:rsidR="00AE5088" w:rsidRPr="00AE5088">
        <w:rPr>
          <w:rFonts w:ascii="Book Antiqua" w:hAnsi="Book Antiqua"/>
          <w:sz w:val="24"/>
          <w:szCs w:val="24"/>
        </w:rPr>
        <w:t xml:space="preserve">  </w:t>
      </w:r>
    </w:p>
    <w:p w14:paraId="1A8E6B9D" w14:textId="77777777" w:rsidR="00507447" w:rsidRPr="00AE5088" w:rsidRDefault="00507447" w:rsidP="005232A1">
      <w:pPr>
        <w:spacing w:after="0" w:line="360" w:lineRule="auto"/>
        <w:jc w:val="both"/>
        <w:rPr>
          <w:rFonts w:ascii="Book Antiqua" w:hAnsi="Book Antiqua"/>
          <w:b/>
          <w:sz w:val="24"/>
          <w:szCs w:val="24"/>
        </w:rPr>
      </w:pPr>
      <w:r w:rsidRPr="00AE5088">
        <w:rPr>
          <w:rFonts w:ascii="Book Antiqua" w:hAnsi="Book Antiqua"/>
          <w:b/>
          <w:sz w:val="24"/>
          <w:szCs w:val="24"/>
        </w:rPr>
        <w:t xml:space="preserve">Published online: </w:t>
      </w:r>
    </w:p>
    <w:p w14:paraId="17C0A0C9" w14:textId="77777777" w:rsidR="00935C59" w:rsidRPr="00AE5088" w:rsidRDefault="00935C59"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br w:type="page"/>
      </w:r>
    </w:p>
    <w:p w14:paraId="10F2F46F" w14:textId="35FBCBA7" w:rsidR="00D83A36" w:rsidRPr="00AE5088" w:rsidRDefault="006E31AF"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lastRenderedPageBreak/>
        <w:t>Abstract</w:t>
      </w:r>
    </w:p>
    <w:p w14:paraId="533DCB56" w14:textId="2BC1A299" w:rsidR="0091508A" w:rsidRPr="00AE5088" w:rsidRDefault="0091508A"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Type 2 diabetes (T2D) mellitus is a common complex disease that currently affects more than 400 million people worldwide and has become a global health problem. High-throughput sequencing technologies such as whole-genome and whole-exome sequencing approaches have provided numerous new insights into the molecular bases of T2D. Recent advances in the </w:t>
      </w:r>
      <w:r w:rsidR="00A24B2F" w:rsidRPr="00AE5088">
        <w:rPr>
          <w:rFonts w:ascii="Book Antiqua" w:hAnsi="Book Antiqua" w:cs="Times New Roman"/>
          <w:sz w:val="24"/>
          <w:szCs w:val="24"/>
          <w:lang w:val="en-US"/>
        </w:rPr>
        <w:t>application of sequencing technologies to T2D research</w:t>
      </w:r>
      <w:r w:rsidRPr="00AE5088">
        <w:rPr>
          <w:rFonts w:ascii="Book Antiqua" w:hAnsi="Book Antiqua" w:cs="Times New Roman"/>
          <w:sz w:val="24"/>
          <w:szCs w:val="24"/>
          <w:lang w:val="en-US"/>
        </w:rPr>
        <w:t xml:space="preserve"> include, but are not limited to: (</w:t>
      </w:r>
      <w:r w:rsidR="008169F5" w:rsidRPr="00AE5088">
        <w:rPr>
          <w:rFonts w:ascii="Book Antiqua" w:hAnsi="Book Antiqua" w:cs="Times New Roman"/>
          <w:sz w:val="24"/>
          <w:szCs w:val="24"/>
          <w:lang w:val="en-US"/>
        </w:rPr>
        <w:t>1</w:t>
      </w:r>
      <w:r w:rsidRPr="00AE5088">
        <w:rPr>
          <w:rFonts w:ascii="Book Antiqua" w:hAnsi="Book Antiqua" w:cs="Times New Roman"/>
          <w:sz w:val="24"/>
          <w:szCs w:val="24"/>
          <w:lang w:val="en-US"/>
        </w:rPr>
        <w:t xml:space="preserve">) fine mapping of </w:t>
      </w:r>
      <w:r w:rsidR="00A24B2F" w:rsidRPr="00AE5088">
        <w:rPr>
          <w:rFonts w:ascii="Book Antiqua" w:hAnsi="Book Antiqua" w:cs="Times New Roman"/>
          <w:sz w:val="24"/>
          <w:szCs w:val="24"/>
          <w:lang w:val="en-US"/>
        </w:rPr>
        <w:t xml:space="preserve">causal </w:t>
      </w:r>
      <w:r w:rsidRPr="00AE5088">
        <w:rPr>
          <w:rFonts w:ascii="Book Antiqua" w:hAnsi="Book Antiqua" w:cs="Times New Roman"/>
          <w:sz w:val="24"/>
          <w:szCs w:val="24"/>
          <w:lang w:val="en-US"/>
        </w:rPr>
        <w:t>rare and common genetic variants; (</w:t>
      </w:r>
      <w:r w:rsidR="008169F5" w:rsidRPr="00AE5088">
        <w:rPr>
          <w:rFonts w:ascii="Book Antiqua" w:hAnsi="Book Antiqua" w:cs="Times New Roman"/>
          <w:sz w:val="24"/>
          <w:szCs w:val="24"/>
          <w:lang w:val="en-US"/>
        </w:rPr>
        <w:t>2</w:t>
      </w:r>
      <w:r w:rsidRPr="00AE5088">
        <w:rPr>
          <w:rFonts w:ascii="Book Antiqua" w:hAnsi="Book Antiqua" w:cs="Times New Roman"/>
          <w:sz w:val="24"/>
          <w:szCs w:val="24"/>
          <w:lang w:val="en-US"/>
        </w:rPr>
        <w:t xml:space="preserve">) identification of </w:t>
      </w:r>
      <w:r w:rsidR="00A24B2F" w:rsidRPr="00AE5088">
        <w:rPr>
          <w:rFonts w:ascii="Book Antiqua" w:hAnsi="Book Antiqua" w:cs="Times New Roman"/>
          <w:sz w:val="24"/>
          <w:szCs w:val="24"/>
          <w:lang w:val="en-US"/>
        </w:rPr>
        <w:t xml:space="preserve">confident </w:t>
      </w:r>
      <w:r w:rsidRPr="00AE5088">
        <w:rPr>
          <w:rFonts w:ascii="Book Antiqua" w:hAnsi="Book Antiqua" w:cs="Times New Roman"/>
          <w:sz w:val="24"/>
          <w:szCs w:val="24"/>
          <w:lang w:val="en-US"/>
        </w:rPr>
        <w:t>gene-level associations</w:t>
      </w:r>
      <w:r w:rsidR="00A24B2F"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3</w:t>
      </w:r>
      <w:r w:rsidRPr="00AE5088">
        <w:rPr>
          <w:rFonts w:ascii="Book Antiqua" w:hAnsi="Book Antiqua" w:cs="Times New Roman"/>
          <w:sz w:val="24"/>
          <w:szCs w:val="24"/>
          <w:lang w:val="en-US"/>
        </w:rPr>
        <w:t>) identification of novel candidate genes by specific scoring approaches</w:t>
      </w:r>
      <w:r w:rsidR="00A24B2F"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4</w:t>
      </w:r>
      <w:r w:rsidRPr="00AE5088">
        <w:rPr>
          <w:rFonts w:ascii="Book Antiqua" w:hAnsi="Book Antiqua" w:cs="Times New Roman"/>
          <w:sz w:val="24"/>
          <w:szCs w:val="24"/>
          <w:lang w:val="en-US"/>
        </w:rPr>
        <w:t>) interrogation of disease-relevant genes and pathways by transcriptional pr</w:t>
      </w:r>
      <w:r w:rsidR="00A24B2F" w:rsidRPr="00AE5088">
        <w:rPr>
          <w:rFonts w:ascii="Book Antiqua" w:hAnsi="Book Antiqua" w:cs="Times New Roman"/>
          <w:sz w:val="24"/>
          <w:szCs w:val="24"/>
          <w:lang w:val="en-US"/>
        </w:rPr>
        <w:t>ofiling</w:t>
      </w:r>
      <w:r w:rsidRPr="00AE5088">
        <w:rPr>
          <w:rFonts w:ascii="Book Antiqua" w:hAnsi="Book Antiqua" w:cs="Times New Roman"/>
          <w:sz w:val="24"/>
          <w:szCs w:val="24"/>
          <w:lang w:val="en-US"/>
        </w:rPr>
        <w:t xml:space="preserve"> </w:t>
      </w:r>
      <w:r w:rsidR="00A24B2F" w:rsidRPr="00AE5088">
        <w:rPr>
          <w:rFonts w:ascii="Book Antiqua" w:hAnsi="Book Antiqua" w:cs="Times New Roman"/>
          <w:sz w:val="24"/>
          <w:szCs w:val="24"/>
          <w:lang w:val="en-US"/>
        </w:rPr>
        <w:t>and epigenome mapping techniques; and</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5</w:t>
      </w:r>
      <w:r w:rsidRPr="00AE5088">
        <w:rPr>
          <w:rFonts w:ascii="Book Antiqua" w:hAnsi="Book Antiqua" w:cs="Times New Roman"/>
          <w:sz w:val="24"/>
          <w:szCs w:val="24"/>
          <w:lang w:val="en-US"/>
        </w:rPr>
        <w:t>) i</w:t>
      </w:r>
      <w:r w:rsidR="00A24B2F" w:rsidRPr="00AE5088">
        <w:rPr>
          <w:rFonts w:ascii="Book Antiqua" w:hAnsi="Book Antiqua" w:cs="Times New Roman"/>
          <w:sz w:val="24"/>
          <w:szCs w:val="24"/>
          <w:lang w:val="en-US"/>
        </w:rPr>
        <w:t>nvestigation</w:t>
      </w:r>
      <w:r w:rsidRPr="00AE5088">
        <w:rPr>
          <w:rFonts w:ascii="Book Antiqua" w:hAnsi="Book Antiqua" w:cs="Times New Roman"/>
          <w:sz w:val="24"/>
          <w:szCs w:val="24"/>
          <w:lang w:val="en-US"/>
        </w:rPr>
        <w:t xml:space="preserve"> of microbial </w:t>
      </w:r>
      <w:r w:rsidR="00A24B2F" w:rsidRPr="00AE5088">
        <w:rPr>
          <w:rFonts w:ascii="Book Antiqua" w:hAnsi="Book Antiqua" w:cs="Times New Roman"/>
          <w:sz w:val="24"/>
          <w:szCs w:val="24"/>
          <w:lang w:val="en-US"/>
        </w:rPr>
        <w:t>community alteration</w:t>
      </w:r>
      <w:r w:rsidRPr="00AE5088">
        <w:rPr>
          <w:rFonts w:ascii="Book Antiqua" w:hAnsi="Book Antiqua" w:cs="Times New Roman"/>
          <w:sz w:val="24"/>
          <w:szCs w:val="24"/>
          <w:lang w:val="en-US"/>
        </w:rPr>
        <w:t>s in patients with T2D. In this work we review the</w:t>
      </w:r>
      <w:r w:rsidR="00A24B2F" w:rsidRPr="00AE5088">
        <w:rPr>
          <w:rFonts w:ascii="Book Antiqua" w:hAnsi="Book Antiqua" w:cs="Times New Roman"/>
          <w:sz w:val="24"/>
          <w:szCs w:val="24"/>
          <w:lang w:val="en-US"/>
        </w:rPr>
        <w:t>se</w:t>
      </w:r>
      <w:r w:rsidRPr="00AE5088">
        <w:rPr>
          <w:rFonts w:ascii="Book Antiqua" w:hAnsi="Book Antiqua" w:cs="Times New Roman"/>
          <w:sz w:val="24"/>
          <w:szCs w:val="24"/>
          <w:lang w:val="en-US"/>
        </w:rPr>
        <w:t xml:space="preserve"> advances in application of </w:t>
      </w:r>
      <w:r w:rsidR="008169F5" w:rsidRPr="00AE5088">
        <w:rPr>
          <w:rFonts w:ascii="Book Antiqua" w:hAnsi="Book Antiqua" w:cs="Times New Roman"/>
          <w:sz w:val="24"/>
          <w:szCs w:val="24"/>
          <w:lang w:val="en-US"/>
        </w:rPr>
        <w:t>next-generation sequencing</w:t>
      </w:r>
      <w:r w:rsidRPr="00AE5088">
        <w:rPr>
          <w:rFonts w:ascii="Book Antiqua" w:hAnsi="Book Antiqua" w:cs="Times New Roman"/>
          <w:sz w:val="24"/>
          <w:szCs w:val="24"/>
          <w:lang w:val="en-US"/>
        </w:rPr>
        <w:t xml:space="preserve"> methods for elucidation of T2D</w:t>
      </w:r>
      <w:r w:rsidR="00A24B2F" w:rsidRPr="00AE5088">
        <w:rPr>
          <w:rFonts w:ascii="Book Antiqua" w:hAnsi="Book Antiqua" w:cs="Times New Roman"/>
          <w:sz w:val="24"/>
          <w:szCs w:val="24"/>
          <w:lang w:val="en-US"/>
        </w:rPr>
        <w:t xml:space="preserve"> pathogenesis, as well as </w:t>
      </w:r>
      <w:r w:rsidRPr="00AE5088">
        <w:rPr>
          <w:rFonts w:ascii="Book Antiqua" w:hAnsi="Book Antiqua" w:cs="Times New Roman"/>
          <w:sz w:val="24"/>
          <w:szCs w:val="24"/>
          <w:lang w:val="en-US"/>
        </w:rPr>
        <w:t>progress and challenges in implementation of th</w:t>
      </w:r>
      <w:r w:rsidR="00A24B2F" w:rsidRPr="00AE5088">
        <w:rPr>
          <w:rFonts w:ascii="Book Antiqua" w:hAnsi="Book Antiqua" w:cs="Times New Roman"/>
          <w:sz w:val="24"/>
          <w:szCs w:val="24"/>
          <w:lang w:val="en-US"/>
        </w:rPr>
        <w:t>is</w:t>
      </w:r>
      <w:r w:rsidRPr="00AE5088">
        <w:rPr>
          <w:rFonts w:ascii="Book Antiqua" w:hAnsi="Book Antiqua" w:cs="Times New Roman"/>
          <w:sz w:val="24"/>
          <w:szCs w:val="24"/>
          <w:lang w:val="en-US"/>
        </w:rPr>
        <w:t xml:space="preserve"> new knowledge about T2D genetics in diagnosis, prevention, and treatment</w:t>
      </w:r>
      <w:r w:rsidR="00A24B2F" w:rsidRPr="00AE5088">
        <w:rPr>
          <w:rFonts w:ascii="Book Antiqua" w:hAnsi="Book Antiqua" w:cs="Times New Roman"/>
          <w:sz w:val="24"/>
          <w:szCs w:val="24"/>
          <w:lang w:val="en-US"/>
        </w:rPr>
        <w:t xml:space="preserve"> of the disease</w:t>
      </w:r>
      <w:r w:rsidRPr="00AE5088">
        <w:rPr>
          <w:rFonts w:ascii="Book Antiqua" w:hAnsi="Book Antiqua" w:cs="Times New Roman"/>
          <w:sz w:val="24"/>
          <w:szCs w:val="24"/>
          <w:lang w:val="en-US"/>
        </w:rPr>
        <w:t>.</w:t>
      </w:r>
    </w:p>
    <w:p w14:paraId="07FD1B12" w14:textId="772F02CC" w:rsidR="005F58AF" w:rsidRPr="00AE5088" w:rsidRDefault="005F58AF" w:rsidP="005232A1">
      <w:pPr>
        <w:spacing w:after="0" w:line="360" w:lineRule="auto"/>
        <w:jc w:val="both"/>
        <w:rPr>
          <w:rFonts w:ascii="Book Antiqua" w:hAnsi="Book Antiqua"/>
          <w:sz w:val="24"/>
          <w:szCs w:val="24"/>
          <w:lang w:val="en-US"/>
        </w:rPr>
      </w:pPr>
    </w:p>
    <w:p w14:paraId="010265AA" w14:textId="05C33CDC" w:rsidR="00DF658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b/>
          <w:sz w:val="24"/>
          <w:szCs w:val="24"/>
          <w:lang w:val="en-US"/>
        </w:rPr>
        <w:t>Key</w:t>
      </w:r>
      <w:r w:rsidR="008169F5" w:rsidRPr="00AE5088">
        <w:rPr>
          <w:rFonts w:ascii="Book Antiqua" w:hAnsi="Book Antiqua" w:cs="Times New Roman"/>
          <w:b/>
          <w:sz w:val="24"/>
          <w:szCs w:val="24"/>
          <w:lang w:val="en-US"/>
        </w:rPr>
        <w:t xml:space="preserve"> </w:t>
      </w:r>
      <w:r w:rsidRPr="00AE5088">
        <w:rPr>
          <w:rFonts w:ascii="Book Antiqua" w:hAnsi="Book Antiqua" w:cs="Times New Roman"/>
          <w:b/>
          <w:sz w:val="24"/>
          <w:szCs w:val="24"/>
          <w:lang w:val="en-US"/>
        </w:rPr>
        <w:t xml:space="preserve">words: </w:t>
      </w:r>
      <w:r w:rsidR="008169F5" w:rsidRPr="00AE5088">
        <w:rPr>
          <w:rFonts w:ascii="Book Antiqua" w:hAnsi="Book Antiqua" w:cs="Times New Roman"/>
          <w:sz w:val="24"/>
          <w:szCs w:val="24"/>
          <w:lang w:val="en-US"/>
        </w:rPr>
        <w:t xml:space="preserve">Type </w:t>
      </w:r>
      <w:r w:rsidRPr="00AE5088">
        <w:rPr>
          <w:rFonts w:ascii="Book Antiqua" w:hAnsi="Book Antiqua" w:cs="Times New Roman"/>
          <w:sz w:val="24"/>
          <w:szCs w:val="24"/>
          <w:lang w:val="en-US"/>
        </w:rPr>
        <w:t xml:space="preserve">2 diabetes; </w:t>
      </w:r>
      <w:r w:rsidR="008169F5" w:rsidRPr="00AE5088">
        <w:rPr>
          <w:rFonts w:ascii="Book Antiqua" w:hAnsi="Book Antiqua" w:cs="Times New Roman"/>
          <w:sz w:val="24"/>
          <w:szCs w:val="24"/>
          <w:lang w:val="en-US"/>
        </w:rPr>
        <w:t>Next-generation sequencing</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Epigenetics</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Genome-wide association study</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Microbiome</w:t>
      </w:r>
    </w:p>
    <w:p w14:paraId="2E0266D7" w14:textId="2D30124F" w:rsidR="008169F5" w:rsidRPr="00AE5088" w:rsidRDefault="008169F5" w:rsidP="005232A1">
      <w:pPr>
        <w:spacing w:after="0" w:line="360" w:lineRule="auto"/>
        <w:jc w:val="both"/>
        <w:rPr>
          <w:rFonts w:ascii="Book Antiqua" w:hAnsi="Book Antiqua" w:cs="Times New Roman"/>
          <w:sz w:val="24"/>
          <w:szCs w:val="24"/>
          <w:lang w:val="en-US"/>
        </w:rPr>
      </w:pPr>
    </w:p>
    <w:p w14:paraId="525FA41D" w14:textId="77777777" w:rsidR="008169F5" w:rsidRPr="00AE5088" w:rsidRDefault="008169F5" w:rsidP="005232A1">
      <w:pPr>
        <w:spacing w:after="0" w:line="360" w:lineRule="auto"/>
        <w:jc w:val="both"/>
        <w:rPr>
          <w:rFonts w:ascii="Book Antiqua" w:hAnsi="Book Antiqua" w:cs="Arial"/>
          <w:sz w:val="24"/>
          <w:szCs w:val="24"/>
        </w:rPr>
      </w:pPr>
      <w:r w:rsidRPr="00AE5088">
        <w:rPr>
          <w:rFonts w:ascii="Book Antiqua" w:hAnsi="Book Antiqua"/>
          <w:b/>
          <w:sz w:val="24"/>
          <w:szCs w:val="24"/>
        </w:rPr>
        <w:t xml:space="preserve">© </w:t>
      </w:r>
      <w:r w:rsidRPr="00AE5088">
        <w:rPr>
          <w:rFonts w:ascii="Book Antiqua" w:hAnsi="Book Antiqua" w:cs="Arial"/>
          <w:b/>
          <w:sz w:val="24"/>
          <w:szCs w:val="24"/>
        </w:rPr>
        <w:t>The Author(s) 2019.</w:t>
      </w:r>
      <w:r w:rsidRPr="00AE5088">
        <w:rPr>
          <w:rFonts w:ascii="Book Antiqua" w:hAnsi="Book Antiqua" w:cs="Arial"/>
          <w:sz w:val="24"/>
          <w:szCs w:val="24"/>
        </w:rPr>
        <w:t xml:space="preserve"> Published by Baishideng Publishing Group Inc. All rights reserved.</w:t>
      </w:r>
    </w:p>
    <w:p w14:paraId="283B3020" w14:textId="77777777" w:rsidR="008169F5" w:rsidRPr="00AE5088" w:rsidRDefault="008169F5" w:rsidP="005232A1">
      <w:pPr>
        <w:spacing w:after="0" w:line="360" w:lineRule="auto"/>
        <w:jc w:val="both"/>
        <w:rPr>
          <w:rFonts w:ascii="Book Antiqua" w:hAnsi="Book Antiqua" w:cs="Times New Roman"/>
          <w:sz w:val="24"/>
          <w:szCs w:val="24"/>
          <w:lang w:val="en-US"/>
        </w:rPr>
      </w:pPr>
    </w:p>
    <w:p w14:paraId="759A4AA8" w14:textId="3E7F66FB" w:rsidR="00425F18" w:rsidRPr="00AE5088" w:rsidRDefault="00DF658F" w:rsidP="005232A1">
      <w:pPr>
        <w:autoSpaceDE w:val="0"/>
        <w:autoSpaceDN w:val="0"/>
        <w:adjustRightInd w:val="0"/>
        <w:spacing w:after="0" w:line="360" w:lineRule="auto"/>
        <w:jc w:val="both"/>
        <w:rPr>
          <w:rFonts w:ascii="Book Antiqua" w:hAnsi="Book Antiqua" w:cs="Times New Roman"/>
          <w:sz w:val="24"/>
          <w:szCs w:val="24"/>
          <w:lang w:val="en-US"/>
        </w:rPr>
      </w:pPr>
      <w:r w:rsidRPr="00AE5088">
        <w:rPr>
          <w:rFonts w:ascii="Book Antiqua" w:hAnsi="Book Antiqua" w:cs="Times New Roman"/>
          <w:b/>
          <w:sz w:val="24"/>
          <w:szCs w:val="24"/>
          <w:lang w:val="en-US"/>
        </w:rPr>
        <w:t>Core tip</w:t>
      </w:r>
      <w:r w:rsidR="00D748D7" w:rsidRPr="00AE5088">
        <w:rPr>
          <w:rFonts w:ascii="Book Antiqua" w:hAnsi="Book Antiqua" w:cs="Times New Roman"/>
          <w:b/>
          <w:sz w:val="24"/>
          <w:szCs w:val="24"/>
          <w:lang w:val="en-US"/>
        </w:rPr>
        <w:t>:</w:t>
      </w:r>
      <w:r w:rsidR="00425F18" w:rsidRPr="00AE5088">
        <w:rPr>
          <w:rFonts w:ascii="Book Antiqua" w:hAnsi="Book Antiqua" w:cs="Times New Roman"/>
          <w:b/>
          <w:sz w:val="24"/>
          <w:szCs w:val="24"/>
          <w:lang w:val="en-US"/>
        </w:rPr>
        <w:t xml:space="preserve"> </w:t>
      </w:r>
      <w:r w:rsidR="008169F5" w:rsidRPr="00AE5088">
        <w:rPr>
          <w:rFonts w:ascii="Book Antiqua" w:hAnsi="Book Antiqua" w:cs="Times New Roman"/>
          <w:sz w:val="24"/>
          <w:szCs w:val="24"/>
          <w:lang w:val="en-US"/>
        </w:rPr>
        <w:t>Next-generation sequencing (NGS)</w:t>
      </w:r>
      <w:r w:rsidR="00425F18" w:rsidRPr="00AE5088">
        <w:rPr>
          <w:rFonts w:ascii="Book Antiqua" w:hAnsi="Book Antiqua" w:cs="Times New Roman"/>
          <w:sz w:val="24"/>
          <w:szCs w:val="24"/>
          <w:lang w:val="en-US"/>
        </w:rPr>
        <w:t xml:space="preserve"> technologies have a broad range of applications in studying the genetic causes of </w:t>
      </w:r>
      <w:r w:rsidR="008169F5" w:rsidRPr="00AE5088">
        <w:rPr>
          <w:rFonts w:ascii="Book Antiqua" w:hAnsi="Book Antiqua" w:cs="Times New Roman"/>
          <w:sz w:val="24"/>
          <w:szCs w:val="24"/>
          <w:lang w:val="en-US"/>
        </w:rPr>
        <w:t>type 2 diabetes (T2D)</w:t>
      </w:r>
      <w:r w:rsidR="00425F18" w:rsidRPr="00AE5088">
        <w:rPr>
          <w:rFonts w:ascii="Book Antiqua" w:hAnsi="Book Antiqua" w:cs="Times New Roman"/>
          <w:sz w:val="24"/>
          <w:szCs w:val="24"/>
          <w:lang w:val="en-US"/>
        </w:rPr>
        <w:t>, such as</w:t>
      </w:r>
      <w:r w:rsidR="00AE5088" w:rsidRPr="00AE5088">
        <w:rPr>
          <w:rFonts w:ascii="Book Antiqua" w:hAnsi="Book Antiqua" w:cs="Times New Roman"/>
          <w:sz w:val="24"/>
          <w:szCs w:val="24"/>
          <w:lang w:val="en-US"/>
        </w:rPr>
        <w:t>:</w:t>
      </w:r>
      <w:r w:rsidR="00425F18" w:rsidRPr="00AE5088">
        <w:rPr>
          <w:rFonts w:ascii="Book Antiqua" w:hAnsi="Book Antiqua" w:cs="Times New Roman"/>
          <w:sz w:val="24"/>
          <w:szCs w:val="24"/>
          <w:lang w:val="en-US"/>
        </w:rPr>
        <w:t xml:space="preserve"> (</w:t>
      </w:r>
      <w:r w:rsidR="00AE5088" w:rsidRPr="00AE5088">
        <w:rPr>
          <w:rFonts w:ascii="Book Antiqua" w:hAnsi="Book Antiqua" w:cs="Times New Roman"/>
          <w:sz w:val="24"/>
          <w:szCs w:val="24"/>
          <w:lang w:val="en-US"/>
        </w:rPr>
        <w:t>1</w:t>
      </w:r>
      <w:r w:rsidR="00425F18" w:rsidRPr="00AE5088">
        <w:rPr>
          <w:rFonts w:ascii="Book Antiqua" w:hAnsi="Book Antiqua" w:cs="Times New Roman"/>
          <w:sz w:val="24"/>
          <w:szCs w:val="24"/>
          <w:lang w:val="en-US"/>
        </w:rPr>
        <w:t>) identification of rare and common genetic variants, associated with disease; (</w:t>
      </w:r>
      <w:r w:rsidR="00AE5088" w:rsidRPr="00AE5088">
        <w:rPr>
          <w:rFonts w:ascii="Book Antiqua" w:hAnsi="Book Antiqua" w:cs="Times New Roman"/>
          <w:sz w:val="24"/>
          <w:szCs w:val="24"/>
          <w:lang w:val="en-US"/>
        </w:rPr>
        <w:t>2</w:t>
      </w:r>
      <w:r w:rsidR="00425F18" w:rsidRPr="00AE5088">
        <w:rPr>
          <w:rFonts w:ascii="Book Antiqua" w:hAnsi="Book Antiqua" w:cs="Times New Roman"/>
          <w:sz w:val="24"/>
          <w:szCs w:val="24"/>
          <w:lang w:val="en-US"/>
        </w:rPr>
        <w:t xml:space="preserve">) functional studies for describing role of genes in disease pathogenesis; </w:t>
      </w:r>
      <w:r w:rsidR="00AE5088" w:rsidRPr="00AE5088">
        <w:rPr>
          <w:rFonts w:ascii="Book Antiqua" w:hAnsi="Book Antiqua" w:cs="Times New Roman"/>
          <w:sz w:val="24"/>
          <w:szCs w:val="24"/>
          <w:lang w:val="en-US"/>
        </w:rPr>
        <w:t xml:space="preserve">and </w:t>
      </w:r>
      <w:r w:rsidR="00425F18"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3</w:t>
      </w:r>
      <w:r w:rsidR="00425F18" w:rsidRPr="00AE5088">
        <w:rPr>
          <w:rFonts w:ascii="Book Antiqua" w:hAnsi="Book Antiqua" w:cs="Times New Roman"/>
          <w:sz w:val="24"/>
          <w:szCs w:val="24"/>
          <w:lang w:val="en-US"/>
        </w:rPr>
        <w:t xml:space="preserve">) evaluation of environmental contribution to the disease by using microbiome profiling methods. This review of NGS application </w:t>
      </w:r>
      <w:r w:rsidR="001F605C" w:rsidRPr="00AE5088">
        <w:rPr>
          <w:rFonts w:ascii="Book Antiqua" w:hAnsi="Book Antiqua" w:cs="Times New Roman"/>
          <w:sz w:val="24"/>
          <w:szCs w:val="24"/>
          <w:lang w:val="en-US"/>
        </w:rPr>
        <w:t xml:space="preserve">to the genetic research of T2D presents the advances and challenges related with </w:t>
      </w:r>
      <w:r w:rsidR="00425F18" w:rsidRPr="00AE5088">
        <w:rPr>
          <w:rFonts w:ascii="Book Antiqua" w:hAnsi="Book Antiqua" w:cs="Times New Roman"/>
          <w:sz w:val="24"/>
          <w:szCs w:val="24"/>
          <w:lang w:val="en-US"/>
        </w:rPr>
        <w:t xml:space="preserve">sequencing analysis-based studies </w:t>
      </w:r>
      <w:r w:rsidR="001F605C" w:rsidRPr="00AE5088">
        <w:rPr>
          <w:rFonts w:ascii="Book Antiqua" w:hAnsi="Book Antiqua" w:cs="Times New Roman"/>
          <w:sz w:val="24"/>
          <w:szCs w:val="24"/>
          <w:lang w:val="en-US"/>
        </w:rPr>
        <w:t>and implementation of this knowledge in clinical practice.</w:t>
      </w:r>
    </w:p>
    <w:p w14:paraId="1B1F6671" w14:textId="77777777" w:rsidR="00AE5088" w:rsidRPr="00AE5088" w:rsidRDefault="00AE5088" w:rsidP="005232A1">
      <w:pPr>
        <w:spacing w:after="0" w:line="360" w:lineRule="auto"/>
        <w:jc w:val="both"/>
        <w:rPr>
          <w:rFonts w:ascii="Book Antiqua" w:hAnsi="Book Antiqua" w:cs="Times New Roman"/>
          <w:sz w:val="24"/>
          <w:szCs w:val="24"/>
          <w:lang w:val="en-US"/>
        </w:rPr>
      </w:pPr>
    </w:p>
    <w:p w14:paraId="4A7FBB07" w14:textId="750BB373" w:rsidR="00AE5088" w:rsidRPr="00AE5088" w:rsidRDefault="00AE5088" w:rsidP="005232A1">
      <w:pPr>
        <w:spacing w:after="0" w:line="360" w:lineRule="auto"/>
        <w:jc w:val="both"/>
        <w:rPr>
          <w:rFonts w:ascii="Book Antiqua" w:hAnsi="Book Antiqua" w:cs="Times New Roman"/>
          <w:sz w:val="24"/>
          <w:szCs w:val="24"/>
          <w:lang w:val="en-US"/>
        </w:rPr>
      </w:pPr>
      <w:proofErr w:type="spellStart"/>
      <w:r w:rsidRPr="00AE5088">
        <w:rPr>
          <w:rFonts w:ascii="Book Antiqua" w:eastAsia="Times New Roman" w:hAnsi="Book Antiqua" w:cs="Times New Roman"/>
          <w:sz w:val="24"/>
          <w:szCs w:val="24"/>
          <w:lang w:val="en-US"/>
        </w:rPr>
        <w:lastRenderedPageBreak/>
        <w:t>Nasykhova</w:t>
      </w:r>
      <w:proofErr w:type="spellEnd"/>
      <w:r w:rsidRPr="00AE5088">
        <w:rPr>
          <w:rFonts w:ascii="Book Antiqua" w:eastAsia="Times New Roman" w:hAnsi="Book Antiqua" w:cs="Times New Roman"/>
          <w:sz w:val="24"/>
          <w:szCs w:val="24"/>
          <w:lang w:val="en-US"/>
        </w:rPr>
        <w:t xml:space="preserve"> YA, </w:t>
      </w:r>
      <w:proofErr w:type="spellStart"/>
      <w:r w:rsidRPr="00AE5088">
        <w:rPr>
          <w:rFonts w:ascii="Book Antiqua" w:eastAsia="Times New Roman" w:hAnsi="Book Antiqua" w:cs="Times New Roman"/>
          <w:sz w:val="24"/>
          <w:szCs w:val="24"/>
          <w:lang w:val="en-US"/>
        </w:rPr>
        <w:t>Barbitoff</w:t>
      </w:r>
      <w:proofErr w:type="spellEnd"/>
      <w:r w:rsidRPr="00AE5088">
        <w:rPr>
          <w:rFonts w:ascii="Book Antiqua" w:eastAsia="Times New Roman" w:hAnsi="Book Antiqua" w:cs="Times New Roman"/>
          <w:sz w:val="24"/>
          <w:szCs w:val="24"/>
          <w:lang w:val="en-US"/>
        </w:rPr>
        <w:t xml:space="preserve"> V, </w:t>
      </w:r>
      <w:proofErr w:type="spellStart"/>
      <w:r w:rsidRPr="00AE5088">
        <w:rPr>
          <w:rFonts w:ascii="Book Antiqua" w:eastAsia="Times New Roman" w:hAnsi="Book Antiqua" w:cs="Times New Roman"/>
          <w:sz w:val="24"/>
          <w:szCs w:val="24"/>
          <w:lang w:val="en-US"/>
        </w:rPr>
        <w:t>Serebryakova</w:t>
      </w:r>
      <w:proofErr w:type="spellEnd"/>
      <w:r w:rsidRPr="00AE5088">
        <w:rPr>
          <w:rFonts w:ascii="Book Antiqua" w:eastAsia="Times New Roman" w:hAnsi="Book Antiqua" w:cs="Times New Roman"/>
          <w:sz w:val="24"/>
          <w:szCs w:val="24"/>
          <w:lang w:val="en-US"/>
        </w:rPr>
        <w:t xml:space="preserve"> EA, </w:t>
      </w:r>
      <w:proofErr w:type="spellStart"/>
      <w:r w:rsidRPr="00AE5088">
        <w:rPr>
          <w:rFonts w:ascii="Book Antiqua" w:eastAsia="Times New Roman" w:hAnsi="Book Antiqua" w:cs="Times New Roman"/>
          <w:sz w:val="24"/>
          <w:szCs w:val="24"/>
          <w:lang w:val="en-US"/>
        </w:rPr>
        <w:t>Katserov</w:t>
      </w:r>
      <w:proofErr w:type="spellEnd"/>
      <w:r w:rsidRPr="00AE5088">
        <w:rPr>
          <w:rFonts w:ascii="Book Antiqua" w:eastAsia="Times New Roman" w:hAnsi="Book Antiqua" w:cs="Times New Roman"/>
          <w:sz w:val="24"/>
          <w:szCs w:val="24"/>
          <w:lang w:val="en-US"/>
        </w:rPr>
        <w:t xml:space="preserve"> DS, </w:t>
      </w:r>
      <w:proofErr w:type="spellStart"/>
      <w:r w:rsidRPr="00AE5088">
        <w:rPr>
          <w:rFonts w:ascii="Book Antiqua" w:eastAsia="Times New Roman" w:hAnsi="Book Antiqua" w:cs="Times New Roman"/>
          <w:sz w:val="24"/>
          <w:szCs w:val="24"/>
          <w:lang w:val="en-US"/>
        </w:rPr>
        <w:t>Glotov</w:t>
      </w:r>
      <w:proofErr w:type="spellEnd"/>
      <w:r w:rsidRPr="00AE5088">
        <w:rPr>
          <w:rFonts w:ascii="Book Antiqua" w:eastAsia="Times New Roman" w:hAnsi="Book Antiqua" w:cs="Times New Roman"/>
          <w:sz w:val="24"/>
          <w:szCs w:val="24"/>
          <w:lang w:val="en-US"/>
        </w:rPr>
        <w:t xml:space="preserve"> AS.</w:t>
      </w:r>
      <w:r w:rsidRPr="00AE5088">
        <w:rPr>
          <w:rFonts w:ascii="Book Antiqua" w:hAnsi="Book Antiqua" w:cs="Times New Roman"/>
          <w:sz w:val="24"/>
          <w:szCs w:val="24"/>
          <w:lang w:val="en-US"/>
        </w:rPr>
        <w:t xml:space="preserve"> Recent advances and perspectives in next generation sequencing application to the genetic research of type 2 diabetes. </w:t>
      </w:r>
      <w:r w:rsidRPr="00AE5088">
        <w:rPr>
          <w:rFonts w:ascii="Book Antiqua" w:hAnsi="Book Antiqua"/>
          <w:i/>
          <w:iCs/>
          <w:sz w:val="24"/>
          <w:szCs w:val="24"/>
        </w:rPr>
        <w:t xml:space="preserve">World J Diabetes </w:t>
      </w:r>
      <w:r w:rsidRPr="00AE5088">
        <w:rPr>
          <w:rFonts w:ascii="Book Antiqua" w:hAnsi="Book Antiqua"/>
          <w:iCs/>
          <w:sz w:val="24"/>
          <w:szCs w:val="24"/>
        </w:rPr>
        <w:t>2019; I</w:t>
      </w:r>
      <w:r w:rsidRPr="00AE5088">
        <w:rPr>
          <w:rFonts w:ascii="Book Antiqua" w:eastAsia="SimSun" w:hAnsi="Book Antiqua" w:cs="SimSun"/>
          <w:iCs/>
          <w:sz w:val="24"/>
          <w:szCs w:val="24"/>
          <w:lang w:eastAsia="zh-CN"/>
        </w:rPr>
        <w:t>n press</w:t>
      </w:r>
    </w:p>
    <w:p w14:paraId="081C4E24" w14:textId="77777777" w:rsidR="00AE5088" w:rsidRPr="00AE5088" w:rsidRDefault="00AE5088" w:rsidP="005232A1">
      <w:pPr>
        <w:spacing w:after="0" w:line="360" w:lineRule="auto"/>
        <w:jc w:val="both"/>
        <w:rPr>
          <w:rFonts w:ascii="Book Antiqua" w:eastAsia="Times New Roman" w:hAnsi="Book Antiqua" w:cs="Times New Roman"/>
          <w:sz w:val="24"/>
          <w:szCs w:val="24"/>
          <w:lang w:val="en-US"/>
        </w:rPr>
      </w:pPr>
      <w:r w:rsidRPr="00AE5088">
        <w:rPr>
          <w:rFonts w:ascii="Book Antiqua" w:eastAsia="Times New Roman" w:hAnsi="Book Antiqua" w:cs="Times New Roman"/>
          <w:sz w:val="24"/>
          <w:szCs w:val="24"/>
          <w:lang w:val="en-US"/>
        </w:rPr>
        <w:br w:type="page"/>
      </w:r>
    </w:p>
    <w:p w14:paraId="0AFD60A1" w14:textId="147BE1A0" w:rsidR="00D83A36" w:rsidRPr="00AE5088" w:rsidRDefault="00AE5088"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lastRenderedPageBreak/>
        <w:t xml:space="preserve">INTRODUCTION </w:t>
      </w:r>
    </w:p>
    <w:p w14:paraId="388646B5" w14:textId="0CF90B2B" w:rsidR="005F58AF" w:rsidRPr="00AE5088" w:rsidRDefault="006E31AF" w:rsidP="005232A1">
      <w:pPr>
        <w:spacing w:after="0" w:line="360" w:lineRule="auto"/>
        <w:jc w:val="both"/>
        <w:rPr>
          <w:rFonts w:ascii="Book Antiqua" w:hAnsi="Book Antiqua" w:cs="Times New Roman"/>
          <w:i/>
          <w:sz w:val="24"/>
          <w:szCs w:val="24"/>
          <w:lang w:val="en-US"/>
        </w:rPr>
      </w:pPr>
      <w:r w:rsidRPr="00AE5088">
        <w:rPr>
          <w:rFonts w:ascii="Book Antiqua" w:hAnsi="Book Antiqua" w:cs="Times New Roman"/>
          <w:sz w:val="24"/>
          <w:szCs w:val="24"/>
          <w:lang w:val="en-US"/>
        </w:rPr>
        <w:t>Type 2 diabetes (T2D) mellitus is a common complex disease that currently affects more than 400 million people throughout the world, and it is projected 552 million cases of T2D by the year 2030</w:t>
      </w:r>
      <w:r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lang w:val="en-US"/>
        </w:rPr>
        <w:t xml:space="preserve">. The disease is characterized by insulin resistance and beta-cell dysfunction and can seriously impair overall quality of </w:t>
      </w:r>
      <w:proofErr w:type="gramStart"/>
      <w:r w:rsidRPr="00AE5088">
        <w:rPr>
          <w:rFonts w:ascii="Book Antiqua" w:hAnsi="Book Antiqua" w:cs="Times New Roman"/>
          <w:sz w:val="24"/>
          <w:szCs w:val="24"/>
          <w:lang w:val="en-US"/>
        </w:rPr>
        <w:t>life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lang w:val="en-US"/>
        </w:rPr>
        <w:t xml:space="preserve">. T2D may lead to increased risk of cardiovascular disease, stroke, kidney failure and can result in lower life expectancy by 5-10 </w:t>
      </w:r>
      <w:proofErr w:type="gramStart"/>
      <w:r w:rsidRPr="00AE5088">
        <w:rPr>
          <w:rFonts w:ascii="Book Antiqua" w:hAnsi="Book Antiqua" w:cs="Times New Roman"/>
          <w:sz w:val="24"/>
          <w:szCs w:val="24"/>
          <w:lang w:val="en-US"/>
        </w:rPr>
        <w:t>years</w:t>
      </w:r>
      <w:r w:rsidRPr="00AE5088">
        <w:rPr>
          <w:rFonts w:ascii="Book Antiqua" w:hAnsi="Book Antiqua" w:cs="Times New Roman"/>
          <w:sz w:val="24"/>
          <w:szCs w:val="24"/>
          <w:vertAlign w:val="superscript"/>
          <w:lang w:val="en-US"/>
        </w:rPr>
        <w:t>[</w:t>
      </w:r>
      <w:proofErr w:type="gramEnd"/>
      <w:r w:rsidR="008313E5" w:rsidRPr="00AE5088">
        <w:rPr>
          <w:rFonts w:ascii="Book Antiqua" w:hAnsi="Book Antiqua" w:cs="Times New Roman"/>
          <w:sz w:val="24"/>
          <w:szCs w:val="24"/>
          <w:vertAlign w:val="superscript"/>
          <w:lang w:val="en-US"/>
        </w:rPr>
        <w:t>3</w:t>
      </w:r>
      <w:r w:rsidR="00BA3128">
        <w:rPr>
          <w:rFonts w:ascii="Book Antiqua" w:hAnsi="Book Antiqua" w:cs="Times New Roman"/>
          <w:sz w:val="24"/>
          <w:szCs w:val="24"/>
          <w:vertAlign w:val="superscript"/>
          <w:lang w:val="en-US"/>
        </w:rPr>
        <w:t>-</w:t>
      </w:r>
      <w:r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lang w:val="en-US"/>
        </w:rPr>
        <w:t xml:space="preserve">. T2D etiology is known to have a significant genetic component what is confirmed by family- and twin-based studies. The risk of the disease developing is </w:t>
      </w:r>
      <w:r w:rsidR="00BA3128">
        <w:rPr>
          <w:rFonts w:ascii="Book Antiqua" w:hAnsi="Book Antiqua" w:cs="Times New Roman"/>
          <w:sz w:val="24"/>
          <w:szCs w:val="24"/>
          <w:lang w:val="en-US"/>
        </w:rPr>
        <w:t xml:space="preserve">approximately </w:t>
      </w:r>
      <w:r w:rsidRPr="00AE5088">
        <w:rPr>
          <w:rFonts w:ascii="Book Antiqua" w:hAnsi="Book Antiqua" w:cs="Times New Roman"/>
          <w:sz w:val="24"/>
          <w:szCs w:val="24"/>
          <w:lang w:val="en-US"/>
        </w:rPr>
        <w:t xml:space="preserve">70% when both parents have T2D and </w:t>
      </w:r>
      <w:r w:rsidR="00BA3128">
        <w:rPr>
          <w:rFonts w:ascii="Book Antiqua" w:hAnsi="Book Antiqua" w:cs="Times New Roman"/>
          <w:sz w:val="24"/>
          <w:szCs w:val="24"/>
          <w:lang w:val="en-US"/>
        </w:rPr>
        <w:t>approximately</w:t>
      </w:r>
      <w:r w:rsidR="00BA312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40% when one parent has </w:t>
      </w:r>
      <w:proofErr w:type="gramStart"/>
      <w:r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lang w:val="en-US"/>
        </w:rPr>
        <w:t>. Twin studies have shown that the heritability of T2D ranges from 26% to 73%, and the concordance rate for T2D in monogenic twins can reach 76</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Early identification of individuals at high T2D risk enables delay or prevention of T2D onset through effective lifestyle and/or pharmacological interventions and has been shown to reduce costs of healthcare that causes continuing strong interest in revealing risk markers of T2D</w:t>
      </w:r>
      <w:r w:rsidRPr="00AE5088">
        <w:rPr>
          <w:rFonts w:ascii="Book Antiqua" w:hAnsi="Book Antiqua" w:cs="Times New Roman"/>
          <w:sz w:val="24"/>
          <w:szCs w:val="24"/>
          <w:vertAlign w:val="superscript"/>
          <w:lang w:val="en-US"/>
        </w:rPr>
        <w:t>[8,9]</w:t>
      </w:r>
      <w:r w:rsidRPr="00AE5088">
        <w:rPr>
          <w:rFonts w:ascii="Book Antiqua" w:hAnsi="Book Antiqua" w:cs="Times New Roman"/>
          <w:sz w:val="24"/>
          <w:szCs w:val="24"/>
          <w:lang w:val="en-US"/>
        </w:rPr>
        <w:t xml:space="preserve">. </w:t>
      </w:r>
    </w:p>
    <w:p w14:paraId="125357C9" w14:textId="3446670E" w:rsidR="005F58AF" w:rsidRPr="00AE5088" w:rsidRDefault="006E31AF" w:rsidP="005232A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The development of high-throughput and affordable genotyping technologies, statistical tools and computational software has allowed remarkable progress over the past decade in the search for genetic associations. Since the first </w:t>
      </w:r>
      <w:r w:rsidR="003822F6" w:rsidRPr="00AE5088">
        <w:rPr>
          <w:rFonts w:ascii="Book Antiqua" w:hAnsi="Book Antiqua" w:cs="Times New Roman"/>
          <w:sz w:val="24"/>
          <w:szCs w:val="24"/>
          <w:lang w:val="en-US"/>
        </w:rPr>
        <w:t>g</w:t>
      </w:r>
      <w:r w:rsidR="00C53566" w:rsidRPr="00AE5088">
        <w:rPr>
          <w:rFonts w:ascii="Book Antiqua" w:hAnsi="Book Antiqua" w:cs="Times New Roman"/>
          <w:sz w:val="24"/>
          <w:szCs w:val="24"/>
          <w:lang w:val="en-US"/>
        </w:rPr>
        <w:t xml:space="preserve">enome-wide association study </w:t>
      </w:r>
      <w:r w:rsidR="00BE1851" w:rsidRPr="00AE5088">
        <w:rPr>
          <w:rFonts w:ascii="Book Antiqua" w:hAnsi="Book Antiqua" w:cs="Times New Roman"/>
          <w:sz w:val="24"/>
          <w:szCs w:val="24"/>
          <w:lang w:val="en-US"/>
        </w:rPr>
        <w:t xml:space="preserve">(GWAS) </w:t>
      </w:r>
      <w:r w:rsidRPr="00AE5088">
        <w:rPr>
          <w:rFonts w:ascii="Book Antiqua" w:hAnsi="Book Antiqua" w:cs="Times New Roman"/>
          <w:sz w:val="24"/>
          <w:szCs w:val="24"/>
          <w:lang w:val="en-US"/>
        </w:rPr>
        <w:t xml:space="preserve">for T2D identified novel susceptibility loci in 2007, more than 100 T2D susceptibility loci have been </w:t>
      </w:r>
      <w:proofErr w:type="gramStart"/>
      <w:r w:rsidRPr="00AE5088">
        <w:rPr>
          <w:rFonts w:ascii="Book Antiqua" w:hAnsi="Book Antiqua" w:cs="Times New Roman"/>
          <w:sz w:val="24"/>
          <w:szCs w:val="24"/>
          <w:lang w:val="en-US"/>
        </w:rPr>
        <w:t>identified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10]</w:t>
      </w:r>
      <w:r w:rsidRPr="00AE5088">
        <w:rPr>
          <w:rFonts w:ascii="Book Antiqua" w:hAnsi="Book Antiqua" w:cs="Times New Roman"/>
          <w:sz w:val="24"/>
          <w:szCs w:val="24"/>
          <w:lang w:val="en-US"/>
        </w:rPr>
        <w:t xml:space="preserve">. </w:t>
      </w:r>
      <w:r w:rsidR="001204DB" w:rsidRPr="00AE5088">
        <w:rPr>
          <w:rFonts w:ascii="Book Antiqua" w:hAnsi="Book Antiqua" w:cs="Times New Roman"/>
          <w:sz w:val="24"/>
          <w:szCs w:val="24"/>
          <w:lang w:val="en-US"/>
        </w:rPr>
        <w:t xml:space="preserve">Next-generation sequencing </w:t>
      </w:r>
      <w:r w:rsidR="005019B5" w:rsidRPr="00AE5088">
        <w:rPr>
          <w:rFonts w:ascii="Book Antiqua" w:hAnsi="Book Antiqua" w:cs="Times New Roman"/>
          <w:sz w:val="24"/>
          <w:szCs w:val="24"/>
          <w:lang w:val="en-US"/>
        </w:rPr>
        <w:t xml:space="preserve">(NGS) </w:t>
      </w:r>
      <w:r w:rsidR="001204DB" w:rsidRPr="00AE5088">
        <w:rPr>
          <w:rFonts w:ascii="Book Antiqua" w:hAnsi="Book Antiqua" w:cs="Times New Roman"/>
          <w:sz w:val="24"/>
          <w:szCs w:val="24"/>
          <w:lang w:val="en-US"/>
        </w:rPr>
        <w:t xml:space="preserve">technologies </w:t>
      </w:r>
      <w:r w:rsidRPr="00AE5088">
        <w:rPr>
          <w:rFonts w:ascii="Book Antiqua" w:hAnsi="Book Antiqua" w:cs="Times New Roman"/>
          <w:sz w:val="24"/>
          <w:szCs w:val="24"/>
          <w:lang w:val="en-US"/>
        </w:rPr>
        <w:t>have a broad range of applications in studying the genetic causes of T2D, such as</w:t>
      </w:r>
      <w:r w:rsidR="00BA312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BA3128">
        <w:rPr>
          <w:rFonts w:ascii="Book Antiqua" w:hAnsi="Book Antiqua" w:cs="Times New Roman"/>
          <w:sz w:val="24"/>
          <w:szCs w:val="24"/>
          <w:lang w:val="en-US"/>
        </w:rPr>
        <w:t>1</w:t>
      </w:r>
      <w:r w:rsidRPr="00AE5088">
        <w:rPr>
          <w:rFonts w:ascii="Book Antiqua" w:hAnsi="Book Antiqua" w:cs="Times New Roman"/>
          <w:sz w:val="24"/>
          <w:szCs w:val="24"/>
          <w:lang w:val="en-US"/>
        </w:rPr>
        <w:t>) identification of rare and common genetic variants, associated with disease; (</w:t>
      </w:r>
      <w:r w:rsidR="00BA3128">
        <w:rPr>
          <w:rFonts w:ascii="Book Antiqua" w:hAnsi="Book Antiqua" w:cs="Times New Roman"/>
          <w:sz w:val="24"/>
          <w:szCs w:val="24"/>
          <w:lang w:val="en-US"/>
        </w:rPr>
        <w:t>2</w:t>
      </w:r>
      <w:r w:rsidRPr="00AE5088">
        <w:rPr>
          <w:rFonts w:ascii="Book Antiqua" w:hAnsi="Book Antiqua" w:cs="Times New Roman"/>
          <w:sz w:val="24"/>
          <w:szCs w:val="24"/>
          <w:lang w:val="en-US"/>
        </w:rPr>
        <w:t xml:space="preserve">) functional studies for describing role of genes in disease pathogenesis; </w:t>
      </w:r>
      <w:r w:rsidR="00BA3128">
        <w:rPr>
          <w:rFonts w:ascii="Book Antiqua" w:hAnsi="Book Antiqua" w:cs="Times New Roman"/>
          <w:sz w:val="24"/>
          <w:szCs w:val="24"/>
          <w:lang w:val="en-US"/>
        </w:rPr>
        <w:t xml:space="preserve">and </w:t>
      </w:r>
      <w:r w:rsidRPr="00AE5088">
        <w:rPr>
          <w:rFonts w:ascii="Book Antiqua" w:hAnsi="Book Antiqua" w:cs="Times New Roman"/>
          <w:sz w:val="24"/>
          <w:szCs w:val="24"/>
          <w:lang w:val="en-US"/>
        </w:rPr>
        <w:t>(</w:t>
      </w:r>
      <w:r w:rsidR="00BA3128">
        <w:rPr>
          <w:rFonts w:ascii="Book Antiqua" w:hAnsi="Book Antiqua" w:cs="Times New Roman"/>
          <w:sz w:val="24"/>
          <w:szCs w:val="24"/>
          <w:lang w:val="en-US"/>
        </w:rPr>
        <w:t>3</w:t>
      </w:r>
      <w:r w:rsidRPr="00AE5088">
        <w:rPr>
          <w:rFonts w:ascii="Book Antiqua" w:hAnsi="Book Antiqua" w:cs="Times New Roman"/>
          <w:sz w:val="24"/>
          <w:szCs w:val="24"/>
          <w:lang w:val="en-US"/>
        </w:rPr>
        <w:t>) evaluation of environmental contribution to the disease by using microbiome profiling methods. However, it remains uncertain if and to what extent our increasing knowledge of genetic and epigenetic T2D risk factors gained by NGS methods will translate into clinical practice.</w:t>
      </w:r>
      <w:r w:rsidR="00AE5088" w:rsidRPr="00AE5088">
        <w:rPr>
          <w:rFonts w:ascii="Book Antiqua" w:hAnsi="Book Antiqua" w:cs="Times New Roman"/>
          <w:sz w:val="24"/>
          <w:szCs w:val="24"/>
          <w:lang w:val="en-US"/>
        </w:rPr>
        <w:t xml:space="preserve"> </w:t>
      </w:r>
    </w:p>
    <w:p w14:paraId="225B7F2E" w14:textId="77777777" w:rsidR="005F58AF" w:rsidRPr="00AE5088" w:rsidRDefault="006E31AF" w:rsidP="005232A1">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The aim of this article is to summarize recent progress and discoveries for T2D genetics focusing on the sequencing analysis-based studies and review the challenges in studying the genetic basis of T2D in order to improve diagnosis, prevention, and treatment.</w:t>
      </w:r>
    </w:p>
    <w:p w14:paraId="2B2AD44A" w14:textId="77777777" w:rsidR="005F58AF" w:rsidRPr="00AE5088" w:rsidRDefault="005F58AF" w:rsidP="005232A1">
      <w:pPr>
        <w:spacing w:after="0" w:line="360" w:lineRule="auto"/>
        <w:jc w:val="both"/>
        <w:rPr>
          <w:rFonts w:ascii="Book Antiqua" w:hAnsi="Book Antiqua" w:cs="Arial"/>
          <w:sz w:val="24"/>
          <w:szCs w:val="24"/>
          <w:lang w:val="en-US"/>
        </w:rPr>
      </w:pPr>
    </w:p>
    <w:p w14:paraId="3D9E3475" w14:textId="375567DD" w:rsidR="00D83A36" w:rsidRPr="00BA3128" w:rsidRDefault="00BA3128"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lastRenderedPageBreak/>
        <w:t xml:space="preserve">T2D SUSCEPTIBILITY LOCI IDENTIFIED BEFORE THE ERA OF GWAS </w:t>
      </w:r>
    </w:p>
    <w:p w14:paraId="2D8886EF" w14:textId="57E810C1"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The earliest genetic studies of T2D susceptibility focused on family-based linkage analysis and analysis of candidate genes in small-size groups of patients. This approach was successful in identifying familial genetic variants with large effects such as those involved in monogenic forms of the disease.</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In the past two decades, numerous candidate gene studies have been performed to identify genetic variants for T2D. However only 4 genetic markers identified in these studies have been confirmed later by GWAS. The first genetic variant for T2D was the P12A polymorphism (rs1801282) in peroxisomal proliferator activated-receptor gamma gene (</w:t>
      </w:r>
      <w:r w:rsidRPr="00AE5088">
        <w:rPr>
          <w:rFonts w:ascii="Book Antiqua" w:hAnsi="Book Antiqua" w:cs="Times New Roman"/>
          <w:i/>
          <w:sz w:val="24"/>
          <w:szCs w:val="24"/>
          <w:lang w:val="en-US"/>
        </w:rPr>
        <w:t>PPARG</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Pr="00AE5088">
        <w:rPr>
          <w:rFonts w:ascii="Book Antiqua" w:hAnsi="Book Antiqua" w:cs="Times New Roman"/>
          <w:sz w:val="24"/>
          <w:szCs w:val="24"/>
          <w:lang w:val="en-US"/>
        </w:rPr>
        <w:t>. Then, in 2003, in a large-scale association study the previously identified association between the E23K (rs5219) polymorphism in a gene encoding inwardly rectifying potassium channel subfamily J, member 11 (</w:t>
      </w:r>
      <w:r w:rsidRPr="00AE5088">
        <w:rPr>
          <w:rFonts w:ascii="Book Antiqua" w:hAnsi="Book Antiqua" w:cs="Times New Roman"/>
          <w:i/>
          <w:sz w:val="24"/>
          <w:szCs w:val="24"/>
          <w:lang w:val="en-US"/>
        </w:rPr>
        <w:t>KCNJ11</w:t>
      </w:r>
      <w:r w:rsidRPr="00AE5088">
        <w:rPr>
          <w:rFonts w:ascii="Book Antiqua" w:hAnsi="Book Antiqua" w:cs="Times New Roman"/>
          <w:sz w:val="24"/>
          <w:szCs w:val="24"/>
          <w:lang w:val="en-US"/>
        </w:rPr>
        <w:t xml:space="preserve">) and T2D was </w:t>
      </w:r>
      <w:proofErr w:type="gramStart"/>
      <w:r w:rsidRPr="00AE5088">
        <w:rPr>
          <w:rFonts w:ascii="Book Antiqua" w:hAnsi="Book Antiqua" w:cs="Times New Roman"/>
          <w:sz w:val="24"/>
          <w:szCs w:val="24"/>
          <w:lang w:val="en-US"/>
        </w:rPr>
        <w:t>replicated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12]</w:t>
      </w:r>
      <w:r w:rsidRPr="00AE5088">
        <w:rPr>
          <w:rFonts w:ascii="Book Antiqua" w:hAnsi="Book Antiqua" w:cs="Times New Roman"/>
          <w:sz w:val="24"/>
          <w:szCs w:val="24"/>
          <w:lang w:val="en-US"/>
        </w:rPr>
        <w:t xml:space="preserve">. E23K can alter function by inducing spontaneous over-activity of pancreatic β-cells, thus increasing the threshold ATP concentration for insulin </w:t>
      </w:r>
      <w:proofErr w:type="gramStart"/>
      <w:r w:rsidRPr="00AE5088">
        <w:rPr>
          <w:rFonts w:ascii="Book Antiqua" w:hAnsi="Book Antiqua" w:cs="Times New Roman"/>
          <w:sz w:val="24"/>
          <w:szCs w:val="24"/>
          <w:lang w:val="en-US"/>
        </w:rPr>
        <w:t>release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13]</w:t>
      </w:r>
      <w:r w:rsidRPr="00AE5088">
        <w:rPr>
          <w:rFonts w:ascii="Book Antiqua" w:hAnsi="Book Antiqua" w:cs="Times New Roman"/>
          <w:sz w:val="24"/>
          <w:szCs w:val="24"/>
          <w:lang w:val="en-US"/>
        </w:rPr>
        <w:t>. In previous studies a polymorphism in this genes (</w:t>
      </w:r>
      <w:r w:rsidRPr="00AE5088">
        <w:rPr>
          <w:rStyle w:val="Emphasis"/>
          <w:rFonts w:ascii="Book Antiqua" w:hAnsi="Book Antiqua" w:cs="Times New Roman"/>
          <w:sz w:val="24"/>
          <w:szCs w:val="24"/>
          <w:lang w:val="en-US"/>
        </w:rPr>
        <w:t>KCNJ11</w:t>
      </w:r>
      <w:r w:rsidRPr="00AE5088">
        <w:rPr>
          <w:rFonts w:ascii="Book Antiqua" w:hAnsi="Book Antiqua" w:cs="Times New Roman"/>
          <w:sz w:val="24"/>
          <w:szCs w:val="24"/>
          <w:lang w:val="en-US"/>
        </w:rPr>
        <w:t xml:space="preserve"> E23K) has been reported to be associated with T2D in several populations, although the data was </w:t>
      </w:r>
      <w:proofErr w:type="gramStart"/>
      <w:r w:rsidRPr="00AE5088">
        <w:rPr>
          <w:rFonts w:ascii="Book Antiqua" w:hAnsi="Book Antiqua" w:cs="Times New Roman"/>
          <w:sz w:val="24"/>
          <w:szCs w:val="24"/>
          <w:lang w:val="en-US"/>
        </w:rPr>
        <w:t>inconsistent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14-18]</w:t>
      </w:r>
      <w:r w:rsidRPr="00AE5088">
        <w:rPr>
          <w:rFonts w:ascii="Book Antiqua" w:hAnsi="Book Antiqua" w:cs="Times New Roman"/>
          <w:sz w:val="24"/>
          <w:szCs w:val="24"/>
          <w:lang w:val="en-US"/>
        </w:rPr>
        <w:t>.</w:t>
      </w:r>
      <w:r w:rsidR="002F2D44">
        <w:rPr>
          <w:rFonts w:ascii="Book Antiqua" w:hAnsi="Book Antiqua" w:cs="Times New Roman"/>
          <w:sz w:val="24"/>
          <w:szCs w:val="24"/>
          <w:lang w:val="en-US"/>
        </w:rPr>
        <w:t xml:space="preserve"> </w:t>
      </w:r>
      <w:r w:rsidRPr="00AE5088">
        <w:rPr>
          <w:rFonts w:ascii="Book Antiqua" w:hAnsi="Book Antiqua" w:cs="Times New Roman"/>
          <w:sz w:val="24"/>
          <w:szCs w:val="24"/>
          <w:lang w:val="en-US"/>
        </w:rPr>
        <w:t>Transcription factor 7-like 2 (T-cell specific, HMG-box)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was shown to be associated with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19]</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gene product is a member of the high mobility group box family of transcription factors, activated by the WNT signaling pathway and may play a master role in regulating insulin biosynthesis, secretion, and processing. Subsequently, two single nucleotide polymorphisms (SNPs) within intron 3 of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rs7903146 and rs12255372, were confirmed to be strongly associated with T2D </w:t>
      </w:r>
      <w:proofErr w:type="gramStart"/>
      <w:r w:rsidRPr="00AE5088">
        <w:rPr>
          <w:rFonts w:ascii="Book Antiqua" w:hAnsi="Book Antiqua" w:cs="Times New Roman"/>
          <w:sz w:val="24"/>
          <w:szCs w:val="24"/>
          <w:lang w:val="en-US"/>
        </w:rPr>
        <w:t>risk</w:t>
      </w:r>
      <w:r w:rsidRPr="00AE5088">
        <w:rPr>
          <w:rFonts w:ascii="Book Antiqua" w:hAnsi="Book Antiqua" w:cs="Times New Roman"/>
          <w:sz w:val="24"/>
          <w:szCs w:val="24"/>
          <w:vertAlign w:val="superscript"/>
          <w:lang w:val="en-US"/>
        </w:rPr>
        <w:t>[</w:t>
      </w:r>
      <w:proofErr w:type="gramEnd"/>
      <w:r w:rsidRPr="00AE5088">
        <w:rPr>
          <w:rFonts w:ascii="Book Antiqua" w:eastAsia="Times New Roman" w:hAnsi="Book Antiqua" w:cs="Times New Roman"/>
          <w:sz w:val="24"/>
          <w:szCs w:val="24"/>
          <w:vertAlign w:val="superscript"/>
          <w:lang w:val="en-US" w:eastAsia="ru-RU"/>
        </w:rPr>
        <w:t>20-22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Wolfram syndrome 1 gene (</w:t>
      </w:r>
      <w:proofErr w:type="spellStart"/>
      <w:r w:rsidRPr="00AE5088">
        <w:rPr>
          <w:rFonts w:ascii="Book Antiqua" w:hAnsi="Book Antiqua" w:cs="Times New Roman"/>
          <w:sz w:val="24"/>
          <w:szCs w:val="24"/>
          <w:lang w:val="en-US"/>
        </w:rPr>
        <w:t>wolframin</w:t>
      </w:r>
      <w:proofErr w:type="spellEnd"/>
      <w:r w:rsidRPr="00AE5088">
        <w:rPr>
          <w:rFonts w:ascii="Book Antiqua" w:hAnsi="Book Antiqua" w:cs="Times New Roman"/>
          <w:sz w:val="24"/>
          <w:szCs w:val="24"/>
          <w:lang w:val="en-US"/>
        </w:rPr>
        <w:t>) (</w:t>
      </w:r>
      <w:r w:rsidRPr="00AE5088">
        <w:rPr>
          <w:rFonts w:ascii="Book Antiqua" w:hAnsi="Book Antiqua" w:cs="Times New Roman"/>
          <w:i/>
          <w:sz w:val="24"/>
          <w:szCs w:val="24"/>
          <w:lang w:val="en-US"/>
        </w:rPr>
        <w:t>WFS1</w:t>
      </w:r>
      <w:r w:rsidRPr="00AE5088">
        <w:rPr>
          <w:rFonts w:ascii="Book Antiqua" w:hAnsi="Book Antiqua" w:cs="Times New Roman"/>
          <w:sz w:val="24"/>
          <w:szCs w:val="24"/>
          <w:lang w:val="en-US"/>
        </w:rPr>
        <w:t xml:space="preserve">) was reported to be associated with T2D on the basis of in-depth studies of candidate </w:t>
      </w:r>
      <w:proofErr w:type="gramStart"/>
      <w:r w:rsidRPr="00AE5088">
        <w:rPr>
          <w:rFonts w:ascii="Book Antiqua" w:hAnsi="Book Antiqua" w:cs="Times New Roman"/>
          <w:sz w:val="24"/>
          <w:szCs w:val="24"/>
          <w:lang w:val="en-US"/>
        </w:rPr>
        <w:t>genes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23]</w:t>
      </w:r>
      <w:r w:rsidRPr="00AE5088">
        <w:rPr>
          <w:rFonts w:ascii="Book Antiqua" w:hAnsi="Book Antiqua" w:cs="Times New Roman"/>
          <w:sz w:val="24"/>
          <w:szCs w:val="24"/>
          <w:lang w:val="en-US"/>
        </w:rPr>
        <w:t xml:space="preserve">. The </w:t>
      </w:r>
      <w:r w:rsidRPr="00AE5088">
        <w:rPr>
          <w:rFonts w:ascii="Book Antiqua" w:hAnsi="Book Antiqua" w:cs="Times New Roman"/>
          <w:i/>
          <w:sz w:val="24"/>
          <w:szCs w:val="24"/>
          <w:lang w:val="en-US"/>
        </w:rPr>
        <w:t>WFS1</w:t>
      </w:r>
      <w:r w:rsidRPr="00AE5088">
        <w:rPr>
          <w:rFonts w:ascii="Book Antiqua" w:hAnsi="Book Antiqua" w:cs="Times New Roman"/>
          <w:sz w:val="24"/>
          <w:szCs w:val="24"/>
          <w:lang w:val="en-US"/>
        </w:rPr>
        <w:t xml:space="preserve"> gene encodes </w:t>
      </w:r>
      <w:proofErr w:type="spellStart"/>
      <w:r w:rsidRPr="00AE5088">
        <w:rPr>
          <w:rFonts w:ascii="Book Antiqua" w:hAnsi="Book Antiqua" w:cs="Times New Roman"/>
          <w:sz w:val="24"/>
          <w:szCs w:val="24"/>
          <w:lang w:val="en-US"/>
        </w:rPr>
        <w:t>wolframin</w:t>
      </w:r>
      <w:proofErr w:type="spellEnd"/>
      <w:r w:rsidRPr="00AE5088">
        <w:rPr>
          <w:rFonts w:ascii="Book Antiqua" w:hAnsi="Book Antiqua" w:cs="Times New Roman"/>
          <w:sz w:val="24"/>
          <w:szCs w:val="24"/>
          <w:lang w:val="en-US"/>
        </w:rPr>
        <w:t xml:space="preserve">, endoplasmic reticulum (ER) membrane protein with a role in ER calcium homeostasis. Mutations in </w:t>
      </w:r>
      <w:r w:rsidRPr="00AE5088">
        <w:rPr>
          <w:rFonts w:ascii="Book Antiqua" w:hAnsi="Book Antiqua" w:cs="Times New Roman"/>
          <w:i/>
          <w:sz w:val="24"/>
          <w:szCs w:val="24"/>
          <w:lang w:val="en-US"/>
        </w:rPr>
        <w:t xml:space="preserve">WFS1 </w:t>
      </w:r>
      <w:r w:rsidRPr="00AE5088">
        <w:rPr>
          <w:rFonts w:ascii="Book Antiqua" w:hAnsi="Book Antiqua" w:cs="Times New Roman"/>
          <w:sz w:val="24"/>
          <w:szCs w:val="24"/>
          <w:lang w:val="en-US"/>
        </w:rPr>
        <w:t xml:space="preserve">are known to be associated with Wolfram </w:t>
      </w:r>
      <w:proofErr w:type="gramStart"/>
      <w:r w:rsidRPr="00AE5088">
        <w:rPr>
          <w:rFonts w:ascii="Book Antiqua" w:hAnsi="Book Antiqua" w:cs="Times New Roman"/>
          <w:sz w:val="24"/>
          <w:szCs w:val="24"/>
          <w:lang w:val="en-US"/>
        </w:rPr>
        <w:t>syndrome</w:t>
      </w:r>
      <w:r w:rsidRPr="00AE5088">
        <w:rPr>
          <w:rFonts w:ascii="Book Antiqua" w:hAnsi="Book Antiqua" w:cs="Times New Roman"/>
          <w:sz w:val="24"/>
          <w:szCs w:val="24"/>
          <w:vertAlign w:val="superscript"/>
          <w:lang w:val="en-US"/>
        </w:rPr>
        <w:t>[</w:t>
      </w:r>
      <w:proofErr w:type="gramEnd"/>
      <w:r w:rsidRPr="00AE5088">
        <w:rPr>
          <w:rFonts w:ascii="Book Antiqua" w:eastAsia="Times New Roman" w:hAnsi="Book Antiqua" w:cs="Times New Roman"/>
          <w:sz w:val="24"/>
          <w:szCs w:val="24"/>
          <w:vertAlign w:val="superscript"/>
          <w:lang w:val="en-US" w:eastAsia="ru-RU"/>
        </w:rPr>
        <w:t>24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69AD5776" w14:textId="77777777" w:rsidR="005F58AF" w:rsidRPr="00AE5088" w:rsidRDefault="005F58AF" w:rsidP="005232A1">
      <w:pPr>
        <w:spacing w:after="0" w:line="360" w:lineRule="auto"/>
        <w:jc w:val="both"/>
        <w:rPr>
          <w:rFonts w:ascii="Book Antiqua" w:hAnsi="Book Antiqua" w:cs="Times New Roman"/>
          <w:i/>
          <w:sz w:val="24"/>
          <w:szCs w:val="24"/>
          <w:lang w:val="en-US"/>
        </w:rPr>
      </w:pPr>
    </w:p>
    <w:p w14:paraId="5DD40E19" w14:textId="37A71E7A" w:rsidR="005F58AF" w:rsidRPr="00AE5088" w:rsidRDefault="002F2D44"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 xml:space="preserve">GENOME-WIDE ASSOCIATION STUDIES ON T2D </w:t>
      </w:r>
    </w:p>
    <w:p w14:paraId="2B2DC3AE" w14:textId="15D5BD05"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Advances in technology of SNP genotyping, implementation of recent genetic knowledge gained from the Human Genome Project, and development of robust statistical methods have allowed GWAS to become the basic method for identification of common genetic variants associated with complex diseases such as T2D. Since the </w:t>
      </w:r>
      <w:r w:rsidRPr="00AE5088">
        <w:rPr>
          <w:rFonts w:ascii="Book Antiqua" w:hAnsi="Book Antiqua" w:cs="Times New Roman"/>
          <w:sz w:val="24"/>
          <w:szCs w:val="24"/>
          <w:lang w:val="en-US"/>
        </w:rPr>
        <w:lastRenderedPageBreak/>
        <w:t xml:space="preserve">application of GWAS technology the discovery of genetic variants associated with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has developed dramatically. </w:t>
      </w:r>
    </w:p>
    <w:p w14:paraId="15B8A196" w14:textId="4C55C0BE"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In 2007, the first GWAS performed for T2D has identified three novel susceptibility loci related to pancreatic β-cells: (</w:t>
      </w:r>
      <w:r w:rsidR="00B73864">
        <w:rPr>
          <w:rFonts w:ascii="Book Antiqua" w:hAnsi="Book Antiqua" w:cs="Times New Roman"/>
          <w:sz w:val="24"/>
          <w:szCs w:val="24"/>
          <w:lang w:val="en-US"/>
        </w:rPr>
        <w:t>1</w:t>
      </w:r>
      <w:r w:rsidRPr="00AE5088">
        <w:rPr>
          <w:rFonts w:ascii="Book Antiqua" w:hAnsi="Book Antiqua" w:cs="Times New Roman"/>
          <w:sz w:val="24"/>
          <w:szCs w:val="24"/>
          <w:lang w:val="en-US"/>
        </w:rPr>
        <w:t>) solute carrier family 30 (zinc transporter), member 8 (</w:t>
      </w:r>
      <w:r w:rsidRPr="00AE5088">
        <w:rPr>
          <w:rFonts w:ascii="Book Antiqua" w:hAnsi="Book Antiqua" w:cs="Times New Roman"/>
          <w:i/>
          <w:sz w:val="24"/>
          <w:szCs w:val="24"/>
          <w:lang w:val="en-US"/>
        </w:rPr>
        <w:t>SLC30A8</w:t>
      </w:r>
      <w:r w:rsidRPr="00AE5088">
        <w:rPr>
          <w:rFonts w:ascii="Book Antiqua" w:hAnsi="Book Antiqua" w:cs="Times New Roman"/>
          <w:sz w:val="24"/>
          <w:szCs w:val="24"/>
          <w:lang w:val="en-US"/>
        </w:rPr>
        <w:t>), which is expressed exclusively in insulin-producing β-cells; (</w:t>
      </w:r>
      <w:r w:rsidR="00B73864">
        <w:rPr>
          <w:rFonts w:ascii="Book Antiqua" w:hAnsi="Book Antiqua" w:cs="Times New Roman"/>
          <w:sz w:val="24"/>
          <w:szCs w:val="24"/>
          <w:lang w:val="en-US"/>
        </w:rPr>
        <w:t>2</w:t>
      </w:r>
      <w:r w:rsidRPr="00AE5088">
        <w:rPr>
          <w:rFonts w:ascii="Book Antiqua" w:hAnsi="Book Antiqua" w:cs="Times New Roman"/>
          <w:sz w:val="24"/>
          <w:szCs w:val="24"/>
          <w:lang w:val="en-US"/>
        </w:rPr>
        <w:t>) insulin-degrading enzyme (</w:t>
      </w:r>
      <w:r w:rsidRPr="00AE5088">
        <w:rPr>
          <w:rFonts w:ascii="Book Antiqua" w:hAnsi="Book Antiqua" w:cs="Times New Roman"/>
          <w:i/>
          <w:sz w:val="24"/>
          <w:szCs w:val="24"/>
          <w:lang w:val="en-US"/>
        </w:rPr>
        <w:t>IDE</w:t>
      </w:r>
      <w:r w:rsidRPr="00AE5088">
        <w:rPr>
          <w:rFonts w:ascii="Book Antiqua" w:hAnsi="Book Antiqua" w:cs="Times New Roman"/>
          <w:sz w:val="24"/>
          <w:szCs w:val="24"/>
          <w:lang w:val="en-US"/>
        </w:rPr>
        <w:t>)–kinesin-interacting factor 11 (</w:t>
      </w:r>
      <w:r w:rsidRPr="00AE5088">
        <w:rPr>
          <w:rFonts w:ascii="Book Antiqua" w:hAnsi="Book Antiqua" w:cs="Times New Roman"/>
          <w:i/>
          <w:sz w:val="24"/>
          <w:szCs w:val="24"/>
          <w:lang w:val="en-US"/>
        </w:rPr>
        <w:t>KIF11</w:t>
      </w:r>
      <w:r w:rsidRPr="00AE5088">
        <w:rPr>
          <w:rFonts w:ascii="Book Antiqua" w:hAnsi="Book Antiqua" w:cs="Times New Roman"/>
          <w:sz w:val="24"/>
          <w:szCs w:val="24"/>
          <w:lang w:val="en-US"/>
        </w:rPr>
        <w:t>)–</w:t>
      </w:r>
      <w:proofErr w:type="spellStart"/>
      <w:r w:rsidRPr="00AE5088">
        <w:rPr>
          <w:rFonts w:ascii="Book Antiqua" w:hAnsi="Book Antiqua" w:cs="Times New Roman"/>
          <w:sz w:val="24"/>
          <w:szCs w:val="24"/>
          <w:lang w:val="en-US"/>
        </w:rPr>
        <w:t>hematopoietically</w:t>
      </w:r>
      <w:proofErr w:type="spellEnd"/>
      <w:r w:rsidRPr="00AE5088">
        <w:rPr>
          <w:rFonts w:ascii="Book Antiqua" w:hAnsi="Book Antiqua" w:cs="Times New Roman"/>
          <w:sz w:val="24"/>
          <w:szCs w:val="24"/>
          <w:lang w:val="en-US"/>
        </w:rPr>
        <w:t xml:space="preserve"> expressed homeobox (</w:t>
      </w:r>
      <w:r w:rsidRPr="00AE5088">
        <w:rPr>
          <w:rFonts w:ascii="Book Antiqua" w:hAnsi="Book Antiqua" w:cs="Times New Roman"/>
          <w:i/>
          <w:sz w:val="24"/>
          <w:szCs w:val="24"/>
          <w:lang w:val="en-US"/>
        </w:rPr>
        <w:t>HHEX</w:t>
      </w:r>
      <w:r w:rsidRPr="00AE5088">
        <w:rPr>
          <w:rFonts w:ascii="Book Antiqua" w:hAnsi="Book Antiqua" w:cs="Times New Roman"/>
          <w:sz w:val="24"/>
          <w:szCs w:val="24"/>
          <w:lang w:val="en-US"/>
        </w:rPr>
        <w:t>); and (</w:t>
      </w:r>
      <w:r w:rsidR="00B73864">
        <w:rPr>
          <w:rFonts w:ascii="Book Antiqua" w:hAnsi="Book Antiqua" w:cs="Times New Roman"/>
          <w:sz w:val="24"/>
          <w:szCs w:val="24"/>
          <w:lang w:val="en-US"/>
        </w:rPr>
        <w:t>3</w:t>
      </w:r>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exostosin</w:t>
      </w:r>
      <w:proofErr w:type="spellEnd"/>
      <w:r w:rsidRPr="00AE5088">
        <w:rPr>
          <w:rFonts w:ascii="Book Antiqua" w:hAnsi="Book Antiqua" w:cs="Times New Roman"/>
          <w:sz w:val="24"/>
          <w:szCs w:val="24"/>
          <w:lang w:val="en-US"/>
        </w:rPr>
        <w:t xml:space="preserve"> glycosyltransferase 2 (</w:t>
      </w:r>
      <w:r w:rsidRPr="00AE5088">
        <w:rPr>
          <w:rFonts w:ascii="Book Antiqua" w:hAnsi="Book Antiqua" w:cs="Times New Roman"/>
          <w:i/>
          <w:sz w:val="24"/>
          <w:szCs w:val="24"/>
          <w:lang w:val="en-US"/>
        </w:rPr>
        <w:t>EXT2</w:t>
      </w:r>
      <w:r w:rsidRPr="00AE5088">
        <w:rPr>
          <w:rFonts w:ascii="Book Antiqua" w:hAnsi="Book Antiqua" w:cs="Times New Roman"/>
          <w:sz w:val="24"/>
          <w:szCs w:val="24"/>
          <w:lang w:val="en-US"/>
        </w:rPr>
        <w:t>)–ALX homeobox 4 (</w:t>
      </w:r>
      <w:r w:rsidRPr="00AE5088">
        <w:rPr>
          <w:rFonts w:ascii="Book Antiqua" w:hAnsi="Book Antiqua" w:cs="Times New Roman"/>
          <w:i/>
          <w:sz w:val="24"/>
          <w:szCs w:val="24"/>
          <w:lang w:val="en-US"/>
        </w:rPr>
        <w:t>ALX4</w:t>
      </w:r>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[25]</w:t>
      </w:r>
      <w:r w:rsidRPr="00AE5088">
        <w:rPr>
          <w:rFonts w:ascii="Book Antiqua" w:hAnsi="Book Antiqua" w:cs="Times New Roman"/>
          <w:sz w:val="24"/>
          <w:szCs w:val="24"/>
          <w:lang w:val="en-US"/>
        </w:rPr>
        <w:t>. Subsequent GWAS revealed four additional loci associated with T2D, namely CDK5 regulatory subunit associated protein 1-like 1</w:t>
      </w:r>
      <w:r w:rsidR="00B73864">
        <w:rPr>
          <w:rFonts w:ascii="Book Antiqua" w:hAnsi="Book Antiqua" w:cs="Times New Roman"/>
          <w:sz w:val="24"/>
          <w:szCs w:val="24"/>
          <w:lang w:val="en-US"/>
        </w:rPr>
        <w:t xml:space="preserve"> </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CDKAL1</w:t>
      </w:r>
      <w:r w:rsidRPr="00AE5088">
        <w:rPr>
          <w:rFonts w:ascii="Book Antiqua" w:hAnsi="Book Antiqua" w:cs="Times New Roman"/>
          <w:sz w:val="24"/>
          <w:szCs w:val="24"/>
          <w:lang w:val="en-US"/>
        </w:rPr>
        <w:t>), cyclin-dependent kinase inhibitor 2A (</w:t>
      </w:r>
      <w:r w:rsidRPr="00AE5088">
        <w:rPr>
          <w:rFonts w:ascii="Book Antiqua" w:hAnsi="Book Antiqua" w:cs="Times New Roman"/>
          <w:i/>
          <w:sz w:val="24"/>
          <w:szCs w:val="24"/>
          <w:lang w:val="en-US"/>
        </w:rPr>
        <w:t>CDKN2A/B</w:t>
      </w:r>
      <w:r w:rsidRPr="00AE5088">
        <w:rPr>
          <w:rFonts w:ascii="Book Antiqua" w:hAnsi="Book Antiqua" w:cs="Times New Roman"/>
          <w:sz w:val="24"/>
          <w:szCs w:val="24"/>
          <w:lang w:val="en-US"/>
        </w:rPr>
        <w:t>), insulin-like growth factor 2 mRNA binding protein 2 (</w:t>
      </w:r>
      <w:r w:rsidRPr="00AE5088">
        <w:rPr>
          <w:rFonts w:ascii="Book Antiqua" w:hAnsi="Book Antiqua" w:cs="Times New Roman"/>
          <w:i/>
          <w:sz w:val="24"/>
          <w:szCs w:val="24"/>
          <w:lang w:val="en-US"/>
        </w:rPr>
        <w:t>IGF2BP2</w:t>
      </w:r>
      <w:r w:rsidRPr="00AE5088">
        <w:rPr>
          <w:rFonts w:ascii="Book Antiqua" w:hAnsi="Book Antiqua" w:cs="Times New Roman"/>
          <w:sz w:val="24"/>
          <w:szCs w:val="24"/>
          <w:lang w:val="en-US"/>
        </w:rPr>
        <w:t>), and fat mass and obesity associated (</w:t>
      </w:r>
      <w:r w:rsidRPr="00AE5088">
        <w:rPr>
          <w:rFonts w:ascii="Book Antiqua" w:hAnsi="Book Antiqua" w:cs="Times New Roman"/>
          <w:i/>
          <w:sz w:val="24"/>
          <w:szCs w:val="24"/>
          <w:lang w:val="en-US"/>
        </w:rPr>
        <w:t>FTO</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26-30]</w:t>
      </w:r>
      <w:r w:rsidRPr="00AE5088">
        <w:rPr>
          <w:rFonts w:ascii="Book Antiqua" w:hAnsi="Book Antiqua" w:cs="Times New Roman"/>
          <w:sz w:val="24"/>
          <w:szCs w:val="24"/>
          <w:lang w:val="en-US"/>
        </w:rPr>
        <w:t>. In addition, HNF1 homeobox B (</w:t>
      </w:r>
      <w:r w:rsidRPr="00AE5088">
        <w:rPr>
          <w:rFonts w:ascii="Book Antiqua" w:hAnsi="Book Antiqua" w:cs="Times New Roman"/>
          <w:i/>
          <w:sz w:val="24"/>
          <w:szCs w:val="24"/>
          <w:lang w:val="en-US"/>
        </w:rPr>
        <w:t>HNF1B/ TCF2</w:t>
      </w:r>
      <w:r w:rsidRPr="00AE5088">
        <w:rPr>
          <w:rFonts w:ascii="Book Antiqua" w:hAnsi="Book Antiqua" w:cs="Times New Roman"/>
          <w:sz w:val="24"/>
          <w:szCs w:val="24"/>
          <w:lang w:val="en-US"/>
        </w:rPr>
        <w:t>), a gene related to maturity-onset diabetes of the young type 5 (MODY5), was shown to be associated with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31]</w:t>
      </w:r>
      <w:r w:rsidRPr="00AE5088">
        <w:rPr>
          <w:rFonts w:ascii="Book Antiqua" w:hAnsi="Book Antiqua" w:cs="Times New Roman"/>
          <w:sz w:val="24"/>
          <w:szCs w:val="24"/>
          <w:lang w:val="en-US"/>
        </w:rPr>
        <w:t xml:space="preserve">. One important finding from the initial GWAS results was that effect sizes for common variants involved in T2D were likely to be modest. The statistical power to detect associations between genetic variants and a trait depends on the sample size, the distribution of effect sizes of (unknown) causal genetic variants, the frequency of those variants, and the </w:t>
      </w:r>
      <w:r w:rsidR="003822F6" w:rsidRPr="00AE5088">
        <w:rPr>
          <w:rFonts w:ascii="Book Antiqua" w:hAnsi="Book Antiqua" w:cs="Times New Roman"/>
          <w:sz w:val="24"/>
          <w:szCs w:val="24"/>
          <w:lang w:val="en-US"/>
        </w:rPr>
        <w:t>linkage disequilibrium (</w:t>
      </w:r>
      <w:r w:rsidRPr="00AE5088">
        <w:rPr>
          <w:rFonts w:ascii="Book Antiqua" w:hAnsi="Book Antiqua" w:cs="Times New Roman"/>
          <w:sz w:val="24"/>
          <w:szCs w:val="24"/>
          <w:lang w:val="en-US"/>
        </w:rPr>
        <w:t>LD</w:t>
      </w:r>
      <w:r w:rsidR="003822F6"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between observed genotyped DNA variants and the unknown causal variants</w:t>
      </w:r>
      <w:r w:rsidRPr="00AE5088">
        <w:rPr>
          <w:rFonts w:ascii="Book Antiqua" w:hAnsi="Book Antiqua" w:cs="Times New Roman"/>
          <w:sz w:val="24"/>
          <w:szCs w:val="24"/>
          <w:vertAlign w:val="superscript"/>
          <w:lang w:val="en-US"/>
        </w:rPr>
        <w:t>[32]</w:t>
      </w:r>
      <w:r w:rsidRPr="00AE5088">
        <w:rPr>
          <w:rFonts w:ascii="Book Antiqua" w:hAnsi="Book Antiqua" w:cs="Times New Roman"/>
          <w:sz w:val="24"/>
          <w:szCs w:val="24"/>
          <w:lang w:val="en-US"/>
        </w:rPr>
        <w:t>. This led to an innovative data merging strategy now known as GWAS meta-analysis and resulted in multiple waves of GWAS studies for T2D.</w:t>
      </w:r>
    </w:p>
    <w:p w14:paraId="671BB3E2" w14:textId="581197BC"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 In 2008, six new T2D loci including </w:t>
      </w:r>
      <w:r w:rsidRPr="00AE5088">
        <w:rPr>
          <w:rFonts w:ascii="Book Antiqua" w:hAnsi="Book Antiqua" w:cs="Times New Roman"/>
          <w:i/>
          <w:sz w:val="24"/>
          <w:szCs w:val="24"/>
          <w:lang w:val="en-US"/>
        </w:rPr>
        <w:t>JAZF1, CDC123</w:t>
      </w:r>
      <w:r w:rsidRPr="00AE5088">
        <w:rPr>
          <w:rFonts w:ascii="Book Antiqua" w:hAnsi="Book Antiqua" w:cs="Times New Roman"/>
          <w:sz w:val="24"/>
          <w:szCs w:val="24"/>
          <w:lang w:val="en-US"/>
        </w:rPr>
        <w:t>/calcium/</w:t>
      </w:r>
      <w:r w:rsidRPr="00AE5088">
        <w:rPr>
          <w:rFonts w:ascii="Book Antiqua" w:hAnsi="Book Antiqua" w:cs="Times New Roman"/>
          <w:i/>
          <w:sz w:val="24"/>
          <w:szCs w:val="24"/>
          <w:lang w:val="en-US"/>
        </w:rPr>
        <w:t>CAMK1D</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TSPAN8</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LGR5</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THADA</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ADAMTS9</w:t>
      </w:r>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NOTCH2</w:t>
      </w:r>
      <w:r w:rsidRPr="00AE5088">
        <w:rPr>
          <w:rFonts w:ascii="Book Antiqua" w:hAnsi="Book Antiqua" w:cs="Times New Roman"/>
          <w:sz w:val="24"/>
          <w:szCs w:val="24"/>
          <w:lang w:val="en-US"/>
        </w:rPr>
        <w:t xml:space="preserve"> were reported by a meta</w:t>
      </w:r>
      <w:r w:rsidR="00D83A36"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analysis combining three previous GWAS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 xml:space="preserve">Diabetes Genetic Initiative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DGI</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 xml:space="preserve">, Finland–United States Investigation of NIDDM Genetics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FUSION</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sz w:val="24"/>
          <w:szCs w:val="24"/>
          <w:lang w:val="en-US"/>
        </w:rPr>
        <w:t>Wellcome</w:t>
      </w:r>
      <w:proofErr w:type="spellEnd"/>
      <w:r w:rsidRPr="00AE5088">
        <w:rPr>
          <w:rFonts w:ascii="Book Antiqua" w:hAnsi="Book Antiqua" w:cs="Times New Roman"/>
          <w:sz w:val="24"/>
          <w:szCs w:val="24"/>
          <w:lang w:val="en-US"/>
        </w:rPr>
        <w:t xml:space="preserve"> Trust Case Control Consortium </w:t>
      </w:r>
      <w:r w:rsidR="00B73864">
        <w:rPr>
          <w:rFonts w:ascii="Book Antiqua" w:hAnsi="Book Antiqua" w:cs="Times New Roman"/>
          <w:sz w:val="24"/>
          <w:szCs w:val="24"/>
          <w:lang w:val="en-US"/>
        </w:rPr>
        <w:t>(</w:t>
      </w:r>
      <w:r w:rsidRPr="00AE5088">
        <w:rPr>
          <w:rFonts w:ascii="Book Antiqua" w:hAnsi="Book Antiqua" w:cs="Times New Roman"/>
          <w:sz w:val="24"/>
          <w:szCs w:val="24"/>
          <w:lang w:val="en-US"/>
        </w:rPr>
        <w:t>WTCCC)</w:t>
      </w:r>
      <w:r w:rsidR="00B73864">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[33]</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In 2009, two loci, namely insulin receptor substrate 1 (</w:t>
      </w:r>
      <w:r w:rsidRPr="00AE5088">
        <w:rPr>
          <w:rFonts w:ascii="Book Antiqua" w:hAnsi="Book Antiqua" w:cs="Times New Roman"/>
          <w:i/>
          <w:sz w:val="24"/>
          <w:szCs w:val="24"/>
          <w:lang w:val="en-US"/>
        </w:rPr>
        <w:t>IRS1</w:t>
      </w:r>
      <w:r w:rsidRPr="00AE5088">
        <w:rPr>
          <w:rFonts w:ascii="Book Antiqua" w:hAnsi="Book Antiqua" w:cs="Times New Roman"/>
          <w:sz w:val="24"/>
          <w:szCs w:val="24"/>
          <w:lang w:val="en-US"/>
        </w:rPr>
        <w:t>) and melatonin receptor 1B (</w:t>
      </w:r>
      <w:r w:rsidRPr="00AE5088">
        <w:rPr>
          <w:rFonts w:ascii="Book Antiqua" w:hAnsi="Book Antiqua" w:cs="Times New Roman"/>
          <w:i/>
          <w:sz w:val="24"/>
          <w:szCs w:val="24"/>
          <w:lang w:val="en-US"/>
        </w:rPr>
        <w:t>MTNR1B</w:t>
      </w:r>
      <w:r w:rsidRPr="00AE5088">
        <w:rPr>
          <w:rFonts w:ascii="Book Antiqua" w:hAnsi="Book Antiqua" w:cs="Times New Roman"/>
          <w:sz w:val="24"/>
          <w:szCs w:val="24"/>
          <w:lang w:val="en-US"/>
        </w:rPr>
        <w:t xml:space="preserve">) were identified to be associated with T2D by </w:t>
      </w:r>
      <w:proofErr w:type="gramStart"/>
      <w:r w:rsidRPr="00AE5088">
        <w:rPr>
          <w:rFonts w:ascii="Book Antiqua" w:hAnsi="Book Antiqua" w:cs="Times New Roman"/>
          <w:sz w:val="24"/>
          <w:szCs w:val="24"/>
          <w:lang w:val="en-US"/>
        </w:rPr>
        <w:t>GWAS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34-36]</w:t>
      </w:r>
      <w:r w:rsidRPr="00AE5088">
        <w:rPr>
          <w:rFonts w:ascii="Book Antiqua" w:hAnsi="Book Antiqua" w:cs="Times New Roman"/>
          <w:sz w:val="24"/>
          <w:szCs w:val="24"/>
          <w:lang w:val="en-US"/>
        </w:rPr>
        <w:t>.</w:t>
      </w:r>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The </w:t>
      </w:r>
      <w:r w:rsidRPr="00AE5088">
        <w:rPr>
          <w:rFonts w:ascii="Book Antiqua" w:hAnsi="Book Antiqua" w:cs="Times New Roman"/>
          <w:i/>
          <w:sz w:val="24"/>
          <w:szCs w:val="24"/>
          <w:lang w:val="en-US"/>
        </w:rPr>
        <w:t>IRS1</w:t>
      </w:r>
      <w:r w:rsidRPr="00AE5088">
        <w:rPr>
          <w:rFonts w:ascii="Book Antiqua" w:hAnsi="Book Antiqua" w:cs="Times New Roman"/>
          <w:sz w:val="24"/>
          <w:szCs w:val="24"/>
          <w:lang w:val="en-US"/>
        </w:rPr>
        <w:t xml:space="preserve"> gene is related to insulin resistance and hyperinsulinemia, whereas </w:t>
      </w:r>
      <w:r w:rsidRPr="00AE5088">
        <w:rPr>
          <w:rFonts w:ascii="Book Antiqua" w:hAnsi="Book Antiqua" w:cs="Times New Roman"/>
          <w:i/>
          <w:sz w:val="24"/>
          <w:szCs w:val="24"/>
          <w:lang w:val="en-US"/>
        </w:rPr>
        <w:t>MTNR1B</w:t>
      </w:r>
      <w:r w:rsidRPr="00AE5088">
        <w:rPr>
          <w:rFonts w:ascii="Book Antiqua" w:hAnsi="Book Antiqua" w:cs="Times New Roman"/>
          <w:sz w:val="24"/>
          <w:szCs w:val="24"/>
          <w:lang w:val="en-US"/>
        </w:rPr>
        <w:t xml:space="preserve"> is involved in impaired early insulin response to </w:t>
      </w:r>
      <w:proofErr w:type="gramStart"/>
      <w:r w:rsidRPr="00AE5088">
        <w:rPr>
          <w:rFonts w:ascii="Book Antiqua" w:hAnsi="Book Antiqua" w:cs="Times New Roman"/>
          <w:sz w:val="24"/>
          <w:szCs w:val="24"/>
          <w:lang w:val="en-US"/>
        </w:rPr>
        <w:t>glucose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35]</w:t>
      </w:r>
      <w:r w:rsidRPr="00AE5088">
        <w:rPr>
          <w:rFonts w:ascii="Book Antiqua" w:hAnsi="Book Antiqua" w:cs="Times New Roman"/>
          <w:sz w:val="24"/>
          <w:szCs w:val="24"/>
          <w:lang w:val="en-US"/>
        </w:rPr>
        <w:t xml:space="preserve">. </w:t>
      </w:r>
    </w:p>
    <w:p w14:paraId="2CD0CE61" w14:textId="35F6FBF6"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In 2010 the second wave of the GWAS identified 17 new loci associated with T2D which was made possible because by improved efficiency of GWAS genotyping technology, enabling interrogation of larger numbers of SNPs that better cover common </w:t>
      </w:r>
      <w:r w:rsidRPr="00AE5088">
        <w:rPr>
          <w:rFonts w:ascii="Book Antiqua" w:hAnsi="Book Antiqua" w:cs="Times New Roman"/>
          <w:sz w:val="24"/>
          <w:szCs w:val="24"/>
          <w:lang w:val="en-US"/>
        </w:rPr>
        <w:lastRenderedPageBreak/>
        <w:t xml:space="preserve">genetic variation across populations in increased sample sizes. Furthermore, methodological innovations, such as imputation (described below), which allows prediction of genotypes at SNPs not typed on GWAS </w:t>
      </w:r>
      <w:proofErr w:type="gramStart"/>
      <w:r w:rsidRPr="00AE5088">
        <w:rPr>
          <w:rFonts w:ascii="Book Antiqua" w:hAnsi="Book Antiqua" w:cs="Times New Roman"/>
          <w:sz w:val="24"/>
          <w:szCs w:val="24"/>
          <w:lang w:val="en-US"/>
        </w:rPr>
        <w:t>arrays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pacing w:val="3"/>
          <w:sz w:val="24"/>
          <w:szCs w:val="24"/>
          <w:vertAlign w:val="superscript"/>
          <w:lang w:val="en-US"/>
        </w:rPr>
        <w:t>37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618A1A94" w14:textId="6BAED1FC"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In the past year a leap forward has occurred from smaller, cumulative advances to the description of up to around 250 genome-wide significant loci of T2D</w:t>
      </w:r>
      <w:r w:rsidRPr="00776AD0">
        <w:rPr>
          <w:rFonts w:ascii="Book Antiqua" w:hAnsi="Book Antiqua" w:cs="Times New Roman"/>
          <w:sz w:val="24"/>
          <w:szCs w:val="24"/>
          <w:vertAlign w:val="superscript"/>
          <w:lang w:val="en-US"/>
        </w:rPr>
        <w:t>[10]</w:t>
      </w:r>
      <w:r w:rsidRPr="00AE5088">
        <w:rPr>
          <w:rFonts w:ascii="Book Antiqua" w:hAnsi="Book Antiqua" w:cs="Times New Roman"/>
          <w:sz w:val="24"/>
          <w:szCs w:val="24"/>
          <w:lang w:val="en-US"/>
        </w:rPr>
        <w:t xml:space="preserve">. In the large meta-analysis of GWAS in sample of T2D including 62892 cases and 596424 controls was performed by combining 3 GWAS data sets of European ancestry: </w:t>
      </w:r>
      <w:proofErr w:type="spellStart"/>
      <w:r w:rsidRPr="00AE5088">
        <w:rPr>
          <w:rFonts w:ascii="Book Antiqua" w:hAnsi="Book Antiqua" w:cs="Times New Roman"/>
          <w:sz w:val="24"/>
          <w:szCs w:val="24"/>
          <w:lang w:val="en-US"/>
        </w:rPr>
        <w:t>DIAbetes</w:t>
      </w:r>
      <w:proofErr w:type="spellEnd"/>
      <w:r w:rsidRPr="00AE5088">
        <w:rPr>
          <w:rFonts w:ascii="Book Antiqua" w:hAnsi="Book Antiqua" w:cs="Times New Roman"/>
          <w:sz w:val="24"/>
          <w:szCs w:val="24"/>
          <w:lang w:val="en-US"/>
        </w:rPr>
        <w:t xml:space="preserve"> Genetics Replication and Meta-analysis, Genetic Epidemiology Research on Aging, and the full cohort release of the UK Biobank 39 previously unknown loci have been </w:t>
      </w:r>
      <w:proofErr w:type="gramStart"/>
      <w:r w:rsidRPr="00AE5088">
        <w:rPr>
          <w:rFonts w:ascii="Book Antiqua" w:hAnsi="Book Antiqua" w:cs="Times New Roman"/>
          <w:sz w:val="24"/>
          <w:szCs w:val="24"/>
          <w:lang w:val="en-US"/>
        </w:rPr>
        <w:t>identified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38]</w:t>
      </w:r>
      <w:r w:rsidRPr="00AE5088">
        <w:rPr>
          <w:rFonts w:ascii="Book Antiqua" w:hAnsi="Book Antiqua" w:cs="Times New Roman"/>
          <w:sz w:val="24"/>
          <w:szCs w:val="24"/>
          <w:lang w:val="en-US"/>
        </w:rPr>
        <w:t>. This study highlighted the benefits of integrating multiple omics data to identify functional genes and putative regulatory mechanisms caused by genetic variation. Future applications of integrative omics data analyses are expected to improve our understanding of the biological mechanisms underlying common diseases such as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38]</w:t>
      </w:r>
      <w:r w:rsidRPr="00AE5088">
        <w:rPr>
          <w:rFonts w:ascii="Book Antiqua" w:hAnsi="Book Antiqua" w:cs="Times New Roman"/>
          <w:sz w:val="24"/>
          <w:szCs w:val="24"/>
          <w:lang w:val="en-US"/>
        </w:rPr>
        <w:t>.</w:t>
      </w:r>
    </w:p>
    <w:p w14:paraId="0A2A9A94"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77A07676" w14:textId="1B1644C0" w:rsidR="005F58AF" w:rsidRPr="00AE5088" w:rsidRDefault="00B73864"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b/>
          <w:sz w:val="24"/>
          <w:szCs w:val="24"/>
          <w:lang w:val="en-US"/>
        </w:rPr>
        <w:t>MAPPING OF CAUSAL VARIANTS AND DISEASE GENES BY NGS METHODS</w:t>
      </w:r>
      <w:r w:rsidRPr="00AE5088">
        <w:rPr>
          <w:rFonts w:ascii="Book Antiqua" w:hAnsi="Book Antiqua" w:cs="Times New Roman"/>
          <w:sz w:val="24"/>
          <w:szCs w:val="24"/>
          <w:lang w:val="en-US"/>
        </w:rPr>
        <w:t xml:space="preserve"> </w:t>
      </w:r>
    </w:p>
    <w:p w14:paraId="61ED8CD8" w14:textId="12FCCF52"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While conventional genome-wide association studies allow to identify associated loci, GWAS alone cannot be used to map causal variants (</w:t>
      </w:r>
      <w:r w:rsidR="00D83A36" w:rsidRPr="00AE5088">
        <w:rPr>
          <w:rFonts w:ascii="Book Antiqua" w:hAnsi="Book Antiqua" w:cs="Times New Roman"/>
          <w:sz w:val="24"/>
          <w:szCs w:val="24"/>
          <w:lang w:val="en-US"/>
        </w:rPr>
        <w:t>many</w:t>
      </w:r>
      <w:r w:rsidRPr="00AE5088">
        <w:rPr>
          <w:rFonts w:ascii="Book Antiqua" w:hAnsi="Book Antiqua" w:cs="Times New Roman"/>
          <w:sz w:val="24"/>
          <w:szCs w:val="24"/>
          <w:lang w:val="en-US"/>
        </w:rPr>
        <w:t xml:space="preserve"> of which are expectedly rare in population), as the method strictly focuses on pre-selected common variants identified by the HapMap project in the beginning of the </w:t>
      </w:r>
      <w:proofErr w:type="gramStart"/>
      <w:r w:rsidRPr="00AE5088">
        <w:rPr>
          <w:rFonts w:ascii="Book Antiqua" w:hAnsi="Book Antiqua" w:cs="Times New Roman"/>
          <w:sz w:val="24"/>
          <w:szCs w:val="24"/>
          <w:lang w:val="en-US"/>
        </w:rPr>
        <w:t>century</w:t>
      </w:r>
      <w:r w:rsidR="008313E5" w:rsidRPr="00AE5088">
        <w:rPr>
          <w:rFonts w:ascii="Book Antiqua" w:hAnsi="Book Antiqua" w:cs="Times New Roman"/>
          <w:sz w:val="24"/>
          <w:szCs w:val="24"/>
          <w:vertAlign w:val="superscript"/>
          <w:lang w:val="en-US"/>
        </w:rPr>
        <w:t>[</w:t>
      </w:r>
      <w:proofErr w:type="gramEnd"/>
      <w:r w:rsidR="008313E5" w:rsidRPr="00AE5088">
        <w:rPr>
          <w:rFonts w:ascii="Book Antiqua" w:hAnsi="Book Antiqua" w:cs="Times New Roman"/>
          <w:sz w:val="24"/>
          <w:szCs w:val="24"/>
          <w:vertAlign w:val="superscript"/>
          <w:lang w:val="en-US"/>
        </w:rPr>
        <w:t>39]</w:t>
      </w:r>
      <w:r w:rsidRPr="00AE5088">
        <w:rPr>
          <w:rFonts w:ascii="Book Antiqua" w:hAnsi="Book Antiqua" w:cs="Times New Roman"/>
          <w:sz w:val="24"/>
          <w:szCs w:val="24"/>
          <w:lang w:val="en-US"/>
        </w:rPr>
        <w:t xml:space="preserve">. On the other hand,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presents a reasonable alternative to the chip-based methods. For genotyping purposes, NGS reads are aligned to a reference genome, and a set of statistical procedures is performed to identify variant </w:t>
      </w:r>
      <w:proofErr w:type="gramStart"/>
      <w:r w:rsidRPr="00AE5088">
        <w:rPr>
          <w:rFonts w:ascii="Book Antiqua" w:hAnsi="Book Antiqua" w:cs="Times New Roman"/>
          <w:sz w:val="24"/>
          <w:szCs w:val="24"/>
          <w:lang w:val="en-US"/>
        </w:rPr>
        <w:t>sites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40]</w:t>
      </w:r>
      <w:r w:rsidRPr="00AE5088">
        <w:rPr>
          <w:rFonts w:ascii="Book Antiqua" w:hAnsi="Book Antiqua" w:cs="Times New Roman"/>
          <w:sz w:val="24"/>
          <w:szCs w:val="24"/>
          <w:lang w:val="en-US"/>
        </w:rPr>
        <w:t xml:space="preserve">. Thus,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directly identifies most of the genetic variants present in an individual’s genome irrespective of their frequency, which enables testing of all variants’ association. In this section, we will focus on how NGS datasets might be used for identification of novel causal variants for T2D, and which loci have been identified by these methods.</w:t>
      </w:r>
    </w:p>
    <w:p w14:paraId="71411D99"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69F81C7E" w14:textId="07AA458C" w:rsidR="005F58AF" w:rsidRPr="001B3AEA" w:rsidRDefault="006E31AF" w:rsidP="005232A1">
      <w:pPr>
        <w:spacing w:after="0" w:line="360" w:lineRule="auto"/>
        <w:jc w:val="both"/>
        <w:rPr>
          <w:rFonts w:ascii="Book Antiqua" w:hAnsi="Book Antiqua" w:cs="Times New Roman"/>
          <w:b/>
          <w:i/>
          <w:sz w:val="24"/>
          <w:szCs w:val="24"/>
          <w:lang w:val="en-US"/>
        </w:rPr>
      </w:pPr>
      <w:bookmarkStart w:id="0" w:name="_Hlk1337722"/>
      <w:r w:rsidRPr="00AE5088">
        <w:rPr>
          <w:rFonts w:ascii="Book Antiqua" w:hAnsi="Book Antiqua" w:cs="Times New Roman"/>
          <w:b/>
          <w:i/>
          <w:sz w:val="24"/>
          <w:szCs w:val="24"/>
          <w:lang w:val="en-US"/>
        </w:rPr>
        <w:t>Fine mapping of GWAS signal using NGS-based reference panels</w:t>
      </w:r>
    </w:p>
    <w:p w14:paraId="6E69F206" w14:textId="146D5FC4" w:rsidR="005F58AF" w:rsidRPr="00AE5088"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sz w:val="24"/>
          <w:szCs w:val="24"/>
          <w:lang w:val="en-US"/>
        </w:rPr>
        <w:t xml:space="preserve">Large genome and exome sequencing and aggregation consortia, such as the 1000 Genomes project or UK10K provide valuable insights into linkage disequilibrium, </w:t>
      </w:r>
      <w:r w:rsidRPr="00AE5088">
        <w:rPr>
          <w:rFonts w:ascii="Book Antiqua" w:hAnsi="Book Antiqua" w:cs="Times New Roman"/>
          <w:i/>
          <w:iCs/>
          <w:sz w:val="24"/>
          <w:szCs w:val="24"/>
          <w:lang w:val="en-US"/>
        </w:rPr>
        <w:t>i.e.</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co-occurrence rates, between different variants, enabling probabilistic reconstruction of </w:t>
      </w:r>
      <w:r w:rsidRPr="00AE5088">
        <w:rPr>
          <w:rFonts w:ascii="Book Antiqua" w:hAnsi="Book Antiqua" w:cs="Times New Roman"/>
          <w:sz w:val="24"/>
          <w:szCs w:val="24"/>
          <w:lang w:val="en-US"/>
        </w:rPr>
        <w:lastRenderedPageBreak/>
        <w:t xml:space="preserve">individual genome sequences from fixed number of genotyped loci (such as in traditional GWAS). This in turn enables testing for the role of rare variants without sequencing </w:t>
      </w:r>
      <w:r w:rsidRPr="00AE5088">
        <w:rPr>
          <w:rFonts w:ascii="Book Antiqua" w:hAnsi="Book Antiqua" w:cs="Times New Roman"/>
          <w:i/>
          <w:iCs/>
          <w:sz w:val="24"/>
          <w:szCs w:val="24"/>
          <w:lang w:val="en-US"/>
        </w:rPr>
        <w:t xml:space="preserve">per </w:t>
      </w:r>
      <w:proofErr w:type="gramStart"/>
      <w:r w:rsidRPr="00AE5088">
        <w:rPr>
          <w:rFonts w:ascii="Book Antiqua" w:hAnsi="Book Antiqua" w:cs="Times New Roman"/>
          <w:i/>
          <w:iCs/>
          <w:sz w:val="24"/>
          <w:szCs w:val="24"/>
          <w:lang w:val="en-US"/>
        </w:rPr>
        <w:t>se</w:t>
      </w:r>
      <w:r w:rsidRPr="00AE5088">
        <w:rPr>
          <w:rFonts w:ascii="Book Antiqua" w:hAnsi="Book Antiqua" w:cs="Times New Roman"/>
          <w:sz w:val="24"/>
          <w:szCs w:val="24"/>
          <w:vertAlign w:val="superscript"/>
          <w:lang w:val="en-US"/>
        </w:rPr>
        <w:t>[</w:t>
      </w:r>
      <w:proofErr w:type="gramEnd"/>
      <w:r w:rsidR="00F629C7" w:rsidRPr="00AE5088">
        <w:rPr>
          <w:rFonts w:ascii="Book Antiqua" w:hAnsi="Book Antiqua" w:cs="Times New Roman"/>
          <w:sz w:val="24"/>
          <w:szCs w:val="24"/>
          <w:vertAlign w:val="superscript"/>
          <w:lang w:val="en-US"/>
        </w:rPr>
        <w:t>37,41,42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Large reference panels for such genotype imputation have been constructed from sequencing </w:t>
      </w:r>
      <w:proofErr w:type="gramStart"/>
      <w:r w:rsidRPr="00AE5088">
        <w:rPr>
          <w:rFonts w:ascii="Book Antiqua" w:hAnsi="Book Antiqua" w:cs="Times New Roman"/>
          <w:sz w:val="24"/>
          <w:szCs w:val="24"/>
          <w:lang w:val="en-US"/>
        </w:rPr>
        <w:t>data</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43]</w:t>
      </w:r>
      <w:r w:rsidRPr="00AE5088">
        <w:rPr>
          <w:rFonts w:ascii="Book Antiqua" w:hAnsi="Book Antiqua" w:cs="Times New Roman"/>
          <w:sz w:val="24"/>
          <w:szCs w:val="24"/>
          <w:lang w:val="en-US"/>
        </w:rPr>
        <w:t xml:space="preserve">. Genotype imputation has been widely used in the studies of the genetic architecture of </w:t>
      </w:r>
      <w:r w:rsidR="008169F5" w:rsidRPr="00AE5088">
        <w:rPr>
          <w:rFonts w:ascii="Book Antiqua" w:hAnsi="Book Antiqua" w:cs="Times New Roman"/>
          <w:sz w:val="24"/>
          <w:szCs w:val="24"/>
          <w:lang w:val="en-US"/>
        </w:rPr>
        <w:t>T2</w:t>
      </w:r>
      <w:proofErr w:type="gramStart"/>
      <w:r w:rsidR="008169F5"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44]</w:t>
      </w:r>
      <w:r w:rsidRPr="00AE5088">
        <w:rPr>
          <w:rFonts w:ascii="Book Antiqua" w:hAnsi="Book Antiqua" w:cs="Times New Roman"/>
          <w:sz w:val="24"/>
          <w:szCs w:val="24"/>
          <w:lang w:val="en-US"/>
        </w:rPr>
        <w:t xml:space="preserve">. An interesting example is a 2014 study of Icelandic </w:t>
      </w:r>
      <w:proofErr w:type="gramStart"/>
      <w:r w:rsidRPr="00AE5088">
        <w:rPr>
          <w:rFonts w:ascii="Book Antiqua" w:hAnsi="Book Antiqua" w:cs="Times New Roman"/>
          <w:sz w:val="24"/>
          <w:szCs w:val="24"/>
          <w:lang w:val="en-US"/>
        </w:rPr>
        <w:t>population</w:t>
      </w:r>
      <w:r w:rsidRPr="001B3AEA">
        <w:rPr>
          <w:rFonts w:ascii="Book Antiqua" w:hAnsi="Book Antiqua" w:cs="Times New Roman"/>
          <w:sz w:val="24"/>
          <w:szCs w:val="24"/>
          <w:vertAlign w:val="superscript"/>
          <w:lang w:val="en-US"/>
        </w:rPr>
        <w:t>[</w:t>
      </w:r>
      <w:proofErr w:type="gramEnd"/>
      <w:r w:rsidRPr="001B3AEA">
        <w:rPr>
          <w:rFonts w:ascii="Book Antiqua" w:hAnsi="Book Antiqua" w:cs="Times New Roman"/>
          <w:sz w:val="24"/>
          <w:szCs w:val="24"/>
          <w:vertAlign w:val="superscript"/>
          <w:lang w:val="en-US"/>
        </w:rPr>
        <w:t>45]</w:t>
      </w:r>
      <w:r w:rsidRPr="00AE5088">
        <w:rPr>
          <w:rFonts w:ascii="Book Antiqua" w:hAnsi="Book Antiqua" w:cs="Times New Roman"/>
          <w:sz w:val="24"/>
          <w:szCs w:val="24"/>
          <w:lang w:val="en-US"/>
        </w:rPr>
        <w:t xml:space="preserve">. In this work, whole-genome sequencing study of a cohort of 2630 Icelanders was performed; and the identified SNPs and indels were imputed into 98721 controls and T2D patients genotyped with Illumina SNP chips. As a result of this study a rare variant in </w:t>
      </w:r>
      <w:r w:rsidRPr="00AE5088">
        <w:rPr>
          <w:rFonts w:ascii="Book Antiqua" w:hAnsi="Book Antiqua" w:cs="Times New Roman"/>
          <w:i/>
          <w:sz w:val="24"/>
          <w:szCs w:val="24"/>
          <w:lang w:val="en-US"/>
        </w:rPr>
        <w:t xml:space="preserve">HNF1A </w:t>
      </w:r>
      <w:r w:rsidRPr="00AE5088">
        <w:rPr>
          <w:rFonts w:ascii="Book Antiqua" w:hAnsi="Book Antiqua" w:cs="Times New Roman"/>
          <w:sz w:val="24"/>
          <w:szCs w:val="24"/>
          <w:lang w:val="en-US"/>
        </w:rPr>
        <w:t xml:space="preserve">gene, encoding for a transcription factor required for the expression of several liver-specific genes was identified. Moreover, a new signal with association </w:t>
      </w:r>
      <w:r w:rsidR="001B3AEA" w:rsidRPr="001B3AEA">
        <w:rPr>
          <w:rFonts w:ascii="Book Antiqua" w:hAnsi="Book Antiqua" w:cs="Times New Roman"/>
          <w:i/>
          <w:sz w:val="24"/>
          <w:szCs w:val="24"/>
          <w:lang w:val="en-US"/>
        </w:rPr>
        <w:t>P</w:t>
      </w:r>
      <w:r w:rsidRPr="00AE5088">
        <w:rPr>
          <w:rFonts w:ascii="Book Antiqua" w:hAnsi="Book Antiqua" w:cs="Times New Roman"/>
          <w:sz w:val="24"/>
          <w:szCs w:val="24"/>
          <w:lang w:val="en-US"/>
        </w:rPr>
        <w:t xml:space="preserve"> &lt; 1 × 10</w:t>
      </w:r>
      <w:r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lang w:val="en-US"/>
        </w:rPr>
        <w:t xml:space="preserve"> at rs76895963, located within the first intron of cyclin D2 (</w:t>
      </w:r>
      <w:r w:rsidRPr="00AE5088">
        <w:rPr>
          <w:rFonts w:ascii="Book Antiqua" w:hAnsi="Book Antiqua" w:cs="Times New Roman"/>
          <w:i/>
          <w:sz w:val="24"/>
          <w:szCs w:val="24"/>
          <w:lang w:val="en-US"/>
        </w:rPr>
        <w:t>CCND2</w:t>
      </w:r>
      <w:r w:rsidRPr="00AE5088">
        <w:rPr>
          <w:rFonts w:ascii="Book Antiqua" w:hAnsi="Book Antiqua" w:cs="Times New Roman"/>
          <w:sz w:val="24"/>
          <w:szCs w:val="24"/>
          <w:lang w:val="en-US"/>
        </w:rPr>
        <w:t xml:space="preserve">) was </w:t>
      </w:r>
      <w:proofErr w:type="gramStart"/>
      <w:r w:rsidRPr="00AE5088">
        <w:rPr>
          <w:rFonts w:ascii="Book Antiqua" w:hAnsi="Book Antiqua" w:cs="Times New Roman"/>
          <w:sz w:val="24"/>
          <w:szCs w:val="24"/>
          <w:lang w:val="en-US"/>
        </w:rPr>
        <w:t>observed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45]</w:t>
      </w:r>
      <w:r w:rsidRPr="00AE5088">
        <w:rPr>
          <w:rFonts w:ascii="Book Antiqua" w:hAnsi="Book Antiqua" w:cs="Times New Roman"/>
          <w:sz w:val="24"/>
          <w:szCs w:val="24"/>
          <w:lang w:val="en-US"/>
        </w:rPr>
        <w:t xml:space="preserve">. Two of the most recent and comprehensive research efforts aimed at fine mapping of association signal using imputation and islet-specific epigenome maps identified multiple previously unreported loci for T2D, including </w:t>
      </w:r>
      <w:r w:rsidRPr="00AE5088">
        <w:rPr>
          <w:rFonts w:ascii="Book Antiqua" w:hAnsi="Book Antiqua" w:cs="Times New Roman"/>
          <w:i/>
          <w:iCs/>
          <w:sz w:val="24"/>
          <w:szCs w:val="24"/>
          <w:lang w:val="en-US"/>
        </w:rPr>
        <w:t>PNPLA3, LPL, TPCN2</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 xml:space="preserve">DENND2C, </w:t>
      </w:r>
      <w:r w:rsidRPr="00AE5088">
        <w:rPr>
          <w:rFonts w:ascii="Book Antiqua" w:hAnsi="Book Antiqua" w:cs="Times New Roman"/>
          <w:sz w:val="24"/>
          <w:szCs w:val="24"/>
          <w:lang w:val="en-US"/>
        </w:rPr>
        <w:t xml:space="preserve">and </w:t>
      </w:r>
      <w:r w:rsidRPr="00AE5088">
        <w:rPr>
          <w:rFonts w:ascii="Book Antiqua" w:hAnsi="Book Antiqua" w:cs="Times New Roman"/>
          <w:i/>
          <w:iCs/>
          <w:sz w:val="24"/>
          <w:szCs w:val="24"/>
          <w:lang w:val="en-US"/>
        </w:rPr>
        <w:t>KIF2B</w:t>
      </w:r>
      <w:r w:rsidR="00D14E6D" w:rsidRPr="00AE5088">
        <w:rPr>
          <w:rFonts w:ascii="Book Antiqua" w:hAnsi="Book Antiqua" w:cs="Times New Roman"/>
          <w:sz w:val="24"/>
          <w:szCs w:val="24"/>
          <w:vertAlign w:val="superscript"/>
          <w:lang w:val="en-US"/>
        </w:rPr>
        <w:t>[46,47]</w:t>
      </w:r>
      <w:r w:rsidRPr="00AE5088">
        <w:rPr>
          <w:rFonts w:ascii="Book Antiqua" w:hAnsi="Book Antiqua" w:cs="Times New Roman"/>
          <w:sz w:val="24"/>
          <w:szCs w:val="24"/>
          <w:lang w:val="en-US"/>
        </w:rPr>
        <w:t xml:space="preserve">. Apart from using NGS datasets for rare variant imputation, different approaches based on combined SNP and exome chip methods have been developed, enhancing the power of imputation-based </w:t>
      </w:r>
      <w:proofErr w:type="gramStart"/>
      <w:r w:rsidRPr="00AE5088">
        <w:rPr>
          <w:rFonts w:ascii="Book Antiqua" w:hAnsi="Book Antiqua" w:cs="Times New Roman"/>
          <w:sz w:val="24"/>
          <w:szCs w:val="24"/>
          <w:lang w:val="en-US"/>
        </w:rPr>
        <w:t>analyses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48]</w:t>
      </w:r>
      <w:r w:rsidRPr="00AE5088">
        <w:rPr>
          <w:rFonts w:ascii="Book Antiqua" w:hAnsi="Book Antiqua" w:cs="Times New Roman"/>
          <w:sz w:val="24"/>
          <w:szCs w:val="24"/>
          <w:lang w:val="en-US"/>
        </w:rPr>
        <w:t>.</w:t>
      </w:r>
    </w:p>
    <w:p w14:paraId="7176D1BA" w14:textId="77777777" w:rsidR="005F58AF" w:rsidRPr="00AE5088" w:rsidRDefault="005F58AF" w:rsidP="005232A1">
      <w:pPr>
        <w:spacing w:after="0" w:line="360" w:lineRule="auto"/>
        <w:jc w:val="both"/>
        <w:rPr>
          <w:rFonts w:ascii="Book Antiqua" w:hAnsi="Book Antiqua" w:cs="Times New Roman"/>
          <w:b/>
          <w:i/>
          <w:sz w:val="24"/>
          <w:szCs w:val="24"/>
          <w:lang w:val="en-US"/>
        </w:rPr>
      </w:pPr>
    </w:p>
    <w:p w14:paraId="480AD5CC" w14:textId="42FF9168" w:rsidR="005F58AF" w:rsidRPr="001B3AEA"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b/>
          <w:i/>
          <w:sz w:val="24"/>
          <w:szCs w:val="24"/>
          <w:lang w:val="en-US"/>
        </w:rPr>
        <w:t>Association of single rare variants with T2D in NGS-based studies</w:t>
      </w:r>
      <w:bookmarkEnd w:id="0"/>
    </w:p>
    <w:p w14:paraId="62B8CB00" w14:textId="77777777"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As previously stated, many new genetic associations relevant to T2D have been revealed by GWASs, but these findings represent common and mid-frequency genetic variants with small effect sizes and explain only a small proportion of heritability of the disease. Sequencing approach enables more complete assessments of low-frequency and rare genetic variants that can be promising in investigation of complex traits.</w:t>
      </w:r>
    </w:p>
    <w:p w14:paraId="66509B4F" w14:textId="369AA610"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Many published studies have focused on identification of T2D susceptibility loci from NGS data. In Danish study, the exomes of 1974 Danes were sequenced to a depth of 8</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and subsequently a two-stage follow-up in 15989 Danes and in a further 63896 Europeans were performed. A low-frequency coding variant in </w:t>
      </w:r>
      <w:r w:rsidRPr="00AE5088">
        <w:rPr>
          <w:rStyle w:val="Emphasis"/>
          <w:rFonts w:ascii="Book Antiqua" w:hAnsi="Book Antiqua" w:cs="Times New Roman"/>
          <w:sz w:val="24"/>
          <w:szCs w:val="24"/>
          <w:lang w:val="en-US"/>
        </w:rPr>
        <w:t>CD300LG</w:t>
      </w:r>
      <w:r w:rsidRPr="00AE5088">
        <w:rPr>
          <w:rFonts w:ascii="Book Antiqua" w:hAnsi="Book Antiqua" w:cs="Times New Roman"/>
          <w:sz w:val="24"/>
          <w:szCs w:val="24"/>
          <w:lang w:val="en-US"/>
        </w:rPr>
        <w:t> associated with fasting HDL-cholesterol and two common coding variants in </w:t>
      </w:r>
      <w:r w:rsidRPr="00AE5088">
        <w:rPr>
          <w:rStyle w:val="Emphasis"/>
          <w:rFonts w:ascii="Book Antiqua" w:hAnsi="Book Antiqua" w:cs="Times New Roman"/>
          <w:sz w:val="24"/>
          <w:szCs w:val="24"/>
          <w:lang w:val="en-US"/>
        </w:rPr>
        <w:t>COBLL1</w:t>
      </w:r>
      <w:r w:rsidRPr="00AE5088">
        <w:rPr>
          <w:rFonts w:ascii="Book Antiqua" w:hAnsi="Book Antiqua" w:cs="Times New Roman"/>
          <w:sz w:val="24"/>
          <w:szCs w:val="24"/>
          <w:lang w:val="en-US"/>
        </w:rPr>
        <w:t> and </w:t>
      </w:r>
      <w:r w:rsidRPr="00AE5088">
        <w:rPr>
          <w:rStyle w:val="Emphasis"/>
          <w:rFonts w:ascii="Book Antiqua" w:hAnsi="Book Antiqua" w:cs="Times New Roman"/>
          <w:sz w:val="24"/>
          <w:szCs w:val="24"/>
          <w:lang w:val="en-US"/>
        </w:rPr>
        <w:t>MACF1</w:t>
      </w:r>
      <w:r w:rsidRPr="00AE5088">
        <w:rPr>
          <w:rFonts w:ascii="Book Antiqua" w:hAnsi="Book Antiqua" w:cs="Times New Roman"/>
          <w:sz w:val="24"/>
          <w:szCs w:val="24"/>
          <w:lang w:val="en-US"/>
        </w:rPr>
        <w:t xml:space="preserve"> have been shown to be associated with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vertAlign w:val="superscript"/>
          <w:lang w:val="en-US"/>
        </w:rPr>
        <w:t>[49]</w:t>
      </w:r>
      <w:r w:rsidRPr="00AE5088">
        <w:rPr>
          <w:rFonts w:ascii="Book Antiqua" w:hAnsi="Book Antiqua" w:cs="Times New Roman"/>
          <w:sz w:val="24"/>
          <w:szCs w:val="24"/>
          <w:lang w:val="en-US"/>
        </w:rPr>
        <w:t xml:space="preserve">. </w:t>
      </w:r>
      <w:bookmarkStart w:id="1" w:name="_Hlk1337168"/>
      <w:r w:rsidRPr="00AE5088">
        <w:rPr>
          <w:rStyle w:val="Emphasis"/>
          <w:rFonts w:ascii="Book Antiqua" w:hAnsi="Book Antiqua" w:cs="Times New Roman"/>
          <w:sz w:val="24"/>
          <w:szCs w:val="24"/>
          <w:lang w:val="en-US"/>
        </w:rPr>
        <w:t>CD300LG</w:t>
      </w:r>
      <w:r w:rsidRPr="00AE5088">
        <w:rPr>
          <w:rFonts w:ascii="Book Antiqua" w:hAnsi="Book Antiqua" w:cs="Times New Roman"/>
          <w:sz w:val="24"/>
          <w:szCs w:val="24"/>
          <w:lang w:val="en-US"/>
        </w:rPr>
        <w:t xml:space="preserve"> encodes a protein proposed to serve multiple functions, including endocytosis of various immunoglobulins and mediation of L-selectin-dependent lymphocyte </w:t>
      </w:r>
      <w:proofErr w:type="gramStart"/>
      <w:r w:rsidRPr="00AE5088">
        <w:rPr>
          <w:rFonts w:ascii="Book Antiqua" w:hAnsi="Book Antiqua" w:cs="Times New Roman"/>
          <w:sz w:val="24"/>
          <w:szCs w:val="24"/>
          <w:lang w:val="en-US"/>
        </w:rPr>
        <w:lastRenderedPageBreak/>
        <w:t>rolling</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50,51]</w:t>
      </w:r>
      <w:r w:rsidRPr="00AE5088">
        <w:rPr>
          <w:rFonts w:ascii="Book Antiqua" w:hAnsi="Book Antiqua" w:cs="Times New Roman"/>
          <w:sz w:val="24"/>
          <w:szCs w:val="24"/>
          <w:lang w:val="en-US"/>
        </w:rPr>
        <w:t xml:space="preserve">. Non-coding SNPs in </w:t>
      </w:r>
      <w:r w:rsidRPr="00AE5088">
        <w:rPr>
          <w:rStyle w:val="Emphasis"/>
          <w:rFonts w:ascii="Book Antiqua" w:hAnsi="Book Antiqua" w:cs="Times New Roman"/>
          <w:sz w:val="24"/>
          <w:szCs w:val="24"/>
          <w:lang w:val="en-US"/>
        </w:rPr>
        <w:t>COBLL1</w:t>
      </w:r>
      <w:r w:rsidRPr="00AE5088">
        <w:rPr>
          <w:rFonts w:ascii="Book Antiqua" w:hAnsi="Book Antiqua" w:cs="Times New Roman"/>
          <w:sz w:val="24"/>
          <w:szCs w:val="24"/>
          <w:lang w:val="en-US"/>
        </w:rPr>
        <w:t> and </w:t>
      </w:r>
      <w:r w:rsidRPr="00AE5088">
        <w:rPr>
          <w:rStyle w:val="Emphasis"/>
          <w:rFonts w:ascii="Book Antiqua" w:hAnsi="Book Antiqua" w:cs="Times New Roman"/>
          <w:sz w:val="24"/>
          <w:szCs w:val="24"/>
          <w:lang w:val="en-US"/>
        </w:rPr>
        <w:t>MACF1</w:t>
      </w:r>
      <w:r w:rsidRPr="00AE5088">
        <w:rPr>
          <w:rFonts w:ascii="Book Antiqua" w:hAnsi="Book Antiqua" w:cs="Times New Roman"/>
          <w:sz w:val="24"/>
          <w:szCs w:val="24"/>
          <w:lang w:val="en-US"/>
        </w:rPr>
        <w:t xml:space="preserve"> have previously been associated with other metabolic </w:t>
      </w:r>
      <w:proofErr w:type="gramStart"/>
      <w:r w:rsidRPr="00AE5088">
        <w:rPr>
          <w:rFonts w:ascii="Book Antiqua" w:hAnsi="Book Antiqua" w:cs="Times New Roman"/>
          <w:sz w:val="24"/>
          <w:szCs w:val="24"/>
          <w:lang w:val="en-US"/>
        </w:rPr>
        <w:t>phenotypes</w:t>
      </w:r>
      <w:bookmarkEnd w:id="1"/>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52-54]</w:t>
      </w:r>
      <w:r w:rsidRPr="00AE5088">
        <w:rPr>
          <w:rFonts w:ascii="Book Antiqua" w:hAnsi="Book Antiqua" w:cs="Times New Roman"/>
          <w:sz w:val="24"/>
          <w:szCs w:val="24"/>
          <w:lang w:val="en-US"/>
        </w:rPr>
        <w:t xml:space="preserve">. </w:t>
      </w:r>
    </w:p>
    <w:p w14:paraId="1E6FEF14" w14:textId="1EBBA82F" w:rsidR="005F58AF" w:rsidRPr="001B3AEA" w:rsidRDefault="006E31AF" w:rsidP="005232A1">
      <w:pPr>
        <w:spacing w:after="0" w:line="360" w:lineRule="auto"/>
        <w:ind w:firstLineChars="100" w:firstLine="240"/>
        <w:jc w:val="both"/>
        <w:rPr>
          <w:rFonts w:ascii="Book Antiqua" w:hAnsi="Book Antiqua" w:cs="Times New Roman"/>
          <w:b/>
          <w:sz w:val="24"/>
          <w:szCs w:val="24"/>
          <w:lang w:val="en-US"/>
        </w:rPr>
      </w:pPr>
      <w:r w:rsidRPr="00AE5088">
        <w:rPr>
          <w:rFonts w:ascii="Book Antiqua" w:hAnsi="Book Antiqua" w:cs="Times New Roman"/>
          <w:sz w:val="24"/>
          <w:szCs w:val="24"/>
          <w:lang w:val="en-US"/>
        </w:rPr>
        <w:t xml:space="preserve">To investigate the hypothesis of </w:t>
      </w:r>
      <w:r w:rsidR="001B3AEA">
        <w:rPr>
          <w:rFonts w:ascii="Book Antiqua" w:hAnsi="Book Antiqua" w:cs="Times New Roman"/>
          <w:sz w:val="24"/>
          <w:szCs w:val="24"/>
          <w:lang w:val="en-US"/>
        </w:rPr>
        <w:t>“</w:t>
      </w:r>
      <w:r w:rsidRPr="00AE5088">
        <w:rPr>
          <w:rFonts w:ascii="Book Antiqua" w:hAnsi="Book Antiqua" w:cs="Times New Roman"/>
          <w:sz w:val="24"/>
          <w:szCs w:val="24"/>
          <w:lang w:val="en-US"/>
        </w:rPr>
        <w:t>missing heritability</w:t>
      </w:r>
      <w:r w:rsidR="001B3AEA">
        <w:rPr>
          <w:rFonts w:ascii="Book Antiqua" w:hAnsi="Book Antiqua" w:cs="Times New Roman"/>
          <w:sz w:val="24"/>
          <w:szCs w:val="24"/>
          <w:lang w:val="en-US"/>
        </w:rPr>
        <w:t>”</w:t>
      </w:r>
      <w:r w:rsidRPr="00AE5088">
        <w:rPr>
          <w:rFonts w:ascii="Book Antiqua" w:hAnsi="Book Antiqua" w:cs="Times New Roman"/>
          <w:sz w:val="24"/>
          <w:szCs w:val="24"/>
          <w:lang w:val="en-US"/>
        </w:rPr>
        <w:t>,</w:t>
      </w:r>
      <w:r w:rsidR="00D83A36"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the </w:t>
      </w:r>
      <w:r w:rsidR="00BE1851" w:rsidRPr="00AE5088">
        <w:rPr>
          <w:rFonts w:ascii="Book Antiqua" w:hAnsi="Book Antiqua" w:cs="Times New Roman"/>
          <w:sz w:val="24"/>
          <w:szCs w:val="24"/>
          <w:lang w:val="en-US"/>
        </w:rPr>
        <w:t>Genetics of Type 2 Diabetes and Type 2 Diabetes Genetic Exploration by Next-generation sequencing in multi-Ethnic Samples Consortium (</w:t>
      </w:r>
      <w:r w:rsidRPr="00AE5088">
        <w:rPr>
          <w:rFonts w:ascii="Book Antiqua" w:hAnsi="Book Antiqua" w:cs="Times New Roman"/>
          <w:sz w:val="24"/>
          <w:szCs w:val="24"/>
          <w:lang w:val="en-US"/>
        </w:rPr>
        <w:t>GoT2D/T2D-GENES Consortium</w:t>
      </w:r>
      <w:r w:rsidR="00BE1851"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undertook whole genome sequencing in 2657 Europeans with and without diabetes, and exome sequencing in a total of 12940 subjects from five ancestral groups. Results of this study showed that the variants associated with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were overwhelmingly common and most located within regions previously identified by GWAS. A few coding variant associations outside established common variant GWAS regions have been identified (rs41278853 in </w:t>
      </w:r>
      <w:r w:rsidRPr="00AE5088">
        <w:rPr>
          <w:rStyle w:val="Emphasis"/>
          <w:rFonts w:ascii="Book Antiqua" w:hAnsi="Book Antiqua" w:cs="Times New Roman"/>
          <w:sz w:val="24"/>
          <w:szCs w:val="24"/>
          <w:lang w:val="en-US"/>
        </w:rPr>
        <w:t xml:space="preserve">MTMR3 </w:t>
      </w:r>
      <w:r w:rsidRPr="00AE5088">
        <w:rPr>
          <w:rStyle w:val="Emphasis"/>
          <w:rFonts w:ascii="Book Antiqua" w:hAnsi="Book Antiqua" w:cs="Times New Roman"/>
          <w:i w:val="0"/>
          <w:sz w:val="24"/>
          <w:szCs w:val="24"/>
          <w:lang w:val="en-US"/>
        </w:rPr>
        <w:t>gene; rs</w:t>
      </w:r>
      <w:r w:rsidRPr="00AE5088">
        <w:rPr>
          <w:rFonts w:ascii="Book Antiqua" w:hAnsi="Book Antiqua" w:cs="Times New Roman"/>
          <w:sz w:val="24"/>
          <w:szCs w:val="24"/>
          <w:lang w:val="en-US"/>
        </w:rPr>
        <w:t xml:space="preserve">11549795, rs28265, rs36571 in </w:t>
      </w:r>
      <w:r w:rsidRPr="00AE5088">
        <w:rPr>
          <w:rFonts w:ascii="Book Antiqua" w:hAnsi="Book Antiqua" w:cs="Times New Roman"/>
          <w:i/>
          <w:sz w:val="24"/>
          <w:szCs w:val="24"/>
          <w:lang w:val="en-US"/>
        </w:rPr>
        <w:t>ASCC2</w:t>
      </w:r>
      <w:r w:rsidRPr="00AE5088">
        <w:rPr>
          <w:rFonts w:ascii="Book Antiqua" w:hAnsi="Book Antiqua" w:cs="Times New Roman"/>
          <w:sz w:val="24"/>
          <w:szCs w:val="24"/>
          <w:lang w:val="en-US"/>
        </w:rPr>
        <w:t xml:space="preserve"> gene). A coding variant reached genome-wide significance that was common in East Asian ancestry population (</w:t>
      </w:r>
      <w:r w:rsidRPr="00AE5088">
        <w:rPr>
          <w:rFonts w:ascii="Book Antiqua" w:hAnsi="Book Antiqua" w:cs="Times New Roman"/>
          <w:i/>
          <w:sz w:val="24"/>
          <w:szCs w:val="24"/>
          <w:lang w:val="en-US"/>
        </w:rPr>
        <w:t>PAX4</w:t>
      </w:r>
      <w:r w:rsidRPr="00AE5088">
        <w:rPr>
          <w:rFonts w:ascii="Book Antiqua" w:hAnsi="Book Antiqua" w:cs="Times New Roman"/>
          <w:sz w:val="24"/>
          <w:szCs w:val="24"/>
          <w:lang w:val="en-US"/>
        </w:rPr>
        <w:t xml:space="preserve"> Arg192His, rs</w:t>
      </w:r>
      <w:proofErr w:type="gramStart"/>
      <w:r w:rsidRPr="00AE5088">
        <w:rPr>
          <w:rFonts w:ascii="Book Antiqua" w:hAnsi="Book Antiqua" w:cs="Times New Roman"/>
          <w:sz w:val="24"/>
          <w:szCs w:val="24"/>
          <w:lang w:val="en-US"/>
        </w:rPr>
        <w:t>2233580)</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55]</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PAX4</w:t>
      </w:r>
      <w:r w:rsidRPr="00AE5088">
        <w:rPr>
          <w:rFonts w:ascii="Book Antiqua" w:hAnsi="Book Antiqua" w:cs="Times New Roman"/>
          <w:sz w:val="24"/>
          <w:szCs w:val="24"/>
          <w:lang w:val="en-US"/>
        </w:rPr>
        <w:t xml:space="preserve"> gene encodes a transcription factor involved in islet differentiation and function. Some </w:t>
      </w:r>
      <w:r w:rsidRPr="00AE5088">
        <w:rPr>
          <w:rFonts w:ascii="Book Antiqua" w:hAnsi="Book Antiqua" w:cs="Times New Roman"/>
          <w:i/>
          <w:sz w:val="24"/>
          <w:szCs w:val="24"/>
          <w:lang w:val="en-US"/>
        </w:rPr>
        <w:t>PAX4</w:t>
      </w:r>
      <w:r w:rsidRPr="00AE5088">
        <w:rPr>
          <w:rFonts w:ascii="Book Antiqua" w:hAnsi="Book Antiqua" w:cs="Times New Roman"/>
          <w:sz w:val="24"/>
          <w:szCs w:val="24"/>
          <w:lang w:val="en-US"/>
        </w:rPr>
        <w:t xml:space="preserve"> variants have been associated with early-onset monogenic </w:t>
      </w:r>
      <w:proofErr w:type="gramStart"/>
      <w:r w:rsidRPr="00AE5088">
        <w:rPr>
          <w:rFonts w:ascii="Book Antiqua" w:hAnsi="Book Antiqua" w:cs="Times New Roman"/>
          <w:sz w:val="24"/>
          <w:szCs w:val="24"/>
          <w:lang w:val="en-US"/>
        </w:rPr>
        <w:t>diabetes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56,57]</w:t>
      </w:r>
      <w:r w:rsidRPr="00AE5088">
        <w:rPr>
          <w:rFonts w:ascii="Book Antiqua" w:hAnsi="Book Antiqua" w:cs="Times New Roman"/>
          <w:sz w:val="24"/>
          <w:szCs w:val="24"/>
          <w:lang w:val="en-US"/>
        </w:rPr>
        <w:t>.</w:t>
      </w:r>
      <w:r w:rsidRPr="00AE5088">
        <w:rPr>
          <w:rFonts w:ascii="Book Antiqua" w:hAnsi="Book Antiqua" w:cs="Times New Roman"/>
          <w:sz w:val="24"/>
          <w:szCs w:val="24"/>
          <w:lang w:val="en-US"/>
        </w:rPr>
        <w:br/>
      </w:r>
      <w:r w:rsidRPr="00AE5088">
        <w:rPr>
          <w:rFonts w:ascii="Book Antiqua" w:hAnsi="Book Antiqua" w:cs="Times New Roman"/>
          <w:sz w:val="24"/>
          <w:szCs w:val="24"/>
          <w:lang w:val="en-US"/>
        </w:rPr>
        <w:br/>
      </w:r>
      <w:bookmarkStart w:id="2" w:name="_Hlk1337611"/>
      <w:r w:rsidRPr="00AE5088">
        <w:rPr>
          <w:rFonts w:ascii="Book Antiqua" w:hAnsi="Book Antiqua" w:cs="Times New Roman"/>
          <w:b/>
          <w:i/>
          <w:sz w:val="24"/>
          <w:szCs w:val="24"/>
          <w:lang w:val="en-US"/>
        </w:rPr>
        <w:t>Specific statistical approaches for rare variant associations on NGS data</w:t>
      </w:r>
      <w:bookmarkEnd w:id="2"/>
    </w:p>
    <w:p w14:paraId="4733867E" w14:textId="5B483E55"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Despite decreasing costs of NGS-based analyses, there still remain certain notable </w:t>
      </w:r>
      <w:r w:rsidR="00DF658F" w:rsidRPr="00AE5088">
        <w:rPr>
          <w:rFonts w:ascii="Book Antiqua" w:hAnsi="Book Antiqua" w:cs="Times New Roman"/>
          <w:sz w:val="24"/>
          <w:szCs w:val="24"/>
          <w:lang w:val="en-US"/>
        </w:rPr>
        <w:t>limitations</w:t>
      </w:r>
      <w:r w:rsidRPr="00AE5088">
        <w:rPr>
          <w:rFonts w:ascii="Book Antiqua" w:hAnsi="Book Antiqua" w:cs="Times New Roman"/>
          <w:sz w:val="24"/>
          <w:szCs w:val="24"/>
          <w:lang w:val="en-US"/>
        </w:rPr>
        <w:t xml:space="preserve"> of such studies. The most evident limitation of all the rare variant-based tests on both whole-genome and imputed SNP array datasets is the difficulty of obtaining enough observations to make confident statistical inference. For example, if a causal variant occurs at a rate of 10</w:t>
      </w:r>
      <w:r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lang w:val="en-US"/>
        </w:rPr>
        <w:t xml:space="preserve"> in a population, one would require many hundreds of thousands of individuals to test its association with the disease. To allow testing for the association of rare variants, especially in smaller samples, a group of techniques were developed, called Rare Variant Association tests. Most of rare-variant tests are designed to identify candidate disease genes through aggregation of all rare variants inside the coding sequence of each gene. Numerous strategies for gene-level testing of rare-variant association have been </w:t>
      </w:r>
      <w:proofErr w:type="gramStart"/>
      <w:r w:rsidRPr="00AE5088">
        <w:rPr>
          <w:rFonts w:ascii="Book Antiqua" w:hAnsi="Book Antiqua" w:cs="Times New Roman"/>
          <w:sz w:val="24"/>
          <w:szCs w:val="24"/>
          <w:lang w:val="en-US"/>
        </w:rPr>
        <w:t>developed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58]</w:t>
      </w:r>
      <w:r w:rsidRPr="00AE5088">
        <w:rPr>
          <w:rFonts w:ascii="Book Antiqua" w:hAnsi="Book Antiqua" w:cs="Times New Roman"/>
          <w:sz w:val="24"/>
          <w:szCs w:val="24"/>
          <w:lang w:val="en-US"/>
        </w:rPr>
        <w:t>. The two main groups of such methods test either the imbalance of rare allele counts between cases and contro</w:t>
      </w:r>
      <w:r w:rsidR="00DF658F" w:rsidRPr="00AE5088">
        <w:rPr>
          <w:rFonts w:ascii="Book Antiqua" w:hAnsi="Book Antiqua" w:cs="Times New Roman"/>
          <w:sz w:val="24"/>
          <w:szCs w:val="24"/>
          <w:lang w:val="en-US"/>
        </w:rPr>
        <w:t>l</w:t>
      </w:r>
      <w:r w:rsidRPr="00AE5088">
        <w:rPr>
          <w:rFonts w:ascii="Book Antiqua" w:hAnsi="Book Antiqua" w:cs="Times New Roman"/>
          <w:sz w:val="24"/>
          <w:szCs w:val="24"/>
          <w:lang w:val="en-US"/>
        </w:rPr>
        <w:t xml:space="preserve">s (burden tests) or the proportion of phenotypic variance explained by rare variant genotypes (variance-component tests). However,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almost few significant gene-level associations have been found even in the largest NGS-based population </w:t>
      </w:r>
      <w:proofErr w:type="gramStart"/>
      <w:r w:rsidRPr="00AE5088">
        <w:rPr>
          <w:rFonts w:ascii="Book Antiqua" w:hAnsi="Book Antiqua" w:cs="Times New Roman"/>
          <w:sz w:val="24"/>
          <w:szCs w:val="24"/>
          <w:lang w:val="en-US"/>
        </w:rPr>
        <w:lastRenderedPageBreak/>
        <w:t>cohorts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55,59]</w:t>
      </w:r>
      <w:r w:rsidRPr="00AE5088">
        <w:rPr>
          <w:rFonts w:ascii="Book Antiqua" w:hAnsi="Book Antiqua" w:cs="Times New Roman"/>
          <w:sz w:val="24"/>
          <w:szCs w:val="24"/>
          <w:lang w:val="en-US"/>
        </w:rPr>
        <w:t>. Only the largest study performed by whole-exome sequencing to date, which included 20791 T2D cases and 24440 controls of multiple ancestries (Hispanic/Latino, European, African-American, East-Asian, South-Asian), identified several gene-level associations: in 3 genes at exome-wide significance, including a T2D protective series of &gt;</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30 </w:t>
      </w:r>
      <w:r w:rsidRPr="00AE5088">
        <w:rPr>
          <w:rFonts w:ascii="Book Antiqua" w:hAnsi="Book Antiqua" w:cs="Times New Roman"/>
          <w:i/>
          <w:sz w:val="24"/>
          <w:szCs w:val="24"/>
          <w:lang w:val="en-US"/>
        </w:rPr>
        <w:t>SLC30A8</w:t>
      </w:r>
      <w:r w:rsidRPr="00AE5088">
        <w:rPr>
          <w:rFonts w:ascii="Book Antiqua" w:hAnsi="Book Antiqua" w:cs="Times New Roman"/>
          <w:sz w:val="24"/>
          <w:szCs w:val="24"/>
          <w:lang w:val="en-US"/>
        </w:rPr>
        <w:t xml:space="preserve"> alleles, and within 12 gene sets, including those corresponding to T2D drug targets and candidate genes from knockout mice. The strongest T2D rare variant gene-level signals was shown to explain at most 25% of the heritability of the strongest common single variant </w:t>
      </w:r>
      <w:proofErr w:type="gramStart"/>
      <w:r w:rsidRPr="00AE5088">
        <w:rPr>
          <w:rFonts w:ascii="Book Antiqua" w:hAnsi="Book Antiqua" w:cs="Times New Roman"/>
          <w:sz w:val="24"/>
          <w:szCs w:val="24"/>
          <w:lang w:val="en-US"/>
        </w:rPr>
        <w:t>signals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60]</w:t>
      </w:r>
      <w:r w:rsidRPr="00AE5088">
        <w:rPr>
          <w:rFonts w:ascii="Book Antiqua" w:hAnsi="Book Antiqua" w:cs="Times New Roman"/>
          <w:sz w:val="24"/>
          <w:szCs w:val="24"/>
          <w:lang w:val="en-US"/>
        </w:rPr>
        <w:t>.</w:t>
      </w:r>
    </w:p>
    <w:p w14:paraId="61712BAE" w14:textId="3405FACE" w:rsidR="00D83A36"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Several alternative techniques have been developed to overcome the limitations of rare variant testing. In samples of limited size based on exome sequencing or targeted resequencing, contribution of rare variants might be assessed using tests for case-specificity conditioned on true population minor allele </w:t>
      </w:r>
      <w:proofErr w:type="gramStart"/>
      <w:r w:rsidRPr="00AE5088">
        <w:rPr>
          <w:rFonts w:ascii="Book Antiqua" w:hAnsi="Book Antiqua" w:cs="Times New Roman"/>
          <w:sz w:val="24"/>
          <w:szCs w:val="24"/>
          <w:lang w:val="en-US"/>
        </w:rPr>
        <w:t>frequency</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61]</w:t>
      </w:r>
      <w:r w:rsidRPr="00AE5088">
        <w:rPr>
          <w:rFonts w:ascii="Book Antiqua" w:hAnsi="Book Antiqua" w:cs="Times New Roman"/>
          <w:sz w:val="24"/>
          <w:szCs w:val="24"/>
          <w:lang w:val="en-US"/>
        </w:rPr>
        <w:t xml:space="preserve">. Such strategy may help to identify variants that serve as the candidate causal markers for the pathology. In a recent study by our group, we identified potential association for the </w:t>
      </w:r>
      <w:bookmarkStart w:id="3" w:name="_Hlk1337378"/>
      <w:r w:rsidRPr="00AE5088">
        <w:rPr>
          <w:rFonts w:ascii="Book Antiqua" w:hAnsi="Book Antiqua" w:cs="Times New Roman"/>
          <w:i/>
          <w:iCs/>
          <w:sz w:val="24"/>
          <w:szCs w:val="24"/>
          <w:lang w:val="en-US"/>
        </w:rPr>
        <w:t xml:space="preserve">VAV3, ADAMTS13, HBQ1, </w:t>
      </w:r>
      <w:r w:rsidRPr="00AE5088">
        <w:rPr>
          <w:rFonts w:ascii="Book Antiqua" w:hAnsi="Book Antiqua" w:cs="Times New Roman"/>
          <w:sz w:val="24"/>
          <w:szCs w:val="24"/>
          <w:lang w:val="en-US"/>
        </w:rPr>
        <w:t>and</w:t>
      </w:r>
      <w:r w:rsidRPr="00AE5088">
        <w:rPr>
          <w:rFonts w:ascii="Book Antiqua" w:hAnsi="Book Antiqua" w:cs="Times New Roman"/>
          <w:i/>
          <w:iCs/>
          <w:sz w:val="24"/>
          <w:szCs w:val="24"/>
          <w:lang w:val="en-US"/>
        </w:rPr>
        <w:t xml:space="preserve"> DBH</w:t>
      </w:r>
      <w:r w:rsidRPr="00AE5088">
        <w:rPr>
          <w:rFonts w:ascii="Book Antiqua" w:hAnsi="Book Antiqua" w:cs="Times New Roman"/>
          <w:sz w:val="24"/>
          <w:szCs w:val="24"/>
          <w:lang w:val="en-US"/>
        </w:rPr>
        <w:t xml:space="preserve"> genes with </w:t>
      </w:r>
      <w:bookmarkEnd w:id="3"/>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and obesity. While these genes have not been previously implicated in the disease, they are reasonable targets for further clinical investigation.</w:t>
      </w:r>
    </w:p>
    <w:p w14:paraId="1A085DEC" w14:textId="64738881" w:rsidR="00D83A36"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Another approach to counteract statistical power limitation of rare-variant based tests in small NGS-based datasets is the usage of pedigrees. The biggest advantage of familial studies is that cohorts of related individuals would have higher frequency of alleles that are rare in the general population. One recent example of pedigree-based analysis is a study of 20 Mexican-American families comprising 1034 highly related </w:t>
      </w:r>
      <w:proofErr w:type="gramStart"/>
      <w:r w:rsidRPr="00AE5088">
        <w:rPr>
          <w:rFonts w:ascii="Book Antiqua" w:hAnsi="Book Antiqua" w:cs="Times New Roman"/>
          <w:sz w:val="24"/>
          <w:szCs w:val="24"/>
          <w:lang w:val="en-US"/>
        </w:rPr>
        <w:t>individuals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62]</w:t>
      </w:r>
      <w:r w:rsidRPr="00AE5088">
        <w:rPr>
          <w:rFonts w:ascii="Book Antiqua" w:hAnsi="Book Antiqua" w:cs="Times New Roman"/>
          <w:sz w:val="24"/>
          <w:szCs w:val="24"/>
          <w:lang w:val="en-US"/>
        </w:rPr>
        <w:t xml:space="preserve">. </w:t>
      </w:r>
      <w:bookmarkStart w:id="4" w:name="_Hlk1337419"/>
      <w:r w:rsidRPr="00AE5088">
        <w:rPr>
          <w:rFonts w:ascii="Book Antiqua" w:hAnsi="Book Antiqua" w:cs="Times New Roman"/>
          <w:sz w:val="24"/>
          <w:szCs w:val="24"/>
          <w:lang w:val="en-US"/>
        </w:rPr>
        <w:t xml:space="preserve">While this study still did not identify any significant associations for individual rare variants, it has shown gene-level association for the </w:t>
      </w:r>
      <w:r w:rsidRPr="00AE5088">
        <w:rPr>
          <w:rFonts w:ascii="Book Antiqua" w:hAnsi="Book Antiqua" w:cs="Times New Roman"/>
          <w:i/>
          <w:iCs/>
          <w:sz w:val="24"/>
          <w:szCs w:val="24"/>
          <w:lang w:val="en-US"/>
        </w:rPr>
        <w:t>CYP3A4</w:t>
      </w:r>
      <w:r w:rsidRPr="00AE5088">
        <w:rPr>
          <w:rFonts w:ascii="Book Antiqua" w:hAnsi="Book Antiqua" w:cs="Times New Roman"/>
          <w:sz w:val="24"/>
          <w:szCs w:val="24"/>
          <w:lang w:val="en-US"/>
        </w:rPr>
        <w:t xml:space="preserve"> and </w:t>
      </w:r>
      <w:r w:rsidRPr="00AE5088">
        <w:rPr>
          <w:rFonts w:ascii="Book Antiqua" w:hAnsi="Book Antiqua" w:cs="Times New Roman"/>
          <w:i/>
          <w:iCs/>
          <w:sz w:val="24"/>
          <w:szCs w:val="24"/>
          <w:lang w:val="en-US"/>
        </w:rPr>
        <w:t>OR2T11</w:t>
      </w:r>
      <w:r w:rsidRPr="00AE5088">
        <w:rPr>
          <w:rFonts w:ascii="Book Antiqua" w:hAnsi="Book Antiqua" w:cs="Times New Roman"/>
          <w:sz w:val="24"/>
          <w:szCs w:val="24"/>
          <w:lang w:val="en-US"/>
        </w:rPr>
        <w:t xml:space="preserve"> genes with glycemic traits, such as fasting glucose levels and 2h insulin levels. </w:t>
      </w:r>
      <w:bookmarkEnd w:id="4"/>
    </w:p>
    <w:p w14:paraId="3F406A57" w14:textId="5F79A12C"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Overall, there are several ways in which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might be used to assist identification of causal genes and variants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pathology. These associations are of ultimate relevance for genomic risk prediction of T2D and clinical decision </w:t>
      </w:r>
      <w:proofErr w:type="gramStart"/>
      <w:r w:rsidRPr="00AE5088">
        <w:rPr>
          <w:rFonts w:ascii="Book Antiqua" w:hAnsi="Book Antiqua" w:cs="Times New Roman"/>
          <w:sz w:val="24"/>
          <w:szCs w:val="24"/>
          <w:lang w:val="en-US"/>
        </w:rPr>
        <w:t>making</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63]</w:t>
      </w:r>
      <w:r w:rsidRPr="00AE5088">
        <w:rPr>
          <w:rFonts w:ascii="Book Antiqua" w:hAnsi="Book Antiqua" w:cs="Times New Roman"/>
          <w:sz w:val="24"/>
          <w:szCs w:val="24"/>
          <w:lang w:val="en-US"/>
        </w:rPr>
        <w:t xml:space="preserve">. Some of the inherent limitation of the technology, however, still do not allow thorough analysis of chromosome- and genome-level genetic variation and/or complex genome regions that are poorly accessible to short read </w:t>
      </w:r>
      <w:proofErr w:type="gramStart"/>
      <w:r w:rsidRPr="00AE5088">
        <w:rPr>
          <w:rFonts w:ascii="Book Antiqua" w:hAnsi="Book Antiqua" w:cs="Times New Roman"/>
          <w:sz w:val="24"/>
          <w:szCs w:val="24"/>
          <w:lang w:val="en-US"/>
        </w:rPr>
        <w:t>sequencing</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64-66]</w:t>
      </w:r>
      <w:r w:rsidRPr="00AE5088">
        <w:rPr>
          <w:rFonts w:ascii="Book Antiqua" w:hAnsi="Book Antiqua" w:cs="Times New Roman"/>
          <w:sz w:val="24"/>
          <w:szCs w:val="24"/>
          <w:lang w:val="en-US"/>
        </w:rPr>
        <w:t xml:space="preserve">. The spread of third-generation sequencing technologies, such as the Oxford Nanopore Technologies single-molecule </w:t>
      </w:r>
      <w:r w:rsidRPr="00AE5088">
        <w:rPr>
          <w:rFonts w:ascii="Book Antiqua" w:hAnsi="Book Antiqua" w:cs="Times New Roman"/>
          <w:sz w:val="24"/>
          <w:szCs w:val="24"/>
          <w:lang w:val="en-US"/>
        </w:rPr>
        <w:lastRenderedPageBreak/>
        <w:t>sequencing, as well as modifications to the existing laboratory and/or bioinformatic practices would shed light on the roles of higher-level genetic variants in T2D pathology.</w:t>
      </w:r>
    </w:p>
    <w:p w14:paraId="1768EAF8" w14:textId="78902D4B" w:rsidR="005F58AF" w:rsidRPr="001B3AEA" w:rsidRDefault="006E31AF"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sz w:val="24"/>
          <w:szCs w:val="24"/>
          <w:lang w:val="en-US"/>
        </w:rPr>
        <w:br/>
      </w:r>
      <w:r w:rsidR="001B3AEA" w:rsidRPr="001B3AEA">
        <w:rPr>
          <w:rFonts w:ascii="Book Antiqua" w:hAnsi="Book Antiqua" w:cs="Times New Roman"/>
          <w:b/>
          <w:sz w:val="24"/>
          <w:szCs w:val="24"/>
          <w:lang w:val="en-US"/>
        </w:rPr>
        <w:t>NGS IN FUNCTIONAL GENOMIC STUDIES OF T2D</w:t>
      </w:r>
    </w:p>
    <w:p w14:paraId="2F0AF959" w14:textId="40A55FA7"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Apart from methods aimed at genotyping,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can also be used to dissect functional genome elements rather than sequence variants. NGS techniques for these purposes include transcriptional profiling approaches (RNA-Seq), epigenome mapping techniques (positional methods), and </w:t>
      </w:r>
      <w:proofErr w:type="gramStart"/>
      <w:r w:rsidRPr="00AE5088">
        <w:rPr>
          <w:rFonts w:ascii="Book Antiqua" w:hAnsi="Book Antiqua" w:cs="Times New Roman"/>
          <w:sz w:val="24"/>
          <w:szCs w:val="24"/>
          <w:lang w:val="en-US"/>
        </w:rPr>
        <w:t>other</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67,68]</w:t>
      </w:r>
      <w:r w:rsidRPr="00AE5088">
        <w:rPr>
          <w:rFonts w:ascii="Book Antiqua" w:hAnsi="Book Antiqua" w:cs="Times New Roman"/>
          <w:sz w:val="24"/>
          <w:szCs w:val="24"/>
          <w:lang w:val="en-US"/>
        </w:rPr>
        <w:t>. These methods are commonly used to both identify candidate disease genes and understand pathological mechanisms behind the observed phenotype. Below, we will provide several recent examples of application of these methods to the research of T2D</w:t>
      </w:r>
      <w:r w:rsidR="001B3AEA">
        <w:rPr>
          <w:rFonts w:ascii="Book Antiqua" w:hAnsi="Book Antiqua" w:cs="Times New Roman"/>
          <w:sz w:val="24"/>
          <w:szCs w:val="24"/>
          <w:lang w:val="en-US"/>
        </w:rPr>
        <w:t xml:space="preserve"> (Figure 1)</w:t>
      </w:r>
      <w:r w:rsidRPr="00AE5088">
        <w:rPr>
          <w:rFonts w:ascii="Book Antiqua" w:hAnsi="Book Antiqua" w:cs="Times New Roman"/>
          <w:sz w:val="24"/>
          <w:szCs w:val="24"/>
          <w:lang w:val="en-US"/>
        </w:rPr>
        <w:t>.</w:t>
      </w:r>
    </w:p>
    <w:p w14:paraId="5A3334CF" w14:textId="77777777" w:rsidR="00830487" w:rsidRPr="00AE5088" w:rsidRDefault="00830487" w:rsidP="005232A1">
      <w:pPr>
        <w:spacing w:after="0" w:line="360" w:lineRule="auto"/>
        <w:jc w:val="both"/>
        <w:rPr>
          <w:rFonts w:ascii="Book Antiqua" w:hAnsi="Book Antiqua" w:cs="Times New Roman"/>
          <w:sz w:val="24"/>
          <w:szCs w:val="24"/>
          <w:lang w:val="en-US"/>
        </w:rPr>
      </w:pPr>
    </w:p>
    <w:p w14:paraId="4BEF6F34" w14:textId="1305A6AD" w:rsidR="005F58AF" w:rsidRPr="001B3AEA" w:rsidRDefault="006E31AF" w:rsidP="005232A1">
      <w:pPr>
        <w:spacing w:after="0" w:line="360" w:lineRule="auto"/>
        <w:jc w:val="both"/>
        <w:rPr>
          <w:rFonts w:ascii="Book Antiqua" w:hAnsi="Book Antiqua" w:cs="Times New Roman"/>
          <w:b/>
          <w:i/>
          <w:sz w:val="24"/>
          <w:szCs w:val="24"/>
          <w:lang w:val="en-US"/>
        </w:rPr>
      </w:pPr>
      <w:bookmarkStart w:id="5" w:name="_Hlk1337539"/>
      <w:r w:rsidRPr="00AE5088">
        <w:rPr>
          <w:rFonts w:ascii="Book Antiqua" w:hAnsi="Book Antiqua" w:cs="Times New Roman"/>
          <w:b/>
          <w:i/>
          <w:sz w:val="24"/>
          <w:szCs w:val="24"/>
          <w:lang w:val="en-US"/>
        </w:rPr>
        <w:t>Transcriptional profiling of whole tissues and single cells by RNA-Seq</w:t>
      </w:r>
      <w:bookmarkEnd w:id="5"/>
    </w:p>
    <w:p w14:paraId="30FD66B4" w14:textId="3CEFBA95" w:rsidR="00EE6ADE"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Transcriptional profiling methods, such as RNA-Seq, are used to study activity patterns of genes. In the recent decade, transcriptomic technologies were frequently used to decipher the molecular pathology behind human </w:t>
      </w:r>
      <w:proofErr w:type="gramStart"/>
      <w:r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69]</w:t>
      </w:r>
      <w:r w:rsidRPr="00AE5088">
        <w:rPr>
          <w:rFonts w:ascii="Book Antiqua" w:hAnsi="Book Antiqua" w:cs="Times New Roman"/>
          <w:sz w:val="24"/>
          <w:szCs w:val="24"/>
          <w:lang w:val="en-US"/>
        </w:rPr>
        <w:t xml:space="preserve">.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being one of the most common pathologies, has also been extensively studied by transcriptional profiling techniques in the recent </w:t>
      </w:r>
      <w:proofErr w:type="gramStart"/>
      <w:r w:rsidRPr="00AE5088">
        <w:rPr>
          <w:rFonts w:ascii="Book Antiqua" w:hAnsi="Book Antiqua" w:cs="Times New Roman"/>
          <w:sz w:val="24"/>
          <w:szCs w:val="24"/>
          <w:lang w:val="en-US"/>
        </w:rPr>
        <w:t>decade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70]</w:t>
      </w:r>
      <w:r w:rsidRPr="00AE5088">
        <w:rPr>
          <w:rFonts w:ascii="Book Antiqua" w:hAnsi="Book Antiqua" w:cs="Times New Roman"/>
          <w:sz w:val="24"/>
          <w:szCs w:val="24"/>
          <w:lang w:val="en-US"/>
        </w:rPr>
        <w:t xml:space="preserve">. Traditional way to analyze RNA-Seq data is to align the reads to a reference genome and count the numbers of reads or fragments mapped to each gene or transcript. These counts are then used to search for genes which significantly change their expression in case vs controls (differentially expressed genes, DEGs) using conventional statistical tests or linear regression models, and identify biological processes which are dysregulated in one of the conditions. The latter task is solved by a family of gene set enrichment tests that analyze overrepresentation of genes from a certain pathway among the identified DEGs. Multiple downstream analyses can be performed to identify disease genes and pathways from both bulk and single-cell RNA-Seq </w:t>
      </w:r>
      <w:proofErr w:type="gramStart"/>
      <w:r w:rsidRPr="00AE5088">
        <w:rPr>
          <w:rFonts w:ascii="Book Antiqua" w:hAnsi="Book Antiqua" w:cs="Times New Roman"/>
          <w:sz w:val="24"/>
          <w:szCs w:val="24"/>
          <w:lang w:val="en-US"/>
        </w:rPr>
        <w:t>data</w:t>
      </w:r>
      <w:r w:rsidR="00B73612" w:rsidRPr="00AE5088">
        <w:rPr>
          <w:rFonts w:ascii="Book Antiqua" w:hAnsi="Book Antiqua" w:cs="Times New Roman"/>
          <w:sz w:val="24"/>
          <w:szCs w:val="24"/>
          <w:vertAlign w:val="superscript"/>
          <w:lang w:val="en-US"/>
        </w:rPr>
        <w:t>[</w:t>
      </w:r>
      <w:proofErr w:type="gramEnd"/>
      <w:r w:rsidR="00B73612" w:rsidRPr="00AE5088">
        <w:rPr>
          <w:rFonts w:ascii="Book Antiqua" w:hAnsi="Book Antiqua" w:cs="Times New Roman"/>
          <w:sz w:val="24"/>
          <w:szCs w:val="24"/>
          <w:vertAlign w:val="superscript"/>
          <w:lang w:val="en-US"/>
        </w:rPr>
        <w:t>71]</w:t>
      </w:r>
      <w:r w:rsidRPr="00AE5088">
        <w:rPr>
          <w:rFonts w:ascii="Book Antiqua" w:hAnsi="Book Antiqua" w:cs="Times New Roman"/>
          <w:sz w:val="24"/>
          <w:szCs w:val="24"/>
          <w:lang w:val="en-US"/>
        </w:rPr>
        <w:t xml:space="preserve">. Below, we will focus on several notable examples of how both bulk and single-cell technologies can be used to identify genes involved in pathological mechanisms of T2D. </w:t>
      </w:r>
    </w:p>
    <w:p w14:paraId="6B53561E" w14:textId="53D5B33B" w:rsidR="00EE6ADE"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One example of a conventional bulk RNA-Seq approach used to identify disease-relevant pathways can be found in a recent work that studied transcriptional profiles of </w:t>
      </w:r>
      <w:r w:rsidRPr="00AE5088">
        <w:rPr>
          <w:rFonts w:ascii="Book Antiqua" w:hAnsi="Book Antiqua" w:cs="Times New Roman"/>
          <w:sz w:val="24"/>
          <w:szCs w:val="24"/>
          <w:lang w:val="en-US"/>
        </w:rPr>
        <w:lastRenderedPageBreak/>
        <w:t xml:space="preserve">diabetic </w:t>
      </w:r>
      <w:proofErr w:type="gramStart"/>
      <w:r w:rsidRPr="00AE5088">
        <w:rPr>
          <w:rFonts w:ascii="Book Antiqua" w:hAnsi="Book Antiqua" w:cs="Times New Roman"/>
          <w:sz w:val="24"/>
          <w:szCs w:val="24"/>
          <w:lang w:val="en-US"/>
        </w:rPr>
        <w:t>keratinocytes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72]</w:t>
      </w:r>
      <w:r w:rsidRPr="00AE5088">
        <w:rPr>
          <w:rFonts w:ascii="Book Antiqua" w:hAnsi="Book Antiqua" w:cs="Times New Roman"/>
          <w:sz w:val="24"/>
          <w:szCs w:val="24"/>
          <w:lang w:val="en-US"/>
        </w:rPr>
        <w:t>. This study showed extensive dysregulation of immunity-related genes in these cells compared to controls, with as many as 420 differentially expressed genes identified in total. Moreover, this study has suggested a causal role of miR-340-3p-</w:t>
      </w:r>
      <w:r w:rsidRPr="00AE5088">
        <w:rPr>
          <w:rFonts w:ascii="Book Antiqua" w:hAnsi="Book Antiqua" w:cs="Times New Roman"/>
          <w:i/>
          <w:iCs/>
          <w:sz w:val="24"/>
          <w:szCs w:val="24"/>
          <w:lang w:val="en-US"/>
        </w:rPr>
        <w:t>DTX3L</w:t>
      </w:r>
      <w:r w:rsidRPr="00AE5088">
        <w:rPr>
          <w:rFonts w:ascii="Book Antiqua" w:hAnsi="Book Antiqua" w:cs="Times New Roman"/>
          <w:sz w:val="24"/>
          <w:szCs w:val="24"/>
          <w:lang w:val="en-US"/>
        </w:rPr>
        <w:t xml:space="preserve"> interaction in the pathological processes occurring in diabetic skin. </w:t>
      </w:r>
    </w:p>
    <w:p w14:paraId="787FE4D2" w14:textId="4849B4C0" w:rsidR="00A76EE5"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Multiple studies have also focused on the roles of microRNA </w:t>
      </w:r>
      <w:r w:rsidR="004B67E8" w:rsidRPr="00AE5088">
        <w:rPr>
          <w:rFonts w:ascii="Book Antiqua" w:hAnsi="Book Antiqua" w:cs="Times New Roman"/>
          <w:sz w:val="24"/>
          <w:szCs w:val="24"/>
          <w:lang w:val="en-US"/>
        </w:rPr>
        <w:t xml:space="preserve">(miRNA) </w:t>
      </w:r>
      <w:r w:rsidRPr="00AE5088">
        <w:rPr>
          <w:rFonts w:ascii="Book Antiqua" w:hAnsi="Book Antiqua" w:cs="Times New Roman"/>
          <w:sz w:val="24"/>
          <w:szCs w:val="24"/>
          <w:lang w:val="en-US"/>
        </w:rPr>
        <w:t xml:space="preserve">in the pathology of </w:t>
      </w:r>
      <w:r w:rsidR="008169F5" w:rsidRPr="00AE5088">
        <w:rPr>
          <w:rFonts w:ascii="Book Antiqua" w:hAnsi="Book Antiqua" w:cs="Times New Roman"/>
          <w:sz w:val="24"/>
          <w:szCs w:val="24"/>
          <w:lang w:val="en-US"/>
        </w:rPr>
        <w:t>T2</w:t>
      </w:r>
      <w:proofErr w:type="gramStart"/>
      <w:r w:rsidR="008169F5"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73]</w:t>
      </w:r>
      <w:r w:rsidRPr="00AE5088">
        <w:rPr>
          <w:rFonts w:ascii="Book Antiqua" w:hAnsi="Book Antiqua" w:cs="Times New Roman"/>
          <w:sz w:val="24"/>
          <w:szCs w:val="24"/>
          <w:lang w:val="en-US"/>
        </w:rPr>
        <w:t xml:space="preserve">. microRNAs are a separate class of RNA molecules which play an important role in gene regulation via post-transcriptional gene silencing. One of the most recent studies aiming at systematic analysis of microRNA involvement in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by aggregation of published data identified as many 158 microRNAs reported to be differentially expressed in T2D. </w:t>
      </w:r>
      <w:bookmarkStart w:id="6" w:name="_Hlk1337525"/>
      <w:r w:rsidRPr="00AE5088">
        <w:rPr>
          <w:rFonts w:ascii="Book Antiqua" w:hAnsi="Book Antiqua" w:cs="Times New Roman"/>
          <w:sz w:val="24"/>
          <w:szCs w:val="24"/>
          <w:lang w:val="en-US"/>
        </w:rPr>
        <w:t>One example of an important microRNA identified in this study is the miR-375 RNA which affects expression of several disease-relevant genes in islets and other tissues</w:t>
      </w:r>
      <w:bookmarkEnd w:id="6"/>
      <w:r w:rsidRPr="00AE5088">
        <w:rPr>
          <w:rFonts w:ascii="Book Antiqua" w:hAnsi="Book Antiqua" w:cs="Times New Roman"/>
          <w:sz w:val="24"/>
          <w:szCs w:val="24"/>
          <w:lang w:val="en-US"/>
        </w:rPr>
        <w:t>.</w:t>
      </w:r>
      <w:r w:rsidR="00A76EE5" w:rsidRPr="00AE5088">
        <w:rPr>
          <w:rFonts w:ascii="Book Antiqua" w:hAnsi="Book Antiqua" w:cs="Times New Roman"/>
          <w:sz w:val="24"/>
          <w:szCs w:val="24"/>
          <w:lang w:val="en-US"/>
        </w:rPr>
        <w:t xml:space="preserve"> </w:t>
      </w:r>
    </w:p>
    <w:p w14:paraId="21E97DA7" w14:textId="200E78FA" w:rsidR="00FD4C20" w:rsidRPr="00AE5088" w:rsidRDefault="00FD4C20"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Many studies suggest that the alterations in miRNA levels are associated with T2D development and its complications. miRNA may play a key role in regulation of the processes of carbohydrate and lipid metabolisms, adipocytokine and insulin signaling pathways involved in T2D development. It was shown that the dysregulated in the islets miR-7-5p, -129-3p,</w:t>
      </w:r>
      <w:r w:rsidR="001B3AEA">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-136-5p,-187-3p, -224-5p, -369-5p, -375 -495-3p, -589-5p, -655-3p affect the expression of important genes involved in insulin signaling pathway. The altered level of miRNA miR-17-5p, -155-5p, -125b-5p, -30e-5p, -27a-5p, -221-3p, -199a-5p, -130b-3p, -181a-5p, -29a, -29b can cause the dysregulation of lipid and glucose metabolisms. For miR-130b-3p, -140-5p, -147a, -199a-5p, -27b, -221-3p and -30e-5p) their involvement in the regulation of adipogenesis was </w:t>
      </w:r>
      <w:proofErr w:type="gramStart"/>
      <w:r w:rsidRPr="00AE5088">
        <w:rPr>
          <w:rFonts w:ascii="Book Antiqua" w:hAnsi="Book Antiqua" w:cs="Times New Roman"/>
          <w:sz w:val="24"/>
          <w:szCs w:val="24"/>
          <w:lang w:val="en-US"/>
        </w:rPr>
        <w:t>identified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74]</w:t>
      </w:r>
      <w:r w:rsidRPr="00AE5088">
        <w:rPr>
          <w:rFonts w:ascii="Book Antiqua" w:hAnsi="Book Antiqua" w:cs="Times New Roman"/>
          <w:sz w:val="24"/>
          <w:szCs w:val="24"/>
          <w:lang w:val="en-US"/>
        </w:rPr>
        <w:t>. Stability of miRNAs, their presence in various body fluids and significant changes of specific circulating miRNAs’ concentrations associated with diseases allow studying them as potential reliable biomarkers for complex diseases such as T2D and related complications. However, there are some obstacles for straightforward clinical application of circulating miRNAs. The biggest difficulty is due to the composition of circulating miRNA that are sum of many different tissues and cell types in the body. At the same time, it is well known that the expression of miRNAs varies considerably between different tissues.</w:t>
      </w:r>
    </w:p>
    <w:p w14:paraId="18E2EFEF" w14:textId="6643CB6F"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Another important branch of NGS-based transcriptional profiling techniques is the single-cell RNA sequencing (</w:t>
      </w:r>
      <w:proofErr w:type="spellStart"/>
      <w:r w:rsidRPr="00AE5088">
        <w:rPr>
          <w:rFonts w:ascii="Book Antiqua" w:hAnsi="Book Antiqua" w:cs="Times New Roman"/>
          <w:sz w:val="24"/>
          <w:szCs w:val="24"/>
          <w:lang w:val="en-US"/>
        </w:rPr>
        <w:t>scRNA</w:t>
      </w:r>
      <w:proofErr w:type="spellEnd"/>
      <w:r w:rsidRPr="00AE5088">
        <w:rPr>
          <w:rFonts w:ascii="Book Antiqua" w:hAnsi="Book Antiqua" w:cs="Times New Roman"/>
          <w:sz w:val="24"/>
          <w:szCs w:val="24"/>
          <w:lang w:val="en-US"/>
        </w:rPr>
        <w:t xml:space="preserve">-Seq) which allows researchers to study transcriptional responses of individual cells and cell-types. </w:t>
      </w:r>
      <w:proofErr w:type="spellStart"/>
      <w:r w:rsidRPr="00AE5088">
        <w:rPr>
          <w:rFonts w:ascii="Book Antiqua" w:hAnsi="Book Antiqua" w:cs="Times New Roman"/>
          <w:sz w:val="24"/>
          <w:szCs w:val="24"/>
          <w:lang w:val="en-US"/>
        </w:rPr>
        <w:t>scRNA</w:t>
      </w:r>
      <w:proofErr w:type="spellEnd"/>
      <w:r w:rsidRPr="00AE5088">
        <w:rPr>
          <w:rFonts w:ascii="Book Antiqua" w:hAnsi="Book Antiqua" w:cs="Times New Roman"/>
          <w:sz w:val="24"/>
          <w:szCs w:val="24"/>
          <w:lang w:val="en-US"/>
        </w:rPr>
        <w:t xml:space="preserve">-Seq techniques are </w:t>
      </w:r>
      <w:r w:rsidRPr="00AE5088">
        <w:rPr>
          <w:rFonts w:ascii="Book Antiqua" w:hAnsi="Book Antiqua" w:cs="Times New Roman"/>
          <w:sz w:val="24"/>
          <w:szCs w:val="24"/>
          <w:lang w:val="en-US"/>
        </w:rPr>
        <w:lastRenderedPageBreak/>
        <w:t xml:space="preserve">also being extensively used to identify key disease genes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in pancreas cells. </w:t>
      </w:r>
      <w:bookmarkStart w:id="7" w:name="_Hlk1337510"/>
      <w:r w:rsidRPr="00AE5088">
        <w:rPr>
          <w:rFonts w:ascii="Book Antiqua" w:hAnsi="Book Antiqua" w:cs="Times New Roman"/>
          <w:sz w:val="24"/>
          <w:szCs w:val="24"/>
          <w:lang w:val="en-US"/>
        </w:rPr>
        <w:t xml:space="preserve">For example, </w:t>
      </w:r>
      <w:proofErr w:type="spellStart"/>
      <w:r w:rsidRPr="00AE5088">
        <w:rPr>
          <w:rFonts w:ascii="Book Antiqua" w:hAnsi="Book Antiqua" w:cs="Times New Roman"/>
          <w:sz w:val="24"/>
          <w:szCs w:val="24"/>
          <w:lang w:val="en-US"/>
        </w:rPr>
        <w:t>scRNA</w:t>
      </w:r>
      <w:proofErr w:type="spellEnd"/>
      <w:r w:rsidRPr="00AE5088">
        <w:rPr>
          <w:rFonts w:ascii="Book Antiqua" w:hAnsi="Book Antiqua" w:cs="Times New Roman"/>
          <w:sz w:val="24"/>
          <w:szCs w:val="24"/>
          <w:lang w:val="en-US"/>
        </w:rPr>
        <w:t xml:space="preserve">-Seq of pancreatic islets suggested a role of </w:t>
      </w:r>
      <w:r w:rsidRPr="00AE5088">
        <w:rPr>
          <w:rFonts w:ascii="Book Antiqua" w:hAnsi="Book Antiqua" w:cs="Times New Roman"/>
          <w:i/>
          <w:iCs/>
          <w:sz w:val="24"/>
          <w:szCs w:val="24"/>
          <w:lang w:val="en-US"/>
        </w:rPr>
        <w:t xml:space="preserve">FXYD2 </w:t>
      </w:r>
      <w:r w:rsidRPr="00AE5088">
        <w:rPr>
          <w:rFonts w:ascii="Book Antiqua" w:hAnsi="Book Antiqua" w:cs="Times New Roman"/>
          <w:sz w:val="24"/>
          <w:szCs w:val="24"/>
          <w:lang w:val="en-US"/>
        </w:rPr>
        <w:t>and</w:t>
      </w:r>
      <w:r w:rsidRPr="00AE5088">
        <w:rPr>
          <w:rFonts w:ascii="Book Antiqua" w:hAnsi="Book Antiqua" w:cs="Times New Roman"/>
          <w:i/>
          <w:iCs/>
          <w:sz w:val="24"/>
          <w:szCs w:val="24"/>
          <w:lang w:val="en-US"/>
        </w:rPr>
        <w:t xml:space="preserve"> GPD2</w:t>
      </w:r>
      <w:r w:rsidRPr="00AE5088">
        <w:rPr>
          <w:rFonts w:ascii="Book Antiqua" w:hAnsi="Book Antiqua" w:cs="Times New Roman"/>
          <w:sz w:val="24"/>
          <w:szCs w:val="24"/>
          <w:lang w:val="en-US"/>
        </w:rPr>
        <w:t xml:space="preserve"> genes in pathological processes behind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in certain islet cell types, with as many as 245 dysregulated genes in </w:t>
      </w:r>
      <w:proofErr w:type="gramStart"/>
      <w:r w:rsidRPr="00AE5088">
        <w:rPr>
          <w:rFonts w:ascii="Book Antiqua" w:hAnsi="Book Antiqua" w:cs="Times New Roman"/>
          <w:sz w:val="24"/>
          <w:szCs w:val="24"/>
          <w:lang w:val="en-US"/>
        </w:rPr>
        <w:t>total</w:t>
      </w:r>
      <w:bookmarkEnd w:id="7"/>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551B59B2" w14:textId="51E05F81" w:rsidR="005F58AF" w:rsidRPr="00AE5088"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sz w:val="24"/>
          <w:szCs w:val="24"/>
          <w:lang w:val="en-US"/>
        </w:rPr>
        <w:br/>
      </w:r>
      <w:bookmarkStart w:id="8" w:name="_Hlk1337772"/>
      <w:r w:rsidRPr="00AE5088">
        <w:rPr>
          <w:rFonts w:ascii="Book Antiqua" w:hAnsi="Book Antiqua" w:cs="Times New Roman"/>
          <w:b/>
          <w:i/>
          <w:sz w:val="24"/>
          <w:szCs w:val="24"/>
          <w:lang w:val="en-US"/>
        </w:rPr>
        <w:t>Identification of epigenetic disease markers</w:t>
      </w:r>
      <w:bookmarkEnd w:id="8"/>
    </w:p>
    <w:p w14:paraId="154CF282" w14:textId="7CD73124" w:rsidR="005F58AF" w:rsidRPr="00AE5088" w:rsidRDefault="006E31AF"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sz w:val="24"/>
          <w:szCs w:val="24"/>
          <w:lang w:val="en-US"/>
        </w:rPr>
        <w:t xml:space="preserve">Another widely used group of </w:t>
      </w:r>
      <w:r w:rsidR="008169F5" w:rsidRPr="00AE5088">
        <w:rPr>
          <w:rFonts w:ascii="Book Antiqua" w:hAnsi="Book Antiqua" w:cs="Times New Roman"/>
          <w:sz w:val="24"/>
          <w:szCs w:val="24"/>
          <w:lang w:val="en-US"/>
        </w:rPr>
        <w:t>NGS</w:t>
      </w:r>
      <w:r w:rsidRPr="00AE5088">
        <w:rPr>
          <w:rFonts w:ascii="Book Antiqua" w:hAnsi="Book Antiqua" w:cs="Times New Roman"/>
          <w:sz w:val="24"/>
          <w:szCs w:val="24"/>
          <w:lang w:val="en-US"/>
        </w:rPr>
        <w:t xml:space="preserve"> methods is aimed at understanding the language of epigenetic marks, </w:t>
      </w:r>
      <w:r w:rsidRPr="001B3AEA">
        <w:rPr>
          <w:rFonts w:ascii="Book Antiqua" w:hAnsi="Book Antiqua" w:cs="Times New Roman"/>
          <w:i/>
          <w:sz w:val="24"/>
          <w:szCs w:val="24"/>
          <w:lang w:val="en-US"/>
        </w:rPr>
        <w:t>i</w:t>
      </w:r>
      <w:r w:rsidR="001B3AEA" w:rsidRPr="001B3AEA">
        <w:rPr>
          <w:rFonts w:ascii="Book Antiqua" w:hAnsi="Book Antiqua" w:cs="Times New Roman"/>
          <w:i/>
          <w:sz w:val="24"/>
          <w:szCs w:val="24"/>
          <w:lang w:val="en-US"/>
        </w:rPr>
        <w:t>.</w:t>
      </w:r>
      <w:r w:rsidRPr="001B3AEA">
        <w:rPr>
          <w:rFonts w:ascii="Book Antiqua" w:hAnsi="Book Antiqua" w:cs="Times New Roman"/>
          <w:i/>
          <w:sz w:val="24"/>
          <w:szCs w:val="24"/>
          <w:lang w:val="en-US"/>
        </w:rPr>
        <w:t>e.</w:t>
      </w:r>
      <w:r w:rsidR="001B3AEA">
        <w:rPr>
          <w:rFonts w:ascii="Book Antiqua" w:hAnsi="Book Antiqua" w:cs="Times New Roman"/>
          <w:sz w:val="24"/>
          <w:szCs w:val="24"/>
          <w:lang w:val="en-US"/>
        </w:rPr>
        <w:t>,</w:t>
      </w:r>
      <w:r w:rsidRPr="00AE5088">
        <w:rPr>
          <w:rFonts w:ascii="Book Antiqua" w:hAnsi="Book Antiqua" w:cs="Times New Roman"/>
          <w:sz w:val="24"/>
          <w:szCs w:val="24"/>
          <w:lang w:val="en-US"/>
        </w:rPr>
        <w:t xml:space="preserve"> non-DNA based units of genetic information. NGS technologies for epigenome studies include but are not limited to: (</w:t>
      </w:r>
      <w:r w:rsidR="001B3AEA">
        <w:rPr>
          <w:rFonts w:ascii="Book Antiqua" w:hAnsi="Book Antiqua" w:cs="Times New Roman"/>
          <w:sz w:val="24"/>
          <w:szCs w:val="24"/>
          <w:lang w:val="en-US"/>
        </w:rPr>
        <w:t>1</w:t>
      </w:r>
      <w:r w:rsidRPr="00AE5088">
        <w:rPr>
          <w:rFonts w:ascii="Book Antiqua" w:hAnsi="Book Antiqua" w:cs="Times New Roman"/>
          <w:sz w:val="24"/>
          <w:szCs w:val="24"/>
          <w:lang w:val="en-US"/>
        </w:rPr>
        <w:t>) methods for detection of specific DNA-protein interaction (</w:t>
      </w:r>
      <w:r w:rsidRPr="001B3AEA">
        <w:rPr>
          <w:rFonts w:ascii="Book Antiqua" w:hAnsi="Book Antiqua" w:cs="Times New Roman"/>
          <w:i/>
          <w:sz w:val="24"/>
          <w:szCs w:val="24"/>
          <w:lang w:val="en-US"/>
        </w:rPr>
        <w:t>e.g.</w:t>
      </w:r>
      <w:r w:rsidRPr="00AE5088">
        <w:rPr>
          <w:rFonts w:ascii="Book Antiqua" w:hAnsi="Book Antiqua" w:cs="Times New Roman"/>
          <w:sz w:val="24"/>
          <w:szCs w:val="24"/>
          <w:lang w:val="en-US"/>
        </w:rPr>
        <w:t xml:space="preserve">, Chromatin </w:t>
      </w:r>
      <w:proofErr w:type="spellStart"/>
      <w:r w:rsidRPr="00AE5088">
        <w:rPr>
          <w:rFonts w:ascii="Book Antiqua" w:hAnsi="Book Antiqua" w:cs="Times New Roman"/>
          <w:sz w:val="24"/>
          <w:szCs w:val="24"/>
          <w:lang w:val="en-US"/>
        </w:rPr>
        <w:t>Immuno</w:t>
      </w:r>
      <w:proofErr w:type="spellEnd"/>
      <w:r w:rsidRPr="00AE5088">
        <w:rPr>
          <w:rFonts w:ascii="Book Antiqua" w:hAnsi="Book Antiqua" w:cs="Times New Roman"/>
          <w:sz w:val="24"/>
          <w:szCs w:val="24"/>
          <w:lang w:val="en-US"/>
        </w:rPr>
        <w:t xml:space="preserve"> Precipitation followed by Sequencing); (</w:t>
      </w:r>
      <w:r w:rsidR="001B3AEA">
        <w:rPr>
          <w:rFonts w:ascii="Book Antiqua" w:hAnsi="Book Antiqua" w:cs="Times New Roman"/>
          <w:sz w:val="24"/>
          <w:szCs w:val="24"/>
          <w:lang w:val="en-US"/>
        </w:rPr>
        <w:t>2</w:t>
      </w:r>
      <w:r w:rsidRPr="00AE5088">
        <w:rPr>
          <w:rFonts w:ascii="Book Antiqua" w:hAnsi="Book Antiqua" w:cs="Times New Roman"/>
          <w:sz w:val="24"/>
          <w:szCs w:val="24"/>
          <w:lang w:val="en-US"/>
        </w:rPr>
        <w:t>) methods for identification of DNA methylation sites (such as reduced representation bisulfite sequencing); and (</w:t>
      </w:r>
      <w:r w:rsidR="001B3AEA">
        <w:rPr>
          <w:rFonts w:ascii="Book Antiqua" w:hAnsi="Book Antiqua" w:cs="Times New Roman"/>
          <w:sz w:val="24"/>
          <w:szCs w:val="24"/>
          <w:lang w:val="en-US"/>
        </w:rPr>
        <w:t>3</w:t>
      </w:r>
      <w:r w:rsidRPr="00AE5088">
        <w:rPr>
          <w:rFonts w:ascii="Book Antiqua" w:hAnsi="Book Antiqua" w:cs="Times New Roman"/>
          <w:sz w:val="24"/>
          <w:szCs w:val="24"/>
          <w:lang w:val="en-US"/>
        </w:rPr>
        <w:t>) open chromatin mapping technologies (</w:t>
      </w:r>
      <w:r w:rsidRPr="001B3AEA">
        <w:rPr>
          <w:rFonts w:ascii="Book Antiqua" w:hAnsi="Book Antiqua" w:cs="Times New Roman"/>
          <w:i/>
          <w:sz w:val="24"/>
          <w:szCs w:val="24"/>
          <w:lang w:val="en-US"/>
        </w:rPr>
        <w:t>e.g</w:t>
      </w:r>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DNAse</w:t>
      </w:r>
      <w:proofErr w:type="spellEnd"/>
      <w:r w:rsidRPr="00AE5088">
        <w:rPr>
          <w:rFonts w:ascii="Book Antiqua" w:hAnsi="Book Antiqua" w:cs="Times New Roman"/>
          <w:sz w:val="24"/>
          <w:szCs w:val="24"/>
          <w:lang w:val="en-US"/>
        </w:rPr>
        <w:t>-Seq or ATAC-Seq)</w:t>
      </w:r>
      <w:r w:rsidRPr="00AE5088">
        <w:rPr>
          <w:rFonts w:ascii="Book Antiqua" w:hAnsi="Book Antiqua" w:cs="Times New Roman"/>
          <w:sz w:val="24"/>
          <w:szCs w:val="24"/>
          <w:vertAlign w:val="superscript"/>
          <w:lang w:val="en-US"/>
        </w:rPr>
        <w:t>[67]</w:t>
      </w:r>
      <w:r w:rsidRPr="00AE5088">
        <w:rPr>
          <w:rFonts w:ascii="Book Antiqua" w:hAnsi="Book Antiqua" w:cs="Times New Roman"/>
          <w:sz w:val="24"/>
          <w:szCs w:val="24"/>
          <w:lang w:val="en-US"/>
        </w:rPr>
        <w:t xml:space="preserve">. All of these methods provide valuable inside into dysregulation of cellular processes, which is of ultimate importance for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pathology</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Epigenetic marks, as the dynamic features of the cell, are frequently considered as convenient biomarkers for disease risk prediction and prognosis in the clinic. A large-scale survey on the adverse outcome of adiposity showed that methylation pattern at certain loci predicts development of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in overweight </w:t>
      </w:r>
      <w:proofErr w:type="gramStart"/>
      <w:r w:rsidRPr="00AE5088">
        <w:rPr>
          <w:rFonts w:ascii="Book Antiqua" w:hAnsi="Book Antiqua" w:cs="Times New Roman"/>
          <w:sz w:val="24"/>
          <w:szCs w:val="24"/>
          <w:lang w:val="en-US"/>
        </w:rPr>
        <w:t>people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bookmarkStart w:id="9" w:name="_Hlk1337827"/>
      <w:r w:rsidRPr="00AE5088">
        <w:rPr>
          <w:rFonts w:ascii="Book Antiqua" w:hAnsi="Book Antiqua" w:cs="Times New Roman"/>
          <w:sz w:val="24"/>
          <w:szCs w:val="24"/>
          <w:lang w:val="en-US"/>
        </w:rPr>
        <w:t>A recent analysis of published data identified 8 differentially methylated genes as potential blood biomarkers of T2D (</w:t>
      </w:r>
      <w:r w:rsidRPr="00AE5088">
        <w:rPr>
          <w:rFonts w:ascii="Book Antiqua" w:hAnsi="Book Antiqua" w:cs="Times New Roman"/>
          <w:i/>
          <w:iCs/>
          <w:sz w:val="24"/>
          <w:szCs w:val="24"/>
          <w:lang w:val="en-US"/>
        </w:rPr>
        <w:t>TCF7L2</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KCNQ1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ABCG1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TXNIP</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PHOSPHO1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SREBF1</w:t>
      </w:r>
      <w:r w:rsidRPr="00AE5088">
        <w:rPr>
          <w:rFonts w:ascii="Book Antiqua" w:hAnsi="Book Antiqua" w:cs="Times New Roman"/>
          <w:sz w:val="24"/>
          <w:szCs w:val="24"/>
          <w:lang w:val="en-US"/>
        </w:rPr>
        <w:t xml:space="preserve">, </w:t>
      </w:r>
      <w:r w:rsidRPr="00AE5088">
        <w:rPr>
          <w:rFonts w:ascii="Book Antiqua" w:hAnsi="Book Antiqua" w:cs="Times New Roman"/>
          <w:i/>
          <w:iCs/>
          <w:sz w:val="24"/>
          <w:szCs w:val="24"/>
          <w:lang w:val="en-US"/>
        </w:rPr>
        <w:t>SLC30A8</w:t>
      </w:r>
      <w:r w:rsidRPr="00AE5088">
        <w:rPr>
          <w:rFonts w:ascii="Book Antiqua" w:hAnsi="Book Antiqua" w:cs="Times New Roman"/>
          <w:sz w:val="24"/>
          <w:szCs w:val="24"/>
          <w:lang w:val="en-US"/>
        </w:rPr>
        <w:t xml:space="preserve">, and </w:t>
      </w:r>
      <w:proofErr w:type="gramStart"/>
      <w:r w:rsidRPr="00AE5088">
        <w:rPr>
          <w:rFonts w:ascii="Book Antiqua" w:hAnsi="Book Antiqua" w:cs="Times New Roman"/>
          <w:i/>
          <w:iCs/>
          <w:sz w:val="24"/>
          <w:szCs w:val="24"/>
          <w:lang w:val="en-US"/>
        </w:rPr>
        <w:t>FTO</w:t>
      </w:r>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7</w:t>
      </w:r>
      <w:r w:rsidR="00FD4C20" w:rsidRPr="00AE5088">
        <w:rPr>
          <w:rFonts w:ascii="Book Antiqua" w:hAnsi="Book Antiqua" w:cs="Times New Roman"/>
          <w:sz w:val="24"/>
          <w:szCs w:val="24"/>
          <w:vertAlign w:val="superscript"/>
          <w:lang w:val="en-US"/>
        </w:rPr>
        <w:t>9</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Epigenome profiles might also be used to enhance identification of causal variants at complex GWAS </w:t>
      </w:r>
      <w:proofErr w:type="gramStart"/>
      <w:r w:rsidRPr="00AE5088">
        <w:rPr>
          <w:rFonts w:ascii="Book Antiqua" w:hAnsi="Book Antiqua" w:cs="Times New Roman"/>
          <w:sz w:val="24"/>
          <w:szCs w:val="24"/>
          <w:lang w:val="en-US"/>
        </w:rPr>
        <w:t>loci</w:t>
      </w:r>
      <w:r w:rsidRPr="00AE5088">
        <w:rPr>
          <w:rFonts w:ascii="Book Antiqua" w:hAnsi="Book Antiqua" w:cs="Times New Roman"/>
          <w:sz w:val="24"/>
          <w:szCs w:val="24"/>
          <w:vertAlign w:val="superscript"/>
          <w:lang w:val="en-US"/>
        </w:rPr>
        <w:t>[</w:t>
      </w:r>
      <w:bookmarkEnd w:id="9"/>
      <w:proofErr w:type="gramEnd"/>
      <w:r w:rsidR="00FD4C20" w:rsidRPr="00AE5088">
        <w:rPr>
          <w:rFonts w:ascii="Book Antiqua" w:hAnsi="Book Antiqua" w:cs="Times New Roman"/>
          <w:sz w:val="24"/>
          <w:szCs w:val="24"/>
          <w:vertAlign w:val="superscript"/>
          <w:lang w:val="en-US"/>
        </w:rPr>
        <w:t>80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44002DD5" w14:textId="1D2F5362" w:rsidR="005F58AF" w:rsidRPr="00AE5088" w:rsidRDefault="006E31AF" w:rsidP="005232A1">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Overall, RNA-Seq and positional NGS techniques provide a very useful framework to investigate cellular processes that are affected during disease pathogenesis. These data may in turn be used for both prediction of diabetes risk and for designing clinical treatment of the disease; furthermore, simultaneous consideration of genotype, expression profile and epigenetic factors might assist efficient personalized treatment of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Further integration of multiple omics datasets would allow researchers and clinicians to have a comprehensive look into the molecular pathology behind T2D.</w:t>
      </w:r>
    </w:p>
    <w:p w14:paraId="38017B5F"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4C0623B5" w14:textId="356C1893" w:rsidR="005F58AF" w:rsidRPr="005232A1" w:rsidRDefault="005232A1" w:rsidP="005232A1">
      <w:pPr>
        <w:spacing w:after="0" w:line="360" w:lineRule="auto"/>
        <w:jc w:val="both"/>
        <w:rPr>
          <w:rFonts w:ascii="Book Antiqua" w:hAnsi="Book Antiqua" w:cs="Times New Roman"/>
          <w:b/>
          <w:bCs/>
          <w:i/>
          <w:iCs/>
          <w:sz w:val="24"/>
          <w:szCs w:val="24"/>
          <w:lang w:val="en-US"/>
        </w:rPr>
      </w:pPr>
      <w:r w:rsidRPr="00AE5088">
        <w:rPr>
          <w:rFonts w:ascii="Book Antiqua" w:hAnsi="Book Antiqua" w:cs="Times New Roman"/>
          <w:b/>
          <w:bCs/>
          <w:sz w:val="24"/>
          <w:szCs w:val="24"/>
          <w:lang w:val="en-US"/>
        </w:rPr>
        <w:t>NGS STUDIES OF HUMAN GUT MICROBIOME AND T2D ASSOCIATIONS</w:t>
      </w:r>
    </w:p>
    <w:p w14:paraId="2294B743" w14:textId="551C130F"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lastRenderedPageBreak/>
        <w:t xml:space="preserve">Rapid progress of NGS </w:t>
      </w:r>
      <w:r w:rsidR="00DF658F" w:rsidRPr="00AE5088">
        <w:rPr>
          <w:rFonts w:ascii="Book Antiqua" w:hAnsi="Book Antiqua" w:cs="Times New Roman"/>
          <w:sz w:val="24"/>
          <w:szCs w:val="24"/>
          <w:lang w:val="en-US"/>
        </w:rPr>
        <w:t>technologies</w:t>
      </w:r>
      <w:r w:rsidRPr="00AE5088">
        <w:rPr>
          <w:rFonts w:ascii="Book Antiqua" w:hAnsi="Book Antiqua" w:cs="Times New Roman"/>
          <w:sz w:val="24"/>
          <w:szCs w:val="24"/>
          <w:lang w:val="en-US"/>
        </w:rPr>
        <w:t xml:space="preserve"> and bioinformatic data processing methods led to the advent of metagenome studies, </w:t>
      </w:r>
      <w:r w:rsidRPr="00AE5088">
        <w:rPr>
          <w:rFonts w:ascii="Book Antiqua" w:hAnsi="Book Antiqua" w:cs="Times New Roman"/>
          <w:i/>
          <w:iCs/>
          <w:sz w:val="24"/>
          <w:szCs w:val="24"/>
          <w:lang w:val="en-US"/>
        </w:rPr>
        <w:t>i.e.</w:t>
      </w:r>
      <w:r w:rsidR="005232A1">
        <w:rPr>
          <w:rFonts w:ascii="Book Antiqua" w:hAnsi="Book Antiqua" w:cs="Times New Roman"/>
          <w:i/>
          <w:iCs/>
          <w:sz w:val="24"/>
          <w:szCs w:val="24"/>
          <w:lang w:val="en-US"/>
        </w:rPr>
        <w:t>,</w:t>
      </w:r>
      <w:r w:rsidRPr="00AE5088">
        <w:rPr>
          <w:rFonts w:ascii="Book Antiqua" w:hAnsi="Book Antiqua" w:cs="Times New Roman"/>
          <w:sz w:val="24"/>
          <w:szCs w:val="24"/>
          <w:lang w:val="en-US"/>
        </w:rPr>
        <w:t xml:space="preserve"> </w:t>
      </w:r>
      <w:r w:rsidR="00EE6ADE" w:rsidRPr="00AE5088">
        <w:rPr>
          <w:rFonts w:ascii="Book Antiqua" w:hAnsi="Book Antiqua" w:cs="Times New Roman"/>
          <w:sz w:val="24"/>
          <w:szCs w:val="24"/>
          <w:lang w:val="en-US"/>
        </w:rPr>
        <w:t>i</w:t>
      </w:r>
      <w:r w:rsidRPr="00AE5088">
        <w:rPr>
          <w:rFonts w:ascii="Book Antiqua" w:hAnsi="Book Antiqua" w:cs="Times New Roman"/>
          <w:sz w:val="24"/>
          <w:szCs w:val="24"/>
          <w:lang w:val="en-US"/>
        </w:rPr>
        <w:t xml:space="preserve">nvestigation of the </w:t>
      </w:r>
      <w:r w:rsidR="00DF658F" w:rsidRPr="00AE5088">
        <w:rPr>
          <w:rFonts w:ascii="Book Antiqua" w:hAnsi="Book Antiqua" w:cs="Times New Roman"/>
          <w:sz w:val="24"/>
          <w:szCs w:val="24"/>
          <w:lang w:val="en-US"/>
        </w:rPr>
        <w:t>microbial</w:t>
      </w:r>
      <w:r w:rsidRPr="00AE5088">
        <w:rPr>
          <w:rFonts w:ascii="Book Antiqua" w:hAnsi="Book Antiqua" w:cs="Times New Roman"/>
          <w:sz w:val="24"/>
          <w:szCs w:val="24"/>
          <w:lang w:val="en-US"/>
        </w:rPr>
        <w:t xml:space="preserve"> composition of natural </w:t>
      </w:r>
      <w:r w:rsidR="00DF658F" w:rsidRPr="00AE5088">
        <w:rPr>
          <w:rFonts w:ascii="Book Antiqua" w:hAnsi="Book Antiqua" w:cs="Times New Roman"/>
          <w:sz w:val="24"/>
          <w:szCs w:val="24"/>
          <w:lang w:val="en-US"/>
        </w:rPr>
        <w:t>inhabitants</w:t>
      </w:r>
      <w:r w:rsidRPr="00AE5088">
        <w:rPr>
          <w:rFonts w:ascii="Book Antiqua" w:hAnsi="Book Antiqua" w:cs="Times New Roman"/>
          <w:sz w:val="24"/>
          <w:szCs w:val="24"/>
          <w:lang w:val="en-US"/>
        </w:rPr>
        <w:t xml:space="preserve">. A decade of advances in the field of intestinal microbiome analysis demonstrated that alterations of gut bacteria composition is implicated in </w:t>
      </w:r>
      <w:r w:rsidR="00DF658F" w:rsidRPr="00AE5088">
        <w:rPr>
          <w:rFonts w:ascii="Book Antiqua" w:hAnsi="Book Antiqua" w:cs="Times New Roman"/>
          <w:sz w:val="24"/>
          <w:szCs w:val="24"/>
          <w:lang w:val="en-US"/>
        </w:rPr>
        <w:t>a few</w:t>
      </w:r>
      <w:r w:rsidRPr="00AE5088">
        <w:rPr>
          <w:rFonts w:ascii="Book Antiqua" w:hAnsi="Book Antiqua" w:cs="Times New Roman"/>
          <w:sz w:val="24"/>
          <w:szCs w:val="24"/>
          <w:lang w:val="en-US"/>
        </w:rPr>
        <w:t xml:space="preserve"> medical conditions, including diabetes and </w:t>
      </w:r>
      <w:proofErr w:type="gramStart"/>
      <w:r w:rsidRPr="00AE5088">
        <w:rPr>
          <w:rFonts w:ascii="Book Antiqua" w:hAnsi="Book Antiqua" w:cs="Times New Roman"/>
          <w:sz w:val="24"/>
          <w:szCs w:val="24"/>
          <w:lang w:val="en-US"/>
        </w:rPr>
        <w:t>obesity</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Such progress can be attributed to a number of factors, for example, stable decrease of price per single run for NGS platforms, continuous development of bioinformatic tool/pipelines</w:t>
      </w:r>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-8</w:t>
      </w:r>
      <w:r w:rsidR="00FD4C20"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creation of specialized gut microbiome 16s rRNA databases and use of </w:t>
      </w:r>
      <w:proofErr w:type="spellStart"/>
      <w:r w:rsidRPr="00AE5088">
        <w:rPr>
          <w:rFonts w:ascii="Book Antiqua" w:hAnsi="Book Antiqua" w:cs="Times New Roman"/>
          <w:sz w:val="24"/>
          <w:szCs w:val="24"/>
          <w:lang w:val="en-US"/>
        </w:rPr>
        <w:t>metaproteomics</w:t>
      </w:r>
      <w:proofErr w:type="spellEnd"/>
      <w:r w:rsidRPr="00AE5088">
        <w:rPr>
          <w:rFonts w:ascii="Book Antiqua" w:hAnsi="Book Antiqua" w:cs="Times New Roman"/>
          <w:sz w:val="24"/>
          <w:szCs w:val="24"/>
          <w:lang w:val="en-US"/>
        </w:rPr>
        <w:t xml:space="preserve">, metabolomics and </w:t>
      </w:r>
      <w:proofErr w:type="spellStart"/>
      <w:r w:rsidRPr="00AE5088">
        <w:rPr>
          <w:rFonts w:ascii="Book Antiqua" w:hAnsi="Book Antiqua" w:cs="Times New Roman"/>
          <w:sz w:val="24"/>
          <w:szCs w:val="24"/>
          <w:lang w:val="en-US"/>
        </w:rPr>
        <w:t>metatranscriptomics</w:t>
      </w:r>
      <w:proofErr w:type="spellEnd"/>
      <w:r w:rsidRPr="00AE5088">
        <w:rPr>
          <w:rFonts w:ascii="Book Antiqua" w:hAnsi="Book Antiqua" w:cs="Times New Roman"/>
          <w:sz w:val="24"/>
          <w:szCs w:val="24"/>
          <w:lang w:val="en-US"/>
        </w:rPr>
        <w:t xml:space="preserve"> in conjuncture with genetic profiling</w:t>
      </w:r>
      <w:r w:rsidRPr="00AE5088">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88</w:t>
      </w:r>
      <w:r w:rsidR="005232A1">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9</w:t>
      </w:r>
      <w:r w:rsidR="005232A1">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Still, there is no consensus concerning optimal conditions for conducting microbiome research. Choice between 16S RNA profiling/shotgun sequencing methods</w:t>
      </w:r>
      <w:r w:rsidR="00B73612"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differences in effective coverage between V1-V9</w:t>
      </w:r>
      <w:r w:rsidR="00AE508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hypervariable regions , more precise quantitative analysis for microbiota constituents</w:t>
      </w:r>
      <w:r w:rsidRPr="00AE5088">
        <w:rPr>
          <w:rFonts w:ascii="Book Antiqua" w:hAnsi="Book Antiqua" w:cs="Times New Roman"/>
          <w:sz w:val="24"/>
          <w:szCs w:val="24"/>
          <w:vertAlign w:val="superscript"/>
          <w:lang w:val="en-US"/>
        </w:rPr>
        <w:t>[9</w:t>
      </w:r>
      <w:r w:rsidR="00FD4C20"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and generalized protocols for sample acquisition are still in discussion, with main emphasize being often put on low reproducibility of results, partly due to the unstable nature of samples</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 xml:space="preserve"> bacterial composition</w:t>
      </w:r>
      <w:r w:rsidR="00B73612" w:rsidRPr="00AE5088">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81</w:t>
      </w:r>
      <w:r w:rsidR="00B73612" w:rsidRPr="00AE5088">
        <w:rPr>
          <w:rFonts w:ascii="Book Antiqua" w:hAnsi="Book Antiqua" w:cs="Times New Roman"/>
          <w:sz w:val="24"/>
          <w:szCs w:val="24"/>
          <w:vertAlign w:val="superscript"/>
          <w:lang w:val="en-US"/>
        </w:rPr>
        <w:t>,</w:t>
      </w:r>
      <w:r w:rsidR="00FD4C20" w:rsidRPr="00AE5088">
        <w:rPr>
          <w:rFonts w:ascii="Book Antiqua" w:hAnsi="Book Antiqua" w:cs="Times New Roman"/>
          <w:sz w:val="24"/>
          <w:szCs w:val="24"/>
          <w:vertAlign w:val="superscript"/>
          <w:lang w:val="en-US"/>
        </w:rPr>
        <w:t>86,87,92,94</w:t>
      </w:r>
      <w:r w:rsidR="00B73612"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Overall, intestinal microbiome genetic profiling may find use in clinical practice with development of presently elusive “golden standard” for this </w:t>
      </w:r>
      <w:r w:rsidR="00EE6ADE" w:rsidRPr="00AE5088">
        <w:rPr>
          <w:rFonts w:ascii="Book Antiqua" w:hAnsi="Book Antiqua" w:cs="Times New Roman"/>
          <w:sz w:val="24"/>
          <w:szCs w:val="24"/>
          <w:lang w:val="en-US"/>
        </w:rPr>
        <w:t>research</w:t>
      </w:r>
      <w:r w:rsidRPr="00AE5088">
        <w:rPr>
          <w:rFonts w:ascii="Book Antiqua" w:hAnsi="Book Antiqua" w:cs="Times New Roman"/>
          <w:sz w:val="24"/>
          <w:szCs w:val="24"/>
          <w:lang w:val="en-US"/>
        </w:rPr>
        <w:t xml:space="preserve"> field, leading to better understanding of gut microbiota</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s role in human homeostasis and associations with diseases</w:t>
      </w:r>
      <w:r w:rsidRPr="00AE5088">
        <w:rPr>
          <w:rFonts w:ascii="Book Antiqua" w:hAnsi="Book Antiqua" w:cs="Times New Roman"/>
          <w:sz w:val="24"/>
          <w:szCs w:val="24"/>
          <w:vertAlign w:val="superscript"/>
          <w:lang w:val="en-US"/>
        </w:rPr>
        <w:t>[9</w:t>
      </w:r>
      <w:r w:rsidR="00FD4C20"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3E475D62" w14:textId="77777777"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 </w:t>
      </w:r>
    </w:p>
    <w:p w14:paraId="7FDB509D" w14:textId="0D5122B4" w:rsidR="005F58AF" w:rsidRPr="005232A1" w:rsidRDefault="006E31AF"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i/>
          <w:iCs/>
          <w:sz w:val="24"/>
          <w:szCs w:val="24"/>
          <w:lang w:val="en-US"/>
        </w:rPr>
        <w:t>General overview of microorganisms involved at least partially with T2D</w:t>
      </w:r>
    </w:p>
    <w:p w14:paraId="1BB082A2" w14:textId="5E2D7E74"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As of 2014, microbial </w:t>
      </w:r>
      <w:r w:rsidR="00EE6ADE" w:rsidRPr="00AE5088">
        <w:rPr>
          <w:rFonts w:ascii="Book Antiqua" w:hAnsi="Book Antiqua" w:cs="Times New Roman"/>
          <w:sz w:val="24"/>
          <w:szCs w:val="24"/>
          <w:lang w:val="en-US"/>
        </w:rPr>
        <w:t>community</w:t>
      </w:r>
      <w:r w:rsidRPr="00AE5088">
        <w:rPr>
          <w:rFonts w:ascii="Book Antiqua" w:hAnsi="Book Antiqua" w:cs="Times New Roman"/>
          <w:sz w:val="24"/>
          <w:szCs w:val="24"/>
          <w:lang w:val="en-US"/>
        </w:rPr>
        <w:t xml:space="preserve"> of human gut was estimated to contain at least 957 bacterial genera with phyla Actinobacteria, Bacteroides, Firmicutes, Proteobacteria and </w:t>
      </w:r>
      <w:proofErr w:type="spellStart"/>
      <w:r w:rsidRPr="00AE5088">
        <w:rPr>
          <w:rFonts w:ascii="Book Antiqua" w:hAnsi="Book Antiqua" w:cs="Times New Roman"/>
          <w:sz w:val="24"/>
          <w:szCs w:val="24"/>
          <w:lang w:val="en-US"/>
        </w:rPr>
        <w:t>Verrucomicrobia</w:t>
      </w:r>
      <w:proofErr w:type="spellEnd"/>
      <w:r w:rsidRPr="00AE5088">
        <w:rPr>
          <w:rFonts w:ascii="Book Antiqua" w:hAnsi="Book Antiqua" w:cs="Times New Roman"/>
          <w:sz w:val="24"/>
          <w:szCs w:val="24"/>
          <w:lang w:val="en-US"/>
        </w:rPr>
        <w:t xml:space="preserve"> demonstrating most diversity and </w:t>
      </w:r>
      <w:proofErr w:type="gramStart"/>
      <w:r w:rsidRPr="00AE5088">
        <w:rPr>
          <w:rFonts w:ascii="Book Antiqua" w:hAnsi="Book Antiqua" w:cs="Times New Roman"/>
          <w:sz w:val="24"/>
          <w:szCs w:val="24"/>
          <w:lang w:val="en-US"/>
        </w:rPr>
        <w:t>abundance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While both types of diabetes mellitus are known to cause significant changes in gastrointestinal microbial composition, underlining mechanisms for dysbiosis and roles of all microbiome constituents, including bacteria, archaea, </w:t>
      </w:r>
      <w:proofErr w:type="spellStart"/>
      <w:r w:rsidRPr="00AE5088">
        <w:rPr>
          <w:rFonts w:ascii="Book Antiqua" w:hAnsi="Book Antiqua" w:cs="Times New Roman"/>
          <w:sz w:val="24"/>
          <w:szCs w:val="24"/>
          <w:lang w:val="en-US"/>
        </w:rPr>
        <w:t>eukaryota</w:t>
      </w:r>
      <w:proofErr w:type="spellEnd"/>
      <w:r w:rsidRPr="00AE5088">
        <w:rPr>
          <w:rFonts w:ascii="Book Antiqua" w:hAnsi="Book Antiqua" w:cs="Times New Roman"/>
          <w:sz w:val="24"/>
          <w:szCs w:val="24"/>
          <w:lang w:val="en-US"/>
        </w:rPr>
        <w:t xml:space="preserve"> and fungi, are still not fully understood. </w:t>
      </w:r>
      <w:proofErr w:type="spellStart"/>
      <w:r w:rsidRPr="00AE5088">
        <w:rPr>
          <w:rFonts w:ascii="Book Antiqua" w:hAnsi="Book Antiqua" w:cs="Times New Roman"/>
          <w:i/>
          <w:sz w:val="24"/>
          <w:szCs w:val="24"/>
          <w:lang w:val="en-US"/>
        </w:rPr>
        <w:t>Roseburia</w:t>
      </w:r>
      <w:proofErr w:type="spellEnd"/>
      <w:r w:rsidRPr="00AE5088">
        <w:rPr>
          <w:rFonts w:ascii="Book Antiqua" w:hAnsi="Book Antiqua" w:cs="Times New Roman"/>
          <w:i/>
          <w:sz w:val="24"/>
          <w:szCs w:val="24"/>
          <w:lang w:val="en-US"/>
        </w:rPr>
        <w:t xml:space="preserve"> intestinalis</w:t>
      </w:r>
      <w:r w:rsidRPr="00AE5088">
        <w:rPr>
          <w:rFonts w:ascii="Book Antiqua" w:hAnsi="Book Antiqua" w:cs="Times New Roman"/>
          <w:sz w:val="24"/>
          <w:szCs w:val="24"/>
          <w:lang w:val="en-US"/>
        </w:rPr>
        <w:t xml:space="preserve">, </w:t>
      </w:r>
      <w:proofErr w:type="spellStart"/>
      <w:r w:rsidRPr="00AE5088">
        <w:rPr>
          <w:rFonts w:ascii="Book Antiqua" w:hAnsi="Book Antiqua" w:cs="Times New Roman"/>
          <w:i/>
          <w:sz w:val="24"/>
          <w:szCs w:val="24"/>
          <w:lang w:val="en-US"/>
        </w:rPr>
        <w:t>Faecalibacterium</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prausnitzii</w:t>
      </w:r>
      <w:proofErr w:type="spellEnd"/>
      <w:r w:rsidRPr="00AE5088">
        <w:rPr>
          <w:rFonts w:ascii="Book Antiqua" w:hAnsi="Book Antiqua" w:cs="Times New Roman"/>
          <w:sz w:val="24"/>
          <w:szCs w:val="24"/>
          <w:lang w:val="en-US"/>
        </w:rPr>
        <w:t xml:space="preserve">, and families </w:t>
      </w:r>
      <w:proofErr w:type="spellStart"/>
      <w:r w:rsidRPr="00AE5088">
        <w:rPr>
          <w:rFonts w:ascii="Book Antiqua" w:hAnsi="Book Antiqua" w:cs="Times New Roman"/>
          <w:i/>
          <w:sz w:val="24"/>
          <w:szCs w:val="24"/>
          <w:lang w:val="en-US"/>
        </w:rPr>
        <w:t>Ruminococcaceae</w:t>
      </w:r>
      <w:proofErr w:type="spellEnd"/>
      <w:r w:rsidR="00743A24" w:rsidRPr="00AE5088">
        <w:rPr>
          <w:rFonts w:ascii="Book Antiqua" w:hAnsi="Book Antiqua" w:cs="Times New Roman"/>
          <w:i/>
          <w:sz w:val="24"/>
          <w:szCs w:val="24"/>
          <w:lang w:val="en-US"/>
        </w:rPr>
        <w:t>/</w:t>
      </w:r>
      <w:proofErr w:type="spellStart"/>
      <w:r w:rsidRPr="00AE5088">
        <w:rPr>
          <w:rFonts w:ascii="Book Antiqua" w:hAnsi="Book Antiqua" w:cs="Times New Roman"/>
          <w:i/>
          <w:sz w:val="24"/>
          <w:szCs w:val="24"/>
          <w:lang w:val="en-US"/>
        </w:rPr>
        <w:t>Lachnospiraceae</w:t>
      </w:r>
      <w:proofErr w:type="spellEnd"/>
      <w:r w:rsidRPr="00AE5088">
        <w:rPr>
          <w:rFonts w:ascii="Book Antiqua" w:hAnsi="Book Antiqua" w:cs="Times New Roman"/>
          <w:sz w:val="24"/>
          <w:szCs w:val="24"/>
          <w:lang w:val="en-US"/>
        </w:rPr>
        <w:t>, all known as butyrate producers, were detected to be lower during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Abundance of </w:t>
      </w:r>
      <w:proofErr w:type="spellStart"/>
      <w:r w:rsidRPr="00AE5088">
        <w:rPr>
          <w:rFonts w:ascii="Book Antiqua" w:hAnsi="Book Antiqua" w:cs="Times New Roman"/>
          <w:i/>
          <w:sz w:val="24"/>
          <w:szCs w:val="24"/>
          <w:lang w:val="en-US"/>
        </w:rPr>
        <w:t>Akkermansia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muciniphila</w:t>
      </w:r>
      <w:proofErr w:type="spellEnd"/>
      <w:r w:rsidRPr="00AE5088">
        <w:rPr>
          <w:rFonts w:ascii="Book Antiqua" w:hAnsi="Book Antiqua" w:cs="Times New Roman"/>
          <w:sz w:val="24"/>
          <w:szCs w:val="24"/>
          <w:lang w:val="en-US"/>
        </w:rPr>
        <w:t xml:space="preserve">, a mucin-degrading primarily mucosal bacteria, had been connected to lower insulin resistance, while low concentrations were associated with obesity, diabetes, IBD, ulcerative colitis and </w:t>
      </w:r>
      <w:r w:rsidRPr="00AE5088">
        <w:rPr>
          <w:rFonts w:ascii="Book Antiqua" w:hAnsi="Book Antiqua" w:cs="Times New Roman"/>
          <w:sz w:val="24"/>
          <w:szCs w:val="24"/>
          <w:lang w:val="en-US"/>
        </w:rPr>
        <w:lastRenderedPageBreak/>
        <w:t xml:space="preserve">appendicitis, suggesting future use of this bacteria as a </w:t>
      </w:r>
      <w:proofErr w:type="gramStart"/>
      <w:r w:rsidRPr="00AE5088">
        <w:rPr>
          <w:rFonts w:ascii="Book Antiqua" w:hAnsi="Book Antiqua" w:cs="Times New Roman"/>
          <w:sz w:val="24"/>
          <w:szCs w:val="24"/>
          <w:lang w:val="en-US"/>
        </w:rPr>
        <w:t>biomarker</w:t>
      </w:r>
      <w:r w:rsidRPr="005232A1">
        <w:rPr>
          <w:rFonts w:ascii="Book Antiqua" w:hAnsi="Book Antiqua" w:cs="Times New Roman"/>
          <w:sz w:val="24"/>
          <w:szCs w:val="24"/>
          <w:vertAlign w:val="superscript"/>
          <w:lang w:val="en-US"/>
        </w:rPr>
        <w:t>[</w:t>
      </w:r>
      <w:proofErr w:type="gramEnd"/>
      <w:r w:rsidRPr="005232A1">
        <w:rPr>
          <w:rFonts w:ascii="Book Antiqua" w:hAnsi="Book Antiqua" w:cs="Times New Roman"/>
          <w:sz w:val="24"/>
          <w:szCs w:val="24"/>
          <w:vertAlign w:val="superscript"/>
          <w:lang w:val="en-US"/>
        </w:rPr>
        <w:t>9</w:t>
      </w:r>
      <w:r w:rsidR="005232A1">
        <w:rPr>
          <w:rFonts w:ascii="Book Antiqua" w:hAnsi="Book Antiqua" w:cs="Times New Roman"/>
          <w:sz w:val="24"/>
          <w:szCs w:val="24"/>
          <w:vertAlign w:val="superscript"/>
          <w:lang w:val="en-US"/>
        </w:rPr>
        <w:t>9</w:t>
      </w:r>
      <w:r w:rsidRPr="005232A1">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However, such broad spectrum of diseases makes effective clinical usage questionable. </w:t>
      </w:r>
      <w:proofErr w:type="spellStart"/>
      <w:r w:rsidRPr="00AE5088">
        <w:rPr>
          <w:rFonts w:ascii="Book Antiqua" w:hAnsi="Book Antiqua" w:cs="Times New Roman"/>
          <w:i/>
          <w:sz w:val="24"/>
          <w:szCs w:val="24"/>
          <w:lang w:val="en-US"/>
        </w:rPr>
        <w:t>Prevotellacopri</w:t>
      </w:r>
      <w:proofErr w:type="spellEnd"/>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 xml:space="preserve">Bacteroides </w:t>
      </w:r>
      <w:proofErr w:type="spellStart"/>
      <w:r w:rsidRPr="00AE5088">
        <w:rPr>
          <w:rFonts w:ascii="Book Antiqua" w:hAnsi="Book Antiqua" w:cs="Times New Roman"/>
          <w:i/>
          <w:sz w:val="24"/>
          <w:szCs w:val="24"/>
          <w:lang w:val="en-US"/>
        </w:rPr>
        <w:t>vulgatus</w:t>
      </w:r>
      <w:proofErr w:type="spellEnd"/>
      <w:r w:rsidRPr="00AE5088">
        <w:rPr>
          <w:rFonts w:ascii="Book Antiqua" w:hAnsi="Book Antiqua" w:cs="Times New Roman"/>
          <w:sz w:val="24"/>
          <w:szCs w:val="24"/>
          <w:lang w:val="en-US"/>
        </w:rPr>
        <w:t xml:space="preserve"> were mentioned as possible promoters for insulin resistance due to active </w:t>
      </w:r>
      <w:r w:rsidR="00C53566" w:rsidRPr="00AE5088">
        <w:rPr>
          <w:rFonts w:ascii="Book Antiqua" w:hAnsi="Book Antiqua" w:cs="Times New Roman"/>
          <w:sz w:val="24"/>
          <w:szCs w:val="24"/>
          <w:lang w:val="en-US"/>
        </w:rPr>
        <w:t>branched chain amino acids (BCAA)</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production</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r w:rsidR="00A24B2F" w:rsidRPr="00AE5088">
        <w:rPr>
          <w:rFonts w:ascii="Book Antiqua" w:hAnsi="Book Antiqua" w:cs="Times New Roman"/>
          <w:sz w:val="24"/>
          <w:szCs w:val="24"/>
          <w:lang w:val="en-US"/>
        </w:rPr>
        <w:t>Data</w:t>
      </w:r>
      <w:r w:rsidRPr="00AE5088">
        <w:rPr>
          <w:rFonts w:ascii="Book Antiqua" w:hAnsi="Book Antiqua" w:cs="Times New Roman"/>
          <w:sz w:val="24"/>
          <w:szCs w:val="24"/>
          <w:lang w:val="en-US"/>
        </w:rPr>
        <w:t xml:space="preserve"> on general </w:t>
      </w:r>
      <w:r w:rsidRPr="00AE5088">
        <w:rPr>
          <w:rFonts w:ascii="Book Antiqua" w:hAnsi="Book Antiqua" w:cs="Times New Roman"/>
          <w:i/>
          <w:sz w:val="24"/>
          <w:szCs w:val="24"/>
          <w:lang w:val="en-US"/>
        </w:rPr>
        <w:t>Firmicutes/Bacteroidetes</w:t>
      </w:r>
      <w:r w:rsidRPr="00AE5088">
        <w:rPr>
          <w:rFonts w:ascii="Book Antiqua" w:hAnsi="Book Antiqua" w:cs="Times New Roman"/>
          <w:sz w:val="24"/>
          <w:szCs w:val="24"/>
          <w:lang w:val="en-US"/>
        </w:rPr>
        <w:t xml:space="preserve"> ratio comparison changes during prediabetes and T2D </w:t>
      </w:r>
      <w:r w:rsidR="00A24B2F" w:rsidRPr="00AE5088">
        <w:rPr>
          <w:rFonts w:ascii="Book Antiqua" w:hAnsi="Book Antiqua" w:cs="Times New Roman"/>
          <w:sz w:val="24"/>
          <w:szCs w:val="24"/>
          <w:lang w:val="en-US"/>
        </w:rPr>
        <w:t xml:space="preserve">are </w:t>
      </w:r>
      <w:r w:rsidR="00EE6ADE" w:rsidRPr="00AE5088">
        <w:rPr>
          <w:rFonts w:ascii="Book Antiqua" w:hAnsi="Book Antiqua" w:cs="Times New Roman"/>
          <w:sz w:val="24"/>
          <w:szCs w:val="24"/>
          <w:lang w:val="en-US"/>
        </w:rPr>
        <w:t>contradicting</w:t>
      </w:r>
      <w:r w:rsidRPr="00AE5088">
        <w:rPr>
          <w:rFonts w:ascii="Book Antiqua" w:hAnsi="Book Antiqua" w:cs="Times New Roman"/>
          <w:sz w:val="24"/>
          <w:szCs w:val="24"/>
          <w:lang w:val="en-US"/>
        </w:rPr>
        <w:t xml:space="preserve">, which may be explained by differences in sequencing methods and bioinformatics </w:t>
      </w:r>
      <w:proofErr w:type="gramStart"/>
      <w:r w:rsidRPr="00AE5088">
        <w:rPr>
          <w:rFonts w:ascii="Book Antiqua" w:hAnsi="Book Antiqua" w:cs="Times New Roman"/>
          <w:sz w:val="24"/>
          <w:szCs w:val="24"/>
          <w:lang w:val="en-US"/>
        </w:rPr>
        <w:t>approaches</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Recent 16S</w:t>
      </w:r>
      <w:r w:rsidR="00743A24" w:rsidRPr="00AE5088">
        <w:rPr>
          <w:rFonts w:ascii="Book Antiqua" w:hAnsi="Book Antiqua" w:cs="Times New Roman"/>
          <w:sz w:val="24"/>
          <w:szCs w:val="24"/>
          <w:lang w:val="en-US"/>
        </w:rPr>
        <w:t>/</w:t>
      </w:r>
      <w:r w:rsidRPr="00AE5088">
        <w:rPr>
          <w:rFonts w:ascii="Book Antiqua" w:hAnsi="Book Antiqua" w:cs="Times New Roman"/>
          <w:sz w:val="24"/>
          <w:szCs w:val="24"/>
          <w:lang w:val="en-US"/>
        </w:rPr>
        <w:t>18S</w:t>
      </w:r>
      <w:r w:rsidR="00743A24"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ITS microbiome profiling study of T2D with 49 adult participants in India showed interesting correlation for archaea, where concentration of </w:t>
      </w:r>
      <w:proofErr w:type="spellStart"/>
      <w:r w:rsidRPr="00AE5088">
        <w:rPr>
          <w:rFonts w:ascii="Book Antiqua" w:hAnsi="Book Antiqua" w:cs="Times New Roman"/>
          <w:i/>
          <w:sz w:val="24"/>
          <w:szCs w:val="24"/>
          <w:lang w:val="en-US"/>
        </w:rPr>
        <w:t>Methanobrevibacter</w:t>
      </w:r>
      <w:proofErr w:type="spellEnd"/>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increased in direction from healthy subjects to fully developed T2D, while </w:t>
      </w:r>
      <w:proofErr w:type="spellStart"/>
      <w:r w:rsidRPr="00AE5088">
        <w:rPr>
          <w:rFonts w:ascii="Book Antiqua" w:hAnsi="Book Antiqua" w:cs="Times New Roman"/>
          <w:i/>
          <w:sz w:val="24"/>
          <w:szCs w:val="24"/>
          <w:lang w:val="en-US"/>
        </w:rPr>
        <w:t>Methanosphaera</w:t>
      </w:r>
      <w:proofErr w:type="spellEnd"/>
      <w:r w:rsidRPr="00AE5088">
        <w:rPr>
          <w:rFonts w:ascii="Book Antiqua" w:hAnsi="Book Antiqua" w:cs="Times New Roman"/>
          <w:sz w:val="24"/>
          <w:szCs w:val="24"/>
          <w:lang w:val="en-US"/>
        </w:rPr>
        <w:t xml:space="preserve"> concentration gradually decreased. Fungal component demonstrated overall abundance growth with inclusion of pathogenic </w:t>
      </w:r>
      <w:r w:rsidRPr="00AE5088">
        <w:rPr>
          <w:rFonts w:ascii="Book Antiqua" w:hAnsi="Book Antiqua" w:cs="Times New Roman"/>
          <w:i/>
          <w:sz w:val="24"/>
          <w:szCs w:val="24"/>
          <w:lang w:val="en-US"/>
        </w:rPr>
        <w:t>Aspergillus</w:t>
      </w:r>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Candida</w:t>
      </w:r>
      <w:r w:rsidRPr="00AE5088">
        <w:rPr>
          <w:rFonts w:ascii="Book Antiqua" w:hAnsi="Book Antiqua" w:cs="Times New Roman"/>
          <w:sz w:val="24"/>
          <w:szCs w:val="24"/>
          <w:lang w:val="en-US"/>
        </w:rPr>
        <w:t xml:space="preserve"> </w:t>
      </w:r>
      <w:proofErr w:type="gramStart"/>
      <w:r w:rsidRPr="00AE5088">
        <w:rPr>
          <w:rFonts w:ascii="Book Antiqua" w:hAnsi="Book Antiqua" w:cs="Times New Roman"/>
          <w:sz w:val="24"/>
          <w:szCs w:val="24"/>
          <w:lang w:val="en-US"/>
        </w:rPr>
        <w:t>phyla</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9</w:t>
      </w:r>
      <w:r w:rsidR="004C4977"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Most of afo</w:t>
      </w:r>
      <w:r w:rsidR="00EE6ADE" w:rsidRPr="00AE5088">
        <w:rPr>
          <w:rFonts w:ascii="Book Antiqua" w:hAnsi="Book Antiqua" w:cs="Times New Roman"/>
          <w:sz w:val="24"/>
          <w:szCs w:val="24"/>
          <w:lang w:val="en-US"/>
        </w:rPr>
        <w:t>r</w:t>
      </w:r>
      <w:r w:rsidRPr="00AE5088">
        <w:rPr>
          <w:rFonts w:ascii="Book Antiqua" w:hAnsi="Book Antiqua" w:cs="Times New Roman"/>
          <w:sz w:val="24"/>
          <w:szCs w:val="24"/>
          <w:lang w:val="en-US"/>
        </w:rPr>
        <w:t xml:space="preserve">ementioned microorganisms were proposed as possible indicators for prediabetes, T1D </w:t>
      </w:r>
      <w:r w:rsidR="00C53566" w:rsidRPr="00AE5088">
        <w:rPr>
          <w:rFonts w:ascii="Book Antiqua" w:hAnsi="Book Antiqua" w:cs="Times New Roman"/>
          <w:sz w:val="24"/>
          <w:szCs w:val="24"/>
          <w:lang w:val="en-US"/>
        </w:rPr>
        <w:t xml:space="preserve">(type 1 diabetes) </w:t>
      </w:r>
      <w:r w:rsidRPr="00AE5088">
        <w:rPr>
          <w:rFonts w:ascii="Book Antiqua" w:hAnsi="Book Antiqua" w:cs="Times New Roman"/>
          <w:sz w:val="24"/>
          <w:szCs w:val="24"/>
          <w:lang w:val="en-US"/>
        </w:rPr>
        <w:t>and T2D, but their use in clinical practice is not recommended at the moment due to low amount of data and contradictory nature of results between studies, which may be solved in the future</w:t>
      </w:r>
      <w:r w:rsidRPr="00AE5088">
        <w:rPr>
          <w:rFonts w:ascii="Book Antiqua" w:hAnsi="Book Antiqua" w:cs="Times New Roman"/>
          <w:sz w:val="24"/>
          <w:szCs w:val="24"/>
          <w:vertAlign w:val="superscript"/>
          <w:lang w:val="en-US"/>
        </w:rPr>
        <w:t>[8</w:t>
      </w:r>
      <w:r w:rsidR="004C4977"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5D905465"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4F14B008" w14:textId="2C2B306B" w:rsidR="005F58AF" w:rsidRPr="005232A1" w:rsidRDefault="006E31AF" w:rsidP="005232A1">
      <w:pPr>
        <w:spacing w:after="0" w:line="360" w:lineRule="auto"/>
        <w:jc w:val="both"/>
        <w:rPr>
          <w:rFonts w:ascii="Book Antiqua" w:hAnsi="Book Antiqua" w:cs="Times New Roman"/>
          <w:b/>
          <w:bCs/>
          <w:i/>
          <w:iCs/>
          <w:sz w:val="24"/>
          <w:szCs w:val="24"/>
          <w:lang w:val="en-US"/>
        </w:rPr>
      </w:pPr>
      <w:r w:rsidRPr="00AE5088">
        <w:rPr>
          <w:rFonts w:ascii="Book Antiqua" w:hAnsi="Book Antiqua" w:cs="Times New Roman"/>
          <w:b/>
          <w:bCs/>
          <w:i/>
          <w:iCs/>
          <w:sz w:val="24"/>
          <w:szCs w:val="24"/>
          <w:lang w:val="en-US"/>
        </w:rPr>
        <w:t>Linkage of microbiome to diabetes through obesity and metabolic syndrome.</w:t>
      </w:r>
    </w:p>
    <w:p w14:paraId="67B1F806" w14:textId="2CD190F1"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Both T2D and obesity demonstrate a growing trend across the globe, with subjects suffering from the latter being often viewed as possible T2D risk </w:t>
      </w:r>
      <w:proofErr w:type="gramStart"/>
      <w:r w:rsidRPr="00AE5088">
        <w:rPr>
          <w:rFonts w:ascii="Book Antiqua" w:hAnsi="Book Antiqua" w:cs="Times New Roman"/>
          <w:sz w:val="24"/>
          <w:szCs w:val="24"/>
          <w:lang w:val="en-US"/>
        </w:rPr>
        <w:t>group</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102</w:t>
      </w:r>
      <w:r w:rsidR="00C87B95"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5232A1">
        <w:rPr>
          <w:rFonts w:ascii="Book Antiqua" w:hAnsi="Book Antiqua" w:cs="Times New Roman"/>
          <w:sz w:val="24"/>
          <w:szCs w:val="24"/>
          <w:lang w:val="en-US"/>
        </w:rPr>
        <w:t xml:space="preserve">. </w:t>
      </w:r>
      <w:r w:rsidRPr="00AE5088">
        <w:rPr>
          <w:rFonts w:ascii="Book Antiqua" w:hAnsi="Book Antiqua" w:cs="Times New Roman"/>
          <w:sz w:val="24"/>
          <w:szCs w:val="24"/>
          <w:lang w:val="en-US"/>
        </w:rPr>
        <w:t>Recent findings in the field of microbiome variation during diabetes and obesity had reaffirmed earlier theories concerning microbiota</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s participation in adipose tissue function and insulin resistance. Network-based gene expression association studies of host</w:t>
      </w:r>
      <w:r w:rsidR="005232A1">
        <w:rPr>
          <w:rFonts w:ascii="Book Antiqua" w:hAnsi="Book Antiqua" w:cs="Times New Roman"/>
          <w:sz w:val="24"/>
          <w:szCs w:val="24"/>
          <w:lang w:val="en-US"/>
        </w:rPr>
        <w:t>’</w:t>
      </w:r>
      <w:r w:rsidRPr="00AE5088">
        <w:rPr>
          <w:rFonts w:ascii="Book Antiqua" w:hAnsi="Book Antiqua" w:cs="Times New Roman"/>
          <w:sz w:val="24"/>
          <w:szCs w:val="24"/>
          <w:lang w:val="en-US"/>
        </w:rPr>
        <w:t>s genome underline digestive metabolism, immunization, and signal transduction as the most prominent mechanisms in development of obesity/T2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while the data on </w:t>
      </w:r>
      <w:proofErr w:type="spellStart"/>
      <w:r w:rsidRPr="00AE5088">
        <w:rPr>
          <w:rFonts w:ascii="Book Antiqua" w:hAnsi="Book Antiqua" w:cs="Times New Roman"/>
          <w:sz w:val="24"/>
          <w:szCs w:val="24"/>
          <w:lang w:val="en-US"/>
        </w:rPr>
        <w:t>gastrointestional</w:t>
      </w:r>
      <w:proofErr w:type="spellEnd"/>
      <w:r w:rsidRPr="00AE5088">
        <w:rPr>
          <w:rFonts w:ascii="Book Antiqua" w:hAnsi="Book Antiqua" w:cs="Times New Roman"/>
          <w:sz w:val="24"/>
          <w:szCs w:val="24"/>
          <w:lang w:val="en-US"/>
        </w:rPr>
        <w:t xml:space="preserve"> microbiome role is yet to be unified in coherent system. Gut microbiota had been shown to regulate body mass in a set of fecal transplantation experiments conducted on lean, obese and germ-free mice. Transplantation of </w:t>
      </w:r>
      <w:proofErr w:type="spellStart"/>
      <w:r w:rsidRPr="00AE5088">
        <w:rPr>
          <w:rFonts w:ascii="Book Antiqua" w:hAnsi="Book Antiqua" w:cs="Times New Roman"/>
          <w:sz w:val="24"/>
          <w:szCs w:val="24"/>
          <w:lang w:val="en-US"/>
        </w:rPr>
        <w:t>gastrointestional</w:t>
      </w:r>
      <w:proofErr w:type="spellEnd"/>
      <w:r w:rsidRPr="00AE5088">
        <w:rPr>
          <w:rFonts w:ascii="Book Antiqua" w:hAnsi="Book Antiqua" w:cs="Times New Roman"/>
          <w:sz w:val="24"/>
          <w:szCs w:val="24"/>
          <w:lang w:val="en-US"/>
        </w:rPr>
        <w:t xml:space="preserve"> microbiota from lean to obese mice led to lower insulin resistance, while transfer of microbiota from obese to lean mice led to body mass increase by 60% and higher insulin </w:t>
      </w:r>
      <w:proofErr w:type="gramStart"/>
      <w:r w:rsidRPr="00AE5088">
        <w:rPr>
          <w:rFonts w:ascii="Book Antiqua" w:hAnsi="Book Antiqua" w:cs="Times New Roman"/>
          <w:sz w:val="24"/>
          <w:szCs w:val="24"/>
          <w:lang w:val="en-US"/>
        </w:rPr>
        <w:t>resistance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8</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004C4977" w:rsidRPr="00AE5088">
        <w:rPr>
          <w:rFonts w:ascii="Book Antiqua" w:hAnsi="Book Antiqua" w:cs="Times New Roman"/>
          <w:sz w:val="24"/>
          <w:szCs w:val="24"/>
          <w:vertAlign w:val="superscript"/>
          <w:lang w:val="en-US"/>
        </w:rPr>
        <w:t>104</w:t>
      </w:r>
      <w:r w:rsidR="00C87B95"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Low grade inflammation, acquired through activation of TLR4/MyD88/NF-</w:t>
      </w:r>
      <w:proofErr w:type="spellStart"/>
      <w:r w:rsidRPr="00AE5088">
        <w:rPr>
          <w:rFonts w:ascii="Book Antiqua" w:hAnsi="Book Antiqua" w:cs="Times New Roman"/>
          <w:sz w:val="24"/>
          <w:szCs w:val="24"/>
          <w:lang w:val="en-US"/>
        </w:rPr>
        <w:t>κB</w:t>
      </w:r>
      <w:proofErr w:type="spellEnd"/>
      <w:r w:rsidRPr="00AE5088">
        <w:rPr>
          <w:rFonts w:ascii="Book Antiqua" w:hAnsi="Book Antiqua" w:cs="Times New Roman"/>
          <w:sz w:val="24"/>
          <w:szCs w:val="24"/>
          <w:lang w:val="en-US"/>
        </w:rPr>
        <w:t xml:space="preserve"> pathway by lipopolysaccharides from gram-</w:t>
      </w:r>
      <w:r w:rsidRPr="00AE5088">
        <w:rPr>
          <w:rFonts w:ascii="Book Antiqua" w:hAnsi="Book Antiqua" w:cs="Times New Roman"/>
          <w:sz w:val="24"/>
          <w:szCs w:val="24"/>
          <w:lang w:val="en-US"/>
        </w:rPr>
        <w:lastRenderedPageBreak/>
        <w:t xml:space="preserve">negative bacterial walls, had been connected to insulin resistance through insulin receptor substrate serine phosphorylation by participants of </w:t>
      </w:r>
      <w:r w:rsidRPr="00AE5088">
        <w:rPr>
          <w:rFonts w:ascii="Book Antiqua" w:hAnsi="Book Antiqua" w:cs="Times New Roman"/>
          <w:spacing w:val="2"/>
          <w:sz w:val="24"/>
          <w:szCs w:val="24"/>
          <w:lang w:val="en-US"/>
        </w:rPr>
        <w:t xml:space="preserve">inflammatory </w:t>
      </w:r>
      <w:proofErr w:type="gramStart"/>
      <w:r w:rsidRPr="00AE5088">
        <w:rPr>
          <w:rFonts w:ascii="Book Antiqua" w:hAnsi="Book Antiqua" w:cs="Times New Roman"/>
          <w:spacing w:val="2"/>
          <w:sz w:val="24"/>
          <w:szCs w:val="24"/>
          <w:lang w:val="en-US"/>
        </w:rPr>
        <w:t>cascade</w:t>
      </w:r>
      <w:r w:rsidRPr="00AE5088">
        <w:rPr>
          <w:rFonts w:ascii="Book Antiqua" w:hAnsi="Book Antiqua" w:cs="Times New Roman"/>
          <w:spacing w:val="2"/>
          <w:sz w:val="24"/>
          <w:szCs w:val="24"/>
          <w:vertAlign w:val="superscript"/>
          <w:lang w:val="en-US"/>
        </w:rPr>
        <w:t>[</w:t>
      </w:r>
      <w:proofErr w:type="gramEnd"/>
      <w:r w:rsidRPr="00AE5088">
        <w:rPr>
          <w:rFonts w:ascii="Book Antiqua" w:hAnsi="Book Antiqua" w:cs="Times New Roman"/>
          <w:spacing w:val="2"/>
          <w:sz w:val="24"/>
          <w:szCs w:val="24"/>
          <w:vertAlign w:val="superscript"/>
          <w:lang w:val="en-US"/>
        </w:rPr>
        <w:t>10</w:t>
      </w:r>
      <w:r w:rsidR="004C4977" w:rsidRPr="00AE5088">
        <w:rPr>
          <w:rFonts w:ascii="Book Antiqua" w:hAnsi="Book Antiqua" w:cs="Times New Roman"/>
          <w:spacing w:val="2"/>
          <w:sz w:val="24"/>
          <w:szCs w:val="24"/>
          <w:vertAlign w:val="superscript"/>
          <w:lang w:val="en-US"/>
        </w:rPr>
        <w:t>6</w:t>
      </w:r>
      <w:r w:rsidRPr="00AE5088">
        <w:rPr>
          <w:rFonts w:ascii="Book Antiqua" w:hAnsi="Book Antiqua" w:cs="Times New Roman"/>
          <w:spacing w:val="2"/>
          <w:sz w:val="24"/>
          <w:szCs w:val="24"/>
          <w:vertAlign w:val="superscript"/>
          <w:lang w:val="en-US"/>
        </w:rPr>
        <w:t>]</w:t>
      </w:r>
      <w:r w:rsidRPr="00AE5088">
        <w:rPr>
          <w:rFonts w:ascii="Book Antiqua" w:hAnsi="Book Antiqua" w:cs="Times New Roman"/>
          <w:sz w:val="24"/>
          <w:szCs w:val="24"/>
          <w:lang w:val="en-US"/>
        </w:rPr>
        <w:t>. Inhibition of NF-</w:t>
      </w:r>
      <w:proofErr w:type="spellStart"/>
      <w:r w:rsidRPr="00AE5088">
        <w:rPr>
          <w:rFonts w:ascii="Book Antiqua" w:hAnsi="Book Antiqua" w:cs="Times New Roman"/>
          <w:sz w:val="24"/>
          <w:szCs w:val="24"/>
          <w:lang w:val="en-US"/>
        </w:rPr>
        <w:t>κB</w:t>
      </w:r>
      <w:proofErr w:type="spellEnd"/>
      <w:r w:rsidRPr="00AE5088">
        <w:rPr>
          <w:rFonts w:ascii="Book Antiqua" w:hAnsi="Book Antiqua" w:cs="Times New Roman"/>
          <w:sz w:val="24"/>
          <w:szCs w:val="24"/>
          <w:lang w:val="en-US"/>
        </w:rPr>
        <w:t xml:space="preserve"> led to increase of </w:t>
      </w:r>
      <w:proofErr w:type="spellStart"/>
      <w:r w:rsidRPr="00AE5088">
        <w:rPr>
          <w:rFonts w:ascii="Book Antiqua" w:hAnsi="Book Antiqua" w:cs="Times New Roman"/>
          <w:sz w:val="24"/>
          <w:szCs w:val="24"/>
          <w:lang w:val="en-US"/>
        </w:rPr>
        <w:t>Akkermansia</w:t>
      </w:r>
      <w:proofErr w:type="spellEnd"/>
      <w:r w:rsidRPr="00AE5088">
        <w:rPr>
          <w:rFonts w:ascii="Book Antiqua" w:hAnsi="Book Antiqua" w:cs="Times New Roman"/>
          <w:sz w:val="24"/>
          <w:szCs w:val="24"/>
          <w:lang w:val="en-US"/>
        </w:rPr>
        <w:t xml:space="preserve">/Lactobacillus, reduced body mass and lower insulin </w:t>
      </w:r>
      <w:proofErr w:type="gramStart"/>
      <w:r w:rsidRPr="00AE5088">
        <w:rPr>
          <w:rFonts w:ascii="Book Antiqua" w:hAnsi="Book Antiqua" w:cs="Times New Roman"/>
          <w:sz w:val="24"/>
          <w:szCs w:val="24"/>
          <w:lang w:val="en-US"/>
        </w:rPr>
        <w:t>tolerance</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Short chain fatty acids</w:t>
      </w:r>
      <w:r w:rsidR="00E4466A"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(SCFA), obtained by bacteria through fermentation of non-digestible fibers, serve as signaling molecules in a broad list of processes, including proliferation of pancreatic β cells and insulin biosynthesis. This partially explains prebiotic treatment effectiveness and changes in abundance of </w:t>
      </w:r>
      <w:proofErr w:type="spellStart"/>
      <w:r w:rsidRPr="00AE5088">
        <w:rPr>
          <w:rFonts w:ascii="Book Antiqua" w:hAnsi="Book Antiqua" w:cs="Times New Roman"/>
          <w:i/>
          <w:sz w:val="24"/>
          <w:szCs w:val="24"/>
          <w:lang w:val="en-US"/>
        </w:rPr>
        <w:t>Roseburia</w:t>
      </w:r>
      <w:proofErr w:type="spellEnd"/>
      <w:r w:rsidRPr="00AE5088">
        <w:rPr>
          <w:rFonts w:ascii="Book Antiqua" w:hAnsi="Book Antiqua" w:cs="Times New Roman"/>
          <w:i/>
          <w:sz w:val="24"/>
          <w:szCs w:val="24"/>
          <w:lang w:val="en-US"/>
        </w:rPr>
        <w:t xml:space="preserve"> intestinalis</w:t>
      </w:r>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i/>
          <w:sz w:val="24"/>
          <w:szCs w:val="24"/>
          <w:lang w:val="en-US"/>
        </w:rPr>
        <w:t>Faecalibacterium</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prausnitzii</w:t>
      </w:r>
      <w:proofErr w:type="spellEnd"/>
      <w:r w:rsidRPr="00AE5088">
        <w:rPr>
          <w:rFonts w:ascii="Book Antiqua" w:hAnsi="Book Antiqua" w:cs="Times New Roman"/>
          <w:i/>
          <w:sz w:val="24"/>
          <w:szCs w:val="24"/>
          <w:lang w:val="en-US"/>
        </w:rPr>
        <w:t xml:space="preserve">, </w:t>
      </w:r>
      <w:r w:rsidRPr="00AE5088">
        <w:rPr>
          <w:rFonts w:ascii="Book Antiqua" w:hAnsi="Book Antiqua" w:cs="Times New Roman"/>
          <w:sz w:val="24"/>
          <w:szCs w:val="24"/>
          <w:lang w:val="en-US"/>
        </w:rPr>
        <w:t xml:space="preserve">but further research is required, as results from different studies often contradict each </w:t>
      </w:r>
      <w:proofErr w:type="gramStart"/>
      <w:r w:rsidRPr="00AE5088">
        <w:rPr>
          <w:rFonts w:ascii="Book Antiqua" w:hAnsi="Book Antiqua" w:cs="Times New Roman"/>
          <w:sz w:val="24"/>
          <w:szCs w:val="24"/>
          <w:lang w:val="en-US"/>
        </w:rPr>
        <w:t>other</w:t>
      </w:r>
      <w:r w:rsidRPr="00AE5088">
        <w:rPr>
          <w:rFonts w:ascii="Book Antiqua" w:hAnsi="Book Antiqua" w:cs="Times New Roman"/>
          <w:sz w:val="24"/>
          <w:szCs w:val="24"/>
          <w:vertAlign w:val="superscript"/>
          <w:lang w:val="en-US"/>
        </w:rPr>
        <w:t>[</w:t>
      </w:r>
      <w:proofErr w:type="gramEnd"/>
      <w:r w:rsidR="004C4977" w:rsidRPr="00AE5088">
        <w:rPr>
          <w:rFonts w:ascii="Book Antiqua" w:hAnsi="Book Antiqua" w:cs="Times New Roman"/>
          <w:sz w:val="24"/>
          <w:szCs w:val="24"/>
          <w:vertAlign w:val="superscript"/>
          <w:lang w:val="en-US"/>
        </w:rPr>
        <w:t>100</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,10</w:t>
      </w:r>
      <w:r w:rsidR="004C4977" w:rsidRPr="00AE5088">
        <w:rPr>
          <w:rFonts w:ascii="Book Antiqua" w:hAnsi="Book Antiqua" w:cs="Times New Roman"/>
          <w:sz w:val="24"/>
          <w:szCs w:val="24"/>
          <w:vertAlign w:val="superscript"/>
          <w:lang w:val="en-US"/>
        </w:rPr>
        <w:t>9</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High serum levels of </w:t>
      </w:r>
      <w:proofErr w:type="spellStart"/>
      <w:r w:rsidR="00C53566" w:rsidRPr="00AE5088">
        <w:rPr>
          <w:rFonts w:ascii="Book Antiqua" w:hAnsi="Book Antiqua" w:cs="Times New Roman"/>
          <w:sz w:val="24"/>
          <w:szCs w:val="24"/>
          <w:lang w:val="en-US"/>
        </w:rPr>
        <w:t>BCAA</w:t>
      </w:r>
      <w:r w:rsidRPr="00AE5088">
        <w:rPr>
          <w:rFonts w:ascii="Book Antiqua" w:hAnsi="Book Antiqua" w:cs="Times New Roman"/>
          <w:sz w:val="24"/>
          <w:szCs w:val="24"/>
          <w:lang w:val="en-US"/>
        </w:rPr>
        <w:t>are</w:t>
      </w:r>
      <w:proofErr w:type="spellEnd"/>
      <w:r w:rsidRPr="00AE5088">
        <w:rPr>
          <w:rFonts w:ascii="Book Antiqua" w:hAnsi="Book Antiqua" w:cs="Times New Roman"/>
          <w:sz w:val="24"/>
          <w:szCs w:val="24"/>
          <w:lang w:val="en-US"/>
        </w:rPr>
        <w:t xml:space="preserve"> attributed to both obesity and T2D with steady increase of </w:t>
      </w:r>
      <w:proofErr w:type="spellStart"/>
      <w:r w:rsidRPr="00AE5088">
        <w:rPr>
          <w:rFonts w:ascii="Book Antiqua" w:hAnsi="Book Antiqua" w:cs="Times New Roman"/>
          <w:i/>
          <w:sz w:val="24"/>
          <w:szCs w:val="24"/>
          <w:lang w:val="en-US"/>
        </w:rPr>
        <w:t>Prevotella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copri</w:t>
      </w:r>
      <w:proofErr w:type="spellEnd"/>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 xml:space="preserve">Bacteroides </w:t>
      </w:r>
      <w:proofErr w:type="spellStart"/>
      <w:r w:rsidRPr="00AE5088">
        <w:rPr>
          <w:rFonts w:ascii="Book Antiqua" w:hAnsi="Book Antiqua" w:cs="Times New Roman"/>
          <w:i/>
          <w:sz w:val="24"/>
          <w:szCs w:val="24"/>
          <w:lang w:val="en-US"/>
        </w:rPr>
        <w:t>vulgatus</w:t>
      </w:r>
      <w:proofErr w:type="spellEnd"/>
      <w:r w:rsidRPr="00AE5088">
        <w:rPr>
          <w:rFonts w:ascii="Book Antiqua" w:hAnsi="Book Antiqua" w:cs="Times New Roman"/>
          <w:sz w:val="24"/>
          <w:szCs w:val="24"/>
          <w:lang w:val="en-US"/>
        </w:rPr>
        <w:t xml:space="preserve"> during the onset of the </w:t>
      </w:r>
      <w:proofErr w:type="gramStart"/>
      <w:r w:rsidRPr="00AE5088">
        <w:rPr>
          <w:rFonts w:ascii="Book Antiqua" w:hAnsi="Book Antiqua" w:cs="Times New Roman"/>
          <w:sz w:val="24"/>
          <w:szCs w:val="24"/>
          <w:lang w:val="en-US"/>
        </w:rPr>
        <w:t>diseases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w:t>
      </w:r>
      <w:r w:rsidR="004C4977" w:rsidRPr="00AE5088">
        <w:rPr>
          <w:rFonts w:ascii="Book Antiqua" w:hAnsi="Book Antiqua" w:cs="Times New Roman"/>
          <w:sz w:val="24"/>
          <w:szCs w:val="24"/>
          <w:vertAlign w:val="superscript"/>
          <w:lang w:val="en-US"/>
        </w:rPr>
        <w:t>10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Both probiotics and prebiotics tend to increase insulin sensitivity and lower body mass, although studies have small sample sizes and require longitudinal </w:t>
      </w:r>
      <w:proofErr w:type="gramStart"/>
      <w:r w:rsidRPr="00AE5088">
        <w:rPr>
          <w:rFonts w:ascii="Book Antiqua" w:hAnsi="Book Antiqua" w:cs="Times New Roman"/>
          <w:sz w:val="24"/>
          <w:szCs w:val="24"/>
          <w:lang w:val="en-US"/>
        </w:rPr>
        <w:t>research</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 xml:space="preserve"> </w:t>
      </w:r>
    </w:p>
    <w:p w14:paraId="3184E535"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5FC1A68E" w14:textId="7EB241B1" w:rsidR="005F58AF" w:rsidRPr="005232A1" w:rsidRDefault="006E31AF" w:rsidP="005232A1">
      <w:pPr>
        <w:spacing w:after="0" w:line="360" w:lineRule="auto"/>
        <w:jc w:val="both"/>
        <w:rPr>
          <w:rFonts w:ascii="Book Antiqua" w:hAnsi="Book Antiqua" w:cs="Times New Roman"/>
          <w:i/>
          <w:sz w:val="24"/>
          <w:szCs w:val="24"/>
          <w:lang w:val="en-US"/>
        </w:rPr>
      </w:pPr>
      <w:r w:rsidRPr="00AE5088">
        <w:rPr>
          <w:rFonts w:ascii="Book Antiqua" w:hAnsi="Book Antiqua" w:cs="Times New Roman"/>
          <w:b/>
          <w:bCs/>
          <w:i/>
          <w:sz w:val="24"/>
          <w:szCs w:val="24"/>
          <w:lang w:val="en-US"/>
        </w:rPr>
        <w:t>Metformin effects on microbiome composition</w:t>
      </w:r>
    </w:p>
    <w:p w14:paraId="231F7F63" w14:textId="6937FED9" w:rsidR="005F58AF" w:rsidRPr="00AE5088" w:rsidRDefault="006E31AF"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Recent findings demonstrate that effectiveness of metformin, most prescribed antidiabetic drug whose pharmacodynamics mainly involve activation of hepatic AMP-activated protein kinase in liver, may be partially attributed to mediation of diabetic dysbiosis. Increase of</w:t>
      </w:r>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Akkermansia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muciniphila</w:t>
      </w:r>
      <w:proofErr w:type="spellEnd"/>
      <w:r w:rsidRPr="00AE5088">
        <w:rPr>
          <w:rFonts w:ascii="Book Antiqua" w:hAnsi="Book Antiqua" w:cs="Times New Roman"/>
          <w:sz w:val="24"/>
          <w:szCs w:val="24"/>
          <w:lang w:val="en-US"/>
        </w:rPr>
        <w:t xml:space="preserve"> abundance after metformin treatment was detected in both human and animal studies, while in vitro conditions in gut simulator demonstrated metformin as a growth factor for both </w:t>
      </w:r>
      <w:proofErr w:type="spellStart"/>
      <w:r w:rsidRPr="00AE5088">
        <w:rPr>
          <w:rFonts w:ascii="Book Antiqua" w:hAnsi="Book Antiqua" w:cs="Times New Roman"/>
          <w:i/>
          <w:sz w:val="24"/>
          <w:szCs w:val="24"/>
          <w:lang w:val="en-US"/>
        </w:rPr>
        <w:t>Akkermansia</w:t>
      </w:r>
      <w:proofErr w:type="spellEnd"/>
      <w:r w:rsidRPr="00AE5088">
        <w:rPr>
          <w:rFonts w:ascii="Book Antiqua" w:hAnsi="Book Antiqua" w:cs="Times New Roman"/>
          <w:i/>
          <w:sz w:val="24"/>
          <w:szCs w:val="24"/>
          <w:lang w:val="en-US"/>
        </w:rPr>
        <w:t xml:space="preserve"> </w:t>
      </w:r>
      <w:proofErr w:type="spellStart"/>
      <w:r w:rsidRPr="00AE5088">
        <w:rPr>
          <w:rFonts w:ascii="Book Antiqua" w:hAnsi="Book Antiqua" w:cs="Times New Roman"/>
          <w:i/>
          <w:sz w:val="24"/>
          <w:szCs w:val="24"/>
          <w:lang w:val="en-US"/>
        </w:rPr>
        <w:t>muciniphila</w:t>
      </w:r>
      <w:proofErr w:type="spellEnd"/>
      <w:r w:rsidRPr="00AE5088">
        <w:rPr>
          <w:rFonts w:ascii="Book Antiqua" w:hAnsi="Book Antiqua" w:cs="Times New Roman"/>
          <w:sz w:val="24"/>
          <w:szCs w:val="24"/>
          <w:lang w:val="en-US"/>
        </w:rPr>
        <w:t xml:space="preserve"> and </w:t>
      </w:r>
      <w:r w:rsidRPr="00AE5088">
        <w:rPr>
          <w:rFonts w:ascii="Book Antiqua" w:hAnsi="Book Antiqua" w:cs="Times New Roman"/>
          <w:i/>
          <w:sz w:val="24"/>
          <w:szCs w:val="24"/>
          <w:lang w:val="en-US"/>
        </w:rPr>
        <w:t xml:space="preserve">Bifidobacterium </w:t>
      </w:r>
      <w:proofErr w:type="spellStart"/>
      <w:proofErr w:type="gramStart"/>
      <w:r w:rsidRPr="00AE5088">
        <w:rPr>
          <w:rFonts w:ascii="Book Antiqua" w:hAnsi="Book Antiqua" w:cs="Times New Roman"/>
          <w:i/>
          <w:sz w:val="24"/>
          <w:szCs w:val="24"/>
          <w:lang w:val="en-US"/>
        </w:rPr>
        <w:t>adolescentis</w:t>
      </w:r>
      <w:proofErr w:type="spellEnd"/>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Metformin therapy was found to promote growth of SCFA-producing bacteria in rats (</w:t>
      </w:r>
      <w:proofErr w:type="spellStart"/>
      <w:r w:rsidRPr="00AE5088">
        <w:rPr>
          <w:rFonts w:ascii="Book Antiqua" w:hAnsi="Book Antiqua" w:cs="Times New Roman"/>
          <w:sz w:val="24"/>
          <w:szCs w:val="24"/>
          <w:lang w:val="en-US"/>
        </w:rPr>
        <w:t>Allobaculum</w:t>
      </w:r>
      <w:proofErr w:type="spellEnd"/>
      <w:r w:rsidRPr="00AE5088">
        <w:rPr>
          <w:rFonts w:ascii="Book Antiqua" w:hAnsi="Book Antiqua" w:cs="Times New Roman"/>
          <w:sz w:val="24"/>
          <w:szCs w:val="24"/>
          <w:lang w:val="en-US"/>
        </w:rPr>
        <w:t xml:space="preserve">, Bacteroides, </w:t>
      </w:r>
      <w:proofErr w:type="spellStart"/>
      <w:r w:rsidRPr="00AE5088">
        <w:rPr>
          <w:rFonts w:ascii="Book Antiqua" w:hAnsi="Book Antiqua" w:cs="Times New Roman"/>
          <w:sz w:val="24"/>
          <w:szCs w:val="24"/>
          <w:lang w:val="en-US"/>
        </w:rPr>
        <w:t>Blautia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Butyricoccus</w:t>
      </w:r>
      <w:proofErr w:type="spellEnd"/>
      <w:r w:rsidRPr="00AE5088">
        <w:rPr>
          <w:rFonts w:ascii="Book Antiqua" w:hAnsi="Book Antiqua" w:cs="Times New Roman"/>
          <w:sz w:val="24"/>
          <w:szCs w:val="24"/>
          <w:lang w:val="en-US"/>
        </w:rPr>
        <w:t xml:space="preserve">, Lactobacillus, </w:t>
      </w:r>
      <w:proofErr w:type="spellStart"/>
      <w:r w:rsidRPr="00AE5088">
        <w:rPr>
          <w:rFonts w:ascii="Book Antiqua" w:hAnsi="Book Antiqua" w:cs="Times New Roman"/>
          <w:sz w:val="24"/>
          <w:szCs w:val="24"/>
          <w:lang w:val="en-US"/>
        </w:rPr>
        <w:t>Akkermansia</w:t>
      </w:r>
      <w:proofErr w:type="spellEnd"/>
      <w:r w:rsidRPr="00AE5088">
        <w:rPr>
          <w:rFonts w:ascii="Book Antiqua" w:hAnsi="Book Antiqua" w:cs="Times New Roman"/>
          <w:sz w:val="24"/>
          <w:szCs w:val="24"/>
          <w:lang w:val="en-US"/>
        </w:rPr>
        <w:t xml:space="preserve"> and </w:t>
      </w:r>
      <w:proofErr w:type="spellStart"/>
      <w:r w:rsidRPr="00AE5088">
        <w:rPr>
          <w:rFonts w:ascii="Book Antiqua" w:hAnsi="Book Antiqua" w:cs="Times New Roman"/>
          <w:sz w:val="24"/>
          <w:szCs w:val="24"/>
          <w:lang w:val="en-US"/>
        </w:rPr>
        <w:t>Phascolarctobacterium</w:t>
      </w:r>
      <w:proofErr w:type="spellEnd"/>
      <w:r w:rsidRPr="00AE5088">
        <w:rPr>
          <w:rFonts w:ascii="Book Antiqua" w:hAnsi="Book Antiqua" w:cs="Times New Roman"/>
          <w:sz w:val="24"/>
          <w:szCs w:val="24"/>
          <w:lang w:val="en-US"/>
        </w:rPr>
        <w:t>) and humans (</w:t>
      </w:r>
      <w:proofErr w:type="spellStart"/>
      <w:r w:rsidRPr="00AE5088">
        <w:rPr>
          <w:rFonts w:ascii="Book Antiqua" w:hAnsi="Book Antiqua" w:cs="Times New Roman"/>
          <w:sz w:val="24"/>
          <w:szCs w:val="24"/>
          <w:lang w:val="en-US"/>
        </w:rPr>
        <w:t>Akkermansia</w:t>
      </w:r>
      <w:proofErr w:type="spellEnd"/>
      <w:r w:rsidRPr="00AE5088">
        <w:rPr>
          <w:rFonts w:ascii="Book Antiqua" w:hAnsi="Book Antiqua" w:cs="Times New Roman"/>
          <w:sz w:val="24"/>
          <w:szCs w:val="24"/>
          <w:lang w:val="en-US"/>
        </w:rPr>
        <w:t xml:space="preserve">, Lactobacillus, Bifidobacterium, </w:t>
      </w:r>
      <w:proofErr w:type="spellStart"/>
      <w:r w:rsidRPr="00AE5088">
        <w:rPr>
          <w:rFonts w:ascii="Book Antiqua" w:hAnsi="Book Antiqua" w:cs="Times New Roman"/>
          <w:sz w:val="24"/>
          <w:szCs w:val="24"/>
          <w:lang w:val="en-US"/>
        </w:rPr>
        <w:t>Prevotella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Megasphaera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Shewanella</w:t>
      </w:r>
      <w:proofErr w:type="spellEnd"/>
      <w:r w:rsidRPr="00AE5088">
        <w:rPr>
          <w:rFonts w:ascii="Book Antiqua" w:hAnsi="Book Antiqua" w:cs="Times New Roman"/>
          <w:sz w:val="24"/>
          <w:szCs w:val="24"/>
          <w:lang w:val="en-US"/>
        </w:rPr>
        <w:t xml:space="preserve">, </w:t>
      </w:r>
      <w:proofErr w:type="spellStart"/>
      <w:r w:rsidRPr="00AE5088">
        <w:rPr>
          <w:rFonts w:ascii="Book Antiqua" w:hAnsi="Book Antiqua" w:cs="Times New Roman"/>
          <w:sz w:val="24"/>
          <w:szCs w:val="24"/>
          <w:lang w:val="en-US"/>
        </w:rPr>
        <w:t>Blautia</w:t>
      </w:r>
      <w:proofErr w:type="spellEnd"/>
      <w:r w:rsidRPr="00AE5088">
        <w:rPr>
          <w:rFonts w:ascii="Book Antiqua" w:hAnsi="Book Antiqua" w:cs="Times New Roman"/>
          <w:sz w:val="24"/>
          <w:szCs w:val="24"/>
          <w:lang w:val="en-US"/>
        </w:rPr>
        <w:t xml:space="preserve"> or </w:t>
      </w:r>
      <w:proofErr w:type="spellStart"/>
      <w:proofErr w:type="gramStart"/>
      <w:r w:rsidRPr="00AE5088">
        <w:rPr>
          <w:rFonts w:ascii="Book Antiqua" w:hAnsi="Book Antiqua" w:cs="Times New Roman"/>
          <w:sz w:val="24"/>
          <w:szCs w:val="24"/>
          <w:lang w:val="en-US"/>
        </w:rPr>
        <w:t>Butyrivibrio</w:t>
      </w:r>
      <w:proofErr w:type="spellEnd"/>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4C4977"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0A66BEBA"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462D4BEB" w14:textId="070A401A" w:rsidR="00743A24" w:rsidRPr="005232A1" w:rsidRDefault="005232A1"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NEW APPROACHES FOR CLINICIAN INTERPRETATIONS OF NGS DATA</w:t>
      </w:r>
    </w:p>
    <w:p w14:paraId="52C65348" w14:textId="40BD1444" w:rsidR="00212471" w:rsidRPr="00AE5088" w:rsidRDefault="00212471"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The identification of multiple loci by GWAS and sequencing technologies has given a considerable impetus to the disclosure of pathogenesis of T2D and provide</w:t>
      </w:r>
      <w:r w:rsidR="00EF5889" w:rsidRPr="00AE5088">
        <w:rPr>
          <w:rFonts w:ascii="Book Antiqua" w:hAnsi="Book Antiqua" w:cs="Times New Roman"/>
          <w:sz w:val="24"/>
          <w:szCs w:val="24"/>
          <w:lang w:val="en-US"/>
        </w:rPr>
        <w:t>s</w:t>
      </w:r>
      <w:r w:rsidRPr="00AE5088">
        <w:rPr>
          <w:rFonts w:ascii="Book Antiqua" w:hAnsi="Book Antiqua" w:cs="Times New Roman"/>
          <w:sz w:val="24"/>
          <w:szCs w:val="24"/>
          <w:lang w:val="en-US"/>
        </w:rPr>
        <w:t xml:space="preserve"> a tempting opportunity to translate genetic information to clinical practice. This knowledge may have potential role in disease risk prediction including identification of subjects at risk </w:t>
      </w:r>
      <w:r w:rsidRPr="00AE5088">
        <w:rPr>
          <w:rFonts w:ascii="Book Antiqua" w:hAnsi="Book Antiqua" w:cs="Times New Roman"/>
          <w:sz w:val="24"/>
          <w:szCs w:val="24"/>
          <w:lang w:val="en-US"/>
        </w:rPr>
        <w:lastRenderedPageBreak/>
        <w:t xml:space="preserve">of developing disease at an early-stage, and in clinical management of individuals to modify treatment </w:t>
      </w:r>
      <w:r w:rsidR="00C4501B" w:rsidRPr="00AE5088">
        <w:rPr>
          <w:rFonts w:ascii="Book Antiqua" w:hAnsi="Book Antiqua" w:cs="Times New Roman"/>
          <w:sz w:val="24"/>
          <w:szCs w:val="24"/>
          <w:lang w:val="en-US"/>
        </w:rPr>
        <w:t>regimens</w:t>
      </w:r>
      <w:r w:rsidRPr="00AE5088">
        <w:rPr>
          <w:rFonts w:ascii="Book Antiqua" w:hAnsi="Book Antiqua" w:cs="Times New Roman"/>
          <w:sz w:val="24"/>
          <w:szCs w:val="24"/>
          <w:lang w:val="en-US"/>
        </w:rPr>
        <w:t xml:space="preserve"> so that affected individuals would benefit most by their therapy and avoid the occurrence of </w:t>
      </w:r>
      <w:proofErr w:type="gramStart"/>
      <w:r w:rsidRPr="00AE5088">
        <w:rPr>
          <w:rFonts w:ascii="Book Antiqua" w:hAnsi="Book Antiqua" w:cs="Times New Roman"/>
          <w:sz w:val="24"/>
          <w:szCs w:val="24"/>
          <w:lang w:val="en-US"/>
        </w:rPr>
        <w:t>complications</w:t>
      </w:r>
      <w:r w:rsidRPr="00AE5088">
        <w:rPr>
          <w:rFonts w:ascii="Book Antiqua" w:hAnsi="Book Antiqua" w:cs="Times New Roman"/>
          <w:sz w:val="24"/>
          <w:szCs w:val="24"/>
          <w:vertAlign w:val="superscript"/>
          <w:lang w:val="en-US"/>
        </w:rPr>
        <w:t>[</w:t>
      </w:r>
      <w:proofErr w:type="gramEnd"/>
      <w:r w:rsidR="00473C69" w:rsidRPr="00AE5088">
        <w:rPr>
          <w:rFonts w:ascii="Book Antiqua" w:hAnsi="Book Antiqua" w:cs="Times New Roman"/>
          <w:sz w:val="24"/>
          <w:szCs w:val="24"/>
          <w:vertAlign w:val="superscript"/>
          <w:lang w:val="en-US"/>
        </w:rPr>
        <w:t>63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00AE5088"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The emerging availability of genomic and electronic health data in large populations is a powerful tool for research that has drawn interest in bringing precision medicine to </w:t>
      </w:r>
      <w:proofErr w:type="gramStart"/>
      <w:r w:rsidRPr="00AE5088">
        <w:rPr>
          <w:rFonts w:ascii="Book Antiqua" w:hAnsi="Book Antiqua" w:cs="Times New Roman"/>
          <w:sz w:val="24"/>
          <w:szCs w:val="24"/>
          <w:lang w:val="en-US"/>
        </w:rPr>
        <w:t>diabetes</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11</w:t>
      </w:r>
      <w:r w:rsidR="00D60348"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1D75D3FD" w14:textId="77777777" w:rsidR="00A4500D" w:rsidRPr="00AE5088" w:rsidRDefault="00A4500D" w:rsidP="005232A1">
      <w:pPr>
        <w:spacing w:after="0" w:line="360" w:lineRule="auto"/>
        <w:jc w:val="both"/>
        <w:rPr>
          <w:rFonts w:ascii="Book Antiqua" w:hAnsi="Book Antiqua" w:cs="Times New Roman"/>
          <w:b/>
          <w:sz w:val="24"/>
          <w:szCs w:val="24"/>
          <w:lang w:val="en-US"/>
        </w:rPr>
      </w:pPr>
    </w:p>
    <w:p w14:paraId="4C525ACA" w14:textId="77777777" w:rsidR="00A4500D" w:rsidRPr="00AE5088" w:rsidRDefault="00A4500D"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b/>
          <w:i/>
          <w:sz w:val="24"/>
          <w:szCs w:val="24"/>
          <w:lang w:val="en-US"/>
        </w:rPr>
        <w:t>Can a genetic test motivate lifestyle changes?</w:t>
      </w:r>
    </w:p>
    <w:p w14:paraId="0E71D4F9" w14:textId="44D72ACB" w:rsidR="00A4500D" w:rsidRPr="00AE5088" w:rsidRDefault="00A4500D" w:rsidP="005232A1">
      <w:pPr>
        <w:pStyle w:val="Heading1"/>
        <w:spacing w:before="0" w:beforeAutospacing="0" w:after="0" w:afterAutospacing="0" w:line="360" w:lineRule="auto"/>
        <w:jc w:val="both"/>
        <w:rPr>
          <w:rFonts w:ascii="Book Antiqua" w:hAnsi="Book Antiqua"/>
          <w:b w:val="0"/>
          <w:sz w:val="24"/>
          <w:szCs w:val="24"/>
          <w:lang w:val="en-US"/>
        </w:rPr>
      </w:pPr>
      <w:r w:rsidRPr="00AE5088">
        <w:rPr>
          <w:rFonts w:ascii="Book Antiqua" w:eastAsiaTheme="minorHAnsi" w:hAnsi="Book Antiqua"/>
          <w:b w:val="0"/>
          <w:bCs w:val="0"/>
          <w:kern w:val="0"/>
          <w:sz w:val="24"/>
          <w:szCs w:val="24"/>
          <w:lang w:val="en-US" w:eastAsia="en-US"/>
        </w:rPr>
        <w:t>Accordi</w:t>
      </w:r>
      <w:r w:rsidRPr="00AE5088">
        <w:rPr>
          <w:rFonts w:ascii="Book Antiqua" w:hAnsi="Book Antiqua"/>
          <w:b w:val="0"/>
          <w:sz w:val="24"/>
          <w:szCs w:val="24"/>
          <w:lang w:val="en-US"/>
        </w:rPr>
        <w:t xml:space="preserve">ng to the latest polls people are interested in genetic testing for T2D risk since this allows you to evaluate the individual feature of pathology </w:t>
      </w:r>
      <w:proofErr w:type="gramStart"/>
      <w:r w:rsidRPr="00AE5088">
        <w:rPr>
          <w:rFonts w:ascii="Book Antiqua" w:hAnsi="Book Antiqua"/>
          <w:b w:val="0"/>
          <w:sz w:val="24"/>
          <w:szCs w:val="24"/>
          <w:lang w:val="en-US"/>
        </w:rPr>
        <w:t>state</w:t>
      </w:r>
      <w:r w:rsidRPr="00AE5088">
        <w:rPr>
          <w:rFonts w:ascii="Book Antiqua" w:hAnsi="Book Antiqua"/>
          <w:b w:val="0"/>
          <w:sz w:val="24"/>
          <w:szCs w:val="24"/>
          <w:vertAlign w:val="superscript"/>
          <w:lang w:val="en-US"/>
        </w:rPr>
        <w:t>[</w:t>
      </w:r>
      <w:proofErr w:type="gramEnd"/>
      <w:r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6</w:t>
      </w:r>
      <w:r w:rsidRPr="00AE5088">
        <w:rPr>
          <w:rFonts w:ascii="Book Antiqua" w:hAnsi="Book Antiqua"/>
          <w:b w:val="0"/>
          <w:sz w:val="24"/>
          <w:szCs w:val="24"/>
          <w:vertAlign w:val="superscript"/>
          <w:lang w:val="en-US"/>
        </w:rPr>
        <w:t>]</w:t>
      </w:r>
      <w:r w:rsidRPr="00AE5088">
        <w:rPr>
          <w:rFonts w:ascii="Book Antiqua" w:hAnsi="Book Antiqua"/>
          <w:b w:val="0"/>
          <w:sz w:val="24"/>
          <w:szCs w:val="24"/>
          <w:lang w:val="en-US"/>
        </w:rPr>
        <w:t>. However, several studies have shown that some factors contribute to the failure of individuals to conduct a genetic test.</w:t>
      </w:r>
      <w:r w:rsidR="00AE5088" w:rsidRPr="00AE5088">
        <w:rPr>
          <w:rFonts w:ascii="Book Antiqua" w:hAnsi="Book Antiqua"/>
          <w:b w:val="0"/>
          <w:sz w:val="24"/>
          <w:szCs w:val="24"/>
          <w:lang w:val="en-US"/>
        </w:rPr>
        <w:t xml:space="preserve"> </w:t>
      </w:r>
      <w:r w:rsidRPr="00AE5088">
        <w:rPr>
          <w:rFonts w:ascii="Book Antiqua" w:hAnsi="Book Antiqua"/>
          <w:b w:val="0"/>
          <w:sz w:val="24"/>
          <w:szCs w:val="24"/>
          <w:lang w:val="en-US"/>
        </w:rPr>
        <w:t xml:space="preserve">The main factors that influence refusal include distrust of medical researchers, religious prejudices and lower levels of </w:t>
      </w:r>
      <w:proofErr w:type="gramStart"/>
      <w:r w:rsidRPr="00AE5088">
        <w:rPr>
          <w:rFonts w:ascii="Book Antiqua" w:hAnsi="Book Antiqua"/>
          <w:b w:val="0"/>
          <w:sz w:val="24"/>
          <w:szCs w:val="24"/>
          <w:lang w:val="en-US"/>
        </w:rPr>
        <w:t>education</w:t>
      </w:r>
      <w:r w:rsidRPr="00AE5088">
        <w:rPr>
          <w:rFonts w:ascii="Book Antiqua" w:hAnsi="Book Antiqua"/>
          <w:b w:val="0"/>
          <w:sz w:val="24"/>
          <w:szCs w:val="24"/>
          <w:vertAlign w:val="superscript"/>
          <w:lang w:val="en-US"/>
        </w:rPr>
        <w:t>[</w:t>
      </w:r>
      <w:proofErr w:type="gramEnd"/>
      <w:r w:rsidR="003D5467"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7</w:t>
      </w:r>
      <w:r w:rsidR="00321DE7" w:rsidRPr="00AE5088">
        <w:rPr>
          <w:rFonts w:ascii="Book Antiqua" w:hAnsi="Book Antiqua"/>
          <w:b w:val="0"/>
          <w:sz w:val="24"/>
          <w:szCs w:val="24"/>
          <w:vertAlign w:val="superscript"/>
          <w:lang w:val="en-US"/>
        </w:rPr>
        <w:t>,</w:t>
      </w:r>
      <w:r w:rsidR="003D5467"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8</w:t>
      </w:r>
      <w:r w:rsidRPr="00AE5088">
        <w:rPr>
          <w:rFonts w:ascii="Book Antiqua" w:hAnsi="Book Antiqua"/>
          <w:b w:val="0"/>
          <w:sz w:val="24"/>
          <w:szCs w:val="24"/>
          <w:vertAlign w:val="superscript"/>
          <w:lang w:val="en-US"/>
        </w:rPr>
        <w:t>]</w:t>
      </w:r>
      <w:r w:rsidRPr="00AE5088">
        <w:rPr>
          <w:rFonts w:ascii="Book Antiqua" w:hAnsi="Book Antiqua"/>
          <w:b w:val="0"/>
          <w:sz w:val="24"/>
          <w:szCs w:val="24"/>
          <w:lang w:val="en-US"/>
        </w:rPr>
        <w:t xml:space="preserve">. Some have argued that the clinical significance of genetic markers of T2D have only a minor role in predicting the risk with careful clinical risk assessment, the predictive value </w:t>
      </w:r>
      <w:proofErr w:type="gramStart"/>
      <w:r w:rsidRPr="00AE5088">
        <w:rPr>
          <w:rFonts w:ascii="Book Antiqua" w:hAnsi="Book Antiqua"/>
          <w:b w:val="0"/>
          <w:sz w:val="24"/>
          <w:szCs w:val="24"/>
          <w:lang w:val="en-US"/>
        </w:rPr>
        <w:t>increases</w:t>
      </w:r>
      <w:r w:rsidRPr="00AE5088">
        <w:rPr>
          <w:rFonts w:ascii="Book Antiqua" w:hAnsi="Book Antiqua"/>
          <w:b w:val="0"/>
          <w:sz w:val="24"/>
          <w:szCs w:val="24"/>
          <w:vertAlign w:val="superscript"/>
          <w:lang w:val="en-US"/>
        </w:rPr>
        <w:t>[</w:t>
      </w:r>
      <w:proofErr w:type="gramEnd"/>
      <w:r w:rsidR="00DB73F5"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6</w:t>
      </w:r>
      <w:r w:rsidR="00E4466A" w:rsidRPr="00AE5088">
        <w:rPr>
          <w:rFonts w:ascii="Book Antiqua" w:hAnsi="Book Antiqua"/>
          <w:b w:val="0"/>
          <w:sz w:val="24"/>
          <w:szCs w:val="24"/>
          <w:vertAlign w:val="superscript"/>
          <w:lang w:val="en-US"/>
        </w:rPr>
        <w:t>,11</w:t>
      </w:r>
      <w:r w:rsidR="00D60348" w:rsidRPr="00AE5088">
        <w:rPr>
          <w:rFonts w:ascii="Book Antiqua" w:hAnsi="Book Antiqua"/>
          <w:b w:val="0"/>
          <w:sz w:val="24"/>
          <w:szCs w:val="24"/>
          <w:vertAlign w:val="superscript"/>
          <w:lang w:val="en-US"/>
        </w:rPr>
        <w:t>9</w:t>
      </w:r>
      <w:r w:rsidRPr="00AE5088">
        <w:rPr>
          <w:rFonts w:ascii="Book Antiqua" w:hAnsi="Book Antiqua"/>
          <w:b w:val="0"/>
          <w:sz w:val="24"/>
          <w:szCs w:val="24"/>
          <w:vertAlign w:val="superscript"/>
          <w:lang w:val="en-US"/>
        </w:rPr>
        <w:t>]</w:t>
      </w:r>
      <w:r w:rsidRPr="00F31B00">
        <w:rPr>
          <w:rFonts w:ascii="Book Antiqua" w:hAnsi="Book Antiqua"/>
          <w:b w:val="0"/>
          <w:sz w:val="24"/>
          <w:szCs w:val="24"/>
          <w:lang w:val="en-US"/>
        </w:rPr>
        <w:t>.</w:t>
      </w:r>
      <w:r w:rsidRPr="00F31B00">
        <w:rPr>
          <w:rFonts w:ascii="Book Antiqua" w:hAnsi="Book Antiqua"/>
          <w:sz w:val="24"/>
          <w:szCs w:val="24"/>
          <w:lang w:val="en-US"/>
        </w:rPr>
        <w:t xml:space="preserve"> </w:t>
      </w:r>
    </w:p>
    <w:p w14:paraId="400402EA" w14:textId="758431ED" w:rsidR="00A4500D" w:rsidRPr="00AE5088" w:rsidRDefault="00A4500D" w:rsidP="00F31B00">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Until recently, it has been assumed that genetic predisposition awareness can motivate healthy </w:t>
      </w:r>
      <w:proofErr w:type="gramStart"/>
      <w:r w:rsidRPr="00AE5088">
        <w:rPr>
          <w:rFonts w:ascii="Book Antiqua" w:hAnsi="Book Antiqua" w:cs="Times New Roman"/>
          <w:sz w:val="24"/>
          <w:szCs w:val="24"/>
          <w:lang w:val="en-US"/>
        </w:rPr>
        <w:t>behavior</w:t>
      </w:r>
      <w:r w:rsidRPr="00AE5088">
        <w:rPr>
          <w:rFonts w:ascii="Book Antiqua" w:hAnsi="Book Antiqua" w:cs="Times New Roman"/>
          <w:sz w:val="24"/>
          <w:szCs w:val="24"/>
          <w:vertAlign w:val="superscript"/>
          <w:lang w:val="en-US"/>
        </w:rPr>
        <w:t>[</w:t>
      </w:r>
      <w:proofErr w:type="gramEnd"/>
      <w:r w:rsidR="00DB73F5" w:rsidRPr="00AE5088">
        <w:rPr>
          <w:rFonts w:ascii="Book Antiqua" w:hAnsi="Book Antiqua" w:cs="Times New Roman"/>
          <w:sz w:val="24"/>
          <w:szCs w:val="24"/>
          <w:vertAlign w:val="superscript"/>
          <w:lang w:val="en-US"/>
        </w:rPr>
        <w:t>1</w:t>
      </w:r>
      <w:r w:rsidR="00CA4C89" w:rsidRPr="00AE5088">
        <w:rPr>
          <w:rFonts w:ascii="Book Antiqua" w:hAnsi="Book Antiqua" w:cs="Times New Roman"/>
          <w:sz w:val="24"/>
          <w:szCs w:val="24"/>
          <w:vertAlign w:val="superscript"/>
          <w:lang w:val="en-US"/>
        </w:rPr>
        <w:t>20</w:t>
      </w:r>
      <w:r w:rsidR="00DB73F5" w:rsidRPr="00AE5088">
        <w:rPr>
          <w:rFonts w:ascii="Book Antiqua" w:hAnsi="Book Antiqua" w:cs="Times New Roman"/>
          <w:sz w:val="24"/>
          <w:szCs w:val="24"/>
          <w:vertAlign w:val="superscript"/>
          <w:lang w:val="en-US"/>
        </w:rPr>
        <w:t>]</w:t>
      </w:r>
      <w:r w:rsidR="00DB73F5"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According to some authors, it is considered that </w:t>
      </w:r>
      <w:r w:rsidR="00C4501B" w:rsidRPr="00AE5088">
        <w:rPr>
          <w:rFonts w:ascii="Book Antiqua" w:hAnsi="Book Antiqua" w:cs="Times New Roman"/>
          <w:sz w:val="24"/>
          <w:szCs w:val="24"/>
          <w:lang w:val="en-US"/>
        </w:rPr>
        <w:t>t</w:t>
      </w:r>
      <w:r w:rsidRPr="00AE5088">
        <w:rPr>
          <w:rFonts w:ascii="Book Antiqua" w:hAnsi="Book Antiqua" w:cs="Times New Roman"/>
          <w:sz w:val="24"/>
          <w:szCs w:val="24"/>
          <w:lang w:val="en-US"/>
        </w:rPr>
        <w:t xml:space="preserve">he patient does not appear motivated to a healthy lifestyle after identifying his genetic </w:t>
      </w:r>
      <w:proofErr w:type="gramStart"/>
      <w:r w:rsidRPr="00AE5088">
        <w:rPr>
          <w:rFonts w:ascii="Book Antiqua" w:hAnsi="Book Antiqua" w:cs="Times New Roman"/>
          <w:sz w:val="24"/>
          <w:szCs w:val="24"/>
          <w:lang w:val="en-US"/>
        </w:rPr>
        <w:t>predisposition</w:t>
      </w:r>
      <w:r w:rsidRPr="00AE5088">
        <w:rPr>
          <w:rFonts w:ascii="Book Antiqua" w:hAnsi="Book Antiqua" w:cs="Times New Roman"/>
          <w:sz w:val="24"/>
          <w:szCs w:val="24"/>
          <w:vertAlign w:val="superscript"/>
          <w:lang w:val="en-US"/>
        </w:rPr>
        <w:t>[</w:t>
      </w:r>
      <w:proofErr w:type="gramEnd"/>
      <w:r w:rsidR="00321DE7"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1</w:t>
      </w:r>
      <w:r w:rsidR="00F31B00">
        <w:rPr>
          <w:rFonts w:ascii="Book Antiqua" w:hAnsi="Book Antiqua" w:cs="Times New Roman"/>
          <w:sz w:val="24"/>
          <w:szCs w:val="24"/>
          <w:vertAlign w:val="superscript"/>
          <w:lang w:val="en-US"/>
        </w:rPr>
        <w:t>-</w:t>
      </w:r>
      <w:r w:rsidR="00F5326C"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At the same time, research on the molecular basis of the development of T2D is absolutely necessary when making a diagnosis, since young individuals with T1D can also be </w:t>
      </w:r>
      <w:proofErr w:type="gramStart"/>
      <w:r w:rsidRPr="00AE5088">
        <w:rPr>
          <w:rFonts w:ascii="Book Antiqua" w:hAnsi="Book Antiqua" w:cs="Times New Roman"/>
          <w:sz w:val="24"/>
          <w:szCs w:val="24"/>
          <w:lang w:val="en-US"/>
        </w:rPr>
        <w:t>obese</w:t>
      </w:r>
      <w:r w:rsidRPr="00AE5088">
        <w:rPr>
          <w:rFonts w:ascii="Book Antiqua" w:hAnsi="Book Antiqua" w:cs="Times New Roman"/>
          <w:sz w:val="24"/>
          <w:szCs w:val="24"/>
          <w:vertAlign w:val="superscript"/>
          <w:lang w:val="en-US"/>
        </w:rPr>
        <w:t>[</w:t>
      </w:r>
      <w:proofErr w:type="gramEnd"/>
      <w:r w:rsidR="00321DE7"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4</w:t>
      </w:r>
      <w:r w:rsidR="00321DE7" w:rsidRPr="00AE5088">
        <w:rPr>
          <w:rFonts w:ascii="Book Antiqua" w:hAnsi="Book Antiqua" w:cs="Times New Roman"/>
          <w:sz w:val="24"/>
          <w:szCs w:val="24"/>
          <w:vertAlign w:val="superscript"/>
          <w:lang w:val="en-US"/>
        </w:rPr>
        <w:t>,</w:t>
      </w:r>
      <w:r w:rsidR="00EF5889"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Misdiagnosis of diabetes can lead to misuse of medical </w:t>
      </w:r>
      <w:proofErr w:type="gramStart"/>
      <w:r w:rsidRPr="00AE5088">
        <w:rPr>
          <w:rFonts w:ascii="Book Antiqua" w:hAnsi="Book Antiqua" w:cs="Times New Roman"/>
          <w:sz w:val="24"/>
          <w:szCs w:val="24"/>
          <w:lang w:val="en-US"/>
        </w:rPr>
        <w:t>treatment</w:t>
      </w:r>
      <w:r w:rsidRPr="00AE5088">
        <w:rPr>
          <w:rFonts w:ascii="Book Antiqua" w:hAnsi="Book Antiqua" w:cs="Times New Roman"/>
          <w:sz w:val="24"/>
          <w:szCs w:val="24"/>
          <w:vertAlign w:val="superscript"/>
          <w:lang w:val="en-US"/>
        </w:rPr>
        <w:t>[</w:t>
      </w:r>
      <w:proofErr w:type="gramEnd"/>
      <w:r w:rsidR="00EF5889" w:rsidRPr="00AE5088">
        <w:rPr>
          <w:rFonts w:ascii="Book Antiqua" w:hAnsi="Book Antiqua" w:cs="Times New Roman"/>
          <w:sz w:val="24"/>
          <w:szCs w:val="24"/>
          <w:vertAlign w:val="superscript"/>
          <w:lang w:val="en-US"/>
        </w:rPr>
        <w:t>12</w:t>
      </w:r>
      <w:r w:rsidR="00CA4C89"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74F09628" w14:textId="77777777" w:rsidR="00F54C8C" w:rsidRPr="00AE5088" w:rsidRDefault="00F54C8C" w:rsidP="005232A1">
      <w:pPr>
        <w:spacing w:after="0" w:line="360" w:lineRule="auto"/>
        <w:jc w:val="both"/>
        <w:rPr>
          <w:rFonts w:ascii="Book Antiqua" w:hAnsi="Book Antiqua" w:cs="Times New Roman"/>
          <w:sz w:val="24"/>
          <w:szCs w:val="24"/>
          <w:lang w:val="en-US"/>
        </w:rPr>
      </w:pPr>
    </w:p>
    <w:p w14:paraId="1D781DD6" w14:textId="30145ADB" w:rsidR="00473C69" w:rsidRPr="00F31B00" w:rsidRDefault="00F54C8C" w:rsidP="005232A1">
      <w:pPr>
        <w:spacing w:after="0" w:line="360" w:lineRule="auto"/>
        <w:jc w:val="both"/>
        <w:rPr>
          <w:rFonts w:ascii="Book Antiqua" w:hAnsi="Book Antiqua" w:cs="Times New Roman"/>
          <w:b/>
          <w:i/>
          <w:sz w:val="24"/>
          <w:szCs w:val="24"/>
          <w:lang w:val="en-US"/>
        </w:rPr>
      </w:pPr>
      <w:r w:rsidRPr="00AE5088">
        <w:rPr>
          <w:rFonts w:ascii="Book Antiqua" w:hAnsi="Book Antiqua" w:cs="Times New Roman"/>
          <w:b/>
          <w:i/>
          <w:sz w:val="24"/>
          <w:szCs w:val="24"/>
          <w:lang w:val="en-US"/>
        </w:rPr>
        <w:t xml:space="preserve">Studies of genetic biomarkers: </w:t>
      </w:r>
      <w:r w:rsidR="00F31B00" w:rsidRPr="00AE5088">
        <w:rPr>
          <w:rFonts w:ascii="Book Antiqua" w:hAnsi="Book Antiqua" w:cs="Times New Roman"/>
          <w:b/>
          <w:i/>
          <w:sz w:val="24"/>
          <w:szCs w:val="24"/>
          <w:lang w:val="en-US"/>
        </w:rPr>
        <w:t>Prediction</w:t>
      </w:r>
      <w:r w:rsidR="00B14F4E" w:rsidRPr="00AE5088">
        <w:rPr>
          <w:rFonts w:ascii="Book Antiqua" w:hAnsi="Book Antiqua" w:cs="Times New Roman"/>
          <w:b/>
          <w:i/>
          <w:sz w:val="24"/>
          <w:szCs w:val="24"/>
          <w:lang w:val="en-US"/>
        </w:rPr>
        <w:t>,</w:t>
      </w:r>
      <w:r w:rsidRPr="00AE5088">
        <w:rPr>
          <w:rFonts w:ascii="Book Antiqua" w:hAnsi="Book Antiqua" w:cs="Times New Roman"/>
          <w:b/>
          <w:i/>
          <w:sz w:val="24"/>
          <w:szCs w:val="24"/>
          <w:lang w:val="en-US"/>
        </w:rPr>
        <w:t xml:space="preserve"> and diagnosis of T2D</w:t>
      </w:r>
    </w:p>
    <w:p w14:paraId="241D53D7" w14:textId="78223105" w:rsidR="00CE0AB3" w:rsidRPr="00AE5088" w:rsidRDefault="00473C69"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Many studies have analyzed the utility of genetic variants in T2D risk prediction for undiagnosed individuals with T2D using cross-sectional studies and incident T2D using longitudinal studies. Early studies provided much optimism and showed that common variants at the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locus predict the progression to diabetes in subjects with impaired glucose </w:t>
      </w:r>
      <w:proofErr w:type="gramStart"/>
      <w:r w:rsidRPr="00AE5088">
        <w:rPr>
          <w:rFonts w:ascii="Book Antiqua" w:hAnsi="Book Antiqua" w:cs="Times New Roman"/>
          <w:sz w:val="24"/>
          <w:szCs w:val="24"/>
          <w:lang w:val="en-US"/>
        </w:rPr>
        <w:t>tolerance</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63</w:t>
      </w:r>
      <w:r w:rsidR="00D459BD" w:rsidRPr="00AE5088">
        <w:rPr>
          <w:rFonts w:ascii="Book Antiqua" w:hAnsi="Book Antiqua" w:cs="Times New Roman"/>
          <w:sz w:val="24"/>
          <w:szCs w:val="24"/>
          <w:vertAlign w:val="superscript"/>
          <w:lang w:val="en-US"/>
        </w:rPr>
        <w:t>,12</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Pr="00AE5088">
        <w:rPr>
          <w:rFonts w:ascii="Book Antiqua" w:hAnsi="Book Antiqua"/>
          <w:sz w:val="24"/>
          <w:szCs w:val="24"/>
          <w:lang w:val="en-US"/>
        </w:rPr>
        <w:t xml:space="preserve"> </w:t>
      </w:r>
      <w:r w:rsidRPr="00AE5088">
        <w:rPr>
          <w:rFonts w:ascii="Book Antiqua" w:hAnsi="Book Antiqua" w:cs="Times New Roman"/>
          <w:sz w:val="24"/>
          <w:szCs w:val="24"/>
          <w:lang w:val="en-US"/>
        </w:rPr>
        <w:t xml:space="preserve">Unfortunately, diabetes mellitus is diagnosed on the basis of its biochemical effects (increased glucose), and the absence of detection of the </w:t>
      </w:r>
      <w:r w:rsidR="00B14F4E" w:rsidRPr="00AE5088">
        <w:rPr>
          <w:rFonts w:ascii="Book Antiqua" w:hAnsi="Book Antiqua" w:cs="Times New Roman"/>
          <w:sz w:val="24"/>
          <w:szCs w:val="24"/>
          <w:lang w:val="en-US"/>
        </w:rPr>
        <w:t>main</w:t>
      </w:r>
      <w:r w:rsidRPr="00AE5088">
        <w:rPr>
          <w:rFonts w:ascii="Book Antiqua" w:hAnsi="Book Antiqua" w:cs="Times New Roman"/>
          <w:sz w:val="24"/>
          <w:szCs w:val="24"/>
          <w:lang w:val="en-US"/>
        </w:rPr>
        <w:t xml:space="preserve"> defect, which indicates the absence</w:t>
      </w:r>
      <w:r w:rsidR="00286CB7" w:rsidRPr="00AE5088">
        <w:rPr>
          <w:rFonts w:ascii="Book Antiqua" w:hAnsi="Book Antiqua" w:cs="Times New Roman"/>
          <w:sz w:val="24"/>
          <w:szCs w:val="24"/>
          <w:lang w:val="en-US"/>
        </w:rPr>
        <w:t xml:space="preserve"> of the </w:t>
      </w:r>
      <w:proofErr w:type="gramStart"/>
      <w:r w:rsidR="00286CB7"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00CA2F3D" w:rsidRPr="00AE5088">
        <w:rPr>
          <w:rFonts w:ascii="Book Antiqua" w:hAnsi="Book Antiqua" w:cs="Times New Roman"/>
          <w:sz w:val="24"/>
          <w:szCs w:val="24"/>
          <w:vertAlign w:val="superscript"/>
          <w:lang w:val="en-US"/>
        </w:rPr>
        <w:t>12</w:t>
      </w:r>
      <w:r w:rsidR="003724FA" w:rsidRPr="00AE5088">
        <w:rPr>
          <w:rFonts w:ascii="Book Antiqua" w:hAnsi="Book Antiqua" w:cs="Times New Roman"/>
          <w:sz w:val="24"/>
          <w:szCs w:val="24"/>
          <w:vertAlign w:val="superscript"/>
          <w:lang w:val="en-US"/>
        </w:rPr>
        <w:t>8</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However, at present, aggregated available data do not provide robust evidence to support the utility of </w:t>
      </w:r>
      <w:r w:rsidRPr="00AE5088">
        <w:rPr>
          <w:rFonts w:ascii="Book Antiqua" w:hAnsi="Book Antiqua" w:cs="Times New Roman"/>
          <w:sz w:val="24"/>
          <w:szCs w:val="24"/>
          <w:lang w:val="en-US"/>
        </w:rPr>
        <w:lastRenderedPageBreak/>
        <w:t xml:space="preserve">genetic testing for T2D predictions and indicate a modest contribution of genetic </w:t>
      </w:r>
      <w:proofErr w:type="gramStart"/>
      <w:r w:rsidRPr="00AE5088">
        <w:rPr>
          <w:rFonts w:ascii="Book Antiqua" w:hAnsi="Book Antiqua" w:cs="Times New Roman"/>
          <w:sz w:val="24"/>
          <w:szCs w:val="24"/>
          <w:lang w:val="en-US"/>
        </w:rPr>
        <w:t>variants</w:t>
      </w:r>
      <w:r w:rsidRPr="00AE5088">
        <w:rPr>
          <w:rFonts w:ascii="Book Antiqua" w:hAnsi="Book Antiqua" w:cs="Times New Roman"/>
          <w:sz w:val="24"/>
          <w:szCs w:val="24"/>
          <w:vertAlign w:val="superscript"/>
          <w:lang w:val="en-US"/>
        </w:rPr>
        <w:t>[</w:t>
      </w:r>
      <w:proofErr w:type="gramEnd"/>
      <w:r w:rsidR="00D459BD" w:rsidRPr="00AE5088">
        <w:rPr>
          <w:rFonts w:ascii="Book Antiqua" w:hAnsi="Book Antiqua" w:cs="Times New Roman"/>
          <w:sz w:val="24"/>
          <w:szCs w:val="24"/>
          <w:vertAlign w:val="superscript"/>
          <w:lang w:val="en-US"/>
        </w:rPr>
        <w:t>12</w:t>
      </w:r>
      <w:r w:rsidR="003724FA" w:rsidRPr="00AE5088">
        <w:rPr>
          <w:rFonts w:ascii="Book Antiqua" w:hAnsi="Book Antiqua" w:cs="Times New Roman"/>
          <w:sz w:val="24"/>
          <w:szCs w:val="24"/>
          <w:vertAlign w:val="superscript"/>
          <w:lang w:val="en-US"/>
        </w:rPr>
        <w:t>9</w:t>
      </w:r>
      <w:r w:rsidR="00B14F4E" w:rsidRPr="00AE5088">
        <w:rPr>
          <w:rFonts w:ascii="Book Antiqua" w:hAnsi="Book Antiqua" w:cs="Times New Roman"/>
          <w:sz w:val="24"/>
          <w:szCs w:val="24"/>
          <w:vertAlign w:val="superscript"/>
          <w:lang w:val="en-US"/>
        </w:rPr>
        <w:t>-</w:t>
      </w:r>
      <w:r w:rsidR="00D459BD"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r w:rsidRPr="00AE5088">
        <w:rPr>
          <w:rFonts w:ascii="Book Antiqua" w:hAnsi="Book Antiqua"/>
          <w:sz w:val="24"/>
          <w:szCs w:val="24"/>
          <w:lang w:val="en-US"/>
        </w:rPr>
        <w:t xml:space="preserve"> </w:t>
      </w:r>
      <w:r w:rsidRPr="00AE5088">
        <w:rPr>
          <w:rFonts w:ascii="Book Antiqua" w:hAnsi="Book Antiqua" w:cs="Times New Roman"/>
          <w:sz w:val="24"/>
          <w:szCs w:val="24"/>
          <w:lang w:val="en-US"/>
        </w:rPr>
        <w:t xml:space="preserve">Several large population-based follow-up studies have been published aiming to investigate the predictive power of common genetic variants on the risk of incident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The results of these studies were similar to those from cross-sectional case-control studies. It was shown that risk variants did not essentially increase the AUC to predict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 when combined with clinical risk </w:t>
      </w:r>
      <w:proofErr w:type="gramStart"/>
      <w:r w:rsidRPr="00AE5088">
        <w:rPr>
          <w:rFonts w:ascii="Book Antiqua" w:hAnsi="Book Antiqua" w:cs="Times New Roman"/>
          <w:sz w:val="24"/>
          <w:szCs w:val="24"/>
          <w:lang w:val="en-US"/>
        </w:rPr>
        <w:t>factors</w:t>
      </w:r>
      <w:r w:rsidRPr="00AE5088">
        <w:rPr>
          <w:rFonts w:ascii="Book Antiqua" w:hAnsi="Book Antiqua" w:cs="Times New Roman"/>
          <w:sz w:val="24"/>
          <w:szCs w:val="24"/>
          <w:vertAlign w:val="superscript"/>
          <w:lang w:val="en-US"/>
        </w:rPr>
        <w:t>[</w:t>
      </w:r>
      <w:proofErr w:type="gramEnd"/>
      <w:r w:rsidR="00D459BD"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r w:rsidR="00C4501B" w:rsidRPr="00AE5088">
        <w:rPr>
          <w:rFonts w:ascii="Book Antiqua" w:hAnsi="Book Antiqua" w:cs="Times New Roman"/>
          <w:sz w:val="24"/>
          <w:szCs w:val="24"/>
          <w:lang w:val="en-US"/>
        </w:rPr>
        <w:t>However,</w:t>
      </w:r>
      <w:r w:rsidR="00720BAD" w:rsidRPr="00AE5088">
        <w:rPr>
          <w:rFonts w:ascii="Book Antiqua" w:hAnsi="Book Antiqua" w:cs="Times New Roman"/>
          <w:sz w:val="24"/>
          <w:szCs w:val="24"/>
          <w:lang w:val="en-US"/>
        </w:rPr>
        <w:t xml:space="preserve"> it </w:t>
      </w:r>
      <w:r w:rsidR="00B14F4E" w:rsidRPr="00AE5088">
        <w:rPr>
          <w:rFonts w:ascii="Book Antiqua" w:hAnsi="Book Antiqua" w:cs="Times New Roman"/>
          <w:sz w:val="24"/>
          <w:szCs w:val="24"/>
          <w:lang w:val="en-US"/>
        </w:rPr>
        <w:t>seems</w:t>
      </w:r>
      <w:r w:rsidR="00720BAD" w:rsidRPr="00AE5088">
        <w:rPr>
          <w:rFonts w:ascii="Book Antiqua" w:hAnsi="Book Antiqua" w:cs="Times New Roman"/>
          <w:sz w:val="24"/>
          <w:szCs w:val="24"/>
          <w:lang w:val="en-US"/>
        </w:rPr>
        <w:t xml:space="preserve"> possible to improve T2D risk prediction </w:t>
      </w:r>
      <w:r w:rsidR="00B14F4E" w:rsidRPr="00AE5088">
        <w:rPr>
          <w:rFonts w:ascii="Book Antiqua" w:hAnsi="Book Antiqua" w:cs="Times New Roman"/>
          <w:sz w:val="24"/>
          <w:szCs w:val="24"/>
          <w:lang w:val="en-US"/>
        </w:rPr>
        <w:t>and overcome</w:t>
      </w:r>
      <w:r w:rsidR="00720BAD" w:rsidRPr="00AE5088">
        <w:rPr>
          <w:rFonts w:ascii="Book Antiqua" w:hAnsi="Book Antiqua" w:cs="Times New Roman"/>
          <w:sz w:val="24"/>
          <w:szCs w:val="24"/>
          <w:lang w:val="en-US"/>
        </w:rPr>
        <w:t xml:space="preserve"> factors limiting predictive power</w:t>
      </w:r>
      <w:r w:rsidR="00B14F4E" w:rsidRPr="00AE5088">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such as</w:t>
      </w:r>
      <w:r w:rsidR="00F31B00">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w:t>
      </w:r>
      <w:r w:rsidR="00F31B00">
        <w:rPr>
          <w:rFonts w:ascii="Book Antiqua" w:hAnsi="Book Antiqua" w:cs="Times New Roman"/>
          <w:sz w:val="24"/>
          <w:szCs w:val="24"/>
          <w:lang w:val="en-US"/>
        </w:rPr>
        <w:t>1</w:t>
      </w:r>
      <w:r w:rsidR="00720BAD" w:rsidRPr="00AE5088">
        <w:rPr>
          <w:rFonts w:ascii="Book Antiqua" w:hAnsi="Book Antiqua" w:cs="Times New Roman"/>
          <w:sz w:val="24"/>
          <w:szCs w:val="24"/>
          <w:lang w:val="en-US"/>
        </w:rPr>
        <w:t>) modest effect sizes of common variants, (</w:t>
      </w:r>
      <w:r w:rsidR="00F31B00">
        <w:rPr>
          <w:rFonts w:ascii="Book Antiqua" w:hAnsi="Book Antiqua" w:cs="Times New Roman"/>
          <w:sz w:val="24"/>
          <w:szCs w:val="24"/>
          <w:lang w:val="en-US"/>
        </w:rPr>
        <w:t>2</w:t>
      </w:r>
      <w:r w:rsidR="00720BAD" w:rsidRPr="00AE5088">
        <w:rPr>
          <w:rFonts w:ascii="Book Antiqua" w:hAnsi="Book Antiqua" w:cs="Times New Roman"/>
          <w:sz w:val="24"/>
          <w:szCs w:val="24"/>
          <w:lang w:val="en-US"/>
        </w:rPr>
        <w:t>) insufficient knowledge of rare and coding variants missed by GWAS</w:t>
      </w:r>
      <w:r w:rsidR="00F31B00">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w:t>
      </w:r>
      <w:r w:rsidR="00F31B00">
        <w:rPr>
          <w:rFonts w:ascii="Book Antiqua" w:hAnsi="Book Antiqua" w:cs="Times New Roman"/>
          <w:sz w:val="24"/>
          <w:szCs w:val="24"/>
          <w:lang w:val="en-US"/>
        </w:rPr>
        <w:t>3</w:t>
      </w:r>
      <w:r w:rsidR="00720BAD" w:rsidRPr="00AE5088">
        <w:rPr>
          <w:rFonts w:ascii="Book Antiqua" w:hAnsi="Book Antiqua" w:cs="Times New Roman"/>
          <w:sz w:val="24"/>
          <w:szCs w:val="24"/>
          <w:lang w:val="en-US"/>
        </w:rPr>
        <w:t>) heterogeneous nature of the disease</w:t>
      </w:r>
      <w:r w:rsidR="00F31B00">
        <w:rPr>
          <w:rFonts w:ascii="Book Antiqua" w:hAnsi="Book Antiqua" w:cs="Times New Roman"/>
          <w:sz w:val="24"/>
          <w:szCs w:val="24"/>
          <w:lang w:val="en-US"/>
        </w:rPr>
        <w:t>;</w:t>
      </w:r>
      <w:r w:rsidR="00720BAD" w:rsidRPr="00AE5088">
        <w:rPr>
          <w:rFonts w:ascii="Book Antiqua" w:hAnsi="Book Antiqua" w:cs="Times New Roman"/>
          <w:sz w:val="24"/>
          <w:szCs w:val="24"/>
          <w:lang w:val="en-US"/>
        </w:rPr>
        <w:t xml:space="preserve"> </w:t>
      </w:r>
      <w:r w:rsidR="00F31B00">
        <w:rPr>
          <w:rFonts w:ascii="Book Antiqua" w:hAnsi="Book Antiqua" w:cs="Times New Roman"/>
          <w:sz w:val="24"/>
          <w:szCs w:val="24"/>
          <w:lang w:val="en-US"/>
        </w:rPr>
        <w:t xml:space="preserve">and </w:t>
      </w:r>
      <w:r w:rsidR="00720BAD" w:rsidRPr="00AE5088">
        <w:rPr>
          <w:rFonts w:ascii="Book Antiqua" w:hAnsi="Book Antiqua" w:cs="Times New Roman"/>
          <w:sz w:val="24"/>
          <w:szCs w:val="24"/>
          <w:lang w:val="en-US"/>
        </w:rPr>
        <w:t>(</w:t>
      </w:r>
      <w:r w:rsidR="00F31B00">
        <w:rPr>
          <w:rFonts w:ascii="Book Antiqua" w:hAnsi="Book Antiqua" w:cs="Times New Roman"/>
          <w:sz w:val="24"/>
          <w:szCs w:val="24"/>
          <w:lang w:val="en-US"/>
        </w:rPr>
        <w:t>4</w:t>
      </w:r>
      <w:r w:rsidR="00720BAD" w:rsidRPr="00AE5088">
        <w:rPr>
          <w:rFonts w:ascii="Book Antiqua" w:hAnsi="Book Antiqua" w:cs="Times New Roman"/>
          <w:sz w:val="24"/>
          <w:szCs w:val="24"/>
          <w:lang w:val="en-US"/>
        </w:rPr>
        <w:t>) genetic diversity between ethnic groups</w:t>
      </w:r>
      <w:r w:rsidR="00B14F4E" w:rsidRPr="00AE5088">
        <w:rPr>
          <w:rFonts w:ascii="Book Antiqua" w:hAnsi="Book Antiqua" w:cs="Times New Roman"/>
          <w:sz w:val="24"/>
          <w:szCs w:val="24"/>
          <w:lang w:val="en-US"/>
        </w:rPr>
        <w:t xml:space="preserve"> (detailed below)</w:t>
      </w:r>
      <w:r w:rsidR="00720BAD" w:rsidRPr="00AE5088">
        <w:rPr>
          <w:rFonts w:ascii="Book Antiqua" w:hAnsi="Book Antiqua" w:cs="Times New Roman"/>
          <w:sz w:val="24"/>
          <w:szCs w:val="24"/>
          <w:lang w:val="en-US"/>
        </w:rPr>
        <w:t xml:space="preserve">. </w:t>
      </w:r>
    </w:p>
    <w:p w14:paraId="14262252" w14:textId="1894D5F2" w:rsidR="001C35A3" w:rsidRPr="00AE5088" w:rsidRDefault="00720BAD" w:rsidP="00F31B00">
      <w:pPr>
        <w:spacing w:after="0"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The limitations related with modest effect sizes of common alleles and necessity of further investigation aimed to identify rare and coding variants involved in T2D pathogenesis ha</w:t>
      </w:r>
      <w:r w:rsidR="00C4501B" w:rsidRPr="00AE5088">
        <w:rPr>
          <w:rFonts w:ascii="Book Antiqua" w:hAnsi="Book Antiqua" w:cs="Times New Roman"/>
          <w:sz w:val="24"/>
          <w:szCs w:val="24"/>
          <w:lang w:val="en-US"/>
        </w:rPr>
        <w:t>ve</w:t>
      </w:r>
      <w:r w:rsidRPr="00AE5088">
        <w:rPr>
          <w:rFonts w:ascii="Book Antiqua" w:hAnsi="Book Antiqua" w:cs="Times New Roman"/>
          <w:sz w:val="24"/>
          <w:szCs w:val="24"/>
          <w:lang w:val="en-US"/>
        </w:rPr>
        <w:t xml:space="preserve"> been reviewed above.</w:t>
      </w:r>
      <w:r w:rsidR="001C35A3" w:rsidRPr="00AE5088">
        <w:rPr>
          <w:rFonts w:ascii="Book Antiqua" w:hAnsi="Book Antiqua" w:cs="Times New Roman"/>
          <w:sz w:val="24"/>
          <w:szCs w:val="24"/>
          <w:lang w:val="en-US"/>
        </w:rPr>
        <w:t xml:space="preserve"> T2D </w:t>
      </w:r>
      <w:r w:rsidR="00B14F4E" w:rsidRPr="00AE5088">
        <w:rPr>
          <w:rFonts w:ascii="Book Antiqua" w:hAnsi="Book Antiqua" w:cs="Times New Roman"/>
          <w:sz w:val="24"/>
          <w:szCs w:val="24"/>
          <w:lang w:val="en-US"/>
        </w:rPr>
        <w:t>seemingly</w:t>
      </w:r>
      <w:r w:rsidR="001C35A3" w:rsidRPr="00AE5088">
        <w:rPr>
          <w:rFonts w:ascii="Book Antiqua" w:hAnsi="Book Antiqua" w:cs="Times New Roman"/>
          <w:sz w:val="24"/>
          <w:szCs w:val="24"/>
          <w:lang w:val="en-US"/>
        </w:rPr>
        <w:t xml:space="preserve"> encompasses a group of several subtypes of diseases, which makes it rather difficult to </w:t>
      </w:r>
      <w:r w:rsidR="00B14F4E" w:rsidRPr="00AE5088">
        <w:rPr>
          <w:rFonts w:ascii="Book Antiqua" w:hAnsi="Book Antiqua" w:cs="Times New Roman"/>
          <w:sz w:val="24"/>
          <w:szCs w:val="24"/>
          <w:lang w:val="en-US"/>
        </w:rPr>
        <w:t>distinguish it from</w:t>
      </w:r>
      <w:r w:rsidR="001C35A3" w:rsidRPr="00AE5088">
        <w:rPr>
          <w:rFonts w:ascii="Book Antiqua" w:hAnsi="Book Antiqua" w:cs="Times New Roman"/>
          <w:sz w:val="24"/>
          <w:szCs w:val="24"/>
          <w:lang w:val="en-US"/>
        </w:rPr>
        <w:t xml:space="preserve"> other types, as it may be the result of defects in various metabolic pathways.</w:t>
      </w:r>
      <w:r w:rsidR="00743A24" w:rsidRPr="00AE5088">
        <w:rPr>
          <w:rFonts w:ascii="Book Antiqua" w:hAnsi="Book Antiqua" w:cs="Times New Roman"/>
          <w:sz w:val="24"/>
          <w:szCs w:val="24"/>
          <w:lang w:val="en-US"/>
        </w:rPr>
        <w:t xml:space="preserve"> </w:t>
      </w:r>
      <w:r w:rsidR="001C35A3" w:rsidRPr="00AE5088">
        <w:rPr>
          <w:rFonts w:ascii="Book Antiqua" w:hAnsi="Book Antiqua" w:cs="Times New Roman"/>
          <w:sz w:val="24"/>
          <w:szCs w:val="24"/>
          <w:lang w:val="en-US"/>
        </w:rPr>
        <w:t xml:space="preserve">The accuracy of prediction models may be affected by the fact that latent autoimmune diabetes in adults has been identified and the number of monogenic forms of diabetes is increasing, which can also indicate the level of </w:t>
      </w:r>
      <w:proofErr w:type="gramStart"/>
      <w:r w:rsidR="001C35A3" w:rsidRPr="00AE5088">
        <w:rPr>
          <w:rFonts w:ascii="Book Antiqua" w:hAnsi="Book Antiqua" w:cs="Times New Roman"/>
          <w:sz w:val="24"/>
          <w:szCs w:val="24"/>
          <w:lang w:val="en-US"/>
        </w:rPr>
        <w:t>misclassification</w:t>
      </w:r>
      <w:r w:rsidR="001C35A3" w:rsidRPr="00AE5088">
        <w:rPr>
          <w:rFonts w:ascii="Book Antiqua" w:hAnsi="Book Antiqua" w:cs="Times New Roman"/>
          <w:sz w:val="24"/>
          <w:szCs w:val="24"/>
          <w:vertAlign w:val="superscript"/>
          <w:lang w:val="en-US"/>
        </w:rPr>
        <w:t>[</w:t>
      </w:r>
      <w:proofErr w:type="gramEnd"/>
      <w:r w:rsidR="001C35A3"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3</w:t>
      </w:r>
      <w:r w:rsidR="001C35A3" w:rsidRPr="00AE5088">
        <w:rPr>
          <w:rFonts w:ascii="Book Antiqua" w:hAnsi="Book Antiqua" w:cs="Times New Roman"/>
          <w:sz w:val="24"/>
          <w:szCs w:val="24"/>
          <w:vertAlign w:val="superscript"/>
          <w:lang w:val="en-US"/>
        </w:rPr>
        <w:t>]</w:t>
      </w:r>
      <w:r w:rsidR="001C35A3" w:rsidRPr="00AE5088">
        <w:rPr>
          <w:rFonts w:ascii="Book Antiqua" w:hAnsi="Book Antiqua" w:cs="Times New Roman"/>
          <w:sz w:val="24"/>
          <w:szCs w:val="24"/>
          <w:lang w:val="en-US"/>
        </w:rPr>
        <w:t>.</w:t>
      </w:r>
    </w:p>
    <w:p w14:paraId="15FF54A5" w14:textId="1795BA84" w:rsidR="009F2105" w:rsidRPr="00AE5088" w:rsidRDefault="009F2105" w:rsidP="00F31B00">
      <w:pPr>
        <w:pStyle w:val="HTMLPreformatted"/>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In different populations, heterogeneity in </w:t>
      </w:r>
      <w:r w:rsidR="00286CB7" w:rsidRPr="00AE5088">
        <w:rPr>
          <w:rFonts w:ascii="Book Antiqua" w:hAnsi="Book Antiqua" w:cs="Times New Roman"/>
          <w:sz w:val="24"/>
          <w:szCs w:val="24"/>
          <w:lang w:val="en-US"/>
        </w:rPr>
        <w:t>association of genetic variants</w:t>
      </w:r>
      <w:r w:rsidRPr="00AE5088">
        <w:rPr>
          <w:rFonts w:ascii="Book Antiqua" w:hAnsi="Book Antiqua" w:cs="Times New Roman"/>
          <w:sz w:val="24"/>
          <w:szCs w:val="24"/>
          <w:lang w:val="en-US"/>
        </w:rPr>
        <w:t xml:space="preserve"> with the disease was demonstrated, apparently related to the design of the study, in particular the results of a large meta-analysis that combines cases of T2D with different origins or signs and evaluates them with a generalized intermediate hyperglycemia phenotype, despite the fact that the phenotype may differ due to a multitude of unrelated causes within the physiology of the body or the environment</w:t>
      </w:r>
      <w:r w:rsidRPr="00AE5088">
        <w:rPr>
          <w:rFonts w:ascii="Book Antiqua" w:hAnsi="Book Antiqua" w:cs="Times New Roman"/>
          <w:sz w:val="24"/>
          <w:szCs w:val="24"/>
          <w:vertAlign w:val="superscript"/>
          <w:lang w:val="en-US"/>
        </w:rPr>
        <w:t>[</w:t>
      </w:r>
      <w:r w:rsidR="001050F4"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In recent years, a large number of projects have been carried out to study the causes of diabetes, large-scale studies have been created and huge biobanks of samples of these patients have been collected. In addition, some variants were found that are important in the prevention and treatment of T2D, found in individual population isolates</w:t>
      </w:r>
      <w:r w:rsidR="00F87FAB" w:rsidRPr="00AE5088">
        <w:rPr>
          <w:rFonts w:ascii="Book Antiqua" w:hAnsi="Book Antiqua" w:cs="Times New Roman"/>
          <w:sz w:val="24"/>
          <w:szCs w:val="24"/>
          <w:lang w:val="en-US"/>
        </w:rPr>
        <w:t xml:space="preserve">, demonstrating </w:t>
      </w:r>
      <w:r w:rsidRPr="00AE5088">
        <w:rPr>
          <w:rFonts w:ascii="Book Antiqua" w:hAnsi="Book Antiqua" w:cs="Times New Roman"/>
          <w:sz w:val="24"/>
          <w:szCs w:val="24"/>
          <w:lang w:val="en-US"/>
        </w:rPr>
        <w:t xml:space="preserve">the value of studying genetically isolated </w:t>
      </w:r>
      <w:proofErr w:type="gramStart"/>
      <w:r w:rsidRPr="00AE5088">
        <w:rPr>
          <w:rFonts w:ascii="Book Antiqua" w:hAnsi="Book Antiqua" w:cs="Times New Roman"/>
          <w:sz w:val="24"/>
          <w:szCs w:val="24"/>
          <w:lang w:val="en-US"/>
        </w:rPr>
        <w:t>populations</w:t>
      </w:r>
      <w:r w:rsidR="003724FA" w:rsidRPr="00AE5088">
        <w:rPr>
          <w:rFonts w:ascii="Book Antiqua" w:hAnsi="Book Antiqua" w:cs="Times New Roman"/>
          <w:sz w:val="24"/>
          <w:szCs w:val="24"/>
          <w:vertAlign w:val="superscript"/>
          <w:lang w:val="en-US"/>
        </w:rPr>
        <w:t>[</w:t>
      </w:r>
      <w:proofErr w:type="gramEnd"/>
      <w:r w:rsidR="003724FA" w:rsidRPr="00AE5088">
        <w:rPr>
          <w:rFonts w:ascii="Book Antiqua" w:hAnsi="Book Antiqua" w:cs="Times New Roman"/>
          <w:sz w:val="24"/>
          <w:szCs w:val="24"/>
          <w:vertAlign w:val="superscript"/>
          <w:lang w:val="en-US"/>
        </w:rPr>
        <w:t>128</w:t>
      </w:r>
      <w:r w:rsidR="003B3617"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Because of genetic drift</w:t>
      </w:r>
      <w:r w:rsidR="00F87FAB"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deleterious variants with large phenotypic effects could rise randomly to higher allele frequencies</w:t>
      </w:r>
      <w:r w:rsidR="00F87FAB" w:rsidRPr="00AE5088">
        <w:rPr>
          <w:rFonts w:ascii="Book Antiqua" w:hAnsi="Book Antiqua" w:cs="Times New Roman"/>
          <w:sz w:val="24"/>
          <w:szCs w:val="24"/>
          <w:lang w:val="en-US"/>
        </w:rPr>
        <w:t>. Which makes investigation of</w:t>
      </w:r>
      <w:r w:rsidRPr="00AE5088">
        <w:rPr>
          <w:rFonts w:ascii="Book Antiqua" w:hAnsi="Book Antiqua" w:cs="Times New Roman"/>
          <w:sz w:val="24"/>
          <w:szCs w:val="24"/>
          <w:lang w:val="en-US"/>
        </w:rPr>
        <w:t xml:space="preserve"> such variants</w:t>
      </w:r>
      <w:r w:rsidR="00F87FAB" w:rsidRPr="00AE5088">
        <w:rPr>
          <w:rFonts w:ascii="Book Antiqua" w:hAnsi="Book Antiqua" w:cs="Times New Roman"/>
          <w:sz w:val="24"/>
          <w:szCs w:val="24"/>
          <w:lang w:val="en-US"/>
        </w:rPr>
        <w:t>’ association</w:t>
      </w:r>
      <w:r w:rsidRPr="00AE5088">
        <w:rPr>
          <w:rFonts w:ascii="Book Antiqua" w:hAnsi="Book Antiqua" w:cs="Times New Roman"/>
          <w:sz w:val="24"/>
          <w:szCs w:val="24"/>
          <w:lang w:val="en-US"/>
        </w:rPr>
        <w:t xml:space="preserve"> easier in isolated </w:t>
      </w:r>
      <w:r w:rsidR="00F87FAB" w:rsidRPr="00AE5088">
        <w:rPr>
          <w:rFonts w:ascii="Book Antiqua" w:hAnsi="Book Antiqua" w:cs="Times New Roman"/>
          <w:sz w:val="24"/>
          <w:szCs w:val="24"/>
          <w:lang w:val="en-US"/>
        </w:rPr>
        <w:t xml:space="preserve">populations </w:t>
      </w:r>
      <w:r w:rsidR="00F87FAB" w:rsidRPr="00AE5088">
        <w:rPr>
          <w:rFonts w:ascii="Book Antiqua" w:hAnsi="Book Antiqua" w:cs="Times New Roman"/>
          <w:sz w:val="24"/>
          <w:szCs w:val="24"/>
          <w:lang w:val="en-US"/>
        </w:rPr>
        <w:lastRenderedPageBreak/>
        <w:t>compared to the</w:t>
      </w:r>
      <w:r w:rsidRPr="00AE5088">
        <w:rPr>
          <w:rFonts w:ascii="Book Antiqua" w:hAnsi="Book Antiqua" w:cs="Times New Roman"/>
          <w:sz w:val="24"/>
          <w:szCs w:val="24"/>
          <w:lang w:val="en-US"/>
        </w:rPr>
        <w:t xml:space="preserve"> admixed </w:t>
      </w:r>
      <w:r w:rsidR="00F87FAB" w:rsidRPr="00AE5088">
        <w:rPr>
          <w:rFonts w:ascii="Book Antiqua" w:hAnsi="Book Antiqua" w:cs="Times New Roman"/>
          <w:sz w:val="24"/>
          <w:szCs w:val="24"/>
          <w:lang w:val="en-US"/>
        </w:rPr>
        <w:t>one</w:t>
      </w:r>
      <w:r w:rsidRPr="00AE5088">
        <w:rPr>
          <w:rFonts w:ascii="Book Antiqua" w:hAnsi="Book Antiqua" w:cs="Times New Roman"/>
          <w:sz w:val="24"/>
          <w:szCs w:val="24"/>
          <w:lang w:val="en-US"/>
        </w:rPr>
        <w:t xml:space="preserve">s, in which these variants might not be present or might be very </w:t>
      </w:r>
      <w:proofErr w:type="gramStart"/>
      <w:r w:rsidRPr="00AE5088">
        <w:rPr>
          <w:rFonts w:ascii="Book Antiqua" w:hAnsi="Book Antiqua" w:cs="Times New Roman"/>
          <w:sz w:val="24"/>
          <w:szCs w:val="24"/>
          <w:lang w:val="en-US"/>
        </w:rPr>
        <w:t>rare</w:t>
      </w:r>
      <w:r w:rsidR="00FA2431" w:rsidRPr="00AE5088">
        <w:rPr>
          <w:rFonts w:ascii="Book Antiqua" w:hAnsi="Book Antiqua" w:cs="Times New Roman"/>
          <w:sz w:val="24"/>
          <w:szCs w:val="24"/>
          <w:vertAlign w:val="superscript"/>
          <w:lang w:val="en-US"/>
        </w:rPr>
        <w:t>[</w:t>
      </w:r>
      <w:proofErr w:type="gramEnd"/>
      <w:r w:rsidR="00FA2431" w:rsidRPr="00AE5088">
        <w:rPr>
          <w:rFonts w:ascii="Book Antiqua" w:hAnsi="Book Antiqua" w:cs="Times New Roman"/>
          <w:sz w:val="24"/>
          <w:szCs w:val="24"/>
          <w:vertAlign w:val="superscript"/>
          <w:lang w:val="en-US"/>
        </w:rPr>
        <w:t>10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p>
    <w:p w14:paraId="7F5F01E6" w14:textId="7A54A928" w:rsidR="009F2105" w:rsidRPr="00AE5088" w:rsidRDefault="009F2105" w:rsidP="00F31B00">
      <w:pPr>
        <w:pStyle w:val="HTMLPreformatted"/>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Circulating miRNAs in plasma or serum have several features that make them ideal candidate biomarkers of complex diseases such as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00EC7DCA"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Hundreds of miRNAs are actively or passively released to the blood circulation to regulate specific gene </w:t>
      </w:r>
      <w:proofErr w:type="gramStart"/>
      <w:r w:rsidRPr="00AE5088">
        <w:rPr>
          <w:rFonts w:ascii="Book Antiqua" w:hAnsi="Book Antiqua" w:cs="Times New Roman"/>
          <w:sz w:val="24"/>
          <w:szCs w:val="24"/>
          <w:lang w:val="en-US"/>
        </w:rPr>
        <w:t>function</w:t>
      </w:r>
      <w:r w:rsidRPr="00AE5088">
        <w:rPr>
          <w:rFonts w:ascii="Book Antiqua" w:hAnsi="Book Antiqua" w:cs="Times New Roman"/>
          <w:sz w:val="24"/>
          <w:szCs w:val="24"/>
          <w:vertAlign w:val="superscript"/>
          <w:lang w:val="en-US"/>
        </w:rPr>
        <w:t>[</w:t>
      </w:r>
      <w:proofErr w:type="gramEnd"/>
      <w:r w:rsidR="00EC7DCA"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r w:rsidR="00EC7DCA"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Current studies demonstrate that changes in expression miRNAs involve in dysfunction of insulin and progression of T2D. Many studies confirmed that some miRNAs have been identified and found to be associated with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00105E40"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miR-21, miR-126 and miR146a have been shown to have potential to be biomarkers of early diagnosis of T2D </w:t>
      </w:r>
      <w:proofErr w:type="gramStart"/>
      <w:r w:rsidRPr="00AE5088">
        <w:rPr>
          <w:rFonts w:ascii="Book Antiqua" w:hAnsi="Book Antiqua" w:cs="Times New Roman"/>
          <w:sz w:val="24"/>
          <w:szCs w:val="24"/>
          <w:lang w:val="en-US"/>
        </w:rPr>
        <w:t>disease</w:t>
      </w:r>
      <w:r w:rsidRPr="00AE5088">
        <w:rPr>
          <w:rFonts w:ascii="Book Antiqua" w:hAnsi="Book Antiqua" w:cs="Times New Roman"/>
          <w:sz w:val="24"/>
          <w:szCs w:val="24"/>
          <w:vertAlign w:val="superscript"/>
          <w:lang w:val="en-US"/>
        </w:rPr>
        <w:t>[</w:t>
      </w:r>
      <w:proofErr w:type="gramEnd"/>
      <w:r w:rsidR="00105E40"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8</w:t>
      </w:r>
      <w:r w:rsidR="00F31B00">
        <w:rPr>
          <w:rFonts w:ascii="Book Antiqua" w:hAnsi="Book Antiqua" w:cs="Times New Roman"/>
          <w:sz w:val="24"/>
          <w:szCs w:val="24"/>
          <w:vertAlign w:val="superscript"/>
          <w:lang w:val="en-US"/>
        </w:rPr>
        <w:t>-</w:t>
      </w:r>
      <w:r w:rsidR="00105E40" w:rsidRPr="00AE5088">
        <w:rPr>
          <w:rFonts w:ascii="Book Antiqua" w:hAnsi="Book Antiqua" w:cs="Times New Roman"/>
          <w:sz w:val="24"/>
          <w:szCs w:val="24"/>
          <w:vertAlign w:val="superscript"/>
          <w:lang w:val="en-US"/>
        </w:rPr>
        <w:t>1</w:t>
      </w:r>
      <w:r w:rsidR="003724FA" w:rsidRPr="00AE5088">
        <w:rPr>
          <w:rFonts w:ascii="Book Antiqua" w:hAnsi="Book Antiqua" w:cs="Times New Roman"/>
          <w:sz w:val="24"/>
          <w:szCs w:val="24"/>
          <w:vertAlign w:val="superscript"/>
          <w:lang w:val="en-US"/>
        </w:rPr>
        <w:t>40</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Thus, the above mentioned miRNAs and a number of other miRNAs may be candidates for testing the effectiveness of therapy but further studies are needed to identify </w:t>
      </w:r>
      <w:proofErr w:type="gramStart"/>
      <w:r w:rsidRPr="00AE5088">
        <w:rPr>
          <w:rFonts w:ascii="Book Antiqua" w:hAnsi="Book Antiqua" w:cs="Times New Roman"/>
          <w:sz w:val="24"/>
          <w:szCs w:val="24"/>
          <w:lang w:val="en-US"/>
        </w:rPr>
        <w:t>them</w:t>
      </w:r>
      <w:r w:rsidRPr="00AE5088">
        <w:rPr>
          <w:rFonts w:ascii="Book Antiqua" w:hAnsi="Book Antiqua" w:cs="Times New Roman"/>
          <w:sz w:val="24"/>
          <w:szCs w:val="24"/>
          <w:vertAlign w:val="superscript"/>
          <w:lang w:val="en-US"/>
        </w:rPr>
        <w:t>[</w:t>
      </w:r>
      <w:proofErr w:type="gramEnd"/>
      <w:r w:rsidR="00105E40" w:rsidRPr="00AE5088">
        <w:rPr>
          <w:rFonts w:ascii="Book Antiqua" w:hAnsi="Book Antiqua" w:cs="Times New Roman"/>
          <w:sz w:val="24"/>
          <w:szCs w:val="24"/>
          <w:vertAlign w:val="superscript"/>
          <w:lang w:val="en-US"/>
        </w:rPr>
        <w:t>13</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7AD8CB17" w14:textId="77777777" w:rsidR="00105E40" w:rsidRPr="00AE5088" w:rsidRDefault="00105E40" w:rsidP="005232A1">
      <w:pPr>
        <w:pStyle w:val="HTMLPreformatted"/>
        <w:spacing w:line="360" w:lineRule="auto"/>
        <w:jc w:val="both"/>
        <w:rPr>
          <w:rFonts w:ascii="Book Antiqua" w:hAnsi="Book Antiqua" w:cs="Times New Roman"/>
          <w:sz w:val="24"/>
          <w:szCs w:val="24"/>
          <w:lang w:val="en-US"/>
        </w:rPr>
      </w:pPr>
    </w:p>
    <w:p w14:paraId="546F371D" w14:textId="5E0885BF" w:rsidR="00105E40" w:rsidRPr="00F31B00" w:rsidRDefault="00105E40" w:rsidP="005232A1">
      <w:pPr>
        <w:pStyle w:val="HTMLPreformatted"/>
        <w:spacing w:line="360" w:lineRule="auto"/>
        <w:jc w:val="both"/>
        <w:rPr>
          <w:rFonts w:ascii="Book Antiqua" w:hAnsi="Book Antiqua" w:cs="Times New Roman"/>
          <w:b/>
          <w:i/>
          <w:sz w:val="24"/>
          <w:szCs w:val="24"/>
        </w:rPr>
      </w:pPr>
      <w:r w:rsidRPr="00AE5088">
        <w:rPr>
          <w:rFonts w:ascii="Book Antiqua" w:hAnsi="Book Antiqua" w:cs="Times New Roman"/>
          <w:b/>
          <w:i/>
          <w:sz w:val="24"/>
          <w:szCs w:val="24"/>
          <w:lang w:val="en-US"/>
        </w:rPr>
        <w:t xml:space="preserve">Genetic tests of T2D: </w:t>
      </w:r>
      <w:r w:rsidR="00F31B00" w:rsidRPr="00AE5088">
        <w:rPr>
          <w:rFonts w:ascii="Book Antiqua" w:hAnsi="Book Antiqua" w:cs="Times New Roman"/>
          <w:b/>
          <w:i/>
          <w:sz w:val="24"/>
          <w:szCs w:val="24"/>
          <w:lang w:val="en-US"/>
        </w:rPr>
        <w:t xml:space="preserve">Implications </w:t>
      </w:r>
      <w:r w:rsidRPr="00AE5088">
        <w:rPr>
          <w:rFonts w:ascii="Book Antiqua" w:hAnsi="Book Antiqua" w:cs="Times New Roman"/>
          <w:b/>
          <w:i/>
          <w:sz w:val="24"/>
          <w:szCs w:val="24"/>
          <w:lang w:val="en-US"/>
        </w:rPr>
        <w:t>for therapy</w:t>
      </w:r>
    </w:p>
    <w:p w14:paraId="49A23CE2" w14:textId="07FFD65E" w:rsidR="00105E40" w:rsidRPr="00AE5088" w:rsidRDefault="00105E40" w:rsidP="005232A1">
      <w:pPr>
        <w:pStyle w:val="HTMLPreformatted"/>
        <w:spacing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T2D commonly develops with insulin resistance, a disorder in which cells </w:t>
      </w:r>
      <w:r w:rsidR="00F87FAB" w:rsidRPr="00AE5088">
        <w:rPr>
          <w:rFonts w:ascii="Book Antiqua" w:hAnsi="Book Antiqua" w:cs="Times New Roman"/>
          <w:sz w:val="24"/>
          <w:szCs w:val="24"/>
          <w:lang w:val="en-US"/>
        </w:rPr>
        <w:t xml:space="preserve">located </w:t>
      </w:r>
      <w:r w:rsidRPr="00AE5088">
        <w:rPr>
          <w:rFonts w:ascii="Book Antiqua" w:hAnsi="Book Antiqua" w:cs="Times New Roman"/>
          <w:sz w:val="24"/>
          <w:szCs w:val="24"/>
          <w:lang w:val="en-US"/>
        </w:rPr>
        <w:t xml:space="preserve">primarily within the muscles, liver, and fat tissue do not use insulin properly, and progresses to pancreatic beta-cell failure. T2D trigger are insulin resistance and inadequate insulin </w:t>
      </w:r>
      <w:proofErr w:type="gramStart"/>
      <w:r w:rsidRPr="00AE5088">
        <w:rPr>
          <w:rFonts w:ascii="Book Antiqua" w:hAnsi="Book Antiqua" w:cs="Times New Roman"/>
          <w:sz w:val="24"/>
          <w:szCs w:val="24"/>
          <w:lang w:val="en-US"/>
        </w:rPr>
        <w:t>secretion</w:t>
      </w:r>
      <w:r w:rsidRPr="00AE5088">
        <w:rPr>
          <w:rFonts w:ascii="Book Antiqua" w:hAnsi="Book Antiqua" w:cs="Times New Roman"/>
          <w:sz w:val="24"/>
          <w:szCs w:val="24"/>
          <w:vertAlign w:val="superscript"/>
          <w:lang w:val="en-US"/>
        </w:rPr>
        <w:t>[</w:t>
      </w:r>
      <w:proofErr w:type="gramEnd"/>
      <w:r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700692C6" w14:textId="0A158570" w:rsidR="00105E40" w:rsidRPr="00AE5088" w:rsidRDefault="00105E40" w:rsidP="00F31B00">
      <w:pPr>
        <w:pStyle w:val="HTMLPreformatted"/>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Selection of drug therapy based on the genetic features of the individual can be a huge breakthrough because there are individual drug idiosyncrasy and many patients eventually fail to achieve recommended levels of glycemic control due to their genetic </w:t>
      </w:r>
      <w:proofErr w:type="gramStart"/>
      <w:r w:rsidRPr="00AE5088">
        <w:rPr>
          <w:rFonts w:ascii="Book Antiqua" w:hAnsi="Book Antiqua" w:cs="Times New Roman"/>
          <w:sz w:val="24"/>
          <w:szCs w:val="24"/>
          <w:lang w:val="en-US"/>
        </w:rPr>
        <w:t>characteristics</w:t>
      </w:r>
      <w:r w:rsidRPr="00AE5088">
        <w:rPr>
          <w:rFonts w:ascii="Book Antiqua" w:hAnsi="Book Antiqua" w:cs="Times New Roman"/>
          <w:sz w:val="24"/>
          <w:szCs w:val="24"/>
          <w:vertAlign w:val="superscript"/>
          <w:lang w:val="en-US"/>
        </w:rPr>
        <w:t>[</w:t>
      </w:r>
      <w:proofErr w:type="gramEnd"/>
      <w:r w:rsidR="001C66FA"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2</w:t>
      </w:r>
      <w:r w:rsidR="001C66FA"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Currently, only half of patients initiating therapy with metformin or sulfonylurea, reached a level of </w:t>
      </w:r>
      <w:r w:rsidR="004B67E8" w:rsidRPr="00AE5088">
        <w:rPr>
          <w:rFonts w:ascii="Book Antiqua" w:hAnsi="Book Antiqua" w:cs="Times New Roman"/>
          <w:sz w:val="24"/>
          <w:szCs w:val="24"/>
          <w:lang w:val="en-US"/>
        </w:rPr>
        <w:t>hemoglobin A1c</w:t>
      </w:r>
      <w:r w:rsidRPr="00AE5088">
        <w:rPr>
          <w:rFonts w:ascii="Book Antiqua" w:hAnsi="Book Antiqua" w:cs="Times New Roman"/>
          <w:sz w:val="24"/>
          <w:szCs w:val="24"/>
          <w:lang w:val="en-US"/>
        </w:rPr>
        <w:t xml:space="preserve"> in 7</w:t>
      </w:r>
      <w:proofErr w:type="gramStart"/>
      <w:r w:rsidRPr="00AE5088">
        <w:rPr>
          <w:rFonts w:ascii="Book Antiqua" w:hAnsi="Book Antiqua" w:cs="Times New Roman"/>
          <w:sz w:val="24"/>
          <w:szCs w:val="24"/>
          <w:lang w:val="en-US"/>
        </w:rPr>
        <w:t>%</w:t>
      </w:r>
      <w:r w:rsidRPr="00AE5088">
        <w:rPr>
          <w:rFonts w:ascii="Book Antiqua" w:hAnsi="Book Antiqua" w:cs="Times New Roman"/>
          <w:sz w:val="24"/>
          <w:szCs w:val="24"/>
          <w:vertAlign w:val="superscript"/>
          <w:lang w:val="en-US"/>
        </w:rPr>
        <w:t>[</w:t>
      </w:r>
      <w:proofErr w:type="gramEnd"/>
      <w:r w:rsidR="001C66FA"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It should be emphasized that sulfonylureas and metformin are the most studied classes of drugs used to treat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00530FCE" w:rsidRPr="00AE5088">
        <w:rPr>
          <w:rFonts w:ascii="Book Antiqua" w:hAnsi="Book Antiqua" w:cs="Times New Roman"/>
          <w:sz w:val="24"/>
          <w:szCs w:val="24"/>
          <w:vertAlign w:val="superscript"/>
          <w:lang w:val="en-US"/>
        </w:rPr>
        <w:t>11</w:t>
      </w:r>
      <w:r w:rsidR="003724FA"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4739AC9E" w14:textId="3F04E722" w:rsidR="00105E40" w:rsidRPr="00AE5088" w:rsidRDefault="00105E40" w:rsidP="00F31B00">
      <w:pPr>
        <w:pStyle w:val="HTMLPreformatted"/>
        <w:spacing w:line="360" w:lineRule="auto"/>
        <w:ind w:firstLineChars="100" w:firstLine="240"/>
        <w:jc w:val="both"/>
        <w:rPr>
          <w:rFonts w:ascii="Book Antiqua" w:hAnsi="Book Antiqua" w:cs="Times New Roman"/>
          <w:sz w:val="24"/>
          <w:szCs w:val="24"/>
          <w:lang w:val="en-US"/>
        </w:rPr>
      </w:pPr>
      <w:proofErr w:type="spellStart"/>
      <w:r w:rsidRPr="00AE5088">
        <w:rPr>
          <w:rFonts w:ascii="Book Antiqua" w:hAnsi="Book Antiqua" w:cs="Times New Roman"/>
          <w:sz w:val="24"/>
          <w:szCs w:val="24"/>
          <w:lang w:val="en-US"/>
        </w:rPr>
        <w:t>Sulphonylureas</w:t>
      </w:r>
      <w:proofErr w:type="spellEnd"/>
      <w:r w:rsidRPr="00AE5088">
        <w:rPr>
          <w:rFonts w:ascii="Book Antiqua" w:hAnsi="Book Antiqua" w:cs="Times New Roman"/>
          <w:sz w:val="24"/>
          <w:szCs w:val="24"/>
          <w:lang w:val="en-US"/>
        </w:rPr>
        <w:t xml:space="preserve"> (SUs) are widely used drugs in the clinical practice however, different side effects, such as weight gain and increased risk of hypoglycemia, have been frequently</w:t>
      </w:r>
      <w:r w:rsidRPr="00AE5088">
        <w:rPr>
          <w:rFonts w:ascii="Book Antiqua" w:hAnsi="Book Antiqua" w:cs="Times New Roman"/>
          <w:sz w:val="24"/>
          <w:szCs w:val="24"/>
          <w:vertAlign w:val="superscript"/>
          <w:lang w:val="en-US"/>
        </w:rPr>
        <w:t>[</w:t>
      </w:r>
      <w:r w:rsidR="00530FCE"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Studies have shown that these drugs can act effectively in response to a defect induced by variants in </w:t>
      </w:r>
      <w:r w:rsidRPr="00AE5088">
        <w:rPr>
          <w:rFonts w:ascii="Book Antiqua" w:hAnsi="Book Antiqua" w:cs="Times New Roman"/>
          <w:i/>
          <w:sz w:val="24"/>
          <w:szCs w:val="24"/>
          <w:lang w:val="en-US"/>
        </w:rPr>
        <w:t>KCNJ11</w:t>
      </w:r>
      <w:r w:rsidRPr="00AE5088">
        <w:rPr>
          <w:rFonts w:ascii="Book Antiqua" w:hAnsi="Book Antiqua" w:cs="Times New Roman"/>
          <w:sz w:val="24"/>
          <w:szCs w:val="24"/>
          <w:lang w:val="en-US"/>
        </w:rPr>
        <w:t xml:space="preserve"> (rs5219, rs5215) and </w:t>
      </w:r>
      <w:r w:rsidRPr="00AE5088">
        <w:rPr>
          <w:rFonts w:ascii="Book Antiqua" w:hAnsi="Book Antiqua" w:cs="Times New Roman"/>
          <w:i/>
          <w:sz w:val="24"/>
          <w:szCs w:val="24"/>
          <w:lang w:val="en-US"/>
        </w:rPr>
        <w:t>ABCC8</w:t>
      </w:r>
      <w:r w:rsidRPr="00AE5088">
        <w:rPr>
          <w:rFonts w:ascii="Book Antiqua" w:hAnsi="Book Antiqua" w:cs="Times New Roman"/>
          <w:sz w:val="24"/>
          <w:szCs w:val="24"/>
          <w:lang w:val="en-US"/>
        </w:rPr>
        <w:t xml:space="preserve"> (rs757110) in patients with T2</w:t>
      </w:r>
      <w:proofErr w:type="gramStart"/>
      <w:r w:rsidRPr="00AE5088">
        <w:rPr>
          <w:rFonts w:ascii="Book Antiqua" w:hAnsi="Book Antiqua" w:cs="Times New Roman"/>
          <w:sz w:val="24"/>
          <w:szCs w:val="24"/>
          <w:lang w:val="en-US"/>
        </w:rPr>
        <w:t>D</w:t>
      </w:r>
      <w:r w:rsidRPr="00AE5088">
        <w:rPr>
          <w:rFonts w:ascii="Book Antiqua" w:hAnsi="Book Antiqua" w:cs="Times New Roman"/>
          <w:sz w:val="24"/>
          <w:szCs w:val="24"/>
          <w:vertAlign w:val="superscript"/>
          <w:lang w:val="en-US"/>
        </w:rPr>
        <w:t>[</w:t>
      </w:r>
      <w:proofErr w:type="gramEnd"/>
      <w:r w:rsidR="00530FCE"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6</w:t>
      </w:r>
      <w:r w:rsidR="00530FCE"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7</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Also important in the selection of SUs play role </w:t>
      </w:r>
      <w:r w:rsidRPr="00AE5088">
        <w:rPr>
          <w:rFonts w:ascii="Book Antiqua" w:hAnsi="Book Antiqua" w:cs="Times New Roman"/>
          <w:i/>
          <w:sz w:val="24"/>
          <w:szCs w:val="24"/>
          <w:lang w:val="en-US"/>
        </w:rPr>
        <w:t>CYP2C9</w:t>
      </w:r>
      <w:r w:rsidRPr="00AE5088">
        <w:rPr>
          <w:rFonts w:ascii="Book Antiqua" w:hAnsi="Book Antiqua" w:cs="Times New Roman"/>
          <w:sz w:val="24"/>
          <w:szCs w:val="24"/>
          <w:lang w:val="en-US"/>
        </w:rPr>
        <w:t xml:space="preserve"> (rs1799853, rs1057910),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(rs12255372, rs7903146), </w:t>
      </w:r>
      <w:r w:rsidRPr="00AE5088">
        <w:rPr>
          <w:rFonts w:ascii="Book Antiqua" w:hAnsi="Book Antiqua" w:cs="Times New Roman"/>
          <w:i/>
          <w:sz w:val="24"/>
          <w:szCs w:val="24"/>
          <w:lang w:val="en-US"/>
        </w:rPr>
        <w:t>IRS</w:t>
      </w:r>
      <w:r w:rsidRPr="00AE5088">
        <w:rPr>
          <w:rFonts w:ascii="Book Antiqua" w:hAnsi="Book Antiqua" w:cs="Times New Roman"/>
          <w:sz w:val="24"/>
          <w:szCs w:val="24"/>
          <w:lang w:val="en-US"/>
        </w:rPr>
        <w:t>1</w:t>
      </w:r>
      <w:r w:rsidR="00C4501B" w:rsidRPr="00AE5088">
        <w:rPr>
          <w:rFonts w:ascii="Book Antiqua" w:hAnsi="Book Antiqua" w:cs="Times New Roman"/>
          <w:sz w:val="24"/>
          <w:szCs w:val="24"/>
          <w:lang w:val="en-US"/>
        </w:rPr>
        <w:t xml:space="preserve"> </w:t>
      </w:r>
      <w:r w:rsidRPr="00AE5088">
        <w:rPr>
          <w:rFonts w:ascii="Book Antiqua" w:hAnsi="Book Antiqua" w:cs="Times New Roman"/>
          <w:sz w:val="24"/>
          <w:szCs w:val="24"/>
          <w:lang w:val="en-US"/>
        </w:rPr>
        <w:t xml:space="preserve">(rs2943641, rs1801278) and </w:t>
      </w:r>
      <w:r w:rsidRPr="00AE5088">
        <w:rPr>
          <w:rFonts w:ascii="Book Antiqua" w:hAnsi="Book Antiqua" w:cs="Times New Roman"/>
          <w:i/>
          <w:sz w:val="24"/>
          <w:szCs w:val="24"/>
          <w:lang w:val="en-US"/>
        </w:rPr>
        <w:t>CAPN10</w:t>
      </w:r>
      <w:r w:rsidRPr="00AE5088">
        <w:rPr>
          <w:rFonts w:ascii="Book Antiqua" w:hAnsi="Book Antiqua" w:cs="Times New Roman"/>
          <w:sz w:val="24"/>
          <w:szCs w:val="24"/>
          <w:lang w:val="en-US"/>
        </w:rPr>
        <w:t xml:space="preserve"> (rs3842570, rs3792267, rs</w:t>
      </w:r>
      <w:proofErr w:type="gramStart"/>
      <w:r w:rsidRPr="00AE5088">
        <w:rPr>
          <w:rFonts w:ascii="Book Antiqua" w:hAnsi="Book Antiqua" w:cs="Times New Roman"/>
          <w:sz w:val="24"/>
          <w:szCs w:val="24"/>
          <w:lang w:val="en-US"/>
        </w:rPr>
        <w:t>5030952)</w:t>
      </w:r>
      <w:r w:rsidRPr="00AE5088">
        <w:rPr>
          <w:rFonts w:ascii="Book Antiqua" w:hAnsi="Book Antiqua" w:cs="Times New Roman"/>
          <w:sz w:val="24"/>
          <w:szCs w:val="24"/>
          <w:vertAlign w:val="superscript"/>
          <w:lang w:val="en-US"/>
        </w:rPr>
        <w:t>[</w:t>
      </w:r>
      <w:proofErr w:type="gramEnd"/>
      <w:r w:rsidR="00D53258" w:rsidRPr="00AE5088">
        <w:rPr>
          <w:rFonts w:ascii="Book Antiqua" w:hAnsi="Book Antiqua" w:cs="Times New Roman"/>
          <w:sz w:val="24"/>
          <w:szCs w:val="24"/>
          <w:vertAlign w:val="superscript"/>
          <w:lang w:val="en-US"/>
        </w:rPr>
        <w:t>14</w:t>
      </w:r>
      <w:r w:rsidR="003724FA" w:rsidRPr="00AE5088">
        <w:rPr>
          <w:rFonts w:ascii="Book Antiqua" w:hAnsi="Book Antiqua" w:cs="Times New Roman"/>
          <w:sz w:val="24"/>
          <w:szCs w:val="24"/>
          <w:vertAlign w:val="superscript"/>
          <w:lang w:val="en-US"/>
        </w:rPr>
        <w:t>8</w:t>
      </w:r>
      <w:r w:rsidR="00F31B00">
        <w:rPr>
          <w:rFonts w:ascii="Book Antiqua" w:hAnsi="Book Antiqua" w:cs="Times New Roman"/>
          <w:sz w:val="24"/>
          <w:szCs w:val="24"/>
          <w:vertAlign w:val="superscript"/>
          <w:lang w:val="en-US"/>
        </w:rPr>
        <w:t>-</w:t>
      </w:r>
      <w:r w:rsidR="00D53258"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1</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It should also be noted rs7754840 in </w:t>
      </w:r>
      <w:r w:rsidRPr="00AE5088">
        <w:rPr>
          <w:rFonts w:ascii="Book Antiqua" w:hAnsi="Book Antiqua" w:cs="Times New Roman"/>
          <w:sz w:val="24"/>
          <w:szCs w:val="24"/>
          <w:lang w:val="en-US"/>
        </w:rPr>
        <w:lastRenderedPageBreak/>
        <w:t xml:space="preserve">the gene </w:t>
      </w:r>
      <w:r w:rsidRPr="00AE5088">
        <w:rPr>
          <w:rFonts w:ascii="Book Antiqua" w:hAnsi="Book Antiqua" w:cs="Times New Roman"/>
          <w:i/>
          <w:sz w:val="24"/>
          <w:szCs w:val="24"/>
          <w:lang w:val="en-US"/>
        </w:rPr>
        <w:t>CDKAL1</w:t>
      </w:r>
      <w:r w:rsidRPr="00AE5088">
        <w:rPr>
          <w:rFonts w:ascii="Book Antiqua" w:hAnsi="Book Antiqua" w:cs="Times New Roman"/>
          <w:sz w:val="24"/>
          <w:szCs w:val="24"/>
          <w:lang w:val="en-US"/>
        </w:rPr>
        <w:t>, which is significantly associated with the response to treatment with sulfonylurea and in combination with other clinical and pathological data will help move to individual therapy of patients with T2D</w:t>
      </w:r>
      <w:r w:rsidRPr="00AE5088">
        <w:rPr>
          <w:rFonts w:ascii="Book Antiqua" w:hAnsi="Book Antiqua" w:cs="Times New Roman"/>
          <w:sz w:val="24"/>
          <w:szCs w:val="24"/>
          <w:vertAlign w:val="superscript"/>
          <w:lang w:val="en-US"/>
        </w:rPr>
        <w:t>[</w:t>
      </w:r>
      <w:r w:rsidR="00D53258"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2</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w:t>
      </w:r>
    </w:p>
    <w:p w14:paraId="0A9FF874" w14:textId="3738EBAC" w:rsidR="00105E40" w:rsidRPr="00AE5088" w:rsidRDefault="00105E40" w:rsidP="00F31B00">
      <w:pPr>
        <w:pStyle w:val="HTMLPreformatted"/>
        <w:spacing w:line="360" w:lineRule="auto"/>
        <w:ind w:firstLineChars="100" w:firstLine="240"/>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Metformin is the most commonly used drug in the treatment of T2D, which is not metabolized in the liver, therefore, the effect of reducing the level of metformin is not affected by genetic variants in the genes encoding metabolizing </w:t>
      </w:r>
      <w:proofErr w:type="gramStart"/>
      <w:r w:rsidRPr="00AE5088">
        <w:rPr>
          <w:rFonts w:ascii="Book Antiqua" w:hAnsi="Book Antiqua" w:cs="Times New Roman"/>
          <w:sz w:val="24"/>
          <w:szCs w:val="24"/>
          <w:lang w:val="en-US"/>
        </w:rPr>
        <w:t>enzymes</w:t>
      </w:r>
      <w:r w:rsidRPr="00AE5088">
        <w:rPr>
          <w:rFonts w:ascii="Book Antiqua" w:hAnsi="Book Antiqua" w:cs="Times New Roman"/>
          <w:sz w:val="24"/>
          <w:szCs w:val="24"/>
          <w:vertAlign w:val="superscript"/>
          <w:lang w:val="en-US"/>
        </w:rPr>
        <w:t>[</w:t>
      </w:r>
      <w:proofErr w:type="gramEnd"/>
      <w:r w:rsidR="00D53258"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3</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w:t>
      </w:r>
      <w:r w:rsidRPr="00AE5088">
        <w:rPr>
          <w:rFonts w:ascii="Book Antiqua" w:hAnsi="Book Antiqua" w:cs="Times New Roman"/>
          <w:i/>
          <w:sz w:val="24"/>
          <w:szCs w:val="24"/>
          <w:lang w:val="en-US"/>
        </w:rPr>
        <w:t>SLC22A1</w:t>
      </w:r>
      <w:r w:rsidRPr="00AE5088">
        <w:rPr>
          <w:rFonts w:ascii="Book Antiqua" w:hAnsi="Book Antiqua" w:cs="Times New Roman"/>
          <w:sz w:val="24"/>
          <w:szCs w:val="24"/>
          <w:lang w:val="en-US"/>
        </w:rPr>
        <w:t xml:space="preserve"> (rs12208357, rs34130495, rs35167514, rs34059508) is the most studied gene that is involved in the response to </w:t>
      </w:r>
      <w:proofErr w:type="gramStart"/>
      <w:r w:rsidRPr="00AE5088">
        <w:rPr>
          <w:rFonts w:ascii="Book Antiqua" w:hAnsi="Book Antiqua" w:cs="Times New Roman"/>
          <w:sz w:val="24"/>
          <w:szCs w:val="24"/>
          <w:lang w:val="en-US"/>
        </w:rPr>
        <w:t>metformin</w:t>
      </w:r>
      <w:r w:rsidRPr="00AE5088">
        <w:rPr>
          <w:rFonts w:ascii="Book Antiqua" w:hAnsi="Book Antiqua" w:cs="Times New Roman"/>
          <w:sz w:val="24"/>
          <w:szCs w:val="24"/>
          <w:vertAlign w:val="superscript"/>
          <w:lang w:val="en-US"/>
        </w:rPr>
        <w:t>[</w:t>
      </w:r>
      <w:proofErr w:type="gramEnd"/>
      <w:r w:rsidR="008508F3" w:rsidRPr="00AE5088">
        <w:rPr>
          <w:rFonts w:ascii="Book Antiqua" w:hAnsi="Book Antiqua" w:cs="Times New Roman"/>
          <w:sz w:val="24"/>
          <w:szCs w:val="24"/>
          <w:vertAlign w:val="superscript"/>
          <w:lang w:val="en-US"/>
        </w:rPr>
        <w:t>15</w:t>
      </w:r>
      <w:r w:rsidR="003724FA" w:rsidRPr="00AE5088">
        <w:rPr>
          <w:rFonts w:ascii="Book Antiqua" w:hAnsi="Book Antiqua" w:cs="Times New Roman"/>
          <w:sz w:val="24"/>
          <w:szCs w:val="24"/>
          <w:vertAlign w:val="superscript"/>
          <w:lang w:val="en-US"/>
        </w:rPr>
        <w:t>4</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However, other genes involved in the metabolism of metformin have been identified, for example, </w:t>
      </w:r>
      <w:r w:rsidRPr="00AE5088">
        <w:rPr>
          <w:rFonts w:ascii="Book Antiqua" w:hAnsi="Book Antiqua" w:cs="Times New Roman"/>
          <w:i/>
          <w:sz w:val="24"/>
          <w:szCs w:val="24"/>
          <w:lang w:val="en-US"/>
        </w:rPr>
        <w:t>SLC22A2</w:t>
      </w:r>
      <w:r w:rsidRPr="00AE5088">
        <w:rPr>
          <w:rFonts w:ascii="Book Antiqua" w:hAnsi="Book Antiqua" w:cs="Times New Roman"/>
          <w:sz w:val="24"/>
          <w:szCs w:val="24"/>
          <w:lang w:val="en-US"/>
        </w:rPr>
        <w:t xml:space="preserve"> (rs316019), </w:t>
      </w:r>
      <w:r w:rsidRPr="00AE5088">
        <w:rPr>
          <w:rFonts w:ascii="Book Antiqua" w:hAnsi="Book Antiqua" w:cs="Times New Roman"/>
          <w:i/>
          <w:sz w:val="24"/>
          <w:szCs w:val="24"/>
          <w:lang w:val="en-US"/>
        </w:rPr>
        <w:t>PPARG</w:t>
      </w:r>
      <w:r w:rsidRPr="00AE5088">
        <w:rPr>
          <w:rFonts w:ascii="Book Antiqua" w:hAnsi="Book Antiqua" w:cs="Times New Roman"/>
          <w:sz w:val="24"/>
          <w:szCs w:val="24"/>
          <w:lang w:val="en-US"/>
        </w:rPr>
        <w:t xml:space="preserve"> (rs</w:t>
      </w:r>
      <w:proofErr w:type="gramStart"/>
      <w:r w:rsidRPr="00AE5088">
        <w:rPr>
          <w:rFonts w:ascii="Book Antiqua" w:hAnsi="Book Antiqua" w:cs="Times New Roman"/>
          <w:sz w:val="24"/>
          <w:szCs w:val="24"/>
          <w:lang w:val="en-US"/>
        </w:rPr>
        <w:t>1801282)</w:t>
      </w:r>
      <w:r w:rsidRPr="00AE5088">
        <w:rPr>
          <w:rFonts w:ascii="Book Antiqua" w:hAnsi="Book Antiqua" w:cs="Times New Roman"/>
          <w:sz w:val="24"/>
          <w:szCs w:val="24"/>
          <w:vertAlign w:val="superscript"/>
          <w:lang w:val="en-US"/>
        </w:rPr>
        <w:t>[</w:t>
      </w:r>
      <w:proofErr w:type="gramEnd"/>
      <w:r w:rsidR="008508F3" w:rsidRPr="00AE5088">
        <w:rPr>
          <w:rFonts w:ascii="Book Antiqua" w:hAnsi="Book Antiqua" w:cs="Times New Roman"/>
          <w:sz w:val="24"/>
          <w:szCs w:val="24"/>
          <w:vertAlign w:val="superscript"/>
          <w:lang w:val="en-US"/>
        </w:rPr>
        <w:t>1</w:t>
      </w:r>
      <w:r w:rsidR="00C42D8D">
        <w:rPr>
          <w:rFonts w:ascii="Book Antiqua" w:hAnsi="Book Antiqua" w:cs="Times New Roman"/>
          <w:sz w:val="24"/>
          <w:szCs w:val="24"/>
          <w:vertAlign w:val="superscript"/>
          <w:lang w:val="en-US"/>
        </w:rPr>
        <w:t>4</w:t>
      </w:r>
      <w:r w:rsidR="003724FA" w:rsidRPr="00AE5088">
        <w:rPr>
          <w:rFonts w:ascii="Book Antiqua" w:hAnsi="Book Antiqua" w:cs="Times New Roman"/>
          <w:sz w:val="24"/>
          <w:szCs w:val="24"/>
          <w:vertAlign w:val="superscript"/>
          <w:lang w:val="en-US"/>
        </w:rPr>
        <w:t>5</w:t>
      </w:r>
      <w:r w:rsidR="006237A9" w:rsidRPr="00AE5088">
        <w:rPr>
          <w:rFonts w:ascii="Book Antiqua" w:hAnsi="Book Antiqua" w:cs="Times New Roman"/>
          <w:sz w:val="24"/>
          <w:szCs w:val="24"/>
          <w:vertAlign w:val="superscript"/>
          <w:lang w:val="en-US"/>
        </w:rPr>
        <w:t>,15</w:t>
      </w:r>
      <w:r w:rsidR="00C42D8D">
        <w:rPr>
          <w:rFonts w:ascii="Book Antiqua" w:hAnsi="Book Antiqua" w:cs="Times New Roman"/>
          <w:sz w:val="24"/>
          <w:szCs w:val="24"/>
          <w:vertAlign w:val="superscript"/>
          <w:lang w:val="en-US"/>
        </w:rPr>
        <w:t>5</w:t>
      </w:r>
      <w:r w:rsidRPr="00AE5088">
        <w:rPr>
          <w:rFonts w:ascii="Book Antiqua" w:hAnsi="Book Antiqua" w:cs="Times New Roman"/>
          <w:sz w:val="24"/>
          <w:szCs w:val="24"/>
          <w:vertAlign w:val="superscript"/>
          <w:lang w:val="en-US"/>
        </w:rPr>
        <w:t>]</w:t>
      </w:r>
      <w:r w:rsidRPr="00AE5088">
        <w:rPr>
          <w:rFonts w:ascii="Book Antiqua" w:hAnsi="Book Antiqua" w:cs="Times New Roman"/>
          <w:sz w:val="24"/>
          <w:szCs w:val="24"/>
          <w:lang w:val="en-US"/>
        </w:rPr>
        <w:t xml:space="preserve">. It should also be noted that the </w:t>
      </w:r>
      <w:r w:rsidR="008169F5" w:rsidRPr="00AE5088">
        <w:rPr>
          <w:rFonts w:ascii="Book Antiqua" w:hAnsi="Book Antiqua" w:cs="Times New Roman"/>
          <w:sz w:val="24"/>
          <w:szCs w:val="24"/>
          <w:lang w:val="en-US"/>
        </w:rPr>
        <w:t>T2D</w:t>
      </w:r>
      <w:r w:rsidRPr="00AE5088">
        <w:rPr>
          <w:rFonts w:ascii="Book Antiqua" w:hAnsi="Book Antiqua" w:cs="Times New Roman"/>
          <w:sz w:val="24"/>
          <w:szCs w:val="24"/>
          <w:lang w:val="en-US"/>
        </w:rPr>
        <w:t xml:space="preserve">–associated variant rs7903146 in </w:t>
      </w:r>
      <w:r w:rsidRPr="00AE5088">
        <w:rPr>
          <w:rFonts w:ascii="Book Antiqua" w:hAnsi="Book Antiqua" w:cs="Times New Roman"/>
          <w:i/>
          <w:sz w:val="24"/>
          <w:szCs w:val="24"/>
          <w:lang w:val="en-US"/>
        </w:rPr>
        <w:t>TCF7L2</w:t>
      </w:r>
      <w:r w:rsidRPr="00AE5088">
        <w:rPr>
          <w:rFonts w:ascii="Book Antiqua" w:hAnsi="Book Antiqua" w:cs="Times New Roman"/>
          <w:sz w:val="24"/>
          <w:szCs w:val="24"/>
          <w:lang w:val="en-US"/>
        </w:rPr>
        <w:t xml:space="preserve"> influences the acute response to both glipizide and metformin in persons free of overt diabetes</w:t>
      </w:r>
      <w:r w:rsidRPr="00AE5088">
        <w:rPr>
          <w:rFonts w:ascii="Book Antiqua" w:hAnsi="Book Antiqua" w:cs="Times New Roman"/>
          <w:sz w:val="24"/>
          <w:szCs w:val="24"/>
          <w:vertAlign w:val="superscript"/>
          <w:lang w:val="en-US"/>
        </w:rPr>
        <w:t>[</w:t>
      </w:r>
      <w:bookmarkStart w:id="10" w:name="_GoBack"/>
      <w:r w:rsidR="006237A9" w:rsidRPr="00AE5088">
        <w:rPr>
          <w:rFonts w:ascii="Book Antiqua" w:hAnsi="Book Antiqua" w:cs="Times New Roman"/>
          <w:sz w:val="24"/>
          <w:szCs w:val="24"/>
          <w:vertAlign w:val="superscript"/>
          <w:lang w:val="en-US"/>
        </w:rPr>
        <w:t>15</w:t>
      </w:r>
      <w:r w:rsidR="00C42D8D">
        <w:rPr>
          <w:rFonts w:ascii="Book Antiqua" w:hAnsi="Book Antiqua" w:cs="Times New Roman"/>
          <w:sz w:val="24"/>
          <w:szCs w:val="24"/>
          <w:vertAlign w:val="superscript"/>
          <w:lang w:val="en-US"/>
        </w:rPr>
        <w:t>6</w:t>
      </w:r>
      <w:r w:rsidRPr="00AE5088">
        <w:rPr>
          <w:rFonts w:ascii="Book Antiqua" w:hAnsi="Book Antiqua" w:cs="Times New Roman"/>
          <w:sz w:val="24"/>
          <w:szCs w:val="24"/>
          <w:vertAlign w:val="superscript"/>
          <w:lang w:val="en-US"/>
        </w:rPr>
        <w:t>]</w:t>
      </w:r>
      <w:bookmarkEnd w:id="10"/>
      <w:r w:rsidRPr="00AE5088">
        <w:rPr>
          <w:rFonts w:ascii="Book Antiqua" w:hAnsi="Book Antiqua" w:cs="Times New Roman"/>
          <w:sz w:val="24"/>
          <w:szCs w:val="24"/>
          <w:lang w:val="en-US"/>
        </w:rPr>
        <w:t>.</w:t>
      </w:r>
    </w:p>
    <w:p w14:paraId="63C29083" w14:textId="77777777" w:rsidR="005F58AF" w:rsidRPr="00AE5088" w:rsidRDefault="005F58AF" w:rsidP="005232A1">
      <w:pPr>
        <w:spacing w:after="0" w:line="360" w:lineRule="auto"/>
        <w:jc w:val="both"/>
        <w:rPr>
          <w:rFonts w:ascii="Book Antiqua" w:hAnsi="Book Antiqua" w:cs="Times New Roman"/>
          <w:sz w:val="24"/>
          <w:szCs w:val="24"/>
          <w:lang w:val="en-US"/>
        </w:rPr>
      </w:pPr>
    </w:p>
    <w:p w14:paraId="7B9FEC7A" w14:textId="6CD794FA" w:rsidR="0091508A" w:rsidRPr="00F31B00" w:rsidRDefault="00F31B00" w:rsidP="005232A1">
      <w:pPr>
        <w:spacing w:after="0" w:line="360" w:lineRule="auto"/>
        <w:jc w:val="both"/>
        <w:rPr>
          <w:rFonts w:ascii="Book Antiqua" w:hAnsi="Book Antiqua" w:cs="Times New Roman"/>
          <w:b/>
          <w:sz w:val="24"/>
          <w:szCs w:val="24"/>
          <w:lang w:val="en-US"/>
        </w:rPr>
      </w:pPr>
      <w:r w:rsidRPr="00AE5088">
        <w:rPr>
          <w:rFonts w:ascii="Book Antiqua" w:hAnsi="Book Antiqua" w:cs="Times New Roman"/>
          <w:b/>
          <w:sz w:val="24"/>
          <w:szCs w:val="24"/>
          <w:lang w:val="en-US"/>
        </w:rPr>
        <w:t>CONCLUSION</w:t>
      </w:r>
    </w:p>
    <w:p w14:paraId="3A730439" w14:textId="7C4A1374" w:rsidR="005A245A" w:rsidRPr="00AE5088" w:rsidRDefault="0091508A" w:rsidP="005232A1">
      <w:pPr>
        <w:spacing w:after="0" w:line="360" w:lineRule="auto"/>
        <w:jc w:val="both"/>
        <w:rPr>
          <w:rFonts w:ascii="Book Antiqua" w:hAnsi="Book Antiqua" w:cs="Times New Roman"/>
          <w:sz w:val="24"/>
          <w:szCs w:val="24"/>
          <w:lang w:val="en-US"/>
        </w:rPr>
      </w:pPr>
      <w:r w:rsidRPr="00AE5088">
        <w:rPr>
          <w:rFonts w:ascii="Book Antiqua" w:hAnsi="Book Antiqua" w:cs="Times New Roman"/>
          <w:sz w:val="24"/>
          <w:szCs w:val="24"/>
          <w:lang w:val="en-US"/>
        </w:rPr>
        <w:t xml:space="preserve">The growing power and reducing cost sparked an enormous range of applications of NGS technology </w:t>
      </w:r>
      <w:r w:rsidR="00F87FAB" w:rsidRPr="00AE5088">
        <w:rPr>
          <w:rFonts w:ascii="Book Antiqua" w:hAnsi="Book Antiqua" w:cs="Times New Roman"/>
          <w:sz w:val="24"/>
          <w:szCs w:val="24"/>
          <w:lang w:val="en-US"/>
        </w:rPr>
        <w:t>t</w:t>
      </w:r>
      <w:r w:rsidRPr="00AE5088">
        <w:rPr>
          <w:rFonts w:ascii="Book Antiqua" w:hAnsi="Book Antiqua" w:cs="Times New Roman"/>
          <w:sz w:val="24"/>
          <w:szCs w:val="24"/>
          <w:lang w:val="en-US"/>
        </w:rPr>
        <w:t xml:space="preserve">hat gave us the excellent instrument for solving various problems in molecular biology. </w:t>
      </w:r>
      <w:r w:rsidR="00F87FAB" w:rsidRPr="00AE5088">
        <w:rPr>
          <w:rFonts w:ascii="Book Antiqua" w:hAnsi="Book Antiqua" w:cs="Times New Roman"/>
          <w:sz w:val="24"/>
          <w:szCs w:val="24"/>
          <w:lang w:val="en-US"/>
        </w:rPr>
        <w:t xml:space="preserve">Rational usage of this instrument, taking into account </w:t>
      </w:r>
      <w:r w:rsidRPr="00AE5088">
        <w:rPr>
          <w:rFonts w:ascii="Book Antiqua" w:hAnsi="Book Antiqua" w:cs="Times New Roman"/>
          <w:sz w:val="24"/>
          <w:szCs w:val="24"/>
          <w:lang w:val="en-US"/>
        </w:rPr>
        <w:t>all</w:t>
      </w:r>
      <w:r w:rsidR="00F87FAB" w:rsidRPr="00AE5088">
        <w:rPr>
          <w:rFonts w:ascii="Book Antiqua" w:hAnsi="Book Antiqua" w:cs="Times New Roman"/>
          <w:sz w:val="24"/>
          <w:szCs w:val="24"/>
          <w:lang w:val="en-US"/>
        </w:rPr>
        <w:t xml:space="preserve"> of its</w:t>
      </w:r>
      <w:r w:rsidRPr="00AE5088">
        <w:rPr>
          <w:rFonts w:ascii="Book Antiqua" w:hAnsi="Book Antiqua" w:cs="Times New Roman"/>
          <w:sz w:val="24"/>
          <w:szCs w:val="24"/>
          <w:lang w:val="en-US"/>
        </w:rPr>
        <w:t xml:space="preserve"> benefits and limitations</w:t>
      </w:r>
      <w:r w:rsidR="00F87FAB" w:rsidRPr="00AE5088">
        <w:rPr>
          <w:rFonts w:ascii="Book Antiqua" w:hAnsi="Book Antiqua" w:cs="Times New Roman"/>
          <w:sz w:val="24"/>
          <w:szCs w:val="24"/>
          <w:lang w:val="en-US"/>
        </w:rPr>
        <w:t>,</w:t>
      </w:r>
      <w:r w:rsidRPr="00AE5088">
        <w:rPr>
          <w:rFonts w:ascii="Book Antiqua" w:hAnsi="Book Antiqua" w:cs="Times New Roman"/>
          <w:sz w:val="24"/>
          <w:szCs w:val="24"/>
          <w:lang w:val="en-US"/>
        </w:rPr>
        <w:t xml:space="preserve"> </w:t>
      </w:r>
      <w:r w:rsidR="00F87FAB" w:rsidRPr="00AE5088">
        <w:rPr>
          <w:rFonts w:ascii="Book Antiqua" w:hAnsi="Book Antiqua" w:cs="Times New Roman"/>
          <w:sz w:val="24"/>
          <w:szCs w:val="24"/>
          <w:lang w:val="en-US"/>
        </w:rPr>
        <w:t xml:space="preserve">is </w:t>
      </w:r>
      <w:r w:rsidRPr="00AE5088">
        <w:rPr>
          <w:rFonts w:ascii="Book Antiqua" w:hAnsi="Book Antiqua" w:cs="Times New Roman"/>
          <w:sz w:val="24"/>
          <w:szCs w:val="24"/>
          <w:lang w:val="en-US"/>
        </w:rPr>
        <w:t xml:space="preserve">the next step </w:t>
      </w:r>
      <w:r w:rsidR="00F87FAB" w:rsidRPr="00AE5088">
        <w:rPr>
          <w:rFonts w:ascii="Book Antiqua" w:hAnsi="Book Antiqua" w:cs="Times New Roman"/>
          <w:sz w:val="24"/>
          <w:szCs w:val="24"/>
          <w:lang w:val="en-US"/>
        </w:rPr>
        <w:t>on the way</w:t>
      </w:r>
      <w:r w:rsidRPr="00AE5088">
        <w:rPr>
          <w:rFonts w:ascii="Book Antiqua" w:hAnsi="Book Antiqua" w:cs="Times New Roman"/>
          <w:sz w:val="24"/>
          <w:szCs w:val="24"/>
          <w:lang w:val="en-US"/>
        </w:rPr>
        <w:t xml:space="preserve"> </w:t>
      </w:r>
      <w:r w:rsidR="00F87FAB" w:rsidRPr="00AE5088">
        <w:rPr>
          <w:rFonts w:ascii="Book Antiqua" w:hAnsi="Book Antiqua" w:cs="Times New Roman"/>
          <w:sz w:val="24"/>
          <w:szCs w:val="24"/>
          <w:lang w:val="en-US"/>
        </w:rPr>
        <w:t xml:space="preserve">to </w:t>
      </w:r>
      <w:r w:rsidRPr="00AE5088">
        <w:rPr>
          <w:rFonts w:ascii="Book Antiqua" w:hAnsi="Book Antiqua" w:cs="Times New Roman"/>
          <w:sz w:val="24"/>
          <w:szCs w:val="24"/>
          <w:lang w:val="en-US"/>
        </w:rPr>
        <w:t xml:space="preserve">elucidation of pathogenesis of complex diseases such as T2D. Results obtained in sequencing-based studies combined with earlier findings from GWAS and candidate genes studies allow ordering and improving our knowledge about T2D and give us an opportunity to translate genetic information to clinical practice. The increasing knowledge provides a fascinating opportunity to use this information to predict the occurrence of disease and to identify subgroups of patients for whom therapies will have the greatest efficacy or the least adverse effect. </w:t>
      </w:r>
      <w:r w:rsidR="00440C76" w:rsidRPr="00AE5088">
        <w:rPr>
          <w:rFonts w:ascii="Book Antiqua" w:hAnsi="Book Antiqua" w:cs="Times New Roman"/>
          <w:sz w:val="24"/>
          <w:szCs w:val="24"/>
          <w:lang w:val="en-US"/>
        </w:rPr>
        <w:t xml:space="preserve">However, this </w:t>
      </w:r>
      <w:r w:rsidR="00F87FAB" w:rsidRPr="00AE5088">
        <w:rPr>
          <w:rFonts w:ascii="Book Antiqua" w:hAnsi="Book Antiqua" w:cs="Times New Roman"/>
          <w:sz w:val="24"/>
          <w:szCs w:val="24"/>
          <w:lang w:val="en-US"/>
        </w:rPr>
        <w:t>new</w:t>
      </w:r>
      <w:r w:rsidRPr="00AE5088">
        <w:rPr>
          <w:rFonts w:ascii="Book Antiqua" w:hAnsi="Book Antiqua" w:cs="Times New Roman"/>
          <w:sz w:val="24"/>
          <w:szCs w:val="24"/>
          <w:lang w:val="en-US"/>
        </w:rPr>
        <w:t xml:space="preserve"> knowledge should be treated with caution. </w:t>
      </w:r>
      <w:r w:rsidR="00440C76" w:rsidRPr="00AE5088">
        <w:rPr>
          <w:rFonts w:ascii="Book Antiqua" w:hAnsi="Book Antiqua" w:cs="Times New Roman"/>
          <w:sz w:val="24"/>
          <w:szCs w:val="24"/>
          <w:lang w:val="en-US"/>
        </w:rPr>
        <w:t>Unfortunately, t</w:t>
      </w:r>
      <w:r w:rsidRPr="00AE5088">
        <w:rPr>
          <w:rFonts w:ascii="Book Antiqua" w:hAnsi="Book Antiqua" w:cs="Times New Roman"/>
          <w:sz w:val="24"/>
          <w:szCs w:val="24"/>
          <w:lang w:val="en-US"/>
        </w:rPr>
        <w:t xml:space="preserve">he accuracy of risk prediction models based on genetic information of T2D is not remarkable to date. </w:t>
      </w:r>
      <w:r w:rsidR="00440C76" w:rsidRPr="00AE5088">
        <w:rPr>
          <w:rFonts w:ascii="Book Antiqua" w:hAnsi="Book Antiqua" w:cs="Times New Roman"/>
          <w:sz w:val="24"/>
          <w:szCs w:val="24"/>
          <w:lang w:val="en-US"/>
        </w:rPr>
        <w:t>Hence, f</w:t>
      </w:r>
      <w:r w:rsidRPr="00AE5088">
        <w:rPr>
          <w:rFonts w:ascii="Book Antiqua" w:hAnsi="Book Antiqua" w:cs="Times New Roman"/>
          <w:sz w:val="24"/>
          <w:szCs w:val="24"/>
          <w:lang w:val="en-US"/>
        </w:rPr>
        <w:t>urther research</w:t>
      </w:r>
      <w:r w:rsidR="00440C76" w:rsidRPr="00AE5088">
        <w:rPr>
          <w:rFonts w:ascii="Book Antiqua" w:hAnsi="Book Antiqua" w:cs="Times New Roman"/>
          <w:sz w:val="24"/>
          <w:szCs w:val="24"/>
          <w:lang w:val="en-US"/>
        </w:rPr>
        <w:t xml:space="preserve"> and technological improvement</w:t>
      </w:r>
      <w:r w:rsidRPr="00AE5088">
        <w:rPr>
          <w:rFonts w:ascii="Book Antiqua" w:hAnsi="Book Antiqua" w:cs="Times New Roman"/>
          <w:sz w:val="24"/>
          <w:szCs w:val="24"/>
          <w:lang w:val="en-US"/>
        </w:rPr>
        <w:t xml:space="preserve"> is needed in studying the individual and aggregate contribution of genetic markers for the development of diabetes for widespread use in clinical practice.</w:t>
      </w:r>
      <w:r w:rsidR="005A245A" w:rsidRPr="00AE5088">
        <w:rPr>
          <w:rFonts w:ascii="Book Antiqua" w:hAnsi="Book Antiqua" w:cs="Times New Roman"/>
          <w:sz w:val="24"/>
          <w:szCs w:val="24"/>
          <w:lang w:val="en-US"/>
        </w:rPr>
        <w:t xml:space="preserve"> </w:t>
      </w:r>
    </w:p>
    <w:p w14:paraId="09553158" w14:textId="77777777" w:rsidR="005F58AF" w:rsidRPr="00AE5088" w:rsidRDefault="005F58AF" w:rsidP="005232A1">
      <w:pPr>
        <w:spacing w:after="0" w:line="360" w:lineRule="auto"/>
        <w:jc w:val="both"/>
        <w:rPr>
          <w:rFonts w:ascii="Book Antiqua" w:hAnsi="Book Antiqua" w:cs="Arial"/>
          <w:sz w:val="24"/>
          <w:szCs w:val="24"/>
          <w:lang w:val="en-US"/>
        </w:rPr>
      </w:pPr>
    </w:p>
    <w:p w14:paraId="641696C6" w14:textId="77777777" w:rsidR="00F31B00" w:rsidRDefault="00F31B00">
      <w:pPr>
        <w:spacing w:after="200" w:line="276" w:lineRule="auto"/>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35D59441" w14:textId="58CAB4E3" w:rsidR="0024307B" w:rsidRPr="00054A0E" w:rsidRDefault="00F31B00" w:rsidP="00054A0E">
      <w:pPr>
        <w:spacing w:after="0" w:line="360" w:lineRule="auto"/>
        <w:jc w:val="both"/>
        <w:rPr>
          <w:rFonts w:ascii="Book Antiqua" w:hAnsi="Book Antiqua" w:cs="Times New Roman"/>
          <w:sz w:val="24"/>
          <w:szCs w:val="24"/>
          <w:lang w:val="en-US"/>
        </w:rPr>
      </w:pPr>
      <w:r w:rsidRPr="00054A0E">
        <w:rPr>
          <w:rFonts w:ascii="Book Antiqua" w:hAnsi="Book Antiqua" w:cs="Times New Roman"/>
          <w:b/>
          <w:bCs/>
          <w:sz w:val="24"/>
          <w:szCs w:val="24"/>
          <w:lang w:val="en-US"/>
        </w:rPr>
        <w:lastRenderedPageBreak/>
        <w:t>REFERENCES</w:t>
      </w:r>
    </w:p>
    <w:p w14:paraId="4A6D412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 </w:t>
      </w:r>
      <w:r w:rsidRPr="00054A0E">
        <w:rPr>
          <w:rFonts w:ascii="Book Antiqua" w:hAnsi="Book Antiqua"/>
          <w:b/>
          <w:sz w:val="24"/>
          <w:szCs w:val="24"/>
        </w:rPr>
        <w:t>Whiting DR</w:t>
      </w:r>
      <w:r w:rsidRPr="00054A0E">
        <w:rPr>
          <w:rFonts w:ascii="Book Antiqua" w:hAnsi="Book Antiqua"/>
          <w:sz w:val="24"/>
          <w:szCs w:val="24"/>
        </w:rPr>
        <w:t xml:space="preserve">, Guariguata L, Weil C, Shaw J. IDF diabetes atlas: global estimates of the prevalence of diabetes for 2011 and 2030. </w:t>
      </w:r>
      <w:r w:rsidRPr="00054A0E">
        <w:rPr>
          <w:rFonts w:ascii="Book Antiqua" w:hAnsi="Book Antiqua"/>
          <w:i/>
          <w:sz w:val="24"/>
          <w:szCs w:val="24"/>
        </w:rPr>
        <w:t>Diabetes Res Clin Pract</w:t>
      </w:r>
      <w:r w:rsidRPr="00054A0E">
        <w:rPr>
          <w:rFonts w:ascii="Book Antiqua" w:hAnsi="Book Antiqua"/>
          <w:sz w:val="24"/>
          <w:szCs w:val="24"/>
        </w:rPr>
        <w:t xml:space="preserve"> 2011; </w:t>
      </w:r>
      <w:r w:rsidRPr="00054A0E">
        <w:rPr>
          <w:rFonts w:ascii="Book Antiqua" w:hAnsi="Book Antiqua"/>
          <w:b/>
          <w:sz w:val="24"/>
          <w:szCs w:val="24"/>
        </w:rPr>
        <w:t>94</w:t>
      </w:r>
      <w:r w:rsidRPr="00054A0E">
        <w:rPr>
          <w:rFonts w:ascii="Book Antiqua" w:hAnsi="Book Antiqua"/>
          <w:sz w:val="24"/>
          <w:szCs w:val="24"/>
        </w:rPr>
        <w:t>: 311-321 [PMID: 22079683 DOI: 10.1016/j.diabres.2011.10.029]</w:t>
      </w:r>
    </w:p>
    <w:p w14:paraId="5C698DD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 </w:t>
      </w:r>
      <w:r w:rsidRPr="00054A0E">
        <w:rPr>
          <w:rFonts w:ascii="Book Antiqua" w:hAnsi="Book Antiqua"/>
          <w:b/>
          <w:sz w:val="24"/>
          <w:szCs w:val="24"/>
        </w:rPr>
        <w:t>Kahn SE</w:t>
      </w:r>
      <w:r w:rsidRPr="00054A0E">
        <w:rPr>
          <w:rFonts w:ascii="Book Antiqua" w:hAnsi="Book Antiqua"/>
          <w:sz w:val="24"/>
          <w:szCs w:val="24"/>
        </w:rPr>
        <w:t xml:space="preserve">, Cooper ME, Del Prato S. Pathophysiology and treatment of type 2 diabetes: perspectives on the past, present, and future. </w:t>
      </w:r>
      <w:r w:rsidRPr="00054A0E">
        <w:rPr>
          <w:rFonts w:ascii="Book Antiqua" w:hAnsi="Book Antiqua"/>
          <w:i/>
          <w:sz w:val="24"/>
          <w:szCs w:val="24"/>
        </w:rPr>
        <w:t>Lancet</w:t>
      </w:r>
      <w:r w:rsidRPr="00054A0E">
        <w:rPr>
          <w:rFonts w:ascii="Book Antiqua" w:hAnsi="Book Antiqua"/>
          <w:sz w:val="24"/>
          <w:szCs w:val="24"/>
        </w:rPr>
        <w:t xml:space="preserve"> 2014; </w:t>
      </w:r>
      <w:r w:rsidRPr="00054A0E">
        <w:rPr>
          <w:rFonts w:ascii="Book Antiqua" w:hAnsi="Book Antiqua"/>
          <w:b/>
          <w:sz w:val="24"/>
          <w:szCs w:val="24"/>
        </w:rPr>
        <w:t>383</w:t>
      </w:r>
      <w:r w:rsidRPr="00054A0E">
        <w:rPr>
          <w:rFonts w:ascii="Book Antiqua" w:hAnsi="Book Antiqua"/>
          <w:sz w:val="24"/>
          <w:szCs w:val="24"/>
        </w:rPr>
        <w:t>: 1068-1083 [PMID: 24315620 DOI: 10.1016/S0140-6736(13)62154-6]</w:t>
      </w:r>
    </w:p>
    <w:p w14:paraId="587484E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 </w:t>
      </w:r>
      <w:r w:rsidRPr="006A0B29">
        <w:rPr>
          <w:rFonts w:ascii="Book Antiqua" w:hAnsi="Book Antiqua"/>
          <w:b/>
          <w:sz w:val="24"/>
          <w:szCs w:val="24"/>
        </w:rPr>
        <w:t>Fowler MJ</w:t>
      </w:r>
      <w:r w:rsidRPr="00054A0E">
        <w:rPr>
          <w:rFonts w:ascii="Book Antiqua" w:hAnsi="Book Antiqua"/>
          <w:sz w:val="24"/>
          <w:szCs w:val="24"/>
        </w:rPr>
        <w:t>. Microvascular and macrovascular complications of diabetes.</w:t>
      </w:r>
      <w:r w:rsidRPr="006A0B29">
        <w:rPr>
          <w:rFonts w:ascii="Book Antiqua" w:hAnsi="Book Antiqua"/>
          <w:i/>
          <w:sz w:val="24"/>
          <w:szCs w:val="24"/>
        </w:rPr>
        <w:t xml:space="preserve"> Clin Diabetes</w:t>
      </w:r>
      <w:r w:rsidRPr="00054A0E">
        <w:rPr>
          <w:rFonts w:ascii="Book Antiqua" w:hAnsi="Book Antiqua"/>
          <w:sz w:val="24"/>
          <w:szCs w:val="24"/>
        </w:rPr>
        <w:t xml:space="preserve"> 2008; </w:t>
      </w:r>
      <w:r w:rsidRPr="006A0B29">
        <w:rPr>
          <w:rFonts w:ascii="Book Antiqua" w:hAnsi="Book Antiqua"/>
          <w:b/>
          <w:sz w:val="24"/>
          <w:szCs w:val="24"/>
        </w:rPr>
        <w:t>26</w:t>
      </w:r>
      <w:r w:rsidRPr="00054A0E">
        <w:rPr>
          <w:rFonts w:ascii="Book Antiqua" w:hAnsi="Book Antiqua"/>
          <w:sz w:val="24"/>
          <w:szCs w:val="24"/>
        </w:rPr>
        <w:t>: 77-82 [DOI: 10.2337/diaclin.26.2.77]</w:t>
      </w:r>
    </w:p>
    <w:p w14:paraId="091B19B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 </w:t>
      </w:r>
      <w:r w:rsidRPr="00054A0E">
        <w:rPr>
          <w:rFonts w:ascii="Book Antiqua" w:hAnsi="Book Antiqua"/>
          <w:b/>
          <w:sz w:val="24"/>
          <w:szCs w:val="24"/>
        </w:rPr>
        <w:t>Rao Kondapally Seshasai S</w:t>
      </w:r>
      <w:r w:rsidRPr="00054A0E">
        <w:rPr>
          <w:rFonts w:ascii="Book Antiqua" w:hAnsi="Book Antiqua"/>
          <w:sz w:val="24"/>
          <w:szCs w:val="24"/>
        </w:rPr>
        <w:t xml:space="preserve">, Kaptoge S, Thompson A, Di Angelantonio E, Gao P, Sarwar N, Whincup PH, Mukamal KJ, Gillum RF, Holme I, Njølstad I, Fletcher A, Nilsson P, Lewington S, Collins R, Gudnason V, Thompson SG, Sattar N, Selvin E, Hu FB, Danesh J; Emerging Risk Factors Collaboration. Diabetes mellitus, fasting glucose, and risk of cause-specific death. </w:t>
      </w:r>
      <w:r w:rsidRPr="00054A0E">
        <w:rPr>
          <w:rFonts w:ascii="Book Antiqua" w:hAnsi="Book Antiqua"/>
          <w:i/>
          <w:sz w:val="24"/>
          <w:szCs w:val="24"/>
        </w:rPr>
        <w:t>N Engl J Med</w:t>
      </w:r>
      <w:r w:rsidRPr="00054A0E">
        <w:rPr>
          <w:rFonts w:ascii="Book Antiqua" w:hAnsi="Book Antiqua"/>
          <w:sz w:val="24"/>
          <w:szCs w:val="24"/>
        </w:rPr>
        <w:t xml:space="preserve"> 2011; </w:t>
      </w:r>
      <w:r w:rsidRPr="00054A0E">
        <w:rPr>
          <w:rFonts w:ascii="Book Antiqua" w:hAnsi="Book Antiqua"/>
          <w:b/>
          <w:sz w:val="24"/>
          <w:szCs w:val="24"/>
        </w:rPr>
        <w:t>364</w:t>
      </w:r>
      <w:r w:rsidRPr="00054A0E">
        <w:rPr>
          <w:rFonts w:ascii="Book Antiqua" w:hAnsi="Book Antiqua"/>
          <w:sz w:val="24"/>
          <w:szCs w:val="24"/>
        </w:rPr>
        <w:t>: 829-841 [PMID: 21366474 DOI: 10.1056/NEJMoa1008862]</w:t>
      </w:r>
    </w:p>
    <w:p w14:paraId="6FB630C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 </w:t>
      </w:r>
      <w:r w:rsidRPr="00054A0E">
        <w:rPr>
          <w:rFonts w:ascii="Book Antiqua" w:hAnsi="Book Antiqua"/>
          <w:b/>
          <w:sz w:val="24"/>
          <w:szCs w:val="24"/>
        </w:rPr>
        <w:t>Tancredi M</w:t>
      </w:r>
      <w:r w:rsidRPr="00054A0E">
        <w:rPr>
          <w:rFonts w:ascii="Book Antiqua" w:hAnsi="Book Antiqua"/>
          <w:sz w:val="24"/>
          <w:szCs w:val="24"/>
        </w:rPr>
        <w:t xml:space="preserve">, Rosengren A, Svensson AM, Kosiborod M, Pivodic A, Gudbjörnsdottir S, Wedel H, Clements M, Dahlqvist S, Lind M. Excess Mortality among Persons with Type 2 Diabetes. </w:t>
      </w:r>
      <w:r w:rsidRPr="00054A0E">
        <w:rPr>
          <w:rFonts w:ascii="Book Antiqua" w:hAnsi="Book Antiqua"/>
          <w:i/>
          <w:sz w:val="24"/>
          <w:szCs w:val="24"/>
        </w:rPr>
        <w:t>N Engl J Med</w:t>
      </w:r>
      <w:r w:rsidRPr="00054A0E">
        <w:rPr>
          <w:rFonts w:ascii="Book Antiqua" w:hAnsi="Book Antiqua"/>
          <w:sz w:val="24"/>
          <w:szCs w:val="24"/>
        </w:rPr>
        <w:t xml:space="preserve"> 2015; </w:t>
      </w:r>
      <w:r w:rsidRPr="00054A0E">
        <w:rPr>
          <w:rFonts w:ascii="Book Antiqua" w:hAnsi="Book Antiqua"/>
          <w:b/>
          <w:sz w:val="24"/>
          <w:szCs w:val="24"/>
        </w:rPr>
        <w:t>373</w:t>
      </w:r>
      <w:r w:rsidRPr="00054A0E">
        <w:rPr>
          <w:rFonts w:ascii="Book Antiqua" w:hAnsi="Book Antiqua"/>
          <w:sz w:val="24"/>
          <w:szCs w:val="24"/>
        </w:rPr>
        <w:t>: 1720-1732 [PMID: 26510021 DOI: 10.1056/NEJMoa1504347]</w:t>
      </w:r>
    </w:p>
    <w:p w14:paraId="3B7973E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 </w:t>
      </w:r>
      <w:r w:rsidRPr="00054A0E">
        <w:rPr>
          <w:rFonts w:ascii="Book Antiqua" w:hAnsi="Book Antiqua"/>
          <w:b/>
          <w:sz w:val="24"/>
          <w:szCs w:val="24"/>
        </w:rPr>
        <w:t>Rich SS</w:t>
      </w:r>
      <w:r w:rsidRPr="00054A0E">
        <w:rPr>
          <w:rFonts w:ascii="Book Antiqua" w:hAnsi="Book Antiqua"/>
          <w:sz w:val="24"/>
          <w:szCs w:val="24"/>
        </w:rPr>
        <w:t xml:space="preserve">. Mapping genes in diabetes. Genetic epidemiological perspective. </w:t>
      </w:r>
      <w:r w:rsidRPr="00054A0E">
        <w:rPr>
          <w:rFonts w:ascii="Book Antiqua" w:hAnsi="Book Antiqua"/>
          <w:i/>
          <w:sz w:val="24"/>
          <w:szCs w:val="24"/>
        </w:rPr>
        <w:t>Diabetes</w:t>
      </w:r>
      <w:r w:rsidRPr="00054A0E">
        <w:rPr>
          <w:rFonts w:ascii="Book Antiqua" w:hAnsi="Book Antiqua"/>
          <w:sz w:val="24"/>
          <w:szCs w:val="24"/>
        </w:rPr>
        <w:t xml:space="preserve"> 1990; </w:t>
      </w:r>
      <w:r w:rsidRPr="00054A0E">
        <w:rPr>
          <w:rFonts w:ascii="Book Antiqua" w:hAnsi="Book Antiqua"/>
          <w:b/>
          <w:sz w:val="24"/>
          <w:szCs w:val="24"/>
        </w:rPr>
        <w:t>39</w:t>
      </w:r>
      <w:r w:rsidRPr="00054A0E">
        <w:rPr>
          <w:rFonts w:ascii="Book Antiqua" w:hAnsi="Book Antiqua"/>
          <w:sz w:val="24"/>
          <w:szCs w:val="24"/>
        </w:rPr>
        <w:t>: 1315-1319 [PMID: 2227105 DOI: 10.2337/diabetes.39.11.1315]</w:t>
      </w:r>
    </w:p>
    <w:p w14:paraId="3D60D88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 </w:t>
      </w:r>
      <w:r w:rsidRPr="00054A0E">
        <w:rPr>
          <w:rFonts w:ascii="Book Antiqua" w:hAnsi="Book Antiqua"/>
          <w:b/>
          <w:sz w:val="24"/>
          <w:szCs w:val="24"/>
        </w:rPr>
        <w:t>Medici F</w:t>
      </w:r>
      <w:r w:rsidRPr="00054A0E">
        <w:rPr>
          <w:rFonts w:ascii="Book Antiqua" w:hAnsi="Book Antiqua"/>
          <w:sz w:val="24"/>
          <w:szCs w:val="24"/>
        </w:rPr>
        <w:t xml:space="preserve">, Hawa M, Ianari A, Pyke DA, Leslie RD. Concordance rate for type II diabetes mellitus in monozygotic twins: actuarial analysis. </w:t>
      </w:r>
      <w:r w:rsidRPr="00054A0E">
        <w:rPr>
          <w:rFonts w:ascii="Book Antiqua" w:hAnsi="Book Antiqua"/>
          <w:i/>
          <w:sz w:val="24"/>
          <w:szCs w:val="24"/>
        </w:rPr>
        <w:t>Diabetologia</w:t>
      </w:r>
      <w:r w:rsidRPr="00054A0E">
        <w:rPr>
          <w:rFonts w:ascii="Book Antiqua" w:hAnsi="Book Antiqua"/>
          <w:sz w:val="24"/>
          <w:szCs w:val="24"/>
        </w:rPr>
        <w:t xml:space="preserve"> 1999; </w:t>
      </w:r>
      <w:r w:rsidRPr="00054A0E">
        <w:rPr>
          <w:rFonts w:ascii="Book Antiqua" w:hAnsi="Book Antiqua"/>
          <w:b/>
          <w:sz w:val="24"/>
          <w:szCs w:val="24"/>
        </w:rPr>
        <w:t>42</w:t>
      </w:r>
      <w:r w:rsidRPr="00054A0E">
        <w:rPr>
          <w:rFonts w:ascii="Book Antiqua" w:hAnsi="Book Antiqua"/>
          <w:sz w:val="24"/>
          <w:szCs w:val="24"/>
        </w:rPr>
        <w:t>: 146-150 [PMID: 10064093 DOI: 10.1007/s001250051132]</w:t>
      </w:r>
    </w:p>
    <w:p w14:paraId="475EE0C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 </w:t>
      </w:r>
      <w:r w:rsidRPr="00054A0E">
        <w:rPr>
          <w:rFonts w:ascii="Book Antiqua" w:hAnsi="Book Antiqua"/>
          <w:b/>
          <w:sz w:val="24"/>
          <w:szCs w:val="24"/>
        </w:rPr>
        <w:t>Li G</w:t>
      </w:r>
      <w:r w:rsidRPr="00054A0E">
        <w:rPr>
          <w:rFonts w:ascii="Book Antiqua" w:hAnsi="Book Antiqua"/>
          <w:sz w:val="24"/>
          <w:szCs w:val="24"/>
        </w:rPr>
        <w:t xml:space="preserve">, Zhang P, Wang J, Gregg EW, Yang W, Gong Q, Li H, Li H, Jiang Y, An Y, Shuai Y, Zhang B, Zhang J, Thompson TJ, Gerzoff RB, Roglic G, Hu Y, Bennett PH. The long-term effect of lifestyle interventions to prevent diabetes in the China Da Qing Diabetes Prevention Study: a 20-year follow-up study. </w:t>
      </w:r>
      <w:r w:rsidRPr="00054A0E">
        <w:rPr>
          <w:rFonts w:ascii="Book Antiqua" w:hAnsi="Book Antiqua"/>
          <w:i/>
          <w:sz w:val="24"/>
          <w:szCs w:val="24"/>
        </w:rPr>
        <w:t>Lancet</w:t>
      </w:r>
      <w:r w:rsidRPr="00054A0E">
        <w:rPr>
          <w:rFonts w:ascii="Book Antiqua" w:hAnsi="Book Antiqua"/>
          <w:sz w:val="24"/>
          <w:szCs w:val="24"/>
        </w:rPr>
        <w:t xml:space="preserve"> 2008; </w:t>
      </w:r>
      <w:r w:rsidRPr="00054A0E">
        <w:rPr>
          <w:rFonts w:ascii="Book Antiqua" w:hAnsi="Book Antiqua"/>
          <w:b/>
          <w:sz w:val="24"/>
          <w:szCs w:val="24"/>
        </w:rPr>
        <w:t>371</w:t>
      </w:r>
      <w:r w:rsidRPr="00054A0E">
        <w:rPr>
          <w:rFonts w:ascii="Book Antiqua" w:hAnsi="Book Antiqua"/>
          <w:sz w:val="24"/>
          <w:szCs w:val="24"/>
        </w:rPr>
        <w:t>: 1783-1789 [PMID: 18502303 DOI: 10.1016/S0140-6736(08)60766-7]</w:t>
      </w:r>
    </w:p>
    <w:p w14:paraId="1DE1D4D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 </w:t>
      </w:r>
      <w:r w:rsidRPr="00054A0E">
        <w:rPr>
          <w:rFonts w:ascii="Book Antiqua" w:hAnsi="Book Antiqua"/>
          <w:b/>
          <w:sz w:val="24"/>
          <w:szCs w:val="24"/>
        </w:rPr>
        <w:t>Lindström J</w:t>
      </w:r>
      <w:r w:rsidRPr="00054A0E">
        <w:rPr>
          <w:rFonts w:ascii="Book Antiqua" w:hAnsi="Book Antiqua"/>
          <w:sz w:val="24"/>
          <w:szCs w:val="24"/>
        </w:rPr>
        <w:t xml:space="preserve">, Ilanne-Parikka P, Peltonen M, Aunola S, Eriksson JG, Hemiö K, Hämäläinen H, Härkönen P, Keinänen-Kiukaanniemi S, Laakso M, Louheranta A, Mannelin M, Paturi M, Sundvall J, Valle TT, Uusitupa M, Tuomilehto J; Finnish </w:t>
      </w:r>
      <w:r w:rsidRPr="00054A0E">
        <w:rPr>
          <w:rFonts w:ascii="Book Antiqua" w:hAnsi="Book Antiqua"/>
          <w:sz w:val="24"/>
          <w:szCs w:val="24"/>
        </w:rPr>
        <w:lastRenderedPageBreak/>
        <w:t xml:space="preserve">Diabetes Prevention Study Group. Sustained reduction in the incidence of type 2 diabetes by lifestyle intervention: follow-up of the Finnish Diabetes Prevention Study. </w:t>
      </w:r>
      <w:r w:rsidRPr="00054A0E">
        <w:rPr>
          <w:rFonts w:ascii="Book Antiqua" w:hAnsi="Book Antiqua"/>
          <w:i/>
          <w:sz w:val="24"/>
          <w:szCs w:val="24"/>
        </w:rPr>
        <w:t>Lancet</w:t>
      </w:r>
      <w:r w:rsidRPr="00054A0E">
        <w:rPr>
          <w:rFonts w:ascii="Book Antiqua" w:hAnsi="Book Antiqua"/>
          <w:sz w:val="24"/>
          <w:szCs w:val="24"/>
        </w:rPr>
        <w:t xml:space="preserve"> 2006; </w:t>
      </w:r>
      <w:r w:rsidRPr="00054A0E">
        <w:rPr>
          <w:rFonts w:ascii="Book Antiqua" w:hAnsi="Book Antiqua"/>
          <w:b/>
          <w:sz w:val="24"/>
          <w:szCs w:val="24"/>
        </w:rPr>
        <w:t>368</w:t>
      </w:r>
      <w:r w:rsidRPr="00054A0E">
        <w:rPr>
          <w:rFonts w:ascii="Book Antiqua" w:hAnsi="Book Antiqua"/>
          <w:sz w:val="24"/>
          <w:szCs w:val="24"/>
        </w:rPr>
        <w:t>: 1673-1679 [PMID: 17098085 DOI: 10.1016/S0140-6736(06)69701-8]</w:t>
      </w:r>
    </w:p>
    <w:p w14:paraId="7BAEE57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 </w:t>
      </w:r>
      <w:r w:rsidRPr="00054A0E">
        <w:rPr>
          <w:rFonts w:ascii="Book Antiqua" w:hAnsi="Book Antiqua"/>
          <w:b/>
          <w:sz w:val="24"/>
          <w:szCs w:val="24"/>
        </w:rPr>
        <w:t>Langenberg C</w:t>
      </w:r>
      <w:r w:rsidRPr="00054A0E">
        <w:rPr>
          <w:rFonts w:ascii="Book Antiqua" w:hAnsi="Book Antiqua"/>
          <w:sz w:val="24"/>
          <w:szCs w:val="24"/>
        </w:rPr>
        <w:t xml:space="preserve">, Lotta LA. Genomic insights into the causes of type 2 diabetes. </w:t>
      </w:r>
      <w:r w:rsidRPr="00054A0E">
        <w:rPr>
          <w:rFonts w:ascii="Book Antiqua" w:hAnsi="Book Antiqua"/>
          <w:i/>
          <w:sz w:val="24"/>
          <w:szCs w:val="24"/>
        </w:rPr>
        <w:t>Lancet</w:t>
      </w:r>
      <w:r w:rsidRPr="00054A0E">
        <w:rPr>
          <w:rFonts w:ascii="Book Antiqua" w:hAnsi="Book Antiqua"/>
          <w:sz w:val="24"/>
          <w:szCs w:val="24"/>
        </w:rPr>
        <w:t xml:space="preserve"> 2018; </w:t>
      </w:r>
      <w:r w:rsidRPr="00054A0E">
        <w:rPr>
          <w:rFonts w:ascii="Book Antiqua" w:hAnsi="Book Antiqua"/>
          <w:b/>
          <w:sz w:val="24"/>
          <w:szCs w:val="24"/>
        </w:rPr>
        <w:t>391</w:t>
      </w:r>
      <w:r w:rsidRPr="00054A0E">
        <w:rPr>
          <w:rFonts w:ascii="Book Antiqua" w:hAnsi="Book Antiqua"/>
          <w:sz w:val="24"/>
          <w:szCs w:val="24"/>
        </w:rPr>
        <w:t>: 2463-2474 [PMID: 29916387 DOI: 10.1016/S0140-6736(18)31132-2]</w:t>
      </w:r>
    </w:p>
    <w:p w14:paraId="7FA5EA4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 </w:t>
      </w:r>
      <w:r w:rsidRPr="00054A0E">
        <w:rPr>
          <w:rFonts w:ascii="Book Antiqua" w:hAnsi="Book Antiqua"/>
          <w:b/>
          <w:sz w:val="24"/>
          <w:szCs w:val="24"/>
        </w:rPr>
        <w:t>Altshuler D</w:t>
      </w:r>
      <w:r w:rsidRPr="00054A0E">
        <w:rPr>
          <w:rFonts w:ascii="Book Antiqua" w:hAnsi="Book Antiqua"/>
          <w:sz w:val="24"/>
          <w:szCs w:val="24"/>
        </w:rPr>
        <w:t xml:space="preserve">, Hirschhorn JN, Klannemark M, Lindgren CM, Vohl MC, Nemesh J, Lane CR, Schaffner SF, Bolk S, Brewer C, Tuomi T, Gaudet D, Hudson TJ, Daly M, Groop L, Lander ES. The common PPARgamma Pro12Ala polymorphism is associated with decreased risk of type 2 diabetes. </w:t>
      </w:r>
      <w:r w:rsidRPr="00054A0E">
        <w:rPr>
          <w:rFonts w:ascii="Book Antiqua" w:hAnsi="Book Antiqua"/>
          <w:i/>
          <w:sz w:val="24"/>
          <w:szCs w:val="24"/>
        </w:rPr>
        <w:t>Nat Genet</w:t>
      </w:r>
      <w:r w:rsidRPr="00054A0E">
        <w:rPr>
          <w:rFonts w:ascii="Book Antiqua" w:hAnsi="Book Antiqua"/>
          <w:sz w:val="24"/>
          <w:szCs w:val="24"/>
        </w:rPr>
        <w:t xml:space="preserve"> 2000; </w:t>
      </w:r>
      <w:r w:rsidRPr="00054A0E">
        <w:rPr>
          <w:rFonts w:ascii="Book Antiqua" w:hAnsi="Book Antiqua"/>
          <w:b/>
          <w:sz w:val="24"/>
          <w:szCs w:val="24"/>
        </w:rPr>
        <w:t>26</w:t>
      </w:r>
      <w:r w:rsidRPr="00054A0E">
        <w:rPr>
          <w:rFonts w:ascii="Book Antiqua" w:hAnsi="Book Antiqua"/>
          <w:sz w:val="24"/>
          <w:szCs w:val="24"/>
        </w:rPr>
        <w:t>: 76-80 [PMID: 10973253 DOI: 10.1038/79216]</w:t>
      </w:r>
    </w:p>
    <w:p w14:paraId="1B18D2B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 </w:t>
      </w:r>
      <w:r w:rsidRPr="00054A0E">
        <w:rPr>
          <w:rFonts w:ascii="Book Antiqua" w:hAnsi="Book Antiqua"/>
          <w:b/>
          <w:sz w:val="24"/>
          <w:szCs w:val="24"/>
        </w:rPr>
        <w:t>Gloyn AL</w:t>
      </w:r>
      <w:r w:rsidRPr="00054A0E">
        <w:rPr>
          <w:rFonts w:ascii="Book Antiqua" w:hAnsi="Book Antiqua"/>
          <w:sz w:val="24"/>
          <w:szCs w:val="24"/>
        </w:rPr>
        <w:t xml:space="preserve">, Weedon MN, Owen KR, Turner MJ, Knight BA, Hitman G, Walker M, Levy JC, Sampson M, Halford S, McCarthy MI, Hattersley AT, Frayling TM. Large-scale association studies of variants in genes encoding the pancreatic beta-cell KATP channel subunits Kir6.2 (KCNJ11) and SUR1 (ABCC8) confirm that the KCNJ11 E23K variant is associated with type 2 diabetes. </w:t>
      </w:r>
      <w:r w:rsidRPr="00054A0E">
        <w:rPr>
          <w:rFonts w:ascii="Book Antiqua" w:hAnsi="Book Antiqua"/>
          <w:i/>
          <w:sz w:val="24"/>
          <w:szCs w:val="24"/>
        </w:rPr>
        <w:t>Diabetes</w:t>
      </w:r>
      <w:r w:rsidRPr="00054A0E">
        <w:rPr>
          <w:rFonts w:ascii="Book Antiqua" w:hAnsi="Book Antiqua"/>
          <w:sz w:val="24"/>
          <w:szCs w:val="24"/>
        </w:rPr>
        <w:t xml:space="preserve"> 2003; </w:t>
      </w:r>
      <w:r w:rsidRPr="00054A0E">
        <w:rPr>
          <w:rFonts w:ascii="Book Antiqua" w:hAnsi="Book Antiqua"/>
          <w:b/>
          <w:sz w:val="24"/>
          <w:szCs w:val="24"/>
        </w:rPr>
        <w:t>52</w:t>
      </w:r>
      <w:r w:rsidRPr="00054A0E">
        <w:rPr>
          <w:rFonts w:ascii="Book Antiqua" w:hAnsi="Book Antiqua"/>
          <w:sz w:val="24"/>
          <w:szCs w:val="24"/>
        </w:rPr>
        <w:t>: 568-572 [PMID: 12540637 DOI: 10.2337/diabetes.52.2.568]</w:t>
      </w:r>
    </w:p>
    <w:p w14:paraId="2257E61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 </w:t>
      </w:r>
      <w:r w:rsidRPr="00054A0E">
        <w:rPr>
          <w:rFonts w:ascii="Book Antiqua" w:hAnsi="Book Antiqua"/>
          <w:b/>
          <w:sz w:val="24"/>
          <w:szCs w:val="24"/>
        </w:rPr>
        <w:t>Schwanstecher C</w:t>
      </w:r>
      <w:r w:rsidRPr="00054A0E">
        <w:rPr>
          <w:rFonts w:ascii="Book Antiqua" w:hAnsi="Book Antiqua"/>
          <w:sz w:val="24"/>
          <w:szCs w:val="24"/>
        </w:rPr>
        <w:t xml:space="preserve">, Meyer U, Schwanstecher M. K(IR)6.2 polymorphism predisposes to type 2 diabetes by inducing overactivity of pancreatic beta-cell ATP-sensitive K(+) channels. </w:t>
      </w:r>
      <w:r w:rsidRPr="00054A0E">
        <w:rPr>
          <w:rFonts w:ascii="Book Antiqua" w:hAnsi="Book Antiqua"/>
          <w:i/>
          <w:sz w:val="24"/>
          <w:szCs w:val="24"/>
        </w:rPr>
        <w:t>Diabetes</w:t>
      </w:r>
      <w:r w:rsidRPr="00054A0E">
        <w:rPr>
          <w:rFonts w:ascii="Book Antiqua" w:hAnsi="Book Antiqua"/>
          <w:sz w:val="24"/>
          <w:szCs w:val="24"/>
        </w:rPr>
        <w:t xml:space="preserve"> 2002; </w:t>
      </w:r>
      <w:r w:rsidRPr="00054A0E">
        <w:rPr>
          <w:rFonts w:ascii="Book Antiqua" w:hAnsi="Book Antiqua"/>
          <w:b/>
          <w:sz w:val="24"/>
          <w:szCs w:val="24"/>
        </w:rPr>
        <w:t>51</w:t>
      </w:r>
      <w:r w:rsidRPr="00054A0E">
        <w:rPr>
          <w:rFonts w:ascii="Book Antiqua" w:hAnsi="Book Antiqua"/>
          <w:sz w:val="24"/>
          <w:szCs w:val="24"/>
        </w:rPr>
        <w:t>: 875-879 [PMID: 11872696 DOI: 10.2337/diabetes.51.3.875]</w:t>
      </w:r>
    </w:p>
    <w:p w14:paraId="2122914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 </w:t>
      </w:r>
      <w:r w:rsidRPr="00054A0E">
        <w:rPr>
          <w:rFonts w:ascii="Book Antiqua" w:hAnsi="Book Antiqua"/>
          <w:b/>
          <w:sz w:val="24"/>
          <w:szCs w:val="24"/>
        </w:rPr>
        <w:t>Gloyn AL</w:t>
      </w:r>
      <w:r w:rsidRPr="00054A0E">
        <w:rPr>
          <w:rFonts w:ascii="Book Antiqua" w:hAnsi="Book Antiqua"/>
          <w:sz w:val="24"/>
          <w:szCs w:val="24"/>
        </w:rPr>
        <w:t xml:space="preserve">, Hashim Y, Ashcroft SJ, Ashfield R, Wiltshire S, Turner RC; UK Prospective Diabetes Study (UKPDS 53). Association studies of variants in promoter and coding regions of beta-cell ATP-sensitive K-channel genes SUR1 and Kir6.2 with Type 2 diabetes mellitus (UKPDS 53). </w:t>
      </w:r>
      <w:r w:rsidRPr="00054A0E">
        <w:rPr>
          <w:rFonts w:ascii="Book Antiqua" w:hAnsi="Book Antiqua"/>
          <w:i/>
          <w:sz w:val="24"/>
          <w:szCs w:val="24"/>
        </w:rPr>
        <w:t>Diabet Med</w:t>
      </w:r>
      <w:r w:rsidRPr="00054A0E">
        <w:rPr>
          <w:rFonts w:ascii="Book Antiqua" w:hAnsi="Book Antiqua"/>
          <w:sz w:val="24"/>
          <w:szCs w:val="24"/>
        </w:rPr>
        <w:t xml:space="preserve"> 2001; </w:t>
      </w:r>
      <w:r w:rsidRPr="00054A0E">
        <w:rPr>
          <w:rFonts w:ascii="Book Antiqua" w:hAnsi="Book Antiqua"/>
          <w:b/>
          <w:sz w:val="24"/>
          <w:szCs w:val="24"/>
        </w:rPr>
        <w:t>18</w:t>
      </w:r>
      <w:r w:rsidRPr="00054A0E">
        <w:rPr>
          <w:rFonts w:ascii="Book Antiqua" w:hAnsi="Book Antiqua"/>
          <w:sz w:val="24"/>
          <w:szCs w:val="24"/>
        </w:rPr>
        <w:t>: 206-212 [PMID: 11318841 DOI: 10.1046/j.1464-5491.2001.00449.x]</w:t>
      </w:r>
    </w:p>
    <w:p w14:paraId="462C9FA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 </w:t>
      </w:r>
      <w:r w:rsidRPr="00054A0E">
        <w:rPr>
          <w:rFonts w:ascii="Book Antiqua" w:hAnsi="Book Antiqua"/>
          <w:b/>
          <w:sz w:val="24"/>
          <w:szCs w:val="24"/>
        </w:rPr>
        <w:t>Hani EH</w:t>
      </w:r>
      <w:r w:rsidRPr="00054A0E">
        <w:rPr>
          <w:rFonts w:ascii="Book Antiqua" w:hAnsi="Book Antiqua"/>
          <w:sz w:val="24"/>
          <w:szCs w:val="24"/>
        </w:rPr>
        <w:t xml:space="preserve">, Boutin P, Durand E, Inoue H, Permutt MA, Velho G, Froguel P. Missense mutations in the pancreatic islet beta cell inwardly rectifying K+ channel gene (KIR6.2/BIR): a meta-analysis suggests a role in the polygenic basis of Type II diabetes mellitus in Caucasians. </w:t>
      </w:r>
      <w:r w:rsidRPr="00054A0E">
        <w:rPr>
          <w:rFonts w:ascii="Book Antiqua" w:hAnsi="Book Antiqua"/>
          <w:i/>
          <w:sz w:val="24"/>
          <w:szCs w:val="24"/>
        </w:rPr>
        <w:t>Diabetologia</w:t>
      </w:r>
      <w:r w:rsidRPr="00054A0E">
        <w:rPr>
          <w:rFonts w:ascii="Book Antiqua" w:hAnsi="Book Antiqua"/>
          <w:sz w:val="24"/>
          <w:szCs w:val="24"/>
        </w:rPr>
        <w:t xml:space="preserve"> 1998; </w:t>
      </w:r>
      <w:r w:rsidRPr="00054A0E">
        <w:rPr>
          <w:rFonts w:ascii="Book Antiqua" w:hAnsi="Book Antiqua"/>
          <w:b/>
          <w:sz w:val="24"/>
          <w:szCs w:val="24"/>
        </w:rPr>
        <w:t>41</w:t>
      </w:r>
      <w:r w:rsidRPr="00054A0E">
        <w:rPr>
          <w:rFonts w:ascii="Book Antiqua" w:hAnsi="Book Antiqua"/>
          <w:sz w:val="24"/>
          <w:szCs w:val="24"/>
        </w:rPr>
        <w:t>: 1511-1515 [PMID: 9867219 DOI: 10.1007/s001250051098]</w:t>
      </w:r>
    </w:p>
    <w:p w14:paraId="38F6508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16 </w:t>
      </w:r>
      <w:r w:rsidRPr="00054A0E">
        <w:rPr>
          <w:rFonts w:ascii="Book Antiqua" w:hAnsi="Book Antiqua"/>
          <w:b/>
          <w:sz w:val="24"/>
          <w:szCs w:val="24"/>
        </w:rPr>
        <w:t>Hansen L</w:t>
      </w:r>
      <w:r w:rsidRPr="00054A0E">
        <w:rPr>
          <w:rFonts w:ascii="Book Antiqua" w:hAnsi="Book Antiqua"/>
          <w:sz w:val="24"/>
          <w:szCs w:val="24"/>
        </w:rPr>
        <w:t xml:space="preserve">, Echwald SM, Hansen T, Urhammer SA, Clausen JO, Pedersen O. Amino acid polymorphisms in the ATP-regulatable inward rectifier Kir6.2 and their relationships to glucose- and tolbutamide-induced insulin secretion, the insulin </w:t>
      </w:r>
      <w:r w:rsidRPr="00054A0E">
        <w:rPr>
          <w:rFonts w:ascii="Book Antiqua" w:hAnsi="Book Antiqua"/>
          <w:sz w:val="24"/>
          <w:szCs w:val="24"/>
        </w:rPr>
        <w:lastRenderedPageBreak/>
        <w:t xml:space="preserve">sensitivity index, and NIDDM. </w:t>
      </w:r>
      <w:r w:rsidRPr="00054A0E">
        <w:rPr>
          <w:rFonts w:ascii="Book Antiqua" w:hAnsi="Book Antiqua"/>
          <w:i/>
          <w:sz w:val="24"/>
          <w:szCs w:val="24"/>
        </w:rPr>
        <w:t>Diabetes</w:t>
      </w:r>
      <w:r w:rsidRPr="00054A0E">
        <w:rPr>
          <w:rFonts w:ascii="Book Antiqua" w:hAnsi="Book Antiqua"/>
          <w:sz w:val="24"/>
          <w:szCs w:val="24"/>
        </w:rPr>
        <w:t xml:space="preserve"> 1997; </w:t>
      </w:r>
      <w:r w:rsidRPr="00054A0E">
        <w:rPr>
          <w:rFonts w:ascii="Book Antiqua" w:hAnsi="Book Antiqua"/>
          <w:b/>
          <w:sz w:val="24"/>
          <w:szCs w:val="24"/>
        </w:rPr>
        <w:t>46</w:t>
      </w:r>
      <w:r w:rsidRPr="00054A0E">
        <w:rPr>
          <w:rFonts w:ascii="Book Antiqua" w:hAnsi="Book Antiqua"/>
          <w:sz w:val="24"/>
          <w:szCs w:val="24"/>
        </w:rPr>
        <w:t>: 508-512 [PMID: 9032110 DOI: 10.2337/diab.46.3.508]</w:t>
      </w:r>
    </w:p>
    <w:p w14:paraId="5C7BB94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17 </w:t>
      </w:r>
      <w:r w:rsidRPr="00054A0E">
        <w:rPr>
          <w:rFonts w:ascii="Book Antiqua" w:hAnsi="Book Antiqua"/>
          <w:b/>
          <w:sz w:val="24"/>
          <w:szCs w:val="24"/>
        </w:rPr>
        <w:t>Inoue H</w:t>
      </w:r>
      <w:r w:rsidRPr="00054A0E">
        <w:rPr>
          <w:rFonts w:ascii="Book Antiqua" w:hAnsi="Book Antiqua"/>
          <w:sz w:val="24"/>
          <w:szCs w:val="24"/>
        </w:rPr>
        <w:t xml:space="preserve">, Ferrer J, Warren-Perry M, Zhang Y, Millns H, Turner RC, Elbein SC, Hampe CL, Suarez BK, Inagaki N, Seino S, Permutt MA. Sequence variants in the pancreatic islet beta-cell inwardly rectifying K+ channel Kir6.2 (Bir) gene: identification and lack of role in Caucasian patients with NIDDM. </w:t>
      </w:r>
      <w:r w:rsidRPr="00054A0E">
        <w:rPr>
          <w:rFonts w:ascii="Book Antiqua" w:hAnsi="Book Antiqua"/>
          <w:i/>
          <w:sz w:val="24"/>
          <w:szCs w:val="24"/>
        </w:rPr>
        <w:t>Diabetes</w:t>
      </w:r>
      <w:r w:rsidRPr="00054A0E">
        <w:rPr>
          <w:rFonts w:ascii="Book Antiqua" w:hAnsi="Book Antiqua"/>
          <w:sz w:val="24"/>
          <w:szCs w:val="24"/>
        </w:rPr>
        <w:t xml:space="preserve"> 1997; </w:t>
      </w:r>
      <w:r w:rsidRPr="00054A0E">
        <w:rPr>
          <w:rFonts w:ascii="Book Antiqua" w:hAnsi="Book Antiqua"/>
          <w:b/>
          <w:sz w:val="24"/>
          <w:szCs w:val="24"/>
        </w:rPr>
        <w:t>46</w:t>
      </w:r>
      <w:r w:rsidRPr="00054A0E">
        <w:rPr>
          <w:rFonts w:ascii="Book Antiqua" w:hAnsi="Book Antiqua"/>
          <w:sz w:val="24"/>
          <w:szCs w:val="24"/>
        </w:rPr>
        <w:t>: 502-507 [PMID: 9032109 DOI: 10.2337/diab.46.3.502]</w:t>
      </w:r>
    </w:p>
    <w:p w14:paraId="117FFD7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18 </w:t>
      </w:r>
      <w:r w:rsidRPr="00054A0E">
        <w:rPr>
          <w:rFonts w:ascii="Book Antiqua" w:hAnsi="Book Antiqua"/>
          <w:b/>
          <w:sz w:val="24"/>
          <w:szCs w:val="24"/>
        </w:rPr>
        <w:t>Sakura H</w:t>
      </w:r>
      <w:r w:rsidRPr="00054A0E">
        <w:rPr>
          <w:rFonts w:ascii="Book Antiqua" w:hAnsi="Book Antiqua"/>
          <w:sz w:val="24"/>
          <w:szCs w:val="24"/>
        </w:rPr>
        <w:t xml:space="preserve">, Wat N, Horton V, Millns H, Turner RC, Ashcroft FM. Sequence variations in the human Kir6.2 gene, a subunit of the beta-cell ATP-sensitive K-channel: no association with NIDDM in while Caucasian subjects or evidence of abnormal function when expressed in vitro. </w:t>
      </w:r>
      <w:r w:rsidRPr="00054A0E">
        <w:rPr>
          <w:rFonts w:ascii="Book Antiqua" w:hAnsi="Book Antiqua"/>
          <w:i/>
          <w:sz w:val="24"/>
          <w:szCs w:val="24"/>
        </w:rPr>
        <w:t>Diabetologia</w:t>
      </w:r>
      <w:r w:rsidRPr="00054A0E">
        <w:rPr>
          <w:rFonts w:ascii="Book Antiqua" w:hAnsi="Book Antiqua"/>
          <w:sz w:val="24"/>
          <w:szCs w:val="24"/>
        </w:rPr>
        <w:t xml:space="preserve"> 1996; </w:t>
      </w:r>
      <w:r w:rsidRPr="00054A0E">
        <w:rPr>
          <w:rFonts w:ascii="Book Antiqua" w:hAnsi="Book Antiqua"/>
          <w:b/>
          <w:sz w:val="24"/>
          <w:szCs w:val="24"/>
        </w:rPr>
        <w:t>39</w:t>
      </w:r>
      <w:r w:rsidRPr="00054A0E">
        <w:rPr>
          <w:rFonts w:ascii="Book Antiqua" w:hAnsi="Book Antiqua"/>
          <w:sz w:val="24"/>
          <w:szCs w:val="24"/>
        </w:rPr>
        <w:t>: 1233-1236 [PMID: 8897013 DOI: 10.1007/bf02658512]</w:t>
      </w:r>
    </w:p>
    <w:p w14:paraId="762C615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19 </w:t>
      </w:r>
      <w:r w:rsidRPr="00054A0E">
        <w:rPr>
          <w:rFonts w:ascii="Book Antiqua" w:hAnsi="Book Antiqua"/>
          <w:b/>
          <w:sz w:val="24"/>
          <w:szCs w:val="24"/>
        </w:rPr>
        <w:t>Grant SF</w:t>
      </w:r>
      <w:r w:rsidRPr="00054A0E">
        <w:rPr>
          <w:rFonts w:ascii="Book Antiqua" w:hAnsi="Book Antiqua"/>
          <w:sz w:val="24"/>
          <w:szCs w:val="24"/>
        </w:rPr>
        <w:t xml:space="preserve">, Thorleifsson G, Reynisdottir I, Benediktsson R, Manolescu A, Sainz J, Helgason A, Stefansson H, Emilsson V, Helgadottir A, Styrkarsdottir U, Magnusson KP, Walters GB, Palsdottir E, Jonsdottir T, Gudmundsdottir T, Gylfason A, Saemundsdottir J, Wilensky RL, Reilly MP, Rader DJ, Bagger Y, Christiansen C, Gudnason V, Sigurdsson G, Thorsteinsdottir U, Gulcher JR, Kong A, Stefansson K. Variant of transcription factor 7-like 2 (TCF7L2) gene confers risk of type 2 diabetes. </w:t>
      </w:r>
      <w:r w:rsidRPr="00054A0E">
        <w:rPr>
          <w:rFonts w:ascii="Book Antiqua" w:hAnsi="Book Antiqua"/>
          <w:i/>
          <w:sz w:val="24"/>
          <w:szCs w:val="24"/>
        </w:rPr>
        <w:t>Nat Genet</w:t>
      </w:r>
      <w:r w:rsidRPr="00054A0E">
        <w:rPr>
          <w:rFonts w:ascii="Book Antiqua" w:hAnsi="Book Antiqua"/>
          <w:sz w:val="24"/>
          <w:szCs w:val="24"/>
        </w:rPr>
        <w:t xml:space="preserve"> 2006; </w:t>
      </w:r>
      <w:r w:rsidRPr="00054A0E">
        <w:rPr>
          <w:rFonts w:ascii="Book Antiqua" w:hAnsi="Book Antiqua"/>
          <w:b/>
          <w:sz w:val="24"/>
          <w:szCs w:val="24"/>
        </w:rPr>
        <w:t>38</w:t>
      </w:r>
      <w:r w:rsidRPr="00054A0E">
        <w:rPr>
          <w:rFonts w:ascii="Book Antiqua" w:hAnsi="Book Antiqua"/>
          <w:sz w:val="24"/>
          <w:szCs w:val="24"/>
        </w:rPr>
        <w:t>: 320-323 [PMID: 16415884 DOI: 10.1038/ng1732]</w:t>
      </w:r>
    </w:p>
    <w:p w14:paraId="1F9EA0D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20 </w:t>
      </w:r>
      <w:r w:rsidRPr="00054A0E">
        <w:rPr>
          <w:rFonts w:ascii="Book Antiqua" w:hAnsi="Book Antiqua"/>
          <w:b/>
          <w:sz w:val="24"/>
          <w:szCs w:val="24"/>
        </w:rPr>
        <w:t>Humphries SE</w:t>
      </w:r>
      <w:r w:rsidRPr="00054A0E">
        <w:rPr>
          <w:rFonts w:ascii="Book Antiqua" w:hAnsi="Book Antiqua"/>
          <w:sz w:val="24"/>
          <w:szCs w:val="24"/>
        </w:rPr>
        <w:t xml:space="preserve">, Gable D, Cooper JA, Ireland H, Stephens JW, Hurel SJ, Li KW, Palmen J, Miller MA, Cappuccio FP, Elkeles R, Godsland I, Miller GJ, Talmud PJ. Common variants in the TCF7L2 gene and predisposition to type 2 diabetes in UK European Whites, Indian Asians and Afro-Caribbean men and women. </w:t>
      </w:r>
      <w:r w:rsidRPr="00054A0E">
        <w:rPr>
          <w:rFonts w:ascii="Book Antiqua" w:hAnsi="Book Antiqua"/>
          <w:i/>
          <w:sz w:val="24"/>
          <w:szCs w:val="24"/>
        </w:rPr>
        <w:t>J Mol Med (Berl)</w:t>
      </w:r>
      <w:r w:rsidRPr="00054A0E">
        <w:rPr>
          <w:rFonts w:ascii="Book Antiqua" w:hAnsi="Book Antiqua"/>
          <w:sz w:val="24"/>
          <w:szCs w:val="24"/>
        </w:rPr>
        <w:t xml:space="preserve"> 2006; </w:t>
      </w:r>
      <w:r w:rsidRPr="00054A0E">
        <w:rPr>
          <w:rFonts w:ascii="Book Antiqua" w:hAnsi="Book Antiqua"/>
          <w:b/>
          <w:sz w:val="24"/>
          <w:szCs w:val="24"/>
        </w:rPr>
        <w:t>84</w:t>
      </w:r>
      <w:r w:rsidRPr="00054A0E">
        <w:rPr>
          <w:rFonts w:ascii="Book Antiqua" w:hAnsi="Book Antiqua"/>
          <w:sz w:val="24"/>
          <w:szCs w:val="24"/>
        </w:rPr>
        <w:t>: 1005-1014 [PMID: 17665514 DOI: 10.1007/s00109-006-0108-7]</w:t>
      </w:r>
    </w:p>
    <w:p w14:paraId="238D435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21 </w:t>
      </w:r>
      <w:r w:rsidRPr="00054A0E">
        <w:rPr>
          <w:rFonts w:ascii="Book Antiqua" w:hAnsi="Book Antiqua"/>
          <w:b/>
          <w:sz w:val="24"/>
          <w:szCs w:val="24"/>
        </w:rPr>
        <w:t>Miyake K</w:t>
      </w:r>
      <w:r w:rsidRPr="00054A0E">
        <w:rPr>
          <w:rFonts w:ascii="Book Antiqua" w:hAnsi="Book Antiqua"/>
          <w:sz w:val="24"/>
          <w:szCs w:val="24"/>
        </w:rPr>
        <w:t xml:space="preserve">, Horikawa Y, Hara K, Yasuda K, Osawa H, Furuta H, Hirota Y, Yamagata K, Hinokio Y, Oka Y, Iwasaki N, Iwamoto Y, Yamada Y, Seino Y, Maegawa H, Kashiwagi A, Yamamoto K, Tokunaga K, Takeda J, Makino H, Nanjo K, Kadowaki T, Kasuga M. Association of TCF7L2 polymorphisms with susceptibility to type 2 diabetes in 4,087 Japanese subjects. </w:t>
      </w:r>
      <w:r w:rsidRPr="00054A0E">
        <w:rPr>
          <w:rFonts w:ascii="Book Antiqua" w:hAnsi="Book Antiqua"/>
          <w:i/>
          <w:sz w:val="24"/>
          <w:szCs w:val="24"/>
        </w:rPr>
        <w:t>J Hum Genet</w:t>
      </w:r>
      <w:r w:rsidRPr="00054A0E">
        <w:rPr>
          <w:rFonts w:ascii="Book Antiqua" w:hAnsi="Book Antiqua"/>
          <w:sz w:val="24"/>
          <w:szCs w:val="24"/>
        </w:rPr>
        <w:t xml:space="preserve"> 2008; </w:t>
      </w:r>
      <w:r w:rsidRPr="00054A0E">
        <w:rPr>
          <w:rFonts w:ascii="Book Antiqua" w:hAnsi="Book Antiqua"/>
          <w:b/>
          <w:sz w:val="24"/>
          <w:szCs w:val="24"/>
        </w:rPr>
        <w:t>53</w:t>
      </w:r>
      <w:r w:rsidRPr="00054A0E">
        <w:rPr>
          <w:rFonts w:ascii="Book Antiqua" w:hAnsi="Book Antiqua"/>
          <w:sz w:val="24"/>
          <w:szCs w:val="24"/>
        </w:rPr>
        <w:t>: 174-180 [PMID: 18097733 DOI: 10.1007/s10038-007-0231-5]</w:t>
      </w:r>
    </w:p>
    <w:p w14:paraId="7D5CC49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22 </w:t>
      </w:r>
      <w:r w:rsidRPr="00054A0E">
        <w:rPr>
          <w:rFonts w:ascii="Book Antiqua" w:hAnsi="Book Antiqua"/>
          <w:b/>
          <w:sz w:val="24"/>
          <w:szCs w:val="24"/>
        </w:rPr>
        <w:t>Scott LJ</w:t>
      </w:r>
      <w:r w:rsidRPr="00054A0E">
        <w:rPr>
          <w:rFonts w:ascii="Book Antiqua" w:hAnsi="Book Antiqua"/>
          <w:sz w:val="24"/>
          <w:szCs w:val="24"/>
        </w:rPr>
        <w:t xml:space="preserve">, Bonnycastle LL, Willer CJ, Sprau AG, Jackson AU, Narisu N, Duren WL, Chines PS, Stringham HM, Erdos MR, Valle TT, Tuomilehto J, Bergman RN, Mohlke </w:t>
      </w:r>
      <w:r w:rsidRPr="00054A0E">
        <w:rPr>
          <w:rFonts w:ascii="Book Antiqua" w:hAnsi="Book Antiqua"/>
          <w:sz w:val="24"/>
          <w:szCs w:val="24"/>
        </w:rPr>
        <w:lastRenderedPageBreak/>
        <w:t xml:space="preserve">KL, Collins FS, Boehnke M. Association of transcription factor 7-like 2 (TCF7L2) variants with type 2 diabetes in a Finnish sample. </w:t>
      </w:r>
      <w:r w:rsidRPr="00054A0E">
        <w:rPr>
          <w:rFonts w:ascii="Book Antiqua" w:hAnsi="Book Antiqua"/>
          <w:i/>
          <w:sz w:val="24"/>
          <w:szCs w:val="24"/>
        </w:rPr>
        <w:t>Diabetes</w:t>
      </w:r>
      <w:r w:rsidRPr="00054A0E">
        <w:rPr>
          <w:rFonts w:ascii="Book Antiqua" w:hAnsi="Book Antiqua"/>
          <w:sz w:val="24"/>
          <w:szCs w:val="24"/>
        </w:rPr>
        <w:t xml:space="preserve"> 2006; </w:t>
      </w:r>
      <w:r w:rsidRPr="00054A0E">
        <w:rPr>
          <w:rFonts w:ascii="Book Antiqua" w:hAnsi="Book Antiqua"/>
          <w:b/>
          <w:sz w:val="24"/>
          <w:szCs w:val="24"/>
        </w:rPr>
        <w:t>55</w:t>
      </w:r>
      <w:r w:rsidRPr="00054A0E">
        <w:rPr>
          <w:rFonts w:ascii="Book Antiqua" w:hAnsi="Book Antiqua"/>
          <w:sz w:val="24"/>
          <w:szCs w:val="24"/>
        </w:rPr>
        <w:t>: 2649-2653 [PMID: 16936217 DOI: 10.2337/db06-0341]</w:t>
      </w:r>
    </w:p>
    <w:p w14:paraId="6AEE648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23 </w:t>
      </w:r>
      <w:r w:rsidRPr="00054A0E">
        <w:rPr>
          <w:rFonts w:ascii="Book Antiqua" w:hAnsi="Book Antiqua"/>
          <w:b/>
          <w:sz w:val="24"/>
          <w:szCs w:val="24"/>
        </w:rPr>
        <w:t>Sandhu MS</w:t>
      </w:r>
      <w:r w:rsidRPr="00054A0E">
        <w:rPr>
          <w:rFonts w:ascii="Book Antiqua" w:hAnsi="Book Antiqua"/>
          <w:sz w:val="24"/>
          <w:szCs w:val="24"/>
        </w:rPr>
        <w:t xml:space="preserve">, Weedon MN, Fawcett KA, Wasson J, Debenham SL, Daly A, Lango H, Frayling TM, Neumann RJ, Sherva R, Blech I, Pharoah PD, Palmer CN, Kimber C, Tavendale R, Morris AD, McCarthy MI, Walker M, Hitman G, Glaser B, Permutt MA, Hattersley AT, Wareham NJ, Barroso I. Common variants in WFS1 confer risk of type 2 diabetes. </w:t>
      </w:r>
      <w:r w:rsidRPr="00054A0E">
        <w:rPr>
          <w:rFonts w:ascii="Book Antiqua" w:hAnsi="Book Antiqua"/>
          <w:i/>
          <w:sz w:val="24"/>
          <w:szCs w:val="24"/>
        </w:rPr>
        <w:t>Nat Genet</w:t>
      </w:r>
      <w:r w:rsidRPr="00054A0E">
        <w:rPr>
          <w:rFonts w:ascii="Book Antiqua" w:hAnsi="Book Antiqua"/>
          <w:sz w:val="24"/>
          <w:szCs w:val="24"/>
        </w:rPr>
        <w:t xml:space="preserve"> 2007; </w:t>
      </w:r>
      <w:r w:rsidRPr="00054A0E">
        <w:rPr>
          <w:rFonts w:ascii="Book Antiqua" w:hAnsi="Book Antiqua"/>
          <w:b/>
          <w:sz w:val="24"/>
          <w:szCs w:val="24"/>
        </w:rPr>
        <w:t>39</w:t>
      </w:r>
      <w:r w:rsidRPr="00054A0E">
        <w:rPr>
          <w:rFonts w:ascii="Book Antiqua" w:hAnsi="Book Antiqua"/>
          <w:sz w:val="24"/>
          <w:szCs w:val="24"/>
        </w:rPr>
        <w:t>: 951-953 [PMID: 17603484 DOI: 10.1038/ng2067]</w:t>
      </w:r>
    </w:p>
    <w:p w14:paraId="5692F47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24 </w:t>
      </w:r>
      <w:r w:rsidRPr="00054A0E">
        <w:rPr>
          <w:rFonts w:ascii="Book Antiqua" w:hAnsi="Book Antiqua"/>
          <w:b/>
          <w:sz w:val="24"/>
          <w:szCs w:val="24"/>
        </w:rPr>
        <w:t>Inoue H</w:t>
      </w:r>
      <w:r w:rsidRPr="00054A0E">
        <w:rPr>
          <w:rFonts w:ascii="Book Antiqua" w:hAnsi="Book Antiqua"/>
          <w:sz w:val="24"/>
          <w:szCs w:val="24"/>
        </w:rPr>
        <w:t xml:space="preserve">, Tanizawa Y, Wasson J, Behn P, Kalidas K, Bernal-Mizrachi E, Mueckler M, Marshall H, Donis-Keller H, Crock P, Rogers D, Mikuni M, Kumashiro H, Higashi K, Sobue G, Oka Y, Permutt MA. A gene encoding a transmembrane protein is mutated in patients with diabetes mellitus and optic atrophy (Wolfram syndrome). </w:t>
      </w:r>
      <w:r w:rsidRPr="00054A0E">
        <w:rPr>
          <w:rFonts w:ascii="Book Antiqua" w:hAnsi="Book Antiqua"/>
          <w:i/>
          <w:sz w:val="24"/>
          <w:szCs w:val="24"/>
        </w:rPr>
        <w:t>Nat Genet</w:t>
      </w:r>
      <w:r w:rsidRPr="00054A0E">
        <w:rPr>
          <w:rFonts w:ascii="Book Antiqua" w:hAnsi="Book Antiqua"/>
          <w:sz w:val="24"/>
          <w:szCs w:val="24"/>
        </w:rPr>
        <w:t xml:space="preserve"> 1998; </w:t>
      </w:r>
      <w:r w:rsidRPr="00054A0E">
        <w:rPr>
          <w:rFonts w:ascii="Book Antiqua" w:hAnsi="Book Antiqua"/>
          <w:b/>
          <w:sz w:val="24"/>
          <w:szCs w:val="24"/>
        </w:rPr>
        <w:t>20</w:t>
      </w:r>
      <w:r w:rsidRPr="00054A0E">
        <w:rPr>
          <w:rFonts w:ascii="Book Antiqua" w:hAnsi="Book Antiqua"/>
          <w:sz w:val="24"/>
          <w:szCs w:val="24"/>
        </w:rPr>
        <w:t>: 143-148 [PMID: 9771706 DOI: 10.1038/2441]</w:t>
      </w:r>
    </w:p>
    <w:p w14:paraId="5EB880D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25 </w:t>
      </w:r>
      <w:r w:rsidRPr="00054A0E">
        <w:rPr>
          <w:rFonts w:ascii="Book Antiqua" w:hAnsi="Book Antiqua"/>
          <w:b/>
          <w:sz w:val="24"/>
          <w:szCs w:val="24"/>
        </w:rPr>
        <w:t>Sladek R</w:t>
      </w:r>
      <w:r w:rsidRPr="00054A0E">
        <w:rPr>
          <w:rFonts w:ascii="Book Antiqua" w:hAnsi="Book Antiqua"/>
          <w:sz w:val="24"/>
          <w:szCs w:val="24"/>
        </w:rPr>
        <w:t xml:space="preserve">, Rocheleau G, Rung J, Dina C, Shen L, Serre D, Boutin P, Vincent D, Belisle A, Hadjadj S, Balkau B, Heude B, Charpentier G, Hudson TJ, Montpetit A, Pshezhetsky AV, Prentki M, Posner BI, Balding DJ, Meyre D, Polychronakos C, Froguel P. A genome-wide association study identifies novel risk loci for type 2 diabetes. </w:t>
      </w:r>
      <w:r w:rsidRPr="00054A0E">
        <w:rPr>
          <w:rFonts w:ascii="Book Antiqua" w:hAnsi="Book Antiqua"/>
          <w:i/>
          <w:sz w:val="24"/>
          <w:szCs w:val="24"/>
        </w:rPr>
        <w:t>Nature</w:t>
      </w:r>
      <w:r w:rsidRPr="00054A0E">
        <w:rPr>
          <w:rFonts w:ascii="Book Antiqua" w:hAnsi="Book Antiqua"/>
          <w:sz w:val="24"/>
          <w:szCs w:val="24"/>
        </w:rPr>
        <w:t xml:space="preserve"> 2007; </w:t>
      </w:r>
      <w:r w:rsidRPr="00054A0E">
        <w:rPr>
          <w:rFonts w:ascii="Book Antiqua" w:hAnsi="Book Antiqua"/>
          <w:b/>
          <w:sz w:val="24"/>
          <w:szCs w:val="24"/>
        </w:rPr>
        <w:t>445</w:t>
      </w:r>
      <w:r w:rsidRPr="00054A0E">
        <w:rPr>
          <w:rFonts w:ascii="Book Antiqua" w:hAnsi="Book Antiqua"/>
          <w:sz w:val="24"/>
          <w:szCs w:val="24"/>
        </w:rPr>
        <w:t>: 881-885 [PMID: 17293876 DOI: 10.1038/nature05616]</w:t>
      </w:r>
    </w:p>
    <w:p w14:paraId="6732D619" w14:textId="237AE94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26 </w:t>
      </w:r>
      <w:r w:rsidRPr="00054A0E">
        <w:rPr>
          <w:rFonts w:ascii="Book Antiqua" w:hAnsi="Book Antiqua"/>
          <w:b/>
          <w:sz w:val="24"/>
          <w:szCs w:val="24"/>
        </w:rPr>
        <w:t>Diabetes Genetics Initiative of Broad Institute of Harvard and MIT, Lund University, and Novartis Institutes of BioMedical Re</w:t>
      </w:r>
      <w:r w:rsidR="00953010">
        <w:rPr>
          <w:rFonts w:ascii="Book Antiqua" w:hAnsi="Book Antiqua"/>
          <w:b/>
          <w:sz w:val="24"/>
          <w:szCs w:val="24"/>
        </w:rPr>
        <w:t>search</w:t>
      </w:r>
      <w:r w:rsidR="009727C8">
        <w:rPr>
          <w:rFonts w:ascii="Book Antiqua" w:eastAsiaTheme="minorEastAsia" w:hAnsi="Book Antiqua" w:hint="eastAsia"/>
          <w:sz w:val="24"/>
          <w:szCs w:val="24"/>
          <w:lang w:eastAsia="zh-CN"/>
        </w:rPr>
        <w:t>;</w:t>
      </w:r>
      <w:r w:rsidRPr="00054A0E">
        <w:rPr>
          <w:rFonts w:ascii="Book Antiqua" w:hAnsi="Book Antiqua"/>
          <w:sz w:val="24"/>
          <w:szCs w:val="24"/>
        </w:rPr>
        <w:t xml:space="preserve"> Saxena R, Voight BF, Lyssenko V, Burtt NP, de Bakker PI, Chen H, Roix JJ, Kathiresan S, Hirschhorn JN, Daly MJ, Hughes TE, Groop L, Altshuler D, Almgren P, Florez JC, Meyer J, Ardlie K, Bengtsson Boström K, Isomaa B, Lettre G, Lindblad U, Lyon HN, Melander O, Newton-Cheh C, Nilsson P, Orho-Melander M, Råstam L, Speliotes EK, Taskinen MR, Tuomi T, Guiducci C, Berglund A, Carlson J, Gianniny L, Hackett R, Hall L, Holmkvist J, Laurila E, Sjögren M, Sterner M, Surti A, Svensson M, Svensson M, Tewhey R, Blumenstiel B, Parkin M, Defelice M, Barry R, Brodeur W, Camarata J, Chia N, Fava M, Gibbons J, Handsaker B, Healy C, Nguyen K, Gates C, Sougnez C, Gage D, Nizzari M, Gabriel SB, Chirn GW, Ma Q, Parikh H, Richardson D, Ricke D, Purcell S. Genome-wide association analysis identifies loci for type 2 diabetes and triglyceride levels. </w:t>
      </w:r>
      <w:r w:rsidRPr="00054A0E">
        <w:rPr>
          <w:rFonts w:ascii="Book Antiqua" w:hAnsi="Book Antiqua"/>
          <w:i/>
          <w:sz w:val="24"/>
          <w:szCs w:val="24"/>
        </w:rPr>
        <w:t>Science</w:t>
      </w:r>
      <w:r w:rsidRPr="00054A0E">
        <w:rPr>
          <w:rFonts w:ascii="Book Antiqua" w:hAnsi="Book Antiqua"/>
          <w:sz w:val="24"/>
          <w:szCs w:val="24"/>
        </w:rPr>
        <w:t xml:space="preserve"> 2007; </w:t>
      </w:r>
      <w:r w:rsidRPr="00054A0E">
        <w:rPr>
          <w:rFonts w:ascii="Book Antiqua" w:hAnsi="Book Antiqua"/>
          <w:b/>
          <w:sz w:val="24"/>
          <w:szCs w:val="24"/>
        </w:rPr>
        <w:t>316</w:t>
      </w:r>
      <w:r w:rsidRPr="00054A0E">
        <w:rPr>
          <w:rFonts w:ascii="Book Antiqua" w:hAnsi="Book Antiqua"/>
          <w:sz w:val="24"/>
          <w:szCs w:val="24"/>
        </w:rPr>
        <w:t>: 1331-1336 [PMID: 17463246 DOI: 10.1126/science.1142358]</w:t>
      </w:r>
    </w:p>
    <w:p w14:paraId="244C66C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27 </w:t>
      </w:r>
      <w:r w:rsidRPr="00054A0E">
        <w:rPr>
          <w:rFonts w:ascii="Book Antiqua" w:hAnsi="Book Antiqua"/>
          <w:b/>
          <w:sz w:val="24"/>
          <w:szCs w:val="24"/>
        </w:rPr>
        <w:t>Scott LJ</w:t>
      </w:r>
      <w:r w:rsidRPr="00054A0E">
        <w:rPr>
          <w:rFonts w:ascii="Book Antiqua" w:hAnsi="Book Antiqua"/>
          <w:sz w:val="24"/>
          <w:szCs w:val="24"/>
        </w:rPr>
        <w:t xml:space="preserve">, Mohlke KL, Bonnycastle LL, Willer CJ, Li Y, Duren WL, Erdos MR, Stringham HM, Chines PS, Jackson AU, Prokunina-Olsson L, Ding CJ, Swift AJ, Narisu N, Hu T, Pruim R, Xiao R, Li XY, Conneely KN, Riebow NL, Sprau AG, Tong M, White PP, Hetrick KN, Barnhart MW, Bark CW, Goldstein JL, Watkins L, Xiang F, Saramies J, Buchanan TA, Watanabe RM, Valle TT, Kinnunen L, Abecasis GR, Pugh EW, Doheny KF, Bergman RN, Tuomilehto J, Collins FS, Boehnke M. A genome-wide association study of type 2 diabetes in Finns detects multiple susceptibility variants. </w:t>
      </w:r>
      <w:r w:rsidRPr="00054A0E">
        <w:rPr>
          <w:rFonts w:ascii="Book Antiqua" w:hAnsi="Book Antiqua"/>
          <w:i/>
          <w:sz w:val="24"/>
          <w:szCs w:val="24"/>
        </w:rPr>
        <w:t>Science</w:t>
      </w:r>
      <w:r w:rsidRPr="00054A0E">
        <w:rPr>
          <w:rFonts w:ascii="Book Antiqua" w:hAnsi="Book Antiqua"/>
          <w:sz w:val="24"/>
          <w:szCs w:val="24"/>
        </w:rPr>
        <w:t xml:space="preserve"> 2007; </w:t>
      </w:r>
      <w:r w:rsidRPr="00054A0E">
        <w:rPr>
          <w:rFonts w:ascii="Book Antiqua" w:hAnsi="Book Antiqua"/>
          <w:b/>
          <w:sz w:val="24"/>
          <w:szCs w:val="24"/>
        </w:rPr>
        <w:t>316</w:t>
      </w:r>
      <w:r w:rsidRPr="00054A0E">
        <w:rPr>
          <w:rFonts w:ascii="Book Antiqua" w:hAnsi="Book Antiqua"/>
          <w:sz w:val="24"/>
          <w:szCs w:val="24"/>
        </w:rPr>
        <w:t>: 1341-1345 [PMID: 17463248 DOI: 10.1126/science.1142382]</w:t>
      </w:r>
    </w:p>
    <w:p w14:paraId="2210D1FE"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28 </w:t>
      </w:r>
      <w:r w:rsidRPr="00054A0E">
        <w:rPr>
          <w:rFonts w:ascii="Book Antiqua" w:hAnsi="Book Antiqua"/>
          <w:b/>
          <w:sz w:val="24"/>
          <w:szCs w:val="24"/>
        </w:rPr>
        <w:t>Zeggini E</w:t>
      </w:r>
      <w:r w:rsidRPr="00054A0E">
        <w:rPr>
          <w:rFonts w:ascii="Book Antiqua" w:hAnsi="Book Antiqua"/>
          <w:sz w:val="24"/>
          <w:szCs w:val="24"/>
        </w:rPr>
        <w:t xml:space="preserve">, Weedon MN, Lindgren CM, Frayling TM, Elliott KS, Lango H, Timpson NJ, Perry JR, Rayner NW, Freathy RM, Barrett JC, Shields B, Morris AP, Ellard S, Groves CJ, Harries LW, Marchini JL, Owen KR, Knight B, Cardon LR, Walker M, Hitman GA, Morris AD, Doney AS; Wellcome Trust Case Control Consortium (WTCCC), McCarthy MI, Hattersley AT. Replication of genome-wide association signals in UK samples reveals risk loci for type 2 diabetes. </w:t>
      </w:r>
      <w:r w:rsidRPr="00054A0E">
        <w:rPr>
          <w:rFonts w:ascii="Book Antiqua" w:hAnsi="Book Antiqua"/>
          <w:i/>
          <w:sz w:val="24"/>
          <w:szCs w:val="24"/>
        </w:rPr>
        <w:t>Science</w:t>
      </w:r>
      <w:r w:rsidRPr="00054A0E">
        <w:rPr>
          <w:rFonts w:ascii="Book Antiqua" w:hAnsi="Book Antiqua"/>
          <w:sz w:val="24"/>
          <w:szCs w:val="24"/>
        </w:rPr>
        <w:t xml:space="preserve"> 2007; </w:t>
      </w:r>
      <w:r w:rsidRPr="00054A0E">
        <w:rPr>
          <w:rFonts w:ascii="Book Antiqua" w:hAnsi="Book Antiqua"/>
          <w:b/>
          <w:sz w:val="24"/>
          <w:szCs w:val="24"/>
        </w:rPr>
        <w:t>316</w:t>
      </w:r>
      <w:r w:rsidRPr="00054A0E">
        <w:rPr>
          <w:rFonts w:ascii="Book Antiqua" w:hAnsi="Book Antiqua"/>
          <w:sz w:val="24"/>
          <w:szCs w:val="24"/>
        </w:rPr>
        <w:t>: 1336-1341 [PMID: 17463249 DOI: 10.1126/science.1142364]</w:t>
      </w:r>
    </w:p>
    <w:p w14:paraId="7A54B8F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29 </w:t>
      </w:r>
      <w:r w:rsidRPr="00054A0E">
        <w:rPr>
          <w:rFonts w:ascii="Book Antiqua" w:hAnsi="Book Antiqua"/>
          <w:b/>
          <w:sz w:val="24"/>
          <w:szCs w:val="24"/>
        </w:rPr>
        <w:t>Steinthorsdottir V</w:t>
      </w:r>
      <w:r w:rsidRPr="00054A0E">
        <w:rPr>
          <w:rFonts w:ascii="Book Antiqua" w:hAnsi="Book Antiqua"/>
          <w:sz w:val="24"/>
          <w:szCs w:val="24"/>
        </w:rPr>
        <w:t xml:space="preserve">, Thorleifsson G, Reynisdottir I, Benediktsson R, Jonsdottir T, Walters GB, Styrkarsdottir U, Gretarsdottir S, Emilsson V, Ghosh S, Baker A, Snorradottir S, Bjarnason H, Ng MC, Hansen T, Bagger Y, Wilensky RL, Reilly MP, Adeyemo A, Chen Y, Zhou J, Gudnason V, Chen G, Huang H, Lashley K, Doumatey A, So WY, Ma RC, Andersen G, Borch-Johnsen K, Jorgensen T, van Vliet-Ostaptchouk JV, Hofker MH, Wijmenga C, Christiansen C, Rader DJ, Rotimi C, Gurney M, Chan JC, Pedersen O, Sigurdsson G, Gulcher JR, Thorsteinsdottir U, Kong A, Stefansson K. A variant in CDKAL1 influences insulin response and risk of type 2 diabetes. </w:t>
      </w:r>
      <w:r w:rsidRPr="00054A0E">
        <w:rPr>
          <w:rFonts w:ascii="Book Antiqua" w:hAnsi="Book Antiqua"/>
          <w:i/>
          <w:sz w:val="24"/>
          <w:szCs w:val="24"/>
        </w:rPr>
        <w:t>Nat Genet</w:t>
      </w:r>
      <w:r w:rsidRPr="00054A0E">
        <w:rPr>
          <w:rFonts w:ascii="Book Antiqua" w:hAnsi="Book Antiqua"/>
          <w:sz w:val="24"/>
          <w:szCs w:val="24"/>
        </w:rPr>
        <w:t xml:space="preserve"> 2007; </w:t>
      </w:r>
      <w:r w:rsidRPr="00054A0E">
        <w:rPr>
          <w:rFonts w:ascii="Book Antiqua" w:hAnsi="Book Antiqua"/>
          <w:b/>
          <w:sz w:val="24"/>
          <w:szCs w:val="24"/>
        </w:rPr>
        <w:t>39</w:t>
      </w:r>
      <w:r w:rsidRPr="00054A0E">
        <w:rPr>
          <w:rFonts w:ascii="Book Antiqua" w:hAnsi="Book Antiqua"/>
          <w:sz w:val="24"/>
          <w:szCs w:val="24"/>
        </w:rPr>
        <w:t>: 770-775 [PMID: 17460697 DOI: 10.1038/ng2043]</w:t>
      </w:r>
    </w:p>
    <w:p w14:paraId="1F49B933" w14:textId="1210DF0F"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30 </w:t>
      </w:r>
      <w:r w:rsidRPr="00054A0E">
        <w:rPr>
          <w:rFonts w:ascii="Book Antiqua" w:hAnsi="Book Antiqua"/>
          <w:b/>
          <w:sz w:val="24"/>
          <w:szCs w:val="24"/>
        </w:rPr>
        <w:t xml:space="preserve">Wellcome Trust Case Control </w:t>
      </w:r>
      <w:r w:rsidR="005A3DE1">
        <w:rPr>
          <w:rFonts w:ascii="Book Antiqua" w:hAnsi="Book Antiqua"/>
          <w:b/>
          <w:sz w:val="24"/>
          <w:szCs w:val="24"/>
        </w:rPr>
        <w:t>Consortium</w:t>
      </w:r>
      <w:r w:rsidRPr="00054A0E">
        <w:rPr>
          <w:rFonts w:ascii="Book Antiqua" w:hAnsi="Book Antiqua"/>
          <w:sz w:val="24"/>
          <w:szCs w:val="24"/>
        </w:rPr>
        <w:t xml:space="preserve">. Genome-wide association study of 14,000 cases of seven common diseases and 3,000 shared controls. </w:t>
      </w:r>
      <w:r w:rsidRPr="00054A0E">
        <w:rPr>
          <w:rFonts w:ascii="Book Antiqua" w:hAnsi="Book Antiqua"/>
          <w:i/>
          <w:sz w:val="24"/>
          <w:szCs w:val="24"/>
        </w:rPr>
        <w:t>Nature</w:t>
      </w:r>
      <w:r w:rsidRPr="00054A0E">
        <w:rPr>
          <w:rFonts w:ascii="Book Antiqua" w:hAnsi="Book Antiqua"/>
          <w:sz w:val="24"/>
          <w:szCs w:val="24"/>
        </w:rPr>
        <w:t xml:space="preserve"> 2007; </w:t>
      </w:r>
      <w:r w:rsidRPr="00054A0E">
        <w:rPr>
          <w:rFonts w:ascii="Book Antiqua" w:hAnsi="Book Antiqua"/>
          <w:b/>
          <w:sz w:val="24"/>
          <w:szCs w:val="24"/>
        </w:rPr>
        <w:t>447</w:t>
      </w:r>
      <w:r w:rsidRPr="00054A0E">
        <w:rPr>
          <w:rFonts w:ascii="Book Antiqua" w:hAnsi="Book Antiqua"/>
          <w:sz w:val="24"/>
          <w:szCs w:val="24"/>
        </w:rPr>
        <w:t>: 661-678 [PMID: 17554300 DOI: 10.1038/nature05911]</w:t>
      </w:r>
    </w:p>
    <w:p w14:paraId="6A52939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31 </w:t>
      </w:r>
      <w:r w:rsidRPr="00054A0E">
        <w:rPr>
          <w:rFonts w:ascii="Book Antiqua" w:hAnsi="Book Antiqua"/>
          <w:b/>
          <w:sz w:val="24"/>
          <w:szCs w:val="24"/>
        </w:rPr>
        <w:t>Gudmundsson J</w:t>
      </w:r>
      <w:r w:rsidRPr="00054A0E">
        <w:rPr>
          <w:rFonts w:ascii="Book Antiqua" w:hAnsi="Book Antiqua"/>
          <w:sz w:val="24"/>
          <w:szCs w:val="24"/>
        </w:rPr>
        <w:t xml:space="preserve">, Sulem P, Steinthorsdottir V, Bergthorsson JT, Thorleifsson G, Manolescu A, Rafnar T, Gudbjartsson D, Agnarsson BA, Baker A, Sigurdsson A, Benediktsdottir KR, Jakobsdottir M, Blondal T, Stacey SN, Helgason A, Gunnarsdottir S, Olafsdottir A, Kristinsson KT, Birgisdottir B, Ghosh S, Thorlacius S, Magnusdottir D, Stefansdottir G, Kristjansson K, Bagger Y, Wilensky RL, Reilly MP, Morris AD, Kimber </w:t>
      </w:r>
      <w:r w:rsidRPr="00054A0E">
        <w:rPr>
          <w:rFonts w:ascii="Book Antiqua" w:hAnsi="Book Antiqua"/>
          <w:sz w:val="24"/>
          <w:szCs w:val="24"/>
        </w:rPr>
        <w:lastRenderedPageBreak/>
        <w:t xml:space="preserve">CH, Adeyemo A, Chen Y, Zhou J, So WY, Tong PC, Ng MC, Hansen T, Andersen G, Borch-Johnsen K, Jorgensen T, Tres A, Fuertes F, Ruiz-Echarri M, Asin L, Saez B, van Boven E, Klaver S, Swinkels DW, Aben KK, Graif T, Cashy J, Suarez BK, van Vierssen Trip O, Frigge ML, Ober C, Hofker MH, Wijmenga C, Christiansen C, Rader DJ, Palmer CN, Rotimi C, Chan JC, Pedersen O, Sigurdsson G, Benediktsson R, Jonsson E, Einarsson GV, Mayordomo JI, Catalona WJ, Kiemeney LA, Barkardottir RB, Gulcher JR, Thorsteinsdottir U, Kong A, Stefansson K. Two variants on chromosome 17 confer prostate cancer risk, and the one in TCF2 protects against type 2 diabetes. </w:t>
      </w:r>
      <w:r w:rsidRPr="00054A0E">
        <w:rPr>
          <w:rFonts w:ascii="Book Antiqua" w:hAnsi="Book Antiqua"/>
          <w:i/>
          <w:sz w:val="24"/>
          <w:szCs w:val="24"/>
        </w:rPr>
        <w:t>Nat Genet</w:t>
      </w:r>
      <w:r w:rsidRPr="00054A0E">
        <w:rPr>
          <w:rFonts w:ascii="Book Antiqua" w:hAnsi="Book Antiqua"/>
          <w:sz w:val="24"/>
          <w:szCs w:val="24"/>
        </w:rPr>
        <w:t xml:space="preserve"> 2007; </w:t>
      </w:r>
      <w:r w:rsidRPr="00054A0E">
        <w:rPr>
          <w:rFonts w:ascii="Book Antiqua" w:hAnsi="Book Antiqua"/>
          <w:b/>
          <w:sz w:val="24"/>
          <w:szCs w:val="24"/>
        </w:rPr>
        <w:t>39</w:t>
      </w:r>
      <w:r w:rsidRPr="00054A0E">
        <w:rPr>
          <w:rFonts w:ascii="Book Antiqua" w:hAnsi="Book Antiqua"/>
          <w:sz w:val="24"/>
          <w:szCs w:val="24"/>
        </w:rPr>
        <w:t>: 977-983 [PMID: 17603485 DOI: 10.1038/ng2062]</w:t>
      </w:r>
    </w:p>
    <w:p w14:paraId="7CF525A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32 </w:t>
      </w:r>
      <w:r w:rsidRPr="00054A0E">
        <w:rPr>
          <w:rFonts w:ascii="Book Antiqua" w:hAnsi="Book Antiqua"/>
          <w:b/>
          <w:sz w:val="24"/>
          <w:szCs w:val="24"/>
        </w:rPr>
        <w:t>Visscher PM</w:t>
      </w:r>
      <w:r w:rsidRPr="00054A0E">
        <w:rPr>
          <w:rFonts w:ascii="Book Antiqua" w:hAnsi="Book Antiqua"/>
          <w:sz w:val="24"/>
          <w:szCs w:val="24"/>
        </w:rPr>
        <w:t xml:space="preserve">, Wray NR, Zhang Q, Sklar P, McCarthy MI, Brown MA, Yang J. 10 Years of GWAS Discovery: Biology, Function, and Translation. </w:t>
      </w:r>
      <w:r w:rsidRPr="00054A0E">
        <w:rPr>
          <w:rFonts w:ascii="Book Antiqua" w:hAnsi="Book Antiqua"/>
          <w:i/>
          <w:sz w:val="24"/>
          <w:szCs w:val="24"/>
        </w:rPr>
        <w:t>Am J Hum Genet</w:t>
      </w:r>
      <w:r w:rsidRPr="00054A0E">
        <w:rPr>
          <w:rFonts w:ascii="Book Antiqua" w:hAnsi="Book Antiqua"/>
          <w:sz w:val="24"/>
          <w:szCs w:val="24"/>
        </w:rPr>
        <w:t xml:space="preserve"> 2017; </w:t>
      </w:r>
      <w:r w:rsidRPr="00054A0E">
        <w:rPr>
          <w:rFonts w:ascii="Book Antiqua" w:hAnsi="Book Antiqua"/>
          <w:b/>
          <w:sz w:val="24"/>
          <w:szCs w:val="24"/>
        </w:rPr>
        <w:t>101</w:t>
      </w:r>
      <w:r w:rsidRPr="00054A0E">
        <w:rPr>
          <w:rFonts w:ascii="Book Antiqua" w:hAnsi="Book Antiqua"/>
          <w:sz w:val="24"/>
          <w:szCs w:val="24"/>
        </w:rPr>
        <w:t>: 5-22 [PMID: 28686856 DOI: 10.1016/j.ajhg.2017.06.005]</w:t>
      </w:r>
    </w:p>
    <w:p w14:paraId="63B2660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33 </w:t>
      </w:r>
      <w:r w:rsidRPr="00054A0E">
        <w:rPr>
          <w:rFonts w:ascii="Book Antiqua" w:hAnsi="Book Antiqua"/>
          <w:b/>
          <w:sz w:val="24"/>
          <w:szCs w:val="24"/>
        </w:rPr>
        <w:t>Zeggini E</w:t>
      </w:r>
      <w:r w:rsidRPr="00054A0E">
        <w:rPr>
          <w:rFonts w:ascii="Book Antiqua" w:hAnsi="Book Antiqua"/>
          <w:sz w:val="24"/>
          <w:szCs w:val="24"/>
        </w:rPr>
        <w:t xml:space="preserve">, Scott LJ, Saxena R, Voight BF, Marchini JL, Hu T, de Bakker PI, Abecasis GR, Almgren P, Andersen G, Ardlie K, Boström KB, Bergman RN, Bonnycastle LL, Borch-Johnsen K, Burtt NP, Chen H, Chines PS, Daly MJ, Deodhar P, Ding CJ, Doney AS, Duren WL, Elliott KS, Erdos MR, Frayling TM, Freathy RM, Gianniny L, Grallert H, Grarup N, Groves CJ, Guiducci C, Hansen T, Herder C, Hitman GA, Hughes TE, Isomaa B, Jackson AU, Jørgensen T, Kong A, Kubalanza K, Kuruvilla FG, Kuusisto J, Langenberg C, Lango H, Lauritzen T, Li Y, Lindgren CM, Lyssenko V, Marvelle AF, Meisinger C, Midthjell K, Mohlke KL, Morken MA, Morris AD, Narisu N, Nilsson P, Owen KR, Palmer CN, Payne F, Perry JR, Pettersen E, Platou C, Prokopenko I, Qi L, Qin L, Rayner NW, Rees M, Roix JJ, Sandbaek A, Shields B, Sjögren M, Steinthorsdottir V, Stringham HM, Swift AJ, Thorleifsson G, Thorsteinsdottir U, Timpson NJ, Tuomi T, Tuomilehto J, Walker M, Watanabe RM, Weedon MN, Willer CJ; Wellcome Trust Case Control Consortium, Illig T, Hveem K, Hu FB, Laakso M, Stefansson K, Pedersen O, Wareham NJ, Barroso I, Hattersley AT, Collins FS, Groop L, McCarthy MI, Boehnke M, Altshuler D. Meta-analysis of genome-wide association data and large-scale replication identifies additional susceptibility loci for type 2 diabetes. </w:t>
      </w:r>
      <w:r w:rsidRPr="00054A0E">
        <w:rPr>
          <w:rFonts w:ascii="Book Antiqua" w:hAnsi="Book Antiqua"/>
          <w:i/>
          <w:sz w:val="24"/>
          <w:szCs w:val="24"/>
        </w:rPr>
        <w:t>Nat Genet</w:t>
      </w:r>
      <w:r w:rsidRPr="00054A0E">
        <w:rPr>
          <w:rFonts w:ascii="Book Antiqua" w:hAnsi="Book Antiqua"/>
          <w:sz w:val="24"/>
          <w:szCs w:val="24"/>
        </w:rPr>
        <w:t xml:space="preserve"> 2008; </w:t>
      </w:r>
      <w:r w:rsidRPr="00054A0E">
        <w:rPr>
          <w:rFonts w:ascii="Book Antiqua" w:hAnsi="Book Antiqua"/>
          <w:b/>
          <w:sz w:val="24"/>
          <w:szCs w:val="24"/>
        </w:rPr>
        <w:t>40</w:t>
      </w:r>
      <w:r w:rsidRPr="00054A0E">
        <w:rPr>
          <w:rFonts w:ascii="Book Antiqua" w:hAnsi="Book Antiqua"/>
          <w:sz w:val="24"/>
          <w:szCs w:val="24"/>
        </w:rPr>
        <w:t>: 638-645 [PMID: 18372903 DOI: 10.1038/ng.120]</w:t>
      </w:r>
    </w:p>
    <w:p w14:paraId="4E01568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34 </w:t>
      </w:r>
      <w:r w:rsidRPr="00054A0E">
        <w:rPr>
          <w:rFonts w:ascii="Book Antiqua" w:hAnsi="Book Antiqua"/>
          <w:b/>
          <w:sz w:val="24"/>
          <w:szCs w:val="24"/>
        </w:rPr>
        <w:t>Rung J</w:t>
      </w:r>
      <w:r w:rsidRPr="00054A0E">
        <w:rPr>
          <w:rFonts w:ascii="Book Antiqua" w:hAnsi="Book Antiqua"/>
          <w:sz w:val="24"/>
          <w:szCs w:val="24"/>
        </w:rPr>
        <w:t xml:space="preserve">, Cauchi S, Albrechtsen A, Shen L, Rocheleau G, Cavalcanti-Proença C, Bacot F, Balkau B, Belisle A, Borch-Johnsen K, Charpentier G, Dina C, Durand E, Elliott P, Hadjadj S, Järvelin MR, Laitinen J, Lauritzen T, Marre M, Mazur A, Meyre D, Montpetit </w:t>
      </w:r>
      <w:r w:rsidRPr="00054A0E">
        <w:rPr>
          <w:rFonts w:ascii="Book Antiqua" w:hAnsi="Book Antiqua"/>
          <w:sz w:val="24"/>
          <w:szCs w:val="24"/>
        </w:rPr>
        <w:lastRenderedPageBreak/>
        <w:t xml:space="preserve">A, Pisinger C, Posner B, Poulsen P, Pouta A, Prentki M, Ribel-Madsen R, Ruokonen A, Sandbaek A, Serre D, Tichet J, Vaxillaire M, Wojtaszewski JF, Vaag A, Hansen T, Polychronakos C, Pedersen O, Froguel P, Sladek R. Genetic variant near IRS1 is associated with type 2 diabetes, insulin resistance and hyperinsulinemia. </w:t>
      </w:r>
      <w:r w:rsidRPr="00054A0E">
        <w:rPr>
          <w:rFonts w:ascii="Book Antiqua" w:hAnsi="Book Antiqua"/>
          <w:i/>
          <w:sz w:val="24"/>
          <w:szCs w:val="24"/>
        </w:rPr>
        <w:t>Nat Genet</w:t>
      </w:r>
      <w:r w:rsidRPr="00054A0E">
        <w:rPr>
          <w:rFonts w:ascii="Book Antiqua" w:hAnsi="Book Antiqua"/>
          <w:sz w:val="24"/>
          <w:szCs w:val="24"/>
        </w:rPr>
        <w:t xml:space="preserve"> 2009; </w:t>
      </w:r>
      <w:r w:rsidRPr="00054A0E">
        <w:rPr>
          <w:rFonts w:ascii="Book Antiqua" w:hAnsi="Book Antiqua"/>
          <w:b/>
          <w:sz w:val="24"/>
          <w:szCs w:val="24"/>
        </w:rPr>
        <w:t>41</w:t>
      </w:r>
      <w:r w:rsidRPr="00054A0E">
        <w:rPr>
          <w:rFonts w:ascii="Book Antiqua" w:hAnsi="Book Antiqua"/>
          <w:sz w:val="24"/>
          <w:szCs w:val="24"/>
        </w:rPr>
        <w:t>: 1110-1115 [PMID: 19734900 DOI: 10.1038/ng.443]</w:t>
      </w:r>
    </w:p>
    <w:p w14:paraId="2461BBD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35 </w:t>
      </w:r>
      <w:r w:rsidRPr="00054A0E">
        <w:rPr>
          <w:rFonts w:ascii="Book Antiqua" w:hAnsi="Book Antiqua"/>
          <w:b/>
          <w:sz w:val="24"/>
          <w:szCs w:val="24"/>
        </w:rPr>
        <w:t>Lyssenko V</w:t>
      </w:r>
      <w:r w:rsidRPr="00054A0E">
        <w:rPr>
          <w:rFonts w:ascii="Book Antiqua" w:hAnsi="Book Antiqua"/>
          <w:sz w:val="24"/>
          <w:szCs w:val="24"/>
        </w:rPr>
        <w:t xml:space="preserve">, Nagorny CL, Erdos MR, Wierup N, Jonsson A, Spégel P, Bugliani M, Saxena R, Fex M, Pulizzi N, Isomaa B, Tuomi T, Nilsson P, Kuusisto J, Tuomilehto J, Boehnke M, Altshuler D, Sundler F, Eriksson JG, Jackson AU, Laakso M, Marchetti P, Watanabe RM, Mulder H, Groop L. Common variant in MTNR1B associated with increased risk of type 2 diabetes and impaired early insulin secretion. </w:t>
      </w:r>
      <w:r w:rsidRPr="00054A0E">
        <w:rPr>
          <w:rFonts w:ascii="Book Antiqua" w:hAnsi="Book Antiqua"/>
          <w:i/>
          <w:sz w:val="24"/>
          <w:szCs w:val="24"/>
        </w:rPr>
        <w:t>Nat Genet</w:t>
      </w:r>
      <w:r w:rsidRPr="00054A0E">
        <w:rPr>
          <w:rFonts w:ascii="Book Antiqua" w:hAnsi="Book Antiqua"/>
          <w:sz w:val="24"/>
          <w:szCs w:val="24"/>
        </w:rPr>
        <w:t xml:space="preserve"> 2009; </w:t>
      </w:r>
      <w:r w:rsidRPr="00054A0E">
        <w:rPr>
          <w:rFonts w:ascii="Book Antiqua" w:hAnsi="Book Antiqua"/>
          <w:b/>
          <w:sz w:val="24"/>
          <w:szCs w:val="24"/>
        </w:rPr>
        <w:t>41</w:t>
      </w:r>
      <w:r w:rsidRPr="00054A0E">
        <w:rPr>
          <w:rFonts w:ascii="Book Antiqua" w:hAnsi="Book Antiqua"/>
          <w:sz w:val="24"/>
          <w:szCs w:val="24"/>
        </w:rPr>
        <w:t>: 82-88 [PMID: 19060908 DOI: 10.1038/ng.288]</w:t>
      </w:r>
    </w:p>
    <w:p w14:paraId="5470A49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36 </w:t>
      </w:r>
      <w:r w:rsidRPr="00054A0E">
        <w:rPr>
          <w:rFonts w:ascii="Book Antiqua" w:hAnsi="Book Antiqua"/>
          <w:b/>
          <w:sz w:val="24"/>
          <w:szCs w:val="24"/>
        </w:rPr>
        <w:t>Bouatia-Naji N</w:t>
      </w:r>
      <w:r w:rsidRPr="00054A0E">
        <w:rPr>
          <w:rFonts w:ascii="Book Antiqua" w:hAnsi="Book Antiqua"/>
          <w:sz w:val="24"/>
          <w:szCs w:val="24"/>
        </w:rPr>
        <w:t xml:space="preserve">, Bonnefond A, Cavalcanti-Proença C, Sparsø T, Holmkvist J, Marchand M, Delplanque J, Lobbens S, Rocheleau G, Durand E, De Graeve F, Chèvre JC, Borch-Johnsen K, Hartikainen AL, Ruokonen A, Tichet J, Marre M, Weill J, Heude B, Tauber M, Lemaire K, Schuit F, Elliott P, Jørgensen T, Charpentier G, Hadjadj S, Cauchi S, Vaxillaire M, Sladek R, Visvikis-Siest S, Balkau B, Lévy-Marchal C, Pattou F, Meyre D, Blakemore AI, Jarvelin MR, Walley AJ, Hansen T, Dina C, Pedersen O, Froguel P. A variant near MTNR1B is associated with increased fasting plasma glucose levels and type 2 diabetes risk. </w:t>
      </w:r>
      <w:r w:rsidRPr="00054A0E">
        <w:rPr>
          <w:rFonts w:ascii="Book Antiqua" w:hAnsi="Book Antiqua"/>
          <w:i/>
          <w:sz w:val="24"/>
          <w:szCs w:val="24"/>
        </w:rPr>
        <w:t>Nat Genet</w:t>
      </w:r>
      <w:r w:rsidRPr="00054A0E">
        <w:rPr>
          <w:rFonts w:ascii="Book Antiqua" w:hAnsi="Book Antiqua"/>
          <w:sz w:val="24"/>
          <w:szCs w:val="24"/>
        </w:rPr>
        <w:t xml:space="preserve"> 2009; </w:t>
      </w:r>
      <w:r w:rsidRPr="00054A0E">
        <w:rPr>
          <w:rFonts w:ascii="Book Antiqua" w:hAnsi="Book Antiqua"/>
          <w:b/>
          <w:sz w:val="24"/>
          <w:szCs w:val="24"/>
        </w:rPr>
        <w:t>41</w:t>
      </w:r>
      <w:r w:rsidRPr="00054A0E">
        <w:rPr>
          <w:rFonts w:ascii="Book Antiqua" w:hAnsi="Book Antiqua"/>
          <w:sz w:val="24"/>
          <w:szCs w:val="24"/>
        </w:rPr>
        <w:t>: 89-94 [PMID: 19060909 DOI: 10.1038/ng.277]</w:t>
      </w:r>
    </w:p>
    <w:p w14:paraId="0066FB2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37 </w:t>
      </w:r>
      <w:r w:rsidRPr="00054A0E">
        <w:rPr>
          <w:rFonts w:ascii="Book Antiqua" w:hAnsi="Book Antiqua"/>
          <w:b/>
          <w:sz w:val="24"/>
          <w:szCs w:val="24"/>
        </w:rPr>
        <w:t>Marchini J</w:t>
      </w:r>
      <w:r w:rsidRPr="00054A0E">
        <w:rPr>
          <w:rFonts w:ascii="Book Antiqua" w:hAnsi="Book Antiqua"/>
          <w:sz w:val="24"/>
          <w:szCs w:val="24"/>
        </w:rPr>
        <w:t xml:space="preserve">, Howie B. Genotype imputation for genome-wide association studies. </w:t>
      </w:r>
      <w:r w:rsidRPr="00054A0E">
        <w:rPr>
          <w:rFonts w:ascii="Book Antiqua" w:hAnsi="Book Antiqua"/>
          <w:i/>
          <w:sz w:val="24"/>
          <w:szCs w:val="24"/>
        </w:rPr>
        <w:t>Nat Rev Genet</w:t>
      </w:r>
      <w:r w:rsidRPr="00054A0E">
        <w:rPr>
          <w:rFonts w:ascii="Book Antiqua" w:hAnsi="Book Antiqua"/>
          <w:sz w:val="24"/>
          <w:szCs w:val="24"/>
        </w:rPr>
        <w:t xml:space="preserve"> 2010; </w:t>
      </w:r>
      <w:r w:rsidRPr="00054A0E">
        <w:rPr>
          <w:rFonts w:ascii="Book Antiqua" w:hAnsi="Book Antiqua"/>
          <w:b/>
          <w:sz w:val="24"/>
          <w:szCs w:val="24"/>
        </w:rPr>
        <w:t>11</w:t>
      </w:r>
      <w:r w:rsidRPr="00054A0E">
        <w:rPr>
          <w:rFonts w:ascii="Book Antiqua" w:hAnsi="Book Antiqua"/>
          <w:sz w:val="24"/>
          <w:szCs w:val="24"/>
        </w:rPr>
        <w:t>: 499-511 [PMID: 20517342 DOI: 10.1038/nrg2796]</w:t>
      </w:r>
    </w:p>
    <w:p w14:paraId="09BD561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38 </w:t>
      </w:r>
      <w:r w:rsidRPr="00054A0E">
        <w:rPr>
          <w:rFonts w:ascii="Book Antiqua" w:hAnsi="Book Antiqua"/>
          <w:b/>
          <w:sz w:val="24"/>
          <w:szCs w:val="24"/>
        </w:rPr>
        <w:t>Xue A</w:t>
      </w:r>
      <w:r w:rsidRPr="00054A0E">
        <w:rPr>
          <w:rFonts w:ascii="Book Antiqua" w:hAnsi="Book Antiqua"/>
          <w:sz w:val="24"/>
          <w:szCs w:val="24"/>
        </w:rPr>
        <w:t xml:space="preserve">, Wu Y, Zhu Z, Zhang F, Kemper KE, Zheng Z, Yengo L, Lloyd-Jones LR, Sidorenko J, Wu Y; eQTLGen Consortium, McRae AF, Visscher PM, Zeng J, Yang J. Genome-wide association analyses identify 143 risk variants and putative regulatory mechanisms for type 2 diabetes. </w:t>
      </w:r>
      <w:r w:rsidRPr="00054A0E">
        <w:rPr>
          <w:rFonts w:ascii="Book Antiqua" w:hAnsi="Book Antiqua"/>
          <w:i/>
          <w:sz w:val="24"/>
          <w:szCs w:val="24"/>
        </w:rPr>
        <w:t>Nat Commun</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2941 [PMID: 30054458 DOI: 10.1038/s41467-018-04951-w]</w:t>
      </w:r>
    </w:p>
    <w:p w14:paraId="3F9C8B2C" w14:textId="456CE9E4"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39 </w:t>
      </w:r>
      <w:r w:rsidR="00DD7B2A">
        <w:rPr>
          <w:rFonts w:ascii="Book Antiqua" w:hAnsi="Book Antiqua"/>
          <w:b/>
          <w:sz w:val="24"/>
          <w:szCs w:val="24"/>
        </w:rPr>
        <w:t>International HapMap Consortium</w:t>
      </w:r>
      <w:r w:rsidRPr="00054A0E">
        <w:rPr>
          <w:rFonts w:ascii="Book Antiqua" w:hAnsi="Book Antiqua"/>
          <w:sz w:val="24"/>
          <w:szCs w:val="24"/>
        </w:rPr>
        <w:t xml:space="preserve">. A haplotype map of the human genome. </w:t>
      </w:r>
      <w:r w:rsidRPr="00054A0E">
        <w:rPr>
          <w:rFonts w:ascii="Book Antiqua" w:hAnsi="Book Antiqua"/>
          <w:i/>
          <w:sz w:val="24"/>
          <w:szCs w:val="24"/>
        </w:rPr>
        <w:t>Nature</w:t>
      </w:r>
      <w:r w:rsidRPr="00054A0E">
        <w:rPr>
          <w:rFonts w:ascii="Book Antiqua" w:hAnsi="Book Antiqua"/>
          <w:sz w:val="24"/>
          <w:szCs w:val="24"/>
        </w:rPr>
        <w:t xml:space="preserve"> 2005; </w:t>
      </w:r>
      <w:r w:rsidRPr="00054A0E">
        <w:rPr>
          <w:rFonts w:ascii="Book Antiqua" w:hAnsi="Book Antiqua"/>
          <w:b/>
          <w:sz w:val="24"/>
          <w:szCs w:val="24"/>
        </w:rPr>
        <w:t>437</w:t>
      </w:r>
      <w:r w:rsidRPr="00054A0E">
        <w:rPr>
          <w:rFonts w:ascii="Book Antiqua" w:hAnsi="Book Antiqua"/>
          <w:sz w:val="24"/>
          <w:szCs w:val="24"/>
        </w:rPr>
        <w:t>: 1299-1320 [PMID: 16255080 DOI: 10.1038/nature04226]</w:t>
      </w:r>
    </w:p>
    <w:p w14:paraId="7393DE8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40 </w:t>
      </w:r>
      <w:r w:rsidRPr="00054A0E">
        <w:rPr>
          <w:rFonts w:ascii="Book Antiqua" w:hAnsi="Book Antiqua"/>
          <w:b/>
          <w:sz w:val="24"/>
          <w:szCs w:val="24"/>
        </w:rPr>
        <w:t>Van der Auwera GA</w:t>
      </w:r>
      <w:r w:rsidRPr="00054A0E">
        <w:rPr>
          <w:rFonts w:ascii="Book Antiqua" w:hAnsi="Book Antiqua"/>
          <w:sz w:val="24"/>
          <w:szCs w:val="24"/>
        </w:rPr>
        <w:t xml:space="preserve">, Carneiro MO, Hartl C, Poplin R, Del Angel G, Levy-Moonshine A, Jordan T, Shakir K, Roazen D, Thibault J, Banks E, Garimella KV, Altshuler D, Gabriel S, DePristo MA. From FastQ data to high confidence variant calls: </w:t>
      </w:r>
      <w:r w:rsidRPr="00054A0E">
        <w:rPr>
          <w:rFonts w:ascii="Book Antiqua" w:hAnsi="Book Antiqua"/>
          <w:sz w:val="24"/>
          <w:szCs w:val="24"/>
        </w:rPr>
        <w:lastRenderedPageBreak/>
        <w:t xml:space="preserve">the Genome Analysis Toolkit best practices pipeline. </w:t>
      </w:r>
      <w:r w:rsidRPr="00054A0E">
        <w:rPr>
          <w:rFonts w:ascii="Book Antiqua" w:hAnsi="Book Antiqua"/>
          <w:i/>
          <w:sz w:val="24"/>
          <w:szCs w:val="24"/>
        </w:rPr>
        <w:t>Curr Protoc Bioinformatics</w:t>
      </w:r>
      <w:r w:rsidRPr="00054A0E">
        <w:rPr>
          <w:rFonts w:ascii="Book Antiqua" w:hAnsi="Book Antiqua"/>
          <w:sz w:val="24"/>
          <w:szCs w:val="24"/>
        </w:rPr>
        <w:t xml:space="preserve"> 2013; </w:t>
      </w:r>
      <w:r w:rsidRPr="00054A0E">
        <w:rPr>
          <w:rFonts w:ascii="Book Antiqua" w:hAnsi="Book Antiqua"/>
          <w:b/>
          <w:sz w:val="24"/>
          <w:szCs w:val="24"/>
        </w:rPr>
        <w:t>43</w:t>
      </w:r>
      <w:r w:rsidRPr="00054A0E">
        <w:rPr>
          <w:rFonts w:ascii="Book Antiqua" w:hAnsi="Book Antiqua"/>
          <w:sz w:val="24"/>
          <w:szCs w:val="24"/>
        </w:rPr>
        <w:t>: 11.10.1-11.1033 [PMID: 25431634 DOI: 10.1002/0471250953.bi1110s43]</w:t>
      </w:r>
    </w:p>
    <w:p w14:paraId="0ACCE3DF" w14:textId="6B95D9F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41 </w:t>
      </w:r>
      <w:r w:rsidR="007F1C69">
        <w:rPr>
          <w:rFonts w:ascii="Book Antiqua" w:hAnsi="Book Antiqua"/>
          <w:b/>
          <w:sz w:val="24"/>
          <w:szCs w:val="24"/>
        </w:rPr>
        <w:t>1000 Genomes Project Consortium</w:t>
      </w:r>
      <w:r w:rsidRPr="00054A0E">
        <w:rPr>
          <w:rFonts w:ascii="Book Antiqua" w:hAnsi="Book Antiqua"/>
          <w:sz w:val="24"/>
          <w:szCs w:val="24"/>
        </w:rPr>
        <w:t xml:space="preserve">, Auton A, Brooks LD, Durbin RM, Garrison EP, Kang HM, Korbel JO, Marchini JL, McCarthy S, McVean GA, Abecasis GR. A global reference for human genetic variation. </w:t>
      </w:r>
      <w:r w:rsidRPr="00054A0E">
        <w:rPr>
          <w:rFonts w:ascii="Book Antiqua" w:hAnsi="Book Antiqua"/>
          <w:i/>
          <w:sz w:val="24"/>
          <w:szCs w:val="24"/>
        </w:rPr>
        <w:t>Nature</w:t>
      </w:r>
      <w:r w:rsidRPr="00054A0E">
        <w:rPr>
          <w:rFonts w:ascii="Book Antiqua" w:hAnsi="Book Antiqua"/>
          <w:sz w:val="24"/>
          <w:szCs w:val="24"/>
        </w:rPr>
        <w:t xml:space="preserve"> 2015; </w:t>
      </w:r>
      <w:r w:rsidRPr="00054A0E">
        <w:rPr>
          <w:rFonts w:ascii="Book Antiqua" w:hAnsi="Book Antiqua"/>
          <w:b/>
          <w:sz w:val="24"/>
          <w:szCs w:val="24"/>
        </w:rPr>
        <w:t>526</w:t>
      </w:r>
      <w:r w:rsidRPr="00054A0E">
        <w:rPr>
          <w:rFonts w:ascii="Book Antiqua" w:hAnsi="Book Antiqua"/>
          <w:sz w:val="24"/>
          <w:szCs w:val="24"/>
        </w:rPr>
        <w:t>: 68-74 [PMID: 26432245 DOI: 10.1038/nature15393]</w:t>
      </w:r>
    </w:p>
    <w:p w14:paraId="714E9B2E" w14:textId="7926082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42 </w:t>
      </w:r>
      <w:r w:rsidR="007F1C69">
        <w:rPr>
          <w:rFonts w:ascii="Book Antiqua" w:hAnsi="Book Antiqua"/>
          <w:b/>
          <w:sz w:val="24"/>
          <w:szCs w:val="24"/>
        </w:rPr>
        <w:t>UK10K Consortium</w:t>
      </w:r>
      <w:r w:rsidRPr="00054A0E">
        <w:rPr>
          <w:rFonts w:ascii="Book Antiqua" w:hAnsi="Book Antiqua"/>
          <w:sz w:val="24"/>
          <w:szCs w:val="24"/>
        </w:rPr>
        <w:t xml:space="preserve">, Walter K, Min JL, Huang J, Crooks L, Memari Y, McCarthy S, Perry JR, Xu C, Futema M, Lawson D, Iotchkova V, Schiffels S, Hendricks AE, Danecek P, Li R, Floyd J, Wain LV, Barroso I, Humphries SE, Hurles ME, Zeggini E, Barrett JC, Plagnol V, Richards JB, Greenwood CM, Timpson NJ, Durbin R, Soranzo N. The UK10K project identifies rare variants in health and disease. </w:t>
      </w:r>
      <w:r w:rsidRPr="00054A0E">
        <w:rPr>
          <w:rFonts w:ascii="Book Antiqua" w:hAnsi="Book Antiqua"/>
          <w:i/>
          <w:sz w:val="24"/>
          <w:szCs w:val="24"/>
        </w:rPr>
        <w:t>Nature</w:t>
      </w:r>
      <w:r w:rsidRPr="00054A0E">
        <w:rPr>
          <w:rFonts w:ascii="Book Antiqua" w:hAnsi="Book Antiqua"/>
          <w:sz w:val="24"/>
          <w:szCs w:val="24"/>
        </w:rPr>
        <w:t xml:space="preserve"> 2015; </w:t>
      </w:r>
      <w:r w:rsidRPr="00054A0E">
        <w:rPr>
          <w:rFonts w:ascii="Book Antiqua" w:hAnsi="Book Antiqua"/>
          <w:b/>
          <w:sz w:val="24"/>
          <w:szCs w:val="24"/>
        </w:rPr>
        <w:t>526</w:t>
      </w:r>
      <w:r w:rsidRPr="00054A0E">
        <w:rPr>
          <w:rFonts w:ascii="Book Antiqua" w:hAnsi="Book Antiqua"/>
          <w:sz w:val="24"/>
          <w:szCs w:val="24"/>
        </w:rPr>
        <w:t>: 82-90 [PMID: 26367797 DOI: 10.1038/nature14962]</w:t>
      </w:r>
    </w:p>
    <w:p w14:paraId="6FA4244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43 </w:t>
      </w:r>
      <w:r w:rsidRPr="00054A0E">
        <w:rPr>
          <w:rFonts w:ascii="Book Antiqua" w:hAnsi="Book Antiqua"/>
          <w:b/>
          <w:sz w:val="24"/>
          <w:szCs w:val="24"/>
        </w:rPr>
        <w:t>McCarthy S</w:t>
      </w:r>
      <w:r w:rsidRPr="00054A0E">
        <w:rPr>
          <w:rFonts w:ascii="Book Antiqua" w:hAnsi="Book Antiqua"/>
          <w:sz w:val="24"/>
          <w:szCs w:val="24"/>
        </w:rPr>
        <w:t xml:space="preserve">, Das S, Kretzschmar W, Delaneau O, Wood AR, Teumer A, Kang HM, Fuchsberger C, Danecek P, Sharp K, Luo Y, Sidore C, Kwong A, Timpson N, Koskinen S, Vrieze S, Scott LJ, Zhang H, Mahajan A, Veldink J, Peters U, Pato C, van Duijn CM, Gillies CE, Gandin I, Mezzavilla M, Gilly A, Cocca M, Traglia M, Angius A, Barrett JC, Boomsma D, Branham K, Breen G, Brummett CM, Busonero F, Campbell H, Chan A, Chen S, Chew E, Collins FS, Corbin LJ, Smith GD, Dedoussis G, Dorr M, Farmaki AE, Ferrucci L, Forer L, Fraser RM, Gabriel S, Levy S, Groop L, Harrison T, Hattersley A, Holmen OL, Hveem K, Kretzler M, Lee JC, McGue M, Meitinger T, Melzer D, Min JL, Mohlke KL, Vincent JB, Nauck M, Nickerson D, Palotie A, Pato M, Pirastu N, McInnis M, Richards JB, Sala C, Salomaa V, Schlessinger D, Schoenherr S, Slagboom PE, Small K, Spector T, Stambolian D, Tuke M, Tuomilehto J, Van den Berg LH, Van Rheenen W, Volker U, Wijmenga C, Toniolo D, Zeggini E, Gasparini P, Sampson MG, Wilson JF, Frayling T, de Bakker PI, Swertz MA, McCarroll S, Kooperberg C, Dekker A, Altshuler D, Willer C, Iacono W, Ripatti S, Soranzo N, Walter K, Swaroop A, Cucca F, Anderson CA, Myers RM, Boehnke M, McCarthy MI, Durbin R; Haplotype Reference Consortium. A reference panel of 64,976 haplotypes for genotype imputation. </w:t>
      </w:r>
      <w:r w:rsidRPr="00054A0E">
        <w:rPr>
          <w:rFonts w:ascii="Book Antiqua" w:hAnsi="Book Antiqua"/>
          <w:i/>
          <w:sz w:val="24"/>
          <w:szCs w:val="24"/>
        </w:rPr>
        <w:t>Nat Genet</w:t>
      </w:r>
      <w:r w:rsidRPr="00054A0E">
        <w:rPr>
          <w:rFonts w:ascii="Book Antiqua" w:hAnsi="Book Antiqua"/>
          <w:sz w:val="24"/>
          <w:szCs w:val="24"/>
        </w:rPr>
        <w:t xml:space="preserve"> 2016; </w:t>
      </w:r>
      <w:r w:rsidRPr="00054A0E">
        <w:rPr>
          <w:rFonts w:ascii="Book Antiqua" w:hAnsi="Book Antiqua"/>
          <w:b/>
          <w:sz w:val="24"/>
          <w:szCs w:val="24"/>
        </w:rPr>
        <w:t>48</w:t>
      </w:r>
      <w:r w:rsidRPr="00054A0E">
        <w:rPr>
          <w:rFonts w:ascii="Book Antiqua" w:hAnsi="Book Antiqua"/>
          <w:sz w:val="24"/>
          <w:szCs w:val="24"/>
        </w:rPr>
        <w:t>: 1279-1283 [PMID: 27548312 DOI: 10.1038/ng.3643]</w:t>
      </w:r>
    </w:p>
    <w:p w14:paraId="070FA4D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44 </w:t>
      </w:r>
      <w:r w:rsidRPr="00054A0E">
        <w:rPr>
          <w:rFonts w:ascii="Book Antiqua" w:hAnsi="Book Antiqua"/>
          <w:b/>
          <w:sz w:val="24"/>
          <w:szCs w:val="24"/>
        </w:rPr>
        <w:t>Gaulton KJ</w:t>
      </w:r>
      <w:r w:rsidRPr="00054A0E">
        <w:rPr>
          <w:rFonts w:ascii="Book Antiqua" w:hAnsi="Book Antiqua"/>
          <w:sz w:val="24"/>
          <w:szCs w:val="24"/>
        </w:rPr>
        <w:t xml:space="preserve">, Ferreira T, Lee Y, Raimondo A, Mägi R, Reschen ME, Mahajan A, Locke A, Rayner NW, Robertson N, Scott RA, Prokopenko I, Scott LJ, Green T, Sparso T, Thuillier D, Yengo L, Grallert H, Wahl S, Frånberg M, Strawbridge RJ, Kestler H, </w:t>
      </w:r>
      <w:r w:rsidRPr="00054A0E">
        <w:rPr>
          <w:rFonts w:ascii="Book Antiqua" w:hAnsi="Book Antiqua"/>
          <w:sz w:val="24"/>
          <w:szCs w:val="24"/>
        </w:rPr>
        <w:lastRenderedPageBreak/>
        <w:t xml:space="preserve">Chheda H, Eisele L, Gustafsson S, Steinthorsdottir V, Thorleifsson G, Qi L, Karssen LC, van Leeuwen EM, Willems SM, Li M, Chen H, Fuchsberger C, Kwan P, Ma C, Linderman M, Lu Y, Thomsen SK, Rundle JK, Beer NL, van de Bunt M, Chalisey A, Kang HM, Voight BF, Abecasis GR, Almgren P, Baldassarre D, Balkau B, Benediktsson R, Blüher M, Boeing H, Bonnycastle LL, Bottinger EP, Burtt NP, Carey J, Charpentier G, Chines PS, Cornelis MC, Couper DJ, Crenshaw AT, van Dam RM, Doney AS, Dorkhan M, Edkins S, Eriksson JG, Esko T, Eury E, Fadista J, Flannick J, Fontanillas P, Fox C, Franks PW, Gertow K, Gieger C, Gigante B, Gottesman O, Grant GB, Grarup N, Groves CJ, Hassinen M, Have CT, Herder C, Holmen OL, Hreidarsson AB, Humphries SE, Hunter DJ, Jackson AU, Jonsson A, Jørgensen ME, Jørgensen T, Kao WH, Kerrison ND, Kinnunen L, Klopp N, Kong A, Kovacs P, Kraft P, Kravic J, Langford C, Leander K, Liang L, Lichtner P, Lindgren CM, Lindholm E, Linneberg A, Liu CT, Lobbens S, Luan J, Lyssenko V, Männistö S, McLeod O, Meyer J, Mihailov E, Mirza G, Mühleisen TW, Müller-Nurasyid M, Navarro C, Nöthen MM, Oskolkov NN, Owen KR, Palli D, Pechlivanis S, Peltonen L, Perry JR, Platou CG, Roden M, Ruderfer D, Rybin D, van der Schouw YT, Sennblad B, Sigurðsson G, Stančáková A, Steinbach G, Storm P, Strauch K, Stringham HM, Sun Q, Thorand B, Tikkanen E, Tonjes A, Trakalo J, Tremoli E, Tuomi T, Wennauer R, Wiltshire S, Wood AR, Zeggini E, Dunham I, Birney E, Pasquali L, Ferrer J, Loos RJ, Dupuis J, Florez JC, Boerwinkle E, Pankow JS, van Duijn C, Sijbrands E, Meigs JB, Hu FB, Thorsteinsdottir U, Stefansson K, Lakka TA, Rauramaa R, Stumvoll M, Pedersen NL, Lind L, Keinanen-Kiukaanniemi SM, Korpi-Hyövälti E, Saaristo TE, Saltevo J, Kuusisto J, Laakso M, Metspalu A, Erbel R, Jöcke KH, Moebus S, Ripatti S, Salomaa V, Ingelsson E, Boehm BO, Bergman RN, Collins FS, Mohlke KL, Koistinen H, Tuomilehto J, Hveem K, Njølstad I, Deloukas P, Donnelly PJ, Frayling TM, Hattersley AT, de Faire U, Hamsten A, Illig T, Peters A, Cauchi S, Sladek R, Froguel P, Hansen T, Pedersen O, Morris AD, Palmer CN, Kathiresan S, Melander O, Nilsson PM, Groop LC, Barroso I, Langenberg C, Wareham NJ, O'Callaghan CA, Gloyn AL, Altshuler D, Boehnke M, Teslovich TM, McCarthy MI, Morris AP; DIAbetes Genetics Replication And Meta-analysis (DIAGRAM) Consortium. Genetic fine mapping and genomic annotation defines causal mechanisms at type 2 diabetes susceptibility loci. </w:t>
      </w:r>
      <w:r w:rsidRPr="00054A0E">
        <w:rPr>
          <w:rFonts w:ascii="Book Antiqua" w:hAnsi="Book Antiqua"/>
          <w:i/>
          <w:sz w:val="24"/>
          <w:szCs w:val="24"/>
        </w:rPr>
        <w:t>Nat Genet</w:t>
      </w:r>
      <w:r w:rsidRPr="00054A0E">
        <w:rPr>
          <w:rFonts w:ascii="Book Antiqua" w:hAnsi="Book Antiqua"/>
          <w:sz w:val="24"/>
          <w:szCs w:val="24"/>
        </w:rPr>
        <w:t xml:space="preserve"> 2015; </w:t>
      </w:r>
      <w:r w:rsidRPr="00054A0E">
        <w:rPr>
          <w:rFonts w:ascii="Book Antiqua" w:hAnsi="Book Antiqua"/>
          <w:b/>
          <w:sz w:val="24"/>
          <w:szCs w:val="24"/>
        </w:rPr>
        <w:t>47</w:t>
      </w:r>
      <w:r w:rsidRPr="00054A0E">
        <w:rPr>
          <w:rFonts w:ascii="Book Antiqua" w:hAnsi="Book Antiqua"/>
          <w:sz w:val="24"/>
          <w:szCs w:val="24"/>
        </w:rPr>
        <w:t>: 1415-1425 [PMID: 26551672 DOI: 10.1038/ng.3437]</w:t>
      </w:r>
    </w:p>
    <w:p w14:paraId="7E345E4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45 </w:t>
      </w:r>
      <w:r w:rsidRPr="00054A0E">
        <w:rPr>
          <w:rFonts w:ascii="Book Antiqua" w:hAnsi="Book Antiqua"/>
          <w:b/>
          <w:sz w:val="24"/>
          <w:szCs w:val="24"/>
        </w:rPr>
        <w:t>Steinthorsdottir V</w:t>
      </w:r>
      <w:r w:rsidRPr="00054A0E">
        <w:rPr>
          <w:rFonts w:ascii="Book Antiqua" w:hAnsi="Book Antiqua"/>
          <w:sz w:val="24"/>
          <w:szCs w:val="24"/>
        </w:rPr>
        <w:t xml:space="preserve">, Thorleifsson G, Sulem P, Helgason H, Grarup N, Sigurdsson A, Helgadottir HT, Johannsdottir H, Magnusson OT, Gudjonsson SA, Justesen JM, Harder MN, Jørgensen ME, Christensen C, Brandslund I, Sandbæk A, Lauritzen T, Vestergaard H, Linneberg A, Jørgensen T, Hansen T, Daneshpour MS, Fallah MS, Hreidarsson AB, Sigurdsson G, Azizi F, Benediktsson R, Masson G, Helgason A, Kong A, Gudbjartsson DF, Pedersen O, Thorsteinsdottir U, Stefansson K. Identification of low-frequency and rare sequence variants associated with elevated or reduced risk of type 2 diabetes. </w:t>
      </w:r>
      <w:r w:rsidRPr="00054A0E">
        <w:rPr>
          <w:rFonts w:ascii="Book Antiqua" w:hAnsi="Book Antiqua"/>
          <w:i/>
          <w:sz w:val="24"/>
          <w:szCs w:val="24"/>
        </w:rPr>
        <w:t>Nat Genet</w:t>
      </w:r>
      <w:r w:rsidRPr="00054A0E">
        <w:rPr>
          <w:rFonts w:ascii="Book Antiqua" w:hAnsi="Book Antiqua"/>
          <w:sz w:val="24"/>
          <w:szCs w:val="24"/>
        </w:rPr>
        <w:t xml:space="preserve"> 2014; </w:t>
      </w:r>
      <w:r w:rsidRPr="00054A0E">
        <w:rPr>
          <w:rFonts w:ascii="Book Antiqua" w:hAnsi="Book Antiqua"/>
          <w:b/>
          <w:sz w:val="24"/>
          <w:szCs w:val="24"/>
        </w:rPr>
        <w:t>46</w:t>
      </w:r>
      <w:r w:rsidRPr="00054A0E">
        <w:rPr>
          <w:rFonts w:ascii="Book Antiqua" w:hAnsi="Book Antiqua"/>
          <w:sz w:val="24"/>
          <w:szCs w:val="24"/>
        </w:rPr>
        <w:t>: 294-298 [PMID: 24464100 DOI: 10.1038/ng.2882]</w:t>
      </w:r>
    </w:p>
    <w:p w14:paraId="3A11487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46 </w:t>
      </w:r>
      <w:r w:rsidRPr="00054A0E">
        <w:rPr>
          <w:rFonts w:ascii="Book Antiqua" w:hAnsi="Book Antiqua"/>
          <w:b/>
          <w:sz w:val="24"/>
          <w:szCs w:val="24"/>
        </w:rPr>
        <w:t>Mahajan A</w:t>
      </w:r>
      <w:r w:rsidRPr="00054A0E">
        <w:rPr>
          <w:rFonts w:ascii="Book Antiqua" w:hAnsi="Book Antiqua"/>
          <w:sz w:val="24"/>
          <w:szCs w:val="24"/>
        </w:rPr>
        <w:t xml:space="preserve">, Taliun D, Thurner M, Robertson NR, Torres JM, Rayner NW, Payne AJ, Steinthorsdottir V, Scott RA, Grarup N, Cook JP, Schmidt EM, Wuttke M, Sarnowski C, Mägi R, Nano J, Gieger C, Trompet S, Lecoeur C, Preuss MH, Prins BP, Guo X, Bielak LF, Below JE, Bowden DW, Chambers JC, Kim YJ, Ng MCY, Petty LE, Sim X, Zhang W, Bennett AJ, Bork-Jensen J, Brummett CM, Canouil M, Ec Kardt KU, Fischer K, Kardia SLR, Kronenberg F, Läll K, Liu CT, Locke AE, Luan J, Ntalla I, Nylander V, Schönherr S, Schurmann C, Yengo L, Bottinger EP, Brandslund I, Christensen C, Dedoussis G, Florez JC, Ford I, Franco OH, Frayling TM, Giedraitis V, Hackinger S, Hattersley AT, Herder C, Ikram MA, Ingelsson M, Jørgensen ME, Jørgensen T, Kriebel J, Kuusisto J, Ligthart S, Lindgren CM, Linneberg A, Lyssenko V, Mamakou V, Meitinger T, Mohlke KL, Morris AD, Nadkarni G, Pankow JS, Peters A, Sattar N, Stančáková A, Strauch K, Taylor KD, Thorand B, Thorleifsson G, Thorsteinsdottir U, Tuomilehto J, Witte DR, Dupuis J, Peyser PA, Zeggini E, Loos RJF, Froguel P, Ingelsson E, Lind L, Groop L, Laakso M, Collins FS, Jukema JW, Palmer CNA, Grallert H, Metspalu A, Dehghan A, Köttgen A, Abecasis GR, Meigs JB, Rotter JI, Marchini J, Pedersen O, Hansen T, Langenberg C, Wareham NJ, Stefansson K, Gloyn AL, Morris AP, Boehnke M, McCarthy MI. Fine-mapping type 2 diabetes loci to single-variant resolution using high-density imputation and islet-specific epigenome maps. </w:t>
      </w:r>
      <w:r w:rsidRPr="00054A0E">
        <w:rPr>
          <w:rFonts w:ascii="Book Antiqua" w:hAnsi="Book Antiqua"/>
          <w:i/>
          <w:sz w:val="24"/>
          <w:szCs w:val="24"/>
        </w:rPr>
        <w:t>Nat Genet</w:t>
      </w:r>
      <w:r w:rsidRPr="00054A0E">
        <w:rPr>
          <w:rFonts w:ascii="Book Antiqua" w:hAnsi="Book Antiqua"/>
          <w:sz w:val="24"/>
          <w:szCs w:val="24"/>
        </w:rPr>
        <w:t xml:space="preserve"> 2018; </w:t>
      </w:r>
      <w:r w:rsidRPr="00054A0E">
        <w:rPr>
          <w:rFonts w:ascii="Book Antiqua" w:hAnsi="Book Antiqua"/>
          <w:b/>
          <w:sz w:val="24"/>
          <w:szCs w:val="24"/>
        </w:rPr>
        <w:t>50</w:t>
      </w:r>
      <w:r w:rsidRPr="00054A0E">
        <w:rPr>
          <w:rFonts w:ascii="Book Antiqua" w:hAnsi="Book Antiqua"/>
          <w:sz w:val="24"/>
          <w:szCs w:val="24"/>
        </w:rPr>
        <w:t>: 1505-1513 [PMID: 30297969 DOI: 10.1038/s41588-018-0241-6]</w:t>
      </w:r>
    </w:p>
    <w:p w14:paraId="44150D1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47 </w:t>
      </w:r>
      <w:r w:rsidRPr="00054A0E">
        <w:rPr>
          <w:rFonts w:ascii="Book Antiqua" w:hAnsi="Book Antiqua"/>
          <w:b/>
          <w:sz w:val="24"/>
          <w:szCs w:val="24"/>
        </w:rPr>
        <w:t>Mahajan A</w:t>
      </w:r>
      <w:r w:rsidRPr="00054A0E">
        <w:rPr>
          <w:rFonts w:ascii="Book Antiqua" w:hAnsi="Book Antiqua"/>
          <w:sz w:val="24"/>
          <w:szCs w:val="24"/>
        </w:rPr>
        <w:t xml:space="preserve">,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w:t>
      </w:r>
      <w:r w:rsidRPr="00054A0E">
        <w:rPr>
          <w:rFonts w:ascii="Book Antiqua" w:hAnsi="Book Antiqua"/>
          <w:sz w:val="24"/>
          <w:szCs w:val="24"/>
        </w:rPr>
        <w:lastRenderedPageBreak/>
        <w:t xml:space="preserve">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Refining the accuracy of validated target identification through coding variant fine-mapping in type 2 diabetes. </w:t>
      </w:r>
      <w:r w:rsidRPr="00054A0E">
        <w:rPr>
          <w:rFonts w:ascii="Book Antiqua" w:hAnsi="Book Antiqua"/>
          <w:i/>
          <w:sz w:val="24"/>
          <w:szCs w:val="24"/>
        </w:rPr>
        <w:t>Nat Genet</w:t>
      </w:r>
      <w:r w:rsidRPr="00054A0E">
        <w:rPr>
          <w:rFonts w:ascii="Book Antiqua" w:hAnsi="Book Antiqua"/>
          <w:sz w:val="24"/>
          <w:szCs w:val="24"/>
        </w:rPr>
        <w:t xml:space="preserve"> 2018; </w:t>
      </w:r>
      <w:r w:rsidRPr="00054A0E">
        <w:rPr>
          <w:rFonts w:ascii="Book Antiqua" w:hAnsi="Book Antiqua"/>
          <w:b/>
          <w:sz w:val="24"/>
          <w:szCs w:val="24"/>
        </w:rPr>
        <w:t>50</w:t>
      </w:r>
      <w:r w:rsidRPr="00054A0E">
        <w:rPr>
          <w:rFonts w:ascii="Book Antiqua" w:hAnsi="Book Antiqua"/>
          <w:sz w:val="24"/>
          <w:szCs w:val="24"/>
        </w:rPr>
        <w:t>: 559-571 [PMID: 29632382 DOI: 10.1038/s41588-018-0084-1]</w:t>
      </w:r>
    </w:p>
    <w:p w14:paraId="76A2FBD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48 </w:t>
      </w:r>
      <w:r w:rsidRPr="00054A0E">
        <w:rPr>
          <w:rFonts w:ascii="Book Antiqua" w:hAnsi="Book Antiqua"/>
          <w:b/>
          <w:sz w:val="24"/>
          <w:szCs w:val="24"/>
        </w:rPr>
        <w:t>Kim YJ</w:t>
      </w:r>
      <w:r w:rsidRPr="00054A0E">
        <w:rPr>
          <w:rFonts w:ascii="Book Antiqua" w:hAnsi="Book Antiqua"/>
          <w:sz w:val="24"/>
          <w:szCs w:val="24"/>
        </w:rPr>
        <w:t xml:space="preserve">, Lee J, Kim BJ; T2D-Genes Consortium, Park T. A new strategy for enhancing imputation quality of rare variants from next-generation sequencing data via combining SNP and exome chip data. </w:t>
      </w:r>
      <w:r w:rsidRPr="00054A0E">
        <w:rPr>
          <w:rFonts w:ascii="Book Antiqua" w:hAnsi="Book Antiqua"/>
          <w:i/>
          <w:sz w:val="24"/>
          <w:szCs w:val="24"/>
        </w:rPr>
        <w:t>BMC Genomics</w:t>
      </w:r>
      <w:r w:rsidRPr="00054A0E">
        <w:rPr>
          <w:rFonts w:ascii="Book Antiqua" w:hAnsi="Book Antiqua"/>
          <w:sz w:val="24"/>
          <w:szCs w:val="24"/>
        </w:rPr>
        <w:t xml:space="preserve"> 2015; </w:t>
      </w:r>
      <w:r w:rsidRPr="00054A0E">
        <w:rPr>
          <w:rFonts w:ascii="Book Antiqua" w:hAnsi="Book Antiqua"/>
          <w:b/>
          <w:sz w:val="24"/>
          <w:szCs w:val="24"/>
        </w:rPr>
        <w:t>16</w:t>
      </w:r>
      <w:r w:rsidRPr="00054A0E">
        <w:rPr>
          <w:rFonts w:ascii="Book Antiqua" w:hAnsi="Book Antiqua"/>
          <w:sz w:val="24"/>
          <w:szCs w:val="24"/>
        </w:rPr>
        <w:t>: 1109 [PMID: 26715385 DOI: 10.1186/s12864-015-2192-y]</w:t>
      </w:r>
    </w:p>
    <w:p w14:paraId="65A58AC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49 </w:t>
      </w:r>
      <w:r w:rsidRPr="00054A0E">
        <w:rPr>
          <w:rFonts w:ascii="Book Antiqua" w:hAnsi="Book Antiqua"/>
          <w:b/>
          <w:sz w:val="24"/>
          <w:szCs w:val="24"/>
        </w:rPr>
        <w:t>Albrechtsen A</w:t>
      </w:r>
      <w:r w:rsidRPr="00054A0E">
        <w:rPr>
          <w:rFonts w:ascii="Book Antiqua" w:hAnsi="Book Antiqua"/>
          <w:sz w:val="24"/>
          <w:szCs w:val="24"/>
        </w:rPr>
        <w:t xml:space="preserve">, Grarup N, Li Y, Sparsø T, Tian G, Cao H, Jiang T, Kim SY, Korneliussen T, Li Q, Nie C, Wu R, Skotte L, Morris AP, Ladenvall C, Cauchi S, Stančáková A, Andersen G, Astrup A, Banasik K, Bennett AJ, Bolund L, Charpentier G, Chen Y, Dekker JM, Doney AS, Dorkhan M, Forsen T, Frayling TM, Groves CJ, Gui Y, Hallmans G, Hattersley AT, He K, Hitman GA, Holmkvist J, Huang S, Jiang H, Jin X, Justesen JM, Kristiansen K, Kuusisto J, Lajer M, Lantieri O, Li W, Liang H, Liao Q, Liu X, Ma T, Ma X, Manijak MP, Marre M, Mokrosiński J, Morris AD, Mu B, Nielsen AA, Nijpels G, Nilsson P, Palmer CN, Rayner NW, Renström F, Ribel-Madsen R, Robertson N, Rolandsson O, Rossing P, Schwartz TW; D.E.S.I.R. Study Group, Slagboom PE, Sterner M; DIAGRAM Consortium, Tang M, Tarnow L, Tuomi T, van't Riet E, van Leeuwen N, Varga TV, Vestmar MA, Walker M, Wang B, Wang Y, Wu H, Xi F, Yengo L, Yu C, Zhang X, Zhang J, Zhang Q, Zhang W, Zheng H, Zhou Y, Altshuler D, 't Hart LM, Franks PW, Balkau B, Froguel P, McCarthy MI, Laakso M, Groop L, Christensen C, Brandslund I, Lauritzen T, Witte DR, Linneberg A, Jørgensen T, Hansen T, Wang J, Nielsen R, Pedersen O. Exome sequencing-driven discovery of coding polymorphisms associated with common metabolic phenotypes. </w:t>
      </w:r>
      <w:r w:rsidRPr="00054A0E">
        <w:rPr>
          <w:rFonts w:ascii="Book Antiqua" w:hAnsi="Book Antiqua"/>
          <w:i/>
          <w:sz w:val="24"/>
          <w:szCs w:val="24"/>
        </w:rPr>
        <w:t>Diabetologia</w:t>
      </w:r>
      <w:r w:rsidRPr="00054A0E">
        <w:rPr>
          <w:rFonts w:ascii="Book Antiqua" w:hAnsi="Book Antiqua"/>
          <w:sz w:val="24"/>
          <w:szCs w:val="24"/>
        </w:rPr>
        <w:t xml:space="preserve"> 2013; </w:t>
      </w:r>
      <w:r w:rsidRPr="00054A0E">
        <w:rPr>
          <w:rFonts w:ascii="Book Antiqua" w:hAnsi="Book Antiqua"/>
          <w:b/>
          <w:sz w:val="24"/>
          <w:szCs w:val="24"/>
        </w:rPr>
        <w:t>56</w:t>
      </w:r>
      <w:r w:rsidRPr="00054A0E">
        <w:rPr>
          <w:rFonts w:ascii="Book Antiqua" w:hAnsi="Book Antiqua"/>
          <w:sz w:val="24"/>
          <w:szCs w:val="24"/>
        </w:rPr>
        <w:t>: 298-310 [PMID: 23160641 DOI: 10.1007/s00125-012-2756-1]</w:t>
      </w:r>
    </w:p>
    <w:p w14:paraId="1AC9DC5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50 </w:t>
      </w:r>
      <w:r w:rsidRPr="00054A0E">
        <w:rPr>
          <w:rFonts w:ascii="Book Antiqua" w:hAnsi="Book Antiqua"/>
          <w:b/>
          <w:sz w:val="24"/>
          <w:szCs w:val="24"/>
        </w:rPr>
        <w:t>Takatsu H</w:t>
      </w:r>
      <w:r w:rsidRPr="00054A0E">
        <w:rPr>
          <w:rFonts w:ascii="Book Antiqua" w:hAnsi="Book Antiqua"/>
          <w:sz w:val="24"/>
          <w:szCs w:val="24"/>
        </w:rPr>
        <w:t xml:space="preserve">, Hase K, Ohmae M, Ohshima S, Hashimoto K, Taniura N, Yamamoto A, Ohno H. CD300 antigen like family member G: A novel Ig receptor like protein exclusively expressed on capillary endothelium. </w:t>
      </w:r>
      <w:r w:rsidRPr="00054A0E">
        <w:rPr>
          <w:rFonts w:ascii="Book Antiqua" w:hAnsi="Book Antiqua"/>
          <w:i/>
          <w:sz w:val="24"/>
          <w:szCs w:val="24"/>
        </w:rPr>
        <w:t>Biochem Biophys Res Commun</w:t>
      </w:r>
      <w:r w:rsidRPr="00054A0E">
        <w:rPr>
          <w:rFonts w:ascii="Book Antiqua" w:hAnsi="Book Antiqua"/>
          <w:sz w:val="24"/>
          <w:szCs w:val="24"/>
        </w:rPr>
        <w:t xml:space="preserve"> 2006; </w:t>
      </w:r>
      <w:r w:rsidRPr="00054A0E">
        <w:rPr>
          <w:rFonts w:ascii="Book Antiqua" w:hAnsi="Book Antiqua"/>
          <w:b/>
          <w:sz w:val="24"/>
          <w:szCs w:val="24"/>
        </w:rPr>
        <w:t>348</w:t>
      </w:r>
      <w:r w:rsidRPr="00054A0E">
        <w:rPr>
          <w:rFonts w:ascii="Book Antiqua" w:hAnsi="Book Antiqua"/>
          <w:sz w:val="24"/>
          <w:szCs w:val="24"/>
        </w:rPr>
        <w:t>: 183-191 [PMID: 16876123 DOI: 10.1016/j.bbrc.2006.07.047]</w:t>
      </w:r>
    </w:p>
    <w:p w14:paraId="4D17E77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51 </w:t>
      </w:r>
      <w:r w:rsidRPr="00054A0E">
        <w:rPr>
          <w:rFonts w:ascii="Book Antiqua" w:hAnsi="Book Antiqua"/>
          <w:b/>
          <w:sz w:val="24"/>
          <w:szCs w:val="24"/>
        </w:rPr>
        <w:t>Umemoto E</w:t>
      </w:r>
      <w:r w:rsidRPr="00054A0E">
        <w:rPr>
          <w:rFonts w:ascii="Book Antiqua" w:hAnsi="Book Antiqua"/>
          <w:sz w:val="24"/>
          <w:szCs w:val="24"/>
        </w:rPr>
        <w:t xml:space="preserve">, Tanaka T, Kanda H, Jin S, Tohya K, Otani K, Matsutani T, Matsumoto M, Ebisuno Y, Jang MH, Fukuda M, Hirata T, Miyasaka M. Nepmucin, a novel HEV sialomucin, mediates L-selectin-dependent lymphocyte rolling and promotes lymphocyte adhesion under flow. </w:t>
      </w:r>
      <w:r w:rsidRPr="00054A0E">
        <w:rPr>
          <w:rFonts w:ascii="Book Antiqua" w:hAnsi="Book Antiqua"/>
          <w:i/>
          <w:sz w:val="24"/>
          <w:szCs w:val="24"/>
        </w:rPr>
        <w:t>J Exp Med</w:t>
      </w:r>
      <w:r w:rsidRPr="00054A0E">
        <w:rPr>
          <w:rFonts w:ascii="Book Antiqua" w:hAnsi="Book Antiqua"/>
          <w:sz w:val="24"/>
          <w:szCs w:val="24"/>
        </w:rPr>
        <w:t xml:space="preserve"> 2006; </w:t>
      </w:r>
      <w:r w:rsidRPr="00054A0E">
        <w:rPr>
          <w:rFonts w:ascii="Book Antiqua" w:hAnsi="Book Antiqua"/>
          <w:b/>
          <w:sz w:val="24"/>
          <w:szCs w:val="24"/>
        </w:rPr>
        <w:t>203</w:t>
      </w:r>
      <w:r w:rsidRPr="00054A0E">
        <w:rPr>
          <w:rFonts w:ascii="Book Antiqua" w:hAnsi="Book Antiqua"/>
          <w:sz w:val="24"/>
          <w:szCs w:val="24"/>
        </w:rPr>
        <w:t>: 1603-1614 [PMID: 16754720 DOI: 10.1084/jem.20052543]</w:t>
      </w:r>
    </w:p>
    <w:p w14:paraId="291716C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52 </w:t>
      </w:r>
      <w:r w:rsidRPr="00054A0E">
        <w:rPr>
          <w:rFonts w:ascii="Book Antiqua" w:hAnsi="Book Antiqua"/>
          <w:b/>
          <w:sz w:val="24"/>
          <w:szCs w:val="24"/>
        </w:rPr>
        <w:t>Kooner JS</w:t>
      </w:r>
      <w:r w:rsidRPr="00054A0E">
        <w:rPr>
          <w:rFonts w:ascii="Book Antiqua" w:hAnsi="Book Antiqua"/>
          <w:sz w:val="24"/>
          <w:szCs w:val="24"/>
        </w:rPr>
        <w:t xml:space="preserve">, Saleheen D, Sim X, Sehmi J, Zhang W, Frossard P, Been LF, Chia KS, Dimas AS, Hassanali N, Jafar T, Jowett JB, Li X, Radha V, Rees SD, Takeuchi F, Young </w:t>
      </w:r>
      <w:r w:rsidRPr="00054A0E">
        <w:rPr>
          <w:rFonts w:ascii="Book Antiqua" w:hAnsi="Book Antiqua"/>
          <w:sz w:val="24"/>
          <w:szCs w:val="24"/>
        </w:rPr>
        <w:lastRenderedPageBreak/>
        <w:t xml:space="preserve">R, Aung T, Basit A, Chidambaram M, Das D, Grundberg E, Hedman AK, Hydrie ZI, Islam M, Khor CC, Kowlessur S, Kristensen MM, Liju S, Lim WY, Matthews DR, Liu J, Morris AP, Nica AC, Pinidiyapathirage JM, Prokopenko I, Rasheed A, Samuel M, Shah N, Shera AS, Small KS, Suo C, Wickremasinghe AR, Wong TY, Yang M, Zhang F; DIAGRAM; MuTHER, Abecasis GR, Barnett AH, Caulfield M, Deloukas P, Frayling TM, Froguel P, Kato N, Katulanda P, Kelly MA, Liang J, Mohan V, Sanghera DK, Scott J, Seielstad M, Zimmet PZ, Elliott P, Teo YY, McCarthy MI, Danesh J, Tai ES, Chambers JC. Genome-wide association study in individuals of South Asian ancestry identifies six new type 2 diabetes susceptibility loci. </w:t>
      </w:r>
      <w:r w:rsidRPr="00054A0E">
        <w:rPr>
          <w:rFonts w:ascii="Book Antiqua" w:hAnsi="Book Antiqua"/>
          <w:i/>
          <w:sz w:val="24"/>
          <w:szCs w:val="24"/>
        </w:rPr>
        <w:t>Nat Genet</w:t>
      </w:r>
      <w:r w:rsidRPr="00054A0E">
        <w:rPr>
          <w:rFonts w:ascii="Book Antiqua" w:hAnsi="Book Antiqua"/>
          <w:sz w:val="24"/>
          <w:szCs w:val="24"/>
        </w:rPr>
        <w:t xml:space="preserve"> 2011; </w:t>
      </w:r>
      <w:r w:rsidRPr="00054A0E">
        <w:rPr>
          <w:rFonts w:ascii="Book Antiqua" w:hAnsi="Book Antiqua"/>
          <w:b/>
          <w:sz w:val="24"/>
          <w:szCs w:val="24"/>
        </w:rPr>
        <w:t>43</w:t>
      </w:r>
      <w:r w:rsidRPr="00054A0E">
        <w:rPr>
          <w:rFonts w:ascii="Book Antiqua" w:hAnsi="Book Antiqua"/>
          <w:sz w:val="24"/>
          <w:szCs w:val="24"/>
        </w:rPr>
        <w:t>: 984-989 [PMID: 21874001 DOI: 10.1038/ng.921]</w:t>
      </w:r>
    </w:p>
    <w:p w14:paraId="75D258C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53 </w:t>
      </w:r>
      <w:r w:rsidRPr="00054A0E">
        <w:rPr>
          <w:rFonts w:ascii="Book Antiqua" w:hAnsi="Book Antiqua"/>
          <w:b/>
          <w:sz w:val="24"/>
          <w:szCs w:val="24"/>
        </w:rPr>
        <w:t>Teslovich TM</w:t>
      </w:r>
      <w:r w:rsidRPr="00054A0E">
        <w:rPr>
          <w:rFonts w:ascii="Book Antiqua" w:hAnsi="Book Antiqua"/>
          <w:sz w:val="24"/>
          <w:szCs w:val="24"/>
        </w:rPr>
        <w:t xml:space="preserve">,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Cho Y, Jin Go M, Jin Kim Y, Lee JY, Park T, Kim K, Sim X, Twee-Hee Ong R, Croteau-Chonka DC, Lange LA, Smith JD, Song K, Hua Zhao J, Yuan X, Luan J, Lamina C, Ziegler A, Zhang W, Zee RY, Wright AF, Witteman JC, Wilson JF, Willemsen G, 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König IR, Khaw KT, Kaprio J, Kaplan LM, Johansson A, Jarvelin MR, Janssens AC, Ingelsson E, Igl W, Kees Hovingh G, Hottenga JJ, Hofman A, Hicks AA, Hengstenberg C, Heid IM, Hayward C, Havulinna AS, Hastie ND, Harris TB, Haritunians T, Hall AS, Gyllensten U, Guiducci C, Groop LC, Gonzalez E, Gieger C, Freimer NB, Ferrucci L, Erdmann J, Elliott P, Ejebe KG, Döring A, Dominiczak AF, Demissie S, Deloukas P, de Geus EJ, de Faire U, Crawford G, Collins </w:t>
      </w:r>
      <w:r w:rsidRPr="00054A0E">
        <w:rPr>
          <w:rFonts w:ascii="Book Antiqua" w:hAnsi="Book Antiqua"/>
          <w:sz w:val="24"/>
          <w:szCs w:val="24"/>
        </w:rPr>
        <w:lastRenderedPageBreak/>
        <w:t xml:space="preserve">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Biological, clinical and population relevance of 95 loci for blood lipids. </w:t>
      </w:r>
      <w:r w:rsidRPr="00054A0E">
        <w:rPr>
          <w:rFonts w:ascii="Book Antiqua" w:hAnsi="Book Antiqua"/>
          <w:i/>
          <w:sz w:val="24"/>
          <w:szCs w:val="24"/>
        </w:rPr>
        <w:t>Nature</w:t>
      </w:r>
      <w:r w:rsidRPr="00054A0E">
        <w:rPr>
          <w:rFonts w:ascii="Book Antiqua" w:hAnsi="Book Antiqua"/>
          <w:sz w:val="24"/>
          <w:szCs w:val="24"/>
        </w:rPr>
        <w:t xml:space="preserve"> 2010; </w:t>
      </w:r>
      <w:r w:rsidRPr="00054A0E">
        <w:rPr>
          <w:rFonts w:ascii="Book Antiqua" w:hAnsi="Book Antiqua"/>
          <w:b/>
          <w:sz w:val="24"/>
          <w:szCs w:val="24"/>
        </w:rPr>
        <w:t>466</w:t>
      </w:r>
      <w:r w:rsidRPr="00054A0E">
        <w:rPr>
          <w:rFonts w:ascii="Book Antiqua" w:hAnsi="Book Antiqua"/>
          <w:sz w:val="24"/>
          <w:szCs w:val="24"/>
        </w:rPr>
        <w:t>: 707-713 [PMID: 20686565 DOI: 10.1038/nature09270]</w:t>
      </w:r>
    </w:p>
    <w:p w14:paraId="21A51E9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54 </w:t>
      </w:r>
      <w:r w:rsidRPr="00054A0E">
        <w:rPr>
          <w:rFonts w:ascii="Book Antiqua" w:hAnsi="Book Antiqua"/>
          <w:b/>
          <w:sz w:val="24"/>
          <w:szCs w:val="24"/>
        </w:rPr>
        <w:t>Dehghan A</w:t>
      </w:r>
      <w:r w:rsidRPr="00054A0E">
        <w:rPr>
          <w:rFonts w:ascii="Book Antiqua" w:hAnsi="Book Antiqua"/>
          <w:sz w:val="24"/>
          <w:szCs w:val="24"/>
        </w:rPr>
        <w:t xml:space="preserve">, Dupuis J, Barbalic M, Bis JC, Eiriksdottir G, Lu C, Pellikka N, Wallaschofski H, Kettunen J, Henneman P, Baumert J, Strachan DP, Fuchsberger C, Vitart V, Wilson JF, Paré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Völzke H, Parker AN, Aspelund T, Bates D, Young L, Tsui K, Siscovick DS, Guo X, Rotter JI, Uda M, Schlessinger D, Rudan I, Hicks AA, Penninx BW, Thorand B, Gieger C, Coresh J, Willemsen G, Harris TB, Uitterlinden AG, Järvelin MR, Rice K, Radke D, Salomaa V, Willems van Dijk K, Boerwinkle E, Vasan RS, Ferrucci L, Gibson QD, Bandinelli S, Snieder H, Boomsma DI, Xiao X, Campbell H, Hayward C, Pramstaller PP, van Duijn CM, Peltonen L, Psaty BM, Gudnason V, Ridker PM, Homuth G, Koenig W, Ballantyne CM, Witteman JC, Benjamin EJ, Perola M, Chasman DI. Meta-analysis of genome-wide association studies in &amp;gt;80 000 subjects identifies multiple loci for C-reactive protein levels. </w:t>
      </w:r>
      <w:r w:rsidRPr="00054A0E">
        <w:rPr>
          <w:rFonts w:ascii="Book Antiqua" w:hAnsi="Book Antiqua"/>
          <w:i/>
          <w:sz w:val="24"/>
          <w:szCs w:val="24"/>
        </w:rPr>
        <w:t>Circulation</w:t>
      </w:r>
      <w:r w:rsidRPr="00054A0E">
        <w:rPr>
          <w:rFonts w:ascii="Book Antiqua" w:hAnsi="Book Antiqua"/>
          <w:sz w:val="24"/>
          <w:szCs w:val="24"/>
        </w:rPr>
        <w:t xml:space="preserve"> 2011; </w:t>
      </w:r>
      <w:r w:rsidRPr="00054A0E">
        <w:rPr>
          <w:rFonts w:ascii="Book Antiqua" w:hAnsi="Book Antiqua"/>
          <w:b/>
          <w:sz w:val="24"/>
          <w:szCs w:val="24"/>
        </w:rPr>
        <w:t>123</w:t>
      </w:r>
      <w:r w:rsidRPr="00054A0E">
        <w:rPr>
          <w:rFonts w:ascii="Book Antiqua" w:hAnsi="Book Antiqua"/>
          <w:sz w:val="24"/>
          <w:szCs w:val="24"/>
        </w:rPr>
        <w:t>: 731-738 [PMID: 21300955 DOI: 10.1161/CIRCULATIONAHA.110.948570]</w:t>
      </w:r>
    </w:p>
    <w:p w14:paraId="56926AC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55 </w:t>
      </w:r>
      <w:r w:rsidRPr="00054A0E">
        <w:rPr>
          <w:rFonts w:ascii="Book Antiqua" w:hAnsi="Book Antiqua"/>
          <w:b/>
          <w:sz w:val="24"/>
          <w:szCs w:val="24"/>
        </w:rPr>
        <w:t>Fuchsberger C</w:t>
      </w:r>
      <w:r w:rsidRPr="00054A0E">
        <w:rPr>
          <w:rFonts w:ascii="Book Antiqua" w:hAnsi="Book Antiqua"/>
          <w:sz w:val="24"/>
          <w:szCs w:val="24"/>
        </w:rPr>
        <w:t xml:space="preserve">, Flannick J, Teslovich TM, Mahajan A, Agarwala V, Gaulton KJ, Ma C, Fontanillas P, Moutsianas L, McCarthy DJ, Rivas MA, Perry JRB, Sim X, Blackwell TW, Robertson NR, Rayner NW, Cingolani P, Locke AE, Tajes JF, Highland HM, </w:t>
      </w:r>
      <w:r w:rsidRPr="00054A0E">
        <w:rPr>
          <w:rFonts w:ascii="Book Antiqua" w:hAnsi="Book Antiqua"/>
          <w:sz w:val="24"/>
          <w:szCs w:val="24"/>
        </w:rPr>
        <w:lastRenderedPageBreak/>
        <w:t xml:space="preserve">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van der Schouw YT, Loh M, Musani SK, Puppala S, Scott WR, Yengo L, Tan ST, Taylor HA Jr, Thameem F, Wilson G Sr,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Rolandsson O, Swift A, 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JCN,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Mägi R, Lind L, Farjoun Y, Owen KR, Gloyn AL, Strauch K, </w:t>
      </w:r>
      <w:r w:rsidRPr="00054A0E">
        <w:rPr>
          <w:rFonts w:ascii="Book Antiqua" w:hAnsi="Book Antiqua"/>
          <w:sz w:val="24"/>
          <w:szCs w:val="24"/>
        </w:rPr>
        <w:lastRenderedPageBreak/>
        <w:t xml:space="preserve">Tuomi T, Kooner JS, Lee JY, Park T, Donnelly P, Morris AD, Hattersley AT, Bowden DW, Collins FS, Atzmon G, Chambers JC, Spector TD, Laakso M, Strom TM, Bell GI, Blangero J, Duggirala R, Tai ES, McVean G, Hanis CL, Wilson JG, Seielstad M, Frayling TM, Meigs JB, Cox NJ, Sladek R, Lander ES, Gabriel S, Burtt NP, Mohlke KL, Meitinger T, Groop L, Abecasis G, Florez JC, Scott LJ, Morris AP, Kang HM, Boehnke M, Altshuler D, McCarthy MI. The genetic architecture of type 2 diabetes. </w:t>
      </w:r>
      <w:r w:rsidRPr="00054A0E">
        <w:rPr>
          <w:rFonts w:ascii="Book Antiqua" w:hAnsi="Book Antiqua"/>
          <w:i/>
          <w:sz w:val="24"/>
          <w:szCs w:val="24"/>
        </w:rPr>
        <w:t>Nature</w:t>
      </w:r>
      <w:r w:rsidRPr="00054A0E">
        <w:rPr>
          <w:rFonts w:ascii="Book Antiqua" w:hAnsi="Book Antiqua"/>
          <w:sz w:val="24"/>
          <w:szCs w:val="24"/>
        </w:rPr>
        <w:t xml:space="preserve"> 2016; </w:t>
      </w:r>
      <w:r w:rsidRPr="00054A0E">
        <w:rPr>
          <w:rFonts w:ascii="Book Antiqua" w:hAnsi="Book Antiqua"/>
          <w:b/>
          <w:sz w:val="24"/>
          <w:szCs w:val="24"/>
        </w:rPr>
        <w:t>536</w:t>
      </w:r>
      <w:r w:rsidRPr="00054A0E">
        <w:rPr>
          <w:rFonts w:ascii="Book Antiqua" w:hAnsi="Book Antiqua"/>
          <w:sz w:val="24"/>
          <w:szCs w:val="24"/>
        </w:rPr>
        <w:t>: 41-47 [PMID: 27398621 DOI: 10.1038/nature18642]</w:t>
      </w:r>
    </w:p>
    <w:p w14:paraId="4A1746C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56 </w:t>
      </w:r>
      <w:r w:rsidRPr="00054A0E">
        <w:rPr>
          <w:rFonts w:ascii="Book Antiqua" w:hAnsi="Book Antiqua"/>
          <w:b/>
          <w:sz w:val="24"/>
          <w:szCs w:val="24"/>
        </w:rPr>
        <w:t>Collombat P</w:t>
      </w:r>
      <w:r w:rsidRPr="00054A0E">
        <w:rPr>
          <w:rFonts w:ascii="Book Antiqua" w:hAnsi="Book Antiqua"/>
          <w:sz w:val="24"/>
          <w:szCs w:val="24"/>
        </w:rPr>
        <w:t xml:space="preserve">, Mansouri A, Hecksher-Sorensen J, Serup P, Krull J, Gradwohl G, Gruss P. Opposing actions of Arx and Pax4 in endocrine pancreas development. </w:t>
      </w:r>
      <w:r w:rsidRPr="00054A0E">
        <w:rPr>
          <w:rFonts w:ascii="Book Antiqua" w:hAnsi="Book Antiqua"/>
          <w:i/>
          <w:sz w:val="24"/>
          <w:szCs w:val="24"/>
        </w:rPr>
        <w:t>Genes Dev</w:t>
      </w:r>
      <w:r w:rsidRPr="00054A0E">
        <w:rPr>
          <w:rFonts w:ascii="Book Antiqua" w:hAnsi="Book Antiqua"/>
          <w:sz w:val="24"/>
          <w:szCs w:val="24"/>
        </w:rPr>
        <w:t xml:space="preserve"> 2003; </w:t>
      </w:r>
      <w:r w:rsidRPr="00054A0E">
        <w:rPr>
          <w:rFonts w:ascii="Book Antiqua" w:hAnsi="Book Antiqua"/>
          <w:b/>
          <w:sz w:val="24"/>
          <w:szCs w:val="24"/>
        </w:rPr>
        <w:t>17</w:t>
      </w:r>
      <w:r w:rsidRPr="00054A0E">
        <w:rPr>
          <w:rFonts w:ascii="Book Antiqua" w:hAnsi="Book Antiqua"/>
          <w:sz w:val="24"/>
          <w:szCs w:val="24"/>
        </w:rPr>
        <w:t>: 2591-2603 [PMID: 14561778 DOI: 10.1101/gad.269003]</w:t>
      </w:r>
    </w:p>
    <w:p w14:paraId="7A03557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57 </w:t>
      </w:r>
      <w:r w:rsidRPr="00054A0E">
        <w:rPr>
          <w:rFonts w:ascii="Book Antiqua" w:hAnsi="Book Antiqua"/>
          <w:b/>
          <w:sz w:val="24"/>
          <w:szCs w:val="24"/>
        </w:rPr>
        <w:t>Kooptiwut S</w:t>
      </w:r>
      <w:r w:rsidRPr="00054A0E">
        <w:rPr>
          <w:rFonts w:ascii="Book Antiqua" w:hAnsi="Book Antiqua"/>
          <w:sz w:val="24"/>
          <w:szCs w:val="24"/>
        </w:rPr>
        <w:t xml:space="preserve">, Plengvidhya N, Chukijrungroat T, Sujjitjoon J, Semprasert N, Furuta H, Yenchitsomanus PT. Defective PAX4 R192H transcriptional repressor activities associated with maturity onset diabetes of the young and early onset-age of type 2 diabetes. </w:t>
      </w:r>
      <w:r w:rsidRPr="00054A0E">
        <w:rPr>
          <w:rFonts w:ascii="Book Antiqua" w:hAnsi="Book Antiqua"/>
          <w:i/>
          <w:sz w:val="24"/>
          <w:szCs w:val="24"/>
        </w:rPr>
        <w:t>J Diabetes Complications</w:t>
      </w:r>
      <w:r w:rsidRPr="00054A0E">
        <w:rPr>
          <w:rFonts w:ascii="Book Antiqua" w:hAnsi="Book Antiqua"/>
          <w:sz w:val="24"/>
          <w:szCs w:val="24"/>
        </w:rPr>
        <w:t xml:space="preserve"> 2012; </w:t>
      </w:r>
      <w:r w:rsidRPr="00054A0E">
        <w:rPr>
          <w:rFonts w:ascii="Book Antiqua" w:hAnsi="Book Antiqua"/>
          <w:b/>
          <w:sz w:val="24"/>
          <w:szCs w:val="24"/>
        </w:rPr>
        <w:t>26</w:t>
      </w:r>
      <w:r w:rsidRPr="00054A0E">
        <w:rPr>
          <w:rFonts w:ascii="Book Antiqua" w:hAnsi="Book Antiqua"/>
          <w:sz w:val="24"/>
          <w:szCs w:val="24"/>
        </w:rPr>
        <w:t>: 343-347 [PMID: 22521316 DOI: 10.1016/j.jdiacomp.2012.03.025]</w:t>
      </w:r>
    </w:p>
    <w:p w14:paraId="6CF2F59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58 </w:t>
      </w:r>
      <w:r w:rsidRPr="00054A0E">
        <w:rPr>
          <w:rFonts w:ascii="Book Antiqua" w:hAnsi="Book Antiqua"/>
          <w:b/>
          <w:sz w:val="24"/>
          <w:szCs w:val="24"/>
        </w:rPr>
        <w:t>Nicolae DL</w:t>
      </w:r>
      <w:r w:rsidRPr="00054A0E">
        <w:rPr>
          <w:rFonts w:ascii="Book Antiqua" w:hAnsi="Book Antiqua"/>
          <w:sz w:val="24"/>
          <w:szCs w:val="24"/>
        </w:rPr>
        <w:t xml:space="preserve">. Association Tests for Rare Variants. </w:t>
      </w:r>
      <w:r w:rsidRPr="00054A0E">
        <w:rPr>
          <w:rFonts w:ascii="Book Antiqua" w:hAnsi="Book Antiqua"/>
          <w:i/>
          <w:sz w:val="24"/>
          <w:szCs w:val="24"/>
        </w:rPr>
        <w:t>Annu Rev Genomics Hum Genet</w:t>
      </w:r>
      <w:r w:rsidRPr="00054A0E">
        <w:rPr>
          <w:rFonts w:ascii="Book Antiqua" w:hAnsi="Book Antiqua"/>
          <w:sz w:val="24"/>
          <w:szCs w:val="24"/>
        </w:rPr>
        <w:t xml:space="preserve"> 2016; </w:t>
      </w:r>
      <w:r w:rsidRPr="00054A0E">
        <w:rPr>
          <w:rFonts w:ascii="Book Antiqua" w:hAnsi="Book Antiqua"/>
          <w:b/>
          <w:sz w:val="24"/>
          <w:szCs w:val="24"/>
        </w:rPr>
        <w:t>17</w:t>
      </w:r>
      <w:r w:rsidRPr="00054A0E">
        <w:rPr>
          <w:rFonts w:ascii="Book Antiqua" w:hAnsi="Book Antiqua"/>
          <w:sz w:val="24"/>
          <w:szCs w:val="24"/>
        </w:rPr>
        <w:t>: 117-130 [PMID: 27147090 DOI: 10.1146/annurev-genom-083115-022609]</w:t>
      </w:r>
    </w:p>
    <w:p w14:paraId="3FC4C52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59 </w:t>
      </w:r>
      <w:r w:rsidRPr="00054A0E">
        <w:rPr>
          <w:rFonts w:ascii="Book Antiqua" w:hAnsi="Book Antiqua"/>
          <w:b/>
          <w:sz w:val="24"/>
          <w:szCs w:val="24"/>
        </w:rPr>
        <w:t>Flannick J</w:t>
      </w:r>
      <w:r w:rsidRPr="00054A0E">
        <w:rPr>
          <w:rFonts w:ascii="Book Antiqua" w:hAnsi="Book Antiqua"/>
          <w:sz w:val="24"/>
          <w:szCs w:val="24"/>
        </w:rPr>
        <w:t xml:space="preserve">, Fuchsberger C, Mahajan A, Teslovich TM, Agarwala V, Gaulton KJ, Caulkins L, Koesterer R, Ma C, Moutsianas L, McCarthy DJ, Rivas MA, Perry JRB, Sim X, Blackwell TW, Robertson NR, Rayner NW, Cingolani P, Locke AE, Tajes JF, Highland HM, 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w:t>
      </w:r>
      <w:r w:rsidRPr="00054A0E">
        <w:rPr>
          <w:rFonts w:ascii="Book Antiqua" w:hAnsi="Book Antiqua"/>
          <w:sz w:val="24"/>
          <w:szCs w:val="24"/>
        </w:rPr>
        <w:lastRenderedPageBreak/>
        <w:t xml:space="preserve">Fowler SP, Freedman BI, Griswold M, Hale DE, Hicks PJ, Khor CC, Kumar S, Lehne B, Thuillier D, Lim WY, Liu J, Loh M, Musani SK, Puppala S, Scott WR, Yengo L, Tan ST, Taylor HA, Thameem F, Wilson G,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Rolandsson O, Swift A, 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Franks PW, Buck G, Trakalo J, Buck D, Prokopenko I, Mägi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Mohlke KL, Meitinger T, Groop L, Abecasis G, Scott LJ, Morris AP, Kang HM, Altshuler D, Burtt NP, Florez JC, Boehnke M, McCarthy MI. Sequence data and association statistics from 12,940 type 2 diabetes cases and controls. </w:t>
      </w:r>
      <w:r w:rsidRPr="00054A0E">
        <w:rPr>
          <w:rFonts w:ascii="Book Antiqua" w:hAnsi="Book Antiqua"/>
          <w:i/>
          <w:sz w:val="24"/>
          <w:szCs w:val="24"/>
        </w:rPr>
        <w:t>Sci Data</w:t>
      </w:r>
      <w:r w:rsidRPr="00054A0E">
        <w:rPr>
          <w:rFonts w:ascii="Book Antiqua" w:hAnsi="Book Antiqua"/>
          <w:sz w:val="24"/>
          <w:szCs w:val="24"/>
        </w:rPr>
        <w:t xml:space="preserve"> 2017; </w:t>
      </w:r>
      <w:r w:rsidRPr="00054A0E">
        <w:rPr>
          <w:rFonts w:ascii="Book Antiqua" w:hAnsi="Book Antiqua"/>
          <w:b/>
          <w:sz w:val="24"/>
          <w:szCs w:val="24"/>
        </w:rPr>
        <w:t>4</w:t>
      </w:r>
      <w:r w:rsidRPr="00054A0E">
        <w:rPr>
          <w:rFonts w:ascii="Book Antiqua" w:hAnsi="Book Antiqua"/>
          <w:sz w:val="24"/>
          <w:szCs w:val="24"/>
        </w:rPr>
        <w:t>: 170179 [PMID: 29257133 DOI: 10.1038/sdata.2017.179]</w:t>
      </w:r>
    </w:p>
    <w:p w14:paraId="7ACB2EAB" w14:textId="1AE43804"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60 </w:t>
      </w:r>
      <w:r w:rsidRPr="00054A0E">
        <w:rPr>
          <w:rFonts w:ascii="Book Antiqua" w:hAnsi="Book Antiqua"/>
          <w:b/>
          <w:sz w:val="24"/>
          <w:szCs w:val="24"/>
        </w:rPr>
        <w:t>Flannick JA</w:t>
      </w:r>
      <w:r w:rsidRPr="00004DFD">
        <w:rPr>
          <w:rFonts w:ascii="Book Antiqua" w:hAnsi="Book Antiqua"/>
          <w:sz w:val="24"/>
          <w:szCs w:val="24"/>
        </w:rPr>
        <w:t xml:space="preserve">, </w:t>
      </w:r>
      <w:r w:rsidRPr="00054A0E">
        <w:rPr>
          <w:rFonts w:ascii="Book Antiqua" w:hAnsi="Book Antiqua"/>
          <w:sz w:val="24"/>
          <w:szCs w:val="24"/>
        </w:rPr>
        <w:t>Mercader JM, Fuchsberger C, Udler MS, Mahajan A, Wessel J, Altshuler D, Burtt NP, Scott L, Morris A, Florez J. Genetic discovery and translational decision support from exome sequencing of 20,791 type 2 diabetes cases and 24,440 controls from five ancestries. 2018 Preprint. Available from: BioRxiv:371450 [DOI: 10.1101/371450]</w:t>
      </w:r>
    </w:p>
    <w:p w14:paraId="5FCA525A" w14:textId="54469963"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61 </w:t>
      </w:r>
      <w:r w:rsidRPr="00054A0E">
        <w:rPr>
          <w:rFonts w:ascii="Book Antiqua" w:hAnsi="Book Antiqua"/>
          <w:b/>
          <w:sz w:val="24"/>
          <w:szCs w:val="24"/>
        </w:rPr>
        <w:t>Barbitoff YA</w:t>
      </w:r>
      <w:r w:rsidRPr="00054A0E">
        <w:rPr>
          <w:rFonts w:ascii="Book Antiqua" w:hAnsi="Book Antiqua"/>
          <w:sz w:val="24"/>
          <w:szCs w:val="24"/>
        </w:rPr>
        <w:t xml:space="preserve">, Serebryakova EA, Nasykhova YA, Predeus AV, Polev DE, Shuvalova AR, Vasiliev EV, Urazov SP, Sarana AM, Scherbak SG, Gladyshev DV, Pokrovskaya MS, Sivakova OV, Meshkov AN, Drapkina OM, Glotov OS, Glotov AS. Identification of Novel Candidate Markers of Type 2 Diabetes and Obesity in Russia by Exome Sequencing with a Limited Sample Size. </w:t>
      </w:r>
      <w:r w:rsidRPr="00054A0E">
        <w:rPr>
          <w:rFonts w:ascii="Book Antiqua" w:hAnsi="Book Antiqua"/>
          <w:i/>
          <w:sz w:val="24"/>
          <w:szCs w:val="24"/>
        </w:rPr>
        <w:t>Genes (Basel)</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xml:space="preserve">: </w:t>
      </w:r>
      <w:r w:rsidR="0029219B" w:rsidRPr="0029219B">
        <w:rPr>
          <w:rFonts w:ascii="Book Antiqua" w:hAnsi="Book Antiqua"/>
          <w:sz w:val="24"/>
          <w:szCs w:val="24"/>
        </w:rPr>
        <w:t>pii: E415</w:t>
      </w:r>
      <w:r w:rsidRPr="00054A0E">
        <w:rPr>
          <w:rFonts w:ascii="Book Antiqua" w:hAnsi="Book Antiqua"/>
          <w:sz w:val="24"/>
          <w:szCs w:val="24"/>
        </w:rPr>
        <w:t xml:space="preserve"> [PMID: 30126146 DOI: 10.3390/genes9080415]</w:t>
      </w:r>
    </w:p>
    <w:p w14:paraId="6FC626D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62 </w:t>
      </w:r>
      <w:r w:rsidRPr="00054A0E">
        <w:rPr>
          <w:rFonts w:ascii="Book Antiqua" w:hAnsi="Book Antiqua"/>
          <w:b/>
          <w:sz w:val="24"/>
          <w:szCs w:val="24"/>
        </w:rPr>
        <w:t>Jun G</w:t>
      </w:r>
      <w:r w:rsidRPr="00054A0E">
        <w:rPr>
          <w:rFonts w:ascii="Book Antiqua" w:hAnsi="Book Antiqua"/>
          <w:sz w:val="24"/>
          <w:szCs w:val="24"/>
        </w:rPr>
        <w:t xml:space="preserve">, Manning A, Almeida M, Zawistowski M, Wood AR, Teslovich TM, Fuchsberger C, Feng S, Cingolani P, Gaulton KJ, Dyer T, Blackwell TW, Chen H, Chines PS, Choi S, Churchhouse C, Fontanillas P, King R, Lee S, Lincoln SE, Trubetskoy V, DePristo M, Fingerlin T, Grossman R, Grundstad J, Heath A, Kim J, Kim YJ, Laramie J, Lee J, Li H, Liu X, Livne O, Locke AE, Maller J, Mazur A, Morris AP, Pollin TI, Ragona D, Reich D, Rivas MA, Scott LJ, Sim X, Tearle RG, Teo YY, Williams AL, Zöllner S, Curran JE, Peralta J, Akolkar B, Bell GI, Burtt NP, Cox NJ, Florez JC, Hanis CL, McKeon C, Mohlke KL, Seielstad M, Wilson JG, Atzmon G, Below JE, Dupuis J, Nicolae DL, Lehman D, Park T, Won S, Sladek R, Altshuler D, McCarthy MI, Duggirala R, Boehnke M, Frayling TM, Abecasis GR, Blangero J. Evaluating the contribution of rare variants to type 2 diabetes and related traits using pedigrees. </w:t>
      </w:r>
      <w:r w:rsidRPr="00054A0E">
        <w:rPr>
          <w:rFonts w:ascii="Book Antiqua" w:hAnsi="Book Antiqua"/>
          <w:i/>
          <w:sz w:val="24"/>
          <w:szCs w:val="24"/>
        </w:rPr>
        <w:t>Proc Natl Acad Sci U S A</w:t>
      </w:r>
      <w:r w:rsidRPr="00054A0E">
        <w:rPr>
          <w:rFonts w:ascii="Book Antiqua" w:hAnsi="Book Antiqua"/>
          <w:sz w:val="24"/>
          <w:szCs w:val="24"/>
        </w:rPr>
        <w:t xml:space="preserve"> 2018; </w:t>
      </w:r>
      <w:r w:rsidRPr="00054A0E">
        <w:rPr>
          <w:rFonts w:ascii="Book Antiqua" w:hAnsi="Book Antiqua"/>
          <w:b/>
          <w:sz w:val="24"/>
          <w:szCs w:val="24"/>
        </w:rPr>
        <w:t>115</w:t>
      </w:r>
      <w:r w:rsidRPr="00054A0E">
        <w:rPr>
          <w:rFonts w:ascii="Book Antiqua" w:hAnsi="Book Antiqua"/>
          <w:sz w:val="24"/>
          <w:szCs w:val="24"/>
        </w:rPr>
        <w:t>: 379-384 [PMID: 29279374 DOI: 10.1073/pnas.1705859115]</w:t>
      </w:r>
    </w:p>
    <w:p w14:paraId="1FCC6E9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63 </w:t>
      </w:r>
      <w:r w:rsidRPr="00054A0E">
        <w:rPr>
          <w:rFonts w:ascii="Book Antiqua" w:hAnsi="Book Antiqua"/>
          <w:b/>
          <w:sz w:val="24"/>
          <w:szCs w:val="24"/>
        </w:rPr>
        <w:t>Dorajoo R</w:t>
      </w:r>
      <w:r w:rsidRPr="00054A0E">
        <w:rPr>
          <w:rFonts w:ascii="Book Antiqua" w:hAnsi="Book Antiqua"/>
          <w:sz w:val="24"/>
          <w:szCs w:val="24"/>
        </w:rPr>
        <w:t xml:space="preserve">, Liu J, Boehm BO. Genetics of Type 2 Diabetes and Clinical Utility. </w:t>
      </w:r>
      <w:r w:rsidRPr="00054A0E">
        <w:rPr>
          <w:rFonts w:ascii="Book Antiqua" w:hAnsi="Book Antiqua"/>
          <w:i/>
          <w:sz w:val="24"/>
          <w:szCs w:val="24"/>
        </w:rPr>
        <w:t>Genes (Basel)</w:t>
      </w:r>
      <w:r w:rsidRPr="00054A0E">
        <w:rPr>
          <w:rFonts w:ascii="Book Antiqua" w:hAnsi="Book Antiqua"/>
          <w:sz w:val="24"/>
          <w:szCs w:val="24"/>
        </w:rPr>
        <w:t xml:space="preserve"> 2015; </w:t>
      </w:r>
      <w:r w:rsidRPr="00054A0E">
        <w:rPr>
          <w:rFonts w:ascii="Book Antiqua" w:hAnsi="Book Antiqua"/>
          <w:b/>
          <w:sz w:val="24"/>
          <w:szCs w:val="24"/>
        </w:rPr>
        <w:t>6</w:t>
      </w:r>
      <w:r w:rsidRPr="00054A0E">
        <w:rPr>
          <w:rFonts w:ascii="Book Antiqua" w:hAnsi="Book Antiqua"/>
          <w:sz w:val="24"/>
          <w:szCs w:val="24"/>
        </w:rPr>
        <w:t>: 372-384 [PMID: 26110315 DOI: 10.3390/genes6020372]</w:t>
      </w:r>
    </w:p>
    <w:p w14:paraId="00BAFC69" w14:textId="4045A395"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64 </w:t>
      </w:r>
      <w:r w:rsidRPr="00054A0E">
        <w:rPr>
          <w:rFonts w:ascii="Book Antiqua" w:hAnsi="Book Antiqua"/>
          <w:b/>
          <w:sz w:val="24"/>
          <w:szCs w:val="24"/>
        </w:rPr>
        <w:t>Barbitoff YA</w:t>
      </w:r>
      <w:r w:rsidRPr="00004DFD">
        <w:rPr>
          <w:rFonts w:ascii="Book Antiqua" w:hAnsi="Book Antiqua"/>
          <w:sz w:val="24"/>
          <w:szCs w:val="24"/>
        </w:rPr>
        <w:t>,</w:t>
      </w:r>
      <w:r w:rsidRPr="00054A0E">
        <w:rPr>
          <w:rFonts w:ascii="Book Antiqua" w:hAnsi="Book Antiqua"/>
          <w:sz w:val="24"/>
          <w:szCs w:val="24"/>
        </w:rPr>
        <w:t xml:space="preserve"> Polev DE, Glotov AS, Serebryakova EA, Shcherbakova IV, Kiselev AM, Kostareva AA, Glotov OS, Predeus AV. Systematic dissection of biases in whole-exome and whole-genome sequencing reveals major determinants of coding sequence coverage. 2018 Preprint. Available from: BioRxiv:387639 [DOI: 10.1101/387639]</w:t>
      </w:r>
    </w:p>
    <w:p w14:paraId="2071F70D" w14:textId="2191EC2B"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65 </w:t>
      </w:r>
      <w:r w:rsidRPr="00054A0E">
        <w:rPr>
          <w:rFonts w:ascii="Book Antiqua" w:hAnsi="Book Antiqua"/>
          <w:b/>
          <w:sz w:val="24"/>
          <w:szCs w:val="24"/>
        </w:rPr>
        <w:t>Ebbert MT</w:t>
      </w:r>
      <w:r w:rsidRPr="0006668B">
        <w:rPr>
          <w:rFonts w:ascii="Book Antiqua" w:hAnsi="Book Antiqua"/>
          <w:sz w:val="24"/>
          <w:szCs w:val="24"/>
        </w:rPr>
        <w:t xml:space="preserve">, </w:t>
      </w:r>
      <w:r w:rsidRPr="00054A0E">
        <w:rPr>
          <w:rFonts w:ascii="Book Antiqua" w:hAnsi="Book Antiqua"/>
          <w:sz w:val="24"/>
          <w:szCs w:val="24"/>
        </w:rPr>
        <w:t xml:space="preserve">Jensen TD, Jansen-West K, Sens JP, Reddy JS, Ridge PG, Kauwe JS, Belzil V, Pregent L, Carrasquillo MM, Keene D. Systematic analysis of dark and camouflaged genes: disease-relevant genes hiding in plain sight. </w:t>
      </w:r>
      <w:r w:rsidRPr="0006668B">
        <w:rPr>
          <w:rFonts w:ascii="Book Antiqua" w:hAnsi="Book Antiqua"/>
          <w:i/>
          <w:sz w:val="24"/>
          <w:szCs w:val="24"/>
        </w:rPr>
        <w:t>Genome Biol</w:t>
      </w:r>
      <w:r w:rsidRPr="00054A0E">
        <w:rPr>
          <w:rFonts w:ascii="Book Antiqua" w:hAnsi="Book Antiqua"/>
          <w:sz w:val="24"/>
          <w:szCs w:val="24"/>
        </w:rPr>
        <w:t xml:space="preserve"> 2019; </w:t>
      </w:r>
      <w:r w:rsidRPr="0006668B">
        <w:rPr>
          <w:rFonts w:ascii="Book Antiqua" w:hAnsi="Book Antiqua"/>
          <w:b/>
          <w:sz w:val="24"/>
          <w:szCs w:val="24"/>
        </w:rPr>
        <w:t>20</w:t>
      </w:r>
      <w:r w:rsidRPr="00054A0E">
        <w:rPr>
          <w:rFonts w:ascii="Book Antiqua" w:hAnsi="Book Antiqua"/>
          <w:sz w:val="24"/>
          <w:szCs w:val="24"/>
        </w:rPr>
        <w:t>: 97 [DOI: 10.1186/s13059-019-1707-2]</w:t>
      </w:r>
    </w:p>
    <w:p w14:paraId="4F1F7C5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66 </w:t>
      </w:r>
      <w:r w:rsidRPr="00054A0E">
        <w:rPr>
          <w:rFonts w:ascii="Book Antiqua" w:hAnsi="Book Antiqua"/>
          <w:b/>
          <w:sz w:val="24"/>
          <w:szCs w:val="24"/>
        </w:rPr>
        <w:t>Sedlazeck FJ</w:t>
      </w:r>
      <w:r w:rsidRPr="00054A0E">
        <w:rPr>
          <w:rFonts w:ascii="Book Antiqua" w:hAnsi="Book Antiqua"/>
          <w:sz w:val="24"/>
          <w:szCs w:val="24"/>
        </w:rPr>
        <w:t xml:space="preserve">, Lee H, Darby CA, Schatz MC. Piercing the dark matter: bioinformatics of long-range sequencing and mapping. </w:t>
      </w:r>
      <w:r w:rsidRPr="00054A0E">
        <w:rPr>
          <w:rFonts w:ascii="Book Antiqua" w:hAnsi="Book Antiqua"/>
          <w:i/>
          <w:sz w:val="24"/>
          <w:szCs w:val="24"/>
        </w:rPr>
        <w:t>Nat Rev Genet</w:t>
      </w:r>
      <w:r w:rsidRPr="00054A0E">
        <w:rPr>
          <w:rFonts w:ascii="Book Antiqua" w:hAnsi="Book Antiqua"/>
          <w:sz w:val="24"/>
          <w:szCs w:val="24"/>
        </w:rPr>
        <w:t xml:space="preserve"> 2018; </w:t>
      </w:r>
      <w:r w:rsidRPr="00054A0E">
        <w:rPr>
          <w:rFonts w:ascii="Book Antiqua" w:hAnsi="Book Antiqua"/>
          <w:b/>
          <w:sz w:val="24"/>
          <w:szCs w:val="24"/>
        </w:rPr>
        <w:t>19</w:t>
      </w:r>
      <w:r w:rsidRPr="00054A0E">
        <w:rPr>
          <w:rFonts w:ascii="Book Antiqua" w:hAnsi="Book Antiqua"/>
          <w:sz w:val="24"/>
          <w:szCs w:val="24"/>
        </w:rPr>
        <w:t>: 329-346 [PMID: 29599501 DOI: 10.1038/s41576-018-0003-4]</w:t>
      </w:r>
    </w:p>
    <w:p w14:paraId="05F14FE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67 </w:t>
      </w:r>
      <w:r w:rsidRPr="00054A0E">
        <w:rPr>
          <w:rFonts w:ascii="Book Antiqua" w:hAnsi="Book Antiqua"/>
          <w:b/>
          <w:sz w:val="24"/>
          <w:szCs w:val="24"/>
        </w:rPr>
        <w:t>Furey TS</w:t>
      </w:r>
      <w:r w:rsidRPr="00054A0E">
        <w:rPr>
          <w:rFonts w:ascii="Book Antiqua" w:hAnsi="Book Antiqua"/>
          <w:sz w:val="24"/>
          <w:szCs w:val="24"/>
        </w:rPr>
        <w:t xml:space="preserve">. ChIP-seq and beyond: new and improved methodologies to detect and characterize protein-DNA interactions. </w:t>
      </w:r>
      <w:r w:rsidRPr="00054A0E">
        <w:rPr>
          <w:rFonts w:ascii="Book Antiqua" w:hAnsi="Book Antiqua"/>
          <w:i/>
          <w:sz w:val="24"/>
          <w:szCs w:val="24"/>
        </w:rPr>
        <w:t>Nat Rev Genet</w:t>
      </w:r>
      <w:r w:rsidRPr="00054A0E">
        <w:rPr>
          <w:rFonts w:ascii="Book Antiqua" w:hAnsi="Book Antiqua"/>
          <w:sz w:val="24"/>
          <w:szCs w:val="24"/>
        </w:rPr>
        <w:t xml:space="preserve"> 2012; </w:t>
      </w:r>
      <w:r w:rsidRPr="00054A0E">
        <w:rPr>
          <w:rFonts w:ascii="Book Antiqua" w:hAnsi="Book Antiqua"/>
          <w:b/>
          <w:sz w:val="24"/>
          <w:szCs w:val="24"/>
        </w:rPr>
        <w:t>13</w:t>
      </w:r>
      <w:r w:rsidRPr="00054A0E">
        <w:rPr>
          <w:rFonts w:ascii="Book Antiqua" w:hAnsi="Book Antiqua"/>
          <w:sz w:val="24"/>
          <w:szCs w:val="24"/>
        </w:rPr>
        <w:t>: 840-852 [PMID: 23090257 DOI: 10.1038/nrg3306]</w:t>
      </w:r>
    </w:p>
    <w:p w14:paraId="15927D7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68 </w:t>
      </w:r>
      <w:r w:rsidRPr="00054A0E">
        <w:rPr>
          <w:rFonts w:ascii="Book Antiqua" w:hAnsi="Book Antiqua"/>
          <w:b/>
          <w:sz w:val="24"/>
          <w:szCs w:val="24"/>
        </w:rPr>
        <w:t>van Dijk EL</w:t>
      </w:r>
      <w:r w:rsidRPr="00054A0E">
        <w:rPr>
          <w:rFonts w:ascii="Book Antiqua" w:hAnsi="Book Antiqua"/>
          <w:sz w:val="24"/>
          <w:szCs w:val="24"/>
        </w:rPr>
        <w:t xml:space="preserve">, Auger H, Jaszczyszyn Y, Thermes C. Ten years of next-generation sequencing technology. </w:t>
      </w:r>
      <w:r w:rsidRPr="00054A0E">
        <w:rPr>
          <w:rFonts w:ascii="Book Antiqua" w:hAnsi="Book Antiqua"/>
          <w:i/>
          <w:sz w:val="24"/>
          <w:szCs w:val="24"/>
        </w:rPr>
        <w:t>Trends Genet</w:t>
      </w:r>
      <w:r w:rsidRPr="00054A0E">
        <w:rPr>
          <w:rFonts w:ascii="Book Antiqua" w:hAnsi="Book Antiqua"/>
          <w:sz w:val="24"/>
          <w:szCs w:val="24"/>
        </w:rPr>
        <w:t xml:space="preserve"> 2014; </w:t>
      </w:r>
      <w:r w:rsidRPr="00054A0E">
        <w:rPr>
          <w:rFonts w:ascii="Book Antiqua" w:hAnsi="Book Antiqua"/>
          <w:b/>
          <w:sz w:val="24"/>
          <w:szCs w:val="24"/>
        </w:rPr>
        <w:t>30</w:t>
      </w:r>
      <w:r w:rsidRPr="00054A0E">
        <w:rPr>
          <w:rFonts w:ascii="Book Antiqua" w:hAnsi="Book Antiqua"/>
          <w:sz w:val="24"/>
          <w:szCs w:val="24"/>
        </w:rPr>
        <w:t>: 418-426 [PMID: 25108476 DOI: 10.1016/j.tig.2014.07.001]</w:t>
      </w:r>
    </w:p>
    <w:p w14:paraId="2FE3714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69 </w:t>
      </w:r>
      <w:r w:rsidRPr="00054A0E">
        <w:rPr>
          <w:rFonts w:ascii="Book Antiqua" w:hAnsi="Book Antiqua"/>
          <w:b/>
          <w:sz w:val="24"/>
          <w:szCs w:val="24"/>
        </w:rPr>
        <w:t>Costa V</w:t>
      </w:r>
      <w:r w:rsidRPr="00054A0E">
        <w:rPr>
          <w:rFonts w:ascii="Book Antiqua" w:hAnsi="Book Antiqua"/>
          <w:sz w:val="24"/>
          <w:szCs w:val="24"/>
        </w:rPr>
        <w:t xml:space="preserve">, Aprile M, Esposito R, Ciccodicola A. RNA-Seq and human complex diseases: recent accomplishments and future perspectives. </w:t>
      </w:r>
      <w:r w:rsidRPr="00054A0E">
        <w:rPr>
          <w:rFonts w:ascii="Book Antiqua" w:hAnsi="Book Antiqua"/>
          <w:i/>
          <w:sz w:val="24"/>
          <w:szCs w:val="24"/>
        </w:rPr>
        <w:t>Eur J Hum Genet</w:t>
      </w:r>
      <w:r w:rsidRPr="00054A0E">
        <w:rPr>
          <w:rFonts w:ascii="Book Antiqua" w:hAnsi="Book Antiqua"/>
          <w:sz w:val="24"/>
          <w:szCs w:val="24"/>
        </w:rPr>
        <w:t xml:space="preserve"> 2013; </w:t>
      </w:r>
      <w:r w:rsidRPr="00054A0E">
        <w:rPr>
          <w:rFonts w:ascii="Book Antiqua" w:hAnsi="Book Antiqua"/>
          <w:b/>
          <w:sz w:val="24"/>
          <w:szCs w:val="24"/>
        </w:rPr>
        <w:t>21</w:t>
      </w:r>
      <w:r w:rsidRPr="00054A0E">
        <w:rPr>
          <w:rFonts w:ascii="Book Antiqua" w:hAnsi="Book Antiqua"/>
          <w:sz w:val="24"/>
          <w:szCs w:val="24"/>
        </w:rPr>
        <w:t>: 134-142 [PMID: 22739340 DOI: 10.1038/ejhg.2012.129]</w:t>
      </w:r>
    </w:p>
    <w:p w14:paraId="437D9C1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70 </w:t>
      </w:r>
      <w:r w:rsidRPr="00054A0E">
        <w:rPr>
          <w:rFonts w:ascii="Book Antiqua" w:hAnsi="Book Antiqua"/>
          <w:b/>
          <w:sz w:val="24"/>
          <w:szCs w:val="24"/>
        </w:rPr>
        <w:t>Jenkinson CP</w:t>
      </w:r>
      <w:r w:rsidRPr="00054A0E">
        <w:rPr>
          <w:rFonts w:ascii="Book Antiqua" w:hAnsi="Book Antiqua"/>
          <w:sz w:val="24"/>
          <w:szCs w:val="24"/>
        </w:rPr>
        <w:t xml:space="preserve">, Göring HH, Arya R, Blangero J, Duggirala R, DeFronzo RA. Transcriptomics in type 2 diabetes: Bridging the gap between genotype and phenotype. </w:t>
      </w:r>
      <w:r w:rsidRPr="00054A0E">
        <w:rPr>
          <w:rFonts w:ascii="Book Antiqua" w:hAnsi="Book Antiqua"/>
          <w:i/>
          <w:sz w:val="24"/>
          <w:szCs w:val="24"/>
        </w:rPr>
        <w:t>Genom Data</w:t>
      </w:r>
      <w:r w:rsidRPr="00054A0E">
        <w:rPr>
          <w:rFonts w:ascii="Book Antiqua" w:hAnsi="Book Antiqua"/>
          <w:sz w:val="24"/>
          <w:szCs w:val="24"/>
        </w:rPr>
        <w:t xml:space="preserve"> 2015; </w:t>
      </w:r>
      <w:r w:rsidRPr="00054A0E">
        <w:rPr>
          <w:rFonts w:ascii="Book Antiqua" w:hAnsi="Book Antiqua"/>
          <w:b/>
          <w:sz w:val="24"/>
          <w:szCs w:val="24"/>
        </w:rPr>
        <w:t>8</w:t>
      </w:r>
      <w:r w:rsidRPr="00054A0E">
        <w:rPr>
          <w:rFonts w:ascii="Book Antiqua" w:hAnsi="Book Antiqua"/>
          <w:sz w:val="24"/>
          <w:szCs w:val="24"/>
        </w:rPr>
        <w:t>: 25-36 [PMID: 27114903 DOI: 10.1016/j.gdata.2015.12.001]</w:t>
      </w:r>
    </w:p>
    <w:p w14:paraId="44D9FC6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71 </w:t>
      </w:r>
      <w:r w:rsidRPr="00054A0E">
        <w:rPr>
          <w:rFonts w:ascii="Book Antiqua" w:hAnsi="Book Antiqua"/>
          <w:b/>
          <w:sz w:val="24"/>
          <w:szCs w:val="24"/>
        </w:rPr>
        <w:t>Hung JH</w:t>
      </w:r>
      <w:r w:rsidRPr="00054A0E">
        <w:rPr>
          <w:rFonts w:ascii="Book Antiqua" w:hAnsi="Book Antiqua"/>
          <w:sz w:val="24"/>
          <w:szCs w:val="24"/>
        </w:rPr>
        <w:t xml:space="preserve">, Yang TH, Hu Z, Weng Z, DeLisi C. Gene set enrichment analysis: performance evaluation and usage guidelines. </w:t>
      </w:r>
      <w:r w:rsidRPr="00054A0E">
        <w:rPr>
          <w:rFonts w:ascii="Book Antiqua" w:hAnsi="Book Antiqua"/>
          <w:i/>
          <w:sz w:val="24"/>
          <w:szCs w:val="24"/>
        </w:rPr>
        <w:t>Brief Bioinform</w:t>
      </w:r>
      <w:r w:rsidRPr="00054A0E">
        <w:rPr>
          <w:rFonts w:ascii="Book Antiqua" w:hAnsi="Book Antiqua"/>
          <w:sz w:val="24"/>
          <w:szCs w:val="24"/>
        </w:rPr>
        <w:t xml:space="preserve"> 2012; </w:t>
      </w:r>
      <w:r w:rsidRPr="00054A0E">
        <w:rPr>
          <w:rFonts w:ascii="Book Antiqua" w:hAnsi="Book Antiqua"/>
          <w:b/>
          <w:sz w:val="24"/>
          <w:szCs w:val="24"/>
        </w:rPr>
        <w:t>13</w:t>
      </w:r>
      <w:r w:rsidRPr="00054A0E">
        <w:rPr>
          <w:rFonts w:ascii="Book Antiqua" w:hAnsi="Book Antiqua"/>
          <w:sz w:val="24"/>
          <w:szCs w:val="24"/>
        </w:rPr>
        <w:t>: 281-291 [PMID: 21900207 DOI: 10.1093/bib/bbr049]</w:t>
      </w:r>
    </w:p>
    <w:p w14:paraId="79B46097" w14:textId="466088E9"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72 </w:t>
      </w:r>
      <w:r w:rsidRPr="00054A0E">
        <w:rPr>
          <w:rFonts w:ascii="Book Antiqua" w:hAnsi="Book Antiqua"/>
          <w:b/>
          <w:sz w:val="24"/>
          <w:szCs w:val="24"/>
        </w:rPr>
        <w:t>Lin ES</w:t>
      </w:r>
      <w:r w:rsidRPr="00054A0E">
        <w:rPr>
          <w:rFonts w:ascii="Book Antiqua" w:hAnsi="Book Antiqua"/>
          <w:sz w:val="24"/>
          <w:szCs w:val="24"/>
        </w:rPr>
        <w:t xml:space="preserve">, Chang WA, Chen YY, Wu LY, Chen YJ, Kuo PL. Deduction of Novel Genes Potentially Involved in Keratinocytes of Type 2 Diabetes Using Next-Generation Sequencing and Bioinformatics Approaches. </w:t>
      </w:r>
      <w:r w:rsidRPr="00054A0E">
        <w:rPr>
          <w:rFonts w:ascii="Book Antiqua" w:hAnsi="Book Antiqua"/>
          <w:i/>
          <w:sz w:val="24"/>
          <w:szCs w:val="24"/>
        </w:rPr>
        <w:t>J Clin Med</w:t>
      </w:r>
      <w:r w:rsidRPr="00054A0E">
        <w:rPr>
          <w:rFonts w:ascii="Book Antiqua" w:hAnsi="Book Antiqua"/>
          <w:sz w:val="24"/>
          <w:szCs w:val="24"/>
        </w:rPr>
        <w:t xml:space="preserve"> 2019; </w:t>
      </w:r>
      <w:r w:rsidRPr="00054A0E">
        <w:rPr>
          <w:rFonts w:ascii="Book Antiqua" w:hAnsi="Book Antiqua"/>
          <w:b/>
          <w:sz w:val="24"/>
          <w:szCs w:val="24"/>
        </w:rPr>
        <w:t>8</w:t>
      </w:r>
      <w:r w:rsidRPr="00054A0E">
        <w:rPr>
          <w:rFonts w:ascii="Book Antiqua" w:hAnsi="Book Antiqua"/>
          <w:sz w:val="24"/>
          <w:szCs w:val="24"/>
        </w:rPr>
        <w:t xml:space="preserve">: </w:t>
      </w:r>
      <w:r w:rsidR="0029219B" w:rsidRPr="0029219B">
        <w:rPr>
          <w:rFonts w:ascii="Book Antiqua" w:hAnsi="Book Antiqua"/>
          <w:sz w:val="24"/>
          <w:szCs w:val="24"/>
        </w:rPr>
        <w:t>pii: E73</w:t>
      </w:r>
      <w:r w:rsidRPr="00054A0E">
        <w:rPr>
          <w:rFonts w:ascii="Book Antiqua" w:hAnsi="Book Antiqua"/>
          <w:sz w:val="24"/>
          <w:szCs w:val="24"/>
        </w:rPr>
        <w:t xml:space="preserve"> [PMID: 30634634 DOI: 10.3390/jcm8010073]</w:t>
      </w:r>
    </w:p>
    <w:p w14:paraId="17EA8003" w14:textId="6368B0A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73 </w:t>
      </w:r>
      <w:r w:rsidRPr="00054A0E">
        <w:rPr>
          <w:rFonts w:ascii="Book Antiqua" w:hAnsi="Book Antiqua"/>
          <w:b/>
          <w:sz w:val="24"/>
          <w:szCs w:val="24"/>
        </w:rPr>
        <w:t>Feng J</w:t>
      </w:r>
      <w:r w:rsidRPr="00054A0E">
        <w:rPr>
          <w:rFonts w:ascii="Book Antiqua" w:hAnsi="Book Antiqua"/>
          <w:sz w:val="24"/>
          <w:szCs w:val="24"/>
        </w:rPr>
        <w:t xml:space="preserve">, Xing W, Xie L. Regulatory Roles of MicroRNAs in Diabetes. </w:t>
      </w:r>
      <w:r w:rsidRPr="00054A0E">
        <w:rPr>
          <w:rFonts w:ascii="Book Antiqua" w:hAnsi="Book Antiqua"/>
          <w:i/>
          <w:sz w:val="24"/>
          <w:szCs w:val="24"/>
        </w:rPr>
        <w:t>Int J Mol Sci</w:t>
      </w:r>
      <w:r w:rsidRPr="00054A0E">
        <w:rPr>
          <w:rFonts w:ascii="Book Antiqua" w:hAnsi="Book Antiqua"/>
          <w:sz w:val="24"/>
          <w:szCs w:val="24"/>
        </w:rPr>
        <w:t xml:space="preserve"> 2016; </w:t>
      </w:r>
      <w:r w:rsidRPr="00054A0E">
        <w:rPr>
          <w:rFonts w:ascii="Book Antiqua" w:hAnsi="Book Antiqua"/>
          <w:b/>
          <w:sz w:val="24"/>
          <w:szCs w:val="24"/>
        </w:rPr>
        <w:t>17</w:t>
      </w:r>
      <w:r w:rsidRPr="00054A0E">
        <w:rPr>
          <w:rFonts w:ascii="Book Antiqua" w:hAnsi="Book Antiqua"/>
          <w:sz w:val="24"/>
          <w:szCs w:val="24"/>
        </w:rPr>
        <w:t xml:space="preserve">: </w:t>
      </w:r>
      <w:r w:rsidR="0029219B" w:rsidRPr="0029219B">
        <w:rPr>
          <w:rFonts w:ascii="Book Antiqua" w:hAnsi="Book Antiqua"/>
          <w:sz w:val="24"/>
          <w:szCs w:val="24"/>
        </w:rPr>
        <w:t>pii: E1729</w:t>
      </w:r>
      <w:r w:rsidRPr="00054A0E">
        <w:rPr>
          <w:rFonts w:ascii="Book Antiqua" w:hAnsi="Book Antiqua"/>
          <w:sz w:val="24"/>
          <w:szCs w:val="24"/>
        </w:rPr>
        <w:t xml:space="preserve"> [PMID: 27763497 DOI: 10.3390/ijms17101729]</w:t>
      </w:r>
    </w:p>
    <w:p w14:paraId="1A3DB002" w14:textId="55D958F3"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74 </w:t>
      </w:r>
      <w:r w:rsidRPr="00054A0E">
        <w:rPr>
          <w:rFonts w:ascii="Book Antiqua" w:hAnsi="Book Antiqua"/>
          <w:b/>
          <w:sz w:val="24"/>
          <w:szCs w:val="24"/>
        </w:rPr>
        <w:t>He Y</w:t>
      </w:r>
      <w:r w:rsidRPr="00054A0E">
        <w:rPr>
          <w:rFonts w:ascii="Book Antiqua" w:hAnsi="Book Antiqua"/>
          <w:sz w:val="24"/>
          <w:szCs w:val="24"/>
        </w:rPr>
        <w:t xml:space="preserve">, Ding Y, Liang B, Lin J, Kim TK, Yu H, Hang H, Wang K. A Systematic Study of Dysregulated MicroRNA in Type 2 Diabetes Mellitus. </w:t>
      </w:r>
      <w:r w:rsidRPr="00054A0E">
        <w:rPr>
          <w:rFonts w:ascii="Book Antiqua" w:hAnsi="Book Antiqua"/>
          <w:i/>
          <w:sz w:val="24"/>
          <w:szCs w:val="24"/>
        </w:rPr>
        <w:t>Int J Mol Sci</w:t>
      </w:r>
      <w:r w:rsidRPr="00054A0E">
        <w:rPr>
          <w:rFonts w:ascii="Book Antiqua" w:hAnsi="Book Antiqua"/>
          <w:sz w:val="24"/>
          <w:szCs w:val="24"/>
        </w:rPr>
        <w:t xml:space="preserve"> 2017; </w:t>
      </w:r>
      <w:r w:rsidRPr="00054A0E">
        <w:rPr>
          <w:rFonts w:ascii="Book Antiqua" w:hAnsi="Book Antiqua"/>
          <w:b/>
          <w:sz w:val="24"/>
          <w:szCs w:val="24"/>
        </w:rPr>
        <w:t>18</w:t>
      </w:r>
      <w:r w:rsidRPr="00054A0E">
        <w:rPr>
          <w:rFonts w:ascii="Book Antiqua" w:hAnsi="Book Antiqua"/>
          <w:sz w:val="24"/>
          <w:szCs w:val="24"/>
        </w:rPr>
        <w:t>:</w:t>
      </w:r>
      <w:r w:rsidR="0029219B" w:rsidRPr="0029219B">
        <w:rPr>
          <w:rFonts w:ascii="Book Antiqua" w:hAnsi="Book Antiqua"/>
          <w:sz w:val="24"/>
          <w:szCs w:val="24"/>
        </w:rPr>
        <w:t xml:space="preserve"> pii: E456</w:t>
      </w:r>
      <w:r w:rsidRPr="00054A0E">
        <w:rPr>
          <w:rFonts w:ascii="Book Antiqua" w:hAnsi="Book Antiqua"/>
          <w:sz w:val="24"/>
          <w:szCs w:val="24"/>
        </w:rPr>
        <w:t xml:space="preserve"> [PMID: 28264477 DOI: 10.3390/ijms18030456]</w:t>
      </w:r>
    </w:p>
    <w:p w14:paraId="4B960A0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75 </w:t>
      </w:r>
      <w:r w:rsidRPr="00054A0E">
        <w:rPr>
          <w:rFonts w:ascii="Book Antiqua" w:hAnsi="Book Antiqua"/>
          <w:b/>
          <w:sz w:val="24"/>
          <w:szCs w:val="24"/>
        </w:rPr>
        <w:t>Segerstolpe Å</w:t>
      </w:r>
      <w:r w:rsidRPr="00054A0E">
        <w:rPr>
          <w:rFonts w:ascii="Book Antiqua" w:hAnsi="Book Antiqua"/>
          <w:sz w:val="24"/>
          <w:szCs w:val="24"/>
        </w:rPr>
        <w:t xml:space="preserve">, Palasantza A, Eliasson P, Andersson EM, Andréasson AC, Sun X, Picelli S, Sabirsh A, Clausen M, Bjursell MK, Smith DM, Kasper M, Ämmälä C, Sandberg R. Single-Cell Transcriptome Profiling of Human Pancreatic Islets in Health and Type 2 Diabetes. </w:t>
      </w:r>
      <w:r w:rsidRPr="00054A0E">
        <w:rPr>
          <w:rFonts w:ascii="Book Antiqua" w:hAnsi="Book Antiqua"/>
          <w:i/>
          <w:sz w:val="24"/>
          <w:szCs w:val="24"/>
        </w:rPr>
        <w:t>Cell Metab</w:t>
      </w:r>
      <w:r w:rsidRPr="00054A0E">
        <w:rPr>
          <w:rFonts w:ascii="Book Antiqua" w:hAnsi="Book Antiqua"/>
          <w:sz w:val="24"/>
          <w:szCs w:val="24"/>
        </w:rPr>
        <w:t xml:space="preserve"> 2016; </w:t>
      </w:r>
      <w:r w:rsidRPr="00054A0E">
        <w:rPr>
          <w:rFonts w:ascii="Book Antiqua" w:hAnsi="Book Antiqua"/>
          <w:b/>
          <w:sz w:val="24"/>
          <w:szCs w:val="24"/>
        </w:rPr>
        <w:t>24</w:t>
      </w:r>
      <w:r w:rsidRPr="00054A0E">
        <w:rPr>
          <w:rFonts w:ascii="Book Antiqua" w:hAnsi="Book Antiqua"/>
          <w:sz w:val="24"/>
          <w:szCs w:val="24"/>
        </w:rPr>
        <w:t>: 593-607 [PMID: 27667667 DOI: 10.1016/j.cmet.2016.08.020]</w:t>
      </w:r>
    </w:p>
    <w:p w14:paraId="560C7FF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76 </w:t>
      </w:r>
      <w:r w:rsidRPr="00054A0E">
        <w:rPr>
          <w:rFonts w:ascii="Book Antiqua" w:hAnsi="Book Antiqua"/>
          <w:b/>
          <w:sz w:val="24"/>
          <w:szCs w:val="24"/>
        </w:rPr>
        <w:t>Xin Y</w:t>
      </w:r>
      <w:r w:rsidRPr="00054A0E">
        <w:rPr>
          <w:rFonts w:ascii="Book Antiqua" w:hAnsi="Book Antiqua"/>
          <w:sz w:val="24"/>
          <w:szCs w:val="24"/>
        </w:rPr>
        <w:t xml:space="preserve">, Kim J, Okamoto H, Ni M, Wei Y, Adler C, Murphy AJ, Yancopoulos GD, Lin C, Gromada J. RNA Sequencing of Single Human Islet Cells Reveals Type 2 Diabetes Genes. </w:t>
      </w:r>
      <w:r w:rsidRPr="00054A0E">
        <w:rPr>
          <w:rFonts w:ascii="Book Antiqua" w:hAnsi="Book Antiqua"/>
          <w:i/>
          <w:sz w:val="24"/>
          <w:szCs w:val="24"/>
        </w:rPr>
        <w:t>Cell Metab</w:t>
      </w:r>
      <w:r w:rsidRPr="00054A0E">
        <w:rPr>
          <w:rFonts w:ascii="Book Antiqua" w:hAnsi="Book Antiqua"/>
          <w:sz w:val="24"/>
          <w:szCs w:val="24"/>
        </w:rPr>
        <w:t xml:space="preserve"> 2016; </w:t>
      </w:r>
      <w:r w:rsidRPr="00054A0E">
        <w:rPr>
          <w:rFonts w:ascii="Book Antiqua" w:hAnsi="Book Antiqua"/>
          <w:b/>
          <w:sz w:val="24"/>
          <w:szCs w:val="24"/>
        </w:rPr>
        <w:t>24</w:t>
      </w:r>
      <w:r w:rsidRPr="00054A0E">
        <w:rPr>
          <w:rFonts w:ascii="Book Antiqua" w:hAnsi="Book Antiqua"/>
          <w:sz w:val="24"/>
          <w:szCs w:val="24"/>
        </w:rPr>
        <w:t>: 608-615 [PMID: 27667665 DOI: 10.1016/j.cmet.2016.08.018]</w:t>
      </w:r>
    </w:p>
    <w:p w14:paraId="38953DFB" w14:textId="5FD8EB99"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77 </w:t>
      </w:r>
      <w:r w:rsidRPr="00054A0E">
        <w:rPr>
          <w:rFonts w:ascii="Book Antiqua" w:hAnsi="Book Antiqua"/>
          <w:b/>
          <w:sz w:val="24"/>
          <w:szCs w:val="24"/>
        </w:rPr>
        <w:t>Dziewulska A</w:t>
      </w:r>
      <w:r w:rsidRPr="00054A0E">
        <w:rPr>
          <w:rFonts w:ascii="Book Antiqua" w:hAnsi="Book Antiqua"/>
          <w:sz w:val="24"/>
          <w:szCs w:val="24"/>
        </w:rPr>
        <w:t xml:space="preserve">, Dobosz AM, Dobrzyn A. High-Throughput Approaches onto Uncover (Epi)Genomic Architecture of Type 2 Diabetes. </w:t>
      </w:r>
      <w:r w:rsidRPr="00054A0E">
        <w:rPr>
          <w:rFonts w:ascii="Book Antiqua" w:hAnsi="Book Antiqua"/>
          <w:i/>
          <w:sz w:val="24"/>
          <w:szCs w:val="24"/>
        </w:rPr>
        <w:t>Genes (Basel)</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xml:space="preserve">: </w:t>
      </w:r>
      <w:r w:rsidR="0029219B" w:rsidRPr="0029219B">
        <w:rPr>
          <w:rFonts w:ascii="Book Antiqua" w:hAnsi="Book Antiqua"/>
          <w:sz w:val="24"/>
          <w:szCs w:val="24"/>
        </w:rPr>
        <w:t>pii: E374</w:t>
      </w:r>
      <w:r w:rsidRPr="00054A0E">
        <w:rPr>
          <w:rFonts w:ascii="Book Antiqua" w:hAnsi="Book Antiqua"/>
          <w:sz w:val="24"/>
          <w:szCs w:val="24"/>
        </w:rPr>
        <w:t xml:space="preserve"> [PMID: 30050001 DOI: 10.3390/genes9080374]</w:t>
      </w:r>
    </w:p>
    <w:p w14:paraId="5077A29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78 </w:t>
      </w:r>
      <w:r w:rsidRPr="00054A0E">
        <w:rPr>
          <w:rFonts w:ascii="Book Antiqua" w:hAnsi="Book Antiqua"/>
          <w:b/>
          <w:sz w:val="24"/>
          <w:szCs w:val="24"/>
        </w:rPr>
        <w:t>Wahl S</w:t>
      </w:r>
      <w:r w:rsidRPr="00054A0E">
        <w:rPr>
          <w:rFonts w:ascii="Book Antiqua" w:hAnsi="Book Antiqua"/>
          <w:sz w:val="24"/>
          <w:szCs w:val="24"/>
        </w:rPr>
        <w:t xml:space="preserve">, Drong A, Lehne B, Loh M, Scott WR, Kunze S, Tsai PC, Ried JS, Zhang W, Yang Y, Tan S, Fiorito G, Franke L, Guarrera S, Kasela S, Kriebel J, Richmond RC, Adamo M, Afzal U, Ala-Korpela M, Albetti B, Ammerpohl O, Apperley JF, Beekman M, Bertazzi PA, Black SL, Blancher C, Bonder MJ, Brosch M, Carstensen-Kirberg M, de Craen AJ, de Lusignan S, Dehghan A, Elkalaawy M, Fischer K, Franco OH, Gaunt TR, Hampe J, Hashemi M, Isaacs A, Jenkinson A, Jha S, Kato N, Krogh V, Laffan M, Meisinger C, Meitinger T, Mok ZY, Motta V, Ng HK, Nikolakopoulou Z, Nteliopoulos G, Panico S, Pervjakova N, Prokisch H, Rathmann W, Roden M, Rota F, Rozario MA, Sandling JK, Schafmayer C, Schramm K, Siebert R, Slagboom PE, Soininen P, Stolk L, Strauch K, Tai ES, Tarantini L, Thorand B, Tigchelaar EF, Tumino R, Uitterlinden AG, van Duijn C, van Meurs JB, Vineis P, Wickremasinghe AR, Wijmenga C, Yang TP, Yuan W, Zhernakova A, Batterham RL, Smith GD, Deloukas P, Heijmans BT, Herder C, Hofman A, Lindgren CM, Milani L, van der Harst P, Peters A, Illig T, Relton CL, Waldenberger M, Järvelin MR, Bollati V, Soong R, Spector TD, Scott J, McCarthy MI, Elliott P, Bell JT, Matullo G, Gieger C, Kooner JS, Grallert H, Chambers JC. Epigenome-wide association study of body mass index, and the adverse outcomes of adiposity. </w:t>
      </w:r>
      <w:r w:rsidRPr="00054A0E">
        <w:rPr>
          <w:rFonts w:ascii="Book Antiqua" w:hAnsi="Book Antiqua"/>
          <w:i/>
          <w:sz w:val="24"/>
          <w:szCs w:val="24"/>
        </w:rPr>
        <w:t>Nature</w:t>
      </w:r>
      <w:r w:rsidRPr="00054A0E">
        <w:rPr>
          <w:rFonts w:ascii="Book Antiqua" w:hAnsi="Book Antiqua"/>
          <w:sz w:val="24"/>
          <w:szCs w:val="24"/>
        </w:rPr>
        <w:t xml:space="preserve"> 2017; </w:t>
      </w:r>
      <w:r w:rsidRPr="00054A0E">
        <w:rPr>
          <w:rFonts w:ascii="Book Antiqua" w:hAnsi="Book Antiqua"/>
          <w:b/>
          <w:sz w:val="24"/>
          <w:szCs w:val="24"/>
        </w:rPr>
        <w:t>541</w:t>
      </w:r>
      <w:r w:rsidRPr="00054A0E">
        <w:rPr>
          <w:rFonts w:ascii="Book Antiqua" w:hAnsi="Book Antiqua"/>
          <w:sz w:val="24"/>
          <w:szCs w:val="24"/>
        </w:rPr>
        <w:t>: 81-86 [PMID: 28002404 DOI: 10.1038/nature20784]</w:t>
      </w:r>
    </w:p>
    <w:p w14:paraId="18A4937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79 </w:t>
      </w:r>
      <w:r w:rsidRPr="00054A0E">
        <w:rPr>
          <w:rFonts w:ascii="Book Antiqua" w:hAnsi="Book Antiqua"/>
          <w:b/>
          <w:sz w:val="24"/>
          <w:szCs w:val="24"/>
        </w:rPr>
        <w:t>Willmer T</w:t>
      </w:r>
      <w:r w:rsidRPr="00054A0E">
        <w:rPr>
          <w:rFonts w:ascii="Book Antiqua" w:hAnsi="Book Antiqua"/>
          <w:sz w:val="24"/>
          <w:szCs w:val="24"/>
        </w:rPr>
        <w:t xml:space="preserve">, Johnson R, Louw J, Pheiffer C. Blood-Based DNA Methylation Biomarkers for Type 2 Diabetes: Potential for Clinical Applications. </w:t>
      </w:r>
      <w:r w:rsidRPr="00054A0E">
        <w:rPr>
          <w:rFonts w:ascii="Book Antiqua" w:hAnsi="Book Antiqua"/>
          <w:i/>
          <w:sz w:val="24"/>
          <w:szCs w:val="24"/>
        </w:rPr>
        <w:t>Front Endocrinol (Lausanne)</w:t>
      </w:r>
      <w:r w:rsidRPr="00054A0E">
        <w:rPr>
          <w:rFonts w:ascii="Book Antiqua" w:hAnsi="Book Antiqua"/>
          <w:sz w:val="24"/>
          <w:szCs w:val="24"/>
        </w:rPr>
        <w:t xml:space="preserve"> 2018; </w:t>
      </w:r>
      <w:r w:rsidRPr="00054A0E">
        <w:rPr>
          <w:rFonts w:ascii="Book Antiqua" w:hAnsi="Book Antiqua"/>
          <w:b/>
          <w:sz w:val="24"/>
          <w:szCs w:val="24"/>
        </w:rPr>
        <w:t>9</w:t>
      </w:r>
      <w:r w:rsidRPr="00054A0E">
        <w:rPr>
          <w:rFonts w:ascii="Book Antiqua" w:hAnsi="Book Antiqua"/>
          <w:sz w:val="24"/>
          <w:szCs w:val="24"/>
        </w:rPr>
        <w:t>: 744 [PMID: 30564199 DOI: 10.3389/fendo.2018.00744]</w:t>
      </w:r>
    </w:p>
    <w:p w14:paraId="7CB9AFD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80 </w:t>
      </w:r>
      <w:r w:rsidRPr="00054A0E">
        <w:rPr>
          <w:rFonts w:ascii="Book Antiqua" w:hAnsi="Book Antiqua"/>
          <w:b/>
          <w:sz w:val="24"/>
          <w:szCs w:val="24"/>
        </w:rPr>
        <w:t>Cannon ME</w:t>
      </w:r>
      <w:r w:rsidRPr="00054A0E">
        <w:rPr>
          <w:rFonts w:ascii="Book Antiqua" w:hAnsi="Book Antiqua"/>
          <w:sz w:val="24"/>
          <w:szCs w:val="24"/>
        </w:rPr>
        <w:t xml:space="preserve">, Mohlke KL. Deciphering the Emerging Complexities of Molecular Mechanisms at GWAS Loci. </w:t>
      </w:r>
      <w:r w:rsidRPr="00054A0E">
        <w:rPr>
          <w:rFonts w:ascii="Book Antiqua" w:hAnsi="Book Antiqua"/>
          <w:i/>
          <w:sz w:val="24"/>
          <w:szCs w:val="24"/>
        </w:rPr>
        <w:t>Am J Hum Genet</w:t>
      </w:r>
      <w:r w:rsidRPr="00054A0E">
        <w:rPr>
          <w:rFonts w:ascii="Book Antiqua" w:hAnsi="Book Antiqua"/>
          <w:sz w:val="24"/>
          <w:szCs w:val="24"/>
        </w:rPr>
        <w:t xml:space="preserve"> 2018; </w:t>
      </w:r>
      <w:r w:rsidRPr="00054A0E">
        <w:rPr>
          <w:rFonts w:ascii="Book Antiqua" w:hAnsi="Book Antiqua"/>
          <w:b/>
          <w:sz w:val="24"/>
          <w:szCs w:val="24"/>
        </w:rPr>
        <w:t>103</w:t>
      </w:r>
      <w:r w:rsidRPr="00054A0E">
        <w:rPr>
          <w:rFonts w:ascii="Book Antiqua" w:hAnsi="Book Antiqua"/>
          <w:sz w:val="24"/>
          <w:szCs w:val="24"/>
        </w:rPr>
        <w:t>: 637-653 [PMID: 30388398 DOI: 10.1016/j.ajhg.2018.10.001]</w:t>
      </w:r>
    </w:p>
    <w:p w14:paraId="7A9CB29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81 </w:t>
      </w:r>
      <w:r w:rsidRPr="00054A0E">
        <w:rPr>
          <w:rFonts w:ascii="Book Antiqua" w:hAnsi="Book Antiqua"/>
          <w:b/>
          <w:sz w:val="24"/>
          <w:szCs w:val="24"/>
        </w:rPr>
        <w:t>Feng XW</w:t>
      </w:r>
      <w:r w:rsidRPr="00054A0E">
        <w:rPr>
          <w:rFonts w:ascii="Book Antiqua" w:hAnsi="Book Antiqua"/>
          <w:sz w:val="24"/>
          <w:szCs w:val="24"/>
        </w:rPr>
        <w:t xml:space="preserve">, Ding WP, Xiong LY, Guo L, Sun JM, Xiao P. Recent Advancements in Intestinal Microbiota Analyses: A Review for Non-Microbiologists. </w:t>
      </w:r>
      <w:r w:rsidRPr="00054A0E">
        <w:rPr>
          <w:rFonts w:ascii="Book Antiqua" w:hAnsi="Book Antiqua"/>
          <w:i/>
          <w:sz w:val="24"/>
          <w:szCs w:val="24"/>
        </w:rPr>
        <w:t>Curr Med Sci</w:t>
      </w:r>
      <w:r w:rsidRPr="00054A0E">
        <w:rPr>
          <w:rFonts w:ascii="Book Antiqua" w:hAnsi="Book Antiqua"/>
          <w:sz w:val="24"/>
          <w:szCs w:val="24"/>
        </w:rPr>
        <w:t xml:space="preserve"> 2018; </w:t>
      </w:r>
      <w:r w:rsidRPr="00054A0E">
        <w:rPr>
          <w:rFonts w:ascii="Book Antiqua" w:hAnsi="Book Antiqua"/>
          <w:b/>
          <w:sz w:val="24"/>
          <w:szCs w:val="24"/>
        </w:rPr>
        <w:t>38</w:t>
      </w:r>
      <w:r w:rsidRPr="00054A0E">
        <w:rPr>
          <w:rFonts w:ascii="Book Antiqua" w:hAnsi="Book Antiqua"/>
          <w:sz w:val="24"/>
          <w:szCs w:val="24"/>
        </w:rPr>
        <w:t>: 949-961 [PMID: 30536055 DOI: 10.1007/s11596-018-1969-z]</w:t>
      </w:r>
    </w:p>
    <w:p w14:paraId="687CF84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82 </w:t>
      </w:r>
      <w:r w:rsidRPr="00054A0E">
        <w:rPr>
          <w:rFonts w:ascii="Book Antiqua" w:hAnsi="Book Antiqua"/>
          <w:b/>
          <w:sz w:val="24"/>
          <w:szCs w:val="24"/>
        </w:rPr>
        <w:t>Raygan F</w:t>
      </w:r>
      <w:r w:rsidRPr="00054A0E">
        <w:rPr>
          <w:rFonts w:ascii="Book Antiqua" w:hAnsi="Book Antiqua"/>
          <w:sz w:val="24"/>
          <w:szCs w:val="24"/>
        </w:rPr>
        <w:t xml:space="preserve">, Rezavandi Z, Bahmani F, Ostadmohammadi V, Mansournia MA, Tajabadi-Ebrahimi M, Borzabadi S, Asemi Z. The effects of probiotic supplementation </w:t>
      </w:r>
      <w:r w:rsidRPr="00054A0E">
        <w:rPr>
          <w:rFonts w:ascii="Book Antiqua" w:hAnsi="Book Antiqua"/>
          <w:sz w:val="24"/>
          <w:szCs w:val="24"/>
        </w:rPr>
        <w:lastRenderedPageBreak/>
        <w:t xml:space="preserve">on metabolic status in type 2 diabetic patients with coronary heart disease. </w:t>
      </w:r>
      <w:r w:rsidRPr="00054A0E">
        <w:rPr>
          <w:rFonts w:ascii="Book Antiqua" w:hAnsi="Book Antiqua"/>
          <w:i/>
          <w:sz w:val="24"/>
          <w:szCs w:val="24"/>
        </w:rPr>
        <w:t>Diabetol Metab Syndr</w:t>
      </w:r>
      <w:r w:rsidRPr="00054A0E">
        <w:rPr>
          <w:rFonts w:ascii="Book Antiqua" w:hAnsi="Book Antiqua"/>
          <w:sz w:val="24"/>
          <w:szCs w:val="24"/>
        </w:rPr>
        <w:t xml:space="preserve"> 2018; </w:t>
      </w:r>
      <w:r w:rsidRPr="00054A0E">
        <w:rPr>
          <w:rFonts w:ascii="Book Antiqua" w:hAnsi="Book Antiqua"/>
          <w:b/>
          <w:sz w:val="24"/>
          <w:szCs w:val="24"/>
        </w:rPr>
        <w:t>10</w:t>
      </w:r>
      <w:r w:rsidRPr="00054A0E">
        <w:rPr>
          <w:rFonts w:ascii="Book Antiqua" w:hAnsi="Book Antiqua"/>
          <w:sz w:val="24"/>
          <w:szCs w:val="24"/>
        </w:rPr>
        <w:t>: 51 [PMID: 29946368 DOI: 10.1186/s13098-018-0353-2]</w:t>
      </w:r>
    </w:p>
    <w:p w14:paraId="1D4E253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83 </w:t>
      </w:r>
      <w:r w:rsidRPr="00054A0E">
        <w:rPr>
          <w:rFonts w:ascii="Book Antiqua" w:hAnsi="Book Antiqua"/>
          <w:b/>
          <w:sz w:val="24"/>
          <w:szCs w:val="24"/>
        </w:rPr>
        <w:t>Chen X</w:t>
      </w:r>
      <w:r w:rsidRPr="00054A0E">
        <w:rPr>
          <w:rFonts w:ascii="Book Antiqua" w:hAnsi="Book Antiqua"/>
          <w:sz w:val="24"/>
          <w:szCs w:val="24"/>
        </w:rPr>
        <w:t xml:space="preserve">, Devaraj S. Gut Microbiome in Obesity, Metabolic Syndrome, and Diabetes. </w:t>
      </w:r>
      <w:r w:rsidRPr="00054A0E">
        <w:rPr>
          <w:rFonts w:ascii="Book Antiqua" w:hAnsi="Book Antiqua"/>
          <w:i/>
          <w:sz w:val="24"/>
          <w:szCs w:val="24"/>
        </w:rPr>
        <w:t>Curr Diab Rep</w:t>
      </w:r>
      <w:r w:rsidRPr="00054A0E">
        <w:rPr>
          <w:rFonts w:ascii="Book Antiqua" w:hAnsi="Book Antiqua"/>
          <w:sz w:val="24"/>
          <w:szCs w:val="24"/>
        </w:rPr>
        <w:t xml:space="preserve"> 2018; </w:t>
      </w:r>
      <w:r w:rsidRPr="00054A0E">
        <w:rPr>
          <w:rFonts w:ascii="Book Antiqua" w:hAnsi="Book Antiqua"/>
          <w:b/>
          <w:sz w:val="24"/>
          <w:szCs w:val="24"/>
        </w:rPr>
        <w:t>18</w:t>
      </w:r>
      <w:r w:rsidRPr="00054A0E">
        <w:rPr>
          <w:rFonts w:ascii="Book Antiqua" w:hAnsi="Book Antiqua"/>
          <w:sz w:val="24"/>
          <w:szCs w:val="24"/>
        </w:rPr>
        <w:t>: 129 [PMID: 30338410 DOI: 10.1007/s11892-018-1104-3]</w:t>
      </w:r>
    </w:p>
    <w:p w14:paraId="59F5C1B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84 </w:t>
      </w:r>
      <w:r w:rsidRPr="00054A0E">
        <w:rPr>
          <w:rFonts w:ascii="Book Antiqua" w:hAnsi="Book Antiqua"/>
          <w:b/>
          <w:sz w:val="24"/>
          <w:szCs w:val="24"/>
        </w:rPr>
        <w:t>Cickovski T</w:t>
      </w:r>
      <w:r w:rsidRPr="00054A0E">
        <w:rPr>
          <w:rFonts w:ascii="Book Antiqua" w:hAnsi="Book Antiqua"/>
          <w:sz w:val="24"/>
          <w:szCs w:val="24"/>
        </w:rPr>
        <w:t xml:space="preserve">, Narasimhan G. Constructing lightweight and flexible pipelines using Plugin-Based Microbiome Analysis (PluMA). </w:t>
      </w:r>
      <w:r w:rsidRPr="00054A0E">
        <w:rPr>
          <w:rFonts w:ascii="Book Antiqua" w:hAnsi="Book Antiqua"/>
          <w:i/>
          <w:sz w:val="24"/>
          <w:szCs w:val="24"/>
        </w:rPr>
        <w:t>Bioinformatics</w:t>
      </w:r>
      <w:r w:rsidRPr="00054A0E">
        <w:rPr>
          <w:rFonts w:ascii="Book Antiqua" w:hAnsi="Book Antiqua"/>
          <w:sz w:val="24"/>
          <w:szCs w:val="24"/>
        </w:rPr>
        <w:t xml:space="preserve"> 2018; </w:t>
      </w:r>
      <w:r w:rsidRPr="00054A0E">
        <w:rPr>
          <w:rFonts w:ascii="Book Antiqua" w:hAnsi="Book Antiqua"/>
          <w:b/>
          <w:sz w:val="24"/>
          <w:szCs w:val="24"/>
        </w:rPr>
        <w:t>34</w:t>
      </w:r>
      <w:r w:rsidRPr="00054A0E">
        <w:rPr>
          <w:rFonts w:ascii="Book Antiqua" w:hAnsi="Book Antiqua"/>
          <w:sz w:val="24"/>
          <w:szCs w:val="24"/>
        </w:rPr>
        <w:t>: 2881-2888 [PMID: 29618009 DOI: 10.1093/bioinformatics/bty198]</w:t>
      </w:r>
    </w:p>
    <w:p w14:paraId="4416299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85 </w:t>
      </w:r>
      <w:r w:rsidRPr="00054A0E">
        <w:rPr>
          <w:rFonts w:ascii="Book Antiqua" w:hAnsi="Book Antiqua"/>
          <w:b/>
          <w:sz w:val="24"/>
          <w:szCs w:val="24"/>
        </w:rPr>
        <w:t>Concolino P</w:t>
      </w:r>
      <w:r w:rsidRPr="00054A0E">
        <w:rPr>
          <w:rFonts w:ascii="Book Antiqua" w:hAnsi="Book Antiqua"/>
          <w:sz w:val="24"/>
          <w:szCs w:val="24"/>
        </w:rPr>
        <w:t xml:space="preserve">, Rizza R, Mignone F, Costella A, Guarino D, Carboni I, Capoluongo E, Santonocito C, Urbani A, Minucci A. A comprehensive BRCA1/2 NGS pipeline for an immediate Copy Number Variation (CNV) detection in breast and ovarian cancer molecular diagnosis. </w:t>
      </w:r>
      <w:r w:rsidRPr="00054A0E">
        <w:rPr>
          <w:rFonts w:ascii="Book Antiqua" w:hAnsi="Book Antiqua"/>
          <w:i/>
          <w:sz w:val="24"/>
          <w:szCs w:val="24"/>
        </w:rPr>
        <w:t>Clin Chim Acta</w:t>
      </w:r>
      <w:r w:rsidRPr="00054A0E">
        <w:rPr>
          <w:rFonts w:ascii="Book Antiqua" w:hAnsi="Book Antiqua"/>
          <w:sz w:val="24"/>
          <w:szCs w:val="24"/>
        </w:rPr>
        <w:t xml:space="preserve"> 2018; </w:t>
      </w:r>
      <w:r w:rsidRPr="00054A0E">
        <w:rPr>
          <w:rFonts w:ascii="Book Antiqua" w:hAnsi="Book Antiqua"/>
          <w:b/>
          <w:sz w:val="24"/>
          <w:szCs w:val="24"/>
        </w:rPr>
        <w:t>480</w:t>
      </w:r>
      <w:r w:rsidRPr="00054A0E">
        <w:rPr>
          <w:rFonts w:ascii="Book Antiqua" w:hAnsi="Book Antiqua"/>
          <w:sz w:val="24"/>
          <w:szCs w:val="24"/>
        </w:rPr>
        <w:t>: 173-179 [PMID: 29458049 DOI: 10.1016/j.cca.2018.02.012]</w:t>
      </w:r>
    </w:p>
    <w:p w14:paraId="2145FC4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86 </w:t>
      </w:r>
      <w:r w:rsidRPr="00054A0E">
        <w:rPr>
          <w:rFonts w:ascii="Book Antiqua" w:hAnsi="Book Antiqua"/>
          <w:b/>
          <w:sz w:val="24"/>
          <w:szCs w:val="24"/>
        </w:rPr>
        <w:t>Allaband C</w:t>
      </w:r>
      <w:r w:rsidRPr="00054A0E">
        <w:rPr>
          <w:rFonts w:ascii="Book Antiqua" w:hAnsi="Book Antiqua"/>
          <w:sz w:val="24"/>
          <w:szCs w:val="24"/>
        </w:rPr>
        <w:t xml:space="preserve">, McDonald D, Vázquez-Baeza Y, Minich JJ, Tripathi A, Brenner DA, Loomba R, Smarr L, Sandborn WJ, Schnabl B, Dorrestein P, Zarrinpar A, Knight R. Microbiome 101: Studying, Analyzing, and Interpreting Gut Microbiome Data for Clinicians. </w:t>
      </w:r>
      <w:r w:rsidRPr="00054A0E">
        <w:rPr>
          <w:rFonts w:ascii="Book Antiqua" w:hAnsi="Book Antiqua"/>
          <w:i/>
          <w:sz w:val="24"/>
          <w:szCs w:val="24"/>
        </w:rPr>
        <w:t>Clin Gastroenterol Hepatol</w:t>
      </w:r>
      <w:r w:rsidRPr="00054A0E">
        <w:rPr>
          <w:rFonts w:ascii="Book Antiqua" w:hAnsi="Book Antiqua"/>
          <w:sz w:val="24"/>
          <w:szCs w:val="24"/>
        </w:rPr>
        <w:t xml:space="preserve"> 2019; </w:t>
      </w:r>
      <w:r w:rsidRPr="00054A0E">
        <w:rPr>
          <w:rFonts w:ascii="Book Antiqua" w:hAnsi="Book Antiqua"/>
          <w:b/>
          <w:sz w:val="24"/>
          <w:szCs w:val="24"/>
        </w:rPr>
        <w:t>17</w:t>
      </w:r>
      <w:r w:rsidRPr="00054A0E">
        <w:rPr>
          <w:rFonts w:ascii="Book Antiqua" w:hAnsi="Book Antiqua"/>
          <w:sz w:val="24"/>
          <w:szCs w:val="24"/>
        </w:rPr>
        <w:t>: 218-230 [PMID: 30240894 DOI: 10.1016/j.cgh.2018.09.017]</w:t>
      </w:r>
    </w:p>
    <w:p w14:paraId="14EB8CF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87 </w:t>
      </w:r>
      <w:r w:rsidRPr="00054A0E">
        <w:rPr>
          <w:rFonts w:ascii="Book Antiqua" w:hAnsi="Book Antiqua"/>
          <w:b/>
          <w:sz w:val="24"/>
          <w:szCs w:val="24"/>
        </w:rPr>
        <w:t>Jovel J</w:t>
      </w:r>
      <w:r w:rsidRPr="00054A0E">
        <w:rPr>
          <w:rFonts w:ascii="Book Antiqua" w:hAnsi="Book Antiqua"/>
          <w:sz w:val="24"/>
          <w:szCs w:val="24"/>
        </w:rPr>
        <w:t xml:space="preserve">, Patterson J, Wang W, Hotte N, O'Keefe S, Mitchel T, Perry T, Kao D, Mason AL, Madsen KL, Wong GK. Characterization of the Gut Microbiome Using 16S or Shotgun Metagenomics. </w:t>
      </w:r>
      <w:r w:rsidRPr="00054A0E">
        <w:rPr>
          <w:rFonts w:ascii="Book Antiqua" w:hAnsi="Book Antiqua"/>
          <w:i/>
          <w:sz w:val="24"/>
          <w:szCs w:val="24"/>
        </w:rPr>
        <w:t>Front Microbiol</w:t>
      </w:r>
      <w:r w:rsidRPr="00054A0E">
        <w:rPr>
          <w:rFonts w:ascii="Book Antiqua" w:hAnsi="Book Antiqua"/>
          <w:sz w:val="24"/>
          <w:szCs w:val="24"/>
        </w:rPr>
        <w:t xml:space="preserve"> 2016; </w:t>
      </w:r>
      <w:r w:rsidRPr="00054A0E">
        <w:rPr>
          <w:rFonts w:ascii="Book Antiqua" w:hAnsi="Book Antiqua"/>
          <w:b/>
          <w:sz w:val="24"/>
          <w:szCs w:val="24"/>
        </w:rPr>
        <w:t>7</w:t>
      </w:r>
      <w:r w:rsidRPr="00054A0E">
        <w:rPr>
          <w:rFonts w:ascii="Book Antiqua" w:hAnsi="Book Antiqua"/>
          <w:sz w:val="24"/>
          <w:szCs w:val="24"/>
        </w:rPr>
        <w:t>: 459 [PMID: 27148170 DOI: 10.3389/fmicb.2016.00459]</w:t>
      </w:r>
    </w:p>
    <w:p w14:paraId="2B8B34B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88 </w:t>
      </w:r>
      <w:r w:rsidRPr="00054A0E">
        <w:rPr>
          <w:rFonts w:ascii="Book Antiqua" w:hAnsi="Book Antiqua"/>
          <w:b/>
          <w:sz w:val="24"/>
          <w:szCs w:val="24"/>
        </w:rPr>
        <w:t>Ritari J</w:t>
      </w:r>
      <w:r w:rsidRPr="00054A0E">
        <w:rPr>
          <w:rFonts w:ascii="Book Antiqua" w:hAnsi="Book Antiqua"/>
          <w:sz w:val="24"/>
          <w:szCs w:val="24"/>
        </w:rPr>
        <w:t xml:space="preserve">, Salojärvi J, Lahti L, de Vos WM. Improved taxonomic assignment of human intestinal 16S rRNA sequences by a dedicated reference database. </w:t>
      </w:r>
      <w:r w:rsidRPr="00054A0E">
        <w:rPr>
          <w:rFonts w:ascii="Book Antiqua" w:hAnsi="Book Antiqua"/>
          <w:i/>
          <w:sz w:val="24"/>
          <w:szCs w:val="24"/>
        </w:rPr>
        <w:t>BMC Genomics</w:t>
      </w:r>
      <w:r w:rsidRPr="00054A0E">
        <w:rPr>
          <w:rFonts w:ascii="Book Antiqua" w:hAnsi="Book Antiqua"/>
          <w:sz w:val="24"/>
          <w:szCs w:val="24"/>
        </w:rPr>
        <w:t xml:space="preserve"> 2015; </w:t>
      </w:r>
      <w:r w:rsidRPr="00054A0E">
        <w:rPr>
          <w:rFonts w:ascii="Book Antiqua" w:hAnsi="Book Antiqua"/>
          <w:b/>
          <w:sz w:val="24"/>
          <w:szCs w:val="24"/>
        </w:rPr>
        <w:t>16</w:t>
      </w:r>
      <w:r w:rsidRPr="00054A0E">
        <w:rPr>
          <w:rFonts w:ascii="Book Antiqua" w:hAnsi="Book Antiqua"/>
          <w:sz w:val="24"/>
          <w:szCs w:val="24"/>
        </w:rPr>
        <w:t>: 1056 [PMID: 26651617 DOI: 10.1186/s12864-015-2265-y]</w:t>
      </w:r>
    </w:p>
    <w:p w14:paraId="16726D0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89 </w:t>
      </w:r>
      <w:r w:rsidRPr="00054A0E">
        <w:rPr>
          <w:rFonts w:ascii="Book Antiqua" w:hAnsi="Book Antiqua"/>
          <w:b/>
          <w:sz w:val="24"/>
          <w:szCs w:val="24"/>
        </w:rPr>
        <w:t>Forster SC</w:t>
      </w:r>
      <w:r w:rsidRPr="00054A0E">
        <w:rPr>
          <w:rFonts w:ascii="Book Antiqua" w:hAnsi="Book Antiqua"/>
          <w:sz w:val="24"/>
          <w:szCs w:val="24"/>
        </w:rPr>
        <w:t xml:space="preserve">, Browne HP, Kumar N, Hunt M, Denise H, Mitchell A, Finn RD, Lawley TD. HPMCD: the database of human microbial communities from metagenomic datasets and microbial reference genomes. </w:t>
      </w:r>
      <w:r w:rsidRPr="00054A0E">
        <w:rPr>
          <w:rFonts w:ascii="Book Antiqua" w:hAnsi="Book Antiqua"/>
          <w:i/>
          <w:sz w:val="24"/>
          <w:szCs w:val="24"/>
        </w:rPr>
        <w:t>Nucleic Acids Res</w:t>
      </w:r>
      <w:r w:rsidRPr="00054A0E">
        <w:rPr>
          <w:rFonts w:ascii="Book Antiqua" w:hAnsi="Book Antiqua"/>
          <w:sz w:val="24"/>
          <w:szCs w:val="24"/>
        </w:rPr>
        <w:t xml:space="preserve"> 2016; </w:t>
      </w:r>
      <w:r w:rsidRPr="00054A0E">
        <w:rPr>
          <w:rFonts w:ascii="Book Antiqua" w:hAnsi="Book Antiqua"/>
          <w:b/>
          <w:sz w:val="24"/>
          <w:szCs w:val="24"/>
        </w:rPr>
        <w:t>44</w:t>
      </w:r>
      <w:r w:rsidRPr="00054A0E">
        <w:rPr>
          <w:rFonts w:ascii="Book Antiqua" w:hAnsi="Book Antiqua"/>
          <w:sz w:val="24"/>
          <w:szCs w:val="24"/>
        </w:rPr>
        <w:t>: D604-D609 [PMID: 26578596 DOI: 10.1093/nar/gkv1216]</w:t>
      </w:r>
    </w:p>
    <w:p w14:paraId="3ECCAA5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90 </w:t>
      </w:r>
      <w:r w:rsidRPr="00054A0E">
        <w:rPr>
          <w:rFonts w:ascii="Book Antiqua" w:hAnsi="Book Antiqua"/>
          <w:b/>
          <w:sz w:val="24"/>
          <w:szCs w:val="24"/>
        </w:rPr>
        <w:t>Laudadio I</w:t>
      </w:r>
      <w:r w:rsidRPr="00054A0E">
        <w:rPr>
          <w:rFonts w:ascii="Book Antiqua" w:hAnsi="Book Antiqua"/>
          <w:sz w:val="24"/>
          <w:szCs w:val="24"/>
        </w:rPr>
        <w:t xml:space="preserve">, Fulci V, Palone F, Stronati L, Cucchiara S, Carissimi C. Quantitative Assessment of Shotgun Metagenomics and 16S rDNA Amplicon Sequencing in the Study of Human Gut Microbiome. </w:t>
      </w:r>
      <w:r w:rsidRPr="00054A0E">
        <w:rPr>
          <w:rFonts w:ascii="Book Antiqua" w:hAnsi="Book Antiqua"/>
          <w:i/>
          <w:sz w:val="24"/>
          <w:szCs w:val="24"/>
        </w:rPr>
        <w:t>OMICS</w:t>
      </w:r>
      <w:r w:rsidRPr="00054A0E">
        <w:rPr>
          <w:rFonts w:ascii="Book Antiqua" w:hAnsi="Book Antiqua"/>
          <w:sz w:val="24"/>
          <w:szCs w:val="24"/>
        </w:rPr>
        <w:t xml:space="preserve"> 2018; </w:t>
      </w:r>
      <w:r w:rsidRPr="00054A0E">
        <w:rPr>
          <w:rFonts w:ascii="Book Antiqua" w:hAnsi="Book Antiqua"/>
          <w:b/>
          <w:sz w:val="24"/>
          <w:szCs w:val="24"/>
        </w:rPr>
        <w:t>22</w:t>
      </w:r>
      <w:r w:rsidRPr="00054A0E">
        <w:rPr>
          <w:rFonts w:ascii="Book Antiqua" w:hAnsi="Book Antiqua"/>
          <w:sz w:val="24"/>
          <w:szCs w:val="24"/>
        </w:rPr>
        <w:t>: 248-254 [PMID: 29652573 DOI: 10.1089/omi.2018.0013]</w:t>
      </w:r>
    </w:p>
    <w:p w14:paraId="4CB073F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91 </w:t>
      </w:r>
      <w:r w:rsidRPr="00054A0E">
        <w:rPr>
          <w:rFonts w:ascii="Book Antiqua" w:hAnsi="Book Antiqua"/>
          <w:b/>
          <w:sz w:val="24"/>
          <w:szCs w:val="24"/>
        </w:rPr>
        <w:t>Ranjan R</w:t>
      </w:r>
      <w:r w:rsidRPr="00054A0E">
        <w:rPr>
          <w:rFonts w:ascii="Book Antiqua" w:hAnsi="Book Antiqua"/>
          <w:sz w:val="24"/>
          <w:szCs w:val="24"/>
        </w:rPr>
        <w:t xml:space="preserve">, Rani A, Metwally A, McGee HS, Perkins DL. Analysis of the microbiome: Advantages of whole genome shotgun versus 16S amplicon sequencing. </w:t>
      </w:r>
      <w:r w:rsidRPr="00054A0E">
        <w:rPr>
          <w:rFonts w:ascii="Book Antiqua" w:hAnsi="Book Antiqua"/>
          <w:i/>
          <w:sz w:val="24"/>
          <w:szCs w:val="24"/>
        </w:rPr>
        <w:t>Biochem Biophys Res Commun</w:t>
      </w:r>
      <w:r w:rsidRPr="00054A0E">
        <w:rPr>
          <w:rFonts w:ascii="Book Antiqua" w:hAnsi="Book Antiqua"/>
          <w:sz w:val="24"/>
          <w:szCs w:val="24"/>
        </w:rPr>
        <w:t xml:space="preserve"> 2016; </w:t>
      </w:r>
      <w:r w:rsidRPr="00054A0E">
        <w:rPr>
          <w:rFonts w:ascii="Book Antiqua" w:hAnsi="Book Antiqua"/>
          <w:b/>
          <w:sz w:val="24"/>
          <w:szCs w:val="24"/>
        </w:rPr>
        <w:t>469</w:t>
      </w:r>
      <w:r w:rsidRPr="00054A0E">
        <w:rPr>
          <w:rFonts w:ascii="Book Antiqua" w:hAnsi="Book Antiqua"/>
          <w:sz w:val="24"/>
          <w:szCs w:val="24"/>
        </w:rPr>
        <w:t>: 967-977 [PMID: 26718401 DOI: 10.1016/j.bbrc.2015.12.083]</w:t>
      </w:r>
    </w:p>
    <w:p w14:paraId="285CF3A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92 </w:t>
      </w:r>
      <w:r w:rsidRPr="00054A0E">
        <w:rPr>
          <w:rFonts w:ascii="Book Antiqua" w:hAnsi="Book Antiqua"/>
          <w:b/>
          <w:sz w:val="24"/>
          <w:szCs w:val="24"/>
        </w:rPr>
        <w:t>Zhang J</w:t>
      </w:r>
      <w:r w:rsidRPr="00054A0E">
        <w:rPr>
          <w:rFonts w:ascii="Book Antiqua" w:hAnsi="Book Antiqua"/>
          <w:sz w:val="24"/>
          <w:szCs w:val="24"/>
        </w:rPr>
        <w:t xml:space="preserve">, Ding X, Guan R, Zhu C, Xu C, Zhu B, Zhang H, Xiong Z, Xue Y, Tu J, Lu Z. Evaluation of different 16S rRNA gene V regions for exploring bacterial diversity in a eutrophic freshwater lake. </w:t>
      </w:r>
      <w:r w:rsidRPr="00054A0E">
        <w:rPr>
          <w:rFonts w:ascii="Book Antiqua" w:hAnsi="Book Antiqua"/>
          <w:i/>
          <w:sz w:val="24"/>
          <w:szCs w:val="24"/>
        </w:rPr>
        <w:t>Sci Total Environ</w:t>
      </w:r>
      <w:r w:rsidRPr="00054A0E">
        <w:rPr>
          <w:rFonts w:ascii="Book Antiqua" w:hAnsi="Book Antiqua"/>
          <w:sz w:val="24"/>
          <w:szCs w:val="24"/>
        </w:rPr>
        <w:t xml:space="preserve"> 2018; </w:t>
      </w:r>
      <w:r w:rsidRPr="00054A0E">
        <w:rPr>
          <w:rFonts w:ascii="Book Antiqua" w:hAnsi="Book Antiqua"/>
          <w:b/>
          <w:sz w:val="24"/>
          <w:szCs w:val="24"/>
        </w:rPr>
        <w:t>618</w:t>
      </w:r>
      <w:r w:rsidRPr="00054A0E">
        <w:rPr>
          <w:rFonts w:ascii="Book Antiqua" w:hAnsi="Book Antiqua"/>
          <w:sz w:val="24"/>
          <w:szCs w:val="24"/>
        </w:rPr>
        <w:t>: 1254-1267 [PMID: 29089134 DOI: 10.1016/j.scitotenv.2017.09.228]</w:t>
      </w:r>
    </w:p>
    <w:p w14:paraId="10FC980D" w14:textId="769D958F"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93 </w:t>
      </w:r>
      <w:r w:rsidRPr="00054A0E">
        <w:rPr>
          <w:rFonts w:ascii="Book Antiqua" w:hAnsi="Book Antiqua"/>
          <w:b/>
          <w:sz w:val="24"/>
          <w:szCs w:val="24"/>
        </w:rPr>
        <w:t>Jian C</w:t>
      </w:r>
      <w:r w:rsidRPr="009F0D86">
        <w:rPr>
          <w:rFonts w:ascii="Book Antiqua" w:hAnsi="Book Antiqua"/>
          <w:sz w:val="24"/>
          <w:szCs w:val="24"/>
        </w:rPr>
        <w:t xml:space="preserve">, </w:t>
      </w:r>
      <w:r w:rsidRPr="00054A0E">
        <w:rPr>
          <w:rFonts w:ascii="Book Antiqua" w:hAnsi="Book Antiqua"/>
          <w:sz w:val="24"/>
          <w:szCs w:val="24"/>
        </w:rPr>
        <w:t>Luukkonen P, Yki-Jarvinen H, Salonen A, Korpela K. Quantitative PCR provides a simple and accessible method for quantitative microbiome profiling. 2018 Preprint. Available from: BioRxiv:478685 [DOI: 10.1101/478685]</w:t>
      </w:r>
    </w:p>
    <w:p w14:paraId="4561F5A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94 </w:t>
      </w:r>
      <w:r w:rsidRPr="00054A0E">
        <w:rPr>
          <w:rFonts w:ascii="Book Antiqua" w:hAnsi="Book Antiqua"/>
          <w:b/>
          <w:sz w:val="24"/>
          <w:szCs w:val="24"/>
        </w:rPr>
        <w:t>Couch RD</w:t>
      </w:r>
      <w:r w:rsidRPr="00054A0E">
        <w:rPr>
          <w:rFonts w:ascii="Book Antiqua" w:hAnsi="Book Antiqua"/>
          <w:sz w:val="24"/>
          <w:szCs w:val="24"/>
        </w:rPr>
        <w:t xml:space="preserve">, Navarro K, Sikaroodi M, Gillevet P, Forsyth CB, Mutlu E, Engen PA, Keshavarzian A. The approach to sample acquisition and its impact on the derived human fecal microbiome and VOC metabolome. </w:t>
      </w:r>
      <w:r w:rsidRPr="00054A0E">
        <w:rPr>
          <w:rFonts w:ascii="Book Antiqua" w:hAnsi="Book Antiqua"/>
          <w:i/>
          <w:sz w:val="24"/>
          <w:szCs w:val="24"/>
        </w:rPr>
        <w:t>PLoS One</w:t>
      </w:r>
      <w:r w:rsidRPr="00054A0E">
        <w:rPr>
          <w:rFonts w:ascii="Book Antiqua" w:hAnsi="Book Antiqua"/>
          <w:sz w:val="24"/>
          <w:szCs w:val="24"/>
        </w:rPr>
        <w:t xml:space="preserve"> 2013; </w:t>
      </w:r>
      <w:r w:rsidRPr="00054A0E">
        <w:rPr>
          <w:rFonts w:ascii="Book Antiqua" w:hAnsi="Book Antiqua"/>
          <w:b/>
          <w:sz w:val="24"/>
          <w:szCs w:val="24"/>
        </w:rPr>
        <w:t>8</w:t>
      </w:r>
      <w:r w:rsidRPr="00054A0E">
        <w:rPr>
          <w:rFonts w:ascii="Book Antiqua" w:hAnsi="Book Antiqua"/>
          <w:sz w:val="24"/>
          <w:szCs w:val="24"/>
        </w:rPr>
        <w:t>: e81163 [PMID: 24260553 DOI: 10.1371/journal.pone.0081163]</w:t>
      </w:r>
    </w:p>
    <w:p w14:paraId="5A19D3B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95 </w:t>
      </w:r>
      <w:r w:rsidRPr="00054A0E">
        <w:rPr>
          <w:rFonts w:ascii="Book Antiqua" w:hAnsi="Book Antiqua"/>
          <w:b/>
          <w:sz w:val="24"/>
          <w:szCs w:val="24"/>
        </w:rPr>
        <w:t>Malla MA</w:t>
      </w:r>
      <w:r w:rsidRPr="00054A0E">
        <w:rPr>
          <w:rFonts w:ascii="Book Antiqua" w:hAnsi="Book Antiqua"/>
          <w:sz w:val="24"/>
          <w:szCs w:val="24"/>
        </w:rPr>
        <w:t xml:space="preserve">, Dubey A, Kumar A, Yadav S, Hashem A, Abd Allah EF. Exploring the Human Microbiome: The Potential Future Role of Next-Generation Sequencing in Disease Diagnosis and Treatment. </w:t>
      </w:r>
      <w:r w:rsidRPr="00054A0E">
        <w:rPr>
          <w:rFonts w:ascii="Book Antiqua" w:hAnsi="Book Antiqua"/>
          <w:i/>
          <w:sz w:val="24"/>
          <w:szCs w:val="24"/>
        </w:rPr>
        <w:t>Front Immunol</w:t>
      </w:r>
      <w:r w:rsidRPr="00054A0E">
        <w:rPr>
          <w:rFonts w:ascii="Book Antiqua" w:hAnsi="Book Antiqua"/>
          <w:sz w:val="24"/>
          <w:szCs w:val="24"/>
        </w:rPr>
        <w:t xml:space="preserve"> 2019; </w:t>
      </w:r>
      <w:r w:rsidRPr="00054A0E">
        <w:rPr>
          <w:rFonts w:ascii="Book Antiqua" w:hAnsi="Book Antiqua"/>
          <w:b/>
          <w:sz w:val="24"/>
          <w:szCs w:val="24"/>
        </w:rPr>
        <w:t>9</w:t>
      </w:r>
      <w:r w:rsidRPr="00054A0E">
        <w:rPr>
          <w:rFonts w:ascii="Book Antiqua" w:hAnsi="Book Antiqua"/>
          <w:sz w:val="24"/>
          <w:szCs w:val="24"/>
        </w:rPr>
        <w:t>: 2868 [PMID: 30666248 DOI: 10.3389/fimmu.2018.02868]</w:t>
      </w:r>
    </w:p>
    <w:p w14:paraId="2BDC21B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96 </w:t>
      </w:r>
      <w:r w:rsidRPr="00054A0E">
        <w:rPr>
          <w:rFonts w:ascii="Book Antiqua" w:hAnsi="Book Antiqua"/>
          <w:b/>
          <w:sz w:val="24"/>
          <w:szCs w:val="24"/>
        </w:rPr>
        <w:t>Rajilić-Stojanović M</w:t>
      </w:r>
      <w:r w:rsidRPr="00054A0E">
        <w:rPr>
          <w:rFonts w:ascii="Book Antiqua" w:hAnsi="Book Antiqua"/>
          <w:sz w:val="24"/>
          <w:szCs w:val="24"/>
        </w:rPr>
        <w:t xml:space="preserve">, de Vos WM. The first 1000 cultured species of the human gastrointestinal microbiota. </w:t>
      </w:r>
      <w:r w:rsidRPr="00054A0E">
        <w:rPr>
          <w:rFonts w:ascii="Book Antiqua" w:hAnsi="Book Antiqua"/>
          <w:i/>
          <w:sz w:val="24"/>
          <w:szCs w:val="24"/>
        </w:rPr>
        <w:t>FEMS Microbiol Rev</w:t>
      </w:r>
      <w:r w:rsidRPr="00054A0E">
        <w:rPr>
          <w:rFonts w:ascii="Book Antiqua" w:hAnsi="Book Antiqua"/>
          <w:sz w:val="24"/>
          <w:szCs w:val="24"/>
        </w:rPr>
        <w:t xml:space="preserve"> 2014; </w:t>
      </w:r>
      <w:r w:rsidRPr="00054A0E">
        <w:rPr>
          <w:rFonts w:ascii="Book Antiqua" w:hAnsi="Book Antiqua"/>
          <w:b/>
          <w:sz w:val="24"/>
          <w:szCs w:val="24"/>
        </w:rPr>
        <w:t>38</w:t>
      </w:r>
      <w:r w:rsidRPr="00054A0E">
        <w:rPr>
          <w:rFonts w:ascii="Book Antiqua" w:hAnsi="Book Antiqua"/>
          <w:sz w:val="24"/>
          <w:szCs w:val="24"/>
        </w:rPr>
        <w:t>: 996-1047 [PMID: 24861948 DOI: 10.1111/1574-6976.12075]</w:t>
      </w:r>
    </w:p>
    <w:p w14:paraId="37057A1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97 </w:t>
      </w:r>
      <w:r w:rsidRPr="00054A0E">
        <w:rPr>
          <w:rFonts w:ascii="Book Antiqua" w:hAnsi="Book Antiqua"/>
          <w:b/>
          <w:sz w:val="24"/>
          <w:szCs w:val="24"/>
        </w:rPr>
        <w:t>Aydin Ö</w:t>
      </w:r>
      <w:r w:rsidRPr="00054A0E">
        <w:rPr>
          <w:rFonts w:ascii="Book Antiqua" w:hAnsi="Book Antiqua"/>
          <w:sz w:val="24"/>
          <w:szCs w:val="24"/>
        </w:rPr>
        <w:t xml:space="preserve">, Nieuwdorp M, Gerdes V. The Gut Microbiome as a Target for the Treatment of Type 2 Diabetes. </w:t>
      </w:r>
      <w:r w:rsidRPr="00054A0E">
        <w:rPr>
          <w:rFonts w:ascii="Book Antiqua" w:hAnsi="Book Antiqua"/>
          <w:i/>
          <w:sz w:val="24"/>
          <w:szCs w:val="24"/>
        </w:rPr>
        <w:t>Curr Diab Rep</w:t>
      </w:r>
      <w:r w:rsidRPr="00054A0E">
        <w:rPr>
          <w:rFonts w:ascii="Book Antiqua" w:hAnsi="Book Antiqua"/>
          <w:sz w:val="24"/>
          <w:szCs w:val="24"/>
        </w:rPr>
        <w:t xml:space="preserve"> 2018; </w:t>
      </w:r>
      <w:r w:rsidRPr="00054A0E">
        <w:rPr>
          <w:rFonts w:ascii="Book Antiqua" w:hAnsi="Book Antiqua"/>
          <w:b/>
          <w:sz w:val="24"/>
          <w:szCs w:val="24"/>
        </w:rPr>
        <w:t>18</w:t>
      </w:r>
      <w:r w:rsidRPr="00054A0E">
        <w:rPr>
          <w:rFonts w:ascii="Book Antiqua" w:hAnsi="Book Antiqua"/>
          <w:sz w:val="24"/>
          <w:szCs w:val="24"/>
        </w:rPr>
        <w:t>: 55 [PMID: 29931613 DOI: 10.1007/s11892-018-1020-6]</w:t>
      </w:r>
    </w:p>
    <w:p w14:paraId="68288DD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98 </w:t>
      </w:r>
      <w:r w:rsidRPr="00054A0E">
        <w:rPr>
          <w:rFonts w:ascii="Book Antiqua" w:hAnsi="Book Antiqua"/>
          <w:b/>
          <w:sz w:val="24"/>
          <w:szCs w:val="24"/>
        </w:rPr>
        <w:t>Bhute SS</w:t>
      </w:r>
      <w:r w:rsidRPr="00054A0E">
        <w:rPr>
          <w:rFonts w:ascii="Book Antiqua" w:hAnsi="Book Antiqua"/>
          <w:sz w:val="24"/>
          <w:szCs w:val="24"/>
        </w:rPr>
        <w:t xml:space="preserve">, Suryavanshi MV, Joshi SM, Yajnik CS, Shouche YS, Ghaskadbi SS. Gut Microbial Diversity Assessment of Indian Type-2-Diabetics Reveals Alterations in Eubacteria, Archaea, and Eukaryotes. </w:t>
      </w:r>
      <w:r w:rsidRPr="00054A0E">
        <w:rPr>
          <w:rFonts w:ascii="Book Antiqua" w:hAnsi="Book Antiqua"/>
          <w:i/>
          <w:sz w:val="24"/>
          <w:szCs w:val="24"/>
        </w:rPr>
        <w:t>Front Microbiol</w:t>
      </w:r>
      <w:r w:rsidRPr="00054A0E">
        <w:rPr>
          <w:rFonts w:ascii="Book Antiqua" w:hAnsi="Book Antiqua"/>
          <w:sz w:val="24"/>
          <w:szCs w:val="24"/>
        </w:rPr>
        <w:t xml:space="preserve"> 2017; </w:t>
      </w:r>
      <w:r w:rsidRPr="00054A0E">
        <w:rPr>
          <w:rFonts w:ascii="Book Antiqua" w:hAnsi="Book Antiqua"/>
          <w:b/>
          <w:sz w:val="24"/>
          <w:szCs w:val="24"/>
        </w:rPr>
        <w:t>8</w:t>
      </w:r>
      <w:r w:rsidRPr="00054A0E">
        <w:rPr>
          <w:rFonts w:ascii="Book Antiqua" w:hAnsi="Book Antiqua"/>
          <w:sz w:val="24"/>
          <w:szCs w:val="24"/>
        </w:rPr>
        <w:t>: 214 [PMID: 28261173 DOI: 10.3389/fmicb.2017.00214]</w:t>
      </w:r>
    </w:p>
    <w:p w14:paraId="76D5EBE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99 </w:t>
      </w:r>
      <w:r w:rsidRPr="00054A0E">
        <w:rPr>
          <w:rFonts w:ascii="Book Antiqua" w:hAnsi="Book Antiqua"/>
          <w:b/>
          <w:sz w:val="24"/>
          <w:szCs w:val="24"/>
        </w:rPr>
        <w:t>Belzer C</w:t>
      </w:r>
      <w:r w:rsidRPr="00054A0E">
        <w:rPr>
          <w:rFonts w:ascii="Book Antiqua" w:hAnsi="Book Antiqua"/>
          <w:sz w:val="24"/>
          <w:szCs w:val="24"/>
        </w:rPr>
        <w:t xml:space="preserve">, de Vos WM. Microbes inside--from diversity to function: the case of Akkermansia. </w:t>
      </w:r>
      <w:r w:rsidRPr="00054A0E">
        <w:rPr>
          <w:rFonts w:ascii="Book Antiqua" w:hAnsi="Book Antiqua"/>
          <w:i/>
          <w:sz w:val="24"/>
          <w:szCs w:val="24"/>
        </w:rPr>
        <w:t>ISME J</w:t>
      </w:r>
      <w:r w:rsidRPr="00054A0E">
        <w:rPr>
          <w:rFonts w:ascii="Book Antiqua" w:hAnsi="Book Antiqua"/>
          <w:sz w:val="24"/>
          <w:szCs w:val="24"/>
        </w:rPr>
        <w:t xml:space="preserve"> 2012; </w:t>
      </w:r>
      <w:r w:rsidRPr="00054A0E">
        <w:rPr>
          <w:rFonts w:ascii="Book Antiqua" w:hAnsi="Book Antiqua"/>
          <w:b/>
          <w:sz w:val="24"/>
          <w:szCs w:val="24"/>
        </w:rPr>
        <w:t>6</w:t>
      </w:r>
      <w:r w:rsidRPr="00054A0E">
        <w:rPr>
          <w:rFonts w:ascii="Book Antiqua" w:hAnsi="Book Antiqua"/>
          <w:sz w:val="24"/>
          <w:szCs w:val="24"/>
        </w:rPr>
        <w:t>: 1449-1458 [PMID: 22437156 DOI: 10.1038/ismej.2012.6]</w:t>
      </w:r>
    </w:p>
    <w:p w14:paraId="07C91B9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100 </w:t>
      </w:r>
      <w:r w:rsidRPr="00054A0E">
        <w:rPr>
          <w:rFonts w:ascii="Book Antiqua" w:hAnsi="Book Antiqua"/>
          <w:b/>
          <w:sz w:val="24"/>
          <w:szCs w:val="24"/>
        </w:rPr>
        <w:t>Sircana A</w:t>
      </w:r>
      <w:r w:rsidRPr="00054A0E">
        <w:rPr>
          <w:rFonts w:ascii="Book Antiqua" w:hAnsi="Book Antiqua"/>
          <w:sz w:val="24"/>
          <w:szCs w:val="24"/>
        </w:rPr>
        <w:t xml:space="preserve">, Framarin L, Leone N, Berrutti M, Castellino F, Parente R, De Michieli F, Paschetta E, Musso G. Altered Gut Microbiota in Type 2 Diabetes: Just a Coincidence? </w:t>
      </w:r>
      <w:r w:rsidRPr="00054A0E">
        <w:rPr>
          <w:rFonts w:ascii="Book Antiqua" w:hAnsi="Book Antiqua"/>
          <w:i/>
          <w:sz w:val="24"/>
          <w:szCs w:val="24"/>
        </w:rPr>
        <w:t>Curr Diab Rep</w:t>
      </w:r>
      <w:r w:rsidRPr="00054A0E">
        <w:rPr>
          <w:rFonts w:ascii="Book Antiqua" w:hAnsi="Book Antiqua"/>
          <w:sz w:val="24"/>
          <w:szCs w:val="24"/>
        </w:rPr>
        <w:t xml:space="preserve"> 2018; </w:t>
      </w:r>
      <w:r w:rsidRPr="00054A0E">
        <w:rPr>
          <w:rFonts w:ascii="Book Antiqua" w:hAnsi="Book Antiqua"/>
          <w:b/>
          <w:sz w:val="24"/>
          <w:szCs w:val="24"/>
        </w:rPr>
        <w:t>18</w:t>
      </w:r>
      <w:r w:rsidRPr="00054A0E">
        <w:rPr>
          <w:rFonts w:ascii="Book Antiqua" w:hAnsi="Book Antiqua"/>
          <w:sz w:val="24"/>
          <w:szCs w:val="24"/>
        </w:rPr>
        <w:t>: 98 [PMID: 30215149 DOI: 10.1007/s11892-018-1057-6]</w:t>
      </w:r>
    </w:p>
    <w:p w14:paraId="493391A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101 </w:t>
      </w:r>
      <w:r w:rsidRPr="00054A0E">
        <w:rPr>
          <w:rFonts w:ascii="Book Antiqua" w:hAnsi="Book Antiqua"/>
          <w:b/>
          <w:sz w:val="24"/>
          <w:szCs w:val="24"/>
        </w:rPr>
        <w:t>Moreno-Indias I</w:t>
      </w:r>
      <w:r w:rsidRPr="00054A0E">
        <w:rPr>
          <w:rFonts w:ascii="Book Antiqua" w:hAnsi="Book Antiqua"/>
          <w:sz w:val="24"/>
          <w:szCs w:val="24"/>
        </w:rPr>
        <w:t xml:space="preserve">, Cardona F, Tinahones FJ, Queipo-Ortuño MI. Impact of the gut microbiota on the development of obesity and type 2 diabetes mellitus. </w:t>
      </w:r>
      <w:r w:rsidRPr="00054A0E">
        <w:rPr>
          <w:rFonts w:ascii="Book Antiqua" w:hAnsi="Book Antiqua"/>
          <w:i/>
          <w:sz w:val="24"/>
          <w:szCs w:val="24"/>
        </w:rPr>
        <w:t>Front Microbiol</w:t>
      </w:r>
      <w:r w:rsidRPr="00054A0E">
        <w:rPr>
          <w:rFonts w:ascii="Book Antiqua" w:hAnsi="Book Antiqua"/>
          <w:sz w:val="24"/>
          <w:szCs w:val="24"/>
        </w:rPr>
        <w:t xml:space="preserve"> 2014; </w:t>
      </w:r>
      <w:r w:rsidRPr="00054A0E">
        <w:rPr>
          <w:rFonts w:ascii="Book Antiqua" w:hAnsi="Book Antiqua"/>
          <w:b/>
          <w:sz w:val="24"/>
          <w:szCs w:val="24"/>
        </w:rPr>
        <w:t>5</w:t>
      </w:r>
      <w:r w:rsidRPr="00054A0E">
        <w:rPr>
          <w:rFonts w:ascii="Book Antiqua" w:hAnsi="Book Antiqua"/>
          <w:sz w:val="24"/>
          <w:szCs w:val="24"/>
        </w:rPr>
        <w:t>: 190 [PMID: 24808896 DOI: 10.3389/fmicb.2014.00190]</w:t>
      </w:r>
    </w:p>
    <w:p w14:paraId="5A6840F5" w14:textId="373B383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102 </w:t>
      </w:r>
      <w:r w:rsidRPr="00054A0E">
        <w:rPr>
          <w:rFonts w:ascii="Book Antiqua" w:hAnsi="Book Antiqua"/>
          <w:b/>
          <w:sz w:val="24"/>
          <w:szCs w:val="24"/>
        </w:rPr>
        <w:t xml:space="preserve">NCD Risk </w:t>
      </w:r>
      <w:r w:rsidR="00DD7B2A">
        <w:rPr>
          <w:rFonts w:ascii="Book Antiqua" w:hAnsi="Book Antiqua"/>
          <w:b/>
          <w:sz w:val="24"/>
          <w:szCs w:val="24"/>
        </w:rPr>
        <w:t>Factor Collaboration (NCD-RisC)</w:t>
      </w:r>
      <w:r w:rsidRPr="00054A0E">
        <w:rPr>
          <w:rFonts w:ascii="Book Antiqua" w:hAnsi="Book Antiqua"/>
          <w:sz w:val="24"/>
          <w:szCs w:val="24"/>
        </w:rPr>
        <w:t xml:space="preserve">. Worldwide trends in body-mass index, underweight, overweight, and obesity from 1975 to 2016: a pooled analysis of 2416 population-based measurement studies in 128·9 million children, adolescents, and adults. </w:t>
      </w:r>
      <w:r w:rsidRPr="00054A0E">
        <w:rPr>
          <w:rFonts w:ascii="Book Antiqua" w:hAnsi="Book Antiqua"/>
          <w:i/>
          <w:sz w:val="24"/>
          <w:szCs w:val="24"/>
        </w:rPr>
        <w:t>Lancet</w:t>
      </w:r>
      <w:r w:rsidRPr="00054A0E">
        <w:rPr>
          <w:rFonts w:ascii="Book Antiqua" w:hAnsi="Book Antiqua"/>
          <w:sz w:val="24"/>
          <w:szCs w:val="24"/>
        </w:rPr>
        <w:t xml:space="preserve"> 2017; </w:t>
      </w:r>
      <w:r w:rsidRPr="00054A0E">
        <w:rPr>
          <w:rFonts w:ascii="Book Antiqua" w:hAnsi="Book Antiqua"/>
          <w:b/>
          <w:sz w:val="24"/>
          <w:szCs w:val="24"/>
        </w:rPr>
        <w:t>390</w:t>
      </w:r>
      <w:r w:rsidRPr="00054A0E">
        <w:rPr>
          <w:rFonts w:ascii="Book Antiqua" w:hAnsi="Book Antiqua"/>
          <w:sz w:val="24"/>
          <w:szCs w:val="24"/>
        </w:rPr>
        <w:t>: 2627-2642 [PMID: 29029897 DOI: 10.1016/S0140-6736(17)32129-3]</w:t>
      </w:r>
    </w:p>
    <w:p w14:paraId="6C90F029" w14:textId="30CA3055"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103 </w:t>
      </w:r>
      <w:r w:rsidRPr="00054A0E">
        <w:rPr>
          <w:rFonts w:ascii="Book Antiqua" w:hAnsi="Book Antiqua"/>
          <w:b/>
          <w:sz w:val="24"/>
          <w:szCs w:val="24"/>
        </w:rPr>
        <w:t>Harsch IA</w:t>
      </w:r>
      <w:r w:rsidRPr="00054A0E">
        <w:rPr>
          <w:rFonts w:ascii="Book Antiqua" w:hAnsi="Book Antiqua"/>
          <w:sz w:val="24"/>
          <w:szCs w:val="24"/>
        </w:rPr>
        <w:t xml:space="preserve">, Konturek PC. The Role of Gut Microbiota in Obesity and Type 2 and Type 1 Diabetes Mellitus: New Insights into "Old" Diseases. </w:t>
      </w:r>
      <w:r w:rsidRPr="00054A0E">
        <w:rPr>
          <w:rFonts w:ascii="Book Antiqua" w:hAnsi="Book Antiqua"/>
          <w:i/>
          <w:sz w:val="24"/>
          <w:szCs w:val="24"/>
        </w:rPr>
        <w:t>Med Sci (Basel)</w:t>
      </w:r>
      <w:r w:rsidRPr="00054A0E">
        <w:rPr>
          <w:rFonts w:ascii="Book Antiqua" w:hAnsi="Book Antiqua"/>
          <w:sz w:val="24"/>
          <w:szCs w:val="24"/>
        </w:rPr>
        <w:t xml:space="preserve"> 2018; </w:t>
      </w:r>
      <w:r w:rsidRPr="00054A0E">
        <w:rPr>
          <w:rFonts w:ascii="Book Antiqua" w:hAnsi="Book Antiqua"/>
          <w:b/>
          <w:sz w:val="24"/>
          <w:szCs w:val="24"/>
        </w:rPr>
        <w:t>6</w:t>
      </w:r>
      <w:r w:rsidRPr="00054A0E">
        <w:rPr>
          <w:rFonts w:ascii="Book Antiqua" w:hAnsi="Book Antiqua"/>
          <w:sz w:val="24"/>
          <w:szCs w:val="24"/>
        </w:rPr>
        <w:t>:</w:t>
      </w:r>
      <w:r w:rsidR="0029219B" w:rsidRPr="0029219B">
        <w:rPr>
          <w:rFonts w:ascii="Arial" w:hAnsi="Arial" w:cs="Arial"/>
          <w:color w:val="000000"/>
          <w:sz w:val="18"/>
          <w:szCs w:val="18"/>
          <w:shd w:val="clear" w:color="auto" w:fill="FFFFFF"/>
        </w:rPr>
        <w:t xml:space="preserve"> </w:t>
      </w:r>
      <w:r w:rsidR="0029219B" w:rsidRPr="0029219B">
        <w:rPr>
          <w:rFonts w:ascii="Book Antiqua" w:hAnsi="Book Antiqua"/>
          <w:sz w:val="24"/>
          <w:szCs w:val="24"/>
        </w:rPr>
        <w:t>pii: E3</w:t>
      </w:r>
      <w:r w:rsidRPr="00054A0E">
        <w:rPr>
          <w:rFonts w:ascii="Book Antiqua" w:hAnsi="Book Antiqua"/>
          <w:sz w:val="24"/>
          <w:szCs w:val="24"/>
        </w:rPr>
        <w:t xml:space="preserve"> [PMID: 29673211 DOI: 10.3390/medsci6020032]</w:t>
      </w:r>
    </w:p>
    <w:p w14:paraId="0F5A4A16"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104 </w:t>
      </w:r>
      <w:r w:rsidRPr="00054A0E">
        <w:rPr>
          <w:rFonts w:ascii="Book Antiqua" w:hAnsi="Book Antiqua"/>
          <w:b/>
          <w:sz w:val="24"/>
          <w:szCs w:val="24"/>
        </w:rPr>
        <w:t>Zhang S</w:t>
      </w:r>
      <w:r w:rsidRPr="00054A0E">
        <w:rPr>
          <w:rFonts w:ascii="Book Antiqua" w:hAnsi="Book Antiqua"/>
          <w:sz w:val="24"/>
          <w:szCs w:val="24"/>
        </w:rPr>
        <w:t xml:space="preserve">, Wang B, Shi J, Li J. Network-Based Association Study of Obesity and Type 2 Diabetes with Gene Expression Profiles. </w:t>
      </w:r>
      <w:r w:rsidRPr="00054A0E">
        <w:rPr>
          <w:rFonts w:ascii="Book Antiqua" w:hAnsi="Book Antiqua"/>
          <w:i/>
          <w:sz w:val="24"/>
          <w:szCs w:val="24"/>
        </w:rPr>
        <w:t>Biomed Res Int</w:t>
      </w:r>
      <w:r w:rsidRPr="00054A0E">
        <w:rPr>
          <w:rFonts w:ascii="Book Antiqua" w:hAnsi="Book Antiqua"/>
          <w:sz w:val="24"/>
          <w:szCs w:val="24"/>
        </w:rPr>
        <w:t xml:space="preserve"> 2015; </w:t>
      </w:r>
      <w:r w:rsidRPr="00054A0E">
        <w:rPr>
          <w:rFonts w:ascii="Book Antiqua" w:hAnsi="Book Antiqua"/>
          <w:b/>
          <w:sz w:val="24"/>
          <w:szCs w:val="24"/>
        </w:rPr>
        <w:t>2015</w:t>
      </w:r>
      <w:r w:rsidRPr="00054A0E">
        <w:rPr>
          <w:rFonts w:ascii="Book Antiqua" w:hAnsi="Book Antiqua"/>
          <w:sz w:val="24"/>
          <w:szCs w:val="24"/>
        </w:rPr>
        <w:t>: 619730 [PMID: 26273637 DOI: 10.1155/2015/619730]</w:t>
      </w:r>
    </w:p>
    <w:p w14:paraId="15D8E4C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105 </w:t>
      </w:r>
      <w:r w:rsidRPr="00054A0E">
        <w:rPr>
          <w:rFonts w:ascii="Book Antiqua" w:hAnsi="Book Antiqua"/>
          <w:b/>
          <w:sz w:val="24"/>
          <w:szCs w:val="24"/>
        </w:rPr>
        <w:t>Ridaura VK</w:t>
      </w:r>
      <w:r w:rsidRPr="00054A0E">
        <w:rPr>
          <w:rFonts w:ascii="Book Antiqua" w:hAnsi="Book Antiqua"/>
          <w:sz w:val="24"/>
          <w:szCs w:val="24"/>
        </w:rPr>
        <w:t xml:space="preserve">,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054A0E">
        <w:rPr>
          <w:rFonts w:ascii="Book Antiqua" w:hAnsi="Book Antiqua"/>
          <w:i/>
          <w:sz w:val="24"/>
          <w:szCs w:val="24"/>
        </w:rPr>
        <w:t>Science</w:t>
      </w:r>
      <w:r w:rsidRPr="00054A0E">
        <w:rPr>
          <w:rFonts w:ascii="Book Antiqua" w:hAnsi="Book Antiqua"/>
          <w:sz w:val="24"/>
          <w:szCs w:val="24"/>
        </w:rPr>
        <w:t xml:space="preserve"> 2013; </w:t>
      </w:r>
      <w:r w:rsidRPr="00054A0E">
        <w:rPr>
          <w:rFonts w:ascii="Book Antiqua" w:hAnsi="Book Antiqua"/>
          <w:b/>
          <w:sz w:val="24"/>
          <w:szCs w:val="24"/>
        </w:rPr>
        <w:t>341</w:t>
      </w:r>
      <w:r w:rsidRPr="00054A0E">
        <w:rPr>
          <w:rFonts w:ascii="Book Antiqua" w:hAnsi="Book Antiqua"/>
          <w:sz w:val="24"/>
          <w:szCs w:val="24"/>
        </w:rPr>
        <w:t>: 1241214 [PMID: 24009397 DOI: 10.1126/science.1241214]</w:t>
      </w:r>
    </w:p>
    <w:p w14:paraId="3CCD049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106 </w:t>
      </w:r>
      <w:r w:rsidRPr="00054A0E">
        <w:rPr>
          <w:rFonts w:ascii="Book Antiqua" w:hAnsi="Book Antiqua"/>
          <w:b/>
          <w:sz w:val="24"/>
          <w:szCs w:val="24"/>
        </w:rPr>
        <w:t>Saad MJ</w:t>
      </w:r>
      <w:r w:rsidRPr="00054A0E">
        <w:rPr>
          <w:rFonts w:ascii="Book Antiqua" w:hAnsi="Book Antiqua"/>
          <w:sz w:val="24"/>
          <w:szCs w:val="24"/>
        </w:rPr>
        <w:t xml:space="preserve">, Santos A, Prada PO. Linking Gut Microbiota and Inflammation to Obesity and Insulin Resistance. </w:t>
      </w:r>
      <w:r w:rsidRPr="00054A0E">
        <w:rPr>
          <w:rFonts w:ascii="Book Antiqua" w:hAnsi="Book Antiqua"/>
          <w:i/>
          <w:sz w:val="24"/>
          <w:szCs w:val="24"/>
        </w:rPr>
        <w:t>Physiology (Bethesda)</w:t>
      </w:r>
      <w:r w:rsidRPr="00054A0E">
        <w:rPr>
          <w:rFonts w:ascii="Book Antiqua" w:hAnsi="Book Antiqua"/>
          <w:sz w:val="24"/>
          <w:szCs w:val="24"/>
        </w:rPr>
        <w:t xml:space="preserve"> 2016; </w:t>
      </w:r>
      <w:r w:rsidRPr="00054A0E">
        <w:rPr>
          <w:rFonts w:ascii="Book Antiqua" w:hAnsi="Book Antiqua"/>
          <w:b/>
          <w:sz w:val="24"/>
          <w:szCs w:val="24"/>
        </w:rPr>
        <w:t>31</w:t>
      </w:r>
      <w:r w:rsidRPr="00054A0E">
        <w:rPr>
          <w:rFonts w:ascii="Book Antiqua" w:hAnsi="Book Antiqua"/>
          <w:sz w:val="24"/>
          <w:szCs w:val="24"/>
        </w:rPr>
        <w:t>: 283-293 [PMID: 27252163 DOI: 10.1152/physiol.00041.2015]</w:t>
      </w:r>
    </w:p>
    <w:p w14:paraId="20355F4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107 </w:t>
      </w:r>
      <w:r w:rsidRPr="00054A0E">
        <w:rPr>
          <w:rFonts w:ascii="Book Antiqua" w:hAnsi="Book Antiqua"/>
          <w:b/>
          <w:sz w:val="24"/>
          <w:szCs w:val="24"/>
        </w:rPr>
        <w:t>Zheng J</w:t>
      </w:r>
      <w:r w:rsidRPr="00054A0E">
        <w:rPr>
          <w:rFonts w:ascii="Book Antiqua" w:hAnsi="Book Antiqua"/>
          <w:sz w:val="24"/>
          <w:szCs w:val="24"/>
        </w:rPr>
        <w:t xml:space="preserve">, Yuan X, Zhang C, Jia P, Jiao S, Zhao X, Yin H, Du Y, Liu H. N-Acetylcysteine alleviates gut dysbiosis and glucose metabolic disorder in high-fat diet-fed mice. </w:t>
      </w:r>
      <w:r w:rsidRPr="00054A0E">
        <w:rPr>
          <w:rFonts w:ascii="Book Antiqua" w:hAnsi="Book Antiqua"/>
          <w:i/>
          <w:sz w:val="24"/>
          <w:szCs w:val="24"/>
        </w:rPr>
        <w:t>J Diabetes</w:t>
      </w:r>
      <w:r w:rsidRPr="00054A0E">
        <w:rPr>
          <w:rFonts w:ascii="Book Antiqua" w:hAnsi="Book Antiqua"/>
          <w:sz w:val="24"/>
          <w:szCs w:val="24"/>
        </w:rPr>
        <w:t xml:space="preserve"> 2019; </w:t>
      </w:r>
      <w:r w:rsidRPr="00054A0E">
        <w:rPr>
          <w:rFonts w:ascii="Book Antiqua" w:hAnsi="Book Antiqua"/>
          <w:b/>
          <w:sz w:val="24"/>
          <w:szCs w:val="24"/>
        </w:rPr>
        <w:t>11</w:t>
      </w:r>
      <w:r w:rsidRPr="00054A0E">
        <w:rPr>
          <w:rFonts w:ascii="Book Antiqua" w:hAnsi="Book Antiqua"/>
          <w:sz w:val="24"/>
          <w:szCs w:val="24"/>
        </w:rPr>
        <w:t>: 32-45 [PMID: 29845722 DOI: 10.1111/1753-0407.12795]</w:t>
      </w:r>
    </w:p>
    <w:p w14:paraId="3A952BDE"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108 </w:t>
      </w:r>
      <w:r w:rsidRPr="00054A0E">
        <w:rPr>
          <w:rFonts w:ascii="Book Antiqua" w:hAnsi="Book Antiqua"/>
          <w:b/>
          <w:sz w:val="24"/>
          <w:szCs w:val="24"/>
        </w:rPr>
        <w:t>Teixeira TF</w:t>
      </w:r>
      <w:r w:rsidRPr="00054A0E">
        <w:rPr>
          <w:rFonts w:ascii="Book Antiqua" w:hAnsi="Book Antiqua"/>
          <w:sz w:val="24"/>
          <w:szCs w:val="24"/>
        </w:rPr>
        <w:t xml:space="preserve">, Grześkowiak Ł, Franceschini SC, Bressan J, Ferreira CL, Peluzio MC. Higher level of faecal SCFA in women correlates with metabolic syndrome risk factors. </w:t>
      </w:r>
      <w:r w:rsidRPr="00054A0E">
        <w:rPr>
          <w:rFonts w:ascii="Book Antiqua" w:hAnsi="Book Antiqua"/>
          <w:i/>
          <w:sz w:val="24"/>
          <w:szCs w:val="24"/>
        </w:rPr>
        <w:t>Br J Nutr</w:t>
      </w:r>
      <w:r w:rsidRPr="00054A0E">
        <w:rPr>
          <w:rFonts w:ascii="Book Antiqua" w:hAnsi="Book Antiqua"/>
          <w:sz w:val="24"/>
          <w:szCs w:val="24"/>
        </w:rPr>
        <w:t xml:space="preserve"> 2013; </w:t>
      </w:r>
      <w:r w:rsidRPr="00054A0E">
        <w:rPr>
          <w:rFonts w:ascii="Book Antiqua" w:hAnsi="Book Antiqua"/>
          <w:b/>
          <w:sz w:val="24"/>
          <w:szCs w:val="24"/>
        </w:rPr>
        <w:t>109</w:t>
      </w:r>
      <w:r w:rsidRPr="00054A0E">
        <w:rPr>
          <w:rFonts w:ascii="Book Antiqua" w:hAnsi="Book Antiqua"/>
          <w:sz w:val="24"/>
          <w:szCs w:val="24"/>
        </w:rPr>
        <w:t>: 914-919 [PMID: 23200109 DOI: 10.1017/S0007114512002723]</w:t>
      </w:r>
    </w:p>
    <w:p w14:paraId="07C0ADE8"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109 </w:t>
      </w:r>
      <w:r w:rsidRPr="00054A0E">
        <w:rPr>
          <w:rFonts w:ascii="Book Antiqua" w:hAnsi="Book Antiqua"/>
          <w:b/>
          <w:sz w:val="24"/>
          <w:szCs w:val="24"/>
        </w:rPr>
        <w:t>Grasset E</w:t>
      </w:r>
      <w:r w:rsidRPr="00054A0E">
        <w:rPr>
          <w:rFonts w:ascii="Book Antiqua" w:hAnsi="Book Antiqua"/>
          <w:sz w:val="24"/>
          <w:szCs w:val="24"/>
        </w:rPr>
        <w:t xml:space="preserve">, Puel A, Charpentier J, Collet X, Christensen JE, Tercé F, Burcelin R. A Specific Gut Microbiota Dysbiosis of Type 2 Diabetic Mice Induces GLP-1 Resistance through an Enteric NO-Dependent and Gut-Brain Axis Mechanism. </w:t>
      </w:r>
      <w:r w:rsidRPr="00054A0E">
        <w:rPr>
          <w:rFonts w:ascii="Book Antiqua" w:hAnsi="Book Antiqua"/>
          <w:i/>
          <w:sz w:val="24"/>
          <w:szCs w:val="24"/>
        </w:rPr>
        <w:t>Cell Metab</w:t>
      </w:r>
      <w:r w:rsidRPr="00054A0E">
        <w:rPr>
          <w:rFonts w:ascii="Book Antiqua" w:hAnsi="Book Antiqua"/>
          <w:sz w:val="24"/>
          <w:szCs w:val="24"/>
        </w:rPr>
        <w:t xml:space="preserve"> 2017; </w:t>
      </w:r>
      <w:r w:rsidRPr="00054A0E">
        <w:rPr>
          <w:rFonts w:ascii="Book Antiqua" w:hAnsi="Book Antiqua"/>
          <w:b/>
          <w:sz w:val="24"/>
          <w:szCs w:val="24"/>
        </w:rPr>
        <w:t>25</w:t>
      </w:r>
      <w:r w:rsidRPr="00054A0E">
        <w:rPr>
          <w:rFonts w:ascii="Book Antiqua" w:hAnsi="Book Antiqua"/>
          <w:sz w:val="24"/>
          <w:szCs w:val="24"/>
        </w:rPr>
        <w:t>: 1075-1090.e5 [PMID: 28467926 DOI: 10.1016/j.cmet.2017.04.013]</w:t>
      </w:r>
    </w:p>
    <w:p w14:paraId="05DC50F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110 </w:t>
      </w:r>
      <w:r w:rsidRPr="00054A0E">
        <w:rPr>
          <w:rFonts w:ascii="Book Antiqua" w:hAnsi="Book Antiqua"/>
          <w:b/>
          <w:sz w:val="24"/>
          <w:szCs w:val="24"/>
        </w:rPr>
        <w:t>Pedersen HK</w:t>
      </w:r>
      <w:r w:rsidRPr="00054A0E">
        <w:rPr>
          <w:rFonts w:ascii="Book Antiqua" w:hAnsi="Book Antiqua"/>
          <w:sz w:val="24"/>
          <w:szCs w:val="24"/>
        </w:rPr>
        <w:t xml:space="preserve">, Gudmundsdottir V, Nielsen HB, Hyotylainen T, Nielsen T, Jensen BA, Forslund K, Hildebrand F, Prifti E, Falony G, Le Chatelier E, Levenez F, Doré J, Mattila I, Plichta DR, Pöhö P, Hellgren LI, Arumugam M, Sunagawa S, Vieira-Silva S, Jørgensen T, Holm JB, Trošt K; MetaHIT Consortium, Kristiansen K, Brix S, Raes J, Wang J, Hansen T, Bork P, Brunak S, Oresic M, Ehrlich SD, Pedersen O. Human gut microbes impact host serum metabolome and insulin sensitivity. </w:t>
      </w:r>
      <w:r w:rsidRPr="00054A0E">
        <w:rPr>
          <w:rFonts w:ascii="Book Antiqua" w:hAnsi="Book Antiqua"/>
          <w:i/>
          <w:sz w:val="24"/>
          <w:szCs w:val="24"/>
        </w:rPr>
        <w:t>Nature</w:t>
      </w:r>
      <w:r w:rsidRPr="00054A0E">
        <w:rPr>
          <w:rFonts w:ascii="Book Antiqua" w:hAnsi="Book Antiqua"/>
          <w:sz w:val="24"/>
          <w:szCs w:val="24"/>
        </w:rPr>
        <w:t xml:space="preserve"> 2016; </w:t>
      </w:r>
      <w:r w:rsidRPr="00054A0E">
        <w:rPr>
          <w:rFonts w:ascii="Book Antiqua" w:hAnsi="Book Antiqua"/>
          <w:b/>
          <w:sz w:val="24"/>
          <w:szCs w:val="24"/>
        </w:rPr>
        <w:t>535</w:t>
      </w:r>
      <w:r w:rsidRPr="00054A0E">
        <w:rPr>
          <w:rFonts w:ascii="Book Antiqua" w:hAnsi="Book Antiqua"/>
          <w:sz w:val="24"/>
          <w:szCs w:val="24"/>
        </w:rPr>
        <w:t>: 376-381 [PMID: 27409811 DOI: 10.1038/nature18646]</w:t>
      </w:r>
    </w:p>
    <w:p w14:paraId="701B93C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111 </w:t>
      </w:r>
      <w:r w:rsidRPr="00054A0E">
        <w:rPr>
          <w:rFonts w:ascii="Book Antiqua" w:hAnsi="Book Antiqua"/>
          <w:b/>
          <w:sz w:val="24"/>
          <w:szCs w:val="24"/>
        </w:rPr>
        <w:t>Kobyliak N</w:t>
      </w:r>
      <w:r w:rsidRPr="00054A0E">
        <w:rPr>
          <w:rFonts w:ascii="Book Antiqua" w:hAnsi="Book Antiqua"/>
          <w:sz w:val="24"/>
          <w:szCs w:val="24"/>
        </w:rPr>
        <w:t xml:space="preserve">, Conte C, Cammarota G, Haley AP, Styriak I, Gaspar L, Fusek J, Rodrigo L, Kruzliak P. Probiotics in prevention and treatment of obesity: a critical view. </w:t>
      </w:r>
      <w:r w:rsidRPr="00054A0E">
        <w:rPr>
          <w:rFonts w:ascii="Book Antiqua" w:hAnsi="Book Antiqua"/>
          <w:i/>
          <w:sz w:val="24"/>
          <w:szCs w:val="24"/>
        </w:rPr>
        <w:t>Nutr Metab (Lond)</w:t>
      </w:r>
      <w:r w:rsidRPr="00054A0E">
        <w:rPr>
          <w:rFonts w:ascii="Book Antiqua" w:hAnsi="Book Antiqua"/>
          <w:sz w:val="24"/>
          <w:szCs w:val="24"/>
        </w:rPr>
        <w:t xml:space="preserve"> 2016; </w:t>
      </w:r>
      <w:r w:rsidRPr="00054A0E">
        <w:rPr>
          <w:rFonts w:ascii="Book Antiqua" w:hAnsi="Book Antiqua"/>
          <w:b/>
          <w:sz w:val="24"/>
          <w:szCs w:val="24"/>
        </w:rPr>
        <w:t>13</w:t>
      </w:r>
      <w:r w:rsidRPr="00054A0E">
        <w:rPr>
          <w:rFonts w:ascii="Book Antiqua" w:hAnsi="Book Antiqua"/>
          <w:sz w:val="24"/>
          <w:szCs w:val="24"/>
        </w:rPr>
        <w:t>: 14 [PMID: 26900391 DOI: 10.1186/s12986-016-0067-0]</w:t>
      </w:r>
    </w:p>
    <w:p w14:paraId="6D006CD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112 </w:t>
      </w:r>
      <w:r w:rsidRPr="00054A0E">
        <w:rPr>
          <w:rFonts w:ascii="Book Antiqua" w:hAnsi="Book Antiqua"/>
          <w:b/>
          <w:sz w:val="24"/>
          <w:szCs w:val="24"/>
        </w:rPr>
        <w:t>Sun Z</w:t>
      </w:r>
      <w:r w:rsidRPr="00054A0E">
        <w:rPr>
          <w:rFonts w:ascii="Book Antiqua" w:hAnsi="Book Antiqua"/>
          <w:sz w:val="24"/>
          <w:szCs w:val="24"/>
        </w:rPr>
        <w:t xml:space="preserve">, Sun X, Li J, Li Z, Hu Q, Li L, Hao X, Song M, Li C. Using probiotics for type 2 diabetes mellitus intervention: Advances, questions, and potential. </w:t>
      </w:r>
      <w:r w:rsidRPr="00054A0E">
        <w:rPr>
          <w:rFonts w:ascii="Book Antiqua" w:hAnsi="Book Antiqua"/>
          <w:i/>
          <w:sz w:val="24"/>
          <w:szCs w:val="24"/>
        </w:rPr>
        <w:t>Crit Rev Food Sci Nutr</w:t>
      </w:r>
      <w:r w:rsidRPr="00054A0E">
        <w:rPr>
          <w:rFonts w:ascii="Book Antiqua" w:hAnsi="Book Antiqua"/>
          <w:sz w:val="24"/>
          <w:szCs w:val="24"/>
        </w:rPr>
        <w:t xml:space="preserve"> 2019; : 1-14 [PMID: 30632770 DOI: 10.1080/10408398.2018.1547268]</w:t>
      </w:r>
    </w:p>
    <w:p w14:paraId="445D4FF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113 </w:t>
      </w:r>
      <w:r w:rsidRPr="00054A0E">
        <w:rPr>
          <w:rFonts w:ascii="Book Antiqua" w:hAnsi="Book Antiqua"/>
          <w:b/>
          <w:sz w:val="24"/>
          <w:szCs w:val="24"/>
        </w:rPr>
        <w:t>Wu H</w:t>
      </w:r>
      <w:r w:rsidRPr="00054A0E">
        <w:rPr>
          <w:rFonts w:ascii="Book Antiqua" w:hAnsi="Book Antiqua"/>
          <w:sz w:val="24"/>
          <w:szCs w:val="24"/>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054A0E">
        <w:rPr>
          <w:rFonts w:ascii="Book Antiqua" w:hAnsi="Book Antiqua"/>
          <w:i/>
          <w:sz w:val="24"/>
          <w:szCs w:val="24"/>
        </w:rPr>
        <w:t>Nat Med</w:t>
      </w:r>
      <w:r w:rsidRPr="00054A0E">
        <w:rPr>
          <w:rFonts w:ascii="Book Antiqua" w:hAnsi="Book Antiqua"/>
          <w:sz w:val="24"/>
          <w:szCs w:val="24"/>
        </w:rPr>
        <w:t xml:space="preserve"> 2017; </w:t>
      </w:r>
      <w:r w:rsidRPr="00054A0E">
        <w:rPr>
          <w:rFonts w:ascii="Book Antiqua" w:hAnsi="Book Antiqua"/>
          <w:b/>
          <w:sz w:val="24"/>
          <w:szCs w:val="24"/>
        </w:rPr>
        <w:t>23</w:t>
      </w:r>
      <w:r w:rsidRPr="00054A0E">
        <w:rPr>
          <w:rFonts w:ascii="Book Antiqua" w:hAnsi="Book Antiqua"/>
          <w:sz w:val="24"/>
          <w:szCs w:val="24"/>
        </w:rPr>
        <w:t>: 850-858 [PMID: 28530702 DOI: 10.1038/nm.4345]</w:t>
      </w:r>
    </w:p>
    <w:p w14:paraId="4AD2D14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114 </w:t>
      </w:r>
      <w:r w:rsidRPr="00054A0E">
        <w:rPr>
          <w:rFonts w:ascii="Book Antiqua" w:hAnsi="Book Antiqua"/>
          <w:b/>
          <w:sz w:val="24"/>
          <w:szCs w:val="24"/>
        </w:rPr>
        <w:t>Rodriguez J</w:t>
      </w:r>
      <w:r w:rsidRPr="00054A0E">
        <w:rPr>
          <w:rFonts w:ascii="Book Antiqua" w:hAnsi="Book Antiqua"/>
          <w:sz w:val="24"/>
          <w:szCs w:val="24"/>
        </w:rPr>
        <w:t xml:space="preserve">, Hiel S, Delzenne NM. Metformin: old friend, new ways of action-implication of the gut microbiome? </w:t>
      </w:r>
      <w:r w:rsidRPr="00054A0E">
        <w:rPr>
          <w:rFonts w:ascii="Book Antiqua" w:hAnsi="Book Antiqua"/>
          <w:i/>
          <w:sz w:val="24"/>
          <w:szCs w:val="24"/>
        </w:rPr>
        <w:t>Curr Opin Clin Nutr Metab Care</w:t>
      </w:r>
      <w:r w:rsidRPr="00054A0E">
        <w:rPr>
          <w:rFonts w:ascii="Book Antiqua" w:hAnsi="Book Antiqua"/>
          <w:sz w:val="24"/>
          <w:szCs w:val="24"/>
        </w:rPr>
        <w:t xml:space="preserve"> 2018; </w:t>
      </w:r>
      <w:r w:rsidRPr="00054A0E">
        <w:rPr>
          <w:rFonts w:ascii="Book Antiqua" w:hAnsi="Book Antiqua"/>
          <w:b/>
          <w:sz w:val="24"/>
          <w:szCs w:val="24"/>
        </w:rPr>
        <w:t>21</w:t>
      </w:r>
      <w:r w:rsidRPr="00054A0E">
        <w:rPr>
          <w:rFonts w:ascii="Book Antiqua" w:hAnsi="Book Antiqua"/>
          <w:sz w:val="24"/>
          <w:szCs w:val="24"/>
        </w:rPr>
        <w:t>: 294-301 [PMID: 29634493 DOI: 10.1097/MCO.0000000000000468]</w:t>
      </w:r>
    </w:p>
    <w:p w14:paraId="14B2D93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115 </w:t>
      </w:r>
      <w:r w:rsidRPr="00054A0E">
        <w:rPr>
          <w:rFonts w:ascii="Book Antiqua" w:hAnsi="Book Antiqua"/>
          <w:b/>
          <w:sz w:val="24"/>
          <w:szCs w:val="24"/>
        </w:rPr>
        <w:t>Floyd JS</w:t>
      </w:r>
      <w:r w:rsidRPr="00054A0E">
        <w:rPr>
          <w:rFonts w:ascii="Book Antiqua" w:hAnsi="Book Antiqua"/>
          <w:sz w:val="24"/>
          <w:szCs w:val="24"/>
        </w:rPr>
        <w:t xml:space="preserve">, Psaty BM. The Application of Genomics in Diabetes: Barriers to Discovery and Implementation. </w:t>
      </w:r>
      <w:r w:rsidRPr="00054A0E">
        <w:rPr>
          <w:rFonts w:ascii="Book Antiqua" w:hAnsi="Book Antiqua"/>
          <w:i/>
          <w:sz w:val="24"/>
          <w:szCs w:val="24"/>
        </w:rPr>
        <w:t>Diabetes Care</w:t>
      </w:r>
      <w:r w:rsidRPr="00054A0E">
        <w:rPr>
          <w:rFonts w:ascii="Book Antiqua" w:hAnsi="Book Antiqua"/>
          <w:sz w:val="24"/>
          <w:szCs w:val="24"/>
        </w:rPr>
        <w:t xml:space="preserve"> 2016; </w:t>
      </w:r>
      <w:r w:rsidRPr="00054A0E">
        <w:rPr>
          <w:rFonts w:ascii="Book Antiqua" w:hAnsi="Book Antiqua"/>
          <w:b/>
          <w:sz w:val="24"/>
          <w:szCs w:val="24"/>
        </w:rPr>
        <w:t>39</w:t>
      </w:r>
      <w:r w:rsidRPr="00054A0E">
        <w:rPr>
          <w:rFonts w:ascii="Book Antiqua" w:hAnsi="Book Antiqua"/>
          <w:sz w:val="24"/>
          <w:szCs w:val="24"/>
        </w:rPr>
        <w:t>: 1858-1869 [PMID: 27926887 DOI: 10.2337/dc16-0738]</w:t>
      </w:r>
    </w:p>
    <w:p w14:paraId="2C43358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116 </w:t>
      </w:r>
      <w:r w:rsidRPr="00054A0E">
        <w:rPr>
          <w:rFonts w:ascii="Book Antiqua" w:hAnsi="Book Antiqua"/>
          <w:b/>
          <w:sz w:val="24"/>
          <w:szCs w:val="24"/>
        </w:rPr>
        <w:t>Wessel J</w:t>
      </w:r>
      <w:r w:rsidRPr="00054A0E">
        <w:rPr>
          <w:rFonts w:ascii="Book Antiqua" w:hAnsi="Book Antiqua"/>
          <w:sz w:val="24"/>
          <w:szCs w:val="24"/>
        </w:rPr>
        <w:t xml:space="preserve">, Gupta J, de Groot M. Factors Motivating Individuals to Consider Genetic Testing for Type 2 Diabetes Risk Prediction. </w:t>
      </w:r>
      <w:r w:rsidRPr="00054A0E">
        <w:rPr>
          <w:rFonts w:ascii="Book Antiqua" w:hAnsi="Book Antiqua"/>
          <w:i/>
          <w:sz w:val="24"/>
          <w:szCs w:val="24"/>
        </w:rPr>
        <w:t>PLoS One</w:t>
      </w:r>
      <w:r w:rsidRPr="00054A0E">
        <w:rPr>
          <w:rFonts w:ascii="Book Antiqua" w:hAnsi="Book Antiqua"/>
          <w:sz w:val="24"/>
          <w:szCs w:val="24"/>
        </w:rPr>
        <w:t xml:space="preserve"> 2016; </w:t>
      </w:r>
      <w:r w:rsidRPr="00054A0E">
        <w:rPr>
          <w:rFonts w:ascii="Book Antiqua" w:hAnsi="Book Antiqua"/>
          <w:b/>
          <w:sz w:val="24"/>
          <w:szCs w:val="24"/>
        </w:rPr>
        <w:t>11</w:t>
      </w:r>
      <w:r w:rsidRPr="00054A0E">
        <w:rPr>
          <w:rFonts w:ascii="Book Antiqua" w:hAnsi="Book Antiqua"/>
          <w:sz w:val="24"/>
          <w:szCs w:val="24"/>
        </w:rPr>
        <w:t>: e0147071 [PMID: 26789839 DOI: 10.1371/journal.pone.0147071]</w:t>
      </w:r>
    </w:p>
    <w:p w14:paraId="296A024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117 </w:t>
      </w:r>
      <w:r w:rsidRPr="00054A0E">
        <w:rPr>
          <w:rFonts w:ascii="Book Antiqua" w:hAnsi="Book Antiqua"/>
          <w:b/>
          <w:sz w:val="24"/>
          <w:szCs w:val="24"/>
        </w:rPr>
        <w:t>Henderson G</w:t>
      </w:r>
      <w:r w:rsidRPr="00054A0E">
        <w:rPr>
          <w:rFonts w:ascii="Book Antiqua" w:hAnsi="Book Antiqua"/>
          <w:sz w:val="24"/>
          <w:szCs w:val="24"/>
        </w:rPr>
        <w:t xml:space="preserve">, Garrett J, Bussey-Jones J, Moloney ME, Blumenthal C, Corbie-Smith G. Great expectations: views of genetic research participants regarding current and future genetic studies. </w:t>
      </w:r>
      <w:r w:rsidRPr="00054A0E">
        <w:rPr>
          <w:rFonts w:ascii="Book Antiqua" w:hAnsi="Book Antiqua"/>
          <w:i/>
          <w:sz w:val="24"/>
          <w:szCs w:val="24"/>
        </w:rPr>
        <w:t>Genet Med</w:t>
      </w:r>
      <w:r w:rsidRPr="00054A0E">
        <w:rPr>
          <w:rFonts w:ascii="Book Antiqua" w:hAnsi="Book Antiqua"/>
          <w:sz w:val="24"/>
          <w:szCs w:val="24"/>
        </w:rPr>
        <w:t xml:space="preserve"> 2008; </w:t>
      </w:r>
      <w:r w:rsidRPr="00054A0E">
        <w:rPr>
          <w:rFonts w:ascii="Book Antiqua" w:hAnsi="Book Antiqua"/>
          <w:b/>
          <w:sz w:val="24"/>
          <w:szCs w:val="24"/>
        </w:rPr>
        <w:t>10</w:t>
      </w:r>
      <w:r w:rsidRPr="00054A0E">
        <w:rPr>
          <w:rFonts w:ascii="Book Antiqua" w:hAnsi="Book Antiqua"/>
          <w:sz w:val="24"/>
          <w:szCs w:val="24"/>
        </w:rPr>
        <w:t>: 193-200 [PMID: 18344709 DOI: 10.1097/GIM.0b013e318164e4f5]</w:t>
      </w:r>
    </w:p>
    <w:p w14:paraId="62E6C73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118 </w:t>
      </w:r>
      <w:r w:rsidRPr="00054A0E">
        <w:rPr>
          <w:rFonts w:ascii="Book Antiqua" w:hAnsi="Book Antiqua"/>
          <w:b/>
          <w:sz w:val="24"/>
          <w:szCs w:val="24"/>
        </w:rPr>
        <w:t>Kaphingst KA</w:t>
      </w:r>
      <w:r w:rsidRPr="00054A0E">
        <w:rPr>
          <w:rFonts w:ascii="Book Antiqua" w:hAnsi="Book Antiqua"/>
          <w:sz w:val="24"/>
          <w:szCs w:val="24"/>
        </w:rPr>
        <w:t xml:space="preserve">, McBride CM, Wade C, Alford SH, Brody LC, Baxevanis AD. Consumers' use of web-based information and their decisions about multiplex genetic susceptibility testing. </w:t>
      </w:r>
      <w:r w:rsidRPr="00054A0E">
        <w:rPr>
          <w:rFonts w:ascii="Book Antiqua" w:hAnsi="Book Antiqua"/>
          <w:i/>
          <w:sz w:val="24"/>
          <w:szCs w:val="24"/>
        </w:rPr>
        <w:t>J Med Internet Res</w:t>
      </w:r>
      <w:r w:rsidRPr="00054A0E">
        <w:rPr>
          <w:rFonts w:ascii="Book Antiqua" w:hAnsi="Book Antiqua"/>
          <w:sz w:val="24"/>
          <w:szCs w:val="24"/>
        </w:rPr>
        <w:t xml:space="preserve"> 2010; </w:t>
      </w:r>
      <w:r w:rsidRPr="00054A0E">
        <w:rPr>
          <w:rFonts w:ascii="Book Antiqua" w:hAnsi="Book Antiqua"/>
          <w:b/>
          <w:sz w:val="24"/>
          <w:szCs w:val="24"/>
        </w:rPr>
        <w:t>12</w:t>
      </w:r>
      <w:r w:rsidRPr="00054A0E">
        <w:rPr>
          <w:rFonts w:ascii="Book Antiqua" w:hAnsi="Book Antiqua"/>
          <w:sz w:val="24"/>
          <w:szCs w:val="24"/>
        </w:rPr>
        <w:t>: e41 [PMID: 20884465 DOI: 10.2196/jmir.1587]</w:t>
      </w:r>
    </w:p>
    <w:p w14:paraId="4A749BB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119 </w:t>
      </w:r>
      <w:r w:rsidRPr="00054A0E">
        <w:rPr>
          <w:rFonts w:ascii="Book Antiqua" w:hAnsi="Book Antiqua"/>
          <w:b/>
          <w:sz w:val="24"/>
          <w:szCs w:val="24"/>
        </w:rPr>
        <w:t>Meigs JB</w:t>
      </w:r>
      <w:r w:rsidRPr="00054A0E">
        <w:rPr>
          <w:rFonts w:ascii="Book Antiqua" w:hAnsi="Book Antiqua"/>
          <w:sz w:val="24"/>
          <w:szCs w:val="24"/>
        </w:rPr>
        <w:t xml:space="preserve">, Shrader P, Sullivan LM, McAteer JB, Fox CS, Dupuis J, Manning AK, Florez JC, Wilson PW, D'Agostino RB Sr, Cupples LA. Genotype score in addition to common risk factors for prediction of type 2 diabetes. </w:t>
      </w:r>
      <w:r w:rsidRPr="00054A0E">
        <w:rPr>
          <w:rFonts w:ascii="Book Antiqua" w:hAnsi="Book Antiqua"/>
          <w:i/>
          <w:sz w:val="24"/>
          <w:szCs w:val="24"/>
        </w:rPr>
        <w:t>N Engl J Med</w:t>
      </w:r>
      <w:r w:rsidRPr="00054A0E">
        <w:rPr>
          <w:rFonts w:ascii="Book Antiqua" w:hAnsi="Book Antiqua"/>
          <w:sz w:val="24"/>
          <w:szCs w:val="24"/>
        </w:rPr>
        <w:t xml:space="preserve"> 2008; </w:t>
      </w:r>
      <w:r w:rsidRPr="00054A0E">
        <w:rPr>
          <w:rFonts w:ascii="Book Antiqua" w:hAnsi="Book Antiqua"/>
          <w:b/>
          <w:sz w:val="24"/>
          <w:szCs w:val="24"/>
        </w:rPr>
        <w:t>359</w:t>
      </w:r>
      <w:r w:rsidRPr="00054A0E">
        <w:rPr>
          <w:rFonts w:ascii="Book Antiqua" w:hAnsi="Book Antiqua"/>
          <w:sz w:val="24"/>
          <w:szCs w:val="24"/>
        </w:rPr>
        <w:t>: 2208-2219 [PMID: 19020323 DOI: 10.1056/NEJMoa0804742]</w:t>
      </w:r>
    </w:p>
    <w:p w14:paraId="76875B9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120 </w:t>
      </w:r>
      <w:r w:rsidRPr="00054A0E">
        <w:rPr>
          <w:rFonts w:ascii="Book Antiqua" w:hAnsi="Book Antiqua"/>
          <w:b/>
          <w:sz w:val="24"/>
          <w:szCs w:val="24"/>
        </w:rPr>
        <w:t>Vassy JL</w:t>
      </w:r>
      <w:r w:rsidRPr="00054A0E">
        <w:rPr>
          <w:rFonts w:ascii="Book Antiqua" w:hAnsi="Book Antiqua"/>
          <w:sz w:val="24"/>
          <w:szCs w:val="24"/>
        </w:rPr>
        <w:t xml:space="preserve">, Meigs JB. Is genetic testing useful to predict type 2 diabetes? </w:t>
      </w:r>
      <w:r w:rsidRPr="00054A0E">
        <w:rPr>
          <w:rFonts w:ascii="Book Antiqua" w:hAnsi="Book Antiqua"/>
          <w:i/>
          <w:sz w:val="24"/>
          <w:szCs w:val="24"/>
        </w:rPr>
        <w:t>Best Pract Res Clin Endocrinol Metab</w:t>
      </w:r>
      <w:r w:rsidRPr="00054A0E">
        <w:rPr>
          <w:rFonts w:ascii="Book Antiqua" w:hAnsi="Book Antiqua"/>
          <w:sz w:val="24"/>
          <w:szCs w:val="24"/>
        </w:rPr>
        <w:t xml:space="preserve"> 2012; </w:t>
      </w:r>
      <w:r w:rsidRPr="00054A0E">
        <w:rPr>
          <w:rFonts w:ascii="Book Antiqua" w:hAnsi="Book Antiqua"/>
          <w:b/>
          <w:sz w:val="24"/>
          <w:szCs w:val="24"/>
        </w:rPr>
        <w:t>26</w:t>
      </w:r>
      <w:r w:rsidRPr="00054A0E">
        <w:rPr>
          <w:rFonts w:ascii="Book Antiqua" w:hAnsi="Book Antiqua"/>
          <w:sz w:val="24"/>
          <w:szCs w:val="24"/>
        </w:rPr>
        <w:t>: 189-201 [PMID: 22498248 DOI: 10.1016/j.beem.2011.09.002]</w:t>
      </w:r>
    </w:p>
    <w:p w14:paraId="41D1264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121 </w:t>
      </w:r>
      <w:r w:rsidRPr="00054A0E">
        <w:rPr>
          <w:rFonts w:ascii="Book Antiqua" w:hAnsi="Book Antiqua"/>
          <w:b/>
          <w:sz w:val="24"/>
          <w:szCs w:val="24"/>
        </w:rPr>
        <w:t>Grant RW</w:t>
      </w:r>
      <w:r w:rsidRPr="00054A0E">
        <w:rPr>
          <w:rFonts w:ascii="Book Antiqua" w:hAnsi="Book Antiqua"/>
          <w:sz w:val="24"/>
          <w:szCs w:val="24"/>
        </w:rPr>
        <w:t xml:space="preserve">, O'Brien KE, Waxler JL, Vassy JL, Delahanty LM, Bissett LG, Green RC, Stember KG, Guiducci C, Park ER, Florez JC, Meigs JB. Personalized genetic risk counseling to motivate diabetes prevention: a randomized trial. </w:t>
      </w:r>
      <w:r w:rsidRPr="00054A0E">
        <w:rPr>
          <w:rFonts w:ascii="Book Antiqua" w:hAnsi="Book Antiqua"/>
          <w:i/>
          <w:sz w:val="24"/>
          <w:szCs w:val="24"/>
        </w:rPr>
        <w:t>Diabetes Care</w:t>
      </w:r>
      <w:r w:rsidRPr="00054A0E">
        <w:rPr>
          <w:rFonts w:ascii="Book Antiqua" w:hAnsi="Book Antiqua"/>
          <w:sz w:val="24"/>
          <w:szCs w:val="24"/>
        </w:rPr>
        <w:t xml:space="preserve"> 2013; </w:t>
      </w:r>
      <w:r w:rsidRPr="00054A0E">
        <w:rPr>
          <w:rFonts w:ascii="Book Antiqua" w:hAnsi="Book Antiqua"/>
          <w:b/>
          <w:sz w:val="24"/>
          <w:szCs w:val="24"/>
        </w:rPr>
        <w:t>36</w:t>
      </w:r>
      <w:r w:rsidRPr="00054A0E">
        <w:rPr>
          <w:rFonts w:ascii="Book Antiqua" w:hAnsi="Book Antiqua"/>
          <w:sz w:val="24"/>
          <w:szCs w:val="24"/>
        </w:rPr>
        <w:t>: 13-19 [PMID: 22933432 DOI: 10.2337/dc12-0884]</w:t>
      </w:r>
    </w:p>
    <w:p w14:paraId="0FB5CEF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122 </w:t>
      </w:r>
      <w:r w:rsidRPr="00054A0E">
        <w:rPr>
          <w:rFonts w:ascii="Book Antiqua" w:hAnsi="Book Antiqua"/>
          <w:b/>
          <w:sz w:val="24"/>
          <w:szCs w:val="24"/>
        </w:rPr>
        <w:t>Hivert MF</w:t>
      </w:r>
      <w:r w:rsidRPr="00054A0E">
        <w:rPr>
          <w:rFonts w:ascii="Book Antiqua" w:hAnsi="Book Antiqua"/>
          <w:sz w:val="24"/>
          <w:szCs w:val="24"/>
        </w:rPr>
        <w:t xml:space="preserve">, Jablonski KA, Perreault L, Saxena R, McAteer JB, Franks PW, Hamman RF, Kahn SE, Haffner S; DIAGRAM Consortium, Meigs JB, Altshuler D, Knowler WC, Florez JC; Diabetes Prevention Program Research Group. Updated genetic score based on 34 confirmed type 2 diabetes Loci is associated with diabetes incidence and regression to normoglycemia in the diabetes prevention program. </w:t>
      </w:r>
      <w:r w:rsidRPr="00054A0E">
        <w:rPr>
          <w:rFonts w:ascii="Book Antiqua" w:hAnsi="Book Antiqua"/>
          <w:i/>
          <w:sz w:val="24"/>
          <w:szCs w:val="24"/>
        </w:rPr>
        <w:t>Diabetes</w:t>
      </w:r>
      <w:r w:rsidRPr="00054A0E">
        <w:rPr>
          <w:rFonts w:ascii="Book Antiqua" w:hAnsi="Book Antiqua"/>
          <w:sz w:val="24"/>
          <w:szCs w:val="24"/>
        </w:rPr>
        <w:t xml:space="preserve"> 2011; </w:t>
      </w:r>
      <w:r w:rsidRPr="00054A0E">
        <w:rPr>
          <w:rFonts w:ascii="Book Antiqua" w:hAnsi="Book Antiqua"/>
          <w:b/>
          <w:sz w:val="24"/>
          <w:szCs w:val="24"/>
        </w:rPr>
        <w:t>60</w:t>
      </w:r>
      <w:r w:rsidRPr="00054A0E">
        <w:rPr>
          <w:rFonts w:ascii="Book Antiqua" w:hAnsi="Book Antiqua"/>
          <w:sz w:val="24"/>
          <w:szCs w:val="24"/>
        </w:rPr>
        <w:t>: 1340-1348 [PMID: 21378175 DOI: 10.2337/db10-1119]</w:t>
      </w:r>
    </w:p>
    <w:p w14:paraId="4CD12EB9" w14:textId="37559ABE"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123 </w:t>
      </w:r>
      <w:r w:rsidRPr="00054A0E">
        <w:rPr>
          <w:rFonts w:ascii="Book Antiqua" w:hAnsi="Book Antiqua"/>
          <w:b/>
          <w:sz w:val="24"/>
          <w:szCs w:val="24"/>
        </w:rPr>
        <w:t>Vassy JL</w:t>
      </w:r>
      <w:r w:rsidRPr="00054A0E">
        <w:rPr>
          <w:rFonts w:ascii="Book Antiqua" w:hAnsi="Book Antiqua"/>
          <w:sz w:val="24"/>
          <w:szCs w:val="24"/>
        </w:rPr>
        <w:t xml:space="preserve">. Can genetic information change patient behavior to reduce Type 2 diabetes risk? </w:t>
      </w:r>
      <w:r w:rsidRPr="00054A0E">
        <w:rPr>
          <w:rFonts w:ascii="Book Antiqua" w:hAnsi="Book Antiqua"/>
          <w:i/>
          <w:sz w:val="24"/>
          <w:szCs w:val="24"/>
        </w:rPr>
        <w:t>Per Med</w:t>
      </w:r>
      <w:r w:rsidRPr="00054A0E">
        <w:rPr>
          <w:rFonts w:ascii="Book Antiqua" w:hAnsi="Book Antiqua"/>
          <w:sz w:val="24"/>
          <w:szCs w:val="24"/>
        </w:rPr>
        <w:t xml:space="preserve"> 2013; </w:t>
      </w:r>
      <w:r w:rsidRPr="00054A0E">
        <w:rPr>
          <w:rFonts w:ascii="Book Antiqua" w:hAnsi="Book Antiqua"/>
          <w:b/>
          <w:sz w:val="24"/>
          <w:szCs w:val="24"/>
        </w:rPr>
        <w:t>10</w:t>
      </w:r>
      <w:r w:rsidRPr="00054A0E">
        <w:rPr>
          <w:rFonts w:ascii="Book Antiqua" w:hAnsi="Book Antiqua"/>
          <w:sz w:val="24"/>
          <w:szCs w:val="24"/>
        </w:rPr>
        <w:t xml:space="preserve"> [PMID: 24358047 DOI: 10.2217/pme.12.116]</w:t>
      </w:r>
    </w:p>
    <w:p w14:paraId="0FFA3F0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124 </w:t>
      </w:r>
      <w:r w:rsidRPr="00054A0E">
        <w:rPr>
          <w:rFonts w:ascii="Book Antiqua" w:hAnsi="Book Antiqua"/>
          <w:b/>
          <w:sz w:val="24"/>
          <w:szCs w:val="24"/>
        </w:rPr>
        <w:t>Ogden CL</w:t>
      </w:r>
      <w:r w:rsidRPr="00054A0E">
        <w:rPr>
          <w:rFonts w:ascii="Book Antiqua" w:hAnsi="Book Antiqua"/>
          <w:sz w:val="24"/>
          <w:szCs w:val="24"/>
        </w:rPr>
        <w:t xml:space="preserve">, Carroll MD, Kit BK, Flegal KM. Prevalence of childhood and adult obesity in the United States, 2011-2012. </w:t>
      </w:r>
      <w:r w:rsidRPr="00054A0E">
        <w:rPr>
          <w:rFonts w:ascii="Book Antiqua" w:hAnsi="Book Antiqua"/>
          <w:i/>
          <w:sz w:val="24"/>
          <w:szCs w:val="24"/>
        </w:rPr>
        <w:t>JAMA</w:t>
      </w:r>
      <w:r w:rsidRPr="00054A0E">
        <w:rPr>
          <w:rFonts w:ascii="Book Antiqua" w:hAnsi="Book Antiqua"/>
          <w:sz w:val="24"/>
          <w:szCs w:val="24"/>
        </w:rPr>
        <w:t xml:space="preserve"> 2014; </w:t>
      </w:r>
      <w:r w:rsidRPr="00054A0E">
        <w:rPr>
          <w:rFonts w:ascii="Book Antiqua" w:hAnsi="Book Antiqua"/>
          <w:b/>
          <w:sz w:val="24"/>
          <w:szCs w:val="24"/>
        </w:rPr>
        <w:t>311</w:t>
      </w:r>
      <w:r w:rsidRPr="00054A0E">
        <w:rPr>
          <w:rFonts w:ascii="Book Antiqua" w:hAnsi="Book Antiqua"/>
          <w:sz w:val="24"/>
          <w:szCs w:val="24"/>
        </w:rPr>
        <w:t>: 806-814 [PMID: 24570244 DOI: 10.1001/jama.2014.732]</w:t>
      </w:r>
    </w:p>
    <w:p w14:paraId="0E4FF45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125 </w:t>
      </w:r>
      <w:r w:rsidRPr="00054A0E">
        <w:rPr>
          <w:rFonts w:ascii="Book Antiqua" w:hAnsi="Book Antiqua"/>
          <w:b/>
          <w:sz w:val="24"/>
          <w:szCs w:val="24"/>
        </w:rPr>
        <w:t>Farmer A</w:t>
      </w:r>
      <w:r w:rsidRPr="00054A0E">
        <w:rPr>
          <w:rFonts w:ascii="Book Antiqua" w:hAnsi="Book Antiqua"/>
          <w:sz w:val="24"/>
          <w:szCs w:val="24"/>
        </w:rPr>
        <w:t xml:space="preserve">, Fox R. Diagnosis, classification, and treatment of diabetes. </w:t>
      </w:r>
      <w:r w:rsidRPr="00054A0E">
        <w:rPr>
          <w:rFonts w:ascii="Book Antiqua" w:hAnsi="Book Antiqua"/>
          <w:i/>
          <w:sz w:val="24"/>
          <w:szCs w:val="24"/>
        </w:rPr>
        <w:t>BMJ</w:t>
      </w:r>
      <w:r w:rsidRPr="00054A0E">
        <w:rPr>
          <w:rFonts w:ascii="Book Antiqua" w:hAnsi="Book Antiqua"/>
          <w:sz w:val="24"/>
          <w:szCs w:val="24"/>
        </w:rPr>
        <w:t xml:space="preserve"> 2011; </w:t>
      </w:r>
      <w:r w:rsidRPr="00054A0E">
        <w:rPr>
          <w:rFonts w:ascii="Book Antiqua" w:hAnsi="Book Antiqua"/>
          <w:b/>
          <w:sz w:val="24"/>
          <w:szCs w:val="24"/>
        </w:rPr>
        <w:t>342</w:t>
      </w:r>
      <w:r w:rsidRPr="00054A0E">
        <w:rPr>
          <w:rFonts w:ascii="Book Antiqua" w:hAnsi="Book Antiqua"/>
          <w:sz w:val="24"/>
          <w:szCs w:val="24"/>
        </w:rPr>
        <w:t>: d3319 [PMID: 21659368 DOI: 10.1136/bmj.d3319]</w:t>
      </w:r>
    </w:p>
    <w:p w14:paraId="2C5E55F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126 </w:t>
      </w:r>
      <w:r w:rsidRPr="00054A0E">
        <w:rPr>
          <w:rFonts w:ascii="Book Antiqua" w:hAnsi="Book Antiqua"/>
          <w:b/>
          <w:sz w:val="24"/>
          <w:szCs w:val="24"/>
        </w:rPr>
        <w:t>Oram RA</w:t>
      </w:r>
      <w:r w:rsidRPr="00054A0E">
        <w:rPr>
          <w:rFonts w:ascii="Book Antiqua" w:hAnsi="Book Antiqua"/>
          <w:sz w:val="24"/>
          <w:szCs w:val="24"/>
        </w:rPr>
        <w:t xml:space="preserve">, Patel K, Hill A, Shields B, McDonald TJ, Jones A, Hattersley AT, Weedon MN. A Type 1 Diabetes Genetic Risk Score Can Aid Discrimination Between Type 1 and Type 2 Diabetes in Young Adults. </w:t>
      </w:r>
      <w:r w:rsidRPr="00054A0E">
        <w:rPr>
          <w:rFonts w:ascii="Book Antiqua" w:hAnsi="Book Antiqua"/>
          <w:i/>
          <w:sz w:val="24"/>
          <w:szCs w:val="24"/>
        </w:rPr>
        <w:t>Diabetes Care</w:t>
      </w:r>
      <w:r w:rsidRPr="00054A0E">
        <w:rPr>
          <w:rFonts w:ascii="Book Antiqua" w:hAnsi="Book Antiqua"/>
          <w:sz w:val="24"/>
          <w:szCs w:val="24"/>
        </w:rPr>
        <w:t xml:space="preserve"> 2016; </w:t>
      </w:r>
      <w:r w:rsidRPr="00054A0E">
        <w:rPr>
          <w:rFonts w:ascii="Book Antiqua" w:hAnsi="Book Antiqua"/>
          <w:b/>
          <w:sz w:val="24"/>
          <w:szCs w:val="24"/>
        </w:rPr>
        <w:t>39</w:t>
      </w:r>
      <w:r w:rsidRPr="00054A0E">
        <w:rPr>
          <w:rFonts w:ascii="Book Antiqua" w:hAnsi="Book Antiqua"/>
          <w:sz w:val="24"/>
          <w:szCs w:val="24"/>
        </w:rPr>
        <w:t>: 337-344 [PMID: 26577414 DOI: 10.2337/dc15-1111]</w:t>
      </w:r>
    </w:p>
    <w:p w14:paraId="3A140DA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127 </w:t>
      </w:r>
      <w:r w:rsidRPr="00054A0E">
        <w:rPr>
          <w:rFonts w:ascii="Book Antiqua" w:hAnsi="Book Antiqua"/>
          <w:b/>
          <w:sz w:val="24"/>
          <w:szCs w:val="24"/>
        </w:rPr>
        <w:t>Florez JC</w:t>
      </w:r>
      <w:r w:rsidRPr="00054A0E">
        <w:rPr>
          <w:rFonts w:ascii="Book Antiqua" w:hAnsi="Book Antiqua"/>
          <w:sz w:val="24"/>
          <w:szCs w:val="24"/>
        </w:rPr>
        <w:t xml:space="preserve">, Jablonski KA, Bayley N, Pollin TI, de Bakker PI, Shuldiner AR, Knowler WC, Nathan DM, Altshuler D; Diabetes Prevention Program Research Group. TCF7L2 polymorphisms and progression to diabetes in the Diabetes Prevention Program. </w:t>
      </w:r>
      <w:r w:rsidRPr="00054A0E">
        <w:rPr>
          <w:rFonts w:ascii="Book Antiqua" w:hAnsi="Book Antiqua"/>
          <w:i/>
          <w:sz w:val="24"/>
          <w:szCs w:val="24"/>
        </w:rPr>
        <w:t>N Engl J Med</w:t>
      </w:r>
      <w:r w:rsidRPr="00054A0E">
        <w:rPr>
          <w:rFonts w:ascii="Book Antiqua" w:hAnsi="Book Antiqua"/>
          <w:sz w:val="24"/>
          <w:szCs w:val="24"/>
        </w:rPr>
        <w:t xml:space="preserve"> 2006; </w:t>
      </w:r>
      <w:r w:rsidRPr="00054A0E">
        <w:rPr>
          <w:rFonts w:ascii="Book Antiqua" w:hAnsi="Book Antiqua"/>
          <w:b/>
          <w:sz w:val="24"/>
          <w:szCs w:val="24"/>
        </w:rPr>
        <w:t>355</w:t>
      </w:r>
      <w:r w:rsidRPr="00054A0E">
        <w:rPr>
          <w:rFonts w:ascii="Book Antiqua" w:hAnsi="Book Antiqua"/>
          <w:sz w:val="24"/>
          <w:szCs w:val="24"/>
        </w:rPr>
        <w:t>: 241-250 [PMID: 16855264 DOI: 10.1056/NEJMoa062418]</w:t>
      </w:r>
    </w:p>
    <w:p w14:paraId="2E5D0A0D"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128 </w:t>
      </w:r>
      <w:r w:rsidRPr="00054A0E">
        <w:rPr>
          <w:rFonts w:ascii="Book Antiqua" w:hAnsi="Book Antiqua"/>
          <w:b/>
          <w:sz w:val="24"/>
          <w:szCs w:val="24"/>
        </w:rPr>
        <w:t>Fitipaldi H</w:t>
      </w:r>
      <w:r w:rsidRPr="00054A0E">
        <w:rPr>
          <w:rFonts w:ascii="Book Antiqua" w:hAnsi="Book Antiqua"/>
          <w:sz w:val="24"/>
          <w:szCs w:val="24"/>
        </w:rPr>
        <w:t xml:space="preserve">, McCarthy MI, Florez JC, Franks PW. A Global Overview of Precision Medicine in Type 2 Diabetes. </w:t>
      </w:r>
      <w:r w:rsidRPr="00054A0E">
        <w:rPr>
          <w:rFonts w:ascii="Book Antiqua" w:hAnsi="Book Antiqua"/>
          <w:i/>
          <w:sz w:val="24"/>
          <w:szCs w:val="24"/>
        </w:rPr>
        <w:t>Diabetes</w:t>
      </w:r>
      <w:r w:rsidRPr="00054A0E">
        <w:rPr>
          <w:rFonts w:ascii="Book Antiqua" w:hAnsi="Book Antiqua"/>
          <w:sz w:val="24"/>
          <w:szCs w:val="24"/>
        </w:rPr>
        <w:t xml:space="preserve"> 2018; </w:t>
      </w:r>
      <w:r w:rsidRPr="00054A0E">
        <w:rPr>
          <w:rFonts w:ascii="Book Antiqua" w:hAnsi="Book Antiqua"/>
          <w:b/>
          <w:sz w:val="24"/>
          <w:szCs w:val="24"/>
        </w:rPr>
        <w:t>67</w:t>
      </w:r>
      <w:r w:rsidRPr="00054A0E">
        <w:rPr>
          <w:rFonts w:ascii="Book Antiqua" w:hAnsi="Book Antiqua"/>
          <w:sz w:val="24"/>
          <w:szCs w:val="24"/>
        </w:rPr>
        <w:t>: 1911-1922 [PMID: 30237159 DOI: 10.2337/dbi17-0045]</w:t>
      </w:r>
    </w:p>
    <w:p w14:paraId="42575FA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129 </w:t>
      </w:r>
      <w:r w:rsidRPr="00054A0E">
        <w:rPr>
          <w:rFonts w:ascii="Book Antiqua" w:hAnsi="Book Antiqua"/>
          <w:b/>
          <w:sz w:val="24"/>
          <w:szCs w:val="24"/>
        </w:rPr>
        <w:t>Lin X</w:t>
      </w:r>
      <w:r w:rsidRPr="00054A0E">
        <w:rPr>
          <w:rFonts w:ascii="Book Antiqua" w:hAnsi="Book Antiqua"/>
          <w:sz w:val="24"/>
          <w:szCs w:val="24"/>
        </w:rPr>
        <w:t xml:space="preserve">, Song K, Lim N, Yuan X, Johnson T, Abderrahmani A, Vollenweider P, Stirnadel H, Sundseth SS, Lai E, Burns DK, Middleton LT, Roses AD, Matthews PM, Waeber G, Cardon L, Waterworth DM, Mooser V. Risk prediction of prevalent diabetes in a Swiss population using a weighted genetic score--the CoLaus Study. </w:t>
      </w:r>
      <w:r w:rsidRPr="00054A0E">
        <w:rPr>
          <w:rFonts w:ascii="Book Antiqua" w:hAnsi="Book Antiqua"/>
          <w:i/>
          <w:sz w:val="24"/>
          <w:szCs w:val="24"/>
        </w:rPr>
        <w:t>Diabetologia</w:t>
      </w:r>
      <w:r w:rsidRPr="00054A0E">
        <w:rPr>
          <w:rFonts w:ascii="Book Antiqua" w:hAnsi="Book Antiqua"/>
          <w:sz w:val="24"/>
          <w:szCs w:val="24"/>
        </w:rPr>
        <w:t xml:space="preserve"> 2009; </w:t>
      </w:r>
      <w:r w:rsidRPr="00054A0E">
        <w:rPr>
          <w:rFonts w:ascii="Book Antiqua" w:hAnsi="Book Antiqua"/>
          <w:b/>
          <w:sz w:val="24"/>
          <w:szCs w:val="24"/>
        </w:rPr>
        <w:t>52</w:t>
      </w:r>
      <w:r w:rsidRPr="00054A0E">
        <w:rPr>
          <w:rFonts w:ascii="Book Antiqua" w:hAnsi="Book Antiqua"/>
          <w:sz w:val="24"/>
          <w:szCs w:val="24"/>
        </w:rPr>
        <w:t>: 600-608 [PMID: 19139842 DOI: 10.1007/s00125-008-1254-y]</w:t>
      </w:r>
    </w:p>
    <w:p w14:paraId="2CFD55B9"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130 </w:t>
      </w:r>
      <w:r w:rsidRPr="00054A0E">
        <w:rPr>
          <w:rFonts w:ascii="Book Antiqua" w:hAnsi="Book Antiqua"/>
          <w:b/>
          <w:sz w:val="24"/>
          <w:szCs w:val="24"/>
        </w:rPr>
        <w:t>Sparsø T</w:t>
      </w:r>
      <w:r w:rsidRPr="00054A0E">
        <w:rPr>
          <w:rFonts w:ascii="Book Antiqua" w:hAnsi="Book Antiqua"/>
          <w:sz w:val="24"/>
          <w:szCs w:val="24"/>
        </w:rPr>
        <w:t xml:space="preserve">, Grarup N, Andreasen C, Albrechtsen A, Holmkvist J, Andersen G, Jørgensen T, Borch-Johnsen K, Sandbaek A, Lauritzen T, Madsbad S, Hansen T, Pedersen O. Combined analysis of 19 common validated type 2 diabetes susceptibility gene variants shows moderate discriminative value and no evidence of gene-gene interaction. </w:t>
      </w:r>
      <w:r w:rsidRPr="00054A0E">
        <w:rPr>
          <w:rFonts w:ascii="Book Antiqua" w:hAnsi="Book Antiqua"/>
          <w:i/>
          <w:sz w:val="24"/>
          <w:szCs w:val="24"/>
        </w:rPr>
        <w:t>Diabetologia</w:t>
      </w:r>
      <w:r w:rsidRPr="00054A0E">
        <w:rPr>
          <w:rFonts w:ascii="Book Antiqua" w:hAnsi="Book Antiqua"/>
          <w:sz w:val="24"/>
          <w:szCs w:val="24"/>
        </w:rPr>
        <w:t xml:space="preserve"> 2009; </w:t>
      </w:r>
      <w:r w:rsidRPr="00054A0E">
        <w:rPr>
          <w:rFonts w:ascii="Book Antiqua" w:hAnsi="Book Antiqua"/>
          <w:b/>
          <w:sz w:val="24"/>
          <w:szCs w:val="24"/>
        </w:rPr>
        <w:t>52</w:t>
      </w:r>
      <w:r w:rsidRPr="00054A0E">
        <w:rPr>
          <w:rFonts w:ascii="Book Antiqua" w:hAnsi="Book Antiqua"/>
          <w:sz w:val="24"/>
          <w:szCs w:val="24"/>
        </w:rPr>
        <w:t>: 1308-1314 [PMID: 19404609 DOI: 10.1007/s00125-009-1362-3]</w:t>
      </w:r>
    </w:p>
    <w:p w14:paraId="0DCE5BB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131 </w:t>
      </w:r>
      <w:r w:rsidRPr="00054A0E">
        <w:rPr>
          <w:rFonts w:ascii="Book Antiqua" w:hAnsi="Book Antiqua"/>
          <w:b/>
          <w:sz w:val="24"/>
          <w:szCs w:val="24"/>
        </w:rPr>
        <w:t>Wang J</w:t>
      </w:r>
      <w:r w:rsidRPr="00054A0E">
        <w:rPr>
          <w:rFonts w:ascii="Book Antiqua" w:hAnsi="Book Antiqua"/>
          <w:sz w:val="24"/>
          <w:szCs w:val="24"/>
        </w:rPr>
        <w:t xml:space="preserve">, Stancáková A, Kuusisto J, Laakso M. Identification of undiagnosed type 2 diabetic individuals by the finnish diabetes risk score and biochemical and genetic markers: a population-based study of 7232 Finnish men. </w:t>
      </w:r>
      <w:r w:rsidRPr="00054A0E">
        <w:rPr>
          <w:rFonts w:ascii="Book Antiqua" w:hAnsi="Book Antiqua"/>
          <w:i/>
          <w:sz w:val="24"/>
          <w:szCs w:val="24"/>
        </w:rPr>
        <w:t>J Clin Endocrinol Metab</w:t>
      </w:r>
      <w:r w:rsidRPr="00054A0E">
        <w:rPr>
          <w:rFonts w:ascii="Book Antiqua" w:hAnsi="Book Antiqua"/>
          <w:sz w:val="24"/>
          <w:szCs w:val="24"/>
        </w:rPr>
        <w:t xml:space="preserve"> 2010; </w:t>
      </w:r>
      <w:r w:rsidRPr="00054A0E">
        <w:rPr>
          <w:rFonts w:ascii="Book Antiqua" w:hAnsi="Book Antiqua"/>
          <w:b/>
          <w:sz w:val="24"/>
          <w:szCs w:val="24"/>
        </w:rPr>
        <w:t>95</w:t>
      </w:r>
      <w:r w:rsidRPr="00054A0E">
        <w:rPr>
          <w:rFonts w:ascii="Book Antiqua" w:hAnsi="Book Antiqua"/>
          <w:sz w:val="24"/>
          <w:szCs w:val="24"/>
        </w:rPr>
        <w:t>: 3858-3862 [PMID: 20463095 DOI: 10.1210/jc.2010-0012]</w:t>
      </w:r>
    </w:p>
    <w:p w14:paraId="40A08C1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132 </w:t>
      </w:r>
      <w:r w:rsidRPr="00054A0E">
        <w:rPr>
          <w:rFonts w:ascii="Book Antiqua" w:hAnsi="Book Antiqua"/>
          <w:b/>
          <w:sz w:val="24"/>
          <w:szCs w:val="24"/>
        </w:rPr>
        <w:t>Lyssenko V</w:t>
      </w:r>
      <w:r w:rsidRPr="00054A0E">
        <w:rPr>
          <w:rFonts w:ascii="Book Antiqua" w:hAnsi="Book Antiqua"/>
          <w:sz w:val="24"/>
          <w:szCs w:val="24"/>
        </w:rPr>
        <w:t xml:space="preserve">, Laakso M. Genetic screening for the risk of type 2 diabetes: worthless or valuable? </w:t>
      </w:r>
      <w:r w:rsidRPr="00054A0E">
        <w:rPr>
          <w:rFonts w:ascii="Book Antiqua" w:hAnsi="Book Antiqua"/>
          <w:i/>
          <w:sz w:val="24"/>
          <w:szCs w:val="24"/>
        </w:rPr>
        <w:t>Diabetes Care</w:t>
      </w:r>
      <w:r w:rsidRPr="00054A0E">
        <w:rPr>
          <w:rFonts w:ascii="Book Antiqua" w:hAnsi="Book Antiqua"/>
          <w:sz w:val="24"/>
          <w:szCs w:val="24"/>
        </w:rPr>
        <w:t xml:space="preserve"> 2013; </w:t>
      </w:r>
      <w:r w:rsidRPr="00054A0E">
        <w:rPr>
          <w:rFonts w:ascii="Book Antiqua" w:hAnsi="Book Antiqua"/>
          <w:b/>
          <w:sz w:val="24"/>
          <w:szCs w:val="24"/>
        </w:rPr>
        <w:t>36 Suppl 2</w:t>
      </w:r>
      <w:r w:rsidRPr="00054A0E">
        <w:rPr>
          <w:rFonts w:ascii="Book Antiqua" w:hAnsi="Book Antiqua"/>
          <w:sz w:val="24"/>
          <w:szCs w:val="24"/>
        </w:rPr>
        <w:t>: S120-S126 [PMID: 23882036 DOI: 10.2337/dcS13-2009]</w:t>
      </w:r>
    </w:p>
    <w:p w14:paraId="6A2A17D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133 </w:t>
      </w:r>
      <w:r w:rsidRPr="00054A0E">
        <w:rPr>
          <w:rFonts w:ascii="Book Antiqua" w:hAnsi="Book Antiqua"/>
          <w:b/>
          <w:sz w:val="24"/>
          <w:szCs w:val="24"/>
        </w:rPr>
        <w:t>Stone MA</w:t>
      </w:r>
      <w:r w:rsidRPr="00054A0E">
        <w:rPr>
          <w:rFonts w:ascii="Book Antiqua" w:hAnsi="Book Antiqua"/>
          <w:sz w:val="24"/>
          <w:szCs w:val="24"/>
        </w:rPr>
        <w:t xml:space="preserve">, Camosso-Stefinovic J, Wilkinson J, de Lusignan S, Hattersley AT, Khunti K. Incorrect and incomplete coding and classification of diabetes: a systematic </w:t>
      </w:r>
      <w:r w:rsidRPr="00054A0E">
        <w:rPr>
          <w:rFonts w:ascii="Book Antiqua" w:hAnsi="Book Antiqua"/>
          <w:sz w:val="24"/>
          <w:szCs w:val="24"/>
        </w:rPr>
        <w:lastRenderedPageBreak/>
        <w:t xml:space="preserve">review. </w:t>
      </w:r>
      <w:r w:rsidRPr="00054A0E">
        <w:rPr>
          <w:rFonts w:ascii="Book Antiqua" w:hAnsi="Book Antiqua"/>
          <w:i/>
          <w:sz w:val="24"/>
          <w:szCs w:val="24"/>
        </w:rPr>
        <w:t>Diabet Med</w:t>
      </w:r>
      <w:r w:rsidRPr="00054A0E">
        <w:rPr>
          <w:rFonts w:ascii="Book Antiqua" w:hAnsi="Book Antiqua"/>
          <w:sz w:val="24"/>
          <w:szCs w:val="24"/>
        </w:rPr>
        <w:t xml:space="preserve"> 2010; </w:t>
      </w:r>
      <w:r w:rsidRPr="00054A0E">
        <w:rPr>
          <w:rFonts w:ascii="Book Antiqua" w:hAnsi="Book Antiqua"/>
          <w:b/>
          <w:sz w:val="24"/>
          <w:szCs w:val="24"/>
        </w:rPr>
        <w:t>27</w:t>
      </w:r>
      <w:r w:rsidRPr="00054A0E">
        <w:rPr>
          <w:rFonts w:ascii="Book Antiqua" w:hAnsi="Book Antiqua"/>
          <w:sz w:val="24"/>
          <w:szCs w:val="24"/>
        </w:rPr>
        <w:t>: 491-497 [PMID: 20536944 DOI: 10.1111/j.1464-5491.2009.02920.x]</w:t>
      </w:r>
    </w:p>
    <w:p w14:paraId="6BE10DE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134 </w:t>
      </w:r>
      <w:r w:rsidRPr="00054A0E">
        <w:rPr>
          <w:rFonts w:ascii="Book Antiqua" w:hAnsi="Book Antiqua"/>
          <w:b/>
          <w:sz w:val="24"/>
          <w:szCs w:val="24"/>
        </w:rPr>
        <w:t>Ali S</w:t>
      </w:r>
      <w:r w:rsidRPr="00054A0E">
        <w:rPr>
          <w:rFonts w:ascii="Book Antiqua" w:hAnsi="Book Antiqua"/>
          <w:sz w:val="24"/>
          <w:szCs w:val="24"/>
        </w:rPr>
        <w:t xml:space="preserve">, Nafis S, Kalaiarasan P, Rai E, Sharma S, Bamezai RN. Understanding Genetic Heterogeneity in Type 2 Diabetes by Delineating Physiological Phenotypes: SIRT1 and its Gene Network in Impaired Insulin Secretion. </w:t>
      </w:r>
      <w:r w:rsidRPr="00054A0E">
        <w:rPr>
          <w:rFonts w:ascii="Book Antiqua" w:hAnsi="Book Antiqua"/>
          <w:i/>
          <w:sz w:val="24"/>
          <w:szCs w:val="24"/>
        </w:rPr>
        <w:t>Rev Diabet Stud</w:t>
      </w:r>
      <w:r w:rsidRPr="00054A0E">
        <w:rPr>
          <w:rFonts w:ascii="Book Antiqua" w:hAnsi="Book Antiqua"/>
          <w:sz w:val="24"/>
          <w:szCs w:val="24"/>
        </w:rPr>
        <w:t xml:space="preserve"> 2016; </w:t>
      </w:r>
      <w:r w:rsidRPr="00054A0E">
        <w:rPr>
          <w:rFonts w:ascii="Book Antiqua" w:hAnsi="Book Antiqua"/>
          <w:b/>
          <w:sz w:val="24"/>
          <w:szCs w:val="24"/>
        </w:rPr>
        <w:t>13</w:t>
      </w:r>
      <w:r w:rsidRPr="00054A0E">
        <w:rPr>
          <w:rFonts w:ascii="Book Antiqua" w:hAnsi="Book Antiqua"/>
          <w:sz w:val="24"/>
          <w:szCs w:val="24"/>
        </w:rPr>
        <w:t>: 17-34 [PMID: 27563694 DOI: 10.1900/RDS.2016.13.17]</w:t>
      </w:r>
    </w:p>
    <w:p w14:paraId="33E0759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135 </w:t>
      </w:r>
      <w:r w:rsidRPr="00054A0E">
        <w:rPr>
          <w:rFonts w:ascii="Book Antiqua" w:hAnsi="Book Antiqua"/>
          <w:b/>
          <w:sz w:val="24"/>
          <w:szCs w:val="24"/>
        </w:rPr>
        <w:t>Kroh EM</w:t>
      </w:r>
      <w:r w:rsidRPr="00054A0E">
        <w:rPr>
          <w:rFonts w:ascii="Book Antiqua" w:hAnsi="Book Antiqua"/>
          <w:sz w:val="24"/>
          <w:szCs w:val="24"/>
        </w:rPr>
        <w:t xml:space="preserve">, Parkin RK, Mitchell PS, Tewari M. Analysis of circulating microRNA biomarkers in plasma and serum using quantitative reverse transcription-PCR (qRT-PCR). </w:t>
      </w:r>
      <w:r w:rsidRPr="00054A0E">
        <w:rPr>
          <w:rFonts w:ascii="Book Antiqua" w:hAnsi="Book Antiqua"/>
          <w:i/>
          <w:sz w:val="24"/>
          <w:szCs w:val="24"/>
        </w:rPr>
        <w:t>Methods</w:t>
      </w:r>
      <w:r w:rsidRPr="00054A0E">
        <w:rPr>
          <w:rFonts w:ascii="Book Antiqua" w:hAnsi="Book Antiqua"/>
          <w:sz w:val="24"/>
          <w:szCs w:val="24"/>
        </w:rPr>
        <w:t xml:space="preserve"> 2010; </w:t>
      </w:r>
      <w:r w:rsidRPr="00054A0E">
        <w:rPr>
          <w:rFonts w:ascii="Book Antiqua" w:hAnsi="Book Antiqua"/>
          <w:b/>
          <w:sz w:val="24"/>
          <w:szCs w:val="24"/>
        </w:rPr>
        <w:t>50</w:t>
      </w:r>
      <w:r w:rsidRPr="00054A0E">
        <w:rPr>
          <w:rFonts w:ascii="Book Antiqua" w:hAnsi="Book Antiqua"/>
          <w:sz w:val="24"/>
          <w:szCs w:val="24"/>
        </w:rPr>
        <w:t>: 298-301 [PMID: 20146939 DOI: 10.1016/j.ymeth.2010.01.032]</w:t>
      </w:r>
    </w:p>
    <w:p w14:paraId="450B43AC"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136 </w:t>
      </w:r>
      <w:r w:rsidRPr="00054A0E">
        <w:rPr>
          <w:rFonts w:ascii="Book Antiqua" w:hAnsi="Book Antiqua"/>
          <w:b/>
          <w:sz w:val="24"/>
          <w:szCs w:val="24"/>
        </w:rPr>
        <w:t>Bartel DP</w:t>
      </w:r>
      <w:r w:rsidRPr="00054A0E">
        <w:rPr>
          <w:rFonts w:ascii="Book Antiqua" w:hAnsi="Book Antiqua"/>
          <w:sz w:val="24"/>
          <w:szCs w:val="24"/>
        </w:rPr>
        <w:t xml:space="preserve">. MicroRNAs: target recognition and regulatory functions. </w:t>
      </w:r>
      <w:r w:rsidRPr="00054A0E">
        <w:rPr>
          <w:rFonts w:ascii="Book Antiqua" w:hAnsi="Book Antiqua"/>
          <w:i/>
          <w:sz w:val="24"/>
          <w:szCs w:val="24"/>
        </w:rPr>
        <w:t>Cell</w:t>
      </w:r>
      <w:r w:rsidRPr="00054A0E">
        <w:rPr>
          <w:rFonts w:ascii="Book Antiqua" w:hAnsi="Book Antiqua"/>
          <w:sz w:val="24"/>
          <w:szCs w:val="24"/>
        </w:rPr>
        <w:t xml:space="preserve"> 2009; </w:t>
      </w:r>
      <w:r w:rsidRPr="00054A0E">
        <w:rPr>
          <w:rFonts w:ascii="Book Antiqua" w:hAnsi="Book Antiqua"/>
          <w:b/>
          <w:sz w:val="24"/>
          <w:szCs w:val="24"/>
        </w:rPr>
        <w:t>136</w:t>
      </w:r>
      <w:r w:rsidRPr="00054A0E">
        <w:rPr>
          <w:rFonts w:ascii="Book Antiqua" w:hAnsi="Book Antiqua"/>
          <w:sz w:val="24"/>
          <w:szCs w:val="24"/>
        </w:rPr>
        <w:t>: 215-233 [PMID: 19167326 DOI: 10.1016/j.cell.2009.01.002]</w:t>
      </w:r>
    </w:p>
    <w:p w14:paraId="5C2FEAF5"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137 </w:t>
      </w:r>
      <w:r w:rsidRPr="00054A0E">
        <w:rPr>
          <w:rFonts w:ascii="Book Antiqua" w:hAnsi="Book Antiqua"/>
          <w:b/>
          <w:sz w:val="24"/>
          <w:szCs w:val="24"/>
        </w:rPr>
        <w:t>Demirsoy İH</w:t>
      </w:r>
      <w:r w:rsidRPr="00054A0E">
        <w:rPr>
          <w:rFonts w:ascii="Book Antiqua" w:hAnsi="Book Antiqua"/>
          <w:sz w:val="24"/>
          <w:szCs w:val="24"/>
        </w:rPr>
        <w:t xml:space="preserve">, Ertural DY, Balci Ş, Çınkır Ü, Sezer K, Tamer L, Aras N. Profiles of Circulating MiRNAs Following Metformin Treatment in Patients with Type 2 Diabetes. </w:t>
      </w:r>
      <w:r w:rsidRPr="00054A0E">
        <w:rPr>
          <w:rFonts w:ascii="Book Antiqua" w:hAnsi="Book Antiqua"/>
          <w:i/>
          <w:sz w:val="24"/>
          <w:szCs w:val="24"/>
        </w:rPr>
        <w:t>J Med Biochem</w:t>
      </w:r>
      <w:r w:rsidRPr="00054A0E">
        <w:rPr>
          <w:rFonts w:ascii="Book Antiqua" w:hAnsi="Book Antiqua"/>
          <w:sz w:val="24"/>
          <w:szCs w:val="24"/>
        </w:rPr>
        <w:t xml:space="preserve"> 2018; </w:t>
      </w:r>
      <w:r w:rsidRPr="00054A0E">
        <w:rPr>
          <w:rFonts w:ascii="Book Antiqua" w:hAnsi="Book Antiqua"/>
          <w:b/>
          <w:sz w:val="24"/>
          <w:szCs w:val="24"/>
        </w:rPr>
        <w:t>37</w:t>
      </w:r>
      <w:r w:rsidRPr="00054A0E">
        <w:rPr>
          <w:rFonts w:ascii="Book Antiqua" w:hAnsi="Book Antiqua"/>
          <w:sz w:val="24"/>
          <w:szCs w:val="24"/>
        </w:rPr>
        <w:t>: 499-506 [PMID: 30584410 DOI: 10.2478/jomb-2018-0009]</w:t>
      </w:r>
    </w:p>
    <w:p w14:paraId="3555B22A"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138 </w:t>
      </w:r>
      <w:r w:rsidRPr="00054A0E">
        <w:rPr>
          <w:rFonts w:ascii="Book Antiqua" w:hAnsi="Book Antiqua"/>
          <w:b/>
          <w:sz w:val="24"/>
          <w:szCs w:val="24"/>
        </w:rPr>
        <w:t>Zhu H</w:t>
      </w:r>
      <w:r w:rsidRPr="00054A0E">
        <w:rPr>
          <w:rFonts w:ascii="Book Antiqua" w:hAnsi="Book Antiqua"/>
          <w:sz w:val="24"/>
          <w:szCs w:val="24"/>
        </w:rPr>
        <w:t xml:space="preserve">, Leung SW. Identification of microRNA biomarkers in type 2 diabetes: a meta-analysis of controlled profiling studies. </w:t>
      </w:r>
      <w:r w:rsidRPr="00054A0E">
        <w:rPr>
          <w:rFonts w:ascii="Book Antiqua" w:hAnsi="Book Antiqua"/>
          <w:i/>
          <w:sz w:val="24"/>
          <w:szCs w:val="24"/>
        </w:rPr>
        <w:t>Diabetologia</w:t>
      </w:r>
      <w:r w:rsidRPr="00054A0E">
        <w:rPr>
          <w:rFonts w:ascii="Book Antiqua" w:hAnsi="Book Antiqua"/>
          <w:sz w:val="24"/>
          <w:szCs w:val="24"/>
        </w:rPr>
        <w:t xml:space="preserve"> 2015; </w:t>
      </w:r>
      <w:r w:rsidRPr="00054A0E">
        <w:rPr>
          <w:rFonts w:ascii="Book Antiqua" w:hAnsi="Book Antiqua"/>
          <w:b/>
          <w:sz w:val="24"/>
          <w:szCs w:val="24"/>
        </w:rPr>
        <w:t>58</w:t>
      </w:r>
      <w:r w:rsidRPr="00054A0E">
        <w:rPr>
          <w:rFonts w:ascii="Book Antiqua" w:hAnsi="Book Antiqua"/>
          <w:sz w:val="24"/>
          <w:szCs w:val="24"/>
        </w:rPr>
        <w:t>: 900-911 [PMID: 25677225 DOI: 10.1007/s00125-015-3510-2]</w:t>
      </w:r>
    </w:p>
    <w:p w14:paraId="33A0C415" w14:textId="77777777" w:rsidR="00054A0E" w:rsidRPr="0029219B" w:rsidRDefault="00054A0E" w:rsidP="0029219B">
      <w:pPr>
        <w:spacing w:after="0" w:line="360" w:lineRule="auto"/>
        <w:jc w:val="both"/>
        <w:rPr>
          <w:rFonts w:ascii="Book Antiqua" w:hAnsi="Book Antiqua"/>
          <w:sz w:val="24"/>
          <w:szCs w:val="24"/>
        </w:rPr>
      </w:pPr>
      <w:r w:rsidRPr="00054A0E">
        <w:rPr>
          <w:rFonts w:ascii="Book Antiqua" w:hAnsi="Book Antiqua"/>
          <w:sz w:val="24"/>
          <w:szCs w:val="24"/>
        </w:rPr>
        <w:t xml:space="preserve">139 </w:t>
      </w:r>
      <w:r w:rsidRPr="00054A0E">
        <w:rPr>
          <w:rFonts w:ascii="Book Antiqua" w:hAnsi="Book Antiqua"/>
          <w:b/>
          <w:sz w:val="24"/>
          <w:szCs w:val="24"/>
        </w:rPr>
        <w:t>Prattichizzo F</w:t>
      </w:r>
      <w:r w:rsidRPr="00054A0E">
        <w:rPr>
          <w:rFonts w:ascii="Book Antiqua" w:hAnsi="Book Antiqua"/>
          <w:sz w:val="24"/>
          <w:szCs w:val="24"/>
        </w:rPr>
        <w:t xml:space="preserve">, Giuliani A, Ceka A, Rippo MR, Bonfigli AR, Testa R, Procopio AD, Olivieri F. Epigenetic mechanisms of endothelial dysfunction in type 2 diabetes. </w:t>
      </w:r>
      <w:r w:rsidRPr="00054A0E">
        <w:rPr>
          <w:rFonts w:ascii="Book Antiqua" w:hAnsi="Book Antiqua"/>
          <w:i/>
          <w:sz w:val="24"/>
          <w:szCs w:val="24"/>
        </w:rPr>
        <w:t xml:space="preserve">Clin </w:t>
      </w:r>
      <w:r w:rsidRPr="0029219B">
        <w:rPr>
          <w:rFonts w:ascii="Book Antiqua" w:hAnsi="Book Antiqua"/>
          <w:i/>
          <w:sz w:val="24"/>
          <w:szCs w:val="24"/>
        </w:rPr>
        <w:t>Epigenetics</w:t>
      </w:r>
      <w:r w:rsidRPr="0029219B">
        <w:rPr>
          <w:rFonts w:ascii="Book Antiqua" w:hAnsi="Book Antiqua"/>
          <w:sz w:val="24"/>
          <w:szCs w:val="24"/>
        </w:rPr>
        <w:t xml:space="preserve"> 2015; </w:t>
      </w:r>
      <w:r w:rsidRPr="0029219B">
        <w:rPr>
          <w:rFonts w:ascii="Book Antiqua" w:hAnsi="Book Antiqua"/>
          <w:b/>
          <w:sz w:val="24"/>
          <w:szCs w:val="24"/>
        </w:rPr>
        <w:t>7</w:t>
      </w:r>
      <w:r w:rsidRPr="0029219B">
        <w:rPr>
          <w:rFonts w:ascii="Book Antiqua" w:hAnsi="Book Antiqua"/>
          <w:sz w:val="24"/>
          <w:szCs w:val="24"/>
        </w:rPr>
        <w:t>: 56 [PMID: 26015812 DOI: 10.1186/s13148-015-0090-4]</w:t>
      </w:r>
    </w:p>
    <w:p w14:paraId="398F36C4" w14:textId="5808751A" w:rsidR="00054A0E" w:rsidRPr="0029219B" w:rsidRDefault="00054A0E" w:rsidP="00C8618F">
      <w:pPr>
        <w:pStyle w:val="kwmain"/>
        <w:spacing w:before="0" w:beforeAutospacing="0" w:after="0" w:afterAutospacing="0" w:line="360" w:lineRule="auto"/>
        <w:jc w:val="both"/>
        <w:rPr>
          <w:rFonts w:ascii="Microsoft YaHei" w:eastAsia="Microsoft YaHei" w:hAnsi="Microsoft YaHei"/>
          <w:color w:val="666666"/>
          <w:sz w:val="20"/>
          <w:szCs w:val="20"/>
        </w:rPr>
      </w:pPr>
      <w:r w:rsidRPr="0029219B">
        <w:rPr>
          <w:rFonts w:ascii="Book Antiqua" w:hAnsi="Book Antiqua"/>
        </w:rPr>
        <w:t xml:space="preserve">140 </w:t>
      </w:r>
      <w:r w:rsidRPr="0029219B">
        <w:rPr>
          <w:rFonts w:ascii="Book Antiqua" w:hAnsi="Book Antiqua"/>
          <w:b/>
        </w:rPr>
        <w:t>Nath D</w:t>
      </w:r>
      <w:r w:rsidRPr="0029219B">
        <w:rPr>
          <w:rFonts w:ascii="Book Antiqua" w:hAnsi="Book Antiqua"/>
        </w:rPr>
        <w:t xml:space="preserve">, Heemels M T, Anson L. Obesity and diabetes. </w:t>
      </w:r>
      <w:r w:rsidRPr="0029219B">
        <w:rPr>
          <w:rFonts w:ascii="Book Antiqua" w:hAnsi="Book Antiqua"/>
          <w:i/>
        </w:rPr>
        <w:t>Nature</w:t>
      </w:r>
      <w:r w:rsidRPr="0029219B">
        <w:rPr>
          <w:rFonts w:ascii="Book Antiqua" w:hAnsi="Book Antiqua"/>
        </w:rPr>
        <w:t xml:space="preserve"> 2006; </w:t>
      </w:r>
      <w:r w:rsidRPr="0029219B">
        <w:rPr>
          <w:rFonts w:ascii="Book Antiqua" w:hAnsi="Book Antiqua"/>
          <w:b/>
        </w:rPr>
        <w:t>444</w:t>
      </w:r>
      <w:r w:rsidRPr="0029219B">
        <w:rPr>
          <w:rFonts w:ascii="Book Antiqua" w:hAnsi="Book Antiqua"/>
        </w:rPr>
        <w:t>: 839–888</w:t>
      </w:r>
      <w:r w:rsidR="00C8618F">
        <w:rPr>
          <w:rFonts w:ascii="Book Antiqua" w:hAnsi="Book Antiqua"/>
        </w:rPr>
        <w:t xml:space="preserve"> </w:t>
      </w:r>
      <w:r w:rsidR="0029219B" w:rsidRPr="0029219B">
        <w:rPr>
          <w:rFonts w:ascii="Book Antiqua" w:eastAsiaTheme="minorHAnsi" w:hAnsi="Book Antiqua" w:cstheme="minorBidi"/>
          <w:lang w:val="ru-RU" w:eastAsia="en-US"/>
        </w:rPr>
        <w:t xml:space="preserve">[DOI: </w:t>
      </w:r>
      <w:r w:rsidR="0029219B" w:rsidRPr="0029219B">
        <w:rPr>
          <w:rFonts w:ascii="Book Antiqua" w:eastAsiaTheme="minorHAnsi" w:hAnsi="Book Antiqua" w:cstheme="minorBidi" w:hint="eastAsia"/>
          <w:lang w:val="ru-RU" w:eastAsia="en-US"/>
        </w:rPr>
        <w:t>10.1038/444839a</w:t>
      </w:r>
      <w:r w:rsidR="0029219B" w:rsidRPr="0029219B">
        <w:rPr>
          <w:rFonts w:ascii="Book Antiqua" w:eastAsiaTheme="minorHAnsi" w:hAnsi="Book Antiqua" w:cstheme="minorBidi"/>
          <w:lang w:val="ru-RU" w:eastAsia="en-US"/>
        </w:rPr>
        <w:t>]</w:t>
      </w:r>
    </w:p>
    <w:p w14:paraId="4634CE93" w14:textId="77777777" w:rsidR="00054A0E" w:rsidRPr="00054A0E" w:rsidRDefault="00054A0E" w:rsidP="00C8618F">
      <w:pPr>
        <w:spacing w:after="0" w:line="360" w:lineRule="auto"/>
        <w:jc w:val="both"/>
        <w:rPr>
          <w:rFonts w:ascii="Book Antiqua" w:hAnsi="Book Antiqua"/>
          <w:sz w:val="24"/>
          <w:szCs w:val="24"/>
        </w:rPr>
      </w:pPr>
      <w:r w:rsidRPr="0029219B">
        <w:rPr>
          <w:rFonts w:ascii="Book Antiqua" w:hAnsi="Book Antiqua"/>
          <w:sz w:val="24"/>
          <w:szCs w:val="24"/>
        </w:rPr>
        <w:t xml:space="preserve">141 </w:t>
      </w:r>
      <w:r w:rsidRPr="0029219B">
        <w:rPr>
          <w:rFonts w:ascii="Book Antiqua" w:hAnsi="Book Antiqua"/>
          <w:b/>
          <w:sz w:val="24"/>
          <w:szCs w:val="24"/>
        </w:rPr>
        <w:t>Fellner C</w:t>
      </w:r>
      <w:r w:rsidRPr="0029219B">
        <w:rPr>
          <w:rFonts w:ascii="Book Antiqua" w:hAnsi="Book Antiqua"/>
          <w:sz w:val="24"/>
          <w:szCs w:val="24"/>
        </w:rPr>
        <w:t xml:space="preserve">. Novel Treatments Target Type-2 Diabetes. </w:t>
      </w:r>
      <w:r w:rsidRPr="0029219B">
        <w:rPr>
          <w:rFonts w:ascii="Book Antiqua" w:hAnsi="Book Antiqua"/>
          <w:i/>
          <w:sz w:val="24"/>
          <w:szCs w:val="24"/>
        </w:rPr>
        <w:t>P T</w:t>
      </w:r>
      <w:r w:rsidRPr="0029219B">
        <w:rPr>
          <w:rFonts w:ascii="Book Antiqua" w:hAnsi="Book Antiqua"/>
          <w:sz w:val="24"/>
          <w:szCs w:val="24"/>
        </w:rPr>
        <w:t xml:space="preserve"> 2016; </w:t>
      </w:r>
      <w:r w:rsidRPr="0029219B">
        <w:rPr>
          <w:rFonts w:ascii="Book Antiqua" w:hAnsi="Book Antiqua"/>
          <w:b/>
          <w:sz w:val="24"/>
          <w:szCs w:val="24"/>
        </w:rPr>
        <w:t>41</w:t>
      </w:r>
      <w:r w:rsidRPr="0029219B">
        <w:rPr>
          <w:rFonts w:ascii="Book Antiqua" w:hAnsi="Book Antiqua"/>
          <w:sz w:val="24"/>
          <w:szCs w:val="24"/>
        </w:rPr>
        <w:t>: 650-653 [PMID: 27757005]</w:t>
      </w:r>
    </w:p>
    <w:p w14:paraId="72E5C14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142 </w:t>
      </w:r>
      <w:r w:rsidRPr="00054A0E">
        <w:rPr>
          <w:rFonts w:ascii="Book Antiqua" w:hAnsi="Book Antiqua"/>
          <w:b/>
          <w:sz w:val="24"/>
          <w:szCs w:val="24"/>
        </w:rPr>
        <w:t>Walford GA</w:t>
      </w:r>
      <w:r w:rsidRPr="00054A0E">
        <w:rPr>
          <w:rFonts w:ascii="Book Antiqua" w:hAnsi="Book Antiqua"/>
          <w:sz w:val="24"/>
          <w:szCs w:val="24"/>
        </w:rPr>
        <w:t xml:space="preserve">, Colomo N, Todd JN, Billings LK, Fernandez M, Chamarthi B, Warner AS, Davis J, Littleton KR, Hernandez AM, Fanelli RR, Lanier A, Barbato C, Ackerman RJ, Khan SQ, Bui R, Garber L, Stolerman ES, Moore AF, Huang C, Kaur V, Harden M, Taylor A, Chen L, Manning AK, Huang P, Wexler D, McCarthy RM, Lo J, Thomas MK, Grant RW, Goldfine A, Hudson MS, Florez JC. The study to understand the genetics of the acute response to metformin and glipizide in humans (SUGAR-MGH): design of a pharmacogenetic resource for type 2 diabetes. </w:t>
      </w:r>
      <w:r w:rsidRPr="00054A0E">
        <w:rPr>
          <w:rFonts w:ascii="Book Antiqua" w:hAnsi="Book Antiqua"/>
          <w:i/>
          <w:sz w:val="24"/>
          <w:szCs w:val="24"/>
        </w:rPr>
        <w:t>PLoS One</w:t>
      </w:r>
      <w:r w:rsidRPr="00054A0E">
        <w:rPr>
          <w:rFonts w:ascii="Book Antiqua" w:hAnsi="Book Antiqua"/>
          <w:sz w:val="24"/>
          <w:szCs w:val="24"/>
        </w:rPr>
        <w:t xml:space="preserve"> 2015; </w:t>
      </w:r>
      <w:r w:rsidRPr="00054A0E">
        <w:rPr>
          <w:rFonts w:ascii="Book Antiqua" w:hAnsi="Book Antiqua"/>
          <w:b/>
          <w:sz w:val="24"/>
          <w:szCs w:val="24"/>
        </w:rPr>
        <w:t>10</w:t>
      </w:r>
      <w:r w:rsidRPr="00054A0E">
        <w:rPr>
          <w:rFonts w:ascii="Book Antiqua" w:hAnsi="Book Antiqua"/>
          <w:sz w:val="24"/>
          <w:szCs w:val="24"/>
        </w:rPr>
        <w:t>: e0121553 [PMID: 25812009 DOI: 10.1371/journal.pone.0121553]</w:t>
      </w:r>
    </w:p>
    <w:p w14:paraId="7334C5DD" w14:textId="35A849E8"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143 </w:t>
      </w:r>
      <w:r w:rsidR="00621919">
        <w:rPr>
          <w:rFonts w:ascii="Book Antiqua" w:hAnsi="Book Antiqua"/>
          <w:b/>
          <w:sz w:val="24"/>
          <w:szCs w:val="24"/>
        </w:rPr>
        <w:t>TODAY Study Group</w:t>
      </w:r>
      <w:r w:rsidRPr="00054A0E">
        <w:rPr>
          <w:rFonts w:ascii="Book Antiqua" w:hAnsi="Book Antiqua"/>
          <w:sz w:val="24"/>
          <w:szCs w:val="24"/>
        </w:rPr>
        <w:t xml:space="preserve">, Zeitler P, Hirst K, Pyle L, Linder B, Copeland K, Arslanian S, Cuttler L, Nathan DM, Tollefsen S, Wilfley D, Kaufman F. A clinical trial to maintain glycemic control in youth with type 2 diabetes. </w:t>
      </w:r>
      <w:r w:rsidRPr="00054A0E">
        <w:rPr>
          <w:rFonts w:ascii="Book Antiqua" w:hAnsi="Book Antiqua"/>
          <w:i/>
          <w:sz w:val="24"/>
          <w:szCs w:val="24"/>
        </w:rPr>
        <w:t>N Engl J Med</w:t>
      </w:r>
      <w:r w:rsidRPr="00054A0E">
        <w:rPr>
          <w:rFonts w:ascii="Book Antiqua" w:hAnsi="Book Antiqua"/>
          <w:sz w:val="24"/>
          <w:szCs w:val="24"/>
        </w:rPr>
        <w:t xml:space="preserve"> 2012; </w:t>
      </w:r>
      <w:r w:rsidRPr="00054A0E">
        <w:rPr>
          <w:rFonts w:ascii="Book Antiqua" w:hAnsi="Book Antiqua"/>
          <w:b/>
          <w:sz w:val="24"/>
          <w:szCs w:val="24"/>
        </w:rPr>
        <w:t>366</w:t>
      </w:r>
      <w:r w:rsidRPr="00054A0E">
        <w:rPr>
          <w:rFonts w:ascii="Book Antiqua" w:hAnsi="Book Antiqua"/>
          <w:sz w:val="24"/>
          <w:szCs w:val="24"/>
        </w:rPr>
        <w:t>: 2247-2256 [PMID: 22540912 DOI: 10.1056/NEJMoa1109333]</w:t>
      </w:r>
    </w:p>
    <w:p w14:paraId="4A979FE7"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144 </w:t>
      </w:r>
      <w:r w:rsidRPr="00054A0E">
        <w:rPr>
          <w:rFonts w:ascii="Book Antiqua" w:hAnsi="Book Antiqua"/>
          <w:b/>
          <w:sz w:val="24"/>
          <w:szCs w:val="24"/>
        </w:rPr>
        <w:t>Cook MN</w:t>
      </w:r>
      <w:r w:rsidRPr="00054A0E">
        <w:rPr>
          <w:rFonts w:ascii="Book Antiqua" w:hAnsi="Book Antiqua"/>
          <w:sz w:val="24"/>
          <w:szCs w:val="24"/>
        </w:rPr>
        <w:t xml:space="preserve">, Girman CJ, Stein PP, Alexander CM. Initial monotherapy with either metformin or sulphonylureas often fails to achieve or maintain current glycaemic goals in patients with Type 2 diabetes in UK primary care. </w:t>
      </w:r>
      <w:r w:rsidRPr="00054A0E">
        <w:rPr>
          <w:rFonts w:ascii="Book Antiqua" w:hAnsi="Book Antiqua"/>
          <w:i/>
          <w:sz w:val="24"/>
          <w:szCs w:val="24"/>
        </w:rPr>
        <w:t>Diabet Med</w:t>
      </w:r>
      <w:r w:rsidRPr="00054A0E">
        <w:rPr>
          <w:rFonts w:ascii="Book Antiqua" w:hAnsi="Book Antiqua"/>
          <w:sz w:val="24"/>
          <w:szCs w:val="24"/>
        </w:rPr>
        <w:t xml:space="preserve"> 2007; </w:t>
      </w:r>
      <w:r w:rsidRPr="00054A0E">
        <w:rPr>
          <w:rFonts w:ascii="Book Antiqua" w:hAnsi="Book Antiqua"/>
          <w:b/>
          <w:sz w:val="24"/>
          <w:szCs w:val="24"/>
        </w:rPr>
        <w:t>24</w:t>
      </w:r>
      <w:r w:rsidRPr="00054A0E">
        <w:rPr>
          <w:rFonts w:ascii="Book Antiqua" w:hAnsi="Book Antiqua"/>
          <w:sz w:val="24"/>
          <w:szCs w:val="24"/>
        </w:rPr>
        <w:t>: 350-358 [PMID: 17335466 DOI: 10.1111/j.1464-5491.2007.02078.x]</w:t>
      </w:r>
    </w:p>
    <w:p w14:paraId="35DE3B0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145 </w:t>
      </w:r>
      <w:r w:rsidRPr="00054A0E">
        <w:rPr>
          <w:rFonts w:ascii="Book Antiqua" w:hAnsi="Book Antiqua"/>
          <w:b/>
          <w:sz w:val="24"/>
          <w:szCs w:val="24"/>
        </w:rPr>
        <w:t>Pollastro C</w:t>
      </w:r>
      <w:r w:rsidRPr="00054A0E">
        <w:rPr>
          <w:rFonts w:ascii="Book Antiqua" w:hAnsi="Book Antiqua"/>
          <w:sz w:val="24"/>
          <w:szCs w:val="24"/>
        </w:rPr>
        <w:t xml:space="preserve">, Ziviello C, Costa V, Ciccodicola A. Pharmacogenomics of Drug Response in Type 2 Diabetes: Toward the Definition of Tailored Therapies? </w:t>
      </w:r>
      <w:r w:rsidRPr="00054A0E">
        <w:rPr>
          <w:rFonts w:ascii="Book Antiqua" w:hAnsi="Book Antiqua"/>
          <w:i/>
          <w:sz w:val="24"/>
          <w:szCs w:val="24"/>
        </w:rPr>
        <w:t>PPAR Res</w:t>
      </w:r>
      <w:r w:rsidRPr="00054A0E">
        <w:rPr>
          <w:rFonts w:ascii="Book Antiqua" w:hAnsi="Book Antiqua"/>
          <w:sz w:val="24"/>
          <w:szCs w:val="24"/>
        </w:rPr>
        <w:t xml:space="preserve"> 2015; </w:t>
      </w:r>
      <w:r w:rsidRPr="00054A0E">
        <w:rPr>
          <w:rFonts w:ascii="Book Antiqua" w:hAnsi="Book Antiqua"/>
          <w:b/>
          <w:sz w:val="24"/>
          <w:szCs w:val="24"/>
        </w:rPr>
        <w:t>2015</w:t>
      </w:r>
      <w:r w:rsidRPr="00054A0E">
        <w:rPr>
          <w:rFonts w:ascii="Book Antiqua" w:hAnsi="Book Antiqua"/>
          <w:sz w:val="24"/>
          <w:szCs w:val="24"/>
        </w:rPr>
        <w:t>: 415149 [PMID: 26161088 DOI: 10.1155/2015/415149]</w:t>
      </w:r>
    </w:p>
    <w:p w14:paraId="298C75A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146 </w:t>
      </w:r>
      <w:r w:rsidRPr="00054A0E">
        <w:rPr>
          <w:rFonts w:ascii="Book Antiqua" w:hAnsi="Book Antiqua"/>
          <w:b/>
          <w:sz w:val="24"/>
          <w:szCs w:val="24"/>
        </w:rPr>
        <w:t>Pearson ER</w:t>
      </w:r>
      <w:r w:rsidRPr="00054A0E">
        <w:rPr>
          <w:rFonts w:ascii="Book Antiqua" w:hAnsi="Book Antiqua"/>
          <w:sz w:val="24"/>
          <w:szCs w:val="24"/>
        </w:rPr>
        <w:t xml:space="preserve">, Flechtner I, Njølstad PR, Malecki MT, Flanagan SE, Larkin B, Ashcroft FM, Klimes I, Codner E, Iotova V, Slingerland AS, Shield J, Robert JJ, Holst JJ, Clark PM, Ellard S, Søvik O, Polak M, Hattersley AT; Neonatal Diabetes International Collaborative Group. Switching from insulin to oral sulfonylureas in patients with diabetes due to Kir6.2 mutations. </w:t>
      </w:r>
      <w:r w:rsidRPr="00054A0E">
        <w:rPr>
          <w:rFonts w:ascii="Book Antiqua" w:hAnsi="Book Antiqua"/>
          <w:i/>
          <w:sz w:val="24"/>
          <w:szCs w:val="24"/>
        </w:rPr>
        <w:t>N Engl J Med</w:t>
      </w:r>
      <w:r w:rsidRPr="00054A0E">
        <w:rPr>
          <w:rFonts w:ascii="Book Antiqua" w:hAnsi="Book Antiqua"/>
          <w:sz w:val="24"/>
          <w:szCs w:val="24"/>
        </w:rPr>
        <w:t xml:space="preserve"> 2006; </w:t>
      </w:r>
      <w:r w:rsidRPr="00054A0E">
        <w:rPr>
          <w:rFonts w:ascii="Book Antiqua" w:hAnsi="Book Antiqua"/>
          <w:b/>
          <w:sz w:val="24"/>
          <w:szCs w:val="24"/>
        </w:rPr>
        <w:t>355</w:t>
      </w:r>
      <w:r w:rsidRPr="00054A0E">
        <w:rPr>
          <w:rFonts w:ascii="Book Antiqua" w:hAnsi="Book Antiqua"/>
          <w:sz w:val="24"/>
          <w:szCs w:val="24"/>
        </w:rPr>
        <w:t>: 467-477 [PMID: 16885550 DOI: 10.1056/NEJMoa061759]</w:t>
      </w:r>
    </w:p>
    <w:p w14:paraId="0C8990C3"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147 </w:t>
      </w:r>
      <w:r w:rsidRPr="00054A0E">
        <w:rPr>
          <w:rFonts w:ascii="Book Antiqua" w:hAnsi="Book Antiqua"/>
          <w:b/>
          <w:sz w:val="24"/>
          <w:szCs w:val="24"/>
        </w:rPr>
        <w:t>Rafiq M</w:t>
      </w:r>
      <w:r w:rsidRPr="00054A0E">
        <w:rPr>
          <w:rFonts w:ascii="Book Antiqua" w:hAnsi="Book Antiqua"/>
          <w:sz w:val="24"/>
          <w:szCs w:val="24"/>
        </w:rPr>
        <w:t xml:space="preserve">, Flanagan SE, Patch AM, Shields BM, Ellard S, Hattersley AT; Neonatal Diabetes International Collaborative Group. Effective treatment with oral sulfonylureas in patients with diabetes due to sulfonylurea receptor 1 (SUR1) mutations. </w:t>
      </w:r>
      <w:r w:rsidRPr="00054A0E">
        <w:rPr>
          <w:rFonts w:ascii="Book Antiqua" w:hAnsi="Book Antiqua"/>
          <w:i/>
          <w:sz w:val="24"/>
          <w:szCs w:val="24"/>
        </w:rPr>
        <w:t>Diabetes Care</w:t>
      </w:r>
      <w:r w:rsidRPr="00054A0E">
        <w:rPr>
          <w:rFonts w:ascii="Book Antiqua" w:hAnsi="Book Antiqua"/>
          <w:sz w:val="24"/>
          <w:szCs w:val="24"/>
        </w:rPr>
        <w:t xml:space="preserve"> 2008; </w:t>
      </w:r>
      <w:r w:rsidRPr="00054A0E">
        <w:rPr>
          <w:rFonts w:ascii="Book Antiqua" w:hAnsi="Book Antiqua"/>
          <w:b/>
          <w:sz w:val="24"/>
          <w:szCs w:val="24"/>
        </w:rPr>
        <w:t>31</w:t>
      </w:r>
      <w:r w:rsidRPr="00054A0E">
        <w:rPr>
          <w:rFonts w:ascii="Book Antiqua" w:hAnsi="Book Antiqua"/>
          <w:sz w:val="24"/>
          <w:szCs w:val="24"/>
        </w:rPr>
        <w:t>: 204-209 [PMID: 18025408 DOI: 10.2337/dc07-1785]</w:t>
      </w:r>
    </w:p>
    <w:p w14:paraId="14833234"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148 </w:t>
      </w:r>
      <w:r w:rsidRPr="00054A0E">
        <w:rPr>
          <w:rFonts w:ascii="Book Antiqua" w:hAnsi="Book Antiqua"/>
          <w:b/>
          <w:sz w:val="24"/>
          <w:szCs w:val="24"/>
        </w:rPr>
        <w:t>Kirchheiner J</w:t>
      </w:r>
      <w:r w:rsidRPr="00054A0E">
        <w:rPr>
          <w:rFonts w:ascii="Book Antiqua" w:hAnsi="Book Antiqua"/>
          <w:sz w:val="24"/>
          <w:szCs w:val="24"/>
        </w:rPr>
        <w:t xml:space="preserve">, Brockmöller J, Meineke I, Bauer S, Rohde W, Meisel C, Roots I. Impact of CYP2C9 amino acid polymorphisms on glyburide kinetics and on the insulin and glucose response in healthy volunteers. </w:t>
      </w:r>
      <w:r w:rsidRPr="00054A0E">
        <w:rPr>
          <w:rFonts w:ascii="Book Antiqua" w:hAnsi="Book Antiqua"/>
          <w:i/>
          <w:sz w:val="24"/>
          <w:szCs w:val="24"/>
        </w:rPr>
        <w:t>Clin Pharmacol Ther</w:t>
      </w:r>
      <w:r w:rsidRPr="00054A0E">
        <w:rPr>
          <w:rFonts w:ascii="Book Antiqua" w:hAnsi="Book Antiqua"/>
          <w:sz w:val="24"/>
          <w:szCs w:val="24"/>
        </w:rPr>
        <w:t xml:space="preserve"> 2002; </w:t>
      </w:r>
      <w:r w:rsidRPr="00054A0E">
        <w:rPr>
          <w:rFonts w:ascii="Book Antiqua" w:hAnsi="Book Antiqua"/>
          <w:b/>
          <w:sz w:val="24"/>
          <w:szCs w:val="24"/>
        </w:rPr>
        <w:t>71</w:t>
      </w:r>
      <w:r w:rsidRPr="00054A0E">
        <w:rPr>
          <w:rFonts w:ascii="Book Antiqua" w:hAnsi="Book Antiqua"/>
          <w:sz w:val="24"/>
          <w:szCs w:val="24"/>
        </w:rPr>
        <w:t>: 286-296 [PMID: 11956512 DOI: 10.1067/mcp.2002.122476]</w:t>
      </w:r>
    </w:p>
    <w:p w14:paraId="0829B28F"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149 </w:t>
      </w:r>
      <w:r w:rsidRPr="00054A0E">
        <w:rPr>
          <w:rFonts w:ascii="Book Antiqua" w:hAnsi="Book Antiqua"/>
          <w:b/>
          <w:sz w:val="24"/>
          <w:szCs w:val="24"/>
        </w:rPr>
        <w:t>Tong Y</w:t>
      </w:r>
      <w:r w:rsidRPr="00054A0E">
        <w:rPr>
          <w:rFonts w:ascii="Book Antiqua" w:hAnsi="Book Antiqua"/>
          <w:sz w:val="24"/>
          <w:szCs w:val="24"/>
        </w:rPr>
        <w:t xml:space="preserve">, Lin Y, Zhang Y, Yang J, Zhang Y, Liu H, Zhang B. Association between TCF7L2 gene polymorphisms and susceptibility to type 2 diabetes mellitus: a large Human Genome Epidemiology (HuGE) review and meta-analysis. </w:t>
      </w:r>
      <w:r w:rsidRPr="00054A0E">
        <w:rPr>
          <w:rFonts w:ascii="Book Antiqua" w:hAnsi="Book Antiqua"/>
          <w:i/>
          <w:sz w:val="24"/>
          <w:szCs w:val="24"/>
        </w:rPr>
        <w:t>BMC Med Genet</w:t>
      </w:r>
      <w:r w:rsidRPr="00054A0E">
        <w:rPr>
          <w:rFonts w:ascii="Book Antiqua" w:hAnsi="Book Antiqua"/>
          <w:sz w:val="24"/>
          <w:szCs w:val="24"/>
        </w:rPr>
        <w:t xml:space="preserve"> 2009; </w:t>
      </w:r>
      <w:r w:rsidRPr="00054A0E">
        <w:rPr>
          <w:rFonts w:ascii="Book Antiqua" w:hAnsi="Book Antiqua"/>
          <w:b/>
          <w:sz w:val="24"/>
          <w:szCs w:val="24"/>
        </w:rPr>
        <w:t>10</w:t>
      </w:r>
      <w:r w:rsidRPr="00054A0E">
        <w:rPr>
          <w:rFonts w:ascii="Book Antiqua" w:hAnsi="Book Antiqua"/>
          <w:sz w:val="24"/>
          <w:szCs w:val="24"/>
        </w:rPr>
        <w:t>: 15 [PMID: 19228405 DOI: 10.1186/1471-2350-10-15]</w:t>
      </w:r>
    </w:p>
    <w:p w14:paraId="42B3DE3B"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150 </w:t>
      </w:r>
      <w:r w:rsidRPr="00054A0E">
        <w:rPr>
          <w:rFonts w:ascii="Book Antiqua" w:hAnsi="Book Antiqua"/>
          <w:b/>
          <w:sz w:val="24"/>
          <w:szCs w:val="24"/>
        </w:rPr>
        <w:t>Aquilante CL</w:t>
      </w:r>
      <w:r w:rsidRPr="00054A0E">
        <w:rPr>
          <w:rFonts w:ascii="Book Antiqua" w:hAnsi="Book Antiqua"/>
          <w:sz w:val="24"/>
          <w:szCs w:val="24"/>
        </w:rPr>
        <w:t xml:space="preserve">. Sulfonylurea pharmacogenomics in Type 2 diabetes: the influence of drug target and diabetes risk polymorphisms. </w:t>
      </w:r>
      <w:r w:rsidRPr="00054A0E">
        <w:rPr>
          <w:rFonts w:ascii="Book Antiqua" w:hAnsi="Book Antiqua"/>
          <w:i/>
          <w:sz w:val="24"/>
          <w:szCs w:val="24"/>
        </w:rPr>
        <w:t>Expert Rev Cardiovasc Ther</w:t>
      </w:r>
      <w:r w:rsidRPr="00054A0E">
        <w:rPr>
          <w:rFonts w:ascii="Book Antiqua" w:hAnsi="Book Antiqua"/>
          <w:sz w:val="24"/>
          <w:szCs w:val="24"/>
        </w:rPr>
        <w:t xml:space="preserve"> 2010; </w:t>
      </w:r>
      <w:r w:rsidRPr="00054A0E">
        <w:rPr>
          <w:rFonts w:ascii="Book Antiqua" w:hAnsi="Book Antiqua"/>
          <w:b/>
          <w:sz w:val="24"/>
          <w:szCs w:val="24"/>
        </w:rPr>
        <w:t>8</w:t>
      </w:r>
      <w:r w:rsidRPr="00054A0E">
        <w:rPr>
          <w:rFonts w:ascii="Book Antiqua" w:hAnsi="Book Antiqua"/>
          <w:sz w:val="24"/>
          <w:szCs w:val="24"/>
        </w:rPr>
        <w:t>: 359-372 [PMID: 20222815 DOI: 10.1586/erc.09.154]</w:t>
      </w:r>
    </w:p>
    <w:p w14:paraId="096165D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lastRenderedPageBreak/>
        <w:t xml:space="preserve">151 </w:t>
      </w:r>
      <w:r w:rsidRPr="00054A0E">
        <w:rPr>
          <w:rFonts w:ascii="Book Antiqua" w:hAnsi="Book Antiqua"/>
          <w:b/>
          <w:sz w:val="24"/>
          <w:szCs w:val="24"/>
        </w:rPr>
        <w:t>Sun X</w:t>
      </w:r>
      <w:r w:rsidRPr="00054A0E">
        <w:rPr>
          <w:rFonts w:ascii="Book Antiqua" w:hAnsi="Book Antiqua"/>
          <w:sz w:val="24"/>
          <w:szCs w:val="24"/>
        </w:rPr>
        <w:t xml:space="preserve">, Yu W, Hu C. Genetics of type 2 diabetes: insights into the pathogenesis and its clinical application. </w:t>
      </w:r>
      <w:r w:rsidRPr="00054A0E">
        <w:rPr>
          <w:rFonts w:ascii="Book Antiqua" w:hAnsi="Book Antiqua"/>
          <w:i/>
          <w:sz w:val="24"/>
          <w:szCs w:val="24"/>
        </w:rPr>
        <w:t>Biomed Res Int</w:t>
      </w:r>
      <w:r w:rsidRPr="00054A0E">
        <w:rPr>
          <w:rFonts w:ascii="Book Antiqua" w:hAnsi="Book Antiqua"/>
          <w:sz w:val="24"/>
          <w:szCs w:val="24"/>
        </w:rPr>
        <w:t xml:space="preserve"> 2014; </w:t>
      </w:r>
      <w:r w:rsidRPr="00054A0E">
        <w:rPr>
          <w:rFonts w:ascii="Book Antiqua" w:hAnsi="Book Antiqua"/>
          <w:b/>
          <w:sz w:val="24"/>
          <w:szCs w:val="24"/>
        </w:rPr>
        <w:t>2014</w:t>
      </w:r>
      <w:r w:rsidRPr="00054A0E">
        <w:rPr>
          <w:rFonts w:ascii="Book Antiqua" w:hAnsi="Book Antiqua"/>
          <w:sz w:val="24"/>
          <w:szCs w:val="24"/>
        </w:rPr>
        <w:t>: 926713 [PMID: 24864266 DOI: 10.1155/2014/926713]</w:t>
      </w:r>
    </w:p>
    <w:p w14:paraId="788B9102"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152 </w:t>
      </w:r>
      <w:r w:rsidRPr="00054A0E">
        <w:rPr>
          <w:rFonts w:ascii="Book Antiqua" w:hAnsi="Book Antiqua"/>
          <w:b/>
          <w:sz w:val="24"/>
          <w:szCs w:val="24"/>
        </w:rPr>
        <w:t>Soltani G</w:t>
      </w:r>
      <w:r w:rsidRPr="00054A0E">
        <w:rPr>
          <w:rFonts w:ascii="Book Antiqua" w:hAnsi="Book Antiqua"/>
          <w:sz w:val="24"/>
          <w:szCs w:val="24"/>
        </w:rPr>
        <w:t xml:space="preserve">, Hatefi Z, Salehi AR, Khosravi S, Ghiasi MR, Teke K, Aminorroaya A, Salehi R. Pharmacogenomics of Sulfonylureas Response in Relation to rs7754840 Polymorphisms in Cyclin-Dependent Kinase 5 Regulatory Subunit-associated Protein 1-like (CDKAL1) Gene in Iranian Type 2 Diabetes Patients. </w:t>
      </w:r>
      <w:r w:rsidRPr="00054A0E">
        <w:rPr>
          <w:rFonts w:ascii="Book Antiqua" w:hAnsi="Book Antiqua"/>
          <w:i/>
          <w:sz w:val="24"/>
          <w:szCs w:val="24"/>
        </w:rPr>
        <w:t>Adv Biomed Res</w:t>
      </w:r>
      <w:r w:rsidRPr="00054A0E">
        <w:rPr>
          <w:rFonts w:ascii="Book Antiqua" w:hAnsi="Book Antiqua"/>
          <w:sz w:val="24"/>
          <w:szCs w:val="24"/>
        </w:rPr>
        <w:t xml:space="preserve"> 2018; </w:t>
      </w:r>
      <w:r w:rsidRPr="00054A0E">
        <w:rPr>
          <w:rFonts w:ascii="Book Antiqua" w:hAnsi="Book Antiqua"/>
          <w:b/>
          <w:sz w:val="24"/>
          <w:szCs w:val="24"/>
        </w:rPr>
        <w:t>7</w:t>
      </w:r>
      <w:r w:rsidRPr="00054A0E">
        <w:rPr>
          <w:rFonts w:ascii="Book Antiqua" w:hAnsi="Book Antiqua"/>
          <w:sz w:val="24"/>
          <w:szCs w:val="24"/>
        </w:rPr>
        <w:t>: 96 [PMID: 30050884 DOI: 10.4103/abr.abr_144_17]</w:t>
      </w:r>
    </w:p>
    <w:p w14:paraId="1D46FFA0"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153 </w:t>
      </w:r>
      <w:r w:rsidRPr="00054A0E">
        <w:rPr>
          <w:rFonts w:ascii="Book Antiqua" w:hAnsi="Book Antiqua"/>
          <w:b/>
          <w:sz w:val="24"/>
          <w:szCs w:val="24"/>
        </w:rPr>
        <w:t>Graham GG</w:t>
      </w:r>
      <w:r w:rsidRPr="00054A0E">
        <w:rPr>
          <w:rFonts w:ascii="Book Antiqua" w:hAnsi="Book Antiqua"/>
          <w:sz w:val="24"/>
          <w:szCs w:val="24"/>
        </w:rPr>
        <w:t xml:space="preserve">, Punt J, Arora M, Day RO, Doogue MP, Duong JK, Furlong TJ, Greenfield JR, Greenup LC, Kirkpatrick CM, Ray JE, Timmins P, Williams KM. Clinical pharmacokinetics of metformin. </w:t>
      </w:r>
      <w:r w:rsidRPr="00054A0E">
        <w:rPr>
          <w:rFonts w:ascii="Book Antiqua" w:hAnsi="Book Antiqua"/>
          <w:i/>
          <w:sz w:val="24"/>
          <w:szCs w:val="24"/>
        </w:rPr>
        <w:t>Clin Pharmacokinet</w:t>
      </w:r>
      <w:r w:rsidRPr="00054A0E">
        <w:rPr>
          <w:rFonts w:ascii="Book Antiqua" w:hAnsi="Book Antiqua"/>
          <w:sz w:val="24"/>
          <w:szCs w:val="24"/>
        </w:rPr>
        <w:t xml:space="preserve"> 2011; </w:t>
      </w:r>
      <w:r w:rsidRPr="00054A0E">
        <w:rPr>
          <w:rFonts w:ascii="Book Antiqua" w:hAnsi="Book Antiqua"/>
          <w:b/>
          <w:sz w:val="24"/>
          <w:szCs w:val="24"/>
        </w:rPr>
        <w:t>50</w:t>
      </w:r>
      <w:r w:rsidRPr="00054A0E">
        <w:rPr>
          <w:rFonts w:ascii="Book Antiqua" w:hAnsi="Book Antiqua"/>
          <w:sz w:val="24"/>
          <w:szCs w:val="24"/>
        </w:rPr>
        <w:t>: 81-98 [PMID: 21241070 DOI: 10.2165/11534750-000000000-00000]</w:t>
      </w:r>
    </w:p>
    <w:p w14:paraId="47C96761" w14:textId="7777777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 xml:space="preserve">154 </w:t>
      </w:r>
      <w:r w:rsidRPr="00054A0E">
        <w:rPr>
          <w:rFonts w:ascii="Book Antiqua" w:hAnsi="Book Antiqua"/>
          <w:b/>
          <w:sz w:val="24"/>
          <w:szCs w:val="24"/>
        </w:rPr>
        <w:t>Shu Y</w:t>
      </w:r>
      <w:r w:rsidRPr="00054A0E">
        <w:rPr>
          <w:rFonts w:ascii="Book Antiqua" w:hAnsi="Book Antiqua"/>
          <w:sz w:val="24"/>
          <w:szCs w:val="24"/>
        </w:rPr>
        <w:t xml:space="preserve">, Brown C, Castro RA, Shi RJ, Lin ET, Owen RP, Sheardown SA, Yue L, Burchard EG, Brett CM, Giacomini KM. Effect of genetic variation in the organic cation transporter 1, OCT1, on metformin pharmacokinetics. </w:t>
      </w:r>
      <w:r w:rsidRPr="00054A0E">
        <w:rPr>
          <w:rFonts w:ascii="Book Antiqua" w:hAnsi="Book Antiqua"/>
          <w:i/>
          <w:sz w:val="24"/>
          <w:szCs w:val="24"/>
        </w:rPr>
        <w:t>Clin Pharmacol Ther</w:t>
      </w:r>
      <w:r w:rsidRPr="00054A0E">
        <w:rPr>
          <w:rFonts w:ascii="Book Antiqua" w:hAnsi="Book Antiqua"/>
          <w:sz w:val="24"/>
          <w:szCs w:val="24"/>
        </w:rPr>
        <w:t xml:space="preserve"> 2008; </w:t>
      </w:r>
      <w:r w:rsidRPr="00054A0E">
        <w:rPr>
          <w:rFonts w:ascii="Book Antiqua" w:hAnsi="Book Antiqua"/>
          <w:b/>
          <w:sz w:val="24"/>
          <w:szCs w:val="24"/>
        </w:rPr>
        <w:t>83</w:t>
      </w:r>
      <w:r w:rsidRPr="00054A0E">
        <w:rPr>
          <w:rFonts w:ascii="Book Antiqua" w:hAnsi="Book Antiqua"/>
          <w:sz w:val="24"/>
          <w:szCs w:val="24"/>
        </w:rPr>
        <w:t>: 273-280 [PMID: 17609683 DOI: 10.1038/sj.clpt.6100275]</w:t>
      </w:r>
    </w:p>
    <w:p w14:paraId="6BEA468C" w14:textId="5147D9B7"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15</w:t>
      </w:r>
      <w:r w:rsidR="00C42D8D">
        <w:rPr>
          <w:rFonts w:ascii="Book Antiqua" w:hAnsi="Book Antiqua"/>
          <w:sz w:val="24"/>
          <w:szCs w:val="24"/>
        </w:rPr>
        <w:t>5</w:t>
      </w:r>
      <w:r w:rsidRPr="00054A0E">
        <w:rPr>
          <w:rFonts w:ascii="Book Antiqua" w:hAnsi="Book Antiqua"/>
          <w:sz w:val="24"/>
          <w:szCs w:val="24"/>
        </w:rPr>
        <w:t xml:space="preserve"> </w:t>
      </w:r>
      <w:r w:rsidRPr="00054A0E">
        <w:rPr>
          <w:rFonts w:ascii="Book Antiqua" w:hAnsi="Book Antiqua"/>
          <w:b/>
          <w:sz w:val="24"/>
          <w:szCs w:val="24"/>
        </w:rPr>
        <w:t>Aprile M</w:t>
      </w:r>
      <w:r w:rsidRPr="00054A0E">
        <w:rPr>
          <w:rFonts w:ascii="Book Antiqua" w:hAnsi="Book Antiqua"/>
          <w:sz w:val="24"/>
          <w:szCs w:val="24"/>
        </w:rPr>
        <w:t xml:space="preserve">, Ambrosio MR, D'Esposito V, Beguinot F, Formisano P, Costa V, Ciccodicola A. PPARG in Human Adipogenesis: Differential Contribution of Canonical Transcripts and Dominant Negative Isoforms. </w:t>
      </w:r>
      <w:r w:rsidRPr="00054A0E">
        <w:rPr>
          <w:rFonts w:ascii="Book Antiqua" w:hAnsi="Book Antiqua"/>
          <w:i/>
          <w:sz w:val="24"/>
          <w:szCs w:val="24"/>
        </w:rPr>
        <w:t>PPAR Res</w:t>
      </w:r>
      <w:r w:rsidRPr="00054A0E">
        <w:rPr>
          <w:rFonts w:ascii="Book Antiqua" w:hAnsi="Book Antiqua"/>
          <w:sz w:val="24"/>
          <w:szCs w:val="24"/>
        </w:rPr>
        <w:t xml:space="preserve"> 2014; </w:t>
      </w:r>
      <w:r w:rsidRPr="00054A0E">
        <w:rPr>
          <w:rFonts w:ascii="Book Antiqua" w:hAnsi="Book Antiqua"/>
          <w:b/>
          <w:sz w:val="24"/>
          <w:szCs w:val="24"/>
        </w:rPr>
        <w:t>2014</w:t>
      </w:r>
      <w:r w:rsidRPr="00054A0E">
        <w:rPr>
          <w:rFonts w:ascii="Book Antiqua" w:hAnsi="Book Antiqua"/>
          <w:sz w:val="24"/>
          <w:szCs w:val="24"/>
        </w:rPr>
        <w:t>: 537865 [PMID: 24790595 DOI: 10.1155/2014/537865]</w:t>
      </w:r>
    </w:p>
    <w:p w14:paraId="15A15C40" w14:textId="37D69DCA" w:rsidR="00054A0E" w:rsidRPr="00054A0E" w:rsidRDefault="00054A0E" w:rsidP="00054A0E">
      <w:pPr>
        <w:spacing w:after="0" w:line="360" w:lineRule="auto"/>
        <w:jc w:val="both"/>
        <w:rPr>
          <w:rFonts w:ascii="Book Antiqua" w:hAnsi="Book Antiqua"/>
          <w:sz w:val="24"/>
          <w:szCs w:val="24"/>
        </w:rPr>
      </w:pPr>
      <w:r w:rsidRPr="00054A0E">
        <w:rPr>
          <w:rFonts w:ascii="Book Antiqua" w:hAnsi="Book Antiqua"/>
          <w:sz w:val="24"/>
          <w:szCs w:val="24"/>
        </w:rPr>
        <w:t>15</w:t>
      </w:r>
      <w:r w:rsidR="00C42D8D">
        <w:rPr>
          <w:rFonts w:ascii="Book Antiqua" w:hAnsi="Book Antiqua"/>
          <w:sz w:val="24"/>
          <w:szCs w:val="24"/>
        </w:rPr>
        <w:t>6</w:t>
      </w:r>
      <w:r w:rsidRPr="00054A0E">
        <w:rPr>
          <w:rFonts w:ascii="Book Antiqua" w:hAnsi="Book Antiqua"/>
          <w:sz w:val="24"/>
          <w:szCs w:val="24"/>
        </w:rPr>
        <w:t xml:space="preserve"> </w:t>
      </w:r>
      <w:r w:rsidRPr="00054A0E">
        <w:rPr>
          <w:rFonts w:ascii="Book Antiqua" w:hAnsi="Book Antiqua"/>
          <w:b/>
          <w:sz w:val="24"/>
          <w:szCs w:val="24"/>
        </w:rPr>
        <w:t>Srinivasan S</w:t>
      </w:r>
      <w:r w:rsidRPr="00054A0E">
        <w:rPr>
          <w:rFonts w:ascii="Book Antiqua" w:hAnsi="Book Antiqua"/>
          <w:sz w:val="24"/>
          <w:szCs w:val="24"/>
        </w:rPr>
        <w:t xml:space="preserve">, Kaur V, Chamarthi B, Littleton KR, Chen L, Manning AK, Merino J, Thomas MK, Hudson M, Goldfine A, Florez JC. &lt;i&gt;TCF7L2&lt;/i&gt; Genetic Variation Augments Incretin Resistance and Influences Response to a Sulfonylurea and Metformin: The Study to Understand the Genetics of the Acute Response to Metformin and Glipizide in Humans (SUGAR-MGH). </w:t>
      </w:r>
      <w:r w:rsidRPr="00054A0E">
        <w:rPr>
          <w:rFonts w:ascii="Book Antiqua" w:hAnsi="Book Antiqua"/>
          <w:i/>
          <w:sz w:val="24"/>
          <w:szCs w:val="24"/>
        </w:rPr>
        <w:t>Diabetes Care</w:t>
      </w:r>
      <w:r w:rsidRPr="00054A0E">
        <w:rPr>
          <w:rFonts w:ascii="Book Antiqua" w:hAnsi="Book Antiqua"/>
          <w:sz w:val="24"/>
          <w:szCs w:val="24"/>
        </w:rPr>
        <w:t xml:space="preserve"> 2018; </w:t>
      </w:r>
      <w:r w:rsidRPr="00054A0E">
        <w:rPr>
          <w:rFonts w:ascii="Book Antiqua" w:hAnsi="Book Antiqua"/>
          <w:b/>
          <w:sz w:val="24"/>
          <w:szCs w:val="24"/>
        </w:rPr>
        <w:t>41</w:t>
      </w:r>
      <w:r w:rsidRPr="00054A0E">
        <w:rPr>
          <w:rFonts w:ascii="Book Antiqua" w:hAnsi="Book Antiqua"/>
          <w:sz w:val="24"/>
          <w:szCs w:val="24"/>
        </w:rPr>
        <w:t>: 554-561 [PMID: 29326107 DOI: 10.2337/dc17-1386]</w:t>
      </w:r>
    </w:p>
    <w:p w14:paraId="5DA54D5D" w14:textId="77777777" w:rsidR="0024307B" w:rsidRPr="00054A0E" w:rsidRDefault="0024307B" w:rsidP="00054A0E">
      <w:pPr>
        <w:spacing w:after="0" w:line="360" w:lineRule="auto"/>
        <w:jc w:val="both"/>
        <w:rPr>
          <w:rFonts w:ascii="Book Antiqua" w:hAnsi="Book Antiqua" w:cs="Times New Roman"/>
          <w:sz w:val="24"/>
          <w:szCs w:val="24"/>
        </w:rPr>
      </w:pPr>
    </w:p>
    <w:p w14:paraId="6572A6BF" w14:textId="39A0B2C2" w:rsidR="00F31B00" w:rsidRPr="00054A0E" w:rsidRDefault="00F31B00" w:rsidP="00B75213">
      <w:pPr>
        <w:pStyle w:val="PlainText"/>
        <w:spacing w:line="360" w:lineRule="auto"/>
        <w:jc w:val="right"/>
        <w:rPr>
          <w:rFonts w:ascii="Book Antiqua" w:hAnsi="Book Antiqua"/>
          <w:b/>
          <w:sz w:val="24"/>
          <w:szCs w:val="24"/>
        </w:rPr>
      </w:pPr>
      <w:r w:rsidRPr="00054A0E">
        <w:rPr>
          <w:rFonts w:ascii="Book Antiqua" w:hAnsi="Book Antiqua"/>
          <w:b/>
          <w:sz w:val="24"/>
          <w:szCs w:val="24"/>
        </w:rPr>
        <w:t xml:space="preserve">P-Reviewer: </w:t>
      </w:r>
      <w:r w:rsidR="0077292C" w:rsidRPr="00054A0E">
        <w:rPr>
          <w:rFonts w:ascii="Book Antiqua" w:hAnsi="Book Antiqua"/>
          <w:color w:val="000000"/>
          <w:sz w:val="24"/>
          <w:szCs w:val="24"/>
          <w:shd w:val="clear" w:color="auto" w:fill="FFFFFF"/>
        </w:rPr>
        <w:t>Al-</w:t>
      </w:r>
      <w:proofErr w:type="spellStart"/>
      <w:r w:rsidR="0077292C" w:rsidRPr="00054A0E">
        <w:rPr>
          <w:rFonts w:ascii="Book Antiqua" w:hAnsi="Book Antiqua"/>
          <w:color w:val="000000"/>
          <w:sz w:val="24"/>
          <w:szCs w:val="24"/>
          <w:shd w:val="clear" w:color="auto" w:fill="FFFFFF"/>
        </w:rPr>
        <w:t>Gayyar</w:t>
      </w:r>
      <w:proofErr w:type="spellEnd"/>
      <w:r w:rsidR="0077292C" w:rsidRPr="00054A0E">
        <w:rPr>
          <w:rFonts w:ascii="Book Antiqua" w:hAnsi="Book Antiqua"/>
          <w:color w:val="000000"/>
          <w:sz w:val="24"/>
          <w:szCs w:val="24"/>
          <w:shd w:val="clear" w:color="auto" w:fill="FFFFFF"/>
        </w:rPr>
        <w:t xml:space="preserve"> M, Ramos S </w:t>
      </w:r>
      <w:r w:rsidRPr="00054A0E">
        <w:rPr>
          <w:rFonts w:ascii="Book Antiqua" w:hAnsi="Book Antiqua"/>
          <w:b/>
          <w:sz w:val="24"/>
          <w:szCs w:val="24"/>
        </w:rPr>
        <w:t xml:space="preserve">S-Editor: </w:t>
      </w:r>
      <w:r w:rsidRPr="00054A0E">
        <w:rPr>
          <w:rFonts w:ascii="Book Antiqua" w:hAnsi="Book Antiqua"/>
          <w:sz w:val="24"/>
          <w:szCs w:val="24"/>
        </w:rPr>
        <w:t>Ji FF</w:t>
      </w:r>
      <w:r w:rsidRPr="00054A0E">
        <w:rPr>
          <w:rFonts w:ascii="Book Antiqua" w:hAnsi="Book Antiqua"/>
          <w:b/>
          <w:sz w:val="24"/>
          <w:szCs w:val="24"/>
        </w:rPr>
        <w:t xml:space="preserve"> L-Editor: E-Editor: </w:t>
      </w:r>
    </w:p>
    <w:p w14:paraId="7A73D60F" w14:textId="77777777" w:rsidR="00F31B00" w:rsidRPr="00054A0E" w:rsidRDefault="00F31B00" w:rsidP="00054A0E">
      <w:pPr>
        <w:pStyle w:val="PlainText"/>
        <w:spacing w:line="360" w:lineRule="auto"/>
        <w:rPr>
          <w:rFonts w:ascii="Book Antiqua" w:hAnsi="Book Antiqua"/>
          <w:b/>
          <w:sz w:val="24"/>
          <w:szCs w:val="24"/>
        </w:rPr>
      </w:pPr>
      <w:r w:rsidRPr="00054A0E">
        <w:rPr>
          <w:rFonts w:ascii="Book Antiqua" w:hAnsi="Book Antiqua"/>
          <w:b/>
          <w:sz w:val="24"/>
          <w:szCs w:val="24"/>
        </w:rPr>
        <w:t xml:space="preserve"> </w:t>
      </w:r>
    </w:p>
    <w:p w14:paraId="48E7F423" w14:textId="6F4E54DD" w:rsidR="00F31B00" w:rsidRPr="00054A0E" w:rsidRDefault="00F31B00" w:rsidP="00054A0E">
      <w:pPr>
        <w:snapToGrid w:val="0"/>
        <w:spacing w:after="0" w:line="360" w:lineRule="auto"/>
        <w:jc w:val="both"/>
        <w:rPr>
          <w:rFonts w:ascii="Book Antiqua" w:eastAsia="SimSun" w:hAnsi="Book Antiqua" w:cs="Helvetica"/>
          <w:b/>
          <w:sz w:val="24"/>
          <w:szCs w:val="24"/>
        </w:rPr>
      </w:pPr>
      <w:r w:rsidRPr="00054A0E">
        <w:rPr>
          <w:rFonts w:ascii="Book Antiqua" w:eastAsia="SimSun" w:hAnsi="Book Antiqua" w:cs="Helvetica"/>
          <w:b/>
          <w:sz w:val="24"/>
          <w:szCs w:val="24"/>
        </w:rPr>
        <w:t xml:space="preserve">Specialty type: </w:t>
      </w:r>
      <w:r w:rsidR="0077292C" w:rsidRPr="00054A0E">
        <w:rPr>
          <w:rFonts w:ascii="Book Antiqua" w:eastAsia="Microsoft YaHei" w:hAnsi="Book Antiqua" w:cs="SimSun"/>
          <w:sz w:val="24"/>
          <w:szCs w:val="24"/>
        </w:rPr>
        <w:t>Endocrinology and metabolism</w:t>
      </w:r>
    </w:p>
    <w:p w14:paraId="058DB1C5" w14:textId="0D55DD23" w:rsidR="00F31B00" w:rsidRPr="00054A0E" w:rsidRDefault="00F31B00" w:rsidP="00054A0E">
      <w:pPr>
        <w:snapToGrid w:val="0"/>
        <w:spacing w:after="0" w:line="360" w:lineRule="auto"/>
        <w:jc w:val="both"/>
        <w:rPr>
          <w:rFonts w:ascii="Book Antiqua" w:eastAsia="SimSun" w:hAnsi="Book Antiqua" w:cs="Helvetica"/>
          <w:b/>
          <w:sz w:val="24"/>
          <w:szCs w:val="24"/>
        </w:rPr>
      </w:pPr>
      <w:r w:rsidRPr="00054A0E">
        <w:rPr>
          <w:rFonts w:ascii="Book Antiqua" w:eastAsia="SimSun" w:hAnsi="Book Antiqua" w:cs="Helvetica"/>
          <w:b/>
          <w:sz w:val="24"/>
          <w:szCs w:val="24"/>
        </w:rPr>
        <w:t xml:space="preserve">Country of origin: </w:t>
      </w:r>
      <w:r w:rsidR="0077292C" w:rsidRPr="00054A0E">
        <w:rPr>
          <w:rFonts w:ascii="Book Antiqua" w:eastAsia="SimSun" w:hAnsi="Book Antiqua"/>
          <w:sz w:val="24"/>
          <w:szCs w:val="24"/>
        </w:rPr>
        <w:t>Russia</w:t>
      </w:r>
    </w:p>
    <w:p w14:paraId="27E977E2" w14:textId="77777777" w:rsidR="00F31B00" w:rsidRPr="00054A0E" w:rsidRDefault="00F31B00" w:rsidP="00054A0E">
      <w:pPr>
        <w:snapToGrid w:val="0"/>
        <w:spacing w:after="0" w:line="360" w:lineRule="auto"/>
        <w:jc w:val="both"/>
        <w:rPr>
          <w:rFonts w:ascii="Book Antiqua" w:eastAsia="SimSun" w:hAnsi="Book Antiqua" w:cs="Helvetica"/>
          <w:b/>
          <w:sz w:val="24"/>
          <w:szCs w:val="24"/>
        </w:rPr>
      </w:pPr>
      <w:r w:rsidRPr="00054A0E">
        <w:rPr>
          <w:rFonts w:ascii="Book Antiqua" w:eastAsia="SimSun" w:hAnsi="Book Antiqua" w:cs="Helvetica"/>
          <w:b/>
          <w:sz w:val="24"/>
          <w:szCs w:val="24"/>
        </w:rPr>
        <w:t>Peer-review report classification</w:t>
      </w:r>
    </w:p>
    <w:p w14:paraId="42A8DE1C" w14:textId="61F75E59" w:rsidR="00F31B00" w:rsidRPr="00054A0E" w:rsidRDefault="00F31B00" w:rsidP="00054A0E">
      <w:pPr>
        <w:snapToGrid w:val="0"/>
        <w:spacing w:after="0" w:line="360" w:lineRule="auto"/>
        <w:jc w:val="both"/>
        <w:rPr>
          <w:rFonts w:ascii="Book Antiqua" w:eastAsia="SimSun" w:hAnsi="Book Antiqua" w:cs="Helvetica"/>
          <w:sz w:val="24"/>
          <w:szCs w:val="24"/>
        </w:rPr>
      </w:pPr>
      <w:r w:rsidRPr="00054A0E">
        <w:rPr>
          <w:rFonts w:ascii="Book Antiqua" w:eastAsia="SimSun" w:hAnsi="Book Antiqua" w:cs="Helvetica"/>
          <w:sz w:val="24"/>
          <w:szCs w:val="24"/>
        </w:rPr>
        <w:lastRenderedPageBreak/>
        <w:t xml:space="preserve">Grade A (Excellent): </w:t>
      </w:r>
      <w:r w:rsidR="0077292C" w:rsidRPr="00054A0E">
        <w:rPr>
          <w:rFonts w:ascii="Book Antiqua" w:eastAsia="SimSun" w:hAnsi="Book Antiqua" w:cs="Helvetica"/>
          <w:sz w:val="24"/>
          <w:szCs w:val="24"/>
        </w:rPr>
        <w:t>0</w:t>
      </w:r>
    </w:p>
    <w:p w14:paraId="635DBD2C" w14:textId="77777777" w:rsidR="00F31B00" w:rsidRPr="00054A0E" w:rsidRDefault="00F31B00" w:rsidP="00054A0E">
      <w:pPr>
        <w:snapToGrid w:val="0"/>
        <w:spacing w:after="0" w:line="360" w:lineRule="auto"/>
        <w:jc w:val="both"/>
        <w:rPr>
          <w:rFonts w:ascii="Book Antiqua" w:eastAsia="SimSun" w:hAnsi="Book Antiqua" w:cs="Helvetica"/>
          <w:sz w:val="24"/>
          <w:szCs w:val="24"/>
        </w:rPr>
      </w:pPr>
      <w:r w:rsidRPr="00054A0E">
        <w:rPr>
          <w:rFonts w:ascii="Book Antiqua" w:eastAsia="SimSun" w:hAnsi="Book Antiqua" w:cs="Helvetica"/>
          <w:sz w:val="24"/>
          <w:szCs w:val="24"/>
        </w:rPr>
        <w:t>Grade B (Very good): B</w:t>
      </w:r>
    </w:p>
    <w:p w14:paraId="1E2F3B7F" w14:textId="77777777" w:rsidR="00F31B00" w:rsidRPr="00054A0E" w:rsidRDefault="00F31B00" w:rsidP="00054A0E">
      <w:pPr>
        <w:snapToGrid w:val="0"/>
        <w:spacing w:after="0" w:line="360" w:lineRule="auto"/>
        <w:jc w:val="both"/>
        <w:rPr>
          <w:rFonts w:ascii="Book Antiqua" w:eastAsia="SimSun" w:hAnsi="Book Antiqua" w:cs="Helvetica"/>
          <w:sz w:val="24"/>
          <w:szCs w:val="24"/>
        </w:rPr>
      </w:pPr>
      <w:r w:rsidRPr="00054A0E">
        <w:rPr>
          <w:rFonts w:ascii="Book Antiqua" w:eastAsia="SimSun" w:hAnsi="Book Antiqua" w:cs="Helvetica"/>
          <w:sz w:val="24"/>
          <w:szCs w:val="24"/>
        </w:rPr>
        <w:t>Grade C (Good): C</w:t>
      </w:r>
    </w:p>
    <w:p w14:paraId="150A29F1" w14:textId="77777777" w:rsidR="00F31B00" w:rsidRPr="00054A0E" w:rsidRDefault="00F31B00" w:rsidP="00054A0E">
      <w:pPr>
        <w:snapToGrid w:val="0"/>
        <w:spacing w:after="0" w:line="360" w:lineRule="auto"/>
        <w:jc w:val="both"/>
        <w:rPr>
          <w:rFonts w:ascii="Book Antiqua" w:eastAsia="SimSun" w:hAnsi="Book Antiqua" w:cs="Helvetica"/>
          <w:sz w:val="24"/>
          <w:szCs w:val="24"/>
        </w:rPr>
      </w:pPr>
      <w:r w:rsidRPr="00054A0E">
        <w:rPr>
          <w:rFonts w:ascii="Book Antiqua" w:eastAsia="SimSun" w:hAnsi="Book Antiqua" w:cs="Helvetica"/>
          <w:sz w:val="24"/>
          <w:szCs w:val="24"/>
        </w:rPr>
        <w:t xml:space="preserve">Grade D (Fair): 0 </w:t>
      </w:r>
    </w:p>
    <w:p w14:paraId="2995DB21" w14:textId="41F7BBDF" w:rsidR="0024307B" w:rsidRPr="00054A0E" w:rsidRDefault="00F31B00" w:rsidP="00054A0E">
      <w:pPr>
        <w:spacing w:after="0" w:line="360" w:lineRule="auto"/>
        <w:jc w:val="both"/>
        <w:rPr>
          <w:rFonts w:ascii="Book Antiqua" w:hAnsi="Book Antiqua" w:cs="Times New Roman"/>
          <w:sz w:val="24"/>
          <w:szCs w:val="24"/>
          <w:lang w:val="en-US"/>
        </w:rPr>
      </w:pPr>
      <w:r w:rsidRPr="00054A0E">
        <w:rPr>
          <w:rFonts w:ascii="Book Antiqua" w:eastAsia="SimSun" w:hAnsi="Book Antiqua" w:cs="Helvetica"/>
          <w:sz w:val="24"/>
          <w:szCs w:val="24"/>
        </w:rPr>
        <w:t>Grade E (Poor): 0</w:t>
      </w:r>
    </w:p>
    <w:p w14:paraId="6C11488B" w14:textId="7E679AAC" w:rsidR="0077292C" w:rsidRDefault="0077292C">
      <w:pPr>
        <w:spacing w:after="200" w:line="276" w:lineRule="auto"/>
        <w:rPr>
          <w:rFonts w:ascii="Book Antiqua" w:hAnsi="Book Antiqua" w:cs="Times New Roman"/>
          <w:sz w:val="24"/>
          <w:szCs w:val="24"/>
          <w:lang w:val="en-US"/>
        </w:rPr>
      </w:pPr>
      <w:r>
        <w:rPr>
          <w:rFonts w:ascii="Book Antiqua" w:hAnsi="Book Antiqua" w:cs="Times New Roman"/>
          <w:sz w:val="24"/>
          <w:szCs w:val="24"/>
          <w:lang w:val="en-US"/>
        </w:rPr>
        <w:br w:type="page"/>
      </w:r>
    </w:p>
    <w:p w14:paraId="796A1180" w14:textId="77777777" w:rsidR="0077292C" w:rsidRDefault="0077292C" w:rsidP="0077292C">
      <w:pPr>
        <w:spacing w:after="0" w:line="360" w:lineRule="auto"/>
        <w:jc w:val="both"/>
        <w:rPr>
          <w:rFonts w:ascii="Book Antiqua" w:hAnsi="Book Antiqua" w:cs="Times New Roman"/>
          <w:sz w:val="24"/>
          <w:szCs w:val="24"/>
          <w:lang w:val="en-US"/>
        </w:rPr>
      </w:pPr>
    </w:p>
    <w:p w14:paraId="752E4958" w14:textId="35B86D52" w:rsidR="0077292C" w:rsidRPr="00AE5088" w:rsidRDefault="0088405D" w:rsidP="0077292C">
      <w:pPr>
        <w:spacing w:after="0" w:line="360" w:lineRule="auto"/>
        <w:jc w:val="both"/>
        <w:rPr>
          <w:rFonts w:ascii="Book Antiqua" w:hAnsi="Book Antiqua" w:cs="Times New Roman"/>
          <w:sz w:val="24"/>
          <w:szCs w:val="24"/>
          <w:lang w:val="en-US"/>
        </w:rPr>
      </w:pPr>
      <w:r w:rsidRPr="0088405D">
        <w:rPr>
          <w:rFonts w:ascii="Book Antiqua" w:hAnsi="Book Antiqua" w:cs="Times New Roman"/>
          <w:noProof/>
          <w:sz w:val="24"/>
          <w:szCs w:val="24"/>
          <w:lang w:val="en-US" w:eastAsia="zh-CN"/>
        </w:rPr>
        <w:drawing>
          <wp:inline distT="0" distB="0" distL="0" distR="0" wp14:anchorId="7F46A087" wp14:editId="344403A8">
            <wp:extent cx="5940425" cy="33413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341370"/>
                    </a:xfrm>
                    <a:prstGeom prst="rect">
                      <a:avLst/>
                    </a:prstGeom>
                  </pic:spPr>
                </pic:pic>
              </a:graphicData>
            </a:graphic>
          </wp:inline>
        </w:drawing>
      </w:r>
    </w:p>
    <w:p w14:paraId="0BC099E7" w14:textId="77777777" w:rsidR="0077292C" w:rsidRPr="00AE5088" w:rsidRDefault="0077292C" w:rsidP="0077292C">
      <w:pPr>
        <w:spacing w:after="0" w:line="360" w:lineRule="auto"/>
        <w:jc w:val="both"/>
        <w:rPr>
          <w:rFonts w:ascii="Book Antiqua" w:hAnsi="Book Antiqua" w:cs="Times New Roman"/>
          <w:b/>
          <w:i/>
          <w:sz w:val="24"/>
          <w:szCs w:val="24"/>
          <w:lang w:val="en-US"/>
        </w:rPr>
      </w:pPr>
    </w:p>
    <w:p w14:paraId="76DCD9CE" w14:textId="3B4F1C6F" w:rsidR="0077292C" w:rsidRPr="00AE5088" w:rsidRDefault="0077292C" w:rsidP="0077292C">
      <w:pPr>
        <w:spacing w:after="0" w:line="360" w:lineRule="auto"/>
        <w:jc w:val="both"/>
        <w:rPr>
          <w:rFonts w:ascii="Book Antiqua" w:hAnsi="Book Antiqua" w:cs="Times New Roman"/>
          <w:b/>
          <w:sz w:val="24"/>
          <w:szCs w:val="24"/>
          <w:lang w:val="en-US"/>
        </w:rPr>
      </w:pPr>
      <w:r w:rsidRPr="00A019B3">
        <w:rPr>
          <w:rFonts w:ascii="Book Antiqua" w:hAnsi="Book Antiqua" w:cs="Times New Roman"/>
          <w:b/>
          <w:sz w:val="24"/>
          <w:szCs w:val="24"/>
          <w:lang w:val="en-US"/>
        </w:rPr>
        <w:t xml:space="preserve">Figure 1 Schematic representation of main </w:t>
      </w:r>
      <w:r w:rsidR="00A019B3" w:rsidRPr="00A019B3">
        <w:rPr>
          <w:rFonts w:ascii="Book Antiqua" w:hAnsi="Book Antiqua" w:cs="Times New Roman"/>
          <w:b/>
          <w:sz w:val="24"/>
          <w:szCs w:val="24"/>
          <w:lang w:val="en-US"/>
        </w:rPr>
        <w:t>type 2 diabetes</w:t>
      </w:r>
      <w:r w:rsidRPr="00A019B3">
        <w:rPr>
          <w:rFonts w:ascii="Book Antiqua" w:hAnsi="Book Antiqua" w:cs="Times New Roman"/>
          <w:b/>
          <w:sz w:val="24"/>
          <w:szCs w:val="24"/>
          <w:lang w:val="en-US"/>
        </w:rPr>
        <w:t xml:space="preserve"> loci identified recently by high-throughput (mostly, </w:t>
      </w:r>
      <w:r w:rsidR="00A019B3" w:rsidRPr="00A019B3">
        <w:rPr>
          <w:rFonts w:ascii="Book Antiqua" w:hAnsi="Book Antiqua" w:cs="Times New Roman"/>
          <w:b/>
          <w:sz w:val="24"/>
          <w:szCs w:val="24"/>
          <w:lang w:val="en-US"/>
        </w:rPr>
        <w:t>next-generation sequencing</w:t>
      </w:r>
      <w:r w:rsidRPr="00A019B3">
        <w:rPr>
          <w:rFonts w:ascii="Book Antiqua" w:hAnsi="Book Antiqua" w:cs="Times New Roman"/>
          <w:b/>
          <w:sz w:val="24"/>
          <w:szCs w:val="24"/>
          <w:lang w:val="en-US"/>
        </w:rPr>
        <w:t>-based) technologies.</w:t>
      </w:r>
      <w:r w:rsidRPr="00AE5088">
        <w:rPr>
          <w:rFonts w:ascii="Book Antiqua" w:hAnsi="Book Antiqua" w:cs="Times New Roman"/>
          <w:sz w:val="24"/>
          <w:szCs w:val="24"/>
          <w:lang w:val="en-US"/>
        </w:rPr>
        <w:t xml:space="preserve"> Each box represents certain type of genetic and epigenetic markers of </w:t>
      </w:r>
      <w:r w:rsidR="00A019B3" w:rsidRPr="00AE5088">
        <w:rPr>
          <w:rFonts w:ascii="Book Antiqua" w:hAnsi="Book Antiqua" w:cs="Times New Roman"/>
          <w:sz w:val="24"/>
          <w:szCs w:val="24"/>
          <w:lang w:val="en-US"/>
        </w:rPr>
        <w:t>type 2 diabetes</w:t>
      </w:r>
      <w:r w:rsidR="00A019B3">
        <w:rPr>
          <w:rFonts w:ascii="Book Antiqua" w:hAnsi="Book Antiqua" w:cs="Times New Roman"/>
          <w:sz w:val="24"/>
          <w:szCs w:val="24"/>
          <w:lang w:val="en-US"/>
        </w:rPr>
        <w:t>.</w:t>
      </w:r>
    </w:p>
    <w:p w14:paraId="67A5B0BE" w14:textId="65029E45" w:rsidR="00DB73F5" w:rsidRPr="0077292C" w:rsidRDefault="00DB73F5" w:rsidP="005232A1">
      <w:pPr>
        <w:spacing w:after="0" w:line="360" w:lineRule="auto"/>
        <w:jc w:val="both"/>
        <w:rPr>
          <w:rFonts w:ascii="Book Antiqua" w:hAnsi="Book Antiqua" w:cs="Times New Roman"/>
          <w:sz w:val="24"/>
          <w:szCs w:val="24"/>
        </w:rPr>
      </w:pPr>
    </w:p>
    <w:sectPr w:rsidR="00DB73F5" w:rsidRPr="007729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6BF0" w14:textId="77777777" w:rsidR="00786FFD" w:rsidRDefault="00786FFD" w:rsidP="0008725A">
      <w:pPr>
        <w:spacing w:after="0" w:line="240" w:lineRule="auto"/>
      </w:pPr>
      <w:r>
        <w:separator/>
      </w:r>
    </w:p>
  </w:endnote>
  <w:endnote w:type="continuationSeparator" w:id="0">
    <w:p w14:paraId="2EE1A2A6" w14:textId="77777777" w:rsidR="00786FFD" w:rsidRDefault="00786FFD" w:rsidP="0008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4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39276" w14:textId="77777777" w:rsidR="00786FFD" w:rsidRDefault="00786FFD" w:rsidP="0008725A">
      <w:pPr>
        <w:spacing w:after="0" w:line="240" w:lineRule="auto"/>
      </w:pPr>
      <w:r>
        <w:separator/>
      </w:r>
    </w:p>
  </w:footnote>
  <w:footnote w:type="continuationSeparator" w:id="0">
    <w:p w14:paraId="5E49862D" w14:textId="77777777" w:rsidR="00786FFD" w:rsidRDefault="00786FFD" w:rsidP="00087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58B"/>
    <w:multiLevelType w:val="hybridMultilevel"/>
    <w:tmpl w:val="DFFC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72"/>
    <w:rsid w:val="83FAE428"/>
    <w:rsid w:val="8BAF441F"/>
    <w:rsid w:val="9B3FB174"/>
    <w:rsid w:val="9BF2545C"/>
    <w:rsid w:val="AA7C54F0"/>
    <w:rsid w:val="AFDB59CC"/>
    <w:rsid w:val="B6FEEDA4"/>
    <w:rsid w:val="B79FF13D"/>
    <w:rsid w:val="B7FF5937"/>
    <w:rsid w:val="BADBF629"/>
    <w:rsid w:val="BBDEED0D"/>
    <w:rsid w:val="BD6579C3"/>
    <w:rsid w:val="BEEFAC2C"/>
    <w:rsid w:val="BFB94803"/>
    <w:rsid w:val="BFDF90F9"/>
    <w:rsid w:val="BFEC01A5"/>
    <w:rsid w:val="BFF72138"/>
    <w:rsid w:val="D1CF6CC3"/>
    <w:rsid w:val="D37B1B7A"/>
    <w:rsid w:val="D3EFD00C"/>
    <w:rsid w:val="D5198860"/>
    <w:rsid w:val="D72F4246"/>
    <w:rsid w:val="D75FA3E0"/>
    <w:rsid w:val="D7FD9AFB"/>
    <w:rsid w:val="DAFBEB8F"/>
    <w:rsid w:val="DB740A5E"/>
    <w:rsid w:val="DDB70E94"/>
    <w:rsid w:val="DF79DDF3"/>
    <w:rsid w:val="DFF9F412"/>
    <w:rsid w:val="DFFACC99"/>
    <w:rsid w:val="DFFB7085"/>
    <w:rsid w:val="EAF9917D"/>
    <w:rsid w:val="EB7A9114"/>
    <w:rsid w:val="EDEFEE3A"/>
    <w:rsid w:val="EFAEDB7B"/>
    <w:rsid w:val="EFCEFC23"/>
    <w:rsid w:val="EFDE199B"/>
    <w:rsid w:val="EFDF6DFE"/>
    <w:rsid w:val="F774ED62"/>
    <w:rsid w:val="F77D13D7"/>
    <w:rsid w:val="F7D509EC"/>
    <w:rsid w:val="F7E802F5"/>
    <w:rsid w:val="FB3FFFB6"/>
    <w:rsid w:val="FBED5763"/>
    <w:rsid w:val="FBFFEF10"/>
    <w:rsid w:val="FC2E39AB"/>
    <w:rsid w:val="FDAE1D9F"/>
    <w:rsid w:val="FDDF0D4D"/>
    <w:rsid w:val="FEDF3F9E"/>
    <w:rsid w:val="FEFEDEAD"/>
    <w:rsid w:val="FF7BC14D"/>
    <w:rsid w:val="FF7E88E8"/>
    <w:rsid w:val="FFD7ADBC"/>
    <w:rsid w:val="FFEBE5B0"/>
    <w:rsid w:val="FFED91FC"/>
    <w:rsid w:val="FFEF8D28"/>
    <w:rsid w:val="FFFF2C02"/>
    <w:rsid w:val="FFFF8924"/>
    <w:rsid w:val="00004DFD"/>
    <w:rsid w:val="00005003"/>
    <w:rsid w:val="00005C3A"/>
    <w:rsid w:val="00013B0C"/>
    <w:rsid w:val="00017666"/>
    <w:rsid w:val="00021432"/>
    <w:rsid w:val="00023DA2"/>
    <w:rsid w:val="00024938"/>
    <w:rsid w:val="0002525C"/>
    <w:rsid w:val="00026B1A"/>
    <w:rsid w:val="00054A0E"/>
    <w:rsid w:val="0006668B"/>
    <w:rsid w:val="00075725"/>
    <w:rsid w:val="00075C43"/>
    <w:rsid w:val="00081D20"/>
    <w:rsid w:val="0008725A"/>
    <w:rsid w:val="00091996"/>
    <w:rsid w:val="000A4886"/>
    <w:rsid w:val="000B3084"/>
    <w:rsid w:val="000B576A"/>
    <w:rsid w:val="000D197A"/>
    <w:rsid w:val="000F27C9"/>
    <w:rsid w:val="00100AED"/>
    <w:rsid w:val="0010490D"/>
    <w:rsid w:val="001050F4"/>
    <w:rsid w:val="00105E40"/>
    <w:rsid w:val="001204DB"/>
    <w:rsid w:val="00121168"/>
    <w:rsid w:val="001305F7"/>
    <w:rsid w:val="00131029"/>
    <w:rsid w:val="0013401D"/>
    <w:rsid w:val="001352D5"/>
    <w:rsid w:val="00140C39"/>
    <w:rsid w:val="0014328E"/>
    <w:rsid w:val="0015131A"/>
    <w:rsid w:val="00157FEB"/>
    <w:rsid w:val="00162A18"/>
    <w:rsid w:val="00171BB8"/>
    <w:rsid w:val="00174537"/>
    <w:rsid w:val="00176FF0"/>
    <w:rsid w:val="0018167C"/>
    <w:rsid w:val="00194DE9"/>
    <w:rsid w:val="001A2D8D"/>
    <w:rsid w:val="001A31E6"/>
    <w:rsid w:val="001B3AEA"/>
    <w:rsid w:val="001B676F"/>
    <w:rsid w:val="001C35A3"/>
    <w:rsid w:val="001C5089"/>
    <w:rsid w:val="001C66FA"/>
    <w:rsid w:val="001D3315"/>
    <w:rsid w:val="001E1580"/>
    <w:rsid w:val="001E5BEA"/>
    <w:rsid w:val="001F1354"/>
    <w:rsid w:val="001F5468"/>
    <w:rsid w:val="001F605C"/>
    <w:rsid w:val="001F7BB1"/>
    <w:rsid w:val="00207F21"/>
    <w:rsid w:val="00212471"/>
    <w:rsid w:val="00235F45"/>
    <w:rsid w:val="0024307B"/>
    <w:rsid w:val="00243566"/>
    <w:rsid w:val="00244F01"/>
    <w:rsid w:val="00250C26"/>
    <w:rsid w:val="00251257"/>
    <w:rsid w:val="00255630"/>
    <w:rsid w:val="00262A2E"/>
    <w:rsid w:val="00266647"/>
    <w:rsid w:val="00270A30"/>
    <w:rsid w:val="00281A9D"/>
    <w:rsid w:val="00282962"/>
    <w:rsid w:val="00286CB7"/>
    <w:rsid w:val="0029219B"/>
    <w:rsid w:val="002A6AF0"/>
    <w:rsid w:val="002A79A5"/>
    <w:rsid w:val="002B0131"/>
    <w:rsid w:val="002B1298"/>
    <w:rsid w:val="002B2EED"/>
    <w:rsid w:val="002C0030"/>
    <w:rsid w:val="002C5D86"/>
    <w:rsid w:val="002F0088"/>
    <w:rsid w:val="002F2D44"/>
    <w:rsid w:val="002F48C3"/>
    <w:rsid w:val="00304AFC"/>
    <w:rsid w:val="00304BB2"/>
    <w:rsid w:val="00312B82"/>
    <w:rsid w:val="00315CFB"/>
    <w:rsid w:val="00321DE7"/>
    <w:rsid w:val="003255DD"/>
    <w:rsid w:val="0032600F"/>
    <w:rsid w:val="00330832"/>
    <w:rsid w:val="003321B1"/>
    <w:rsid w:val="00340BB1"/>
    <w:rsid w:val="00344876"/>
    <w:rsid w:val="00351E84"/>
    <w:rsid w:val="00352279"/>
    <w:rsid w:val="00355F2A"/>
    <w:rsid w:val="003564FF"/>
    <w:rsid w:val="00356768"/>
    <w:rsid w:val="0036130B"/>
    <w:rsid w:val="00364C56"/>
    <w:rsid w:val="003662C2"/>
    <w:rsid w:val="003724FA"/>
    <w:rsid w:val="0037665B"/>
    <w:rsid w:val="003822F6"/>
    <w:rsid w:val="0038354F"/>
    <w:rsid w:val="00385F92"/>
    <w:rsid w:val="003969CB"/>
    <w:rsid w:val="003B3617"/>
    <w:rsid w:val="003B4668"/>
    <w:rsid w:val="003B5636"/>
    <w:rsid w:val="003B68DB"/>
    <w:rsid w:val="003C23DE"/>
    <w:rsid w:val="003C4FDF"/>
    <w:rsid w:val="003C58AB"/>
    <w:rsid w:val="003D5467"/>
    <w:rsid w:val="003E3A62"/>
    <w:rsid w:val="003E5C12"/>
    <w:rsid w:val="00423029"/>
    <w:rsid w:val="004242FD"/>
    <w:rsid w:val="00425F18"/>
    <w:rsid w:val="004300BC"/>
    <w:rsid w:val="00437204"/>
    <w:rsid w:val="00437DA9"/>
    <w:rsid w:val="00440C76"/>
    <w:rsid w:val="00446593"/>
    <w:rsid w:val="00446C7C"/>
    <w:rsid w:val="00450FA7"/>
    <w:rsid w:val="004568FD"/>
    <w:rsid w:val="004568FF"/>
    <w:rsid w:val="00456D97"/>
    <w:rsid w:val="00464DBB"/>
    <w:rsid w:val="00465D94"/>
    <w:rsid w:val="00465FBE"/>
    <w:rsid w:val="004706F8"/>
    <w:rsid w:val="00473C69"/>
    <w:rsid w:val="0047538A"/>
    <w:rsid w:val="00475920"/>
    <w:rsid w:val="004B1A84"/>
    <w:rsid w:val="004B67E8"/>
    <w:rsid w:val="004C4977"/>
    <w:rsid w:val="004C749B"/>
    <w:rsid w:val="004C7AFB"/>
    <w:rsid w:val="004E478F"/>
    <w:rsid w:val="004E61E6"/>
    <w:rsid w:val="004F2F52"/>
    <w:rsid w:val="005019B5"/>
    <w:rsid w:val="00505131"/>
    <w:rsid w:val="00507447"/>
    <w:rsid w:val="005126A8"/>
    <w:rsid w:val="00520B1E"/>
    <w:rsid w:val="005232A1"/>
    <w:rsid w:val="00526146"/>
    <w:rsid w:val="00526A59"/>
    <w:rsid w:val="00530FCE"/>
    <w:rsid w:val="00532F36"/>
    <w:rsid w:val="00536C82"/>
    <w:rsid w:val="00537B9F"/>
    <w:rsid w:val="005551B2"/>
    <w:rsid w:val="00561D79"/>
    <w:rsid w:val="00561D9E"/>
    <w:rsid w:val="00564EA5"/>
    <w:rsid w:val="005650F8"/>
    <w:rsid w:val="00573EDB"/>
    <w:rsid w:val="00576228"/>
    <w:rsid w:val="0058038B"/>
    <w:rsid w:val="00587FD4"/>
    <w:rsid w:val="00595311"/>
    <w:rsid w:val="005971B2"/>
    <w:rsid w:val="005A245A"/>
    <w:rsid w:val="005A3DE1"/>
    <w:rsid w:val="005A74D2"/>
    <w:rsid w:val="005B1939"/>
    <w:rsid w:val="005B2AB9"/>
    <w:rsid w:val="005B390B"/>
    <w:rsid w:val="005B3DF8"/>
    <w:rsid w:val="005C62B8"/>
    <w:rsid w:val="005E15F2"/>
    <w:rsid w:val="005E1943"/>
    <w:rsid w:val="005E5EED"/>
    <w:rsid w:val="005F58AF"/>
    <w:rsid w:val="00607204"/>
    <w:rsid w:val="0060772D"/>
    <w:rsid w:val="00607986"/>
    <w:rsid w:val="006149D3"/>
    <w:rsid w:val="006160D3"/>
    <w:rsid w:val="0062154D"/>
    <w:rsid w:val="00621919"/>
    <w:rsid w:val="006237A9"/>
    <w:rsid w:val="0062523F"/>
    <w:rsid w:val="006344DD"/>
    <w:rsid w:val="00654AD1"/>
    <w:rsid w:val="006603DF"/>
    <w:rsid w:val="00665548"/>
    <w:rsid w:val="00665A0C"/>
    <w:rsid w:val="00691858"/>
    <w:rsid w:val="0069743A"/>
    <w:rsid w:val="006A0B29"/>
    <w:rsid w:val="006A4D7C"/>
    <w:rsid w:val="006A71AF"/>
    <w:rsid w:val="006B2E71"/>
    <w:rsid w:val="006B5018"/>
    <w:rsid w:val="006B5CAB"/>
    <w:rsid w:val="006B6226"/>
    <w:rsid w:val="006E0546"/>
    <w:rsid w:val="006E31AF"/>
    <w:rsid w:val="006E681D"/>
    <w:rsid w:val="006F6921"/>
    <w:rsid w:val="006F6E7B"/>
    <w:rsid w:val="00704CD4"/>
    <w:rsid w:val="00707D62"/>
    <w:rsid w:val="00715CF0"/>
    <w:rsid w:val="00720BAD"/>
    <w:rsid w:val="0072163F"/>
    <w:rsid w:val="00725149"/>
    <w:rsid w:val="00726987"/>
    <w:rsid w:val="00732755"/>
    <w:rsid w:val="00743A24"/>
    <w:rsid w:val="00752F53"/>
    <w:rsid w:val="0077292C"/>
    <w:rsid w:val="00776AD0"/>
    <w:rsid w:val="0077726B"/>
    <w:rsid w:val="00783A0A"/>
    <w:rsid w:val="00786FFD"/>
    <w:rsid w:val="007A0F10"/>
    <w:rsid w:val="007A1E02"/>
    <w:rsid w:val="007B171E"/>
    <w:rsid w:val="007B6DE1"/>
    <w:rsid w:val="007D1713"/>
    <w:rsid w:val="007D6D4A"/>
    <w:rsid w:val="007E0B0C"/>
    <w:rsid w:val="007E234E"/>
    <w:rsid w:val="007E2F77"/>
    <w:rsid w:val="007E3ADB"/>
    <w:rsid w:val="007F0601"/>
    <w:rsid w:val="007F12B2"/>
    <w:rsid w:val="007F1C69"/>
    <w:rsid w:val="007F2706"/>
    <w:rsid w:val="007F4CD8"/>
    <w:rsid w:val="008034CC"/>
    <w:rsid w:val="008048D8"/>
    <w:rsid w:val="0080559D"/>
    <w:rsid w:val="008150F4"/>
    <w:rsid w:val="008169F5"/>
    <w:rsid w:val="00820B94"/>
    <w:rsid w:val="0082485D"/>
    <w:rsid w:val="00830487"/>
    <w:rsid w:val="008313E5"/>
    <w:rsid w:val="00831E69"/>
    <w:rsid w:val="0083385D"/>
    <w:rsid w:val="00835A24"/>
    <w:rsid w:val="00837963"/>
    <w:rsid w:val="00840C70"/>
    <w:rsid w:val="008441FA"/>
    <w:rsid w:val="0084703E"/>
    <w:rsid w:val="008508F3"/>
    <w:rsid w:val="00863BDD"/>
    <w:rsid w:val="0087315C"/>
    <w:rsid w:val="00877318"/>
    <w:rsid w:val="008826C1"/>
    <w:rsid w:val="0088405D"/>
    <w:rsid w:val="0088524F"/>
    <w:rsid w:val="008859C9"/>
    <w:rsid w:val="00887924"/>
    <w:rsid w:val="008912A8"/>
    <w:rsid w:val="00891FD1"/>
    <w:rsid w:val="008944DE"/>
    <w:rsid w:val="00897081"/>
    <w:rsid w:val="008A02F9"/>
    <w:rsid w:val="008A0899"/>
    <w:rsid w:val="008C051D"/>
    <w:rsid w:val="008C33DA"/>
    <w:rsid w:val="008C51FA"/>
    <w:rsid w:val="008D0667"/>
    <w:rsid w:val="008D4EED"/>
    <w:rsid w:val="008D68D0"/>
    <w:rsid w:val="008F345A"/>
    <w:rsid w:val="008F6B20"/>
    <w:rsid w:val="009042CB"/>
    <w:rsid w:val="0090552D"/>
    <w:rsid w:val="00910BE3"/>
    <w:rsid w:val="00912BA3"/>
    <w:rsid w:val="0091508A"/>
    <w:rsid w:val="00920E47"/>
    <w:rsid w:val="00922940"/>
    <w:rsid w:val="00927DA8"/>
    <w:rsid w:val="00930203"/>
    <w:rsid w:val="00933758"/>
    <w:rsid w:val="00935502"/>
    <w:rsid w:val="00935857"/>
    <w:rsid w:val="00935C59"/>
    <w:rsid w:val="00952DAF"/>
    <w:rsid w:val="00953010"/>
    <w:rsid w:val="00960040"/>
    <w:rsid w:val="00961FB9"/>
    <w:rsid w:val="00963A3C"/>
    <w:rsid w:val="009727C8"/>
    <w:rsid w:val="00977505"/>
    <w:rsid w:val="00991874"/>
    <w:rsid w:val="00993240"/>
    <w:rsid w:val="00997170"/>
    <w:rsid w:val="009A2E7E"/>
    <w:rsid w:val="009A6F4D"/>
    <w:rsid w:val="009A7800"/>
    <w:rsid w:val="009A7AFC"/>
    <w:rsid w:val="009B1531"/>
    <w:rsid w:val="009B668F"/>
    <w:rsid w:val="009C1704"/>
    <w:rsid w:val="009C3A11"/>
    <w:rsid w:val="009C45F2"/>
    <w:rsid w:val="009C599A"/>
    <w:rsid w:val="009D0E16"/>
    <w:rsid w:val="009D4AA2"/>
    <w:rsid w:val="009D66BB"/>
    <w:rsid w:val="009E5B1C"/>
    <w:rsid w:val="009F0D86"/>
    <w:rsid w:val="009F2105"/>
    <w:rsid w:val="009F24A2"/>
    <w:rsid w:val="009F29B0"/>
    <w:rsid w:val="00A00755"/>
    <w:rsid w:val="00A019B3"/>
    <w:rsid w:val="00A1418F"/>
    <w:rsid w:val="00A24B2F"/>
    <w:rsid w:val="00A262E8"/>
    <w:rsid w:val="00A31434"/>
    <w:rsid w:val="00A3578A"/>
    <w:rsid w:val="00A37A34"/>
    <w:rsid w:val="00A4500D"/>
    <w:rsid w:val="00A51DD7"/>
    <w:rsid w:val="00A54251"/>
    <w:rsid w:val="00A60DD8"/>
    <w:rsid w:val="00A6313F"/>
    <w:rsid w:val="00A65710"/>
    <w:rsid w:val="00A67AAA"/>
    <w:rsid w:val="00A67D8B"/>
    <w:rsid w:val="00A76EE5"/>
    <w:rsid w:val="00A77086"/>
    <w:rsid w:val="00A80D7C"/>
    <w:rsid w:val="00A825B3"/>
    <w:rsid w:val="00A85E16"/>
    <w:rsid w:val="00A91CA3"/>
    <w:rsid w:val="00A928AD"/>
    <w:rsid w:val="00A9598E"/>
    <w:rsid w:val="00A96DB8"/>
    <w:rsid w:val="00A97AA1"/>
    <w:rsid w:val="00AA1F00"/>
    <w:rsid w:val="00AA6BEA"/>
    <w:rsid w:val="00AC42C3"/>
    <w:rsid w:val="00AC6CCF"/>
    <w:rsid w:val="00AD384D"/>
    <w:rsid w:val="00AD4353"/>
    <w:rsid w:val="00AD5C28"/>
    <w:rsid w:val="00AD7DD6"/>
    <w:rsid w:val="00AE4541"/>
    <w:rsid w:val="00AE5088"/>
    <w:rsid w:val="00AE6C8F"/>
    <w:rsid w:val="00B00BF8"/>
    <w:rsid w:val="00B061AC"/>
    <w:rsid w:val="00B14F4E"/>
    <w:rsid w:val="00B17092"/>
    <w:rsid w:val="00B21749"/>
    <w:rsid w:val="00B233EF"/>
    <w:rsid w:val="00B2709B"/>
    <w:rsid w:val="00B27634"/>
    <w:rsid w:val="00B304FF"/>
    <w:rsid w:val="00B410A5"/>
    <w:rsid w:val="00B42600"/>
    <w:rsid w:val="00B453B1"/>
    <w:rsid w:val="00B4759F"/>
    <w:rsid w:val="00B52253"/>
    <w:rsid w:val="00B53CBF"/>
    <w:rsid w:val="00B648EE"/>
    <w:rsid w:val="00B65185"/>
    <w:rsid w:val="00B714AD"/>
    <w:rsid w:val="00B73612"/>
    <w:rsid w:val="00B73864"/>
    <w:rsid w:val="00B75213"/>
    <w:rsid w:val="00B771BC"/>
    <w:rsid w:val="00B77C83"/>
    <w:rsid w:val="00B950C4"/>
    <w:rsid w:val="00BA3128"/>
    <w:rsid w:val="00BA487E"/>
    <w:rsid w:val="00BC5AAB"/>
    <w:rsid w:val="00BC7911"/>
    <w:rsid w:val="00BD2A37"/>
    <w:rsid w:val="00BE1851"/>
    <w:rsid w:val="00BF36D3"/>
    <w:rsid w:val="00BF5C51"/>
    <w:rsid w:val="00C04525"/>
    <w:rsid w:val="00C1298A"/>
    <w:rsid w:val="00C22F08"/>
    <w:rsid w:val="00C2566C"/>
    <w:rsid w:val="00C37FC5"/>
    <w:rsid w:val="00C42D8D"/>
    <w:rsid w:val="00C4501B"/>
    <w:rsid w:val="00C46017"/>
    <w:rsid w:val="00C53566"/>
    <w:rsid w:val="00C5529B"/>
    <w:rsid w:val="00C60E64"/>
    <w:rsid w:val="00C72BA6"/>
    <w:rsid w:val="00C761C6"/>
    <w:rsid w:val="00C8079F"/>
    <w:rsid w:val="00C81180"/>
    <w:rsid w:val="00C859F5"/>
    <w:rsid w:val="00C8618F"/>
    <w:rsid w:val="00C87B95"/>
    <w:rsid w:val="00C97629"/>
    <w:rsid w:val="00CA2F3D"/>
    <w:rsid w:val="00CA4C89"/>
    <w:rsid w:val="00CA61C8"/>
    <w:rsid w:val="00CA6574"/>
    <w:rsid w:val="00CA6A6C"/>
    <w:rsid w:val="00CB3956"/>
    <w:rsid w:val="00CB489E"/>
    <w:rsid w:val="00CC10D2"/>
    <w:rsid w:val="00CD3BC9"/>
    <w:rsid w:val="00CD4E6E"/>
    <w:rsid w:val="00CE0AB3"/>
    <w:rsid w:val="00CE174F"/>
    <w:rsid w:val="00CE4086"/>
    <w:rsid w:val="00CE7980"/>
    <w:rsid w:val="00CF03CB"/>
    <w:rsid w:val="00CF49D9"/>
    <w:rsid w:val="00CF4E72"/>
    <w:rsid w:val="00CF5789"/>
    <w:rsid w:val="00D0006A"/>
    <w:rsid w:val="00D02B25"/>
    <w:rsid w:val="00D02B6F"/>
    <w:rsid w:val="00D1030A"/>
    <w:rsid w:val="00D10CDF"/>
    <w:rsid w:val="00D14E6D"/>
    <w:rsid w:val="00D3465F"/>
    <w:rsid w:val="00D459BD"/>
    <w:rsid w:val="00D53258"/>
    <w:rsid w:val="00D60348"/>
    <w:rsid w:val="00D6357B"/>
    <w:rsid w:val="00D64A3A"/>
    <w:rsid w:val="00D65A71"/>
    <w:rsid w:val="00D701F1"/>
    <w:rsid w:val="00D73C59"/>
    <w:rsid w:val="00D748D7"/>
    <w:rsid w:val="00D748F4"/>
    <w:rsid w:val="00D75B63"/>
    <w:rsid w:val="00D83A36"/>
    <w:rsid w:val="00D83EF0"/>
    <w:rsid w:val="00DB625E"/>
    <w:rsid w:val="00DB73F5"/>
    <w:rsid w:val="00DC6DF7"/>
    <w:rsid w:val="00DC73A1"/>
    <w:rsid w:val="00DD02D2"/>
    <w:rsid w:val="00DD65A4"/>
    <w:rsid w:val="00DD7B2A"/>
    <w:rsid w:val="00DE7BD8"/>
    <w:rsid w:val="00DF15AD"/>
    <w:rsid w:val="00DF658F"/>
    <w:rsid w:val="00DF6FFB"/>
    <w:rsid w:val="00E23C9E"/>
    <w:rsid w:val="00E26DC4"/>
    <w:rsid w:val="00E3049B"/>
    <w:rsid w:val="00E4466A"/>
    <w:rsid w:val="00E6130F"/>
    <w:rsid w:val="00E64744"/>
    <w:rsid w:val="00E70A72"/>
    <w:rsid w:val="00E72FC2"/>
    <w:rsid w:val="00E75EE2"/>
    <w:rsid w:val="00E8144E"/>
    <w:rsid w:val="00E83D34"/>
    <w:rsid w:val="00E85562"/>
    <w:rsid w:val="00E85CF6"/>
    <w:rsid w:val="00EA49EF"/>
    <w:rsid w:val="00EB0E2F"/>
    <w:rsid w:val="00EB778F"/>
    <w:rsid w:val="00EC5185"/>
    <w:rsid w:val="00EC7DCA"/>
    <w:rsid w:val="00ED0671"/>
    <w:rsid w:val="00EE0843"/>
    <w:rsid w:val="00EE1100"/>
    <w:rsid w:val="00EE222C"/>
    <w:rsid w:val="00EE6ADE"/>
    <w:rsid w:val="00EF5889"/>
    <w:rsid w:val="00F00684"/>
    <w:rsid w:val="00F00A21"/>
    <w:rsid w:val="00F27DBA"/>
    <w:rsid w:val="00F300E4"/>
    <w:rsid w:val="00F31B00"/>
    <w:rsid w:val="00F32288"/>
    <w:rsid w:val="00F37A11"/>
    <w:rsid w:val="00F43C03"/>
    <w:rsid w:val="00F5326C"/>
    <w:rsid w:val="00F53A68"/>
    <w:rsid w:val="00F54C8C"/>
    <w:rsid w:val="00F629C7"/>
    <w:rsid w:val="00F63EF0"/>
    <w:rsid w:val="00F823B4"/>
    <w:rsid w:val="00F87FAB"/>
    <w:rsid w:val="00FA06EB"/>
    <w:rsid w:val="00FA2431"/>
    <w:rsid w:val="00FA3994"/>
    <w:rsid w:val="00FA39F4"/>
    <w:rsid w:val="00FC00E7"/>
    <w:rsid w:val="00FC190A"/>
    <w:rsid w:val="00FD202F"/>
    <w:rsid w:val="00FD4C20"/>
    <w:rsid w:val="00FE79C2"/>
    <w:rsid w:val="00FF0F80"/>
    <w:rsid w:val="0BA6E7A6"/>
    <w:rsid w:val="0F77C068"/>
    <w:rsid w:val="1F786B4D"/>
    <w:rsid w:val="2B262895"/>
    <w:rsid w:val="339F3685"/>
    <w:rsid w:val="339F9979"/>
    <w:rsid w:val="37DDCF1D"/>
    <w:rsid w:val="3957146E"/>
    <w:rsid w:val="3ACF09C4"/>
    <w:rsid w:val="3B7F9483"/>
    <w:rsid w:val="3D49C0DA"/>
    <w:rsid w:val="3F3E170C"/>
    <w:rsid w:val="3F5F4E2C"/>
    <w:rsid w:val="3FAD2DEE"/>
    <w:rsid w:val="3FD2CCF9"/>
    <w:rsid w:val="3FE97553"/>
    <w:rsid w:val="3FF35C46"/>
    <w:rsid w:val="3FFF5D9B"/>
    <w:rsid w:val="47D7946F"/>
    <w:rsid w:val="57E7D5BC"/>
    <w:rsid w:val="5EDF9DD0"/>
    <w:rsid w:val="5FDFCDFF"/>
    <w:rsid w:val="5FE7921C"/>
    <w:rsid w:val="61BE1584"/>
    <w:rsid w:val="6F67FF66"/>
    <w:rsid w:val="717A8684"/>
    <w:rsid w:val="71FDBE75"/>
    <w:rsid w:val="75BF9AED"/>
    <w:rsid w:val="776FECB4"/>
    <w:rsid w:val="77F7E2F1"/>
    <w:rsid w:val="7AFF5C05"/>
    <w:rsid w:val="7AFFA776"/>
    <w:rsid w:val="7B49B7A3"/>
    <w:rsid w:val="7B7B0999"/>
    <w:rsid w:val="7BBD53D6"/>
    <w:rsid w:val="7BF77B95"/>
    <w:rsid w:val="7BFFC520"/>
    <w:rsid w:val="7CD42B25"/>
    <w:rsid w:val="7CE3CA56"/>
    <w:rsid w:val="7CF32563"/>
    <w:rsid w:val="7EFDE94F"/>
    <w:rsid w:val="7FA71D01"/>
    <w:rsid w:val="7FEBBED5"/>
    <w:rsid w:val="7FF60852"/>
    <w:rsid w:val="7FFDE7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193E"/>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A45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tyle>
  <w:style w:type="paragraph" w:styleId="NormalWeb">
    <w:name w:val="Normal (Web)"/>
    <w:uiPriority w:val="99"/>
    <w:unhideWhenUsed/>
    <w:pPr>
      <w:spacing w:beforeAutospacing="1" w:after="0" w:afterAutospacing="1"/>
    </w:pPr>
    <w:rPr>
      <w:sz w:val="24"/>
      <w:szCs w:val="24"/>
      <w:lang w:val="en-US" w:eastAsia="zh-CN"/>
    </w:r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style>
  <w:style w:type="paragraph" w:customStyle="1" w:styleId="1">
    <w:name w:val="Абзац списка1"/>
    <w:basedOn w:val="Normal"/>
    <w:uiPriority w:val="34"/>
    <w:qFormat/>
    <w:pPr>
      <w:ind w:left="720"/>
      <w:contextualSpacing/>
    </w:pPr>
  </w:style>
  <w:style w:type="character" w:customStyle="1" w:styleId="CommentTextChar">
    <w:name w:val="Comment Text Char"/>
    <w:basedOn w:val="DefaultParagraphFont"/>
    <w:link w:val="CommentText"/>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nowrap">
    <w:name w:val="nowrap"/>
    <w:basedOn w:val="DefaultParagraphFont"/>
  </w:style>
  <w:style w:type="character" w:customStyle="1" w:styleId="visually-hidden">
    <w:name w:val="visually-hidden"/>
    <w:basedOn w:val="DefaultParagraphFont"/>
  </w:style>
  <w:style w:type="character" w:customStyle="1" w:styleId="Heading1Char">
    <w:name w:val="Heading 1 Char"/>
    <w:basedOn w:val="DefaultParagraphFont"/>
    <w:link w:val="Heading1"/>
    <w:uiPriority w:val="9"/>
    <w:rsid w:val="00A4500D"/>
    <w:rPr>
      <w:rFonts w:eastAsia="Times New Roman"/>
      <w:b/>
      <w:bCs/>
      <w:kern w:val="36"/>
      <w:sz w:val="48"/>
      <w:szCs w:val="48"/>
    </w:rPr>
  </w:style>
  <w:style w:type="paragraph" w:styleId="ListParagraph">
    <w:name w:val="List Paragraph"/>
    <w:basedOn w:val="Normal"/>
    <w:uiPriority w:val="34"/>
    <w:qFormat/>
    <w:rsid w:val="00DB73F5"/>
    <w:pPr>
      <w:ind w:left="720"/>
      <w:contextualSpacing/>
    </w:pPr>
  </w:style>
  <w:style w:type="paragraph" w:styleId="HTMLPreformatted">
    <w:name w:val="HTML Preformatted"/>
    <w:basedOn w:val="Normal"/>
    <w:link w:val="HTMLPreformattedChar"/>
    <w:uiPriority w:val="99"/>
    <w:unhideWhenUsed/>
    <w:rsid w:val="009F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9F2105"/>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C8079F"/>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C8079F"/>
    <w:rPr>
      <w:rFonts w:asciiTheme="minorHAnsi" w:eastAsiaTheme="minorHAnsi" w:hAnsiTheme="minorHAnsi" w:cstheme="minorBidi"/>
      <w:b/>
      <w:bCs/>
      <w:lang w:eastAsia="en-US"/>
    </w:rPr>
  </w:style>
  <w:style w:type="paragraph" w:styleId="Header">
    <w:name w:val="header"/>
    <w:basedOn w:val="Normal"/>
    <w:link w:val="HeaderChar"/>
    <w:uiPriority w:val="99"/>
    <w:unhideWhenUsed/>
    <w:rsid w:val="0008725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8725A"/>
    <w:rPr>
      <w:rFonts w:asciiTheme="minorHAnsi" w:eastAsiaTheme="minorHAnsi" w:hAnsiTheme="minorHAnsi" w:cstheme="minorBidi"/>
      <w:sz w:val="18"/>
      <w:szCs w:val="18"/>
      <w:lang w:eastAsia="en-US"/>
    </w:rPr>
  </w:style>
  <w:style w:type="paragraph" w:styleId="Footer">
    <w:name w:val="footer"/>
    <w:basedOn w:val="Normal"/>
    <w:link w:val="FooterChar"/>
    <w:uiPriority w:val="99"/>
    <w:unhideWhenUsed/>
    <w:rsid w:val="0008725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8725A"/>
    <w:rPr>
      <w:rFonts w:asciiTheme="minorHAnsi" w:eastAsiaTheme="minorHAnsi" w:hAnsiTheme="minorHAnsi" w:cstheme="minorBidi"/>
      <w:sz w:val="18"/>
      <w:szCs w:val="18"/>
      <w:lang w:eastAsia="en-US"/>
    </w:rPr>
  </w:style>
  <w:style w:type="character" w:customStyle="1" w:styleId="10">
    <w:name w:val="未处理的提及1"/>
    <w:basedOn w:val="DefaultParagraphFont"/>
    <w:uiPriority w:val="99"/>
    <w:semiHidden/>
    <w:unhideWhenUsed/>
    <w:rsid w:val="0008725A"/>
    <w:rPr>
      <w:color w:val="605E5C"/>
      <w:shd w:val="clear" w:color="auto" w:fill="E1DFDD"/>
    </w:rPr>
  </w:style>
  <w:style w:type="paragraph" w:styleId="Revision">
    <w:name w:val="Revision"/>
    <w:hidden/>
    <w:uiPriority w:val="99"/>
    <w:semiHidden/>
    <w:rsid w:val="00352279"/>
    <w:pPr>
      <w:spacing w:after="0" w:line="240"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8038B"/>
  </w:style>
  <w:style w:type="paragraph" w:styleId="PlainText">
    <w:name w:val="Plain Text"/>
    <w:basedOn w:val="Normal"/>
    <w:link w:val="PlainTextChar"/>
    <w:rsid w:val="00F31B00"/>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F31B00"/>
    <w:rPr>
      <w:rFonts w:ascii="SimSun" w:hAnsi="Courier New" w:cs="Courier New"/>
      <w:kern w:val="2"/>
      <w:sz w:val="21"/>
      <w:szCs w:val="21"/>
      <w:lang w:val="en-US" w:eastAsia="zh-CN"/>
    </w:rPr>
  </w:style>
  <w:style w:type="paragraph" w:customStyle="1" w:styleId="kwmain">
    <w:name w:val="kw_main"/>
    <w:basedOn w:val="Normal"/>
    <w:rsid w:val="0029219B"/>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513">
      <w:bodyDiv w:val="1"/>
      <w:marLeft w:val="0"/>
      <w:marRight w:val="0"/>
      <w:marTop w:val="0"/>
      <w:marBottom w:val="0"/>
      <w:divBdr>
        <w:top w:val="none" w:sz="0" w:space="0" w:color="auto"/>
        <w:left w:val="none" w:sz="0" w:space="0" w:color="auto"/>
        <w:bottom w:val="none" w:sz="0" w:space="0" w:color="auto"/>
        <w:right w:val="none" w:sz="0" w:space="0" w:color="auto"/>
      </w:divBdr>
    </w:div>
    <w:div w:id="401178422">
      <w:bodyDiv w:val="1"/>
      <w:marLeft w:val="0"/>
      <w:marRight w:val="0"/>
      <w:marTop w:val="0"/>
      <w:marBottom w:val="0"/>
      <w:divBdr>
        <w:top w:val="none" w:sz="0" w:space="0" w:color="auto"/>
        <w:left w:val="none" w:sz="0" w:space="0" w:color="auto"/>
        <w:bottom w:val="none" w:sz="0" w:space="0" w:color="auto"/>
        <w:right w:val="none" w:sz="0" w:space="0" w:color="auto"/>
      </w:divBdr>
    </w:div>
    <w:div w:id="604266189">
      <w:bodyDiv w:val="1"/>
      <w:marLeft w:val="0"/>
      <w:marRight w:val="0"/>
      <w:marTop w:val="0"/>
      <w:marBottom w:val="0"/>
      <w:divBdr>
        <w:top w:val="none" w:sz="0" w:space="0" w:color="auto"/>
        <w:left w:val="none" w:sz="0" w:space="0" w:color="auto"/>
        <w:bottom w:val="none" w:sz="0" w:space="0" w:color="auto"/>
        <w:right w:val="none" w:sz="0" w:space="0" w:color="auto"/>
      </w:divBdr>
    </w:div>
    <w:div w:id="1059868177">
      <w:bodyDiv w:val="1"/>
      <w:marLeft w:val="0"/>
      <w:marRight w:val="0"/>
      <w:marTop w:val="0"/>
      <w:marBottom w:val="0"/>
      <w:divBdr>
        <w:top w:val="none" w:sz="0" w:space="0" w:color="auto"/>
        <w:left w:val="none" w:sz="0" w:space="0" w:color="auto"/>
        <w:bottom w:val="none" w:sz="0" w:space="0" w:color="auto"/>
        <w:right w:val="none" w:sz="0" w:space="0" w:color="auto"/>
      </w:divBdr>
    </w:div>
    <w:div w:id="1687829829">
      <w:bodyDiv w:val="1"/>
      <w:marLeft w:val="0"/>
      <w:marRight w:val="0"/>
      <w:marTop w:val="0"/>
      <w:marBottom w:val="0"/>
      <w:divBdr>
        <w:top w:val="none" w:sz="0" w:space="0" w:color="auto"/>
        <w:left w:val="none" w:sz="0" w:space="0" w:color="auto"/>
        <w:bottom w:val="none" w:sz="0" w:space="0" w:color="auto"/>
        <w:right w:val="none" w:sz="0" w:space="0" w:color="auto"/>
      </w:divBdr>
      <w:divsChild>
        <w:div w:id="23599025">
          <w:marLeft w:val="0"/>
          <w:marRight w:val="0"/>
          <w:marTop w:val="0"/>
          <w:marBottom w:val="0"/>
          <w:divBdr>
            <w:top w:val="none" w:sz="0" w:space="0" w:color="auto"/>
            <w:left w:val="none" w:sz="0" w:space="0" w:color="auto"/>
            <w:bottom w:val="none" w:sz="0" w:space="0" w:color="auto"/>
            <w:right w:val="none" w:sz="0" w:space="0" w:color="auto"/>
          </w:divBdr>
          <w:divsChild>
            <w:div w:id="119031913">
              <w:marLeft w:val="0"/>
              <w:marRight w:val="0"/>
              <w:marTop w:val="0"/>
              <w:marBottom w:val="0"/>
              <w:divBdr>
                <w:top w:val="none" w:sz="0" w:space="0" w:color="auto"/>
                <w:left w:val="none" w:sz="0" w:space="0" w:color="auto"/>
                <w:bottom w:val="none" w:sz="0" w:space="0" w:color="auto"/>
                <w:right w:val="none" w:sz="0" w:space="0" w:color="auto"/>
              </w:divBdr>
              <w:divsChild>
                <w:div w:id="1719166089">
                  <w:marLeft w:val="0"/>
                  <w:marRight w:val="0"/>
                  <w:marTop w:val="12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sChild>
                        <w:div w:id="1422751266">
                          <w:marLeft w:val="0"/>
                          <w:marRight w:val="0"/>
                          <w:marTop w:val="0"/>
                          <w:marBottom w:val="0"/>
                          <w:divBdr>
                            <w:top w:val="none" w:sz="0" w:space="0" w:color="auto"/>
                            <w:left w:val="none" w:sz="0" w:space="0" w:color="auto"/>
                            <w:bottom w:val="none" w:sz="0" w:space="0" w:color="auto"/>
                            <w:right w:val="none" w:sz="0" w:space="0" w:color="auto"/>
                          </w:divBdr>
                          <w:divsChild>
                            <w:div w:id="1074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anglotov@mail.ru"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944EC-FFF5-462A-B321-A53E87D5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17319</Words>
  <Characters>98722</Characters>
  <Application>Microsoft Office Word</Application>
  <DocSecurity>0</DocSecurity>
  <Lines>822</Lines>
  <Paragraphs>231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Lian-Sheng Ma</cp:lastModifiedBy>
  <cp:revision>2</cp:revision>
  <dcterms:created xsi:type="dcterms:W3CDTF">2019-06-10T18:21:00Z</dcterms:created>
  <dcterms:modified xsi:type="dcterms:W3CDTF">2019-06-10T18:21:00Z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9-10.1.0.5672</vt:lpwstr>
  </property>
</Properties>
</file>