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D51E7" w14:textId="77777777" w:rsidR="00AB2771" w:rsidRPr="008A5994" w:rsidRDefault="00AB2771" w:rsidP="00A555A0">
      <w:pPr>
        <w:pStyle w:val="1"/>
        <w:adjustRightInd w:val="0"/>
        <w:snapToGrid w:val="0"/>
        <w:spacing w:line="360" w:lineRule="auto"/>
        <w:jc w:val="both"/>
        <w:outlineLvl w:val="0"/>
        <w:rPr>
          <w:rFonts w:ascii="Book Antiqua" w:hAnsi="Book Antiqua" w:cs="Times New Roman"/>
          <w:b/>
          <w:color w:val="000000" w:themeColor="text1"/>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262"/>
      <w:bookmarkStart w:id="13" w:name="OLE_LINK263"/>
      <w:bookmarkStart w:id="14" w:name="OLE_LINK191"/>
      <w:bookmarkStart w:id="15" w:name="OLE_LINK192"/>
      <w:bookmarkStart w:id="16" w:name="OLE_LINK484"/>
      <w:bookmarkStart w:id="17" w:name="OLE_LINK356"/>
      <w:bookmarkStart w:id="18" w:name="OLE_LINK372"/>
      <w:bookmarkStart w:id="19" w:name="OLE_LINK214"/>
      <w:bookmarkStart w:id="20" w:name="OLE_LINK552"/>
      <w:bookmarkStart w:id="21" w:name="OLE_LINK553"/>
      <w:bookmarkStart w:id="22" w:name="OLE_LINK636"/>
      <w:bookmarkStart w:id="23" w:name="OLE_LINK654"/>
      <w:bookmarkStart w:id="24" w:name="OLE_LINK849"/>
      <w:bookmarkStart w:id="25" w:name="OLE_LINK939"/>
      <w:bookmarkStart w:id="26" w:name="OLE_LINK1000"/>
      <w:bookmarkStart w:id="27" w:name="OLE_LINK1039"/>
      <w:bookmarkStart w:id="28" w:name="OLE_LINK1050"/>
      <w:bookmarkStart w:id="29" w:name="OLE_LINK1071"/>
      <w:bookmarkStart w:id="30" w:name="OLE_LINK255"/>
      <w:bookmarkStart w:id="31" w:name="OLE_LINK503"/>
      <w:bookmarkStart w:id="32" w:name="OLE_LINK504"/>
      <w:r w:rsidRPr="008A5994">
        <w:rPr>
          <w:rFonts w:ascii="Book Antiqua" w:hAnsi="Book Antiqua" w:cs="Times New Roman"/>
          <w:b/>
          <w:color w:val="000000" w:themeColor="text1"/>
          <w:sz w:val="24"/>
          <w:szCs w:val="24"/>
          <w:lang w:val="en-US" w:eastAsia="zh-CN"/>
        </w:rPr>
        <w:t xml:space="preserve">Name of </w:t>
      </w:r>
      <w:r w:rsidRPr="008A5994">
        <w:rPr>
          <w:rFonts w:ascii="Book Antiqua" w:hAnsi="Book Antiqua" w:cs="Times New Roman"/>
          <w:b/>
          <w:caps/>
          <w:color w:val="000000" w:themeColor="text1"/>
          <w:sz w:val="24"/>
          <w:szCs w:val="24"/>
          <w:lang w:val="en-US" w:eastAsia="zh-CN"/>
        </w:rPr>
        <w:t>j</w:t>
      </w:r>
      <w:r w:rsidRPr="008A5994">
        <w:rPr>
          <w:rFonts w:ascii="Book Antiqua" w:hAnsi="Book Antiqua" w:cs="Times New Roman"/>
          <w:b/>
          <w:color w:val="000000" w:themeColor="text1"/>
          <w:sz w:val="24"/>
          <w:szCs w:val="24"/>
          <w:lang w:val="en-US" w:eastAsia="zh-CN"/>
        </w:rPr>
        <w:t xml:space="preserve">ournal: </w:t>
      </w:r>
      <w:bookmarkStart w:id="33" w:name="OLE_LINK718"/>
      <w:bookmarkStart w:id="34" w:name="OLE_LINK719"/>
      <w:r w:rsidRPr="008A5994">
        <w:rPr>
          <w:rFonts w:ascii="Book Antiqua" w:hAnsi="Book Antiqua" w:cs="Times New Roman"/>
          <w:b/>
          <w:i/>
          <w:color w:val="000000" w:themeColor="text1"/>
          <w:sz w:val="24"/>
          <w:szCs w:val="24"/>
          <w:lang w:val="en-US" w:eastAsia="zh-CN"/>
        </w:rPr>
        <w:t>World Journal of Gastroenterology</w:t>
      </w:r>
      <w:bookmarkEnd w:id="33"/>
      <w:bookmarkEnd w:id="34"/>
    </w:p>
    <w:p w14:paraId="6C1BFB3C" w14:textId="30794F8D" w:rsidR="00AB2771" w:rsidRPr="008A5994" w:rsidRDefault="00AB2771" w:rsidP="00A555A0">
      <w:pPr>
        <w:pStyle w:val="1"/>
        <w:adjustRightInd w:val="0"/>
        <w:snapToGrid w:val="0"/>
        <w:spacing w:line="360" w:lineRule="auto"/>
        <w:jc w:val="both"/>
        <w:outlineLvl w:val="0"/>
        <w:rPr>
          <w:rFonts w:ascii="Book Antiqua" w:hAnsi="Book Antiqua" w:cs="Times New Roman"/>
          <w:b/>
          <w:i/>
          <w:color w:val="000000" w:themeColor="text1"/>
          <w:sz w:val="24"/>
          <w:szCs w:val="24"/>
          <w:lang w:val="en-US" w:eastAsia="zh-CN"/>
        </w:rPr>
      </w:pPr>
      <w:bookmarkStart w:id="35" w:name="OLE_LINK485"/>
      <w:bookmarkStart w:id="36" w:name="OLE_LINK486"/>
      <w:bookmarkStart w:id="37" w:name="OLE_LINK661"/>
      <w:bookmarkStart w:id="38" w:name="OLE_LINK768"/>
      <w:bookmarkStart w:id="39" w:name="OLE_LINK499"/>
      <w:bookmarkStart w:id="40" w:name="OLE_LINK437"/>
      <w:bookmarkStart w:id="41" w:name="OLE_LINK514"/>
      <w:bookmarkStart w:id="42" w:name="OLE_LINK515"/>
      <w:bookmarkStart w:id="43" w:name="OLE_LINK13"/>
      <w:bookmarkStart w:id="44" w:name="OLE_LINK351"/>
      <w:bookmarkStart w:id="45" w:name="OLE_LINK425"/>
      <w:r w:rsidRPr="008A5994">
        <w:rPr>
          <w:rFonts w:ascii="Book Antiqua" w:hAnsi="Book Antiqua" w:cs="Times New Roman"/>
          <w:b/>
          <w:color w:val="000000" w:themeColor="text1"/>
          <w:sz w:val="24"/>
          <w:szCs w:val="24"/>
          <w:lang w:val="en-US" w:eastAsia="zh-CN"/>
        </w:rPr>
        <w:t>Manuscript NO:</w:t>
      </w:r>
      <w:bookmarkEnd w:id="35"/>
      <w:bookmarkEnd w:id="36"/>
      <w:bookmarkEnd w:id="37"/>
      <w:bookmarkEnd w:id="38"/>
      <w:r w:rsidRPr="008A5994">
        <w:rPr>
          <w:rFonts w:ascii="Book Antiqua" w:hAnsi="Book Antiqua" w:cs="Times New Roman"/>
          <w:b/>
          <w:color w:val="000000" w:themeColor="text1"/>
          <w:sz w:val="24"/>
          <w:szCs w:val="24"/>
          <w:lang w:val="en-US" w:eastAsia="zh-CN"/>
        </w:rPr>
        <w:t xml:space="preserve"> </w:t>
      </w:r>
      <w:bookmarkEnd w:id="39"/>
      <w:bookmarkEnd w:id="40"/>
      <w:r w:rsidR="00B951C9" w:rsidRPr="008A5994">
        <w:rPr>
          <w:rFonts w:ascii="Book Antiqua" w:hAnsi="Book Antiqua" w:cs="Times New Roman"/>
          <w:b/>
          <w:color w:val="000000" w:themeColor="text1"/>
          <w:sz w:val="24"/>
          <w:szCs w:val="24"/>
          <w:lang w:val="en-US" w:eastAsia="zh-CN"/>
        </w:rPr>
        <w:t>47053</w:t>
      </w:r>
    </w:p>
    <w:p w14:paraId="0882115B" w14:textId="60FF82CA" w:rsidR="00AB2771" w:rsidRPr="008A5994" w:rsidRDefault="00AB2771" w:rsidP="00A555A0">
      <w:pPr>
        <w:adjustRightInd w:val="0"/>
        <w:snapToGrid w:val="0"/>
        <w:spacing w:line="360" w:lineRule="auto"/>
        <w:jc w:val="both"/>
        <w:outlineLvl w:val="0"/>
        <w:rPr>
          <w:rFonts w:ascii="Book Antiqua" w:hAnsi="Book Antiqua"/>
          <w:b/>
          <w:color w:val="000000" w:themeColor="text1"/>
          <w:lang w:val="en-US"/>
        </w:rPr>
      </w:pPr>
      <w:bookmarkStart w:id="46" w:name="OLE_LINK511"/>
      <w:bookmarkStart w:id="47" w:name="OLE_LINK512"/>
      <w:bookmarkEnd w:id="41"/>
      <w:bookmarkEnd w:id="42"/>
      <w:bookmarkEnd w:id="43"/>
      <w:bookmarkEnd w:id="44"/>
      <w:bookmarkEnd w:id="45"/>
      <w:r w:rsidRPr="008A5994">
        <w:rPr>
          <w:rFonts w:ascii="Book Antiqua" w:hAnsi="Book Antiqua"/>
          <w:b/>
          <w:color w:val="000000" w:themeColor="text1"/>
          <w:lang w:val="en-US"/>
        </w:rPr>
        <w:t xml:space="preserve">Manuscript </w:t>
      </w:r>
      <w:r w:rsidRPr="008A5994">
        <w:rPr>
          <w:rFonts w:ascii="Book Antiqua" w:hAnsi="Book Antiqua"/>
          <w:b/>
          <w:caps/>
          <w:color w:val="000000" w:themeColor="text1"/>
          <w:lang w:val="en-US"/>
        </w:rPr>
        <w:t>t</w:t>
      </w:r>
      <w:r w:rsidRPr="008A5994">
        <w:rPr>
          <w:rFonts w:ascii="Book Antiqua" w:hAnsi="Book Antiqua"/>
          <w:b/>
          <w:color w:val="000000" w:themeColor="text1"/>
          <w:lang w:val="en-US"/>
        </w:rPr>
        <w:t>ype:</w:t>
      </w:r>
      <w:bookmarkEnd w:id="0"/>
      <w:bookmarkEnd w:id="1"/>
      <w:bookmarkEnd w:id="2"/>
      <w:bookmarkEnd w:id="3"/>
      <w:bookmarkEnd w:id="4"/>
      <w:bookmarkEnd w:id="5"/>
      <w:bookmarkEnd w:id="6"/>
      <w:bookmarkEnd w:id="7"/>
      <w:bookmarkEnd w:id="8"/>
      <w:bookmarkEnd w:id="9"/>
      <w:bookmarkEnd w:id="10"/>
      <w:bookmarkEnd w:id="11"/>
      <w:r w:rsidRPr="008A5994">
        <w:rPr>
          <w:rFonts w:ascii="Book Antiqua" w:hAnsi="Book Antiqua"/>
          <w:b/>
          <w:color w:val="000000" w:themeColor="text1"/>
          <w:lang w:val="en-US"/>
        </w:rPr>
        <w:t xml:space="preserve"> </w:t>
      </w:r>
      <w:bookmarkEnd w:id="12"/>
      <w:bookmarkEnd w:id="13"/>
      <w:r w:rsidR="008A5994">
        <w:rPr>
          <w:rFonts w:ascii="Book Antiqua" w:hAnsi="Book Antiqua"/>
          <w:b/>
          <w:color w:val="000000" w:themeColor="text1"/>
          <w:lang w:val="en-US"/>
        </w:rPr>
        <w:t>ORIGINAL ARTICLE</w:t>
      </w: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46"/>
    <w:bookmarkEnd w:id="47"/>
    <w:p w14:paraId="3E26050F" w14:textId="77777777" w:rsidR="00AB2771" w:rsidRDefault="00AB2771" w:rsidP="008A5994">
      <w:pPr>
        <w:widowControl w:val="0"/>
        <w:autoSpaceDE w:val="0"/>
        <w:autoSpaceDN w:val="0"/>
        <w:adjustRightInd w:val="0"/>
        <w:snapToGrid w:val="0"/>
        <w:spacing w:line="360" w:lineRule="auto"/>
        <w:jc w:val="both"/>
        <w:rPr>
          <w:rFonts w:ascii="Book Antiqua" w:hAnsi="Book Antiqua"/>
          <w:b/>
          <w:bCs/>
          <w:color w:val="000000" w:themeColor="text1"/>
          <w:lang w:val="en-US" w:eastAsia="en-US"/>
        </w:rPr>
      </w:pPr>
    </w:p>
    <w:p w14:paraId="6EBC2B82" w14:textId="64D1B43C" w:rsidR="008A5994" w:rsidRPr="008A5994" w:rsidRDefault="008A5994" w:rsidP="00A555A0">
      <w:pPr>
        <w:widowControl w:val="0"/>
        <w:autoSpaceDE w:val="0"/>
        <w:autoSpaceDN w:val="0"/>
        <w:adjustRightInd w:val="0"/>
        <w:snapToGrid w:val="0"/>
        <w:spacing w:line="360" w:lineRule="auto"/>
        <w:jc w:val="both"/>
        <w:outlineLvl w:val="0"/>
        <w:rPr>
          <w:rFonts w:ascii="Book Antiqua" w:hAnsi="Book Antiqua"/>
          <w:b/>
          <w:bCs/>
          <w:i/>
          <w:color w:val="000000" w:themeColor="text1"/>
          <w:lang w:val="en-US" w:eastAsia="en-US"/>
        </w:rPr>
      </w:pPr>
      <w:r w:rsidRPr="008A5994">
        <w:rPr>
          <w:rFonts w:ascii="Book Antiqua" w:hAnsi="Book Antiqua"/>
          <w:b/>
          <w:i/>
          <w:color w:val="000000" w:themeColor="text1"/>
          <w:lang w:val="en-US"/>
        </w:rPr>
        <w:t>Observational Study</w:t>
      </w:r>
    </w:p>
    <w:p w14:paraId="00B60A6D" w14:textId="2B312F32" w:rsidR="008707A9" w:rsidRDefault="00993017" w:rsidP="008A5994">
      <w:pPr>
        <w:widowControl w:val="0"/>
        <w:autoSpaceDE w:val="0"/>
        <w:autoSpaceDN w:val="0"/>
        <w:adjustRightInd w:val="0"/>
        <w:snapToGrid w:val="0"/>
        <w:spacing w:line="360" w:lineRule="auto"/>
        <w:jc w:val="both"/>
        <w:rPr>
          <w:rFonts w:ascii="Book Antiqua" w:hAnsi="Book Antiqua"/>
          <w:b/>
          <w:bCs/>
          <w:color w:val="000000" w:themeColor="text1"/>
          <w:lang w:val="en-US" w:eastAsia="en-US"/>
        </w:rPr>
      </w:pPr>
      <w:r w:rsidRPr="008A5994">
        <w:rPr>
          <w:rFonts w:ascii="Book Antiqua" w:hAnsi="Book Antiqua"/>
          <w:b/>
          <w:bCs/>
          <w:color w:val="000000" w:themeColor="text1"/>
          <w:lang w:val="en-US" w:eastAsia="en-US"/>
        </w:rPr>
        <w:t>C</w:t>
      </w:r>
      <w:r w:rsidR="008707A9" w:rsidRPr="008A5994">
        <w:rPr>
          <w:rFonts w:ascii="Book Antiqua" w:hAnsi="Book Antiqua"/>
          <w:b/>
          <w:bCs/>
          <w:color w:val="000000" w:themeColor="text1"/>
          <w:lang w:val="en-US" w:eastAsia="en-US"/>
        </w:rPr>
        <w:t xml:space="preserve">ombined evaluation of </w:t>
      </w:r>
      <w:r w:rsidRPr="008A5994">
        <w:rPr>
          <w:rFonts w:ascii="Book Antiqua" w:hAnsi="Book Antiqua"/>
          <w:b/>
          <w:bCs/>
          <w:color w:val="000000" w:themeColor="text1"/>
          <w:lang w:val="en-US" w:eastAsia="en-US"/>
        </w:rPr>
        <w:t>biomarkers</w:t>
      </w:r>
      <w:r w:rsidR="008707A9" w:rsidRPr="008A5994">
        <w:rPr>
          <w:rFonts w:ascii="Book Antiqua" w:hAnsi="Book Antiqua"/>
          <w:b/>
          <w:bCs/>
          <w:color w:val="000000" w:themeColor="text1"/>
          <w:lang w:val="en-US" w:eastAsia="en-US"/>
        </w:rPr>
        <w:t xml:space="preserve"> </w:t>
      </w:r>
      <w:r w:rsidRPr="008A5994">
        <w:rPr>
          <w:rFonts w:ascii="Book Antiqua" w:hAnsi="Book Antiqua"/>
          <w:b/>
          <w:bCs/>
          <w:color w:val="000000" w:themeColor="text1"/>
          <w:lang w:val="en-US" w:eastAsia="en-US"/>
        </w:rPr>
        <w:t>as</w:t>
      </w:r>
      <w:r w:rsidR="008707A9" w:rsidRPr="008A5994">
        <w:rPr>
          <w:rFonts w:ascii="Book Antiqua" w:hAnsi="Book Antiqua"/>
          <w:b/>
          <w:bCs/>
          <w:color w:val="000000" w:themeColor="text1"/>
          <w:lang w:val="en-US" w:eastAsia="en-US"/>
        </w:rPr>
        <w:t xml:space="preserve"> predictor of maintain</w:t>
      </w:r>
      <w:r w:rsidR="008A5994">
        <w:rPr>
          <w:rFonts w:ascii="Book Antiqua" w:hAnsi="Book Antiqua"/>
          <w:b/>
          <w:bCs/>
          <w:color w:val="000000" w:themeColor="text1"/>
          <w:lang w:val="en-US" w:eastAsia="en-US"/>
        </w:rPr>
        <w:t>ed remission in Crohn</w:t>
      </w:r>
      <w:r w:rsidR="00A555A0">
        <w:rPr>
          <w:rFonts w:ascii="Book Antiqua" w:hAnsi="Book Antiqua"/>
          <w:b/>
          <w:bCs/>
          <w:color w:val="000000" w:themeColor="text1"/>
          <w:lang w:val="en-US" w:eastAsia="en-US"/>
        </w:rPr>
        <w:t>’</w:t>
      </w:r>
      <w:r w:rsidR="008A5994">
        <w:rPr>
          <w:rFonts w:ascii="Book Antiqua" w:hAnsi="Book Antiqua"/>
          <w:b/>
          <w:bCs/>
          <w:color w:val="000000" w:themeColor="text1"/>
          <w:lang w:val="en-US" w:eastAsia="en-US"/>
        </w:rPr>
        <w:t>s disease</w:t>
      </w:r>
    </w:p>
    <w:p w14:paraId="5C2878DF" w14:textId="77777777" w:rsidR="008A5994" w:rsidRPr="008A5994" w:rsidRDefault="008A5994" w:rsidP="008A5994">
      <w:pPr>
        <w:widowControl w:val="0"/>
        <w:autoSpaceDE w:val="0"/>
        <w:autoSpaceDN w:val="0"/>
        <w:adjustRightInd w:val="0"/>
        <w:snapToGrid w:val="0"/>
        <w:spacing w:line="360" w:lineRule="auto"/>
        <w:jc w:val="both"/>
        <w:rPr>
          <w:rFonts w:ascii="Book Antiqua" w:hAnsi="Book Antiqua"/>
          <w:b/>
          <w:bCs/>
          <w:color w:val="000000" w:themeColor="text1"/>
          <w:lang w:val="en-US" w:eastAsia="en-US"/>
        </w:rPr>
      </w:pPr>
    </w:p>
    <w:p w14:paraId="0D75F150" w14:textId="27C21A89" w:rsidR="006759B4" w:rsidRDefault="006759B4" w:rsidP="00A555A0">
      <w:pPr>
        <w:widowControl w:val="0"/>
        <w:autoSpaceDE w:val="0"/>
        <w:autoSpaceDN w:val="0"/>
        <w:adjustRightInd w:val="0"/>
        <w:snapToGrid w:val="0"/>
        <w:spacing w:line="360" w:lineRule="auto"/>
        <w:jc w:val="both"/>
        <w:outlineLvl w:val="0"/>
        <w:rPr>
          <w:rFonts w:ascii="Book Antiqua" w:hAnsi="Book Antiqua"/>
          <w:bCs/>
          <w:color w:val="000000" w:themeColor="text1"/>
          <w:lang w:val="en-US" w:eastAsia="en-US"/>
        </w:rPr>
      </w:pPr>
      <w:proofErr w:type="spellStart"/>
      <w:r w:rsidRPr="008A5994">
        <w:rPr>
          <w:rFonts w:ascii="Book Antiqua" w:hAnsi="Book Antiqua"/>
          <w:bCs/>
          <w:color w:val="000000" w:themeColor="text1"/>
          <w:lang w:val="en-US" w:eastAsia="en-US"/>
        </w:rPr>
        <w:t>Sollelis</w:t>
      </w:r>
      <w:proofErr w:type="spellEnd"/>
      <w:r w:rsidRPr="008A5994">
        <w:rPr>
          <w:rFonts w:ascii="Book Antiqua" w:hAnsi="Book Antiqua"/>
          <w:bCs/>
          <w:color w:val="000000" w:themeColor="text1"/>
          <w:lang w:val="en-US" w:eastAsia="en-US"/>
        </w:rPr>
        <w:t xml:space="preserve"> </w:t>
      </w:r>
      <w:r w:rsidR="008A5994">
        <w:rPr>
          <w:rFonts w:ascii="Book Antiqua" w:hAnsi="Book Antiqua"/>
          <w:bCs/>
          <w:color w:val="000000" w:themeColor="text1"/>
          <w:lang w:val="en-US" w:eastAsia="en-US"/>
        </w:rPr>
        <w:t xml:space="preserve">E </w:t>
      </w:r>
      <w:r w:rsidRPr="008A5994">
        <w:rPr>
          <w:rFonts w:ascii="Book Antiqua" w:hAnsi="Book Antiqua"/>
          <w:bCs/>
          <w:i/>
          <w:color w:val="000000" w:themeColor="text1"/>
          <w:lang w:val="en-US" w:eastAsia="en-US"/>
        </w:rPr>
        <w:t>et al.</w:t>
      </w:r>
      <w:r w:rsidRPr="008A5994">
        <w:rPr>
          <w:rFonts w:ascii="Book Antiqua" w:hAnsi="Book Antiqua"/>
          <w:bCs/>
          <w:color w:val="000000" w:themeColor="text1"/>
          <w:lang w:val="en-US" w:eastAsia="en-US"/>
        </w:rPr>
        <w:t xml:space="preserve"> Predictive biomarkers for Crohn</w:t>
      </w:r>
      <w:r w:rsidR="00A555A0">
        <w:rPr>
          <w:rFonts w:ascii="Book Antiqua" w:hAnsi="Book Antiqua"/>
          <w:bCs/>
          <w:color w:val="000000" w:themeColor="text1"/>
          <w:lang w:val="en-US" w:eastAsia="en-US"/>
        </w:rPr>
        <w:t>’</w:t>
      </w:r>
      <w:r w:rsidRPr="008A5994">
        <w:rPr>
          <w:rFonts w:ascii="Book Antiqua" w:hAnsi="Book Antiqua"/>
          <w:bCs/>
          <w:color w:val="000000" w:themeColor="text1"/>
          <w:lang w:val="en-US" w:eastAsia="en-US"/>
        </w:rPr>
        <w:t>s disease remission</w:t>
      </w:r>
    </w:p>
    <w:p w14:paraId="5E96272B" w14:textId="77777777" w:rsidR="008A5994" w:rsidRPr="008A5994" w:rsidRDefault="008A5994" w:rsidP="008A5994">
      <w:pPr>
        <w:widowControl w:val="0"/>
        <w:autoSpaceDE w:val="0"/>
        <w:autoSpaceDN w:val="0"/>
        <w:adjustRightInd w:val="0"/>
        <w:snapToGrid w:val="0"/>
        <w:spacing w:line="360" w:lineRule="auto"/>
        <w:jc w:val="both"/>
        <w:rPr>
          <w:rFonts w:ascii="Book Antiqua" w:hAnsi="Book Antiqua"/>
          <w:color w:val="000000" w:themeColor="text1"/>
          <w:lang w:val="en-US" w:eastAsia="en-US"/>
        </w:rPr>
      </w:pPr>
    </w:p>
    <w:p w14:paraId="62BA95A4" w14:textId="6B6E8B81" w:rsidR="008707A9" w:rsidRPr="008A5994" w:rsidRDefault="00993017" w:rsidP="008A5994">
      <w:pPr>
        <w:widowControl w:val="0"/>
        <w:autoSpaceDE w:val="0"/>
        <w:autoSpaceDN w:val="0"/>
        <w:adjustRightInd w:val="0"/>
        <w:snapToGrid w:val="0"/>
        <w:spacing w:line="360" w:lineRule="auto"/>
        <w:jc w:val="both"/>
        <w:rPr>
          <w:rFonts w:ascii="Book Antiqua" w:eastAsia="MS Mincho" w:hAnsi="Book Antiqua" w:cs="MS Mincho"/>
          <w:color w:val="000000" w:themeColor="text1"/>
          <w:lang w:val="en-US" w:eastAsia="en-US"/>
        </w:rPr>
      </w:pPr>
      <w:r w:rsidRPr="008A5994">
        <w:rPr>
          <w:rFonts w:ascii="Book Antiqua" w:hAnsi="Book Antiqua"/>
          <w:bCs/>
          <w:color w:val="000000" w:themeColor="text1"/>
          <w:lang w:val="en-US" w:eastAsia="en-US"/>
        </w:rPr>
        <w:t>Elisa</w:t>
      </w:r>
      <w:r w:rsidR="008707A9" w:rsidRPr="008A5994">
        <w:rPr>
          <w:rFonts w:ascii="Book Antiqua" w:hAnsi="Book Antiqua"/>
          <w:bCs/>
          <w:color w:val="000000" w:themeColor="text1"/>
          <w:lang w:val="en-US" w:eastAsia="en-US"/>
        </w:rPr>
        <w:t xml:space="preserve"> </w:t>
      </w:r>
      <w:proofErr w:type="spellStart"/>
      <w:r w:rsidR="008707A9" w:rsidRPr="008A5994">
        <w:rPr>
          <w:rFonts w:ascii="Book Antiqua" w:hAnsi="Book Antiqua"/>
          <w:bCs/>
          <w:color w:val="000000" w:themeColor="text1"/>
          <w:lang w:val="en-US" w:eastAsia="en-US"/>
        </w:rPr>
        <w:t>Sollelis</w:t>
      </w:r>
      <w:proofErr w:type="spellEnd"/>
      <w:r w:rsidRPr="008A5994">
        <w:rPr>
          <w:rFonts w:ascii="Book Antiqua" w:hAnsi="Book Antiqua"/>
          <w:color w:val="000000" w:themeColor="text1"/>
          <w:lang w:val="en-US" w:eastAsia="en-US"/>
        </w:rPr>
        <w:t xml:space="preserve">, </w:t>
      </w:r>
      <w:proofErr w:type="spellStart"/>
      <w:r w:rsidRPr="008A5994">
        <w:rPr>
          <w:rFonts w:ascii="Book Antiqua" w:hAnsi="Book Antiqua"/>
          <w:color w:val="000000" w:themeColor="text1"/>
          <w:lang w:val="en-US" w:eastAsia="en-US"/>
        </w:rPr>
        <w:t>Régine</w:t>
      </w:r>
      <w:proofErr w:type="spellEnd"/>
      <w:r w:rsidR="008707A9" w:rsidRPr="008A5994">
        <w:rPr>
          <w:rFonts w:ascii="Book Antiqua" w:hAnsi="Book Antiqua"/>
          <w:color w:val="000000" w:themeColor="text1"/>
          <w:lang w:val="en-US" w:eastAsia="en-US"/>
        </w:rPr>
        <w:t xml:space="preserve"> </w:t>
      </w:r>
      <w:proofErr w:type="spellStart"/>
      <w:r w:rsidR="008707A9" w:rsidRPr="008A5994">
        <w:rPr>
          <w:rFonts w:ascii="Book Antiqua" w:hAnsi="Book Antiqua"/>
          <w:color w:val="000000" w:themeColor="text1"/>
          <w:lang w:val="en-US" w:eastAsia="en-US"/>
        </w:rPr>
        <w:t>Minet</w:t>
      </w:r>
      <w:proofErr w:type="spellEnd"/>
      <w:r w:rsidR="008707A9" w:rsidRPr="008A5994">
        <w:rPr>
          <w:rFonts w:ascii="Book Antiqua" w:hAnsi="Book Antiqua"/>
          <w:color w:val="000000" w:themeColor="text1"/>
          <w:lang w:val="en-US" w:eastAsia="en-US"/>
        </w:rPr>
        <w:t xml:space="preserve"> </w:t>
      </w:r>
      <w:proofErr w:type="spellStart"/>
      <w:r w:rsidR="008707A9" w:rsidRPr="008A5994">
        <w:rPr>
          <w:rFonts w:ascii="Book Antiqua" w:hAnsi="Book Antiqua"/>
          <w:color w:val="000000" w:themeColor="text1"/>
          <w:lang w:val="en-US" w:eastAsia="en-US"/>
        </w:rPr>
        <w:t>Quinard</w:t>
      </w:r>
      <w:proofErr w:type="spellEnd"/>
      <w:r w:rsidRPr="008A5994">
        <w:rPr>
          <w:rFonts w:ascii="Book Antiqua" w:hAnsi="Book Antiqua"/>
          <w:color w:val="000000" w:themeColor="text1"/>
          <w:lang w:val="en-US" w:eastAsia="en-US"/>
        </w:rPr>
        <w:t>, Guillaume</w:t>
      </w:r>
      <w:r w:rsidR="008707A9" w:rsidRPr="008A5994">
        <w:rPr>
          <w:rFonts w:ascii="Book Antiqua" w:hAnsi="Book Antiqua"/>
          <w:color w:val="000000" w:themeColor="text1"/>
          <w:lang w:val="en-US" w:eastAsia="en-US"/>
        </w:rPr>
        <w:t xml:space="preserve"> </w:t>
      </w:r>
      <w:proofErr w:type="spellStart"/>
      <w:r w:rsidR="008707A9" w:rsidRPr="008A5994">
        <w:rPr>
          <w:rFonts w:ascii="Book Antiqua" w:hAnsi="Book Antiqua"/>
          <w:color w:val="000000" w:themeColor="text1"/>
          <w:lang w:val="en-US" w:eastAsia="en-US"/>
        </w:rPr>
        <w:t>Bouguen</w:t>
      </w:r>
      <w:proofErr w:type="spellEnd"/>
      <w:r w:rsidRPr="008A5994">
        <w:rPr>
          <w:rFonts w:ascii="Book Antiqua" w:hAnsi="Book Antiqua"/>
          <w:color w:val="000000" w:themeColor="text1"/>
          <w:lang w:val="en-US" w:eastAsia="en-US"/>
        </w:rPr>
        <w:t>, Marion</w:t>
      </w:r>
      <w:r w:rsidR="008707A9" w:rsidRPr="008A5994">
        <w:rPr>
          <w:rFonts w:ascii="Book Antiqua" w:hAnsi="Book Antiqua"/>
          <w:color w:val="000000" w:themeColor="text1"/>
          <w:lang w:val="en-US" w:eastAsia="en-US"/>
        </w:rPr>
        <w:t xml:space="preserve"> Goutte</w:t>
      </w:r>
      <w:r w:rsidRPr="008A5994">
        <w:rPr>
          <w:rFonts w:ascii="Book Antiqua" w:hAnsi="Book Antiqua"/>
          <w:color w:val="000000" w:themeColor="text1"/>
          <w:lang w:val="en-US" w:eastAsia="en-US"/>
        </w:rPr>
        <w:t xml:space="preserve">, Félix </w:t>
      </w:r>
      <w:proofErr w:type="spellStart"/>
      <w:r w:rsidR="008707A9" w:rsidRPr="008A5994">
        <w:rPr>
          <w:rFonts w:ascii="Book Antiqua" w:hAnsi="Book Antiqua"/>
          <w:color w:val="000000" w:themeColor="text1"/>
          <w:lang w:val="en-US" w:eastAsia="en-US"/>
        </w:rPr>
        <w:t>Goutorbe</w:t>
      </w:r>
      <w:proofErr w:type="spellEnd"/>
      <w:r w:rsidRPr="008A5994">
        <w:rPr>
          <w:rFonts w:ascii="Book Antiqua" w:hAnsi="Book Antiqua"/>
          <w:color w:val="000000" w:themeColor="text1"/>
          <w:lang w:val="en-US" w:eastAsia="en-US"/>
        </w:rPr>
        <w:t>, Damien</w:t>
      </w:r>
      <w:r w:rsidR="008707A9" w:rsidRPr="008A5994">
        <w:rPr>
          <w:rFonts w:ascii="Book Antiqua" w:hAnsi="Book Antiqua"/>
          <w:color w:val="000000" w:themeColor="text1"/>
          <w:lang w:val="en-US" w:eastAsia="en-US"/>
        </w:rPr>
        <w:t xml:space="preserve"> Bouvier, B</w:t>
      </w:r>
      <w:r w:rsidRPr="008A5994">
        <w:rPr>
          <w:rFonts w:ascii="Book Antiqua" w:hAnsi="Book Antiqua"/>
          <w:color w:val="000000" w:themeColor="text1"/>
          <w:lang w:val="en-US" w:eastAsia="en-US"/>
        </w:rPr>
        <w:t>runo</w:t>
      </w:r>
      <w:r w:rsidR="008707A9" w:rsidRPr="008A5994">
        <w:rPr>
          <w:rFonts w:ascii="Book Antiqua" w:hAnsi="Book Antiqua"/>
          <w:color w:val="000000" w:themeColor="text1"/>
          <w:lang w:val="en-US" w:eastAsia="en-US"/>
        </w:rPr>
        <w:t xml:space="preserve"> </w:t>
      </w:r>
      <w:r w:rsidR="00C92BC4" w:rsidRPr="008A5994">
        <w:rPr>
          <w:rFonts w:ascii="Book Antiqua" w:hAnsi="Book Antiqua"/>
          <w:color w:val="000000" w:themeColor="text1"/>
          <w:lang w:val="en-US" w:eastAsia="en-US"/>
        </w:rPr>
        <w:t>Pereira</w:t>
      </w:r>
      <w:r w:rsidRPr="008A5994">
        <w:rPr>
          <w:rFonts w:ascii="Book Antiqua" w:hAnsi="Book Antiqua"/>
          <w:color w:val="000000" w:themeColor="text1"/>
          <w:lang w:val="en-US" w:eastAsia="en-US"/>
        </w:rPr>
        <w:t>, Gilles</w:t>
      </w:r>
      <w:r w:rsidR="008707A9" w:rsidRPr="008A5994">
        <w:rPr>
          <w:rFonts w:ascii="Book Antiqua" w:hAnsi="Book Antiqua"/>
          <w:color w:val="000000" w:themeColor="text1"/>
          <w:lang w:val="en-US" w:eastAsia="en-US"/>
        </w:rPr>
        <w:t xml:space="preserve"> </w:t>
      </w:r>
      <w:proofErr w:type="spellStart"/>
      <w:r w:rsidR="008707A9" w:rsidRPr="008A5994">
        <w:rPr>
          <w:rFonts w:ascii="Book Antiqua" w:hAnsi="Book Antiqua"/>
          <w:color w:val="000000" w:themeColor="text1"/>
          <w:lang w:val="en-US" w:eastAsia="en-US"/>
        </w:rPr>
        <w:t>Bommelaer</w:t>
      </w:r>
      <w:proofErr w:type="spellEnd"/>
      <w:r w:rsidRPr="008A5994">
        <w:rPr>
          <w:rFonts w:ascii="Book Antiqua" w:hAnsi="Book Antiqua"/>
          <w:color w:val="000000" w:themeColor="text1"/>
          <w:lang w:val="en-US" w:eastAsia="en-US"/>
        </w:rPr>
        <w:t>, Anthony</w:t>
      </w:r>
      <w:r w:rsidR="008707A9" w:rsidRPr="008A5994">
        <w:rPr>
          <w:rFonts w:ascii="Book Antiqua" w:hAnsi="Book Antiqua"/>
          <w:color w:val="000000" w:themeColor="text1"/>
          <w:lang w:val="en-US" w:eastAsia="en-US"/>
        </w:rPr>
        <w:t xml:space="preserve"> Buisson</w:t>
      </w:r>
    </w:p>
    <w:p w14:paraId="0AEACA8E" w14:textId="77777777" w:rsidR="00C92BC4" w:rsidRPr="008A5994" w:rsidRDefault="00C92BC4" w:rsidP="008A5994">
      <w:pPr>
        <w:widowControl w:val="0"/>
        <w:autoSpaceDE w:val="0"/>
        <w:autoSpaceDN w:val="0"/>
        <w:adjustRightInd w:val="0"/>
        <w:snapToGrid w:val="0"/>
        <w:spacing w:line="360" w:lineRule="auto"/>
        <w:jc w:val="both"/>
        <w:rPr>
          <w:rFonts w:ascii="Book Antiqua" w:hAnsi="Book Antiqua"/>
          <w:b/>
          <w:bCs/>
          <w:color w:val="000000" w:themeColor="text1"/>
          <w:lang w:val="en-US" w:eastAsia="en-US"/>
        </w:rPr>
      </w:pPr>
    </w:p>
    <w:p w14:paraId="0E120F00" w14:textId="54B03FF0" w:rsidR="008A5994" w:rsidRDefault="00993017" w:rsidP="008A5994">
      <w:pPr>
        <w:widowControl w:val="0"/>
        <w:autoSpaceDE w:val="0"/>
        <w:autoSpaceDN w:val="0"/>
        <w:adjustRightInd w:val="0"/>
        <w:snapToGrid w:val="0"/>
        <w:spacing w:line="360" w:lineRule="auto"/>
        <w:jc w:val="both"/>
        <w:rPr>
          <w:rFonts w:ascii="Book Antiqua" w:hAnsi="Book Antiqua"/>
          <w:color w:val="000000" w:themeColor="text1"/>
          <w:lang w:val="en-US" w:eastAsia="en-US"/>
        </w:rPr>
      </w:pPr>
      <w:r w:rsidRPr="008A5994">
        <w:rPr>
          <w:rFonts w:ascii="Book Antiqua" w:hAnsi="Book Antiqua"/>
          <w:b/>
          <w:bCs/>
          <w:color w:val="000000" w:themeColor="text1"/>
          <w:lang w:val="en-US" w:eastAsia="en-US"/>
        </w:rPr>
        <w:t xml:space="preserve">Elisa </w:t>
      </w:r>
      <w:proofErr w:type="spellStart"/>
      <w:r w:rsidRPr="008A5994">
        <w:rPr>
          <w:rFonts w:ascii="Book Antiqua" w:hAnsi="Book Antiqua"/>
          <w:b/>
          <w:bCs/>
          <w:color w:val="000000" w:themeColor="text1"/>
          <w:lang w:val="en-US" w:eastAsia="en-US"/>
        </w:rPr>
        <w:t>Sollelis</w:t>
      </w:r>
      <w:proofErr w:type="spellEnd"/>
      <w:r w:rsidRPr="008A5994">
        <w:rPr>
          <w:rFonts w:ascii="Book Antiqua" w:hAnsi="Book Antiqua"/>
          <w:b/>
          <w:color w:val="000000" w:themeColor="text1"/>
          <w:lang w:val="en-US" w:eastAsia="en-US"/>
        </w:rPr>
        <w:t xml:space="preserve">, Marion Goutte, </w:t>
      </w:r>
      <w:r w:rsidR="00C92BC4" w:rsidRPr="008A5994">
        <w:rPr>
          <w:rFonts w:ascii="Book Antiqua" w:hAnsi="Book Antiqua"/>
          <w:b/>
          <w:color w:val="000000" w:themeColor="text1"/>
          <w:lang w:val="en-US" w:eastAsia="en-US"/>
        </w:rPr>
        <w:t xml:space="preserve">Gilles </w:t>
      </w:r>
      <w:proofErr w:type="spellStart"/>
      <w:r w:rsidR="00C92BC4" w:rsidRPr="008A5994">
        <w:rPr>
          <w:rFonts w:ascii="Book Antiqua" w:hAnsi="Book Antiqua"/>
          <w:b/>
          <w:color w:val="000000" w:themeColor="text1"/>
          <w:lang w:val="en-US" w:eastAsia="en-US"/>
        </w:rPr>
        <w:t>Bommelaer</w:t>
      </w:r>
      <w:proofErr w:type="spellEnd"/>
      <w:r w:rsidR="00C92BC4" w:rsidRPr="008A5994">
        <w:rPr>
          <w:rFonts w:ascii="Book Antiqua" w:hAnsi="Book Antiqua"/>
          <w:b/>
          <w:color w:val="000000" w:themeColor="text1"/>
          <w:lang w:val="en-US" w:eastAsia="en-US"/>
        </w:rPr>
        <w:t>, Anthony Buisson,</w:t>
      </w:r>
      <w:r w:rsidRPr="008A5994">
        <w:rPr>
          <w:rFonts w:ascii="Book Antiqua" w:hAnsi="Book Antiqua"/>
          <w:color w:val="000000" w:themeColor="text1"/>
          <w:lang w:val="en-US" w:eastAsia="en-US"/>
        </w:rPr>
        <w:t xml:space="preserve"> </w:t>
      </w:r>
      <w:proofErr w:type="spellStart"/>
      <w:r w:rsidR="008A5994">
        <w:rPr>
          <w:rFonts w:ascii="Book Antiqua" w:hAnsi="Book Antiqua"/>
          <w:color w:val="000000" w:themeColor="text1"/>
          <w:lang w:val="en-US" w:eastAsia="en-US"/>
        </w:rPr>
        <w:t>Inserm</w:t>
      </w:r>
      <w:proofErr w:type="spellEnd"/>
      <w:r w:rsidR="008A5994" w:rsidRPr="008A5994">
        <w:rPr>
          <w:rFonts w:ascii="Book Antiqua" w:hAnsi="Book Antiqua"/>
          <w:color w:val="000000" w:themeColor="text1"/>
          <w:lang w:val="en-US" w:eastAsia="en-US"/>
        </w:rPr>
        <w:t xml:space="preserve"> 3iHP, CHU Clermont-Ferrand, Service </w:t>
      </w:r>
      <w:proofErr w:type="spellStart"/>
      <w:r w:rsidR="008A5994" w:rsidRPr="008A5994">
        <w:rPr>
          <w:rFonts w:ascii="Book Antiqua" w:hAnsi="Book Antiqua"/>
          <w:color w:val="000000" w:themeColor="text1"/>
          <w:lang w:val="en-US" w:eastAsia="en-US"/>
        </w:rPr>
        <w:t>d</w:t>
      </w:r>
      <w:r w:rsidR="00A555A0">
        <w:rPr>
          <w:rFonts w:ascii="Book Antiqua" w:hAnsi="Book Antiqua"/>
          <w:color w:val="000000" w:themeColor="text1"/>
          <w:lang w:val="en-US" w:eastAsia="en-US"/>
        </w:rPr>
        <w:t>’</w:t>
      </w:r>
      <w:r w:rsidR="008A5994" w:rsidRPr="008A5994">
        <w:rPr>
          <w:rFonts w:ascii="Book Antiqua" w:hAnsi="Book Antiqua"/>
          <w:color w:val="000000" w:themeColor="text1"/>
          <w:lang w:val="en-US" w:eastAsia="en-US"/>
        </w:rPr>
        <w:t>Hépato</w:t>
      </w:r>
      <w:proofErr w:type="spellEnd"/>
      <w:r w:rsidR="008A5994" w:rsidRPr="008A5994">
        <w:rPr>
          <w:rFonts w:ascii="Book Antiqua" w:hAnsi="Book Antiqua"/>
          <w:color w:val="000000" w:themeColor="text1"/>
          <w:lang w:val="en-US" w:eastAsia="en-US"/>
        </w:rPr>
        <w:t xml:space="preserve">-Gastro </w:t>
      </w:r>
      <w:proofErr w:type="spellStart"/>
      <w:r w:rsidR="008A5994" w:rsidRPr="008A5994">
        <w:rPr>
          <w:rFonts w:ascii="Book Antiqua" w:hAnsi="Book Antiqua"/>
          <w:color w:val="000000" w:themeColor="text1"/>
          <w:lang w:val="en-US" w:eastAsia="en-US"/>
        </w:rPr>
        <w:t>Entérologie</w:t>
      </w:r>
      <w:proofErr w:type="spellEnd"/>
      <w:r w:rsidR="008A5994" w:rsidRPr="008A5994">
        <w:rPr>
          <w:rFonts w:ascii="Book Antiqua" w:hAnsi="Book Antiqua"/>
          <w:color w:val="000000" w:themeColor="text1"/>
          <w:lang w:val="en-US" w:eastAsia="en-US"/>
        </w:rPr>
        <w:t xml:space="preserve">, </w:t>
      </w:r>
      <w:proofErr w:type="spellStart"/>
      <w:r w:rsidR="00C9791C" w:rsidRPr="008A5994">
        <w:rPr>
          <w:rFonts w:ascii="Book Antiqua" w:hAnsi="Book Antiqua"/>
          <w:color w:val="000000" w:themeColor="text1"/>
          <w:lang w:val="en-US" w:eastAsia="en-US"/>
        </w:rPr>
        <w:t>Unive</w:t>
      </w:r>
      <w:r w:rsidR="008A5994">
        <w:rPr>
          <w:rFonts w:ascii="Book Antiqua" w:hAnsi="Book Antiqua"/>
          <w:color w:val="000000" w:themeColor="text1"/>
          <w:lang w:val="en-US" w:eastAsia="en-US"/>
        </w:rPr>
        <w:t>rsité</w:t>
      </w:r>
      <w:proofErr w:type="spellEnd"/>
      <w:r w:rsidR="008A5994">
        <w:rPr>
          <w:rFonts w:ascii="Book Antiqua" w:hAnsi="Book Antiqua"/>
          <w:color w:val="000000" w:themeColor="text1"/>
          <w:lang w:val="en-US" w:eastAsia="en-US"/>
        </w:rPr>
        <w:t xml:space="preserve"> Clermont Auvergne, </w:t>
      </w:r>
      <w:r w:rsidR="00C9791C" w:rsidRPr="008A5994">
        <w:rPr>
          <w:rFonts w:ascii="Book Antiqua" w:hAnsi="Book Antiqua"/>
          <w:color w:val="000000" w:themeColor="text1"/>
          <w:lang w:val="en-US" w:eastAsia="en-US"/>
        </w:rPr>
        <w:t>Clermont-Ferrand</w:t>
      </w:r>
      <w:r w:rsidR="008A5994">
        <w:rPr>
          <w:rFonts w:ascii="Book Antiqua" w:hAnsi="Book Antiqua"/>
          <w:color w:val="000000" w:themeColor="text1"/>
          <w:lang w:val="en-US" w:eastAsia="en-US"/>
        </w:rPr>
        <w:t xml:space="preserve"> </w:t>
      </w:r>
      <w:r w:rsidR="008A5994" w:rsidRPr="008A5994">
        <w:rPr>
          <w:rFonts w:ascii="Book Antiqua" w:hAnsi="Book Antiqua"/>
          <w:color w:val="000000" w:themeColor="text1"/>
          <w:lang w:val="en-US" w:eastAsia="en-US"/>
        </w:rPr>
        <w:t>F-63000</w:t>
      </w:r>
      <w:r w:rsidR="00C9791C" w:rsidRPr="008A5994">
        <w:rPr>
          <w:rFonts w:ascii="Book Antiqua" w:hAnsi="Book Antiqua"/>
          <w:color w:val="000000" w:themeColor="text1"/>
          <w:lang w:val="en-US" w:eastAsia="en-US"/>
        </w:rPr>
        <w:t xml:space="preserve">, </w:t>
      </w:r>
      <w:r w:rsidR="008A5994">
        <w:rPr>
          <w:rFonts w:ascii="Book Antiqua" w:hAnsi="Book Antiqua"/>
          <w:color w:val="000000" w:themeColor="text1"/>
          <w:lang w:val="en-US" w:eastAsia="en-US"/>
        </w:rPr>
        <w:t>France</w:t>
      </w:r>
    </w:p>
    <w:p w14:paraId="65F8EC2F" w14:textId="77777777" w:rsidR="008A5994" w:rsidRDefault="008A5994" w:rsidP="008A5994">
      <w:pPr>
        <w:widowControl w:val="0"/>
        <w:autoSpaceDE w:val="0"/>
        <w:autoSpaceDN w:val="0"/>
        <w:adjustRightInd w:val="0"/>
        <w:snapToGrid w:val="0"/>
        <w:spacing w:line="360" w:lineRule="auto"/>
        <w:jc w:val="both"/>
        <w:rPr>
          <w:rFonts w:ascii="Book Antiqua" w:hAnsi="Book Antiqua"/>
          <w:color w:val="000000" w:themeColor="text1"/>
          <w:lang w:val="en-US" w:eastAsia="en-US"/>
        </w:rPr>
      </w:pPr>
    </w:p>
    <w:p w14:paraId="16053573" w14:textId="40495C98" w:rsidR="00E1668E" w:rsidRDefault="008A5994" w:rsidP="008A5994">
      <w:pPr>
        <w:widowControl w:val="0"/>
        <w:autoSpaceDE w:val="0"/>
        <w:autoSpaceDN w:val="0"/>
        <w:adjustRightInd w:val="0"/>
        <w:snapToGrid w:val="0"/>
        <w:spacing w:line="360" w:lineRule="auto"/>
        <w:jc w:val="both"/>
        <w:rPr>
          <w:rFonts w:ascii="Book Antiqua" w:hAnsi="Book Antiqua"/>
          <w:color w:val="000000" w:themeColor="text1"/>
          <w:lang w:val="en-US" w:eastAsia="en-US"/>
        </w:rPr>
      </w:pPr>
      <w:r w:rsidRPr="008A5994">
        <w:rPr>
          <w:rFonts w:ascii="Book Antiqua" w:hAnsi="Book Antiqua"/>
          <w:b/>
          <w:bCs/>
          <w:color w:val="000000" w:themeColor="text1"/>
          <w:lang w:val="en-US" w:eastAsia="en-US"/>
        </w:rPr>
        <w:t xml:space="preserve">Elisa </w:t>
      </w:r>
      <w:proofErr w:type="spellStart"/>
      <w:r w:rsidRPr="008A5994">
        <w:rPr>
          <w:rFonts w:ascii="Book Antiqua" w:hAnsi="Book Antiqua"/>
          <w:b/>
          <w:bCs/>
          <w:color w:val="000000" w:themeColor="text1"/>
          <w:lang w:val="en-US" w:eastAsia="en-US"/>
        </w:rPr>
        <w:t>Sollelis</w:t>
      </w:r>
      <w:proofErr w:type="spellEnd"/>
      <w:r w:rsidRPr="008A5994">
        <w:rPr>
          <w:rFonts w:ascii="Book Antiqua" w:hAnsi="Book Antiqua"/>
          <w:b/>
          <w:color w:val="000000" w:themeColor="text1"/>
          <w:lang w:val="en-US" w:eastAsia="en-US"/>
        </w:rPr>
        <w:t xml:space="preserve">, Marion Goutte, Gilles </w:t>
      </w:r>
      <w:proofErr w:type="spellStart"/>
      <w:r w:rsidRPr="008A5994">
        <w:rPr>
          <w:rFonts w:ascii="Book Antiqua" w:hAnsi="Book Antiqua"/>
          <w:b/>
          <w:color w:val="000000" w:themeColor="text1"/>
          <w:lang w:val="en-US" w:eastAsia="en-US"/>
        </w:rPr>
        <w:t>Bommelaer</w:t>
      </w:r>
      <w:proofErr w:type="spellEnd"/>
      <w:r w:rsidRPr="008A5994">
        <w:rPr>
          <w:rFonts w:ascii="Book Antiqua" w:hAnsi="Book Antiqua"/>
          <w:b/>
          <w:color w:val="000000" w:themeColor="text1"/>
          <w:lang w:val="en-US" w:eastAsia="en-US"/>
        </w:rPr>
        <w:t>, Anthony Buisson,</w:t>
      </w:r>
      <w:r w:rsidRPr="008A5994">
        <w:rPr>
          <w:rFonts w:ascii="Book Antiqua" w:hAnsi="Book Antiqua"/>
          <w:color w:val="000000" w:themeColor="text1"/>
          <w:lang w:val="en-US" w:eastAsia="en-US"/>
        </w:rPr>
        <w:t xml:space="preserve"> </w:t>
      </w:r>
      <w:proofErr w:type="spellStart"/>
      <w:r w:rsidRPr="008A5994">
        <w:rPr>
          <w:rFonts w:ascii="Book Antiqua" w:hAnsi="Book Antiqua"/>
          <w:color w:val="000000" w:themeColor="text1"/>
          <w:lang w:val="en-US" w:eastAsia="en-US"/>
        </w:rPr>
        <w:t>Inserm</w:t>
      </w:r>
      <w:proofErr w:type="spellEnd"/>
      <w:r w:rsidRPr="008A5994">
        <w:rPr>
          <w:rFonts w:ascii="Book Antiqua" w:hAnsi="Book Antiqua"/>
          <w:color w:val="000000" w:themeColor="text1"/>
          <w:lang w:val="en-US" w:eastAsia="en-US"/>
        </w:rPr>
        <w:t xml:space="preserve"> U1071, M2iSH, USC-INRA 2018, </w:t>
      </w:r>
      <w:proofErr w:type="spellStart"/>
      <w:r w:rsidR="00E1668E" w:rsidRPr="008A5994">
        <w:rPr>
          <w:rFonts w:ascii="Book Antiqua" w:hAnsi="Book Antiqua"/>
          <w:color w:val="000000" w:themeColor="text1"/>
          <w:lang w:val="en-US" w:eastAsia="en-US"/>
        </w:rPr>
        <w:t>Université</w:t>
      </w:r>
      <w:proofErr w:type="spellEnd"/>
      <w:r w:rsidR="00E1668E" w:rsidRPr="008A5994">
        <w:rPr>
          <w:rFonts w:ascii="Book Antiqua" w:hAnsi="Book Antiqua"/>
          <w:color w:val="000000" w:themeColor="text1"/>
          <w:lang w:val="en-US" w:eastAsia="en-US"/>
        </w:rPr>
        <w:t xml:space="preserve"> Clermont Auvergne, Clermont-Ferrand</w:t>
      </w:r>
      <w:r>
        <w:rPr>
          <w:rFonts w:ascii="Book Antiqua" w:hAnsi="Book Antiqua"/>
          <w:color w:val="000000" w:themeColor="text1"/>
          <w:lang w:val="en-US" w:eastAsia="en-US"/>
        </w:rPr>
        <w:t xml:space="preserve"> </w:t>
      </w:r>
      <w:r w:rsidRPr="008A5994">
        <w:rPr>
          <w:rFonts w:ascii="Book Antiqua" w:hAnsi="Book Antiqua"/>
          <w:color w:val="000000" w:themeColor="text1"/>
          <w:lang w:val="en-US" w:eastAsia="en-US"/>
        </w:rPr>
        <w:t>F-63000</w:t>
      </w:r>
      <w:r w:rsidR="00E1668E" w:rsidRPr="008A5994">
        <w:rPr>
          <w:rFonts w:ascii="Book Antiqua" w:hAnsi="Book Antiqua"/>
          <w:color w:val="000000" w:themeColor="text1"/>
          <w:lang w:val="en-US" w:eastAsia="en-US"/>
        </w:rPr>
        <w:t>, France</w:t>
      </w:r>
    </w:p>
    <w:p w14:paraId="5C2A98A9" w14:textId="77777777" w:rsidR="008A5994" w:rsidRPr="008A5994" w:rsidRDefault="008A5994" w:rsidP="008A5994">
      <w:pPr>
        <w:widowControl w:val="0"/>
        <w:autoSpaceDE w:val="0"/>
        <w:autoSpaceDN w:val="0"/>
        <w:adjustRightInd w:val="0"/>
        <w:snapToGrid w:val="0"/>
        <w:spacing w:line="360" w:lineRule="auto"/>
        <w:jc w:val="both"/>
        <w:rPr>
          <w:rFonts w:ascii="Book Antiqua" w:hAnsi="Book Antiqua"/>
          <w:color w:val="000000" w:themeColor="text1"/>
          <w:lang w:val="en-US" w:eastAsia="en-US"/>
        </w:rPr>
      </w:pPr>
    </w:p>
    <w:p w14:paraId="1B5BE9FF" w14:textId="467B28D8" w:rsidR="00215CDA" w:rsidRDefault="00C92BC4" w:rsidP="008A5994">
      <w:pPr>
        <w:widowControl w:val="0"/>
        <w:autoSpaceDE w:val="0"/>
        <w:autoSpaceDN w:val="0"/>
        <w:adjustRightInd w:val="0"/>
        <w:snapToGrid w:val="0"/>
        <w:spacing w:line="360" w:lineRule="auto"/>
        <w:jc w:val="both"/>
        <w:rPr>
          <w:rFonts w:ascii="Book Antiqua" w:hAnsi="Book Antiqua"/>
          <w:color w:val="000000" w:themeColor="text1"/>
          <w:lang w:val="en-US" w:eastAsia="en-US"/>
        </w:rPr>
      </w:pPr>
      <w:proofErr w:type="spellStart"/>
      <w:r w:rsidRPr="008A5994">
        <w:rPr>
          <w:rFonts w:ascii="Book Antiqua" w:hAnsi="Book Antiqua"/>
          <w:b/>
          <w:color w:val="000000" w:themeColor="text1"/>
          <w:lang w:val="en-US" w:eastAsia="en-US"/>
        </w:rPr>
        <w:t>Régine</w:t>
      </w:r>
      <w:proofErr w:type="spellEnd"/>
      <w:r w:rsidRPr="008A5994">
        <w:rPr>
          <w:rFonts w:ascii="Book Antiqua" w:hAnsi="Book Antiqua"/>
          <w:b/>
          <w:color w:val="000000" w:themeColor="text1"/>
          <w:lang w:val="en-US" w:eastAsia="en-US"/>
        </w:rPr>
        <w:t xml:space="preserve"> </w:t>
      </w:r>
      <w:proofErr w:type="spellStart"/>
      <w:r w:rsidRPr="008A5994">
        <w:rPr>
          <w:rFonts w:ascii="Book Antiqua" w:hAnsi="Book Antiqua"/>
          <w:b/>
          <w:color w:val="000000" w:themeColor="text1"/>
          <w:lang w:val="en-US" w:eastAsia="en-US"/>
        </w:rPr>
        <w:t>Minet</w:t>
      </w:r>
      <w:proofErr w:type="spellEnd"/>
      <w:r w:rsidRPr="008A5994">
        <w:rPr>
          <w:rFonts w:ascii="Book Antiqua" w:hAnsi="Book Antiqua"/>
          <w:b/>
          <w:color w:val="000000" w:themeColor="text1"/>
          <w:lang w:val="en-US" w:eastAsia="en-US"/>
        </w:rPr>
        <w:t xml:space="preserve"> </w:t>
      </w:r>
      <w:proofErr w:type="spellStart"/>
      <w:r w:rsidRPr="008A5994">
        <w:rPr>
          <w:rFonts w:ascii="Book Antiqua" w:hAnsi="Book Antiqua"/>
          <w:b/>
          <w:color w:val="000000" w:themeColor="text1"/>
          <w:lang w:val="en-US" w:eastAsia="en-US"/>
        </w:rPr>
        <w:t>Quinard</w:t>
      </w:r>
      <w:proofErr w:type="spellEnd"/>
      <w:r w:rsidRPr="008A5994">
        <w:rPr>
          <w:rFonts w:ascii="Book Antiqua" w:hAnsi="Book Antiqua"/>
          <w:b/>
          <w:color w:val="000000" w:themeColor="text1"/>
          <w:lang w:val="en-US" w:eastAsia="en-US"/>
        </w:rPr>
        <w:t xml:space="preserve">, Damien Bouvier, </w:t>
      </w:r>
      <w:r w:rsidR="008A5994" w:rsidRPr="008A5994">
        <w:rPr>
          <w:rFonts w:ascii="Book Antiqua" w:hAnsi="Book Antiqua"/>
          <w:color w:val="000000" w:themeColor="text1"/>
          <w:lang w:val="en-US" w:eastAsia="en-US"/>
        </w:rPr>
        <w:t>Biochemistry labora</w:t>
      </w:r>
      <w:r w:rsidR="008A5994">
        <w:rPr>
          <w:rFonts w:ascii="Book Antiqua" w:hAnsi="Book Antiqua"/>
          <w:color w:val="000000" w:themeColor="text1"/>
          <w:lang w:val="en-US" w:eastAsia="en-US"/>
        </w:rPr>
        <w:t xml:space="preserve">tory, </w:t>
      </w:r>
      <w:r w:rsidR="008707A9" w:rsidRPr="008A5994">
        <w:rPr>
          <w:rFonts w:ascii="Book Antiqua" w:hAnsi="Book Antiqua"/>
          <w:color w:val="000000" w:themeColor="text1"/>
          <w:lang w:val="en-US" w:eastAsia="en-US"/>
        </w:rPr>
        <w:t xml:space="preserve">University Hospital G. </w:t>
      </w:r>
      <w:proofErr w:type="spellStart"/>
      <w:r w:rsidR="008707A9" w:rsidRPr="008A5994">
        <w:rPr>
          <w:rFonts w:ascii="Book Antiqua" w:hAnsi="Book Antiqua"/>
          <w:color w:val="000000" w:themeColor="text1"/>
          <w:lang w:val="en-US" w:eastAsia="en-US"/>
        </w:rPr>
        <w:t>Montpied</w:t>
      </w:r>
      <w:proofErr w:type="spellEnd"/>
      <w:r w:rsidR="008707A9" w:rsidRPr="008A5994">
        <w:rPr>
          <w:rFonts w:ascii="Book Antiqua" w:hAnsi="Book Antiqua"/>
          <w:color w:val="000000" w:themeColor="text1"/>
          <w:lang w:val="en-US" w:eastAsia="en-US"/>
        </w:rPr>
        <w:t xml:space="preserve">, </w:t>
      </w:r>
      <w:r w:rsidR="008A5994">
        <w:rPr>
          <w:rFonts w:ascii="Book Antiqua" w:hAnsi="Book Antiqua"/>
          <w:color w:val="000000" w:themeColor="text1"/>
          <w:lang w:val="en-US" w:eastAsia="en-US"/>
        </w:rPr>
        <w:t xml:space="preserve">Clermont-Ferrand </w:t>
      </w:r>
      <w:bookmarkStart w:id="48" w:name="OLE_LINK505"/>
      <w:bookmarkStart w:id="49" w:name="OLE_LINK506"/>
      <w:r w:rsidR="008A5994" w:rsidRPr="008A5994">
        <w:rPr>
          <w:rFonts w:ascii="Book Antiqua" w:hAnsi="Book Antiqua"/>
          <w:color w:val="000000" w:themeColor="text1"/>
          <w:lang w:val="en-US" w:eastAsia="en-US"/>
        </w:rPr>
        <w:t>F-63000</w:t>
      </w:r>
      <w:bookmarkEnd w:id="48"/>
      <w:bookmarkEnd w:id="49"/>
      <w:r w:rsidR="008A5994">
        <w:rPr>
          <w:rFonts w:ascii="Book Antiqua" w:hAnsi="Book Antiqua"/>
          <w:color w:val="000000" w:themeColor="text1"/>
          <w:lang w:val="en-US" w:eastAsia="en-US"/>
        </w:rPr>
        <w:t>, France</w:t>
      </w:r>
    </w:p>
    <w:p w14:paraId="255A25E3" w14:textId="77777777" w:rsidR="008A5994" w:rsidRPr="008A5994" w:rsidRDefault="008A5994" w:rsidP="008A5994">
      <w:pPr>
        <w:widowControl w:val="0"/>
        <w:autoSpaceDE w:val="0"/>
        <w:autoSpaceDN w:val="0"/>
        <w:adjustRightInd w:val="0"/>
        <w:snapToGrid w:val="0"/>
        <w:spacing w:line="360" w:lineRule="auto"/>
        <w:jc w:val="both"/>
        <w:rPr>
          <w:rFonts w:ascii="Book Antiqua" w:hAnsi="Book Antiqua"/>
          <w:color w:val="000000" w:themeColor="text1"/>
          <w:lang w:val="en-US" w:eastAsia="en-US"/>
        </w:rPr>
      </w:pPr>
    </w:p>
    <w:p w14:paraId="7A34A486" w14:textId="69BB611D" w:rsidR="008707A9" w:rsidRDefault="00C92BC4" w:rsidP="008A5994">
      <w:pPr>
        <w:widowControl w:val="0"/>
        <w:autoSpaceDE w:val="0"/>
        <w:autoSpaceDN w:val="0"/>
        <w:adjustRightInd w:val="0"/>
        <w:snapToGrid w:val="0"/>
        <w:spacing w:line="360" w:lineRule="auto"/>
        <w:jc w:val="both"/>
        <w:rPr>
          <w:rFonts w:ascii="Book Antiqua" w:hAnsi="Book Antiqua"/>
          <w:color w:val="000000" w:themeColor="text1"/>
          <w:lang w:val="en-US"/>
        </w:rPr>
      </w:pPr>
      <w:r w:rsidRPr="008A5994">
        <w:rPr>
          <w:rFonts w:ascii="Book Antiqua" w:hAnsi="Book Antiqua"/>
          <w:b/>
          <w:color w:val="000000" w:themeColor="text1"/>
          <w:lang w:val="en-US" w:eastAsia="en-US"/>
        </w:rPr>
        <w:t xml:space="preserve">Guillaume </w:t>
      </w:r>
      <w:proofErr w:type="spellStart"/>
      <w:r w:rsidRPr="008A5994">
        <w:rPr>
          <w:rFonts w:ascii="Book Antiqua" w:hAnsi="Book Antiqua"/>
          <w:b/>
          <w:color w:val="000000" w:themeColor="text1"/>
          <w:lang w:val="en-US" w:eastAsia="en-US"/>
        </w:rPr>
        <w:t>Bouguen</w:t>
      </w:r>
      <w:proofErr w:type="spellEnd"/>
      <w:r w:rsidRPr="008A5994">
        <w:rPr>
          <w:rFonts w:ascii="Book Antiqua" w:hAnsi="Book Antiqua"/>
          <w:b/>
          <w:color w:val="000000" w:themeColor="text1"/>
          <w:lang w:val="en-US" w:eastAsia="en-US"/>
        </w:rPr>
        <w:t xml:space="preserve">, </w:t>
      </w:r>
      <w:r w:rsidR="00215CDA" w:rsidRPr="008A5994">
        <w:rPr>
          <w:rFonts w:ascii="Book Antiqua" w:hAnsi="Book Antiqua"/>
          <w:color w:val="000000" w:themeColor="text1"/>
          <w:lang w:val="en-US"/>
        </w:rPr>
        <w:t xml:space="preserve">CHU Rennes, Univ Rennes, INSERM, CIC1414, </w:t>
      </w:r>
      <w:proofErr w:type="spellStart"/>
      <w:r w:rsidR="00215CDA" w:rsidRPr="008A5994">
        <w:rPr>
          <w:rFonts w:ascii="Book Antiqua" w:hAnsi="Book Antiqua"/>
          <w:color w:val="000000" w:themeColor="text1"/>
          <w:lang w:val="en-US"/>
        </w:rPr>
        <w:t>Institut</w:t>
      </w:r>
      <w:proofErr w:type="spellEnd"/>
      <w:r w:rsidR="00215CDA" w:rsidRPr="008A5994">
        <w:rPr>
          <w:rFonts w:ascii="Book Antiqua" w:hAnsi="Book Antiqua"/>
          <w:color w:val="000000" w:themeColor="text1"/>
          <w:lang w:val="en-US"/>
        </w:rPr>
        <w:t xml:space="preserve"> NUMECAN (Nutrition Metabolisms and Cancer), Rennes</w:t>
      </w:r>
      <w:r w:rsidR="008A5994">
        <w:rPr>
          <w:rFonts w:ascii="Book Antiqua" w:hAnsi="Book Antiqua"/>
          <w:color w:val="000000" w:themeColor="text1"/>
          <w:lang w:val="en-US"/>
        </w:rPr>
        <w:t xml:space="preserve"> </w:t>
      </w:r>
      <w:r w:rsidR="008A5994" w:rsidRPr="008A5994">
        <w:rPr>
          <w:rFonts w:ascii="Book Antiqua" w:hAnsi="Book Antiqua"/>
          <w:color w:val="000000" w:themeColor="text1"/>
          <w:lang w:val="en-US"/>
        </w:rPr>
        <w:t>F-35000</w:t>
      </w:r>
      <w:r w:rsidR="00215CDA" w:rsidRPr="008A5994">
        <w:rPr>
          <w:rFonts w:ascii="Book Antiqua" w:hAnsi="Book Antiqua"/>
          <w:color w:val="000000" w:themeColor="text1"/>
          <w:lang w:val="en-US"/>
        </w:rPr>
        <w:t>, France</w:t>
      </w:r>
    </w:p>
    <w:p w14:paraId="54899297" w14:textId="77777777" w:rsidR="008A5994" w:rsidRPr="008A5994" w:rsidRDefault="008A5994" w:rsidP="008A5994">
      <w:pPr>
        <w:widowControl w:val="0"/>
        <w:autoSpaceDE w:val="0"/>
        <w:autoSpaceDN w:val="0"/>
        <w:adjustRightInd w:val="0"/>
        <w:snapToGrid w:val="0"/>
        <w:spacing w:line="360" w:lineRule="auto"/>
        <w:jc w:val="both"/>
        <w:rPr>
          <w:rFonts w:ascii="Book Antiqua" w:hAnsi="Book Antiqua"/>
          <w:color w:val="000000" w:themeColor="text1"/>
          <w:lang w:val="en-US" w:eastAsia="en-US"/>
        </w:rPr>
      </w:pPr>
    </w:p>
    <w:p w14:paraId="50989D31" w14:textId="6CE1DB3D" w:rsidR="008707A9" w:rsidRDefault="00C92BC4" w:rsidP="008A5994">
      <w:pPr>
        <w:widowControl w:val="0"/>
        <w:autoSpaceDE w:val="0"/>
        <w:autoSpaceDN w:val="0"/>
        <w:adjustRightInd w:val="0"/>
        <w:snapToGrid w:val="0"/>
        <w:spacing w:line="360" w:lineRule="auto"/>
        <w:jc w:val="both"/>
        <w:rPr>
          <w:rFonts w:ascii="Book Antiqua" w:hAnsi="Book Antiqua"/>
          <w:color w:val="000000" w:themeColor="text1"/>
          <w:lang w:val="en-US" w:eastAsia="en-US"/>
        </w:rPr>
      </w:pPr>
      <w:r w:rsidRPr="008A5994">
        <w:rPr>
          <w:rFonts w:ascii="Book Antiqua" w:hAnsi="Book Antiqua"/>
          <w:b/>
          <w:color w:val="000000" w:themeColor="text1"/>
          <w:lang w:val="en-US" w:eastAsia="en-US"/>
        </w:rPr>
        <w:t xml:space="preserve">Félix </w:t>
      </w:r>
      <w:proofErr w:type="spellStart"/>
      <w:r w:rsidRPr="008A5994">
        <w:rPr>
          <w:rFonts w:ascii="Book Antiqua" w:hAnsi="Book Antiqua"/>
          <w:b/>
          <w:color w:val="000000" w:themeColor="text1"/>
          <w:lang w:val="en-US" w:eastAsia="en-US"/>
        </w:rPr>
        <w:t>Goutorbe</w:t>
      </w:r>
      <w:proofErr w:type="spellEnd"/>
      <w:r w:rsidRPr="008A5994">
        <w:rPr>
          <w:rFonts w:ascii="Book Antiqua" w:hAnsi="Book Antiqua"/>
          <w:b/>
          <w:color w:val="000000" w:themeColor="text1"/>
          <w:lang w:val="en-US" w:eastAsia="en-US"/>
        </w:rPr>
        <w:t xml:space="preserve">, </w:t>
      </w:r>
      <w:r w:rsidR="008A5994" w:rsidRPr="008A5994">
        <w:rPr>
          <w:rFonts w:ascii="Book Antiqua" w:hAnsi="Book Antiqua"/>
          <w:color w:val="000000" w:themeColor="text1"/>
          <w:lang w:val="en-US" w:eastAsia="en-US"/>
        </w:rPr>
        <w:t>Gastroenterolo</w:t>
      </w:r>
      <w:r w:rsidR="008A5994">
        <w:rPr>
          <w:rFonts w:ascii="Book Antiqua" w:hAnsi="Book Antiqua"/>
          <w:color w:val="000000" w:themeColor="text1"/>
          <w:lang w:val="en-US" w:eastAsia="en-US"/>
        </w:rPr>
        <w:t xml:space="preserve">gy Department, </w:t>
      </w:r>
      <w:r w:rsidR="008707A9" w:rsidRPr="008A5994">
        <w:rPr>
          <w:rFonts w:ascii="Book Antiqua" w:hAnsi="Book Antiqua"/>
          <w:color w:val="000000" w:themeColor="text1"/>
          <w:lang w:val="en-US" w:eastAsia="en-US"/>
        </w:rPr>
        <w:t xml:space="preserve">Hospital of Bayonne, </w:t>
      </w:r>
      <w:r w:rsidR="008A5994">
        <w:rPr>
          <w:rFonts w:ascii="Book Antiqua" w:hAnsi="Book Antiqua"/>
          <w:color w:val="000000" w:themeColor="text1"/>
          <w:lang w:val="en-US" w:eastAsia="en-US"/>
        </w:rPr>
        <w:t>Bayonne F-641</w:t>
      </w:r>
      <w:r w:rsidR="008A5994" w:rsidRPr="008A5994">
        <w:rPr>
          <w:rFonts w:ascii="Book Antiqua" w:hAnsi="Book Antiqua"/>
          <w:color w:val="000000" w:themeColor="text1"/>
          <w:lang w:val="en-US" w:eastAsia="en-US"/>
        </w:rPr>
        <w:t>00</w:t>
      </w:r>
      <w:r w:rsidR="008A5994">
        <w:rPr>
          <w:rFonts w:ascii="Book Antiqua" w:hAnsi="Book Antiqua"/>
          <w:color w:val="000000" w:themeColor="text1"/>
          <w:lang w:val="en-US" w:eastAsia="en-US"/>
        </w:rPr>
        <w:t>, France</w:t>
      </w:r>
    </w:p>
    <w:p w14:paraId="0D6166E9" w14:textId="77777777" w:rsidR="008A5994" w:rsidRPr="008A5994" w:rsidRDefault="008A5994" w:rsidP="008A5994">
      <w:pPr>
        <w:widowControl w:val="0"/>
        <w:autoSpaceDE w:val="0"/>
        <w:autoSpaceDN w:val="0"/>
        <w:adjustRightInd w:val="0"/>
        <w:snapToGrid w:val="0"/>
        <w:spacing w:line="360" w:lineRule="auto"/>
        <w:jc w:val="both"/>
        <w:rPr>
          <w:rFonts w:ascii="Book Antiqua" w:hAnsi="Book Antiqua"/>
          <w:color w:val="000000" w:themeColor="text1"/>
          <w:lang w:val="en-US" w:eastAsia="en-US"/>
        </w:rPr>
      </w:pPr>
    </w:p>
    <w:p w14:paraId="09D34C07" w14:textId="28D61342" w:rsidR="008707A9" w:rsidRDefault="00C92BC4" w:rsidP="008A5994">
      <w:pPr>
        <w:widowControl w:val="0"/>
        <w:autoSpaceDE w:val="0"/>
        <w:autoSpaceDN w:val="0"/>
        <w:adjustRightInd w:val="0"/>
        <w:snapToGrid w:val="0"/>
        <w:spacing w:line="360" w:lineRule="auto"/>
        <w:jc w:val="both"/>
        <w:rPr>
          <w:rFonts w:ascii="Book Antiqua" w:hAnsi="Book Antiqua"/>
          <w:color w:val="000000" w:themeColor="text1"/>
          <w:lang w:val="en-US" w:eastAsia="en-US"/>
        </w:rPr>
      </w:pPr>
      <w:r w:rsidRPr="008A5994">
        <w:rPr>
          <w:rFonts w:ascii="Book Antiqua" w:hAnsi="Book Antiqua"/>
          <w:b/>
          <w:color w:val="000000" w:themeColor="text1"/>
          <w:lang w:val="en-US" w:eastAsia="en-US"/>
        </w:rPr>
        <w:t xml:space="preserve">Bruno Pereira, </w:t>
      </w:r>
      <w:r w:rsidR="008A5994" w:rsidRPr="008A5994">
        <w:rPr>
          <w:rFonts w:ascii="Book Antiqua" w:hAnsi="Book Antiqua"/>
          <w:color w:val="000000" w:themeColor="text1"/>
          <w:lang w:val="en-US" w:eastAsia="en-US"/>
        </w:rPr>
        <w:t xml:space="preserve">Biostatistics Unit, DRCI, </w:t>
      </w:r>
      <w:r w:rsidR="008707A9" w:rsidRPr="008A5994">
        <w:rPr>
          <w:rFonts w:ascii="Book Antiqua" w:hAnsi="Book Antiqua"/>
          <w:color w:val="000000" w:themeColor="text1"/>
          <w:lang w:val="en-US" w:eastAsia="en-US"/>
        </w:rPr>
        <w:t>University Hospital, Clermont-Ferrand</w:t>
      </w:r>
      <w:r w:rsidR="008A5994">
        <w:rPr>
          <w:rFonts w:ascii="Book Antiqua" w:hAnsi="Book Antiqua"/>
          <w:color w:val="000000" w:themeColor="text1"/>
          <w:lang w:val="en-US" w:eastAsia="en-US"/>
        </w:rPr>
        <w:t xml:space="preserve"> </w:t>
      </w:r>
      <w:r w:rsidR="008A5994" w:rsidRPr="008A5994">
        <w:rPr>
          <w:rFonts w:ascii="Book Antiqua" w:hAnsi="Book Antiqua"/>
          <w:color w:val="000000" w:themeColor="text1"/>
          <w:lang w:val="en-US" w:eastAsia="en-US"/>
        </w:rPr>
        <w:t>F-</w:t>
      </w:r>
      <w:r w:rsidR="008A5994" w:rsidRPr="008A5994">
        <w:rPr>
          <w:rFonts w:ascii="Book Antiqua" w:hAnsi="Book Antiqua"/>
          <w:color w:val="000000" w:themeColor="text1"/>
          <w:lang w:val="en-US" w:eastAsia="en-US"/>
        </w:rPr>
        <w:lastRenderedPageBreak/>
        <w:t>63000</w:t>
      </w:r>
      <w:r w:rsidR="008A5994">
        <w:rPr>
          <w:rFonts w:ascii="Book Antiqua" w:hAnsi="Book Antiqua"/>
          <w:color w:val="000000" w:themeColor="text1"/>
          <w:lang w:val="en-US" w:eastAsia="en-US"/>
        </w:rPr>
        <w:t>, France</w:t>
      </w:r>
    </w:p>
    <w:p w14:paraId="37AD8340" w14:textId="77777777" w:rsidR="008A5994" w:rsidRPr="008A5994" w:rsidRDefault="008A5994" w:rsidP="008A5994">
      <w:pPr>
        <w:widowControl w:val="0"/>
        <w:autoSpaceDE w:val="0"/>
        <w:autoSpaceDN w:val="0"/>
        <w:adjustRightInd w:val="0"/>
        <w:snapToGrid w:val="0"/>
        <w:spacing w:line="360" w:lineRule="auto"/>
        <w:jc w:val="both"/>
        <w:rPr>
          <w:rFonts w:ascii="Book Antiqua" w:hAnsi="Book Antiqua"/>
          <w:color w:val="000000" w:themeColor="text1"/>
          <w:lang w:val="en-US" w:eastAsia="en-US"/>
        </w:rPr>
      </w:pPr>
    </w:p>
    <w:p w14:paraId="3323F00F" w14:textId="1546850A" w:rsidR="002C79E4" w:rsidRPr="008A5994" w:rsidRDefault="008A5994" w:rsidP="008A5994">
      <w:pPr>
        <w:widowControl w:val="0"/>
        <w:autoSpaceDE w:val="0"/>
        <w:autoSpaceDN w:val="0"/>
        <w:adjustRightInd w:val="0"/>
        <w:snapToGrid w:val="0"/>
        <w:spacing w:line="360" w:lineRule="auto"/>
        <w:jc w:val="both"/>
        <w:rPr>
          <w:rFonts w:ascii="Book Antiqua" w:eastAsia="MS Mincho" w:hAnsi="Book Antiqua" w:cs="MS Mincho"/>
          <w:color w:val="000000" w:themeColor="text1"/>
          <w:lang w:val="en-US" w:eastAsia="en-US"/>
        </w:rPr>
      </w:pPr>
      <w:r>
        <w:rPr>
          <w:rFonts w:ascii="Book Antiqua" w:hAnsi="Book Antiqua"/>
          <w:b/>
          <w:color w:val="000000" w:themeColor="text1"/>
          <w:lang w:val="en-US"/>
        </w:rPr>
        <w:t>ORCID number</w:t>
      </w:r>
      <w:r w:rsidR="002C79E4" w:rsidRPr="008A5994">
        <w:rPr>
          <w:rFonts w:ascii="Book Antiqua" w:hAnsi="Book Antiqua"/>
          <w:b/>
          <w:color w:val="000000" w:themeColor="text1"/>
          <w:lang w:val="en-US"/>
        </w:rPr>
        <w:t xml:space="preserve">: </w:t>
      </w:r>
      <w:r w:rsidR="002C79E4" w:rsidRPr="008A5994">
        <w:rPr>
          <w:rFonts w:ascii="Book Antiqua" w:hAnsi="Book Antiqua"/>
          <w:bCs/>
          <w:color w:val="000000" w:themeColor="text1"/>
          <w:lang w:val="en-US" w:eastAsia="en-US"/>
        </w:rPr>
        <w:t xml:space="preserve">Elisa </w:t>
      </w:r>
      <w:proofErr w:type="spellStart"/>
      <w:r w:rsidR="002C79E4" w:rsidRPr="008A5994">
        <w:rPr>
          <w:rFonts w:ascii="Book Antiqua" w:hAnsi="Book Antiqua"/>
          <w:bCs/>
          <w:color w:val="000000" w:themeColor="text1"/>
          <w:lang w:val="en-US" w:eastAsia="en-US"/>
        </w:rPr>
        <w:t>Sollelis</w:t>
      </w:r>
      <w:proofErr w:type="spellEnd"/>
      <w:r>
        <w:rPr>
          <w:rFonts w:ascii="Book Antiqua" w:hAnsi="Book Antiqua"/>
          <w:bCs/>
          <w:color w:val="000000" w:themeColor="text1"/>
          <w:lang w:val="en-US" w:eastAsia="en-US"/>
        </w:rPr>
        <w:t xml:space="preserve"> (</w:t>
      </w:r>
      <w:r w:rsidR="002C79E4" w:rsidRPr="008A5994">
        <w:rPr>
          <w:rFonts w:ascii="Book Antiqua" w:hAnsi="Book Antiqua"/>
          <w:bCs/>
          <w:color w:val="000000" w:themeColor="text1"/>
          <w:lang w:val="en-US" w:eastAsia="en-US"/>
        </w:rPr>
        <w:t>0000-0002-3647-5097</w:t>
      </w:r>
      <w:r>
        <w:rPr>
          <w:rFonts w:ascii="Book Antiqua" w:hAnsi="Book Antiqua"/>
          <w:bCs/>
          <w:color w:val="000000" w:themeColor="text1"/>
          <w:lang w:val="en-US" w:eastAsia="en-US"/>
        </w:rPr>
        <w:t>);</w:t>
      </w:r>
      <w:r w:rsidR="002C79E4" w:rsidRPr="008A5994">
        <w:rPr>
          <w:rFonts w:ascii="Book Antiqua" w:hAnsi="Book Antiqua"/>
          <w:color w:val="000000" w:themeColor="text1"/>
          <w:lang w:val="en-US" w:eastAsia="en-US"/>
        </w:rPr>
        <w:t xml:space="preserve"> </w:t>
      </w:r>
      <w:proofErr w:type="spellStart"/>
      <w:r w:rsidR="002C79E4" w:rsidRPr="008A5994">
        <w:rPr>
          <w:rFonts w:ascii="Book Antiqua" w:hAnsi="Book Antiqua"/>
          <w:color w:val="000000" w:themeColor="text1"/>
          <w:lang w:val="en-US" w:eastAsia="en-US"/>
        </w:rPr>
        <w:t>Régine</w:t>
      </w:r>
      <w:proofErr w:type="spellEnd"/>
      <w:r w:rsidR="002C79E4" w:rsidRPr="008A5994">
        <w:rPr>
          <w:rFonts w:ascii="Book Antiqua" w:hAnsi="Book Antiqua"/>
          <w:color w:val="000000" w:themeColor="text1"/>
          <w:lang w:val="en-US" w:eastAsia="en-US"/>
        </w:rPr>
        <w:t xml:space="preserve"> </w:t>
      </w:r>
      <w:proofErr w:type="spellStart"/>
      <w:r w:rsidR="002C79E4" w:rsidRPr="008A5994">
        <w:rPr>
          <w:rFonts w:ascii="Book Antiqua" w:hAnsi="Book Antiqua"/>
          <w:color w:val="000000" w:themeColor="text1"/>
          <w:lang w:val="en-US" w:eastAsia="en-US"/>
        </w:rPr>
        <w:t>Minet</w:t>
      </w:r>
      <w:proofErr w:type="spellEnd"/>
      <w:r w:rsidR="002C79E4" w:rsidRPr="008A5994">
        <w:rPr>
          <w:rFonts w:ascii="Book Antiqua" w:hAnsi="Book Antiqua"/>
          <w:color w:val="000000" w:themeColor="text1"/>
          <w:lang w:val="en-US" w:eastAsia="en-US"/>
        </w:rPr>
        <w:t xml:space="preserve"> </w:t>
      </w:r>
      <w:proofErr w:type="spellStart"/>
      <w:r w:rsidR="002C79E4" w:rsidRPr="008A5994">
        <w:rPr>
          <w:rFonts w:ascii="Book Antiqua" w:hAnsi="Book Antiqua"/>
          <w:color w:val="000000" w:themeColor="text1"/>
          <w:lang w:val="en-US" w:eastAsia="en-US"/>
        </w:rPr>
        <w:t>Quinard</w:t>
      </w:r>
      <w:proofErr w:type="spellEnd"/>
      <w:r>
        <w:rPr>
          <w:rFonts w:ascii="Book Antiqua" w:hAnsi="Book Antiqua"/>
          <w:color w:val="000000" w:themeColor="text1"/>
          <w:lang w:val="en-US" w:eastAsia="en-US"/>
        </w:rPr>
        <w:t xml:space="preserve"> (</w:t>
      </w:r>
      <w:r w:rsidR="002C79E4" w:rsidRPr="008A5994">
        <w:rPr>
          <w:rFonts w:ascii="Book Antiqua" w:hAnsi="Book Antiqua"/>
          <w:color w:val="000000" w:themeColor="text1"/>
          <w:lang w:val="en-US" w:eastAsia="en-US"/>
        </w:rPr>
        <w:t>0000-0002-3426-3955</w:t>
      </w:r>
      <w:r>
        <w:rPr>
          <w:rFonts w:ascii="Book Antiqua" w:hAnsi="Book Antiqua"/>
          <w:color w:val="000000" w:themeColor="text1"/>
          <w:lang w:val="en-US" w:eastAsia="en-US"/>
        </w:rPr>
        <w:t>);</w:t>
      </w:r>
      <w:r w:rsidR="002C79E4" w:rsidRPr="008A5994">
        <w:rPr>
          <w:rFonts w:ascii="Book Antiqua" w:hAnsi="Book Antiqua"/>
          <w:color w:val="000000" w:themeColor="text1"/>
          <w:lang w:val="en-US" w:eastAsia="en-US"/>
        </w:rPr>
        <w:t xml:space="preserve"> Guillaume </w:t>
      </w:r>
      <w:proofErr w:type="spellStart"/>
      <w:r w:rsidR="002C79E4" w:rsidRPr="008A5994">
        <w:rPr>
          <w:rFonts w:ascii="Book Antiqua" w:hAnsi="Book Antiqua"/>
          <w:color w:val="000000" w:themeColor="text1"/>
          <w:lang w:val="en-US" w:eastAsia="en-US"/>
        </w:rPr>
        <w:t>Bouguen</w:t>
      </w:r>
      <w:proofErr w:type="spellEnd"/>
      <w:r>
        <w:rPr>
          <w:rFonts w:ascii="Book Antiqua" w:hAnsi="Book Antiqua"/>
          <w:color w:val="000000" w:themeColor="text1"/>
          <w:lang w:val="en-US" w:eastAsia="en-US"/>
        </w:rPr>
        <w:t xml:space="preserve"> (</w:t>
      </w:r>
      <w:r w:rsidR="002C79E4" w:rsidRPr="008A5994">
        <w:rPr>
          <w:rFonts w:ascii="Book Antiqua" w:hAnsi="Book Antiqua"/>
          <w:color w:val="000000" w:themeColor="text1"/>
          <w:lang w:val="en-US" w:eastAsia="en-US"/>
        </w:rPr>
        <w:t>0000-0002-7444-5905</w:t>
      </w:r>
      <w:r>
        <w:rPr>
          <w:rFonts w:ascii="Book Antiqua" w:hAnsi="Book Antiqua"/>
          <w:color w:val="000000" w:themeColor="text1"/>
          <w:lang w:val="en-US" w:eastAsia="en-US"/>
        </w:rPr>
        <w:t>);</w:t>
      </w:r>
      <w:r w:rsidR="002C79E4" w:rsidRPr="008A5994">
        <w:rPr>
          <w:rFonts w:ascii="Book Antiqua" w:hAnsi="Book Antiqua"/>
          <w:color w:val="000000" w:themeColor="text1"/>
          <w:lang w:val="en-US" w:eastAsia="en-US"/>
        </w:rPr>
        <w:t xml:space="preserve"> Marion Goutte</w:t>
      </w:r>
      <w:r>
        <w:rPr>
          <w:rFonts w:ascii="Book Antiqua" w:hAnsi="Book Antiqua"/>
          <w:color w:val="000000" w:themeColor="text1"/>
          <w:lang w:val="en-US" w:eastAsia="en-US"/>
        </w:rPr>
        <w:t xml:space="preserve"> (</w:t>
      </w:r>
      <w:r w:rsidR="002C79E4" w:rsidRPr="008A5994">
        <w:rPr>
          <w:rFonts w:ascii="Book Antiqua" w:hAnsi="Book Antiqua"/>
          <w:color w:val="000000" w:themeColor="text1"/>
          <w:lang w:val="en-US" w:eastAsia="en-US"/>
        </w:rPr>
        <w:t>0000-0001-7091-8157</w:t>
      </w:r>
      <w:r>
        <w:rPr>
          <w:rFonts w:ascii="Book Antiqua" w:hAnsi="Book Antiqua"/>
          <w:color w:val="000000" w:themeColor="text1"/>
          <w:lang w:val="en-US" w:eastAsia="en-US"/>
        </w:rPr>
        <w:t>);</w:t>
      </w:r>
      <w:r w:rsidR="002C79E4" w:rsidRPr="008A5994">
        <w:rPr>
          <w:rFonts w:ascii="Book Antiqua" w:hAnsi="Book Antiqua"/>
          <w:color w:val="000000" w:themeColor="text1"/>
          <w:lang w:val="en-US" w:eastAsia="en-US"/>
        </w:rPr>
        <w:t xml:space="preserve"> Félix </w:t>
      </w:r>
      <w:proofErr w:type="spellStart"/>
      <w:r w:rsidR="002C79E4" w:rsidRPr="008A5994">
        <w:rPr>
          <w:rFonts w:ascii="Book Antiqua" w:hAnsi="Book Antiqua"/>
          <w:color w:val="000000" w:themeColor="text1"/>
          <w:lang w:val="en-US" w:eastAsia="en-US"/>
        </w:rPr>
        <w:t>Goutorbe</w:t>
      </w:r>
      <w:proofErr w:type="spellEnd"/>
      <w:r>
        <w:rPr>
          <w:rFonts w:ascii="Book Antiqua" w:hAnsi="Book Antiqua"/>
          <w:color w:val="000000" w:themeColor="text1"/>
          <w:lang w:val="en-US" w:eastAsia="en-US"/>
        </w:rPr>
        <w:t xml:space="preserve"> (</w:t>
      </w:r>
      <w:r w:rsidR="002C79E4" w:rsidRPr="008A5994">
        <w:rPr>
          <w:rFonts w:ascii="Book Antiqua" w:hAnsi="Book Antiqua"/>
          <w:color w:val="000000" w:themeColor="text1"/>
          <w:lang w:val="en-US" w:eastAsia="en-US"/>
        </w:rPr>
        <w:t>0000-0002-5756-4574</w:t>
      </w:r>
      <w:r>
        <w:rPr>
          <w:rFonts w:ascii="Book Antiqua" w:hAnsi="Book Antiqua"/>
          <w:color w:val="000000" w:themeColor="text1"/>
          <w:lang w:val="en-US" w:eastAsia="en-US"/>
        </w:rPr>
        <w:t>);</w:t>
      </w:r>
      <w:r w:rsidR="002C79E4" w:rsidRPr="008A5994">
        <w:rPr>
          <w:rFonts w:ascii="Book Antiqua" w:hAnsi="Book Antiqua"/>
          <w:color w:val="000000" w:themeColor="text1"/>
          <w:lang w:val="en-US" w:eastAsia="en-US"/>
        </w:rPr>
        <w:t xml:space="preserve"> Damien Bouvier</w:t>
      </w:r>
      <w:r>
        <w:rPr>
          <w:rFonts w:ascii="Book Antiqua" w:hAnsi="Book Antiqua"/>
          <w:color w:val="000000" w:themeColor="text1"/>
          <w:lang w:val="en-US" w:eastAsia="en-US"/>
        </w:rPr>
        <w:t xml:space="preserve"> (</w:t>
      </w:r>
      <w:r w:rsidR="002C79E4" w:rsidRPr="008A5994">
        <w:rPr>
          <w:rFonts w:ascii="Book Antiqua" w:hAnsi="Book Antiqua"/>
          <w:color w:val="000000" w:themeColor="text1"/>
          <w:lang w:val="en-US" w:eastAsia="en-US"/>
        </w:rPr>
        <w:t>0000-0002-2707-4320</w:t>
      </w:r>
      <w:r>
        <w:rPr>
          <w:rFonts w:ascii="Book Antiqua" w:hAnsi="Book Antiqua"/>
          <w:color w:val="000000" w:themeColor="text1"/>
          <w:lang w:val="en-US" w:eastAsia="en-US"/>
        </w:rPr>
        <w:t>);</w:t>
      </w:r>
      <w:r w:rsidR="002C79E4" w:rsidRPr="008A5994">
        <w:rPr>
          <w:rFonts w:ascii="Book Antiqua" w:hAnsi="Book Antiqua"/>
          <w:color w:val="000000" w:themeColor="text1"/>
          <w:lang w:val="en-US" w:eastAsia="en-US"/>
        </w:rPr>
        <w:t xml:space="preserve"> Bruno </w:t>
      </w:r>
      <w:r>
        <w:rPr>
          <w:rFonts w:ascii="Book Antiqua" w:hAnsi="Book Antiqua"/>
          <w:color w:val="000000" w:themeColor="text1"/>
          <w:lang w:val="en-US" w:eastAsia="en-US"/>
        </w:rPr>
        <w:t>Pereira (</w:t>
      </w:r>
      <w:r w:rsidR="002C79E4" w:rsidRPr="008A5994">
        <w:rPr>
          <w:rFonts w:ascii="Book Antiqua" w:hAnsi="Book Antiqua"/>
          <w:color w:val="000000" w:themeColor="text1"/>
          <w:lang w:val="en-US" w:eastAsia="en-US"/>
        </w:rPr>
        <w:t>0000-0001-6040-3192</w:t>
      </w:r>
      <w:r>
        <w:rPr>
          <w:rFonts w:ascii="Book Antiqua" w:hAnsi="Book Antiqua"/>
          <w:color w:val="000000" w:themeColor="text1"/>
          <w:lang w:val="en-US" w:eastAsia="en-US"/>
        </w:rPr>
        <w:t>);</w:t>
      </w:r>
      <w:r w:rsidR="002C79E4" w:rsidRPr="008A5994">
        <w:rPr>
          <w:rFonts w:ascii="Book Antiqua" w:hAnsi="Book Antiqua"/>
          <w:color w:val="000000" w:themeColor="text1"/>
          <w:lang w:val="en-US" w:eastAsia="en-US"/>
        </w:rPr>
        <w:t xml:space="preserve"> Gilles </w:t>
      </w:r>
      <w:proofErr w:type="spellStart"/>
      <w:r w:rsidR="002C79E4" w:rsidRPr="008A5994">
        <w:rPr>
          <w:rFonts w:ascii="Book Antiqua" w:hAnsi="Book Antiqua"/>
          <w:color w:val="000000" w:themeColor="text1"/>
          <w:lang w:val="en-US" w:eastAsia="en-US"/>
        </w:rPr>
        <w:t>Bommelaer</w:t>
      </w:r>
      <w:proofErr w:type="spellEnd"/>
      <w:r w:rsidR="002C79E4" w:rsidRPr="008A5994">
        <w:rPr>
          <w:rFonts w:ascii="Book Antiqua" w:hAnsi="Book Antiqua"/>
          <w:color w:val="000000" w:themeColor="text1"/>
          <w:lang w:val="en-US" w:eastAsia="en-US"/>
        </w:rPr>
        <w:t xml:space="preserve"> </w:t>
      </w:r>
      <w:r>
        <w:rPr>
          <w:rFonts w:ascii="Book Antiqua" w:hAnsi="Book Antiqua"/>
          <w:color w:val="000000" w:themeColor="text1"/>
          <w:lang w:val="en-US" w:eastAsia="en-US"/>
        </w:rPr>
        <w:t>(</w:t>
      </w:r>
      <w:r w:rsidR="002C79E4" w:rsidRPr="008A5994">
        <w:rPr>
          <w:rFonts w:ascii="Book Antiqua" w:hAnsi="Book Antiqua"/>
          <w:color w:val="000000" w:themeColor="text1"/>
          <w:lang w:val="en-US" w:eastAsia="en-US"/>
        </w:rPr>
        <w:t>0000-0002-3248-2855</w:t>
      </w:r>
      <w:r>
        <w:rPr>
          <w:rFonts w:ascii="Book Antiqua" w:hAnsi="Book Antiqua"/>
          <w:color w:val="000000" w:themeColor="text1"/>
          <w:lang w:val="en-US" w:eastAsia="en-US"/>
        </w:rPr>
        <w:t>);</w:t>
      </w:r>
      <w:r w:rsidR="002C79E4" w:rsidRPr="008A5994">
        <w:rPr>
          <w:rFonts w:ascii="Book Antiqua" w:hAnsi="Book Antiqua"/>
          <w:color w:val="000000" w:themeColor="text1"/>
          <w:lang w:val="en-US" w:eastAsia="en-US"/>
        </w:rPr>
        <w:t xml:space="preserve"> Anthony Buisson</w:t>
      </w:r>
      <w:r>
        <w:rPr>
          <w:rFonts w:ascii="Book Antiqua" w:hAnsi="Book Antiqua"/>
          <w:color w:val="000000" w:themeColor="text1"/>
          <w:lang w:val="en-US" w:eastAsia="en-US"/>
        </w:rPr>
        <w:t xml:space="preserve"> (</w:t>
      </w:r>
      <w:r w:rsidR="002C79E4" w:rsidRPr="008A5994">
        <w:rPr>
          <w:rFonts w:ascii="Book Antiqua" w:hAnsi="Book Antiqua"/>
          <w:color w:val="000000" w:themeColor="text1"/>
          <w:lang w:val="en-US" w:eastAsia="en-US"/>
        </w:rPr>
        <w:t>0000-0002-6347-409X</w:t>
      </w:r>
      <w:r>
        <w:rPr>
          <w:rFonts w:ascii="Book Antiqua" w:hAnsi="Book Antiqua"/>
          <w:color w:val="000000" w:themeColor="text1"/>
          <w:lang w:val="en-US" w:eastAsia="en-US"/>
        </w:rPr>
        <w:t>).</w:t>
      </w:r>
    </w:p>
    <w:p w14:paraId="7C65B2CA" w14:textId="77777777" w:rsidR="00AB2771" w:rsidRPr="008A5994" w:rsidRDefault="00AB2771" w:rsidP="008A5994">
      <w:pPr>
        <w:adjustRightInd w:val="0"/>
        <w:snapToGrid w:val="0"/>
        <w:spacing w:line="360" w:lineRule="auto"/>
        <w:jc w:val="both"/>
        <w:rPr>
          <w:rFonts w:ascii="Book Antiqua" w:hAnsi="Book Antiqua"/>
          <w:b/>
          <w:color w:val="000000" w:themeColor="text1"/>
          <w:u w:val="single"/>
          <w:lang w:val="en-US"/>
        </w:rPr>
      </w:pPr>
    </w:p>
    <w:p w14:paraId="0DFF0C8F" w14:textId="273E8483" w:rsidR="002C38E0" w:rsidRDefault="002C38E0" w:rsidP="008A5994">
      <w:pPr>
        <w:adjustRightInd w:val="0"/>
        <w:snapToGrid w:val="0"/>
        <w:spacing w:line="360" w:lineRule="auto"/>
        <w:jc w:val="both"/>
        <w:rPr>
          <w:rFonts w:ascii="Book Antiqua" w:eastAsia="MS Mincho" w:hAnsi="Book Antiqua" w:cs="MS Mincho"/>
          <w:color w:val="000000" w:themeColor="text1"/>
          <w:lang w:val="en-US" w:eastAsia="en-US"/>
        </w:rPr>
      </w:pPr>
      <w:r w:rsidRPr="008A5994">
        <w:rPr>
          <w:rFonts w:ascii="Book Antiqua" w:hAnsi="Book Antiqua"/>
          <w:b/>
          <w:color w:val="000000" w:themeColor="text1"/>
          <w:lang w:val="en-US"/>
        </w:rPr>
        <w:t>Author contribution</w:t>
      </w:r>
      <w:r w:rsidR="008A5994" w:rsidRPr="008A5994">
        <w:rPr>
          <w:rFonts w:ascii="Book Antiqua" w:hAnsi="Book Antiqua"/>
          <w:b/>
          <w:color w:val="000000" w:themeColor="text1"/>
          <w:lang w:val="en-US"/>
        </w:rPr>
        <w:t>s</w:t>
      </w:r>
      <w:r w:rsidRPr="008A5994">
        <w:rPr>
          <w:rFonts w:ascii="Book Antiqua" w:hAnsi="Book Antiqua"/>
          <w:b/>
          <w:color w:val="000000" w:themeColor="text1"/>
          <w:lang w:val="en-US"/>
        </w:rPr>
        <w:t>:</w:t>
      </w:r>
      <w:r w:rsidR="008A5994">
        <w:rPr>
          <w:rFonts w:ascii="Book Antiqua" w:hAnsi="Book Antiqua"/>
          <w:b/>
          <w:color w:val="000000" w:themeColor="text1"/>
          <w:lang w:val="en-US"/>
        </w:rPr>
        <w:t xml:space="preserve"> </w:t>
      </w:r>
      <w:bookmarkStart w:id="50" w:name="OLE_LINK509"/>
      <w:bookmarkStart w:id="51" w:name="OLE_LINK510"/>
      <w:r w:rsidRPr="008A5994">
        <w:rPr>
          <w:rFonts w:ascii="Book Antiqua" w:hAnsi="Book Antiqua"/>
          <w:color w:val="000000" w:themeColor="text1"/>
          <w:lang w:val="en-US"/>
        </w:rPr>
        <w:t>Buisson</w:t>
      </w:r>
      <w:r w:rsidR="008A5994" w:rsidRPr="008A5994">
        <w:rPr>
          <w:rFonts w:ascii="Book Antiqua" w:hAnsi="Book Antiqua"/>
          <w:color w:val="000000" w:themeColor="text1"/>
          <w:lang w:val="en-US"/>
        </w:rPr>
        <w:t xml:space="preserve"> A</w:t>
      </w:r>
      <w:bookmarkEnd w:id="50"/>
      <w:bookmarkEnd w:id="51"/>
      <w:r w:rsidR="008A5994" w:rsidRPr="008A5994">
        <w:rPr>
          <w:rFonts w:ascii="Book Antiqua" w:hAnsi="Book Antiqua"/>
          <w:color w:val="000000" w:themeColor="text1"/>
          <w:lang w:val="en-US"/>
        </w:rPr>
        <w:t xml:space="preserve"> is the guarantor of the article; </w:t>
      </w:r>
      <w:proofErr w:type="spellStart"/>
      <w:r w:rsidRPr="008A5994">
        <w:rPr>
          <w:rFonts w:ascii="Book Antiqua" w:hAnsi="Book Antiqua"/>
          <w:bCs/>
          <w:color w:val="000000" w:themeColor="text1"/>
          <w:lang w:val="en-US" w:eastAsia="en-US"/>
        </w:rPr>
        <w:t>Sollelis</w:t>
      </w:r>
      <w:proofErr w:type="spellEnd"/>
      <w:r w:rsidR="008A5994" w:rsidRPr="008A5994">
        <w:rPr>
          <w:rFonts w:ascii="Book Antiqua" w:hAnsi="Book Antiqua"/>
          <w:bCs/>
          <w:color w:val="000000" w:themeColor="text1"/>
          <w:lang w:val="en-US" w:eastAsia="en-US"/>
        </w:rPr>
        <w:t xml:space="preserve"> E</w:t>
      </w:r>
      <w:r w:rsidR="008A5994" w:rsidRPr="008A5994">
        <w:rPr>
          <w:rFonts w:ascii="Book Antiqua" w:hAnsi="Book Antiqua"/>
          <w:color w:val="000000" w:themeColor="text1"/>
          <w:lang w:val="en-US" w:eastAsia="en-US"/>
        </w:rPr>
        <w:t xml:space="preserve"> and </w:t>
      </w:r>
      <w:r w:rsidR="008A5994" w:rsidRPr="008A5994">
        <w:rPr>
          <w:rFonts w:ascii="Book Antiqua" w:hAnsi="Book Antiqua"/>
          <w:color w:val="000000" w:themeColor="text1"/>
          <w:lang w:val="en-US"/>
        </w:rPr>
        <w:t>Buisson A contributed to</w:t>
      </w:r>
      <w:r w:rsidRPr="008A5994">
        <w:rPr>
          <w:rFonts w:ascii="Book Antiqua" w:hAnsi="Book Antiqua"/>
          <w:color w:val="000000" w:themeColor="text1"/>
          <w:lang w:val="en-US" w:eastAsia="en-US"/>
        </w:rPr>
        <w:t xml:space="preserve"> </w:t>
      </w:r>
      <w:r w:rsidRPr="008A5994">
        <w:rPr>
          <w:rFonts w:ascii="Book Antiqua" w:hAnsi="Book Antiqua"/>
          <w:color w:val="000000" w:themeColor="text1"/>
          <w:lang w:val="en-US"/>
        </w:rPr>
        <w:t>study concept and design and writing of the article</w:t>
      </w:r>
      <w:r w:rsidR="008A5994" w:rsidRPr="008A5994">
        <w:rPr>
          <w:rFonts w:ascii="Book Antiqua" w:hAnsi="Book Antiqua"/>
          <w:color w:val="000000" w:themeColor="text1"/>
          <w:lang w:val="en-US"/>
        </w:rPr>
        <w:t xml:space="preserve">; </w:t>
      </w:r>
      <w:proofErr w:type="spellStart"/>
      <w:r w:rsidRPr="008A5994">
        <w:rPr>
          <w:rFonts w:ascii="Book Antiqua" w:hAnsi="Book Antiqua"/>
          <w:bCs/>
          <w:color w:val="000000" w:themeColor="text1"/>
          <w:lang w:val="en-US" w:eastAsia="en-US"/>
        </w:rPr>
        <w:t>Sollelis</w:t>
      </w:r>
      <w:proofErr w:type="spellEnd"/>
      <w:r w:rsidR="008A5994" w:rsidRPr="008A5994">
        <w:rPr>
          <w:rFonts w:ascii="Book Antiqua" w:hAnsi="Book Antiqua"/>
          <w:bCs/>
          <w:color w:val="000000" w:themeColor="text1"/>
          <w:lang w:val="en-US" w:eastAsia="en-US"/>
        </w:rPr>
        <w:t xml:space="preserve"> E</w:t>
      </w:r>
      <w:r w:rsidRPr="008A5994">
        <w:rPr>
          <w:rFonts w:ascii="Book Antiqua" w:hAnsi="Book Antiqua"/>
          <w:color w:val="000000" w:themeColor="text1"/>
          <w:lang w:val="en-US" w:eastAsia="en-US"/>
        </w:rPr>
        <w:t xml:space="preserve">, </w:t>
      </w:r>
      <w:proofErr w:type="spellStart"/>
      <w:r w:rsidRPr="008A5994">
        <w:rPr>
          <w:rFonts w:ascii="Book Antiqua" w:hAnsi="Book Antiqua"/>
          <w:color w:val="000000" w:themeColor="text1"/>
          <w:lang w:val="en-US" w:eastAsia="en-US"/>
        </w:rPr>
        <w:t>Bouguen</w:t>
      </w:r>
      <w:proofErr w:type="spellEnd"/>
      <w:r w:rsidR="008A5994" w:rsidRPr="008A5994">
        <w:rPr>
          <w:rFonts w:ascii="Book Antiqua" w:hAnsi="Book Antiqua"/>
          <w:color w:val="000000" w:themeColor="text1"/>
          <w:lang w:val="en-US" w:eastAsia="en-US"/>
        </w:rPr>
        <w:t xml:space="preserve"> G</w:t>
      </w:r>
      <w:r w:rsidRPr="008A5994">
        <w:rPr>
          <w:rFonts w:ascii="Book Antiqua" w:hAnsi="Book Antiqua"/>
          <w:color w:val="000000" w:themeColor="text1"/>
          <w:lang w:val="en-US" w:eastAsia="en-US"/>
        </w:rPr>
        <w:t>, Goutte</w:t>
      </w:r>
      <w:r w:rsidR="008A5994" w:rsidRPr="008A5994">
        <w:rPr>
          <w:rFonts w:ascii="Book Antiqua" w:hAnsi="Book Antiqua"/>
          <w:color w:val="000000" w:themeColor="text1"/>
          <w:lang w:val="en-US" w:eastAsia="en-US"/>
        </w:rPr>
        <w:t xml:space="preserve"> M</w:t>
      </w:r>
      <w:r w:rsidRPr="008A5994">
        <w:rPr>
          <w:rFonts w:ascii="Book Antiqua" w:hAnsi="Book Antiqua"/>
          <w:color w:val="000000" w:themeColor="text1"/>
          <w:lang w:val="en-US" w:eastAsia="en-US"/>
        </w:rPr>
        <w:t xml:space="preserve">, </w:t>
      </w:r>
      <w:proofErr w:type="spellStart"/>
      <w:r w:rsidRPr="008A5994">
        <w:rPr>
          <w:rFonts w:ascii="Book Antiqua" w:hAnsi="Book Antiqua"/>
          <w:color w:val="000000" w:themeColor="text1"/>
          <w:lang w:val="en-US" w:eastAsia="en-US"/>
        </w:rPr>
        <w:t>Goutorbe</w:t>
      </w:r>
      <w:proofErr w:type="spellEnd"/>
      <w:r w:rsidR="008A5994" w:rsidRPr="008A5994">
        <w:rPr>
          <w:rFonts w:ascii="Book Antiqua" w:hAnsi="Book Antiqua"/>
          <w:color w:val="000000" w:themeColor="text1"/>
          <w:lang w:val="en-US" w:eastAsia="en-US"/>
        </w:rPr>
        <w:t xml:space="preserve"> F</w:t>
      </w:r>
      <w:r w:rsidRPr="008A5994">
        <w:rPr>
          <w:rFonts w:ascii="Book Antiqua" w:hAnsi="Book Antiqua"/>
          <w:color w:val="000000" w:themeColor="text1"/>
          <w:lang w:val="en-US" w:eastAsia="en-US"/>
        </w:rPr>
        <w:t>, Bouvier</w:t>
      </w:r>
      <w:r w:rsidR="008A5994" w:rsidRPr="008A5994">
        <w:rPr>
          <w:rFonts w:ascii="Book Antiqua" w:hAnsi="Book Antiqua"/>
          <w:color w:val="000000" w:themeColor="text1"/>
          <w:lang w:val="en-US" w:eastAsia="en-US"/>
        </w:rPr>
        <w:t xml:space="preserve"> D</w:t>
      </w:r>
      <w:r w:rsidRPr="008A5994">
        <w:rPr>
          <w:rFonts w:ascii="Book Antiqua" w:hAnsi="Book Antiqua"/>
          <w:color w:val="000000" w:themeColor="text1"/>
          <w:lang w:val="en-US" w:eastAsia="en-US"/>
        </w:rPr>
        <w:t>, Pereira</w:t>
      </w:r>
      <w:r w:rsidR="008A5994" w:rsidRPr="008A5994">
        <w:rPr>
          <w:rFonts w:ascii="Book Antiqua" w:hAnsi="Book Antiqua"/>
          <w:color w:val="000000" w:themeColor="text1"/>
          <w:lang w:val="en-US" w:eastAsia="en-US"/>
        </w:rPr>
        <w:t xml:space="preserve"> B</w:t>
      </w:r>
      <w:r w:rsidRPr="008A5994">
        <w:rPr>
          <w:rFonts w:ascii="Book Antiqua" w:hAnsi="Book Antiqua"/>
          <w:color w:val="000000" w:themeColor="text1"/>
          <w:lang w:val="en-US" w:eastAsia="en-US"/>
        </w:rPr>
        <w:t xml:space="preserve">, </w:t>
      </w:r>
      <w:proofErr w:type="spellStart"/>
      <w:r w:rsidRPr="008A5994">
        <w:rPr>
          <w:rFonts w:ascii="Book Antiqua" w:hAnsi="Book Antiqua"/>
          <w:color w:val="000000" w:themeColor="text1"/>
          <w:lang w:val="en-US" w:eastAsia="en-US"/>
        </w:rPr>
        <w:t>Bommelaer</w:t>
      </w:r>
      <w:proofErr w:type="spellEnd"/>
      <w:r w:rsidR="008A5994" w:rsidRPr="008A5994">
        <w:rPr>
          <w:rFonts w:ascii="Book Antiqua" w:hAnsi="Book Antiqua"/>
          <w:color w:val="000000" w:themeColor="text1"/>
          <w:lang w:val="en-US" w:eastAsia="en-US"/>
        </w:rPr>
        <w:t xml:space="preserve"> G and </w:t>
      </w:r>
      <w:r w:rsidRPr="008A5994">
        <w:rPr>
          <w:rFonts w:ascii="Book Antiqua" w:hAnsi="Book Antiqua"/>
          <w:color w:val="000000" w:themeColor="text1"/>
          <w:lang w:val="en-US" w:eastAsia="en-US"/>
        </w:rPr>
        <w:t>Buisson </w:t>
      </w:r>
      <w:r w:rsidR="008A5994" w:rsidRPr="008A5994">
        <w:rPr>
          <w:rFonts w:ascii="Book Antiqua" w:hAnsi="Book Antiqua"/>
          <w:color w:val="000000" w:themeColor="text1"/>
          <w:lang w:val="en-US" w:eastAsia="en-US"/>
        </w:rPr>
        <w:t>A</w:t>
      </w:r>
      <w:r w:rsidR="008A5994" w:rsidRPr="008A5994">
        <w:rPr>
          <w:rFonts w:ascii="Book Antiqua" w:eastAsia="MS Mincho" w:hAnsi="Book Antiqua" w:cs="MS Mincho"/>
          <w:color w:val="000000" w:themeColor="text1"/>
          <w:lang w:val="en-US" w:eastAsia="en-US"/>
        </w:rPr>
        <w:t xml:space="preserve"> contributed to </w:t>
      </w:r>
      <w:r w:rsidRPr="008A5994">
        <w:rPr>
          <w:rFonts w:ascii="Book Antiqua" w:hAnsi="Book Antiqua"/>
          <w:color w:val="000000" w:themeColor="text1"/>
          <w:lang w:val="en-US"/>
        </w:rPr>
        <w:t xml:space="preserve">substantial contribution to acquisition of data; </w:t>
      </w:r>
      <w:proofErr w:type="spellStart"/>
      <w:r w:rsidRPr="008A5994">
        <w:rPr>
          <w:rFonts w:ascii="Book Antiqua" w:hAnsi="Book Antiqua"/>
          <w:bCs/>
          <w:color w:val="000000" w:themeColor="text1"/>
          <w:lang w:val="en-US" w:eastAsia="en-US"/>
        </w:rPr>
        <w:t>Sollelis</w:t>
      </w:r>
      <w:proofErr w:type="spellEnd"/>
      <w:r w:rsidR="008A5994" w:rsidRPr="008A5994">
        <w:rPr>
          <w:rFonts w:ascii="Book Antiqua" w:hAnsi="Book Antiqua"/>
          <w:bCs/>
          <w:color w:val="000000" w:themeColor="text1"/>
          <w:lang w:val="en-US" w:eastAsia="en-US"/>
        </w:rPr>
        <w:t xml:space="preserve"> E</w:t>
      </w:r>
      <w:r w:rsidRPr="008A5994">
        <w:rPr>
          <w:rFonts w:ascii="Book Antiqua" w:hAnsi="Book Antiqua"/>
          <w:color w:val="000000" w:themeColor="text1"/>
          <w:lang w:val="en-US" w:eastAsia="en-US"/>
        </w:rPr>
        <w:t xml:space="preserve">, </w:t>
      </w:r>
      <w:proofErr w:type="spellStart"/>
      <w:r w:rsidRPr="008A5994">
        <w:rPr>
          <w:rFonts w:ascii="Book Antiqua" w:hAnsi="Book Antiqua"/>
          <w:color w:val="000000" w:themeColor="text1"/>
          <w:lang w:val="en-US" w:eastAsia="en-US"/>
        </w:rPr>
        <w:t>Quinard</w:t>
      </w:r>
      <w:proofErr w:type="spellEnd"/>
      <w:r w:rsidR="008A5994" w:rsidRPr="008A5994">
        <w:rPr>
          <w:rFonts w:ascii="Book Antiqua" w:hAnsi="Book Antiqua"/>
          <w:color w:val="000000" w:themeColor="text1"/>
          <w:lang w:val="en-US" w:eastAsia="en-US"/>
        </w:rPr>
        <w:t xml:space="preserve"> RM</w:t>
      </w:r>
      <w:r w:rsidRPr="008A5994">
        <w:rPr>
          <w:rFonts w:ascii="Book Antiqua" w:hAnsi="Book Antiqua"/>
          <w:color w:val="000000" w:themeColor="text1"/>
          <w:lang w:val="en-US" w:eastAsia="en-US"/>
        </w:rPr>
        <w:t xml:space="preserve">, </w:t>
      </w:r>
      <w:proofErr w:type="spellStart"/>
      <w:r w:rsidR="008A5994" w:rsidRPr="008A5994">
        <w:rPr>
          <w:rFonts w:ascii="Book Antiqua" w:hAnsi="Book Antiqua"/>
          <w:color w:val="000000" w:themeColor="text1"/>
          <w:lang w:val="en-US" w:eastAsia="en-US"/>
        </w:rPr>
        <w:t>Bouguen</w:t>
      </w:r>
      <w:proofErr w:type="spellEnd"/>
      <w:r w:rsidR="008A5994" w:rsidRPr="008A5994">
        <w:rPr>
          <w:rFonts w:ascii="Book Antiqua" w:hAnsi="Book Antiqua"/>
          <w:color w:val="000000" w:themeColor="text1"/>
          <w:lang w:val="en-US" w:eastAsia="en-US"/>
        </w:rPr>
        <w:t xml:space="preserve"> G, Goutte M, </w:t>
      </w:r>
      <w:proofErr w:type="spellStart"/>
      <w:r w:rsidR="008A5994" w:rsidRPr="008A5994">
        <w:rPr>
          <w:rFonts w:ascii="Book Antiqua" w:hAnsi="Book Antiqua"/>
          <w:color w:val="000000" w:themeColor="text1"/>
          <w:lang w:val="en-US" w:eastAsia="en-US"/>
        </w:rPr>
        <w:t>Goutorbe</w:t>
      </w:r>
      <w:proofErr w:type="spellEnd"/>
      <w:r w:rsidR="008A5994" w:rsidRPr="008A5994">
        <w:rPr>
          <w:rFonts w:ascii="Book Antiqua" w:hAnsi="Book Antiqua"/>
          <w:color w:val="000000" w:themeColor="text1"/>
          <w:lang w:val="en-US" w:eastAsia="en-US"/>
        </w:rPr>
        <w:t xml:space="preserve"> F, Bouvier D, Pereira B and </w:t>
      </w:r>
      <w:proofErr w:type="spellStart"/>
      <w:r w:rsidR="008A5994" w:rsidRPr="008A5994">
        <w:rPr>
          <w:rFonts w:ascii="Book Antiqua" w:hAnsi="Book Antiqua"/>
          <w:color w:val="000000" w:themeColor="text1"/>
          <w:lang w:val="en-US" w:eastAsia="en-US"/>
        </w:rPr>
        <w:t>Bommelaer</w:t>
      </w:r>
      <w:proofErr w:type="spellEnd"/>
      <w:r w:rsidR="008A5994" w:rsidRPr="008A5994">
        <w:rPr>
          <w:rFonts w:ascii="Book Antiqua" w:hAnsi="Book Antiqua"/>
          <w:color w:val="000000" w:themeColor="text1"/>
          <w:lang w:val="en-US" w:eastAsia="en-US"/>
        </w:rPr>
        <w:t xml:space="preserve"> G</w:t>
      </w:r>
      <w:r w:rsidRPr="008A5994">
        <w:rPr>
          <w:rFonts w:ascii="Book Antiqua" w:eastAsia="MS Mincho" w:hAnsi="Book Antiqua" w:cs="MS Mincho"/>
          <w:color w:val="000000" w:themeColor="text1"/>
          <w:lang w:val="en-US" w:eastAsia="en-US"/>
        </w:rPr>
        <w:t xml:space="preserve"> </w:t>
      </w:r>
      <w:r w:rsidR="008A5994" w:rsidRPr="008A5994">
        <w:rPr>
          <w:rFonts w:ascii="Book Antiqua" w:eastAsia="MS Mincho" w:hAnsi="Book Antiqua" w:cs="MS Mincho"/>
          <w:color w:val="000000" w:themeColor="text1"/>
          <w:lang w:val="en-US" w:eastAsia="en-US"/>
        </w:rPr>
        <w:t xml:space="preserve">contributed to </w:t>
      </w:r>
      <w:r w:rsidRPr="008A5994">
        <w:rPr>
          <w:rFonts w:ascii="Book Antiqua" w:hAnsi="Book Antiqua"/>
          <w:color w:val="000000" w:themeColor="text1"/>
          <w:lang w:val="en-US"/>
        </w:rPr>
        <w:t>critical revision of the manuscript for important intellectual content</w:t>
      </w:r>
      <w:r w:rsidR="008A5994" w:rsidRPr="008A5994">
        <w:rPr>
          <w:rFonts w:ascii="Book Antiqua" w:hAnsi="Book Antiqua"/>
          <w:color w:val="000000" w:themeColor="text1"/>
          <w:lang w:val="en-US"/>
        </w:rPr>
        <w:t xml:space="preserve">; </w:t>
      </w:r>
      <w:proofErr w:type="spellStart"/>
      <w:r w:rsidRPr="008A5994">
        <w:rPr>
          <w:rFonts w:ascii="Book Antiqua" w:hAnsi="Book Antiqua"/>
          <w:bCs/>
          <w:color w:val="000000" w:themeColor="text1"/>
          <w:lang w:val="en-US" w:eastAsia="en-US"/>
        </w:rPr>
        <w:t>Sollelis</w:t>
      </w:r>
      <w:proofErr w:type="spellEnd"/>
      <w:r w:rsidR="008A5994" w:rsidRPr="008A5994">
        <w:rPr>
          <w:rFonts w:ascii="Book Antiqua" w:hAnsi="Book Antiqua"/>
          <w:bCs/>
          <w:color w:val="000000" w:themeColor="text1"/>
          <w:lang w:val="en-US" w:eastAsia="en-US"/>
        </w:rPr>
        <w:t xml:space="preserve"> E</w:t>
      </w:r>
      <w:r w:rsidRPr="008A5994">
        <w:rPr>
          <w:rFonts w:ascii="Book Antiqua" w:hAnsi="Book Antiqua"/>
          <w:color w:val="000000" w:themeColor="text1"/>
          <w:lang w:val="en-US" w:eastAsia="en-US"/>
        </w:rPr>
        <w:t>, Pereira</w:t>
      </w:r>
      <w:r w:rsidR="008A5994" w:rsidRPr="008A5994">
        <w:rPr>
          <w:rFonts w:ascii="Book Antiqua" w:hAnsi="Book Antiqua"/>
          <w:color w:val="000000" w:themeColor="text1"/>
          <w:lang w:val="en-US" w:eastAsia="en-US"/>
        </w:rPr>
        <w:t xml:space="preserve"> B</w:t>
      </w:r>
      <w:r w:rsidRPr="008A5994">
        <w:rPr>
          <w:rFonts w:ascii="Book Antiqua" w:hAnsi="Book Antiqua"/>
          <w:color w:val="000000" w:themeColor="text1"/>
          <w:lang w:val="en-US" w:eastAsia="en-US"/>
        </w:rPr>
        <w:t xml:space="preserve">, </w:t>
      </w:r>
      <w:proofErr w:type="spellStart"/>
      <w:r w:rsidRPr="008A5994">
        <w:rPr>
          <w:rFonts w:ascii="Book Antiqua" w:hAnsi="Book Antiqua"/>
          <w:color w:val="000000" w:themeColor="text1"/>
          <w:lang w:val="en-US" w:eastAsia="en-US"/>
        </w:rPr>
        <w:t>Bommelaer</w:t>
      </w:r>
      <w:proofErr w:type="spellEnd"/>
      <w:r w:rsidR="008A5994" w:rsidRPr="008A5994">
        <w:rPr>
          <w:rFonts w:ascii="Book Antiqua" w:hAnsi="Book Antiqua"/>
          <w:color w:val="000000" w:themeColor="text1"/>
          <w:lang w:val="en-US" w:eastAsia="en-US"/>
        </w:rPr>
        <w:t xml:space="preserve"> G and </w:t>
      </w:r>
      <w:r w:rsidRPr="008A5994">
        <w:rPr>
          <w:rFonts w:ascii="Book Antiqua" w:hAnsi="Book Antiqua"/>
          <w:color w:val="000000" w:themeColor="text1"/>
          <w:lang w:val="en-US" w:eastAsia="en-US"/>
        </w:rPr>
        <w:t>Buisson</w:t>
      </w:r>
      <w:r w:rsidR="008A5994" w:rsidRPr="008A5994">
        <w:rPr>
          <w:rFonts w:ascii="Book Antiqua" w:hAnsi="Book Antiqua"/>
          <w:color w:val="000000" w:themeColor="text1"/>
          <w:lang w:val="en-US" w:eastAsia="en-US"/>
        </w:rPr>
        <w:t xml:space="preserve"> A contributed to </w:t>
      </w:r>
      <w:r w:rsidRPr="008A5994">
        <w:rPr>
          <w:rFonts w:ascii="Book Antiqua" w:hAnsi="Book Antiqua"/>
          <w:color w:val="000000" w:themeColor="text1"/>
          <w:lang w:val="en-US"/>
        </w:rPr>
        <w:t>analysis and interpretation of data</w:t>
      </w:r>
      <w:r w:rsidR="008A5994" w:rsidRPr="008A5994">
        <w:rPr>
          <w:rFonts w:ascii="Book Antiqua" w:hAnsi="Book Antiqua"/>
          <w:color w:val="000000" w:themeColor="text1"/>
          <w:lang w:val="en-US"/>
        </w:rPr>
        <w:t xml:space="preserve">; </w:t>
      </w:r>
      <w:r w:rsidRPr="008A5994">
        <w:rPr>
          <w:rFonts w:ascii="Book Antiqua" w:hAnsi="Book Antiqua"/>
          <w:color w:val="000000" w:themeColor="text1"/>
          <w:lang w:val="en-US" w:eastAsia="en-US"/>
        </w:rPr>
        <w:t>Pereira</w:t>
      </w:r>
      <w:r w:rsidR="008A5994" w:rsidRPr="008A5994">
        <w:rPr>
          <w:rFonts w:ascii="Book Antiqua" w:hAnsi="Book Antiqua"/>
          <w:color w:val="000000" w:themeColor="text1"/>
          <w:lang w:val="en-US" w:eastAsia="en-US"/>
        </w:rPr>
        <w:t xml:space="preserve"> B contributed to </w:t>
      </w:r>
      <w:r w:rsidRPr="008A5994">
        <w:rPr>
          <w:rFonts w:ascii="Book Antiqua" w:eastAsia="MS Mincho" w:hAnsi="Book Antiqua" w:cs="MS Mincho"/>
          <w:color w:val="000000" w:themeColor="text1"/>
          <w:lang w:val="en-US" w:eastAsia="en-US"/>
        </w:rPr>
        <w:t>statistical analysis.</w:t>
      </w:r>
    </w:p>
    <w:p w14:paraId="246E5249" w14:textId="77777777" w:rsidR="008A5994" w:rsidRPr="008A5994" w:rsidRDefault="008A5994" w:rsidP="008A5994">
      <w:pPr>
        <w:adjustRightInd w:val="0"/>
        <w:snapToGrid w:val="0"/>
        <w:spacing w:line="360" w:lineRule="auto"/>
        <w:jc w:val="both"/>
        <w:rPr>
          <w:rFonts w:ascii="Book Antiqua" w:hAnsi="Book Antiqua"/>
          <w:b/>
          <w:color w:val="000000" w:themeColor="text1"/>
          <w:lang w:val="en-US"/>
        </w:rPr>
      </w:pPr>
    </w:p>
    <w:p w14:paraId="0B54CBAB" w14:textId="1FB8AEDF" w:rsidR="00F12797" w:rsidRDefault="00F12797" w:rsidP="008A5994">
      <w:pPr>
        <w:pStyle w:val="NormalWeb"/>
        <w:adjustRightInd w:val="0"/>
        <w:snapToGrid w:val="0"/>
        <w:spacing w:before="0" w:beforeAutospacing="0" w:after="0" w:afterAutospacing="0" w:line="360" w:lineRule="auto"/>
        <w:jc w:val="both"/>
        <w:rPr>
          <w:rFonts w:ascii="Book Antiqua" w:hAnsi="Book Antiqua"/>
          <w:bCs/>
          <w:iCs/>
          <w:color w:val="000000" w:themeColor="text1"/>
          <w:lang w:val="en-US" w:eastAsia="zh-CN"/>
        </w:rPr>
      </w:pPr>
      <w:bookmarkStart w:id="52" w:name="OLE_LINK815"/>
      <w:bookmarkStart w:id="53" w:name="OLE_LINK863"/>
      <w:bookmarkStart w:id="54" w:name="OLE_LINK960"/>
      <w:bookmarkStart w:id="55" w:name="OLE_LINK657"/>
      <w:bookmarkStart w:id="56" w:name="OLE_LINK1104"/>
      <w:bookmarkStart w:id="57" w:name="OLE_LINK667"/>
      <w:bookmarkStart w:id="58" w:name="OLE_LINK668"/>
      <w:bookmarkStart w:id="59" w:name="OLE_LINK458"/>
      <w:bookmarkStart w:id="60" w:name="OLE_LINK459"/>
      <w:bookmarkStart w:id="61" w:name="OLE_LINK586"/>
      <w:bookmarkStart w:id="62" w:name="OLE_LINK606"/>
      <w:bookmarkStart w:id="63" w:name="OLE_LINK1006"/>
      <w:bookmarkStart w:id="64" w:name="OLE_LINK1042"/>
      <w:bookmarkStart w:id="65" w:name="OLE_LINK1066"/>
      <w:r w:rsidRPr="00D91275">
        <w:rPr>
          <w:rFonts w:ascii="Book Antiqua" w:hAnsi="Book Antiqua"/>
          <w:b/>
          <w:bCs/>
          <w:iCs/>
          <w:color w:val="000000" w:themeColor="text1"/>
          <w:lang w:val="en-US" w:eastAsia="zh-CN"/>
        </w:rPr>
        <w:t>Institutional review board statement:</w:t>
      </w:r>
      <w:bookmarkEnd w:id="52"/>
      <w:bookmarkEnd w:id="53"/>
      <w:bookmarkEnd w:id="54"/>
      <w:r w:rsidRPr="008A5994">
        <w:rPr>
          <w:rFonts w:ascii="Book Antiqua" w:hAnsi="Book Antiqua"/>
          <w:bCs/>
          <w:iCs/>
          <w:color w:val="000000" w:themeColor="text1"/>
          <w:lang w:val="en-US" w:eastAsia="zh-CN"/>
        </w:rPr>
        <w:t xml:space="preserve"> </w:t>
      </w:r>
      <w:bookmarkEnd w:id="55"/>
      <w:bookmarkEnd w:id="56"/>
      <w:r w:rsidRPr="008A5994">
        <w:rPr>
          <w:rFonts w:ascii="Book Antiqua" w:hAnsi="Book Antiqua"/>
          <w:bCs/>
          <w:iCs/>
          <w:color w:val="000000" w:themeColor="text1"/>
          <w:lang w:val="en-US" w:eastAsia="zh-CN"/>
        </w:rPr>
        <w:t>The study was approved by local Ethics Committee (#2014/CE 72).</w:t>
      </w:r>
    </w:p>
    <w:p w14:paraId="07AF0937" w14:textId="77777777" w:rsidR="00D91275" w:rsidRPr="008A5994" w:rsidRDefault="00D91275" w:rsidP="008A5994">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p>
    <w:p w14:paraId="4F161BF6" w14:textId="7D187C04" w:rsidR="00F12797" w:rsidRDefault="00F12797" w:rsidP="008A5994">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r w:rsidRPr="00D91275">
        <w:rPr>
          <w:rFonts w:ascii="Book Antiqua" w:hAnsi="Book Antiqua"/>
          <w:b/>
          <w:bCs/>
          <w:iCs/>
          <w:color w:val="000000" w:themeColor="text1"/>
          <w:lang w:val="en-US" w:eastAsia="zh-CN"/>
        </w:rPr>
        <w:t xml:space="preserve">Informed consent statement: </w:t>
      </w:r>
      <w:r w:rsidRPr="008A5994">
        <w:rPr>
          <w:rFonts w:ascii="Book Antiqua" w:hAnsi="Book Antiqua"/>
          <w:bCs/>
          <w:iCs/>
          <w:color w:val="000000" w:themeColor="text1"/>
          <w:lang w:val="en-US" w:eastAsia="zh-CN"/>
        </w:rPr>
        <w:t xml:space="preserve">The study was performed in accordance with the Declaration of Helsinki, Good Clinical Practice and applicable regulatory requirements. </w:t>
      </w:r>
      <w:r w:rsidRPr="008A5994">
        <w:rPr>
          <w:rFonts w:ascii="Book Antiqua" w:hAnsi="Book Antiqua"/>
          <w:color w:val="000000" w:themeColor="text1"/>
          <w:lang w:val="en-US"/>
        </w:rPr>
        <w:t xml:space="preserve">Informed consent was obtained from each </w:t>
      </w:r>
      <w:r w:rsidR="00D91275">
        <w:rPr>
          <w:rFonts w:ascii="Book Antiqua" w:hAnsi="Book Antiqua"/>
          <w:color w:val="000000" w:themeColor="text1"/>
          <w:lang w:val="en-US"/>
        </w:rPr>
        <w:t xml:space="preserve">patient included in the study. </w:t>
      </w:r>
    </w:p>
    <w:p w14:paraId="35D6661F" w14:textId="77777777" w:rsidR="00D91275" w:rsidRPr="008A5994" w:rsidRDefault="00D91275" w:rsidP="008A5994">
      <w:pPr>
        <w:pStyle w:val="NormalWeb"/>
        <w:adjustRightInd w:val="0"/>
        <w:snapToGrid w:val="0"/>
        <w:spacing w:before="0" w:beforeAutospacing="0" w:after="0" w:afterAutospacing="0" w:line="360" w:lineRule="auto"/>
        <w:jc w:val="both"/>
        <w:rPr>
          <w:rFonts w:ascii="Book Antiqua" w:hAnsi="Book Antiqua"/>
          <w:bCs/>
          <w:iCs/>
          <w:color w:val="000000" w:themeColor="text1"/>
          <w:lang w:val="en-US" w:eastAsia="zh-CN"/>
        </w:rPr>
      </w:pPr>
    </w:p>
    <w:p w14:paraId="6F6CD055" w14:textId="482A174B" w:rsidR="00F12797" w:rsidRDefault="00F12797" w:rsidP="008A5994">
      <w:pPr>
        <w:pStyle w:val="1"/>
        <w:adjustRightInd w:val="0"/>
        <w:snapToGrid w:val="0"/>
        <w:spacing w:line="360" w:lineRule="auto"/>
        <w:jc w:val="both"/>
        <w:rPr>
          <w:rFonts w:ascii="Book Antiqua" w:hAnsi="Book Antiqua" w:cs="Times New Roman"/>
          <w:bCs/>
          <w:iCs/>
          <w:color w:val="000000" w:themeColor="text1"/>
          <w:sz w:val="24"/>
          <w:szCs w:val="24"/>
          <w:lang w:val="en-US" w:eastAsia="zh-CN"/>
        </w:rPr>
      </w:pPr>
      <w:r w:rsidRPr="00D91275">
        <w:rPr>
          <w:rFonts w:ascii="Book Antiqua" w:hAnsi="Book Antiqua" w:cs="Times New Roman"/>
          <w:b/>
          <w:bCs/>
          <w:iCs/>
          <w:color w:val="000000" w:themeColor="text1"/>
          <w:sz w:val="24"/>
          <w:szCs w:val="24"/>
          <w:lang w:val="en-US" w:eastAsia="zh-CN"/>
        </w:rPr>
        <w:t xml:space="preserve">Conflict-of-interest statement: </w:t>
      </w:r>
      <w:r w:rsidRPr="008A5994">
        <w:rPr>
          <w:rFonts w:ascii="Book Antiqua" w:hAnsi="Book Antiqua" w:cs="Times New Roman"/>
          <w:bCs/>
          <w:iCs/>
          <w:color w:val="000000" w:themeColor="text1"/>
          <w:sz w:val="24"/>
          <w:szCs w:val="24"/>
          <w:lang w:val="en-US" w:eastAsia="zh-CN"/>
        </w:rPr>
        <w:t xml:space="preserve">Buisson </w:t>
      </w:r>
      <w:r w:rsidR="00D91275">
        <w:rPr>
          <w:rFonts w:ascii="Book Antiqua" w:hAnsi="Book Antiqua" w:cs="Times New Roman"/>
          <w:bCs/>
          <w:iCs/>
          <w:color w:val="000000" w:themeColor="text1"/>
          <w:sz w:val="24"/>
          <w:szCs w:val="24"/>
          <w:lang w:val="en-US" w:eastAsia="zh-CN"/>
        </w:rPr>
        <w:t xml:space="preserve">A </w:t>
      </w:r>
      <w:r w:rsidRPr="008A5994">
        <w:rPr>
          <w:rFonts w:ascii="Book Antiqua" w:hAnsi="Book Antiqua" w:cs="Times New Roman"/>
          <w:bCs/>
          <w:iCs/>
          <w:color w:val="000000" w:themeColor="text1"/>
          <w:sz w:val="24"/>
          <w:szCs w:val="24"/>
          <w:lang w:val="en-US" w:eastAsia="zh-CN"/>
        </w:rPr>
        <w:t xml:space="preserve">declares lecture fees for MSD, </w:t>
      </w:r>
      <w:proofErr w:type="spellStart"/>
      <w:r w:rsidRPr="008A5994">
        <w:rPr>
          <w:rFonts w:ascii="Book Antiqua" w:hAnsi="Book Antiqua" w:cs="Times New Roman"/>
          <w:bCs/>
          <w:iCs/>
          <w:color w:val="000000" w:themeColor="text1"/>
          <w:sz w:val="24"/>
          <w:szCs w:val="24"/>
          <w:lang w:val="en-US" w:eastAsia="zh-CN"/>
        </w:rPr>
        <w:t>Abbvie</w:t>
      </w:r>
      <w:proofErr w:type="spellEnd"/>
      <w:r w:rsidRPr="008A5994">
        <w:rPr>
          <w:rFonts w:ascii="Book Antiqua" w:hAnsi="Book Antiqua" w:cs="Times New Roman"/>
          <w:bCs/>
          <w:iCs/>
          <w:color w:val="000000" w:themeColor="text1"/>
          <w:sz w:val="24"/>
          <w:szCs w:val="24"/>
          <w:lang w:val="en-US" w:eastAsia="zh-CN"/>
        </w:rPr>
        <w:t xml:space="preserve">, Ferring, Takeda, </w:t>
      </w:r>
      <w:proofErr w:type="spellStart"/>
      <w:r w:rsidRPr="008A5994">
        <w:rPr>
          <w:rFonts w:ascii="Book Antiqua" w:hAnsi="Book Antiqua" w:cs="Times New Roman"/>
          <w:bCs/>
          <w:iCs/>
          <w:color w:val="000000" w:themeColor="text1"/>
          <w:sz w:val="24"/>
          <w:szCs w:val="24"/>
          <w:lang w:val="en-US" w:eastAsia="zh-CN"/>
        </w:rPr>
        <w:t>Vifor</w:t>
      </w:r>
      <w:proofErr w:type="spellEnd"/>
      <w:r w:rsidRPr="008A5994">
        <w:rPr>
          <w:rFonts w:ascii="Book Antiqua" w:hAnsi="Book Antiqua" w:cs="Times New Roman"/>
          <w:bCs/>
          <w:iCs/>
          <w:color w:val="000000" w:themeColor="text1"/>
          <w:sz w:val="24"/>
          <w:szCs w:val="24"/>
          <w:lang w:val="en-US" w:eastAsia="zh-CN"/>
        </w:rPr>
        <w:t xml:space="preserve"> Pharma, Hospira and consulting fees for </w:t>
      </w:r>
      <w:proofErr w:type="spellStart"/>
      <w:r w:rsidRPr="008A5994">
        <w:rPr>
          <w:rFonts w:ascii="Book Antiqua" w:hAnsi="Book Antiqua" w:cs="Times New Roman"/>
          <w:bCs/>
          <w:iCs/>
          <w:color w:val="000000" w:themeColor="text1"/>
          <w:sz w:val="24"/>
          <w:szCs w:val="24"/>
          <w:lang w:val="en-US" w:eastAsia="zh-CN"/>
        </w:rPr>
        <w:t>Abbvie</w:t>
      </w:r>
      <w:proofErr w:type="spellEnd"/>
      <w:r w:rsidRPr="008A5994">
        <w:rPr>
          <w:rFonts w:ascii="Book Antiqua" w:hAnsi="Book Antiqua" w:cs="Times New Roman"/>
          <w:bCs/>
          <w:iCs/>
          <w:color w:val="000000" w:themeColor="text1"/>
          <w:sz w:val="24"/>
          <w:szCs w:val="24"/>
          <w:lang w:val="en-US" w:eastAsia="zh-CN"/>
        </w:rPr>
        <w:t xml:space="preserve">, Takeda and Hospira. </w:t>
      </w:r>
      <w:proofErr w:type="spellStart"/>
      <w:r w:rsidRPr="008A5994">
        <w:rPr>
          <w:rFonts w:ascii="Book Antiqua" w:hAnsi="Book Antiqua" w:cs="Times New Roman"/>
          <w:bCs/>
          <w:iCs/>
          <w:color w:val="000000" w:themeColor="text1"/>
          <w:sz w:val="24"/>
          <w:szCs w:val="24"/>
          <w:lang w:val="en-US" w:eastAsia="zh-CN"/>
        </w:rPr>
        <w:t>Bouguen</w:t>
      </w:r>
      <w:proofErr w:type="spellEnd"/>
      <w:r w:rsidRPr="008A5994">
        <w:rPr>
          <w:rFonts w:ascii="Book Antiqua" w:hAnsi="Book Antiqua" w:cs="Times New Roman"/>
          <w:bCs/>
          <w:iCs/>
          <w:color w:val="000000" w:themeColor="text1"/>
          <w:sz w:val="24"/>
          <w:szCs w:val="24"/>
          <w:lang w:val="en-US" w:eastAsia="zh-CN"/>
        </w:rPr>
        <w:t xml:space="preserve"> </w:t>
      </w:r>
      <w:r w:rsidR="00D91275">
        <w:rPr>
          <w:rFonts w:ascii="Book Antiqua" w:hAnsi="Book Antiqua" w:cs="Times New Roman"/>
          <w:bCs/>
          <w:iCs/>
          <w:color w:val="000000" w:themeColor="text1"/>
          <w:sz w:val="24"/>
          <w:szCs w:val="24"/>
          <w:lang w:val="en-US" w:eastAsia="zh-CN"/>
        </w:rPr>
        <w:t xml:space="preserve">G </w:t>
      </w:r>
      <w:r w:rsidRPr="008A5994">
        <w:rPr>
          <w:rFonts w:ascii="Book Antiqua" w:hAnsi="Book Antiqua" w:cs="Times New Roman"/>
          <w:bCs/>
          <w:iCs/>
          <w:color w:val="000000" w:themeColor="text1"/>
          <w:sz w:val="24"/>
          <w:szCs w:val="24"/>
          <w:lang w:val="en-US" w:eastAsia="zh-CN"/>
        </w:rPr>
        <w:t xml:space="preserve">received lecture fees from </w:t>
      </w:r>
      <w:proofErr w:type="spellStart"/>
      <w:r w:rsidRPr="008A5994">
        <w:rPr>
          <w:rFonts w:ascii="Book Antiqua" w:hAnsi="Book Antiqua" w:cs="Times New Roman"/>
          <w:bCs/>
          <w:iCs/>
          <w:color w:val="000000" w:themeColor="text1"/>
          <w:sz w:val="24"/>
          <w:szCs w:val="24"/>
          <w:lang w:val="en-US" w:eastAsia="zh-CN"/>
        </w:rPr>
        <w:t>Abbvie</w:t>
      </w:r>
      <w:proofErr w:type="spellEnd"/>
      <w:r w:rsidRPr="008A5994">
        <w:rPr>
          <w:rFonts w:ascii="Book Antiqua" w:hAnsi="Book Antiqua" w:cs="Times New Roman"/>
          <w:bCs/>
          <w:iCs/>
          <w:color w:val="000000" w:themeColor="text1"/>
          <w:sz w:val="24"/>
          <w:szCs w:val="24"/>
          <w:lang w:val="en-US" w:eastAsia="zh-CN"/>
        </w:rPr>
        <w:t>, Ferring, MSD, Takeda and Pfizer and consulting fees from Takeda and Janssen. The other authors declare no conflict of interest related to this work.</w:t>
      </w:r>
    </w:p>
    <w:p w14:paraId="11CC7C47" w14:textId="77777777" w:rsidR="00D91275" w:rsidRPr="008A5994" w:rsidRDefault="00D91275" w:rsidP="008A5994">
      <w:pPr>
        <w:pStyle w:val="1"/>
        <w:adjustRightInd w:val="0"/>
        <w:snapToGrid w:val="0"/>
        <w:spacing w:line="360" w:lineRule="auto"/>
        <w:jc w:val="both"/>
        <w:rPr>
          <w:rFonts w:ascii="Book Antiqua" w:hAnsi="Book Antiqua" w:cs="Times New Roman"/>
          <w:bCs/>
          <w:iCs/>
          <w:color w:val="000000" w:themeColor="text1"/>
          <w:sz w:val="24"/>
          <w:szCs w:val="24"/>
          <w:lang w:val="en-US" w:eastAsia="zh-CN"/>
        </w:rPr>
      </w:pPr>
    </w:p>
    <w:p w14:paraId="4995BF32" w14:textId="63A8D577" w:rsidR="00AB2771" w:rsidRPr="008A5994" w:rsidRDefault="00F12797" w:rsidP="008A5994">
      <w:pPr>
        <w:pStyle w:val="1"/>
        <w:adjustRightInd w:val="0"/>
        <w:snapToGrid w:val="0"/>
        <w:spacing w:line="360" w:lineRule="auto"/>
        <w:jc w:val="both"/>
        <w:rPr>
          <w:rFonts w:ascii="Book Antiqua" w:hAnsi="Book Antiqua" w:cs="Times New Roman"/>
          <w:bCs/>
          <w:iCs/>
          <w:color w:val="000000" w:themeColor="text1"/>
          <w:sz w:val="24"/>
          <w:szCs w:val="24"/>
          <w:lang w:val="en-US" w:eastAsia="zh-CN"/>
        </w:rPr>
      </w:pPr>
      <w:bookmarkStart w:id="66" w:name="OLE_LINK513"/>
      <w:bookmarkStart w:id="67" w:name="OLE_LINK516"/>
      <w:r w:rsidRPr="00C76165">
        <w:rPr>
          <w:rFonts w:ascii="Book Antiqua" w:hAnsi="Book Antiqua" w:cs="Times New Roman"/>
          <w:b/>
          <w:bCs/>
          <w:iCs/>
          <w:color w:val="000000" w:themeColor="text1"/>
          <w:sz w:val="24"/>
          <w:szCs w:val="24"/>
          <w:lang w:val="en-US" w:eastAsia="zh-CN"/>
        </w:rPr>
        <w:lastRenderedPageBreak/>
        <w:t xml:space="preserve">Data sharing statement: </w:t>
      </w:r>
      <w:bookmarkEnd w:id="66"/>
      <w:bookmarkEnd w:id="67"/>
      <w:r w:rsidRPr="008A5994">
        <w:rPr>
          <w:rFonts w:ascii="Book Antiqua" w:hAnsi="Book Antiqua" w:cs="Times New Roman"/>
          <w:bCs/>
          <w:iCs/>
          <w:color w:val="000000" w:themeColor="text1"/>
          <w:sz w:val="24"/>
          <w:szCs w:val="24"/>
          <w:lang w:val="en-US" w:eastAsia="zh-CN"/>
        </w:rPr>
        <w:t>The original anonymous dataset is available on request from the corresponding author</w:t>
      </w:r>
      <w:r w:rsidRPr="00C76165">
        <w:rPr>
          <w:rFonts w:ascii="Book Antiqua" w:hAnsi="Book Antiqua" w:cs="Times New Roman"/>
          <w:bCs/>
          <w:iCs/>
          <w:color w:val="000000" w:themeColor="text1"/>
          <w:sz w:val="24"/>
          <w:szCs w:val="24"/>
          <w:lang w:val="en-US" w:eastAsia="zh-CN"/>
        </w:rPr>
        <w:t xml:space="preserve"> at </w:t>
      </w:r>
      <w:hyperlink r:id="rId8" w:history="1">
        <w:r w:rsidRPr="00C76165">
          <w:rPr>
            <w:rStyle w:val="Hyperlink"/>
            <w:rFonts w:ascii="Book Antiqua" w:hAnsi="Book Antiqua" w:cs="Times New Roman"/>
            <w:bCs/>
            <w:iCs/>
            <w:color w:val="000000" w:themeColor="text1"/>
            <w:sz w:val="24"/>
            <w:szCs w:val="24"/>
            <w:u w:val="none"/>
            <w:lang w:val="en-US" w:eastAsia="zh-CN"/>
          </w:rPr>
          <w:t>a_buisson@hotmail.fr</w:t>
        </w:r>
      </w:hyperlink>
      <w:r w:rsidRPr="00C76165">
        <w:rPr>
          <w:rFonts w:ascii="Book Antiqua" w:hAnsi="Book Antiqua" w:cs="Times New Roman"/>
          <w:bCs/>
          <w:iCs/>
          <w:color w:val="000000" w:themeColor="text1"/>
          <w:sz w:val="24"/>
          <w:szCs w:val="24"/>
          <w:lang w:val="en-US" w:eastAsia="zh-CN"/>
        </w:rPr>
        <w:t>.</w:t>
      </w:r>
      <w:bookmarkEnd w:id="57"/>
      <w:bookmarkEnd w:id="58"/>
      <w:bookmarkEnd w:id="59"/>
      <w:bookmarkEnd w:id="60"/>
      <w:bookmarkEnd w:id="61"/>
      <w:bookmarkEnd w:id="62"/>
      <w:bookmarkEnd w:id="63"/>
      <w:bookmarkEnd w:id="64"/>
      <w:bookmarkEnd w:id="65"/>
    </w:p>
    <w:p w14:paraId="28F0A6B2" w14:textId="77777777" w:rsidR="00AB2771" w:rsidRDefault="00AB2771" w:rsidP="008A5994">
      <w:pPr>
        <w:adjustRightInd w:val="0"/>
        <w:snapToGrid w:val="0"/>
        <w:spacing w:line="360" w:lineRule="auto"/>
        <w:jc w:val="both"/>
        <w:rPr>
          <w:rFonts w:ascii="Book Antiqua" w:hAnsi="Book Antiqua"/>
          <w:b/>
          <w:color w:val="000000" w:themeColor="text1"/>
          <w:u w:val="single"/>
          <w:lang w:val="en-US"/>
        </w:rPr>
      </w:pPr>
    </w:p>
    <w:p w14:paraId="612E7B50" w14:textId="130468E8" w:rsidR="00C76165" w:rsidRDefault="00C76165" w:rsidP="00C76165">
      <w:pPr>
        <w:adjustRightInd w:val="0"/>
        <w:snapToGrid w:val="0"/>
        <w:spacing w:line="360" w:lineRule="auto"/>
        <w:jc w:val="both"/>
        <w:rPr>
          <w:rFonts w:ascii="Book Antiqua" w:hAnsi="Book Antiqua"/>
          <w:color w:val="000000" w:themeColor="text1"/>
          <w:lang w:val="en-US"/>
        </w:rPr>
      </w:pPr>
      <w:r w:rsidRPr="00C76165">
        <w:rPr>
          <w:rFonts w:ascii="Book Antiqua" w:hAnsi="Book Antiqua"/>
          <w:b/>
          <w:color w:val="000000" w:themeColor="text1"/>
          <w:lang w:val="en-US"/>
        </w:rPr>
        <w:t xml:space="preserve">STROBE statement: </w:t>
      </w:r>
      <w:r>
        <w:rPr>
          <w:rFonts w:ascii="Book Antiqua" w:hAnsi="Book Antiqua"/>
          <w:color w:val="000000" w:themeColor="text1"/>
          <w:lang w:val="en-US"/>
        </w:rPr>
        <w:t>The manuscript was prepared according to the STROBE Checklist.</w:t>
      </w:r>
    </w:p>
    <w:p w14:paraId="77765E16" w14:textId="77777777" w:rsidR="00C76165" w:rsidRDefault="00C76165" w:rsidP="00C76165">
      <w:pPr>
        <w:adjustRightInd w:val="0"/>
        <w:snapToGrid w:val="0"/>
        <w:spacing w:line="360" w:lineRule="auto"/>
        <w:jc w:val="both"/>
        <w:rPr>
          <w:rFonts w:ascii="Book Antiqua" w:hAnsi="Book Antiqua"/>
          <w:color w:val="000000" w:themeColor="text1"/>
          <w:lang w:val="en-US"/>
        </w:rPr>
      </w:pPr>
    </w:p>
    <w:p w14:paraId="1AFE4B45" w14:textId="77777777" w:rsidR="00C76165" w:rsidRPr="00C76165" w:rsidRDefault="00C76165" w:rsidP="00C76165">
      <w:pPr>
        <w:snapToGrid w:val="0"/>
        <w:spacing w:line="360" w:lineRule="auto"/>
        <w:jc w:val="both"/>
        <w:rPr>
          <w:rFonts w:ascii="Book Antiqua" w:eastAsia="SimSun" w:hAnsi="Book Antiqua"/>
          <w:lang w:val="en-US" w:eastAsia="zh-CN"/>
        </w:rPr>
      </w:pPr>
      <w:bookmarkStart w:id="68" w:name="OLE_LINK25"/>
      <w:bookmarkStart w:id="69" w:name="OLE_LINK26"/>
      <w:bookmarkStart w:id="70" w:name="OLE_LINK375"/>
      <w:bookmarkStart w:id="71" w:name="OLE_LINK32"/>
      <w:bookmarkStart w:id="72" w:name="OLE_LINK381"/>
      <w:bookmarkStart w:id="73" w:name="OLE_LINK413"/>
      <w:r w:rsidRPr="00C76165">
        <w:rPr>
          <w:rFonts w:ascii="Book Antiqua" w:eastAsia="SimSun" w:hAnsi="Book Antiqua"/>
          <w:b/>
          <w:color w:val="000000"/>
          <w:lang w:val="en-US" w:eastAsia="zh-CN"/>
        </w:rPr>
        <w:t xml:space="preserve">Open-Access: </w:t>
      </w:r>
      <w:r w:rsidRPr="00C76165">
        <w:rPr>
          <w:rFonts w:ascii="Book Antiqua" w:eastAsia="SimSun" w:hAnsi="Book Antiqua"/>
          <w:color w:val="000000"/>
          <w:lang w:val="en-US" w:eastAsia="zh-CN"/>
        </w:rPr>
        <w:t xml:space="preserve">This is an </w:t>
      </w:r>
      <w:r w:rsidRPr="00C76165">
        <w:rPr>
          <w:rFonts w:ascii="Book Antiqua" w:eastAsia="SimSun" w:hAnsi="Book Antiqua" w:cs="SimSun"/>
          <w:lang w:val="en-US" w:eastAsia="zh-CN"/>
        </w:rPr>
        <w:t xml:space="preserve">open-access article that was </w:t>
      </w:r>
      <w:r w:rsidRPr="00C76165">
        <w:rPr>
          <w:rFonts w:ascii="Book Antiqua" w:eastAsia="SimSun" w:hAnsi="Book Antiqua"/>
          <w:lang w:val="en-US" w:eastAsia="zh-CN"/>
        </w:rPr>
        <w:t xml:space="preserve">selected by an in-house editor and fully peer-reviewed by external reviewers. It is </w:t>
      </w:r>
      <w:r w:rsidRPr="00C76165">
        <w:rPr>
          <w:rFonts w:ascii="Book Antiqua" w:eastAsia="SimSun" w:hAnsi="Book Antiqua" w:cs="SimSun"/>
          <w:lang w:val="en-US" w:eastAsia="zh-CN"/>
        </w:rPr>
        <w:t xml:space="preserve">distributed in accordance with </w:t>
      </w:r>
      <w:r w:rsidRPr="00C76165">
        <w:rPr>
          <w:rFonts w:ascii="Book Antiqua" w:eastAsia="SimSun" w:hAnsi="Book Antiqua"/>
          <w:lang w:val="en-US" w:eastAsia="zh-CN"/>
        </w:rPr>
        <w:t xml:space="preserve">the Creative Commons Attribution </w:t>
      </w:r>
      <w:proofErr w:type="gramStart"/>
      <w:r w:rsidRPr="00C76165">
        <w:rPr>
          <w:rFonts w:ascii="Book Antiqua" w:eastAsia="SimSun" w:hAnsi="Book Antiqua"/>
          <w:lang w:val="en-US" w:eastAsia="zh-CN"/>
        </w:rPr>
        <w:t>Non Commercial</w:t>
      </w:r>
      <w:proofErr w:type="gramEnd"/>
      <w:r w:rsidRPr="00C76165">
        <w:rPr>
          <w:rFonts w:ascii="Book Antiqua" w:eastAsia="SimSun" w:hAnsi="Book Antiqua"/>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76165">
          <w:rPr>
            <w:rFonts w:ascii="Book Antiqua" w:eastAsia="SimSun" w:hAnsi="Book Antiqua"/>
            <w:color w:val="0000FF"/>
            <w:u w:val="single"/>
            <w:lang w:val="en-US" w:eastAsia="zh-CN"/>
          </w:rPr>
          <w:t>http://creativecommons.org/licenses/by-nc/4.0/</w:t>
        </w:r>
      </w:hyperlink>
    </w:p>
    <w:p w14:paraId="289A4B0B" w14:textId="77777777" w:rsidR="00C76165" w:rsidRPr="00C76165" w:rsidRDefault="00C76165" w:rsidP="00C76165">
      <w:pPr>
        <w:snapToGrid w:val="0"/>
        <w:spacing w:line="360" w:lineRule="auto"/>
        <w:jc w:val="both"/>
        <w:rPr>
          <w:rFonts w:ascii="Book Antiqua" w:eastAsia="SimSun" w:hAnsi="Book Antiqua"/>
          <w:lang w:val="en-US" w:eastAsia="zh-CN"/>
        </w:rPr>
      </w:pPr>
    </w:p>
    <w:p w14:paraId="37653452" w14:textId="09195C0D" w:rsidR="00C76165" w:rsidRDefault="00C76165" w:rsidP="00A555A0">
      <w:pPr>
        <w:adjustRightInd w:val="0"/>
        <w:snapToGrid w:val="0"/>
        <w:spacing w:line="360" w:lineRule="auto"/>
        <w:jc w:val="both"/>
        <w:outlineLvl w:val="0"/>
        <w:rPr>
          <w:rFonts w:ascii="Book Antiqua" w:eastAsia="SimSun" w:hAnsi="Book Antiqua"/>
          <w:bCs/>
          <w:lang w:val="en-US" w:eastAsia="zh-CN"/>
        </w:rPr>
      </w:pPr>
      <w:r w:rsidRPr="00C76165">
        <w:rPr>
          <w:rFonts w:ascii="Book Antiqua" w:eastAsia="SimSun" w:hAnsi="Book Antiqua"/>
          <w:b/>
          <w:bCs/>
          <w:highlight w:val="white"/>
          <w:lang w:val="en-US" w:eastAsia="zh-CN"/>
        </w:rPr>
        <w:t>Manuscript source:</w:t>
      </w:r>
      <w:r w:rsidRPr="00C76165">
        <w:rPr>
          <w:rFonts w:ascii="Book Antiqua" w:eastAsia="SimSun" w:hAnsi="Book Antiqua" w:hint="eastAsia"/>
          <w:b/>
          <w:bCs/>
          <w:highlight w:val="white"/>
          <w:lang w:val="en-US" w:eastAsia="zh-CN"/>
        </w:rPr>
        <w:t xml:space="preserve"> </w:t>
      </w:r>
      <w:r>
        <w:rPr>
          <w:rFonts w:ascii="Book Antiqua" w:eastAsia="SimSun" w:hAnsi="Book Antiqua"/>
          <w:bCs/>
          <w:highlight w:val="white"/>
          <w:lang w:val="en-US" w:eastAsia="zh-CN"/>
        </w:rPr>
        <w:t>Inv</w:t>
      </w:r>
      <w:r w:rsidRPr="00C76165">
        <w:rPr>
          <w:rFonts w:ascii="Book Antiqua" w:eastAsia="SimSun" w:hAnsi="Book Antiqua"/>
          <w:bCs/>
          <w:highlight w:val="white"/>
          <w:lang w:val="en-US" w:eastAsia="zh-CN"/>
        </w:rPr>
        <w:t>ited manuscript</w:t>
      </w:r>
      <w:bookmarkEnd w:id="68"/>
      <w:bookmarkEnd w:id="69"/>
      <w:bookmarkEnd w:id="70"/>
      <w:bookmarkEnd w:id="71"/>
      <w:bookmarkEnd w:id="72"/>
      <w:bookmarkEnd w:id="73"/>
    </w:p>
    <w:p w14:paraId="52792FD3" w14:textId="77777777" w:rsidR="00C76165" w:rsidRPr="00C76165" w:rsidRDefault="00C76165" w:rsidP="00C76165">
      <w:pPr>
        <w:adjustRightInd w:val="0"/>
        <w:snapToGrid w:val="0"/>
        <w:spacing w:line="360" w:lineRule="auto"/>
        <w:jc w:val="both"/>
        <w:rPr>
          <w:rFonts w:ascii="Book Antiqua" w:hAnsi="Book Antiqua"/>
          <w:color w:val="000000" w:themeColor="text1"/>
          <w:lang w:val="en-US"/>
        </w:rPr>
      </w:pPr>
    </w:p>
    <w:p w14:paraId="3F34415A" w14:textId="69297CB7" w:rsidR="00C76165" w:rsidRDefault="008707A9" w:rsidP="00C76165">
      <w:pPr>
        <w:adjustRightInd w:val="0"/>
        <w:snapToGrid w:val="0"/>
        <w:spacing w:line="360" w:lineRule="auto"/>
        <w:jc w:val="both"/>
        <w:rPr>
          <w:rFonts w:ascii="Book Antiqua" w:hAnsi="Book Antiqua"/>
          <w:color w:val="000000" w:themeColor="text1"/>
          <w:lang w:val="en-US" w:eastAsia="en-US"/>
        </w:rPr>
      </w:pPr>
      <w:r w:rsidRPr="00C76165">
        <w:rPr>
          <w:rFonts w:ascii="Book Antiqua" w:hAnsi="Book Antiqua"/>
          <w:b/>
          <w:color w:val="000000" w:themeColor="text1"/>
          <w:lang w:val="en-US"/>
        </w:rPr>
        <w:t>Corresponding author:</w:t>
      </w:r>
      <w:r w:rsidR="00C76165">
        <w:rPr>
          <w:rFonts w:ascii="Book Antiqua" w:hAnsi="Book Antiqua"/>
          <w:b/>
          <w:color w:val="000000" w:themeColor="text1"/>
          <w:lang w:val="en-US"/>
        </w:rPr>
        <w:t xml:space="preserve"> </w:t>
      </w:r>
      <w:r w:rsidRPr="00C76165">
        <w:rPr>
          <w:rFonts w:ascii="Book Antiqua" w:hAnsi="Book Antiqua"/>
          <w:b/>
          <w:color w:val="000000" w:themeColor="text1"/>
          <w:lang w:val="en-US" w:eastAsia="en-US"/>
        </w:rPr>
        <w:t>Anthony B</w:t>
      </w:r>
      <w:r w:rsidR="00C76165" w:rsidRPr="00C76165">
        <w:rPr>
          <w:rFonts w:ascii="Book Antiqua" w:hAnsi="Book Antiqua"/>
          <w:b/>
          <w:color w:val="000000" w:themeColor="text1"/>
          <w:lang w:val="en-US" w:eastAsia="en-US"/>
        </w:rPr>
        <w:t>uisson</w:t>
      </w:r>
      <w:r w:rsidRPr="00C76165">
        <w:rPr>
          <w:rFonts w:ascii="Book Antiqua" w:hAnsi="Book Antiqua"/>
          <w:b/>
          <w:color w:val="000000" w:themeColor="text1"/>
          <w:lang w:val="en-US" w:eastAsia="en-US"/>
        </w:rPr>
        <w:t>, MD, PhD</w:t>
      </w:r>
      <w:r w:rsidR="00C76165" w:rsidRPr="00C76165">
        <w:rPr>
          <w:rFonts w:ascii="Book Antiqua" w:hAnsi="Book Antiqua"/>
          <w:b/>
          <w:color w:val="000000" w:themeColor="text1"/>
          <w:lang w:val="en-US" w:eastAsia="en-US"/>
        </w:rPr>
        <w:t xml:space="preserve">, Associate Professor, Senior Lecturer, </w:t>
      </w:r>
      <w:r w:rsidR="00C76165" w:rsidRPr="008A5994">
        <w:rPr>
          <w:rFonts w:ascii="Book Antiqua" w:hAnsi="Book Antiqua"/>
          <w:color w:val="000000" w:themeColor="text1"/>
          <w:lang w:val="en-US" w:eastAsia="en-US"/>
        </w:rPr>
        <w:t>Gastroenterology Department,</w:t>
      </w:r>
      <w:r w:rsidR="00C76165" w:rsidRPr="008A5994">
        <w:rPr>
          <w:rFonts w:ascii="MS Mincho" w:eastAsia="MS Mincho" w:hAnsi="MS Mincho" w:cs="MS Mincho"/>
          <w:color w:val="000000" w:themeColor="text1"/>
          <w:lang w:val="en-US" w:eastAsia="en-US"/>
        </w:rPr>
        <w:t> </w:t>
      </w:r>
      <w:r w:rsidRPr="008A5994">
        <w:rPr>
          <w:rFonts w:ascii="Book Antiqua" w:hAnsi="Book Antiqua"/>
          <w:color w:val="000000" w:themeColor="text1"/>
          <w:lang w:val="en-US" w:eastAsia="en-US"/>
        </w:rPr>
        <w:t xml:space="preserve">University Hospital Estaing, 1 place </w:t>
      </w:r>
      <w:proofErr w:type="spellStart"/>
      <w:r w:rsidRPr="008A5994">
        <w:rPr>
          <w:rFonts w:ascii="Book Antiqua" w:hAnsi="Book Antiqua"/>
          <w:color w:val="000000" w:themeColor="text1"/>
          <w:lang w:val="en-US" w:eastAsia="en-US"/>
        </w:rPr>
        <w:t>Aubrac</w:t>
      </w:r>
      <w:proofErr w:type="spellEnd"/>
      <w:r w:rsidRPr="008A5994">
        <w:rPr>
          <w:rFonts w:ascii="Book Antiqua" w:hAnsi="Book Antiqua"/>
          <w:color w:val="000000" w:themeColor="text1"/>
          <w:lang w:val="en-US" w:eastAsia="en-US"/>
        </w:rPr>
        <w:t>, Clermont-Ferrand</w:t>
      </w:r>
      <w:r w:rsidR="00C76165">
        <w:rPr>
          <w:rFonts w:ascii="Book Antiqua" w:hAnsi="Book Antiqua"/>
          <w:color w:val="000000" w:themeColor="text1"/>
          <w:lang w:val="en-US" w:eastAsia="en-US"/>
        </w:rPr>
        <w:t xml:space="preserve"> F-</w:t>
      </w:r>
      <w:r w:rsidR="00C76165" w:rsidRPr="008A5994">
        <w:rPr>
          <w:rFonts w:ascii="Book Antiqua" w:hAnsi="Book Antiqua"/>
          <w:color w:val="000000" w:themeColor="text1"/>
          <w:lang w:val="en-US" w:eastAsia="en-US"/>
        </w:rPr>
        <w:t>63100</w:t>
      </w:r>
      <w:r w:rsidRPr="008A5994">
        <w:rPr>
          <w:rFonts w:ascii="Book Antiqua" w:hAnsi="Book Antiqua"/>
          <w:color w:val="000000" w:themeColor="text1"/>
          <w:lang w:val="en-US" w:eastAsia="en-US"/>
        </w:rPr>
        <w:t>, France</w:t>
      </w:r>
      <w:r w:rsidR="00C76165">
        <w:rPr>
          <w:rFonts w:ascii="Book Antiqua" w:hAnsi="Book Antiqua"/>
          <w:color w:val="000000" w:themeColor="text1"/>
          <w:lang w:val="en-US" w:eastAsia="en-US"/>
        </w:rPr>
        <w:t>.</w:t>
      </w:r>
      <w:r w:rsidR="00C76165" w:rsidRPr="00C76165">
        <w:rPr>
          <w:rFonts w:ascii="Book Antiqua" w:hAnsi="Book Antiqua"/>
          <w:color w:val="000000" w:themeColor="text1"/>
          <w:lang w:val="en-US" w:eastAsia="en-US"/>
        </w:rPr>
        <w:t xml:space="preserve"> </w:t>
      </w:r>
      <w:r w:rsidR="00C76165" w:rsidRPr="008A5994">
        <w:rPr>
          <w:rFonts w:ascii="Book Antiqua" w:hAnsi="Book Antiqua"/>
          <w:color w:val="000000" w:themeColor="text1"/>
          <w:lang w:val="en-US" w:eastAsia="en-US"/>
        </w:rPr>
        <w:t>a_buisson@hotmail.fr</w:t>
      </w:r>
    </w:p>
    <w:p w14:paraId="21C3B6EC" w14:textId="640677A6" w:rsidR="00C76165" w:rsidRDefault="00C76165" w:rsidP="00C76165">
      <w:pPr>
        <w:adjustRightInd w:val="0"/>
        <w:snapToGrid w:val="0"/>
        <w:spacing w:line="360" w:lineRule="auto"/>
        <w:jc w:val="both"/>
        <w:rPr>
          <w:rFonts w:ascii="Book Antiqua" w:hAnsi="Book Antiqua"/>
          <w:color w:val="000000" w:themeColor="text1"/>
          <w:lang w:val="en-US" w:eastAsia="en-US"/>
        </w:rPr>
      </w:pPr>
      <w:r w:rsidRPr="00C76165">
        <w:rPr>
          <w:rFonts w:ascii="Book Antiqua" w:hAnsi="Book Antiqua"/>
          <w:b/>
          <w:color w:val="000000" w:themeColor="text1"/>
          <w:lang w:val="en-US" w:eastAsia="en-US"/>
        </w:rPr>
        <w:t>Telep</w:t>
      </w:r>
      <w:r w:rsidR="008707A9" w:rsidRPr="00C76165">
        <w:rPr>
          <w:rFonts w:ascii="Book Antiqua" w:hAnsi="Book Antiqua"/>
          <w:b/>
          <w:color w:val="000000" w:themeColor="text1"/>
          <w:lang w:val="en-US" w:eastAsia="en-US"/>
        </w:rPr>
        <w:t>hone:</w:t>
      </w:r>
      <w:r w:rsidR="008707A9" w:rsidRPr="008A5994">
        <w:rPr>
          <w:rFonts w:ascii="Book Antiqua" w:hAnsi="Book Antiqua"/>
          <w:color w:val="000000" w:themeColor="text1"/>
          <w:lang w:val="en-US" w:eastAsia="en-US"/>
        </w:rPr>
        <w:t xml:space="preserve"> +33</w:t>
      </w:r>
      <w:r>
        <w:rPr>
          <w:rFonts w:ascii="Book Antiqua" w:hAnsi="Book Antiqua"/>
          <w:color w:val="000000" w:themeColor="text1"/>
          <w:lang w:val="en-US" w:eastAsia="en-US"/>
        </w:rPr>
        <w:t>-473</w:t>
      </w:r>
      <w:r w:rsidR="003E3FE3">
        <w:rPr>
          <w:rFonts w:ascii="Book Antiqua" w:hAnsi="Book Antiqua"/>
          <w:color w:val="000000" w:themeColor="text1"/>
          <w:lang w:val="en-US" w:eastAsia="en-US"/>
        </w:rPr>
        <w:t>-</w:t>
      </w:r>
      <w:r>
        <w:rPr>
          <w:rFonts w:ascii="Book Antiqua" w:hAnsi="Book Antiqua"/>
          <w:color w:val="000000" w:themeColor="text1"/>
          <w:lang w:val="en-US" w:eastAsia="en-US"/>
        </w:rPr>
        <w:t>750523</w:t>
      </w:r>
    </w:p>
    <w:p w14:paraId="2AA25832" w14:textId="05ABCFB5" w:rsidR="008707A9" w:rsidRDefault="00C76165" w:rsidP="00C76165">
      <w:pPr>
        <w:adjustRightInd w:val="0"/>
        <w:snapToGrid w:val="0"/>
        <w:spacing w:line="360" w:lineRule="auto"/>
        <w:jc w:val="both"/>
        <w:rPr>
          <w:rFonts w:ascii="Book Antiqua" w:hAnsi="Book Antiqua"/>
          <w:color w:val="000000" w:themeColor="text1"/>
          <w:lang w:val="en-US" w:eastAsia="en-US"/>
        </w:rPr>
      </w:pPr>
      <w:r w:rsidRPr="00C76165">
        <w:rPr>
          <w:rFonts w:ascii="Book Antiqua" w:hAnsi="Book Antiqua"/>
          <w:b/>
          <w:color w:val="000000" w:themeColor="text1"/>
          <w:lang w:val="en-US" w:eastAsia="en-US"/>
        </w:rPr>
        <w:t>Fax:</w:t>
      </w:r>
      <w:r w:rsidR="003E3FE3">
        <w:rPr>
          <w:rFonts w:ascii="Book Antiqua" w:hAnsi="Book Antiqua"/>
          <w:color w:val="000000" w:themeColor="text1"/>
          <w:lang w:val="en-US" w:eastAsia="en-US"/>
        </w:rPr>
        <w:t xml:space="preserve"> +33-4</w:t>
      </w:r>
      <w:r>
        <w:rPr>
          <w:rFonts w:ascii="Book Antiqua" w:hAnsi="Book Antiqua"/>
          <w:color w:val="000000" w:themeColor="text1"/>
          <w:lang w:val="en-US" w:eastAsia="en-US"/>
        </w:rPr>
        <w:t>73</w:t>
      </w:r>
      <w:r w:rsidR="003E3FE3">
        <w:rPr>
          <w:rFonts w:ascii="Book Antiqua" w:hAnsi="Book Antiqua"/>
          <w:color w:val="000000" w:themeColor="text1"/>
          <w:lang w:val="en-US" w:eastAsia="en-US"/>
        </w:rPr>
        <w:t>-</w:t>
      </w:r>
      <w:r>
        <w:rPr>
          <w:rFonts w:ascii="Book Antiqua" w:hAnsi="Book Antiqua"/>
          <w:color w:val="000000" w:themeColor="text1"/>
          <w:lang w:val="en-US" w:eastAsia="en-US"/>
        </w:rPr>
        <w:t>750</w:t>
      </w:r>
      <w:r w:rsidR="008707A9" w:rsidRPr="008A5994">
        <w:rPr>
          <w:rFonts w:ascii="Book Antiqua" w:hAnsi="Book Antiqua"/>
          <w:color w:val="000000" w:themeColor="text1"/>
          <w:lang w:val="en-US" w:eastAsia="en-US"/>
        </w:rPr>
        <w:t>524</w:t>
      </w:r>
    </w:p>
    <w:p w14:paraId="2C02E585" w14:textId="77777777" w:rsidR="00C76165" w:rsidRPr="00C76165" w:rsidRDefault="00C76165" w:rsidP="00C76165">
      <w:pPr>
        <w:adjustRightInd w:val="0"/>
        <w:snapToGrid w:val="0"/>
        <w:spacing w:line="360" w:lineRule="auto"/>
        <w:jc w:val="both"/>
        <w:rPr>
          <w:rFonts w:ascii="Book Antiqua" w:hAnsi="Book Antiqua"/>
          <w:color w:val="000000" w:themeColor="text1"/>
          <w:lang w:val="en-US" w:eastAsia="en-US"/>
        </w:rPr>
      </w:pPr>
    </w:p>
    <w:p w14:paraId="6EBC13F9" w14:textId="6ADE16F6" w:rsidR="00C76165" w:rsidRPr="00C76165" w:rsidRDefault="00C76165" w:rsidP="00A555A0">
      <w:pPr>
        <w:adjustRightInd w:val="0"/>
        <w:snapToGrid w:val="0"/>
        <w:spacing w:line="360" w:lineRule="auto"/>
        <w:jc w:val="both"/>
        <w:outlineLvl w:val="0"/>
        <w:rPr>
          <w:rFonts w:ascii="Book Antiqua" w:eastAsia="SimSun" w:hAnsi="Book Antiqua"/>
          <w:b/>
          <w:lang w:val="en-US" w:eastAsia="zh-CN"/>
        </w:rPr>
      </w:pPr>
      <w:bookmarkStart w:id="74" w:name="OLE_LINK14"/>
      <w:bookmarkStart w:id="75" w:name="OLE_LINK16"/>
      <w:bookmarkStart w:id="76" w:name="OLE_LINK51"/>
      <w:bookmarkStart w:id="77" w:name="OLE_LINK27"/>
      <w:bookmarkStart w:id="78" w:name="OLE_LINK382"/>
      <w:bookmarkStart w:id="79" w:name="OLE_LINK30"/>
      <w:bookmarkStart w:id="80" w:name="OLE_LINK376"/>
      <w:bookmarkStart w:id="81" w:name="OLE_LINK35"/>
      <w:r w:rsidRPr="00C76165">
        <w:rPr>
          <w:rFonts w:ascii="Book Antiqua" w:eastAsia="SimSun" w:hAnsi="Book Antiqua"/>
          <w:b/>
          <w:lang w:val="en-US" w:eastAsia="zh-CN"/>
        </w:rPr>
        <w:t xml:space="preserve">Received: </w:t>
      </w:r>
      <w:r w:rsidRPr="00C76165">
        <w:rPr>
          <w:rFonts w:ascii="Book Antiqua" w:eastAsia="SimSun" w:hAnsi="Book Antiqua"/>
          <w:lang w:val="en-US" w:eastAsia="zh-CN"/>
        </w:rPr>
        <w:t>Ma</w:t>
      </w:r>
      <w:r>
        <w:rPr>
          <w:rFonts w:ascii="Book Antiqua" w:eastAsia="SimSun" w:hAnsi="Book Antiqua"/>
          <w:lang w:val="en-US" w:eastAsia="zh-CN"/>
        </w:rPr>
        <w:t>rch</w:t>
      </w:r>
      <w:r>
        <w:rPr>
          <w:rFonts w:ascii="Book Antiqua" w:eastAsia="DengXian" w:hAnsi="Book Antiqua"/>
          <w:lang w:val="en-US" w:eastAsia="zh-CN"/>
        </w:rPr>
        <w:t xml:space="preserve"> 7, 2019</w:t>
      </w:r>
    </w:p>
    <w:p w14:paraId="40571E42" w14:textId="7A6B023E" w:rsidR="00C76165" w:rsidRPr="00C76165" w:rsidRDefault="00C76165" w:rsidP="00A555A0">
      <w:pPr>
        <w:adjustRightInd w:val="0"/>
        <w:snapToGrid w:val="0"/>
        <w:spacing w:line="360" w:lineRule="auto"/>
        <w:jc w:val="both"/>
        <w:outlineLvl w:val="0"/>
        <w:rPr>
          <w:rFonts w:ascii="Book Antiqua" w:eastAsia="DengXian" w:hAnsi="Book Antiqua"/>
          <w:b/>
          <w:lang w:val="en-US" w:eastAsia="zh-CN"/>
        </w:rPr>
      </w:pPr>
      <w:r w:rsidRPr="00C76165">
        <w:rPr>
          <w:rFonts w:ascii="Book Antiqua" w:eastAsia="SimSun" w:hAnsi="Book Antiqua"/>
          <w:b/>
          <w:lang w:val="en-US" w:eastAsia="zh-CN"/>
        </w:rPr>
        <w:t>Peer-review started:</w:t>
      </w:r>
      <w:r w:rsidRPr="00C76165">
        <w:rPr>
          <w:rFonts w:ascii="Book Antiqua" w:eastAsia="DengXian" w:hAnsi="Book Antiqua"/>
          <w:b/>
          <w:lang w:val="en-US" w:eastAsia="zh-CN"/>
        </w:rPr>
        <w:t xml:space="preserve"> </w:t>
      </w:r>
      <w:r w:rsidRPr="00C76165">
        <w:rPr>
          <w:rFonts w:ascii="Book Antiqua" w:eastAsia="SimSun" w:hAnsi="Book Antiqua"/>
          <w:lang w:val="en-US" w:eastAsia="zh-CN"/>
        </w:rPr>
        <w:t>Ma</w:t>
      </w:r>
      <w:r>
        <w:rPr>
          <w:rFonts w:ascii="Book Antiqua" w:eastAsia="SimSun" w:hAnsi="Book Antiqua"/>
          <w:lang w:val="en-US" w:eastAsia="zh-CN"/>
        </w:rPr>
        <w:t>rch</w:t>
      </w:r>
      <w:r>
        <w:rPr>
          <w:rFonts w:ascii="Book Antiqua" w:eastAsia="DengXian" w:hAnsi="Book Antiqua"/>
          <w:lang w:val="en-US" w:eastAsia="zh-CN"/>
        </w:rPr>
        <w:t xml:space="preserve"> 7, 2019</w:t>
      </w:r>
    </w:p>
    <w:p w14:paraId="6930ABE8" w14:textId="5840B543" w:rsidR="00C76165" w:rsidRPr="00C76165" w:rsidRDefault="00C76165" w:rsidP="00A555A0">
      <w:pPr>
        <w:adjustRightInd w:val="0"/>
        <w:snapToGrid w:val="0"/>
        <w:spacing w:line="360" w:lineRule="auto"/>
        <w:jc w:val="both"/>
        <w:outlineLvl w:val="0"/>
        <w:rPr>
          <w:rFonts w:ascii="Book Antiqua" w:eastAsia="DengXian" w:hAnsi="Book Antiqua"/>
          <w:b/>
          <w:lang w:val="en-US" w:eastAsia="zh-CN"/>
        </w:rPr>
      </w:pPr>
      <w:r w:rsidRPr="00C76165">
        <w:rPr>
          <w:rFonts w:ascii="Book Antiqua" w:eastAsia="SimSun" w:hAnsi="Book Antiqua"/>
          <w:b/>
          <w:lang w:val="en-US" w:eastAsia="zh-CN"/>
        </w:rPr>
        <w:t>First decision:</w:t>
      </w:r>
      <w:r w:rsidRPr="00C76165">
        <w:rPr>
          <w:rFonts w:ascii="Book Antiqua" w:eastAsia="DengXian" w:hAnsi="Book Antiqua"/>
          <w:b/>
          <w:lang w:val="en-US" w:eastAsia="zh-CN"/>
        </w:rPr>
        <w:t xml:space="preserve"> </w:t>
      </w:r>
      <w:bookmarkStart w:id="82" w:name="OLE_LINK518"/>
      <w:bookmarkStart w:id="83" w:name="OLE_LINK519"/>
      <w:r>
        <w:rPr>
          <w:rFonts w:ascii="Book Antiqua" w:eastAsia="SimSun" w:hAnsi="Book Antiqua"/>
          <w:lang w:val="en-US" w:eastAsia="zh-CN"/>
        </w:rPr>
        <w:t>April</w:t>
      </w:r>
      <w:r>
        <w:rPr>
          <w:rFonts w:ascii="Book Antiqua" w:eastAsia="DengXian" w:hAnsi="Book Antiqua"/>
          <w:lang w:val="en-US" w:eastAsia="zh-CN"/>
        </w:rPr>
        <w:t xml:space="preserve"> 11</w:t>
      </w:r>
      <w:r w:rsidRPr="00C76165">
        <w:rPr>
          <w:rFonts w:ascii="Book Antiqua" w:eastAsia="DengXian" w:hAnsi="Book Antiqua"/>
          <w:lang w:val="en-US" w:eastAsia="zh-CN"/>
        </w:rPr>
        <w:t>, 201</w:t>
      </w:r>
      <w:r>
        <w:rPr>
          <w:rFonts w:ascii="Book Antiqua" w:eastAsia="DengXian" w:hAnsi="Book Antiqua"/>
          <w:lang w:val="en-US" w:eastAsia="zh-CN"/>
        </w:rPr>
        <w:t>9</w:t>
      </w:r>
      <w:bookmarkEnd w:id="82"/>
      <w:bookmarkEnd w:id="83"/>
    </w:p>
    <w:p w14:paraId="0B3FCCA2" w14:textId="79601AB0" w:rsidR="00C76165" w:rsidRPr="00C76165" w:rsidRDefault="00C76165" w:rsidP="00C76165">
      <w:pPr>
        <w:adjustRightInd w:val="0"/>
        <w:snapToGrid w:val="0"/>
        <w:spacing w:line="360" w:lineRule="auto"/>
        <w:jc w:val="both"/>
        <w:rPr>
          <w:rFonts w:ascii="Book Antiqua" w:eastAsia="SimSun" w:hAnsi="Book Antiqua"/>
          <w:b/>
          <w:lang w:val="en-US" w:eastAsia="zh-CN"/>
        </w:rPr>
      </w:pPr>
      <w:r w:rsidRPr="00C76165">
        <w:rPr>
          <w:rFonts w:ascii="Book Antiqua" w:eastAsia="SimSun" w:hAnsi="Book Antiqua"/>
          <w:b/>
          <w:lang w:val="en-US" w:eastAsia="zh-CN"/>
        </w:rPr>
        <w:t xml:space="preserve">Revised: </w:t>
      </w:r>
      <w:r>
        <w:rPr>
          <w:rFonts w:ascii="Book Antiqua" w:eastAsia="SimSun" w:hAnsi="Book Antiqua"/>
          <w:lang w:val="en-US" w:eastAsia="zh-CN"/>
        </w:rPr>
        <w:t>April</w:t>
      </w:r>
      <w:r>
        <w:rPr>
          <w:rFonts w:ascii="Book Antiqua" w:eastAsia="DengXian" w:hAnsi="Book Antiqua"/>
          <w:lang w:val="en-US" w:eastAsia="zh-CN"/>
        </w:rPr>
        <w:t xml:space="preserve"> 16</w:t>
      </w:r>
      <w:r w:rsidRPr="00C76165">
        <w:rPr>
          <w:rFonts w:ascii="Book Antiqua" w:eastAsia="DengXian" w:hAnsi="Book Antiqua"/>
          <w:lang w:val="en-US" w:eastAsia="zh-CN"/>
        </w:rPr>
        <w:t>, 201</w:t>
      </w:r>
      <w:r>
        <w:rPr>
          <w:rFonts w:ascii="Book Antiqua" w:eastAsia="DengXian" w:hAnsi="Book Antiqua"/>
          <w:lang w:val="en-US" w:eastAsia="zh-CN"/>
        </w:rPr>
        <w:t>9</w:t>
      </w:r>
    </w:p>
    <w:p w14:paraId="299A252A" w14:textId="1688764D" w:rsidR="00C76165" w:rsidRPr="00C76165" w:rsidRDefault="00C76165" w:rsidP="00A555A0">
      <w:pPr>
        <w:adjustRightInd w:val="0"/>
        <w:snapToGrid w:val="0"/>
        <w:spacing w:line="360" w:lineRule="auto"/>
        <w:jc w:val="both"/>
        <w:outlineLvl w:val="0"/>
        <w:rPr>
          <w:rFonts w:ascii="Book Antiqua" w:eastAsia="SimSun" w:hAnsi="Book Antiqua"/>
          <w:b/>
          <w:lang w:val="en-US" w:eastAsia="zh-CN"/>
        </w:rPr>
      </w:pPr>
      <w:r w:rsidRPr="00C76165">
        <w:rPr>
          <w:rFonts w:ascii="Book Antiqua" w:eastAsia="SimSun" w:hAnsi="Book Antiqua"/>
          <w:b/>
          <w:lang w:val="en-US" w:eastAsia="zh-CN"/>
        </w:rPr>
        <w:t>Accepted:</w:t>
      </w:r>
      <w:r w:rsidR="00E11F1F" w:rsidRPr="00E11F1F">
        <w:t xml:space="preserve"> </w:t>
      </w:r>
      <w:r w:rsidR="00E11F1F" w:rsidRPr="00E11F1F">
        <w:rPr>
          <w:rFonts w:ascii="Book Antiqua" w:eastAsia="SimSun" w:hAnsi="Book Antiqua"/>
          <w:lang w:val="en-US" w:eastAsia="zh-CN"/>
        </w:rPr>
        <w:t>April 19, 2019</w:t>
      </w:r>
      <w:r w:rsidRPr="00C76165">
        <w:rPr>
          <w:rFonts w:ascii="Book Antiqua" w:eastAsia="SimSun" w:hAnsi="Book Antiqua"/>
          <w:b/>
          <w:lang w:val="en-US" w:eastAsia="zh-CN"/>
        </w:rPr>
        <w:t xml:space="preserve"> </w:t>
      </w:r>
      <w:bookmarkStart w:id="84" w:name="_GoBack"/>
      <w:bookmarkEnd w:id="84"/>
    </w:p>
    <w:p w14:paraId="19908C95" w14:textId="77777777" w:rsidR="00C76165" w:rsidRPr="00C76165" w:rsidRDefault="00C76165" w:rsidP="00A555A0">
      <w:pPr>
        <w:adjustRightInd w:val="0"/>
        <w:snapToGrid w:val="0"/>
        <w:spacing w:line="360" w:lineRule="auto"/>
        <w:jc w:val="both"/>
        <w:outlineLvl w:val="0"/>
        <w:rPr>
          <w:rFonts w:ascii="Book Antiqua" w:eastAsia="SimSun" w:hAnsi="Book Antiqua"/>
          <w:b/>
          <w:lang w:val="en-US" w:eastAsia="zh-CN"/>
        </w:rPr>
      </w:pPr>
      <w:r w:rsidRPr="00C76165">
        <w:rPr>
          <w:rFonts w:ascii="Book Antiqua" w:eastAsia="SimSun" w:hAnsi="Book Antiqua"/>
          <w:b/>
          <w:lang w:val="en-US" w:eastAsia="zh-CN"/>
        </w:rPr>
        <w:t>Article in press:</w:t>
      </w:r>
    </w:p>
    <w:p w14:paraId="596DFF2D" w14:textId="77777777" w:rsidR="00C76165" w:rsidRPr="00C76165" w:rsidRDefault="00C76165" w:rsidP="00A555A0">
      <w:pPr>
        <w:snapToGrid w:val="0"/>
        <w:spacing w:line="360" w:lineRule="auto"/>
        <w:jc w:val="both"/>
        <w:outlineLvl w:val="0"/>
        <w:rPr>
          <w:rFonts w:ascii="Book Antiqua" w:eastAsia="SimSun" w:hAnsi="Book Antiqua"/>
          <w:color w:val="000000"/>
          <w:lang w:val="en-US" w:eastAsia="zh-CN"/>
        </w:rPr>
      </w:pPr>
      <w:r w:rsidRPr="00C76165">
        <w:rPr>
          <w:rFonts w:ascii="Book Antiqua" w:eastAsia="SimSun" w:hAnsi="Book Antiqua"/>
          <w:b/>
          <w:lang w:val="en-US" w:eastAsia="zh-CN"/>
        </w:rPr>
        <w:t>Published online:</w:t>
      </w:r>
      <w:bookmarkEnd w:id="74"/>
      <w:bookmarkEnd w:id="75"/>
      <w:bookmarkEnd w:id="76"/>
      <w:bookmarkEnd w:id="77"/>
      <w:bookmarkEnd w:id="78"/>
    </w:p>
    <w:bookmarkEnd w:id="79"/>
    <w:bookmarkEnd w:id="80"/>
    <w:bookmarkEnd w:id="81"/>
    <w:p w14:paraId="6850A51F" w14:textId="6BE35363" w:rsidR="008707A9" w:rsidRPr="008A5994" w:rsidRDefault="00C76165" w:rsidP="00C76165">
      <w:pPr>
        <w:adjustRightInd w:val="0"/>
        <w:snapToGrid w:val="0"/>
        <w:spacing w:line="360" w:lineRule="auto"/>
        <w:jc w:val="both"/>
        <w:rPr>
          <w:rFonts w:ascii="Book Antiqua" w:hAnsi="Book Antiqua"/>
          <w:b/>
          <w:color w:val="000000" w:themeColor="text1"/>
          <w:lang w:val="en-US"/>
        </w:rPr>
      </w:pPr>
      <w:r w:rsidRPr="00C76165">
        <w:rPr>
          <w:rFonts w:ascii="Book Antiqua" w:eastAsia="SimSun" w:hAnsi="Book Antiqua"/>
          <w:lang w:val="en-US" w:eastAsia="zh-CN"/>
        </w:rPr>
        <w:br w:type="page"/>
      </w:r>
    </w:p>
    <w:p w14:paraId="78DB8D65" w14:textId="7782B299" w:rsidR="008707A9" w:rsidRPr="008A5994" w:rsidRDefault="008707A9" w:rsidP="00A555A0">
      <w:pPr>
        <w:adjustRightInd w:val="0"/>
        <w:snapToGrid w:val="0"/>
        <w:spacing w:line="360" w:lineRule="auto"/>
        <w:jc w:val="both"/>
        <w:outlineLvl w:val="0"/>
        <w:rPr>
          <w:rFonts w:ascii="Book Antiqua" w:hAnsi="Book Antiqua"/>
          <w:b/>
          <w:color w:val="000000" w:themeColor="text1"/>
          <w:lang w:val="en-US"/>
        </w:rPr>
      </w:pPr>
      <w:r w:rsidRPr="008A5994">
        <w:rPr>
          <w:rFonts w:ascii="Book Antiqua" w:hAnsi="Book Antiqua"/>
          <w:b/>
          <w:color w:val="000000" w:themeColor="text1"/>
          <w:lang w:val="en-US"/>
        </w:rPr>
        <w:lastRenderedPageBreak/>
        <w:t>Abstract</w:t>
      </w:r>
      <w:r w:rsidRPr="008A5994">
        <w:rPr>
          <w:rFonts w:ascii="Book Antiqua" w:hAnsi="Book Antiqua"/>
          <w:color w:val="000000" w:themeColor="text1"/>
          <w:lang w:val="en-US"/>
        </w:rPr>
        <w:t xml:space="preserve"> </w:t>
      </w:r>
    </w:p>
    <w:p w14:paraId="69B93671" w14:textId="77777777" w:rsidR="00C76165" w:rsidRPr="00C76165" w:rsidRDefault="00C332E6" w:rsidP="00A555A0">
      <w:pPr>
        <w:pStyle w:val="NormalWeb"/>
        <w:adjustRightInd w:val="0"/>
        <w:snapToGrid w:val="0"/>
        <w:spacing w:before="0" w:beforeAutospacing="0" w:after="0" w:afterAutospacing="0" w:line="360" w:lineRule="auto"/>
        <w:jc w:val="both"/>
        <w:outlineLvl w:val="0"/>
        <w:rPr>
          <w:rFonts w:ascii="Book Antiqua" w:hAnsi="Book Antiqua"/>
          <w:i/>
          <w:color w:val="000000" w:themeColor="text1"/>
          <w:lang w:val="en-US"/>
        </w:rPr>
      </w:pPr>
      <w:r w:rsidRPr="00C76165">
        <w:rPr>
          <w:rFonts w:ascii="Book Antiqua" w:hAnsi="Book Antiqua"/>
          <w:b/>
          <w:i/>
          <w:color w:val="000000" w:themeColor="text1"/>
          <w:lang w:val="en-US"/>
        </w:rPr>
        <w:t>BACKGROUND</w:t>
      </w:r>
    </w:p>
    <w:p w14:paraId="7CF3E5A5" w14:textId="5B63434E" w:rsidR="003948B5" w:rsidRDefault="003948B5" w:rsidP="008A5994">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r w:rsidRPr="008A5994">
        <w:rPr>
          <w:rFonts w:ascii="Book Antiqua" w:hAnsi="Book Antiqua"/>
          <w:color w:val="000000" w:themeColor="text1"/>
          <w:lang w:val="en-US"/>
        </w:rPr>
        <w:t xml:space="preserve">The individual performances and the complementarity of </w:t>
      </w:r>
      <w:r w:rsidR="00F12797" w:rsidRPr="008A5994">
        <w:rPr>
          <w:rFonts w:ascii="Book Antiqua" w:hAnsi="Book Antiqua"/>
          <w:color w:val="000000" w:themeColor="text1"/>
          <w:lang w:val="en-US"/>
        </w:rPr>
        <w:t>Crohn</w:t>
      </w:r>
      <w:r w:rsidR="00A555A0">
        <w:rPr>
          <w:rFonts w:ascii="Book Antiqua" w:hAnsi="Book Antiqua"/>
          <w:color w:val="000000" w:themeColor="text1"/>
          <w:lang w:val="en-US"/>
        </w:rPr>
        <w:t>’</w:t>
      </w:r>
      <w:r w:rsidR="00F12797" w:rsidRPr="008A5994">
        <w:rPr>
          <w:rFonts w:ascii="Book Antiqua" w:hAnsi="Book Antiqua"/>
          <w:color w:val="000000" w:themeColor="text1"/>
          <w:lang w:val="en-US"/>
        </w:rPr>
        <w:t>s disease</w:t>
      </w:r>
      <w:r w:rsidR="00A555A0">
        <w:rPr>
          <w:rFonts w:ascii="Book Antiqua" w:hAnsi="Book Antiqua"/>
          <w:color w:val="000000" w:themeColor="text1"/>
          <w:lang w:val="en-US"/>
        </w:rPr>
        <w:t xml:space="preserve"> (CD)</w:t>
      </w:r>
      <w:r w:rsidR="00F12797" w:rsidRPr="008A5994">
        <w:rPr>
          <w:rFonts w:ascii="Book Antiqua" w:hAnsi="Book Antiqua"/>
          <w:color w:val="000000" w:themeColor="text1"/>
          <w:lang w:val="en-US"/>
        </w:rPr>
        <w:t xml:space="preserve"> activity index (</w:t>
      </w:r>
      <w:r w:rsidRPr="008A5994">
        <w:rPr>
          <w:rFonts w:ascii="Book Antiqua" w:hAnsi="Book Antiqua"/>
          <w:color w:val="000000" w:themeColor="text1"/>
          <w:lang w:val="en-US"/>
        </w:rPr>
        <w:t>CDAI</w:t>
      </w:r>
      <w:r w:rsidR="00F12797" w:rsidRPr="008A5994">
        <w:rPr>
          <w:rFonts w:ascii="Book Antiqua" w:hAnsi="Book Antiqua"/>
          <w:color w:val="000000" w:themeColor="text1"/>
          <w:lang w:val="en-US"/>
        </w:rPr>
        <w:t>)</w:t>
      </w:r>
      <w:r w:rsidRPr="008A5994">
        <w:rPr>
          <w:rFonts w:ascii="Book Antiqua" w:hAnsi="Book Antiqua"/>
          <w:color w:val="000000" w:themeColor="text1"/>
          <w:lang w:val="en-US"/>
        </w:rPr>
        <w:t xml:space="preserve">, </w:t>
      </w:r>
      <w:r w:rsidR="0080082F" w:rsidRPr="008A5994">
        <w:rPr>
          <w:rFonts w:ascii="Book Antiqua" w:hAnsi="Book Antiqua"/>
          <w:color w:val="000000" w:themeColor="text1"/>
          <w:lang w:val="en-US"/>
        </w:rPr>
        <w:t>C-reactive protein (</w:t>
      </w:r>
      <w:r w:rsidRPr="008A5994">
        <w:rPr>
          <w:rFonts w:ascii="Book Antiqua" w:hAnsi="Book Antiqua"/>
          <w:color w:val="000000" w:themeColor="text1"/>
          <w:lang w:val="en-US"/>
        </w:rPr>
        <w:t>CRP</w:t>
      </w:r>
      <w:r w:rsidR="0080082F" w:rsidRPr="008A5994">
        <w:rPr>
          <w:rFonts w:ascii="Book Antiqua" w:hAnsi="Book Antiqua"/>
          <w:color w:val="000000" w:themeColor="text1"/>
          <w:lang w:val="en-US"/>
        </w:rPr>
        <w:t>)</w:t>
      </w:r>
      <w:r w:rsidRPr="008A5994">
        <w:rPr>
          <w:rFonts w:ascii="Book Antiqua" w:hAnsi="Book Antiqua"/>
          <w:color w:val="000000" w:themeColor="text1"/>
          <w:lang w:val="en-US"/>
        </w:rPr>
        <w:t xml:space="preserve"> and </w:t>
      </w:r>
      <w:proofErr w:type="spellStart"/>
      <w:r w:rsidRPr="008A5994">
        <w:rPr>
          <w:rFonts w:ascii="Book Antiqua" w:hAnsi="Book Antiqua"/>
          <w:color w:val="000000" w:themeColor="text1"/>
          <w:lang w:val="en-US"/>
        </w:rPr>
        <w:t>faecal</w:t>
      </w:r>
      <w:proofErr w:type="spellEnd"/>
      <w:r w:rsidRPr="008A5994">
        <w:rPr>
          <w:rFonts w:ascii="Book Antiqua" w:hAnsi="Book Antiqua"/>
          <w:color w:val="000000" w:themeColor="text1"/>
          <w:lang w:val="en-US"/>
        </w:rPr>
        <w:t xml:space="preserve"> calprotectin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to monitor patients with CD remain poorly investigated in the era of “tight control” and “treat to target” strategies.</w:t>
      </w:r>
    </w:p>
    <w:p w14:paraId="0F3A2FB5" w14:textId="77777777" w:rsidR="0061699B" w:rsidRPr="008A5994" w:rsidRDefault="0061699B" w:rsidP="008A5994">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p>
    <w:p w14:paraId="69EFB195" w14:textId="77777777" w:rsidR="0061699B" w:rsidRPr="0061699B" w:rsidRDefault="00C332E6" w:rsidP="00A555A0">
      <w:pPr>
        <w:widowControl w:val="0"/>
        <w:autoSpaceDE w:val="0"/>
        <w:autoSpaceDN w:val="0"/>
        <w:adjustRightInd w:val="0"/>
        <w:snapToGrid w:val="0"/>
        <w:spacing w:line="360" w:lineRule="auto"/>
        <w:jc w:val="both"/>
        <w:outlineLvl w:val="0"/>
        <w:rPr>
          <w:rFonts w:ascii="Book Antiqua" w:hAnsi="Book Antiqua"/>
          <w:b/>
          <w:i/>
          <w:color w:val="000000" w:themeColor="text1"/>
          <w:lang w:val="en-US"/>
        </w:rPr>
      </w:pPr>
      <w:r w:rsidRPr="0061699B">
        <w:rPr>
          <w:rFonts w:ascii="Book Antiqua" w:hAnsi="Book Antiqua"/>
          <w:b/>
          <w:i/>
          <w:color w:val="000000" w:themeColor="text1"/>
          <w:lang w:val="en-US"/>
        </w:rPr>
        <w:t>AIM</w:t>
      </w:r>
    </w:p>
    <w:p w14:paraId="33BDF82F" w14:textId="3F376766" w:rsidR="003948B5" w:rsidRDefault="003948B5" w:rsidP="008A5994">
      <w:pPr>
        <w:widowControl w:val="0"/>
        <w:autoSpaceDE w:val="0"/>
        <w:autoSpaceDN w:val="0"/>
        <w:adjustRightInd w:val="0"/>
        <w:snapToGrid w:val="0"/>
        <w:spacing w:line="360" w:lineRule="auto"/>
        <w:jc w:val="both"/>
        <w:rPr>
          <w:rFonts w:ascii="Book Antiqua" w:hAnsi="Book Antiqua"/>
          <w:color w:val="000000" w:themeColor="text1"/>
          <w:lang w:val="en-US" w:eastAsia="en-US"/>
        </w:rPr>
      </w:pPr>
      <w:r w:rsidRPr="008A5994">
        <w:rPr>
          <w:rFonts w:ascii="Book Antiqua" w:hAnsi="Book Antiqua"/>
          <w:color w:val="000000" w:themeColor="text1"/>
          <w:lang w:val="en-US" w:eastAsia="en-US"/>
        </w:rPr>
        <w:t>To</w:t>
      </w:r>
      <w:r w:rsidRPr="008A5994">
        <w:rPr>
          <w:rFonts w:ascii="Book Antiqua" w:hAnsi="Book Antiqua"/>
          <w:color w:val="000000" w:themeColor="text1"/>
          <w:lang w:val="en-US"/>
        </w:rPr>
        <w:t xml:space="preserve"> assess CDAI, CRP and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variation, alone or combined, after 12 </w:t>
      </w:r>
      <w:proofErr w:type="spellStart"/>
      <w:r w:rsidRPr="008A5994">
        <w:rPr>
          <w:rFonts w:ascii="Book Antiqua" w:hAnsi="Book Antiqua"/>
          <w:color w:val="000000" w:themeColor="text1"/>
          <w:lang w:val="en-US"/>
        </w:rPr>
        <w:t>w</w:t>
      </w:r>
      <w:r w:rsidR="0061699B">
        <w:rPr>
          <w:rFonts w:ascii="Book Antiqua" w:hAnsi="Book Antiqua"/>
          <w:color w:val="000000" w:themeColor="text1"/>
          <w:lang w:val="en-US"/>
        </w:rPr>
        <w:t>k</w:t>
      </w:r>
      <w:proofErr w:type="spellEnd"/>
      <w:r w:rsidR="00A555A0">
        <w:rPr>
          <w:rFonts w:ascii="Book Antiqua" w:hAnsi="Book Antiqua"/>
          <w:color w:val="000000" w:themeColor="text1"/>
          <w:lang w:val="en-US"/>
        </w:rPr>
        <w:t xml:space="preserve"> (W12) of anti-tumor necrosis factor (</w:t>
      </w:r>
      <w:r w:rsidRPr="008A5994">
        <w:rPr>
          <w:rFonts w:ascii="Book Antiqua" w:hAnsi="Book Antiqua"/>
          <w:color w:val="000000" w:themeColor="text1"/>
          <w:lang w:val="en-US"/>
        </w:rPr>
        <w:t>TNF</w:t>
      </w:r>
      <w:r w:rsidR="00A555A0">
        <w:rPr>
          <w:rFonts w:ascii="Book Antiqua" w:hAnsi="Book Antiqua"/>
          <w:color w:val="000000" w:themeColor="text1"/>
          <w:lang w:val="en-US"/>
        </w:rPr>
        <w:t>)</w:t>
      </w:r>
      <w:r w:rsidRPr="008A5994">
        <w:rPr>
          <w:rFonts w:ascii="Book Antiqua" w:hAnsi="Book Antiqua"/>
          <w:color w:val="000000" w:themeColor="text1"/>
          <w:lang w:val="en-US"/>
        </w:rPr>
        <w:t xml:space="preserve"> therapy to predict corticosteroids-free remission (CFREM</w:t>
      </w:r>
      <w:r w:rsidR="00A555A0">
        <w:rPr>
          <w:rFonts w:ascii="Book Antiqua" w:hAnsi="Book Antiqua"/>
          <w:color w:val="000000" w:themeColor="text1"/>
          <w:lang w:val="en-US"/>
        </w:rPr>
        <w:t xml:space="preserve"> </w:t>
      </w:r>
      <w:r w:rsidRPr="008A5994">
        <w:rPr>
          <w:rFonts w:ascii="Book Antiqua" w:hAnsi="Book Antiqua"/>
          <w:color w:val="000000" w:themeColor="text1"/>
          <w:lang w:val="en-US"/>
        </w:rPr>
        <w:t>= CDAI</w:t>
      </w:r>
      <w:r w:rsidR="00A555A0">
        <w:rPr>
          <w:rFonts w:ascii="Book Antiqua" w:hAnsi="Book Antiqua"/>
          <w:color w:val="000000" w:themeColor="text1"/>
          <w:lang w:val="en-US"/>
        </w:rPr>
        <w:t xml:space="preserve"> </w:t>
      </w:r>
      <w:r w:rsidRPr="008A5994">
        <w:rPr>
          <w:rFonts w:ascii="Book Antiqua" w:hAnsi="Book Antiqua"/>
          <w:color w:val="000000" w:themeColor="text1"/>
          <w:lang w:val="en-US"/>
        </w:rPr>
        <w:t>&lt;</w:t>
      </w:r>
      <w:r w:rsidR="00A555A0">
        <w:rPr>
          <w:rFonts w:ascii="Book Antiqua" w:hAnsi="Book Antiqua"/>
          <w:color w:val="000000" w:themeColor="text1"/>
          <w:lang w:val="en-US"/>
        </w:rPr>
        <w:t xml:space="preserve"> </w:t>
      </w:r>
      <w:r w:rsidRPr="008A5994">
        <w:rPr>
          <w:rFonts w:ascii="Book Antiqua" w:hAnsi="Book Antiqua"/>
          <w:color w:val="000000" w:themeColor="text1"/>
          <w:lang w:val="en-US"/>
        </w:rPr>
        <w:t>150, CRP</w:t>
      </w:r>
      <w:r w:rsidR="00A555A0">
        <w:rPr>
          <w:rFonts w:ascii="Book Antiqua" w:hAnsi="Book Antiqua"/>
          <w:color w:val="000000" w:themeColor="text1"/>
          <w:lang w:val="en-US"/>
        </w:rPr>
        <w:t xml:space="preserve"> </w:t>
      </w:r>
      <w:r w:rsidRPr="008A5994">
        <w:rPr>
          <w:rFonts w:ascii="Book Antiqua" w:hAnsi="Book Antiqua"/>
          <w:color w:val="000000" w:themeColor="text1"/>
          <w:lang w:val="en-US"/>
        </w:rPr>
        <w:t>&lt;</w:t>
      </w:r>
      <w:r w:rsidR="00A555A0">
        <w:rPr>
          <w:rFonts w:ascii="Book Antiqua" w:hAnsi="Book Antiqua"/>
          <w:color w:val="000000" w:themeColor="text1"/>
          <w:lang w:val="en-US"/>
        </w:rPr>
        <w:t xml:space="preserve"> </w:t>
      </w:r>
      <w:r w:rsidRPr="008A5994">
        <w:rPr>
          <w:rFonts w:ascii="Book Antiqua" w:hAnsi="Book Antiqua"/>
          <w:color w:val="000000" w:themeColor="text1"/>
          <w:lang w:val="en-US"/>
        </w:rPr>
        <w:t xml:space="preserve">2.9 mg/L and </w:t>
      </w:r>
      <w:proofErr w:type="spellStart"/>
      <w:r w:rsidRPr="008A5994">
        <w:rPr>
          <w:rFonts w:ascii="Book Antiqua" w:hAnsi="Book Antiqua"/>
          <w:color w:val="000000" w:themeColor="text1"/>
          <w:lang w:val="en-US"/>
        </w:rPr>
        <w:t>Fcal</w:t>
      </w:r>
      <w:proofErr w:type="spellEnd"/>
      <w:r w:rsidR="00A555A0">
        <w:rPr>
          <w:rFonts w:ascii="Book Antiqua" w:hAnsi="Book Antiqua"/>
          <w:color w:val="000000" w:themeColor="text1"/>
          <w:lang w:val="en-US"/>
        </w:rPr>
        <w:t xml:space="preserve"> </w:t>
      </w:r>
      <w:r w:rsidRPr="008A5994">
        <w:rPr>
          <w:rFonts w:ascii="Book Antiqua" w:hAnsi="Book Antiqua"/>
          <w:color w:val="000000" w:themeColor="text1"/>
          <w:lang w:val="en-US"/>
        </w:rPr>
        <w:t>&lt;</w:t>
      </w:r>
      <w:r w:rsidR="00A555A0">
        <w:rPr>
          <w:rFonts w:ascii="Book Antiqua" w:hAnsi="Book Antiqua"/>
          <w:color w:val="000000" w:themeColor="text1"/>
          <w:lang w:val="en-US"/>
        </w:rPr>
        <w:t xml:space="preserve"> </w:t>
      </w:r>
      <w:r w:rsidRPr="008A5994">
        <w:rPr>
          <w:rFonts w:ascii="Book Antiqua" w:hAnsi="Book Antiqua"/>
          <w:color w:val="000000" w:themeColor="text1"/>
          <w:lang w:val="en-US"/>
        </w:rPr>
        <w:t>250</w:t>
      </w:r>
      <w:r w:rsidR="00A555A0">
        <w:rPr>
          <w:rFonts w:ascii="Book Antiqua" w:hAnsi="Book Antiqua"/>
          <w:color w:val="000000" w:themeColor="text1"/>
          <w:lang w:val="en-US"/>
        </w:rPr>
        <w:t xml:space="preserve"> </w:t>
      </w:r>
      <w:proofErr w:type="spellStart"/>
      <w:r w:rsidRPr="008A5994">
        <w:rPr>
          <w:rFonts w:ascii="Book Antiqua" w:hAnsi="Book Antiqua"/>
          <w:color w:val="000000" w:themeColor="text1"/>
          <w:lang w:val="en-US"/>
        </w:rPr>
        <w:t>μg</w:t>
      </w:r>
      <w:proofErr w:type="spellEnd"/>
      <w:r w:rsidRPr="008A5994">
        <w:rPr>
          <w:rFonts w:ascii="Book Antiqua" w:hAnsi="Book Antiqua"/>
          <w:color w:val="000000" w:themeColor="text1"/>
          <w:lang w:val="en-US"/>
        </w:rPr>
        <w:t>/g with no therapeutic intensification and no surgery) at W52</w:t>
      </w:r>
      <w:r w:rsidRPr="008A5994">
        <w:rPr>
          <w:rFonts w:ascii="Book Antiqua" w:hAnsi="Book Antiqua"/>
          <w:color w:val="000000" w:themeColor="text1"/>
          <w:lang w:val="en-US" w:eastAsia="en-US"/>
        </w:rPr>
        <w:t>.</w:t>
      </w:r>
    </w:p>
    <w:p w14:paraId="5A72C48B" w14:textId="77777777" w:rsidR="00A555A0" w:rsidRPr="008A5994" w:rsidRDefault="00A555A0" w:rsidP="008A5994">
      <w:pPr>
        <w:widowControl w:val="0"/>
        <w:autoSpaceDE w:val="0"/>
        <w:autoSpaceDN w:val="0"/>
        <w:adjustRightInd w:val="0"/>
        <w:snapToGrid w:val="0"/>
        <w:spacing w:line="360" w:lineRule="auto"/>
        <w:jc w:val="both"/>
        <w:rPr>
          <w:rFonts w:ascii="Book Antiqua" w:hAnsi="Book Antiqua"/>
          <w:color w:val="000000" w:themeColor="text1"/>
          <w:lang w:val="en-US" w:eastAsia="en-US"/>
        </w:rPr>
      </w:pPr>
    </w:p>
    <w:p w14:paraId="7D7D33AC" w14:textId="77777777" w:rsidR="00A555A0" w:rsidRPr="00A555A0" w:rsidRDefault="00C332E6" w:rsidP="00A555A0">
      <w:pPr>
        <w:pStyle w:val="NormalWeb"/>
        <w:adjustRightInd w:val="0"/>
        <w:snapToGrid w:val="0"/>
        <w:spacing w:before="0" w:beforeAutospacing="0" w:after="0" w:afterAutospacing="0" w:line="360" w:lineRule="auto"/>
        <w:jc w:val="both"/>
        <w:outlineLvl w:val="0"/>
        <w:rPr>
          <w:rFonts w:ascii="Book Antiqua" w:hAnsi="Book Antiqua"/>
          <w:b/>
          <w:i/>
          <w:color w:val="000000" w:themeColor="text1"/>
          <w:lang w:val="en-US"/>
        </w:rPr>
      </w:pPr>
      <w:r w:rsidRPr="00A555A0">
        <w:rPr>
          <w:rFonts w:ascii="Book Antiqua" w:hAnsi="Book Antiqua"/>
          <w:b/>
          <w:i/>
          <w:color w:val="000000" w:themeColor="text1"/>
          <w:lang w:val="en-US"/>
        </w:rPr>
        <w:t>METHODS</w:t>
      </w:r>
    </w:p>
    <w:p w14:paraId="19E6E5B0" w14:textId="6459E94C" w:rsidR="003948B5" w:rsidRDefault="003948B5" w:rsidP="008A5994">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r w:rsidRPr="008A5994">
        <w:rPr>
          <w:rFonts w:ascii="Book Antiqua" w:hAnsi="Book Antiqua"/>
          <w:color w:val="000000" w:themeColor="text1"/>
          <w:lang w:val="en-US"/>
        </w:rPr>
        <w:t>CD adult patients needing anti-TNF therapy with CDAI &gt;</w:t>
      </w:r>
      <w:r w:rsidR="00A555A0">
        <w:rPr>
          <w:rFonts w:ascii="Book Antiqua" w:hAnsi="Book Antiqua"/>
          <w:color w:val="000000" w:themeColor="text1"/>
          <w:lang w:val="en-US"/>
        </w:rPr>
        <w:t xml:space="preserve"> </w:t>
      </w:r>
      <w:r w:rsidRPr="008A5994">
        <w:rPr>
          <w:rFonts w:ascii="Book Antiqua" w:hAnsi="Book Antiqua"/>
          <w:color w:val="000000" w:themeColor="text1"/>
          <w:lang w:val="en-US"/>
        </w:rPr>
        <w:t>150 and either CRP</w:t>
      </w:r>
      <w:r w:rsidR="00A555A0">
        <w:rPr>
          <w:rFonts w:ascii="Book Antiqua" w:hAnsi="Book Antiqua"/>
          <w:color w:val="000000" w:themeColor="text1"/>
          <w:lang w:val="en-US"/>
        </w:rPr>
        <w:t xml:space="preserve"> </w:t>
      </w:r>
      <w:r w:rsidRPr="008A5994">
        <w:rPr>
          <w:rFonts w:ascii="Book Antiqua" w:hAnsi="Book Antiqua"/>
          <w:color w:val="000000" w:themeColor="text1"/>
          <w:lang w:val="en-US"/>
        </w:rPr>
        <w:t>&gt;</w:t>
      </w:r>
      <w:r w:rsidR="00A555A0">
        <w:rPr>
          <w:rFonts w:ascii="Book Antiqua" w:hAnsi="Book Antiqua"/>
          <w:color w:val="000000" w:themeColor="text1"/>
          <w:lang w:val="en-US"/>
        </w:rPr>
        <w:t xml:space="preserve"> </w:t>
      </w:r>
      <w:r w:rsidRPr="008A5994">
        <w:rPr>
          <w:rFonts w:ascii="Book Antiqua" w:hAnsi="Book Antiqua"/>
          <w:color w:val="000000" w:themeColor="text1"/>
          <w:lang w:val="en-US"/>
        </w:rPr>
        <w:t xml:space="preserve">2.9 mg/L or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&gt; 250</w:t>
      </w:r>
      <w:r w:rsidR="00A555A0">
        <w:rPr>
          <w:rFonts w:ascii="Book Antiqua" w:hAnsi="Book Antiqua"/>
          <w:color w:val="000000" w:themeColor="text1"/>
          <w:lang w:val="en-US"/>
        </w:rPr>
        <w:t xml:space="preserve"> </w:t>
      </w:r>
      <w:proofErr w:type="spellStart"/>
      <w:r w:rsidRPr="008A5994">
        <w:rPr>
          <w:rFonts w:ascii="Book Antiqua" w:hAnsi="Book Antiqua"/>
          <w:color w:val="000000" w:themeColor="text1"/>
          <w:lang w:val="en-US"/>
        </w:rPr>
        <w:t>μg</w:t>
      </w:r>
      <w:proofErr w:type="spellEnd"/>
      <w:r w:rsidR="00A555A0">
        <w:rPr>
          <w:rFonts w:ascii="Book Antiqua" w:hAnsi="Book Antiqua"/>
          <w:color w:val="000000" w:themeColor="text1"/>
          <w:lang w:val="en-US"/>
        </w:rPr>
        <w:t>/g were prospectively enrolled.</w:t>
      </w:r>
    </w:p>
    <w:p w14:paraId="1E209DFE" w14:textId="77777777" w:rsidR="00A555A0" w:rsidRPr="008A5994" w:rsidRDefault="00A555A0" w:rsidP="008A5994">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p>
    <w:p w14:paraId="1EB7989B" w14:textId="77777777" w:rsidR="00A555A0" w:rsidRPr="00A555A0" w:rsidRDefault="00C332E6" w:rsidP="00A555A0">
      <w:pPr>
        <w:adjustRightInd w:val="0"/>
        <w:snapToGrid w:val="0"/>
        <w:spacing w:line="360" w:lineRule="auto"/>
        <w:jc w:val="both"/>
        <w:outlineLvl w:val="0"/>
        <w:rPr>
          <w:rFonts w:ascii="Book Antiqua" w:hAnsi="Book Antiqua"/>
          <w:b/>
          <w:i/>
          <w:color w:val="000000" w:themeColor="text1"/>
          <w:lang w:val="en-US"/>
        </w:rPr>
      </w:pPr>
      <w:r w:rsidRPr="00A555A0">
        <w:rPr>
          <w:rFonts w:ascii="Book Antiqua" w:hAnsi="Book Antiqua"/>
          <w:b/>
          <w:i/>
          <w:color w:val="000000" w:themeColor="text1"/>
          <w:lang w:val="en-US"/>
        </w:rPr>
        <w:t>RESULTS</w:t>
      </w:r>
    </w:p>
    <w:p w14:paraId="4A0656C5" w14:textId="7C1F60DD" w:rsidR="003948B5" w:rsidRDefault="003948B5" w:rsidP="008A5994">
      <w:pPr>
        <w:adjustRightInd w:val="0"/>
        <w:snapToGrid w:val="0"/>
        <w:spacing w:line="360" w:lineRule="auto"/>
        <w:jc w:val="both"/>
        <w:rPr>
          <w:rFonts w:ascii="Book Antiqua" w:hAnsi="Book Antiqua"/>
          <w:color w:val="000000" w:themeColor="text1"/>
          <w:lang w:val="en-US"/>
        </w:rPr>
      </w:pPr>
      <w:r w:rsidRPr="008A5994">
        <w:rPr>
          <w:rFonts w:ascii="Book Antiqua" w:hAnsi="Book Antiqua"/>
          <w:color w:val="000000" w:themeColor="text1"/>
          <w:lang w:val="en-US"/>
        </w:rPr>
        <w:t>Among the 40 included patients, 13 patients (32.5</w:t>
      </w:r>
      <w:r w:rsidR="00A555A0">
        <w:rPr>
          <w:rFonts w:ascii="Book Antiqua" w:hAnsi="Book Antiqua"/>
          <w:color w:val="000000" w:themeColor="text1"/>
          <w:lang w:val="en-US"/>
        </w:rPr>
        <w:t>%</w:t>
      </w:r>
      <w:r w:rsidRPr="008A5994">
        <w:rPr>
          <w:rFonts w:ascii="Book Antiqua" w:hAnsi="Book Antiqua"/>
          <w:color w:val="000000" w:themeColor="text1"/>
          <w:lang w:val="en-US"/>
        </w:rPr>
        <w:t>) achieved CFREM at W52. In univariable analysis, CDAI &lt; 150 at W12 (</w:t>
      </w:r>
      <w:r w:rsidR="00A555A0" w:rsidRPr="00A555A0">
        <w:rPr>
          <w:rFonts w:ascii="Book Antiqua" w:hAnsi="Book Antiqua"/>
          <w:i/>
          <w:color w:val="000000" w:themeColor="text1"/>
          <w:lang w:val="en-US"/>
        </w:rPr>
        <w:t>P</w:t>
      </w:r>
      <w:r w:rsidRPr="008A5994">
        <w:rPr>
          <w:rFonts w:ascii="Book Antiqua" w:hAnsi="Book Antiqua"/>
          <w:color w:val="000000" w:themeColor="text1"/>
          <w:lang w:val="en-US"/>
        </w:rPr>
        <w:t xml:space="preserve"> = 0.012), CRP level &lt; 2.9 mg/L at W12 (</w:t>
      </w:r>
      <w:r w:rsidR="00A555A0" w:rsidRPr="00A555A0">
        <w:rPr>
          <w:rFonts w:ascii="Book Antiqua" w:hAnsi="Book Antiqua"/>
          <w:i/>
          <w:color w:val="000000" w:themeColor="text1"/>
          <w:lang w:val="en-US"/>
        </w:rPr>
        <w:t xml:space="preserve">P </w:t>
      </w:r>
      <w:r w:rsidRPr="008A5994">
        <w:rPr>
          <w:rFonts w:ascii="Book Antiqua" w:hAnsi="Book Antiqua"/>
          <w:color w:val="000000" w:themeColor="text1"/>
          <w:lang w:val="en-US"/>
        </w:rPr>
        <w:t xml:space="preserve">= 0.001) and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improvement at W12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&lt; 300 </w:t>
      </w:r>
      <w:proofErr w:type="spellStart"/>
      <w:r w:rsidRPr="008A5994">
        <w:rPr>
          <w:rFonts w:ascii="Book Antiqua" w:hAnsi="Book Antiqua"/>
          <w:color w:val="000000" w:themeColor="text1"/>
          <w:lang w:val="en-US"/>
        </w:rPr>
        <w:t>μg</w:t>
      </w:r>
      <w:proofErr w:type="spellEnd"/>
      <w:r w:rsidRPr="008A5994">
        <w:rPr>
          <w:rFonts w:ascii="Book Antiqua" w:hAnsi="Book Antiqua"/>
          <w:color w:val="000000" w:themeColor="text1"/>
          <w:lang w:val="en-US"/>
        </w:rPr>
        <w:t xml:space="preserve">/g; or, for patients with initial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&lt; 300 </w:t>
      </w:r>
      <w:proofErr w:type="spellStart"/>
      <w:r w:rsidRPr="008A5994">
        <w:rPr>
          <w:rFonts w:ascii="Book Antiqua" w:hAnsi="Book Antiqua"/>
          <w:color w:val="000000" w:themeColor="text1"/>
          <w:lang w:val="en-US"/>
        </w:rPr>
        <w:t>μg</w:t>
      </w:r>
      <w:proofErr w:type="spellEnd"/>
      <w:r w:rsidRPr="008A5994">
        <w:rPr>
          <w:rFonts w:ascii="Book Antiqua" w:hAnsi="Book Antiqua"/>
          <w:color w:val="000000" w:themeColor="text1"/>
          <w:lang w:val="en-US"/>
        </w:rPr>
        <w:t xml:space="preserve">/g, at least 50% decrease of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or normalization of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(&lt;</w:t>
      </w:r>
      <w:r w:rsidR="00A555A0">
        <w:rPr>
          <w:rFonts w:ascii="Book Antiqua" w:hAnsi="Book Antiqua"/>
          <w:color w:val="000000" w:themeColor="text1"/>
          <w:lang w:val="en-US"/>
        </w:rPr>
        <w:t xml:space="preserve"> 100 </w:t>
      </w:r>
      <w:proofErr w:type="spellStart"/>
      <w:r w:rsidR="00A555A0">
        <w:rPr>
          <w:rFonts w:ascii="Book Antiqua" w:hAnsi="Book Antiqua"/>
          <w:color w:val="000000" w:themeColor="text1"/>
          <w:lang w:val="en-US"/>
        </w:rPr>
        <w:t>μg</w:t>
      </w:r>
      <w:proofErr w:type="spellEnd"/>
      <w:r w:rsidR="00A555A0">
        <w:rPr>
          <w:rFonts w:ascii="Book Antiqua" w:hAnsi="Book Antiqua"/>
          <w:color w:val="000000" w:themeColor="text1"/>
          <w:lang w:val="en-US"/>
        </w:rPr>
        <w:t>/g</w:t>
      </w:r>
      <w:r w:rsidRPr="008A5994">
        <w:rPr>
          <w:rFonts w:ascii="Book Antiqua" w:hAnsi="Book Antiqua"/>
          <w:color w:val="000000" w:themeColor="text1"/>
          <w:lang w:val="en-US"/>
        </w:rPr>
        <w:t>) (</w:t>
      </w:r>
      <w:r w:rsidR="00A555A0" w:rsidRPr="00A555A0">
        <w:rPr>
          <w:rFonts w:ascii="Book Antiqua" w:hAnsi="Book Antiqua"/>
          <w:i/>
          <w:color w:val="000000" w:themeColor="text1"/>
          <w:lang w:val="en-US"/>
        </w:rPr>
        <w:t xml:space="preserve">P </w:t>
      </w:r>
      <w:r w:rsidRPr="008A5994">
        <w:rPr>
          <w:rFonts w:ascii="Book Antiqua" w:hAnsi="Book Antiqua"/>
          <w:color w:val="000000" w:themeColor="text1"/>
          <w:lang w:val="en-US"/>
        </w:rPr>
        <w:t>=</w:t>
      </w:r>
      <w:r w:rsidR="00A555A0">
        <w:rPr>
          <w:rFonts w:ascii="Book Antiqua" w:hAnsi="Book Antiqua"/>
          <w:color w:val="000000" w:themeColor="text1"/>
          <w:lang w:val="en-US"/>
        </w:rPr>
        <w:t xml:space="preserve"> </w:t>
      </w:r>
      <w:r w:rsidRPr="008A5994">
        <w:rPr>
          <w:rFonts w:ascii="Book Antiqua" w:hAnsi="Book Antiqua"/>
          <w:color w:val="000000" w:themeColor="text1"/>
          <w:lang w:val="en-US"/>
        </w:rPr>
        <w:t xml:space="preserve">0.001) were predictive of CFREM at W52. Combined endpoint (CDAI &lt; 150 and CRP ≤ 2.9 mg/L and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improvement) at W12 was the best predictor of </w:t>
      </w:r>
      <w:r w:rsidR="00A555A0">
        <w:rPr>
          <w:rFonts w:ascii="Book Antiqua" w:hAnsi="Book Antiqua"/>
          <w:color w:val="000000" w:themeColor="text1"/>
          <w:lang w:val="en-US"/>
        </w:rPr>
        <w:t xml:space="preserve">CFREM at W52 with </w:t>
      </w:r>
      <w:r w:rsidR="00A555A0" w:rsidRPr="00A555A0">
        <w:rPr>
          <w:rFonts w:ascii="Book Antiqua" w:hAnsi="Book Antiqua"/>
          <w:color w:val="000000" w:themeColor="text1"/>
          <w:lang w:val="en-US"/>
        </w:rPr>
        <w:t xml:space="preserve">positive </w:t>
      </w:r>
      <w:r w:rsidR="00A555A0">
        <w:rPr>
          <w:rFonts w:ascii="Book Antiqua" w:hAnsi="Book Antiqua"/>
          <w:color w:val="000000" w:themeColor="text1"/>
          <w:lang w:val="en-US"/>
        </w:rPr>
        <w:t>predictive value</w:t>
      </w:r>
      <w:r w:rsidR="00A555A0" w:rsidRPr="00A555A0">
        <w:rPr>
          <w:rFonts w:ascii="Book Antiqua" w:hAnsi="Book Antiqua"/>
          <w:color w:val="000000" w:themeColor="text1"/>
          <w:lang w:val="en-US"/>
        </w:rPr>
        <w:t xml:space="preserve"> </w:t>
      </w:r>
      <w:r w:rsidR="00A555A0">
        <w:rPr>
          <w:rFonts w:ascii="Book Antiqua" w:hAnsi="Book Antiqua"/>
          <w:color w:val="000000" w:themeColor="text1"/>
          <w:lang w:val="en-US"/>
        </w:rPr>
        <w:t>= 100.0% (100.0-100.0) and negative</w:t>
      </w:r>
      <w:r w:rsidR="00A555A0" w:rsidRPr="00A555A0">
        <w:rPr>
          <w:rFonts w:ascii="Book Antiqua" w:hAnsi="Book Antiqua"/>
          <w:color w:val="000000" w:themeColor="text1"/>
          <w:lang w:val="en-US"/>
        </w:rPr>
        <w:t xml:space="preserve"> </w:t>
      </w:r>
      <w:r w:rsidR="00A555A0">
        <w:rPr>
          <w:rFonts w:ascii="Book Antiqua" w:hAnsi="Book Antiqua"/>
          <w:color w:val="000000" w:themeColor="text1"/>
          <w:lang w:val="en-US"/>
        </w:rPr>
        <w:t>predictive value = 87.1% (75.3-98.9)</w:t>
      </w:r>
      <w:r w:rsidRPr="008A5994">
        <w:rPr>
          <w:rFonts w:ascii="Book Antiqua" w:hAnsi="Book Antiqua"/>
          <w:color w:val="000000" w:themeColor="text1"/>
          <w:lang w:val="en-US"/>
        </w:rPr>
        <w:t>. In multivariable ana</w:t>
      </w:r>
      <w:r w:rsidR="00A555A0">
        <w:rPr>
          <w:rFonts w:ascii="Book Antiqua" w:hAnsi="Book Antiqua"/>
          <w:color w:val="000000" w:themeColor="text1"/>
          <w:lang w:val="en-US"/>
        </w:rPr>
        <w:t xml:space="preserve">lysis, </w:t>
      </w:r>
      <w:proofErr w:type="spellStart"/>
      <w:r w:rsidR="00A555A0">
        <w:rPr>
          <w:rFonts w:ascii="Book Antiqua" w:hAnsi="Book Antiqua"/>
          <w:color w:val="000000" w:themeColor="text1"/>
          <w:lang w:val="en-US"/>
        </w:rPr>
        <w:t>Fcal</w:t>
      </w:r>
      <w:proofErr w:type="spellEnd"/>
      <w:r w:rsidR="00A555A0">
        <w:rPr>
          <w:rFonts w:ascii="Book Antiqua" w:hAnsi="Book Antiqua"/>
          <w:color w:val="000000" w:themeColor="text1"/>
          <w:lang w:val="en-US"/>
        </w:rPr>
        <w:t xml:space="preserve"> improvement at W12 [odd ratio (</w:t>
      </w:r>
      <w:r w:rsidRPr="008A5994">
        <w:rPr>
          <w:rFonts w:ascii="Book Antiqua" w:hAnsi="Book Antiqua"/>
          <w:color w:val="000000" w:themeColor="text1"/>
          <w:lang w:val="en-US"/>
        </w:rPr>
        <w:t>OR</w:t>
      </w:r>
      <w:r w:rsidR="00A555A0">
        <w:rPr>
          <w:rFonts w:ascii="Book Antiqua" w:hAnsi="Book Antiqua"/>
          <w:color w:val="000000" w:themeColor="text1"/>
          <w:lang w:val="en-US"/>
        </w:rPr>
        <w:t xml:space="preserve">) </w:t>
      </w:r>
      <w:r w:rsidRPr="008A5994">
        <w:rPr>
          <w:rFonts w:ascii="Book Antiqua" w:hAnsi="Book Antiqua"/>
          <w:color w:val="000000" w:themeColor="text1"/>
          <w:lang w:val="en-US"/>
        </w:rPr>
        <w:t>=</w:t>
      </w:r>
      <w:r w:rsidR="00A555A0">
        <w:rPr>
          <w:rFonts w:ascii="Book Antiqua" w:hAnsi="Book Antiqua"/>
          <w:color w:val="000000" w:themeColor="text1"/>
          <w:lang w:val="en-US"/>
        </w:rPr>
        <w:t xml:space="preserve"> 45.1 (2.96-687.9)</w:t>
      </w:r>
      <w:r w:rsidRPr="008A5994">
        <w:rPr>
          <w:rFonts w:ascii="Book Antiqua" w:hAnsi="Book Antiqua"/>
          <w:color w:val="000000" w:themeColor="text1"/>
          <w:lang w:val="en-US"/>
        </w:rPr>
        <w:t xml:space="preserve">; </w:t>
      </w:r>
      <w:r w:rsidR="00A555A0" w:rsidRPr="00A555A0">
        <w:rPr>
          <w:rFonts w:ascii="Book Antiqua" w:hAnsi="Book Antiqua"/>
          <w:i/>
          <w:color w:val="000000" w:themeColor="text1"/>
          <w:lang w:val="en-US"/>
        </w:rPr>
        <w:t>P</w:t>
      </w:r>
      <w:r w:rsidR="00A555A0">
        <w:rPr>
          <w:rFonts w:ascii="Book Antiqua" w:hAnsi="Book Antiqua"/>
          <w:color w:val="000000" w:themeColor="text1"/>
          <w:lang w:val="en-US"/>
        </w:rPr>
        <w:t xml:space="preserve"> </w:t>
      </w:r>
      <w:r w:rsidRPr="008A5994">
        <w:rPr>
          <w:rFonts w:ascii="Book Antiqua" w:hAnsi="Book Antiqua"/>
          <w:color w:val="000000" w:themeColor="text1"/>
          <w:lang w:val="en-US"/>
        </w:rPr>
        <w:t>=</w:t>
      </w:r>
      <w:r w:rsidR="00A555A0">
        <w:rPr>
          <w:rFonts w:ascii="Book Antiqua" w:hAnsi="Book Antiqua"/>
          <w:color w:val="000000" w:themeColor="text1"/>
          <w:lang w:val="en-US"/>
        </w:rPr>
        <w:t xml:space="preserve"> 0.03]</w:t>
      </w:r>
      <w:r w:rsidRPr="008A5994">
        <w:rPr>
          <w:rFonts w:ascii="Book Antiqua" w:hAnsi="Book Antiqua"/>
          <w:color w:val="000000" w:themeColor="text1"/>
          <w:lang w:val="en-US"/>
        </w:rPr>
        <w:t xml:space="preserve"> was a better predictor o</w:t>
      </w:r>
      <w:r w:rsidR="00A555A0">
        <w:rPr>
          <w:rFonts w:ascii="Book Antiqua" w:hAnsi="Book Antiqua"/>
          <w:color w:val="000000" w:themeColor="text1"/>
          <w:lang w:val="en-US"/>
        </w:rPr>
        <w:t>f CFREM at W52 than CDAI &lt; 150 [</w:t>
      </w:r>
      <w:r w:rsidRPr="008A5994">
        <w:rPr>
          <w:rFonts w:ascii="Book Antiqua" w:hAnsi="Book Antiqua"/>
          <w:color w:val="000000" w:themeColor="text1"/>
          <w:lang w:val="en-US"/>
        </w:rPr>
        <w:t>OR</w:t>
      </w:r>
      <w:r w:rsidR="00A555A0">
        <w:rPr>
          <w:rFonts w:ascii="Book Antiqua" w:hAnsi="Book Antiqua"/>
          <w:color w:val="000000" w:themeColor="text1"/>
          <w:lang w:val="en-US"/>
        </w:rPr>
        <w:t xml:space="preserve"> </w:t>
      </w:r>
      <w:r w:rsidRPr="008A5994">
        <w:rPr>
          <w:rFonts w:ascii="Book Antiqua" w:hAnsi="Book Antiqua"/>
          <w:color w:val="000000" w:themeColor="text1"/>
          <w:lang w:val="en-US"/>
        </w:rPr>
        <w:t>=</w:t>
      </w:r>
      <w:r w:rsidR="00A555A0">
        <w:rPr>
          <w:rFonts w:ascii="Book Antiqua" w:hAnsi="Book Antiqua"/>
          <w:color w:val="000000" w:themeColor="text1"/>
          <w:lang w:val="en-US"/>
        </w:rPr>
        <w:t xml:space="preserve"> 9.3 (0.36-237.1)</w:t>
      </w:r>
      <w:r w:rsidRPr="008A5994">
        <w:rPr>
          <w:rFonts w:ascii="Book Antiqua" w:hAnsi="Book Antiqua"/>
          <w:color w:val="000000" w:themeColor="text1"/>
          <w:lang w:val="en-US"/>
        </w:rPr>
        <w:t xml:space="preserve">; </w:t>
      </w:r>
      <w:r w:rsidR="00A555A0" w:rsidRPr="00A555A0">
        <w:rPr>
          <w:rFonts w:ascii="Book Antiqua" w:hAnsi="Book Antiqua"/>
          <w:i/>
          <w:color w:val="000000" w:themeColor="text1"/>
          <w:lang w:val="en-US"/>
        </w:rPr>
        <w:t>P</w:t>
      </w:r>
      <w:r w:rsidR="00A555A0">
        <w:rPr>
          <w:rFonts w:ascii="Book Antiqua" w:hAnsi="Book Antiqua"/>
          <w:color w:val="000000" w:themeColor="text1"/>
          <w:lang w:val="en-US"/>
        </w:rPr>
        <w:t xml:space="preserve"> </w:t>
      </w:r>
      <w:r w:rsidRPr="008A5994">
        <w:rPr>
          <w:rFonts w:ascii="Book Antiqua" w:hAnsi="Book Antiqua"/>
          <w:color w:val="000000" w:themeColor="text1"/>
          <w:lang w:val="en-US"/>
        </w:rPr>
        <w:t>=</w:t>
      </w:r>
      <w:r w:rsidR="00A555A0">
        <w:rPr>
          <w:rFonts w:ascii="Book Antiqua" w:hAnsi="Book Antiqua"/>
          <w:color w:val="000000" w:themeColor="text1"/>
          <w:lang w:val="en-US"/>
        </w:rPr>
        <w:t xml:space="preserve"> 0.145]</w:t>
      </w:r>
      <w:r w:rsidRPr="008A5994">
        <w:rPr>
          <w:rFonts w:ascii="Book Antiqua" w:hAnsi="Book Antiqua"/>
          <w:color w:val="000000" w:themeColor="text1"/>
          <w:lang w:val="en-US"/>
        </w:rPr>
        <w:t xml:space="preserve"> and CRP &lt; 2.9 mg/L (0.77-278.0; </w:t>
      </w:r>
      <w:r w:rsidR="00A555A0" w:rsidRPr="00A555A0">
        <w:rPr>
          <w:rFonts w:ascii="Book Antiqua" w:hAnsi="Book Antiqua"/>
          <w:i/>
          <w:color w:val="000000" w:themeColor="text1"/>
          <w:lang w:val="en-US"/>
        </w:rPr>
        <w:t>P</w:t>
      </w:r>
      <w:r w:rsidR="00A555A0">
        <w:rPr>
          <w:rFonts w:ascii="Book Antiqua" w:hAnsi="Book Antiqua"/>
          <w:color w:val="000000" w:themeColor="text1"/>
          <w:lang w:val="en-US"/>
        </w:rPr>
        <w:t xml:space="preserve"> </w:t>
      </w:r>
      <w:r w:rsidRPr="008A5994">
        <w:rPr>
          <w:rFonts w:ascii="Book Antiqua" w:hAnsi="Book Antiqua"/>
          <w:color w:val="000000" w:themeColor="text1"/>
          <w:lang w:val="en-US"/>
        </w:rPr>
        <w:t>=</w:t>
      </w:r>
      <w:r w:rsidR="00A555A0">
        <w:rPr>
          <w:rFonts w:ascii="Book Antiqua" w:hAnsi="Book Antiqua"/>
          <w:color w:val="000000" w:themeColor="text1"/>
          <w:lang w:val="en-US"/>
        </w:rPr>
        <w:t xml:space="preserve"> 0.073).</w:t>
      </w:r>
    </w:p>
    <w:p w14:paraId="6640610E" w14:textId="77777777" w:rsidR="00A555A0" w:rsidRPr="008A5994" w:rsidRDefault="00A555A0" w:rsidP="008A5994">
      <w:pPr>
        <w:adjustRightInd w:val="0"/>
        <w:snapToGrid w:val="0"/>
        <w:spacing w:line="360" w:lineRule="auto"/>
        <w:jc w:val="both"/>
        <w:rPr>
          <w:rFonts w:ascii="Book Antiqua" w:hAnsi="Book Antiqua"/>
          <w:color w:val="000000" w:themeColor="text1"/>
          <w:lang w:val="en-US"/>
        </w:rPr>
      </w:pPr>
    </w:p>
    <w:p w14:paraId="01D3B3A6" w14:textId="77777777" w:rsidR="00A555A0" w:rsidRPr="00A555A0" w:rsidRDefault="00C332E6" w:rsidP="008A5994">
      <w:pPr>
        <w:widowControl w:val="0"/>
        <w:autoSpaceDE w:val="0"/>
        <w:autoSpaceDN w:val="0"/>
        <w:adjustRightInd w:val="0"/>
        <w:snapToGrid w:val="0"/>
        <w:spacing w:line="360" w:lineRule="auto"/>
        <w:jc w:val="both"/>
        <w:rPr>
          <w:rFonts w:ascii="Book Antiqua" w:hAnsi="Book Antiqua"/>
          <w:i/>
          <w:color w:val="000000" w:themeColor="text1"/>
          <w:lang w:val="en-US"/>
        </w:rPr>
      </w:pPr>
      <w:r w:rsidRPr="00A555A0">
        <w:rPr>
          <w:rFonts w:ascii="Book Antiqua" w:hAnsi="Book Antiqua"/>
          <w:b/>
          <w:i/>
          <w:color w:val="000000" w:themeColor="text1"/>
          <w:lang w:val="en-US"/>
        </w:rPr>
        <w:t>CONCLUSION</w:t>
      </w:r>
    </w:p>
    <w:p w14:paraId="3D2A6E8C" w14:textId="319F9EAE" w:rsidR="008707A9" w:rsidRDefault="003948B5" w:rsidP="008A5994">
      <w:pPr>
        <w:widowControl w:val="0"/>
        <w:autoSpaceDE w:val="0"/>
        <w:autoSpaceDN w:val="0"/>
        <w:adjustRightInd w:val="0"/>
        <w:snapToGrid w:val="0"/>
        <w:spacing w:line="360" w:lineRule="auto"/>
        <w:jc w:val="both"/>
        <w:rPr>
          <w:rFonts w:ascii="Book Antiqua" w:hAnsi="Book Antiqua"/>
          <w:color w:val="000000" w:themeColor="text1"/>
          <w:lang w:val="en-US"/>
        </w:rPr>
      </w:pPr>
      <w:r w:rsidRPr="008A5994">
        <w:rPr>
          <w:rFonts w:ascii="Book Antiqua" w:hAnsi="Book Antiqua"/>
          <w:color w:val="000000" w:themeColor="text1"/>
          <w:lang w:val="en-US"/>
        </w:rPr>
        <w:t xml:space="preserve">The combined monitoring of CDAI, CRP and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after anti-TNF induction therapy is </w:t>
      </w:r>
      <w:r w:rsidRPr="008A5994">
        <w:rPr>
          <w:rFonts w:ascii="Book Antiqua" w:hAnsi="Book Antiqua"/>
          <w:color w:val="000000" w:themeColor="text1"/>
          <w:lang w:val="en-US"/>
        </w:rPr>
        <w:lastRenderedPageBreak/>
        <w:t>able to predict favorable outcome within one year in patients with CD.</w:t>
      </w:r>
    </w:p>
    <w:p w14:paraId="115D1C7E" w14:textId="77777777" w:rsidR="00A555A0" w:rsidRPr="008A5994" w:rsidRDefault="00A555A0" w:rsidP="008A5994">
      <w:pPr>
        <w:widowControl w:val="0"/>
        <w:autoSpaceDE w:val="0"/>
        <w:autoSpaceDN w:val="0"/>
        <w:adjustRightInd w:val="0"/>
        <w:snapToGrid w:val="0"/>
        <w:spacing w:line="360" w:lineRule="auto"/>
        <w:jc w:val="both"/>
        <w:rPr>
          <w:rFonts w:ascii="Book Antiqua" w:hAnsi="Book Antiqua"/>
          <w:color w:val="000000" w:themeColor="text1"/>
          <w:lang w:val="en-US" w:eastAsia="en-US"/>
        </w:rPr>
      </w:pPr>
    </w:p>
    <w:p w14:paraId="1FDFC561" w14:textId="07AF3A21" w:rsidR="008707A9" w:rsidRPr="008A5994" w:rsidRDefault="009D2863" w:rsidP="008A5994">
      <w:pPr>
        <w:adjustRightInd w:val="0"/>
        <w:snapToGrid w:val="0"/>
        <w:spacing w:line="360" w:lineRule="auto"/>
        <w:jc w:val="both"/>
        <w:rPr>
          <w:rFonts w:ascii="Book Antiqua" w:hAnsi="Book Antiqua"/>
          <w:color w:val="000000" w:themeColor="text1"/>
          <w:lang w:val="en-US"/>
        </w:rPr>
      </w:pPr>
      <w:r w:rsidRPr="008A5994">
        <w:rPr>
          <w:rFonts w:ascii="Book Antiqua" w:hAnsi="Book Antiqua"/>
          <w:b/>
          <w:color w:val="000000" w:themeColor="text1"/>
          <w:lang w:val="en-US"/>
        </w:rPr>
        <w:t>K</w:t>
      </w:r>
      <w:r w:rsidR="00A555A0" w:rsidRPr="008A5994">
        <w:rPr>
          <w:rFonts w:ascii="Book Antiqua" w:hAnsi="Book Antiqua"/>
          <w:b/>
          <w:color w:val="000000" w:themeColor="text1"/>
          <w:lang w:val="en-US"/>
        </w:rPr>
        <w:t>ey</w:t>
      </w:r>
      <w:r w:rsidR="00A555A0">
        <w:rPr>
          <w:rFonts w:ascii="Book Antiqua" w:hAnsi="Book Antiqua"/>
          <w:b/>
          <w:color w:val="000000" w:themeColor="text1"/>
          <w:lang w:val="en-US"/>
        </w:rPr>
        <w:t xml:space="preserve"> </w:t>
      </w:r>
      <w:r w:rsidR="00A555A0" w:rsidRPr="008A5994">
        <w:rPr>
          <w:rFonts w:ascii="Book Antiqua" w:hAnsi="Book Antiqua"/>
          <w:b/>
          <w:color w:val="000000" w:themeColor="text1"/>
          <w:lang w:val="en-US"/>
        </w:rPr>
        <w:t>words</w:t>
      </w:r>
      <w:r w:rsidRPr="008A5994">
        <w:rPr>
          <w:rFonts w:ascii="Book Antiqua" w:hAnsi="Book Antiqua"/>
          <w:b/>
          <w:color w:val="000000" w:themeColor="text1"/>
          <w:lang w:val="en-US"/>
        </w:rPr>
        <w:t>:</w:t>
      </w:r>
      <w:r w:rsidR="00A555A0">
        <w:rPr>
          <w:rFonts w:ascii="Book Antiqua" w:hAnsi="Book Antiqua"/>
          <w:color w:val="000000" w:themeColor="text1"/>
          <w:lang w:val="en-US"/>
        </w:rPr>
        <w:t xml:space="preserve"> Biomarkers; Crohn’s disease; </w:t>
      </w:r>
      <w:proofErr w:type="spellStart"/>
      <w:r w:rsidR="00A555A0">
        <w:rPr>
          <w:rFonts w:ascii="Book Antiqua" w:hAnsi="Book Antiqua"/>
          <w:color w:val="000000" w:themeColor="text1"/>
          <w:lang w:val="en-US"/>
        </w:rPr>
        <w:t>Faecal</w:t>
      </w:r>
      <w:proofErr w:type="spellEnd"/>
      <w:r w:rsidR="00A555A0">
        <w:rPr>
          <w:rFonts w:ascii="Book Antiqua" w:hAnsi="Book Antiqua"/>
          <w:color w:val="000000" w:themeColor="text1"/>
          <w:lang w:val="en-US"/>
        </w:rPr>
        <w:t xml:space="preserve"> calprotectin;</w:t>
      </w:r>
      <w:r w:rsidR="008707A9" w:rsidRPr="008A5994">
        <w:rPr>
          <w:rFonts w:ascii="Book Antiqua" w:hAnsi="Book Antiqua"/>
          <w:color w:val="000000" w:themeColor="text1"/>
          <w:lang w:val="en-US"/>
        </w:rPr>
        <w:t xml:space="preserve"> </w:t>
      </w:r>
      <w:r w:rsidR="00AE5DFF" w:rsidRPr="008A5994">
        <w:rPr>
          <w:rFonts w:ascii="Book Antiqua" w:hAnsi="Book Antiqua"/>
          <w:color w:val="000000" w:themeColor="text1"/>
          <w:lang w:val="en-US"/>
        </w:rPr>
        <w:t>C</w:t>
      </w:r>
      <w:r w:rsidR="00A555A0">
        <w:rPr>
          <w:rFonts w:ascii="Book Antiqua" w:hAnsi="Book Antiqua"/>
          <w:color w:val="000000" w:themeColor="text1"/>
          <w:lang w:val="en-US"/>
        </w:rPr>
        <w:t>rohn’s disease activity index;</w:t>
      </w:r>
      <w:r w:rsidR="0080082F" w:rsidRPr="008A5994">
        <w:rPr>
          <w:rFonts w:ascii="Book Antiqua" w:hAnsi="Book Antiqua"/>
          <w:color w:val="000000" w:themeColor="text1"/>
          <w:lang w:val="en-US"/>
        </w:rPr>
        <w:t xml:space="preserve"> C-reactive protein</w:t>
      </w:r>
      <w:r w:rsidR="00A555A0">
        <w:rPr>
          <w:rFonts w:ascii="Book Antiqua" w:hAnsi="Book Antiqua"/>
          <w:color w:val="000000" w:themeColor="text1"/>
          <w:lang w:val="en-US"/>
        </w:rPr>
        <w:t>;</w:t>
      </w:r>
      <w:r w:rsidR="00AE5DFF" w:rsidRPr="008A5994">
        <w:rPr>
          <w:rFonts w:ascii="Book Antiqua" w:hAnsi="Book Antiqua"/>
          <w:color w:val="000000" w:themeColor="text1"/>
          <w:lang w:val="en-US"/>
        </w:rPr>
        <w:t xml:space="preserve"> </w:t>
      </w:r>
      <w:r w:rsidR="00A555A0">
        <w:rPr>
          <w:rFonts w:ascii="Book Antiqua" w:hAnsi="Book Antiqua"/>
          <w:color w:val="000000" w:themeColor="text1"/>
          <w:lang w:val="en-US"/>
        </w:rPr>
        <w:t>T</w:t>
      </w:r>
      <w:r w:rsidR="008707A9" w:rsidRPr="008A5994">
        <w:rPr>
          <w:rFonts w:ascii="Book Antiqua" w:hAnsi="Book Antiqua"/>
          <w:color w:val="000000" w:themeColor="text1"/>
          <w:lang w:val="en-US"/>
        </w:rPr>
        <w:t>ight control</w:t>
      </w:r>
      <w:r w:rsidR="00A555A0">
        <w:rPr>
          <w:rFonts w:ascii="Book Antiqua" w:hAnsi="Book Antiqua"/>
          <w:color w:val="000000" w:themeColor="text1"/>
          <w:lang w:val="en-US"/>
        </w:rPr>
        <w:t>; A</w:t>
      </w:r>
      <w:r w:rsidR="00AE5DFF" w:rsidRPr="008A5994">
        <w:rPr>
          <w:rFonts w:ascii="Book Antiqua" w:hAnsi="Book Antiqua"/>
          <w:color w:val="000000" w:themeColor="text1"/>
          <w:lang w:val="en-US"/>
        </w:rPr>
        <w:t>nti-</w:t>
      </w:r>
      <w:r w:rsidR="00A555A0">
        <w:rPr>
          <w:rFonts w:ascii="Book Antiqua" w:hAnsi="Book Antiqua"/>
          <w:color w:val="000000" w:themeColor="text1"/>
          <w:lang w:val="en-US"/>
        </w:rPr>
        <w:t>tumor necrosis factor</w:t>
      </w:r>
    </w:p>
    <w:p w14:paraId="4CCDDD95" w14:textId="77777777" w:rsidR="009D2863" w:rsidRPr="008A5994" w:rsidRDefault="009D2863" w:rsidP="008A5994">
      <w:pPr>
        <w:adjustRightInd w:val="0"/>
        <w:snapToGrid w:val="0"/>
        <w:spacing w:line="360" w:lineRule="auto"/>
        <w:jc w:val="both"/>
        <w:rPr>
          <w:rFonts w:ascii="Book Antiqua" w:hAnsi="Book Antiqua"/>
          <w:color w:val="000000" w:themeColor="text1"/>
          <w:lang w:val="en-US"/>
        </w:rPr>
      </w:pPr>
    </w:p>
    <w:p w14:paraId="5BB9A5A3" w14:textId="471D2A8F" w:rsidR="00247BE7" w:rsidRPr="008A5994" w:rsidRDefault="00A555A0" w:rsidP="008A5994">
      <w:pPr>
        <w:adjustRightInd w:val="0"/>
        <w:snapToGrid w:val="0"/>
        <w:spacing w:line="360" w:lineRule="auto"/>
        <w:jc w:val="both"/>
        <w:rPr>
          <w:rFonts w:ascii="Book Antiqua" w:hAnsi="Book Antiqua"/>
          <w:b/>
          <w:color w:val="000000" w:themeColor="text1"/>
          <w:lang w:val="en-US"/>
        </w:rPr>
      </w:pPr>
      <w:bookmarkStart w:id="85" w:name="OLE_LINK43"/>
      <w:bookmarkStart w:id="86" w:name="OLE_LINK44"/>
      <w:r w:rsidRPr="00A555A0">
        <w:rPr>
          <w:rFonts w:ascii="Book Antiqua" w:eastAsia="SimSun" w:hAnsi="Book Antiqua"/>
          <w:b/>
          <w:lang w:val="en-US" w:eastAsia="zh-CN"/>
        </w:rPr>
        <w:t>© The Author(s) 201</w:t>
      </w:r>
      <w:r w:rsidRPr="00A555A0">
        <w:rPr>
          <w:rFonts w:ascii="Book Antiqua" w:eastAsia="SimSun" w:hAnsi="Book Antiqua" w:hint="eastAsia"/>
          <w:b/>
          <w:lang w:val="en-US" w:eastAsia="zh-CN"/>
        </w:rPr>
        <w:t>9</w:t>
      </w:r>
      <w:r w:rsidRPr="00A555A0">
        <w:rPr>
          <w:rFonts w:ascii="Book Antiqua" w:eastAsia="SimSun" w:hAnsi="Book Antiqua"/>
          <w:b/>
          <w:lang w:val="en-US" w:eastAsia="zh-CN"/>
        </w:rPr>
        <w:t xml:space="preserve">. </w:t>
      </w:r>
      <w:r w:rsidRPr="00A555A0">
        <w:rPr>
          <w:rFonts w:ascii="Book Antiqua" w:eastAsia="SimSun" w:hAnsi="Book Antiqua"/>
          <w:lang w:val="en-US" w:eastAsia="zh-CN"/>
        </w:rPr>
        <w:t xml:space="preserve">Published by </w:t>
      </w:r>
      <w:proofErr w:type="spellStart"/>
      <w:r w:rsidRPr="00A555A0">
        <w:rPr>
          <w:rFonts w:ascii="Book Antiqua" w:eastAsia="SimSun" w:hAnsi="Book Antiqua"/>
          <w:lang w:val="en-US" w:eastAsia="zh-CN"/>
        </w:rPr>
        <w:t>Baishideng</w:t>
      </w:r>
      <w:proofErr w:type="spellEnd"/>
      <w:r w:rsidRPr="00A555A0">
        <w:rPr>
          <w:rFonts w:ascii="Book Antiqua" w:eastAsia="SimSun" w:hAnsi="Book Antiqua"/>
          <w:lang w:val="en-US" w:eastAsia="zh-CN"/>
        </w:rPr>
        <w:t xml:space="preserve"> Publishing Group Inc. All rights reserved.</w:t>
      </w:r>
      <w:bookmarkEnd w:id="85"/>
      <w:bookmarkEnd w:id="86"/>
    </w:p>
    <w:p w14:paraId="7C143E58" w14:textId="77777777" w:rsidR="00247BE7" w:rsidRPr="008A5994" w:rsidRDefault="00247BE7" w:rsidP="008A5994">
      <w:pPr>
        <w:adjustRightInd w:val="0"/>
        <w:snapToGrid w:val="0"/>
        <w:spacing w:line="360" w:lineRule="auto"/>
        <w:jc w:val="both"/>
        <w:rPr>
          <w:rFonts w:ascii="Book Antiqua" w:hAnsi="Book Antiqua"/>
          <w:b/>
          <w:color w:val="000000" w:themeColor="text1"/>
          <w:lang w:val="en-US"/>
        </w:rPr>
      </w:pPr>
    </w:p>
    <w:p w14:paraId="2322E023" w14:textId="3A948B9A" w:rsidR="009D2863" w:rsidRPr="008A5994" w:rsidRDefault="009D2863" w:rsidP="00A555A0">
      <w:pPr>
        <w:adjustRightInd w:val="0"/>
        <w:snapToGrid w:val="0"/>
        <w:spacing w:line="360" w:lineRule="auto"/>
        <w:jc w:val="both"/>
        <w:outlineLvl w:val="0"/>
        <w:rPr>
          <w:rFonts w:ascii="Book Antiqua" w:hAnsi="Book Antiqua"/>
          <w:color w:val="000000" w:themeColor="text1"/>
          <w:lang w:val="en-US"/>
        </w:rPr>
      </w:pPr>
      <w:r w:rsidRPr="008A5994">
        <w:rPr>
          <w:rFonts w:ascii="Book Antiqua" w:hAnsi="Book Antiqua"/>
          <w:b/>
          <w:color w:val="000000" w:themeColor="text1"/>
          <w:lang w:val="en-US"/>
        </w:rPr>
        <w:t>Core tip:</w:t>
      </w:r>
      <w:r w:rsidRPr="008A5994">
        <w:rPr>
          <w:rFonts w:ascii="Book Antiqua" w:hAnsi="Book Antiqua"/>
          <w:color w:val="000000" w:themeColor="text1"/>
          <w:lang w:val="en-US"/>
        </w:rPr>
        <w:t xml:space="preserve"> The </w:t>
      </w:r>
      <w:bookmarkStart w:id="87" w:name="OLE_LINK523"/>
      <w:r w:rsidRPr="008A5994">
        <w:rPr>
          <w:rFonts w:ascii="Book Antiqua" w:hAnsi="Book Antiqua"/>
          <w:color w:val="000000" w:themeColor="text1"/>
          <w:lang w:val="en-US"/>
        </w:rPr>
        <w:t>CALM</w:t>
      </w:r>
      <w:bookmarkEnd w:id="87"/>
      <w:r w:rsidRPr="008A5994">
        <w:rPr>
          <w:rFonts w:ascii="Book Antiqua" w:hAnsi="Book Antiqua"/>
          <w:color w:val="000000" w:themeColor="text1"/>
          <w:lang w:val="en-US"/>
        </w:rPr>
        <w:t xml:space="preserve"> trial reported that a tight control of inflammation achieved better outcomes than conventional monitoring, but did not explore specifically the value of each </w:t>
      </w:r>
      <w:r w:rsidR="00247BE7" w:rsidRPr="008A5994">
        <w:rPr>
          <w:rFonts w:ascii="Book Antiqua" w:hAnsi="Book Antiqua"/>
          <w:color w:val="000000" w:themeColor="text1"/>
          <w:lang w:val="en-US"/>
        </w:rPr>
        <w:t>biomarker. In this</w:t>
      </w:r>
      <w:r w:rsidRPr="008A5994">
        <w:rPr>
          <w:rFonts w:ascii="Book Antiqua" w:hAnsi="Book Antiqua"/>
          <w:color w:val="000000" w:themeColor="text1"/>
          <w:lang w:val="en-US"/>
        </w:rPr>
        <w:t xml:space="preserve"> </w:t>
      </w:r>
      <w:proofErr w:type="spellStart"/>
      <w:r w:rsidRPr="008A5994">
        <w:rPr>
          <w:rFonts w:ascii="Book Antiqua" w:hAnsi="Book Antiqua"/>
          <w:color w:val="000000" w:themeColor="text1"/>
          <w:lang w:val="en-US"/>
        </w:rPr>
        <w:t>multicentre</w:t>
      </w:r>
      <w:proofErr w:type="spellEnd"/>
      <w:r w:rsidRPr="008A5994">
        <w:rPr>
          <w:rFonts w:ascii="Book Antiqua" w:hAnsi="Book Antiqua"/>
          <w:color w:val="000000" w:themeColor="text1"/>
          <w:lang w:val="en-US"/>
        </w:rPr>
        <w:t xml:space="preserve"> study</w:t>
      </w:r>
      <w:r w:rsidR="00247BE7" w:rsidRPr="008A5994">
        <w:rPr>
          <w:rFonts w:ascii="Book Antiqua" w:hAnsi="Book Antiqua"/>
          <w:color w:val="000000" w:themeColor="text1"/>
          <w:lang w:val="en-US"/>
        </w:rPr>
        <w:t>, we investigated</w:t>
      </w:r>
      <w:r w:rsidRPr="008A5994">
        <w:rPr>
          <w:rFonts w:ascii="Book Antiqua" w:hAnsi="Book Antiqua"/>
          <w:color w:val="000000" w:themeColor="text1"/>
          <w:lang w:val="en-US"/>
        </w:rPr>
        <w:t xml:space="preserve"> the performances of </w:t>
      </w:r>
      <w:r w:rsidR="0080082F" w:rsidRPr="008A5994">
        <w:rPr>
          <w:rFonts w:ascii="Book Antiqua" w:hAnsi="Book Antiqua"/>
          <w:color w:val="000000" w:themeColor="text1"/>
          <w:lang w:val="en-US"/>
        </w:rPr>
        <w:t>Crohn</w:t>
      </w:r>
      <w:r w:rsidR="00A555A0">
        <w:rPr>
          <w:rFonts w:ascii="Book Antiqua" w:hAnsi="Book Antiqua"/>
          <w:color w:val="000000" w:themeColor="text1"/>
          <w:lang w:val="en-US"/>
        </w:rPr>
        <w:t>’</w:t>
      </w:r>
      <w:r w:rsidR="0080082F" w:rsidRPr="008A5994">
        <w:rPr>
          <w:rFonts w:ascii="Book Antiqua" w:hAnsi="Book Antiqua"/>
          <w:color w:val="000000" w:themeColor="text1"/>
          <w:lang w:val="en-US"/>
        </w:rPr>
        <w:t xml:space="preserve">s disease </w:t>
      </w:r>
      <w:r w:rsidR="00A555A0">
        <w:rPr>
          <w:rFonts w:ascii="Book Antiqua" w:hAnsi="Book Antiqua"/>
          <w:color w:val="000000" w:themeColor="text1"/>
          <w:lang w:val="en-US"/>
        </w:rPr>
        <w:t xml:space="preserve">(CD) </w:t>
      </w:r>
      <w:r w:rsidR="0080082F" w:rsidRPr="008A5994">
        <w:rPr>
          <w:rFonts w:ascii="Book Antiqua" w:hAnsi="Book Antiqua"/>
          <w:color w:val="000000" w:themeColor="text1"/>
          <w:lang w:val="en-US"/>
        </w:rPr>
        <w:t>activity index (</w:t>
      </w:r>
      <w:r w:rsidRPr="008A5994">
        <w:rPr>
          <w:rFonts w:ascii="Book Antiqua" w:hAnsi="Book Antiqua"/>
          <w:color w:val="000000" w:themeColor="text1"/>
          <w:lang w:val="en-US"/>
        </w:rPr>
        <w:t>CDAI</w:t>
      </w:r>
      <w:r w:rsidR="0080082F" w:rsidRPr="008A5994">
        <w:rPr>
          <w:rFonts w:ascii="Book Antiqua" w:hAnsi="Book Antiqua"/>
          <w:color w:val="000000" w:themeColor="text1"/>
          <w:lang w:val="en-US"/>
        </w:rPr>
        <w:t>)</w:t>
      </w:r>
      <w:r w:rsidRPr="008A5994">
        <w:rPr>
          <w:rFonts w:ascii="Book Antiqua" w:hAnsi="Book Antiqua"/>
          <w:color w:val="000000" w:themeColor="text1"/>
          <w:lang w:val="en-US"/>
        </w:rPr>
        <w:t xml:space="preserve">, </w:t>
      </w:r>
      <w:bookmarkStart w:id="88" w:name="OLE_LINK528"/>
      <w:bookmarkStart w:id="89" w:name="OLE_LINK529"/>
      <w:r w:rsidR="0080082F" w:rsidRPr="008A5994">
        <w:rPr>
          <w:rFonts w:ascii="Book Antiqua" w:hAnsi="Book Antiqua"/>
          <w:color w:val="000000" w:themeColor="text1"/>
          <w:lang w:val="en-US"/>
        </w:rPr>
        <w:t>C-reactive protein (</w:t>
      </w:r>
      <w:r w:rsidRPr="008A5994">
        <w:rPr>
          <w:rFonts w:ascii="Book Antiqua" w:hAnsi="Book Antiqua"/>
          <w:color w:val="000000" w:themeColor="text1"/>
          <w:lang w:val="en-US"/>
        </w:rPr>
        <w:t>CRP</w:t>
      </w:r>
      <w:r w:rsidR="0080082F" w:rsidRPr="008A5994">
        <w:rPr>
          <w:rFonts w:ascii="Book Antiqua" w:hAnsi="Book Antiqua"/>
          <w:color w:val="000000" w:themeColor="text1"/>
          <w:lang w:val="en-US"/>
        </w:rPr>
        <w:t>)</w:t>
      </w:r>
      <w:bookmarkEnd w:id="88"/>
      <w:bookmarkEnd w:id="89"/>
      <w:r w:rsidRPr="008A5994">
        <w:rPr>
          <w:rFonts w:ascii="Book Antiqua" w:hAnsi="Book Antiqua"/>
          <w:color w:val="000000" w:themeColor="text1"/>
          <w:lang w:val="en-US"/>
        </w:rPr>
        <w:t xml:space="preserve"> and </w:t>
      </w:r>
      <w:proofErr w:type="spellStart"/>
      <w:r w:rsidR="00247BE7" w:rsidRPr="008A5994">
        <w:rPr>
          <w:rFonts w:ascii="Book Antiqua" w:hAnsi="Book Antiqua"/>
          <w:color w:val="000000" w:themeColor="text1"/>
          <w:lang w:val="en-US"/>
        </w:rPr>
        <w:t>faecal</w:t>
      </w:r>
      <w:proofErr w:type="spellEnd"/>
      <w:r w:rsidR="00247BE7" w:rsidRPr="008A5994">
        <w:rPr>
          <w:rFonts w:ascii="Book Antiqua" w:hAnsi="Book Antiqua"/>
          <w:color w:val="000000" w:themeColor="text1"/>
          <w:lang w:val="en-US"/>
        </w:rPr>
        <w:t xml:space="preserve"> calprotectin </w:t>
      </w:r>
      <w:r w:rsidR="00A555A0">
        <w:rPr>
          <w:rFonts w:ascii="Book Antiqua" w:hAnsi="Book Antiqua"/>
          <w:color w:val="000000" w:themeColor="text1"/>
          <w:lang w:val="en-US"/>
        </w:rPr>
        <w:t>(</w:t>
      </w:r>
      <w:proofErr w:type="spellStart"/>
      <w:r w:rsidRPr="008A5994">
        <w:rPr>
          <w:rFonts w:ascii="Book Antiqua" w:hAnsi="Book Antiqua"/>
          <w:color w:val="000000" w:themeColor="text1"/>
          <w:lang w:val="en-US"/>
        </w:rPr>
        <w:t>Fcal</w:t>
      </w:r>
      <w:proofErr w:type="spellEnd"/>
      <w:r w:rsidR="00A555A0">
        <w:rPr>
          <w:rFonts w:ascii="Book Antiqua" w:hAnsi="Book Antiqua"/>
          <w:color w:val="000000" w:themeColor="text1"/>
          <w:lang w:val="en-US"/>
        </w:rPr>
        <w:t>)</w:t>
      </w:r>
      <w:r w:rsidRPr="008A5994">
        <w:rPr>
          <w:rFonts w:ascii="Book Antiqua" w:hAnsi="Book Antiqua"/>
          <w:color w:val="000000" w:themeColor="text1"/>
          <w:lang w:val="en-US"/>
        </w:rPr>
        <w:t xml:space="preserve"> variation, alone or combined, after 12 </w:t>
      </w:r>
      <w:proofErr w:type="spellStart"/>
      <w:r w:rsidRPr="008A5994">
        <w:rPr>
          <w:rFonts w:ascii="Book Antiqua" w:hAnsi="Book Antiqua"/>
          <w:color w:val="000000" w:themeColor="text1"/>
          <w:lang w:val="en-US"/>
        </w:rPr>
        <w:t>w</w:t>
      </w:r>
      <w:r w:rsidR="00A555A0">
        <w:rPr>
          <w:rFonts w:ascii="Book Antiqua" w:hAnsi="Book Antiqua"/>
          <w:color w:val="000000" w:themeColor="text1"/>
          <w:lang w:val="en-US"/>
        </w:rPr>
        <w:t>k</w:t>
      </w:r>
      <w:proofErr w:type="spellEnd"/>
      <w:r w:rsidRPr="008A5994">
        <w:rPr>
          <w:rFonts w:ascii="Book Antiqua" w:hAnsi="Book Antiqua"/>
          <w:color w:val="000000" w:themeColor="text1"/>
          <w:lang w:val="en-US"/>
        </w:rPr>
        <w:t xml:space="preserve"> of anti-</w:t>
      </w:r>
      <w:r w:rsidR="00A555A0">
        <w:rPr>
          <w:rFonts w:ascii="Book Antiqua" w:hAnsi="Book Antiqua"/>
          <w:color w:val="000000" w:themeColor="text1"/>
          <w:lang w:val="en-US"/>
        </w:rPr>
        <w:t>tumor necrosis factor</w:t>
      </w:r>
      <w:r w:rsidR="00A555A0" w:rsidRPr="008A5994">
        <w:rPr>
          <w:rFonts w:ascii="Book Antiqua" w:hAnsi="Book Antiqua"/>
          <w:color w:val="000000" w:themeColor="text1"/>
          <w:lang w:val="en-US"/>
        </w:rPr>
        <w:t xml:space="preserve"> </w:t>
      </w:r>
      <w:r w:rsidR="00A555A0">
        <w:rPr>
          <w:rFonts w:ascii="Book Antiqua" w:hAnsi="Book Antiqua"/>
          <w:color w:val="000000" w:themeColor="text1"/>
          <w:lang w:val="en-US"/>
        </w:rPr>
        <w:t>(</w:t>
      </w:r>
      <w:r w:rsidRPr="008A5994">
        <w:rPr>
          <w:rFonts w:ascii="Book Antiqua" w:hAnsi="Book Antiqua"/>
          <w:color w:val="000000" w:themeColor="text1"/>
          <w:lang w:val="en-US"/>
        </w:rPr>
        <w:t>TNF</w:t>
      </w:r>
      <w:r w:rsidR="00A555A0">
        <w:rPr>
          <w:rFonts w:ascii="Book Antiqua" w:hAnsi="Book Antiqua"/>
          <w:color w:val="000000" w:themeColor="text1"/>
          <w:lang w:val="en-US"/>
        </w:rPr>
        <w:t>)</w:t>
      </w:r>
      <w:r w:rsidRPr="008A5994">
        <w:rPr>
          <w:rFonts w:ascii="Book Antiqua" w:hAnsi="Book Antiqua"/>
          <w:color w:val="000000" w:themeColor="text1"/>
          <w:lang w:val="en-US"/>
        </w:rPr>
        <w:t xml:space="preserve"> therapy to predict corticosteroids-free remission (CFREM) at one year, in CD patients treated with anti-TNF. We showed the complementarity of the variation of CDAI, CRP and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after anti-TNF induction therapy, to predict CFREM at one year, and confirmed that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was the most effective predictor among these three markers.</w:t>
      </w:r>
    </w:p>
    <w:p w14:paraId="66A3EFE1" w14:textId="77777777" w:rsidR="008707A9" w:rsidRPr="008A5994" w:rsidRDefault="008707A9" w:rsidP="008A5994">
      <w:pPr>
        <w:adjustRightInd w:val="0"/>
        <w:snapToGrid w:val="0"/>
        <w:spacing w:line="360" w:lineRule="auto"/>
        <w:jc w:val="both"/>
        <w:rPr>
          <w:rFonts w:ascii="Book Antiqua" w:hAnsi="Book Antiqua"/>
          <w:b/>
          <w:color w:val="000000" w:themeColor="text1"/>
          <w:lang w:val="en-US"/>
        </w:rPr>
      </w:pPr>
    </w:p>
    <w:p w14:paraId="349A40AD" w14:textId="2AE849B8" w:rsidR="00AB2771" w:rsidRPr="00A555A0" w:rsidRDefault="0080082F" w:rsidP="008A5994">
      <w:pPr>
        <w:adjustRightInd w:val="0"/>
        <w:snapToGrid w:val="0"/>
        <w:spacing w:line="360" w:lineRule="auto"/>
        <w:jc w:val="both"/>
        <w:rPr>
          <w:rFonts w:ascii="Book Antiqua" w:hAnsi="Book Antiqua"/>
          <w:color w:val="000000" w:themeColor="text1"/>
          <w:lang w:val="en-US"/>
        </w:rPr>
      </w:pPr>
      <w:bookmarkStart w:id="90" w:name="OLE_LINK95"/>
      <w:bookmarkStart w:id="91" w:name="OLE_LINK53"/>
      <w:bookmarkStart w:id="92" w:name="OLE_LINK47"/>
      <w:bookmarkStart w:id="93" w:name="OLE_LINK48"/>
      <w:bookmarkStart w:id="94" w:name="OLE_LINK289"/>
      <w:bookmarkStart w:id="95" w:name="OLE_LINK494"/>
      <w:bookmarkStart w:id="96" w:name="OLE_LINK428"/>
      <w:bookmarkStart w:id="97" w:name="OLE_LINK108"/>
      <w:bookmarkStart w:id="98" w:name="OLE_LINK109"/>
      <w:bookmarkStart w:id="99" w:name="OLE_LINK142"/>
      <w:bookmarkStart w:id="100" w:name="OLE_LINK143"/>
      <w:bookmarkStart w:id="101" w:name="OLE_LINK249"/>
      <w:bookmarkStart w:id="102" w:name="OLE_LINK256"/>
      <w:bookmarkStart w:id="103" w:name="OLE_LINK85"/>
      <w:proofErr w:type="spellStart"/>
      <w:r w:rsidRPr="008A5994">
        <w:rPr>
          <w:rFonts w:ascii="Book Antiqua" w:hAnsi="Book Antiqua"/>
          <w:color w:val="000000" w:themeColor="text1"/>
          <w:lang w:val="en-US"/>
        </w:rPr>
        <w:t>Sollelis</w:t>
      </w:r>
      <w:proofErr w:type="spellEnd"/>
      <w:r w:rsidR="00A555A0">
        <w:rPr>
          <w:rFonts w:ascii="Book Antiqua" w:hAnsi="Book Antiqua"/>
          <w:color w:val="000000" w:themeColor="text1"/>
          <w:lang w:val="en-US"/>
        </w:rPr>
        <w:t xml:space="preserve"> </w:t>
      </w:r>
      <w:r w:rsidR="00A555A0" w:rsidRPr="008A5994">
        <w:rPr>
          <w:rFonts w:ascii="Book Antiqua" w:hAnsi="Book Antiqua"/>
          <w:color w:val="000000" w:themeColor="text1"/>
          <w:lang w:val="en-US"/>
        </w:rPr>
        <w:t>E</w:t>
      </w:r>
      <w:r w:rsidRPr="008A5994">
        <w:rPr>
          <w:rFonts w:ascii="Book Antiqua" w:hAnsi="Book Antiqua"/>
          <w:color w:val="000000" w:themeColor="text1"/>
          <w:lang w:val="en-US"/>
        </w:rPr>
        <w:t xml:space="preserve">, </w:t>
      </w:r>
      <w:proofErr w:type="spellStart"/>
      <w:r w:rsidRPr="008A5994">
        <w:rPr>
          <w:rFonts w:ascii="Book Antiqua" w:hAnsi="Book Antiqua"/>
          <w:color w:val="000000" w:themeColor="text1"/>
          <w:lang w:val="en-US"/>
        </w:rPr>
        <w:t>Quinard</w:t>
      </w:r>
      <w:proofErr w:type="spellEnd"/>
      <w:r w:rsidR="00A555A0">
        <w:rPr>
          <w:rFonts w:ascii="Book Antiqua" w:hAnsi="Book Antiqua"/>
          <w:color w:val="000000" w:themeColor="text1"/>
          <w:lang w:val="en-US"/>
        </w:rPr>
        <w:t xml:space="preserve"> RM</w:t>
      </w:r>
      <w:r w:rsidRPr="008A5994">
        <w:rPr>
          <w:rFonts w:ascii="Book Antiqua" w:hAnsi="Book Antiqua"/>
          <w:color w:val="000000" w:themeColor="text1"/>
          <w:lang w:val="en-US"/>
        </w:rPr>
        <w:t xml:space="preserve">, </w:t>
      </w:r>
      <w:proofErr w:type="spellStart"/>
      <w:r w:rsidRPr="008A5994">
        <w:rPr>
          <w:rFonts w:ascii="Book Antiqua" w:hAnsi="Book Antiqua"/>
          <w:color w:val="000000" w:themeColor="text1"/>
          <w:lang w:val="en-US"/>
        </w:rPr>
        <w:t>Bouguen</w:t>
      </w:r>
      <w:proofErr w:type="spellEnd"/>
      <w:r w:rsidR="00A555A0">
        <w:rPr>
          <w:rFonts w:ascii="Book Antiqua" w:hAnsi="Book Antiqua"/>
          <w:color w:val="000000" w:themeColor="text1"/>
          <w:lang w:val="en-US"/>
        </w:rPr>
        <w:t xml:space="preserve"> </w:t>
      </w:r>
      <w:r w:rsidR="00A555A0" w:rsidRPr="008A5994">
        <w:rPr>
          <w:rFonts w:ascii="Book Antiqua" w:hAnsi="Book Antiqua"/>
          <w:color w:val="000000" w:themeColor="text1"/>
          <w:lang w:val="en-US"/>
        </w:rPr>
        <w:t>G</w:t>
      </w:r>
      <w:r w:rsidRPr="008A5994">
        <w:rPr>
          <w:rFonts w:ascii="Book Antiqua" w:hAnsi="Book Antiqua"/>
          <w:color w:val="000000" w:themeColor="text1"/>
          <w:lang w:val="en-US"/>
        </w:rPr>
        <w:t>, Goutte</w:t>
      </w:r>
      <w:r w:rsidR="00A555A0">
        <w:rPr>
          <w:rFonts w:ascii="Book Antiqua" w:hAnsi="Book Antiqua"/>
          <w:color w:val="000000" w:themeColor="text1"/>
          <w:lang w:val="en-US"/>
        </w:rPr>
        <w:t xml:space="preserve"> </w:t>
      </w:r>
      <w:r w:rsidR="00A555A0" w:rsidRPr="008A5994">
        <w:rPr>
          <w:rFonts w:ascii="Book Antiqua" w:hAnsi="Book Antiqua"/>
          <w:color w:val="000000" w:themeColor="text1"/>
          <w:lang w:val="en-US"/>
        </w:rPr>
        <w:t>M</w:t>
      </w:r>
      <w:r w:rsidRPr="008A5994">
        <w:rPr>
          <w:rFonts w:ascii="Book Antiqua" w:hAnsi="Book Antiqua"/>
          <w:color w:val="000000" w:themeColor="text1"/>
          <w:lang w:val="en-US"/>
        </w:rPr>
        <w:t xml:space="preserve">, </w:t>
      </w:r>
      <w:proofErr w:type="spellStart"/>
      <w:r w:rsidRPr="008A5994">
        <w:rPr>
          <w:rFonts w:ascii="Book Antiqua" w:hAnsi="Book Antiqua"/>
          <w:color w:val="000000" w:themeColor="text1"/>
          <w:lang w:val="en-US"/>
        </w:rPr>
        <w:t>Goutorbe</w:t>
      </w:r>
      <w:proofErr w:type="spellEnd"/>
      <w:r w:rsidR="00A555A0">
        <w:rPr>
          <w:rFonts w:ascii="Book Antiqua" w:hAnsi="Book Antiqua"/>
          <w:color w:val="000000" w:themeColor="text1"/>
          <w:lang w:val="en-US"/>
        </w:rPr>
        <w:t xml:space="preserve"> </w:t>
      </w:r>
      <w:r w:rsidR="00A555A0" w:rsidRPr="008A5994">
        <w:rPr>
          <w:rFonts w:ascii="Book Antiqua" w:hAnsi="Book Antiqua"/>
          <w:color w:val="000000" w:themeColor="text1"/>
          <w:lang w:val="en-US"/>
        </w:rPr>
        <w:t>F</w:t>
      </w:r>
      <w:r w:rsidRPr="008A5994">
        <w:rPr>
          <w:rFonts w:ascii="Book Antiqua" w:hAnsi="Book Antiqua"/>
          <w:color w:val="000000" w:themeColor="text1"/>
          <w:lang w:val="en-US"/>
        </w:rPr>
        <w:t>, Bouvier</w:t>
      </w:r>
      <w:r w:rsidR="00A555A0">
        <w:rPr>
          <w:rFonts w:ascii="Book Antiqua" w:hAnsi="Book Antiqua"/>
          <w:color w:val="000000" w:themeColor="text1"/>
          <w:lang w:val="en-US"/>
        </w:rPr>
        <w:t xml:space="preserve"> </w:t>
      </w:r>
      <w:r w:rsidR="00A555A0" w:rsidRPr="008A5994">
        <w:rPr>
          <w:rFonts w:ascii="Book Antiqua" w:hAnsi="Book Antiqua"/>
          <w:color w:val="000000" w:themeColor="text1"/>
          <w:lang w:val="en-US"/>
        </w:rPr>
        <w:t>D</w:t>
      </w:r>
      <w:r w:rsidRPr="008A5994">
        <w:rPr>
          <w:rFonts w:ascii="Book Antiqua" w:hAnsi="Book Antiqua"/>
          <w:color w:val="000000" w:themeColor="text1"/>
          <w:lang w:val="en-US"/>
        </w:rPr>
        <w:t>, Pereira</w:t>
      </w:r>
      <w:r w:rsidR="00A555A0">
        <w:rPr>
          <w:rFonts w:ascii="Book Antiqua" w:hAnsi="Book Antiqua"/>
          <w:color w:val="000000" w:themeColor="text1"/>
          <w:lang w:val="en-US"/>
        </w:rPr>
        <w:t xml:space="preserve"> </w:t>
      </w:r>
      <w:r w:rsidR="00A555A0" w:rsidRPr="008A5994">
        <w:rPr>
          <w:rFonts w:ascii="Book Antiqua" w:hAnsi="Book Antiqua"/>
          <w:color w:val="000000" w:themeColor="text1"/>
          <w:lang w:val="en-US"/>
        </w:rPr>
        <w:t>B</w:t>
      </w:r>
      <w:r w:rsidRPr="008A5994">
        <w:rPr>
          <w:rFonts w:ascii="Book Antiqua" w:hAnsi="Book Antiqua"/>
          <w:color w:val="000000" w:themeColor="text1"/>
          <w:lang w:val="en-US"/>
        </w:rPr>
        <w:t xml:space="preserve">, </w:t>
      </w:r>
      <w:proofErr w:type="spellStart"/>
      <w:r w:rsidRPr="008A5994">
        <w:rPr>
          <w:rFonts w:ascii="Book Antiqua" w:hAnsi="Book Antiqua"/>
          <w:color w:val="000000" w:themeColor="text1"/>
          <w:lang w:val="en-US"/>
        </w:rPr>
        <w:t>Bommelaer</w:t>
      </w:r>
      <w:proofErr w:type="spellEnd"/>
      <w:r w:rsidR="00A555A0">
        <w:rPr>
          <w:rFonts w:ascii="Book Antiqua" w:hAnsi="Book Antiqua"/>
          <w:color w:val="000000" w:themeColor="text1"/>
          <w:lang w:val="en-US"/>
        </w:rPr>
        <w:t xml:space="preserve"> </w:t>
      </w:r>
      <w:r w:rsidR="00A555A0" w:rsidRPr="008A5994">
        <w:rPr>
          <w:rFonts w:ascii="Book Antiqua" w:hAnsi="Book Antiqua"/>
          <w:color w:val="000000" w:themeColor="text1"/>
          <w:lang w:val="en-US"/>
        </w:rPr>
        <w:t>G</w:t>
      </w:r>
      <w:r w:rsidRPr="008A5994">
        <w:rPr>
          <w:rFonts w:ascii="Book Antiqua" w:hAnsi="Book Antiqua"/>
          <w:color w:val="000000" w:themeColor="text1"/>
          <w:lang w:val="en-US"/>
        </w:rPr>
        <w:t>, Buisson</w:t>
      </w:r>
      <w:r w:rsidR="00A555A0">
        <w:rPr>
          <w:rFonts w:ascii="Book Antiqua" w:hAnsi="Book Antiqua"/>
          <w:color w:val="000000" w:themeColor="text1"/>
          <w:lang w:val="en-US"/>
        </w:rPr>
        <w:t xml:space="preserve"> </w:t>
      </w:r>
      <w:r w:rsidR="00A555A0" w:rsidRPr="008A5994">
        <w:rPr>
          <w:rFonts w:ascii="Book Antiqua" w:hAnsi="Book Antiqua"/>
          <w:color w:val="000000" w:themeColor="text1"/>
          <w:lang w:val="en-US"/>
        </w:rPr>
        <w:t>A</w:t>
      </w:r>
      <w:r w:rsidRPr="008A5994">
        <w:rPr>
          <w:rFonts w:ascii="Book Antiqua" w:hAnsi="Book Antiqua"/>
          <w:color w:val="000000" w:themeColor="text1"/>
          <w:lang w:val="en-US"/>
        </w:rPr>
        <w:t>. Combined evaluation of biomarkers as predictor of maintained remission in Crohn</w:t>
      </w:r>
      <w:r w:rsidR="00A555A0">
        <w:rPr>
          <w:rFonts w:ascii="Book Antiqua" w:hAnsi="Book Antiqua"/>
          <w:color w:val="000000" w:themeColor="text1"/>
          <w:lang w:val="en-US"/>
        </w:rPr>
        <w:t>’</w:t>
      </w:r>
      <w:r w:rsidRPr="008A5994">
        <w:rPr>
          <w:rFonts w:ascii="Book Antiqua" w:hAnsi="Book Antiqua"/>
          <w:color w:val="000000" w:themeColor="text1"/>
          <w:lang w:val="en-US"/>
        </w:rPr>
        <w:t xml:space="preserve">s disease. </w:t>
      </w:r>
      <w:bookmarkStart w:id="104" w:name="OLE_LINK1105"/>
      <w:bookmarkStart w:id="105" w:name="OLE_LINK1107"/>
      <w:bookmarkEnd w:id="90"/>
      <w:bookmarkEnd w:id="91"/>
      <w:r w:rsidR="00AB2771" w:rsidRPr="008A5994">
        <w:rPr>
          <w:rFonts w:ascii="Book Antiqua" w:hAnsi="Book Antiqua"/>
          <w:i/>
          <w:color w:val="000000" w:themeColor="text1"/>
          <w:lang w:val="en-US"/>
        </w:rPr>
        <w:t xml:space="preserve">World J Gastroenterol </w:t>
      </w:r>
      <w:r w:rsidR="00AB2771" w:rsidRPr="008A5994">
        <w:rPr>
          <w:rFonts w:ascii="Book Antiqua" w:hAnsi="Book Antiqua"/>
          <w:color w:val="000000" w:themeColor="text1"/>
          <w:lang w:val="en-US"/>
        </w:rPr>
        <w:t>2019; In press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45CFDF5F" w14:textId="77777777" w:rsidR="00787893" w:rsidRPr="008A5994" w:rsidRDefault="00787893" w:rsidP="008A5994">
      <w:pPr>
        <w:adjustRightInd w:val="0"/>
        <w:snapToGrid w:val="0"/>
        <w:spacing w:line="360" w:lineRule="auto"/>
        <w:jc w:val="both"/>
        <w:rPr>
          <w:rFonts w:ascii="Book Antiqua" w:hAnsi="Book Antiqua"/>
          <w:b/>
          <w:color w:val="000000" w:themeColor="text1"/>
          <w:lang w:val="en-US"/>
        </w:rPr>
      </w:pPr>
      <w:r w:rsidRPr="008A5994">
        <w:rPr>
          <w:rFonts w:ascii="Book Antiqua" w:hAnsi="Book Antiqua"/>
          <w:b/>
          <w:color w:val="000000" w:themeColor="text1"/>
          <w:lang w:val="en-US"/>
        </w:rPr>
        <w:br w:type="page"/>
      </w:r>
    </w:p>
    <w:p w14:paraId="3A367C2E" w14:textId="6BB12DBA" w:rsidR="008707A9" w:rsidRPr="008A5994" w:rsidRDefault="00D74B7A" w:rsidP="00A555A0">
      <w:pPr>
        <w:adjustRightInd w:val="0"/>
        <w:snapToGrid w:val="0"/>
        <w:spacing w:line="360" w:lineRule="auto"/>
        <w:jc w:val="both"/>
        <w:outlineLvl w:val="0"/>
        <w:rPr>
          <w:rFonts w:ascii="Book Antiqua" w:hAnsi="Book Antiqua"/>
          <w:b/>
          <w:color w:val="000000" w:themeColor="text1"/>
          <w:lang w:val="en-US"/>
        </w:rPr>
      </w:pPr>
      <w:r w:rsidRPr="008A5994">
        <w:rPr>
          <w:rFonts w:ascii="Book Antiqua" w:hAnsi="Book Antiqua"/>
          <w:b/>
          <w:color w:val="000000" w:themeColor="text1"/>
          <w:lang w:val="en-US"/>
        </w:rPr>
        <w:lastRenderedPageBreak/>
        <w:t>INTRODUCTION</w:t>
      </w:r>
    </w:p>
    <w:p w14:paraId="5746CAB3" w14:textId="187F254E" w:rsidR="008707A9" w:rsidRPr="008A5994" w:rsidRDefault="008707A9" w:rsidP="008A5994">
      <w:pPr>
        <w:widowControl w:val="0"/>
        <w:autoSpaceDE w:val="0"/>
        <w:autoSpaceDN w:val="0"/>
        <w:adjustRightInd w:val="0"/>
        <w:snapToGrid w:val="0"/>
        <w:spacing w:line="360" w:lineRule="auto"/>
        <w:jc w:val="both"/>
        <w:rPr>
          <w:rFonts w:ascii="Book Antiqua" w:hAnsi="Book Antiqua"/>
          <w:color w:val="000000" w:themeColor="text1"/>
          <w:lang w:val="en-US" w:eastAsia="en-US"/>
        </w:rPr>
      </w:pPr>
      <w:r w:rsidRPr="008A5994">
        <w:rPr>
          <w:rFonts w:ascii="Book Antiqua" w:hAnsi="Book Antiqua"/>
          <w:color w:val="000000" w:themeColor="text1"/>
          <w:lang w:val="en-US"/>
        </w:rPr>
        <w:t>Crohn</w:t>
      </w:r>
      <w:r w:rsidR="00A555A0">
        <w:rPr>
          <w:rFonts w:ascii="Book Antiqua" w:hAnsi="Book Antiqua"/>
          <w:color w:val="000000" w:themeColor="text1"/>
          <w:lang w:val="en-US"/>
        </w:rPr>
        <w:t>’</w:t>
      </w:r>
      <w:r w:rsidRPr="008A5994">
        <w:rPr>
          <w:rFonts w:ascii="Book Antiqua" w:hAnsi="Book Antiqua"/>
          <w:color w:val="000000" w:themeColor="text1"/>
          <w:lang w:val="en-US"/>
        </w:rPr>
        <w:t>s disease (CD) is a</w:t>
      </w:r>
      <w:r w:rsidRPr="008A5994">
        <w:rPr>
          <w:rFonts w:ascii="Book Antiqua" w:hAnsi="Book Antiqua"/>
          <w:b/>
          <w:color w:val="000000" w:themeColor="text1"/>
          <w:lang w:val="en-US"/>
        </w:rPr>
        <w:t xml:space="preserve"> </w:t>
      </w:r>
      <w:r w:rsidRPr="008A5994">
        <w:rPr>
          <w:rFonts w:ascii="Book Antiqua" w:hAnsi="Book Antiqua"/>
          <w:color w:val="000000" w:themeColor="text1"/>
          <w:lang w:val="en-US" w:eastAsia="en-US"/>
        </w:rPr>
        <w:t>chronic and disabling disorder that can highly affect quality of life</w:t>
      </w:r>
      <w:r w:rsidRPr="008A5994">
        <w:rPr>
          <w:rFonts w:ascii="Book Antiqua" w:hAnsi="Book Antiqua"/>
          <w:color w:val="000000" w:themeColor="text1"/>
          <w:lang w:val="en-US" w:eastAsia="en-US"/>
        </w:rPr>
        <w:fldChar w:fldCharType="begin"/>
      </w:r>
      <w:r w:rsidR="000B228F" w:rsidRPr="008A5994">
        <w:rPr>
          <w:rFonts w:ascii="Book Antiqua" w:hAnsi="Book Antiqua"/>
          <w:color w:val="000000" w:themeColor="text1"/>
          <w:lang w:val="en-US" w:eastAsia="en-US"/>
        </w:rPr>
        <w:instrText xml:space="preserve"> ADDIN ZOTERO_ITEM CSL_CITATION {"citationID":"YnrRogk8","properties":{"formattedCitation":"\\super [1]\\nosupersub{}","plainCitation":"[1]","noteIndex":0},"citationItems":[{"id":378,"uris":["http://zotero.org/users/751086/items/AGCAJ7JP"],"uri":["http://zotero.org/users/751086/items/AGCAJ7JP"],"itemData":{"id":378,"type":"article-journal","title":"Development of the first disability index for inflammatory bowel disease based on the international classification of functioning, disability and health","container-title":"Gut","page":"241-247","volume":"61","issue":"2","source":"NCBI PubMed","abstract":"OBJECTIVE\n\nThe impact of inflammatory bowel disease (IBD) on disability remains poorly understood. The World Health Organization's integrative model of human functioning and disability in the International Classification of Functioning, Disability and Health (ICF) makes disability assessment possible. The ICF is a hierarchical coding system with four levels of details that includes over 1400 categories. The aim of this study was to develop the first disability index for IBD by selecting most relevant ICF categories that are affected by IBD.\n\n\nMETHODS\n\nRelevant ICF categories were identified through four preparatory studies (systematic literature review, qualitative study, expert survey and cross-sectional study), which were presented at a consensus conference. Based on the identified ICF categories, a questionnaire to be filled in by clinicians, called the 'IBD disability index', was developed.\n\n\nRESULTS\n\nThe four preparatory studies identified 138 second-level categories: 75 for systematic literature review (153 studies), 38 for qualitative studies (six focus groups; 27 patients), 108 for expert survey (125 experts; 37 countries; seven occupations) and 98 for cross-sectional study (192 patients; three centres). The consensus conference (20 experts; 17 countries) led to the selection of 19 ICF core set categories that were used to develop the IBD disability index: seven on body functions, two on body structures, five on activities and participation and five on environmental factors.\n\n\nCONCLUSIONS\n\nThe IBD disability index is now available. It will be used in studies to evaluate the long-term effect of IBD on patient functional status and will serve as a new endpoint in disease-modification trials.","DOI":"10.1136/gutjnl-2011-300049","ISSN":"1468-3288","note":"PMID: 21646246","journalAbbreviation":"Gut","author":[{"family":"Peyrin-Biroulet","given":"Laurent"},{"family":"Cieza","given":"Alarcos"},{"family":"Sandborn","given":"William J"},{"family":"Coenen","given":"Michaela"},{"family":"Chowers","given":"Yehuda"},{"family":"Hibi","given":"Toshifumi"},{"family":"Kostanjsek","given":"Nenad"},{"family":"Stucki","given":"Gerold"},{"family":"Colombel","given":"Jean-Frédéric"}],"issued":{"date-parts":[["2012",2]]}}}],"schema":"https://github.com/citation-style-language/schema/raw/master/csl-citation.json"} </w:instrText>
      </w:r>
      <w:r w:rsidRPr="008A5994">
        <w:rPr>
          <w:rFonts w:ascii="Book Antiqua" w:hAnsi="Book Antiqua"/>
          <w:color w:val="000000" w:themeColor="text1"/>
          <w:lang w:val="en-US" w:eastAsia="en-US"/>
        </w:rPr>
        <w:fldChar w:fldCharType="separate"/>
      </w:r>
      <w:r w:rsidR="000B228F" w:rsidRPr="008A5994">
        <w:rPr>
          <w:rFonts w:ascii="Book Antiqua" w:hAnsi="Book Antiqua"/>
          <w:color w:val="000000" w:themeColor="text1"/>
          <w:vertAlign w:val="superscript"/>
          <w:lang w:val="en-US"/>
        </w:rPr>
        <w:t>[1]</w:t>
      </w:r>
      <w:r w:rsidRPr="008A5994">
        <w:rPr>
          <w:rFonts w:ascii="Book Antiqua" w:hAnsi="Book Antiqua"/>
          <w:color w:val="000000" w:themeColor="text1"/>
          <w:lang w:val="en-US" w:eastAsia="en-US"/>
        </w:rPr>
        <w:fldChar w:fldCharType="end"/>
      </w:r>
      <w:r w:rsidRPr="008A5994">
        <w:rPr>
          <w:rFonts w:ascii="Book Antiqua" w:hAnsi="Book Antiqua"/>
          <w:color w:val="000000" w:themeColor="text1"/>
          <w:lang w:val="en-US" w:eastAsia="en-US"/>
        </w:rPr>
        <w:t xml:space="preserve">. The natural history of </w:t>
      </w:r>
      <w:r w:rsidRPr="008A5994">
        <w:rPr>
          <w:rFonts w:ascii="Book Antiqua" w:hAnsi="Book Antiqua"/>
          <w:color w:val="000000" w:themeColor="text1"/>
          <w:lang w:val="en-US"/>
        </w:rPr>
        <w:t>CD can lead to cumulative bowel damage such as stricture, fistula or intestinal resection</w:t>
      </w:r>
      <w:r w:rsidRPr="008A5994">
        <w:rPr>
          <w:rFonts w:ascii="Book Antiqua" w:hAnsi="Book Antiqua"/>
          <w:color w:val="000000" w:themeColor="text1"/>
          <w:lang w:val="en-US"/>
        </w:rPr>
        <w:fldChar w:fldCharType="begin"/>
      </w:r>
      <w:r w:rsidR="000B228F" w:rsidRPr="008A5994">
        <w:rPr>
          <w:rFonts w:ascii="Book Antiqua" w:hAnsi="Book Antiqua"/>
          <w:color w:val="000000" w:themeColor="text1"/>
          <w:lang w:val="en-US"/>
        </w:rPr>
        <w:instrText xml:space="preserve"> ADDIN ZOTERO_ITEM CSL_CITATION {"citationID":"1sthh1i4d9","properties":{"formattedCitation":"\\super [2,3]\\nosupersub{}","plainCitation":"[2,3]","noteIndex":0},"citationItems":[{"id":927,"uris":["http://zotero.org/users/751086/items/NCRHTEXJ"],"uri":["http://zotero.org/users/751086/items/NCRHTEXJ"],"itemData":{"id":927,"type":"article-journal","title":"Development of the Crohn's disease digestive damage score, the Lémann score","container-title":"Inflammatory Bowel Diseases","page":"1415-1422","volume":"17","issue":"6","source":"NCBI PubMed","abstract":"Crohn's disease (CD) is a chronic progressive destructive disease. Currently available instruments measure disease activity at a specific point in time. An instrument to measure cumulative structural damage to the bowel, which may predict long-term disability, is needed. The aim of this article is to outline the methods to develop an instrument that can measure cumulative bowel damage. The project is being conducted by the International Program to develop New Indexes in Crohn's disease (IPNIC) group. This instrument, called the Crohn's Disease Digestive Damage Score (the Lémann score), should take into account damage location, severity, extent, progression, and reversibility, as measured by diagnostic imaging modalities and the history of surgical resection. It should not be \"diagnostic modality driven\": for each lesion and location, a modality appropriate for the anatomic site (for example: computed tomography or magnetic resonance imaging enterography, and colonoscopy) will be used. A total of 24 centers from 15 countries will be involved in a cross-sectional study, which will include up to 240 patients with stratification according to disease location and duration. At least 120 additional patients will be included in the study to validate the score. The Lémann score is expected to be able to portray a patient's disease course on a double-axis graph, with time as the x-axis, bowel damage severity as the y-axis, and the slope of the line connecting data points as a measure of disease progression. This instrument could be used to assess the effect of various medical therapies on the progression of bowel damage.","DOI":"10.1002/ibd.21506","ISSN":"1536-4844","note":"PMID: 21560202","journalAbbreviation":"Inflamm. Bowel Dis.","author":[{"family":"Pariente","given":"Benjamin"},{"family":"Cosnes","given":"Jacques"},{"family":"Danese","given":"Silvio"},{"family":"Sandborn","given":"William J"},{"family":"Lewin","given":"Maïté"},{"family":"Fletcher","given":"Joel G"},{"family":"Chowers","given":"Yehuda"},{"family":"D'Haens","given":"Geert"},{"family":"Feagan","given":"Brian G"},{"family":"Hibi","given":"Toshifumi"},{"family":"Hommes","given":"Daniel W"},{"family":"Irvine","given":"E Jan"},{"family":"Kamm","given":"Michael A"},{"family":"Loftus","given":"Edward V","suffix":"Jr"},{"family":"Louis","given":"Edouard"},{"family":"Michetti","given":"Pierre"},{"family":"Munkholm","given":"Pia"},{"family":"Oresland","given":"Tom"},{"family":"Panés","given":"Julian"},{"family":"Peyrin-Biroulet","given":"Laurent"},{"family":"Reinisch","given":"Walter"},{"family":"Sands","given":"Bruce E"},{"family":"Schoelmerich","given":"Juergen"},{"family":"Schreiber","given":"Stefan"},{"family":"Tilg","given":"Herbert"},{"family":"Travis","given":"Simon"},{"family":"Assche","given":"Gert","non-dropping-particle":"van"},{"family":"Vecchi","given":"Maurizio"},{"family":"Mary","given":"Jean-Yves"},{"family":"Colombel","given":"Jean-Frédéric"},{"family":"Lémann","given":"Marc"}],"issued":{"date-parts":[["2011",6]]}}},{"id":1086,"uris":["http://zotero.org/users/751086/items/RWP7DCFW"],"uri":["http://zotero.org/users/751086/items/RWP7DCFW"],"itemData":{"id":1086,"type":"article-journal","title":"Development of the Lémann index to assess digestive tract damage in patients with Crohn's disease","container-title":"Gastroenterology","page":"52-63.e3","volume":"148","issue":"1","source":"NCBI PubMed","abstract":"BACKGROUND &amp; AIMS: There is a need for a scoring system that provides a comprehensive assessment of structural bowel damage, including stricturing lesions, penetrating lesions, and surgical resection, for measuring disease progression. We developed the Lémann Index and assessed its ability to measure cumulative structural bowel damage in patients with Crohn's disease (CD).\nMETHODS: We performed a prospective, multicenter, international, cross-sectional study of patients with CD evaluated at 24 centers in 15 countries. Inclusions were stratified based on CD location and duration. All patients underwent clinical examination and abdominal magnetic resonance imaging analyses. Upper endoscopy, colonoscopy, and pelvic magnetic resonance imaging analyses were performed according to suspected disease locations. The digestive tract was divided into 4 organs and subsequently into segments. For each segment, investigators collected information on previous operations, predefined strictures, and/or penetrating lesions of maximal severity (grades 1-3), and then provided damage evaluations ranging from 0.0 (no lesion) to 10.0 (complete resection). Overall level of organ damage was calculated from the average of segmental damage. Investigators provided a global damage evaluation (from 0.0 to 10.0) using calculated organ damage evaluations. Predicted organ indexes and Lémann Index were constructed using a multiple linear mixed model, showing the best fit with investigator organ and global damage evaluations, respectively. An internal cross-validation was performed using bootstrap methods.\nRESULTS: Data from 138 patients (24, 115, 92, and 59 with upper tract, small bowel, colon/rectum, and anus CD location, respectively) were analyzed. According to validation, the unbiased correlation coefficients between predicted indexes and investigator damage evaluations were 0.85, 0.98, 0.90, 0.82 for upper tract, small bowel, colon/rectum, anus, respectively, and 0.84 overall.\nCONCLUSIONS: In a cross-sectional study, we assessed the ability of the Lémann Index to measure cumulative structural bowel damage in patients with CD. Provided further successful validation and good sensitivity to change, the index should be used to evaluate progression of CD and efficacy of treatment.","DOI":"10.1053/j.gastro.2014.09.015","ISSN":"1528-0012","note":"PMID: 25241327","journalAbbreviation":"Gastroenterology","language":"eng","author":[{"family":"Pariente","given":"Benjamin"},{"family":"Mary","given":"Jean-Yves"},{"family":"Danese","given":"Silvio"},{"family":"Chowers","given":"Yehuda"},{"family":"De Cruz","given":"Peter"},{"family":"D'Haens","given":"Geert"},{"family":"Loftus","given":"Edward V."},{"family":"Louis","given":"Edouard"},{"family":"Panés","given":"Julian"},{"family":"Schölmerich","given":"Jürgen"},{"family":"Schreiber","given":"Stefan"},{"family":"Vecchi","given":"Maurizio"},{"family":"Branche","given":"Julien"},{"family":"Bruining","given":"David"},{"family":"Fiorino","given":"Gionata"},{"family":"Herzog","given":"Matthias"},{"family":"Kamm","given":"Michael A."},{"family":"Klein","given":"Amir"},{"family":"Lewin","given":"Maïté"},{"family":"Meunier","given":"Paul"},{"family":"Ordas","given":"Ingrid"},{"family":"Strauch","given":"Ulrike"},{"family":"Tontini","given":"Gian-Eugenio"},{"family":"Zagdanski","given":"Anne-Marie"},{"family":"Bonifacio","given":"Cristiana"},{"family":"Rimola","given":"Jordi"},{"family":"Nachury","given":"Maria"},{"family":"Leroy","given":"Christophe"},{"family":"Sandborn","given":"William"},{"family":"Colombel","given":"Jean-Frédéric"},{"family":"Cosnes","given":"Jacques"}],"issued":{"date-parts":[["2015",1]]}}}],"schema":"https://github.com/citation-style-language/schema/raw/master/csl-citation.json"} </w:instrText>
      </w:r>
      <w:r w:rsidRPr="008A5994">
        <w:rPr>
          <w:rFonts w:ascii="Book Antiqua" w:hAnsi="Book Antiqua"/>
          <w:color w:val="000000" w:themeColor="text1"/>
          <w:lang w:val="en-US"/>
        </w:rPr>
        <w:fldChar w:fldCharType="separate"/>
      </w:r>
      <w:r w:rsidR="000B228F" w:rsidRPr="008A5994">
        <w:rPr>
          <w:rFonts w:ascii="Book Antiqua" w:hAnsi="Book Antiqua"/>
          <w:color w:val="000000" w:themeColor="text1"/>
          <w:vertAlign w:val="superscript"/>
          <w:lang w:val="en-US"/>
        </w:rPr>
        <w:t>[2,3]</w:t>
      </w:r>
      <w:r w:rsidRPr="008A5994">
        <w:rPr>
          <w:rFonts w:ascii="Book Antiqua" w:hAnsi="Book Antiqua"/>
          <w:color w:val="000000" w:themeColor="text1"/>
          <w:lang w:val="en-US"/>
        </w:rPr>
        <w:fldChar w:fldCharType="end"/>
      </w:r>
      <w:r w:rsidRPr="008A5994">
        <w:rPr>
          <w:rFonts w:ascii="Book Antiqua" w:hAnsi="Book Antiqua"/>
          <w:color w:val="000000" w:themeColor="text1"/>
          <w:lang w:val="en-US"/>
        </w:rPr>
        <w:t xml:space="preserve">. In this context, mucosal healing is recognized hitherto as the best therapeutic endpoint in patients with CD, as </w:t>
      </w:r>
      <w:r w:rsidRPr="008A5994">
        <w:rPr>
          <w:rFonts w:ascii="Book Antiqua" w:hAnsi="Book Antiqua"/>
          <w:color w:val="000000" w:themeColor="text1"/>
          <w:lang w:val="en-US" w:eastAsia="en-US"/>
        </w:rPr>
        <w:t>it is associated with sustained clinical remission, reduced rates of subsequent hospitalization and surgery</w:t>
      </w:r>
      <w:r w:rsidRPr="008A5994">
        <w:rPr>
          <w:rFonts w:ascii="Book Antiqua" w:hAnsi="Book Antiqua"/>
          <w:color w:val="000000" w:themeColor="text1"/>
          <w:lang w:val="en-US" w:eastAsia="en-US"/>
        </w:rPr>
        <w:fldChar w:fldCharType="begin"/>
      </w:r>
      <w:r w:rsidR="000B228F" w:rsidRPr="008A5994">
        <w:rPr>
          <w:rFonts w:ascii="Book Antiqua" w:hAnsi="Book Antiqua"/>
          <w:color w:val="000000" w:themeColor="text1"/>
          <w:lang w:val="en-US" w:eastAsia="en-US"/>
        </w:rPr>
        <w:instrText xml:space="preserve"> ADDIN ZOTERO_ITEM CSL_CITATION {"citationID":"Tl9WpKyj","properties":{"formattedCitation":"\\super [4]\\nosupersub{}","plainCitation":"[4]","noteIndex":0},"citationItems":[{"id":"9UJ6C9IN/5nzM8uCG","uris":["http://zotero.org/users/local/DNVHcyNP/items/BCXSQDLH"],"uri":["http://zotero.org/users/local/DNVHcyNP/items/BCXSQDLH"],"itemData":{"id":25,"type":"article-journal","title":"Selecting Therapeutic Targets in Inflammatory Bowel Disease (STRIDE): Determining Therapeutic Goals for Treat-to-Target","container-title":"The American Journal of Gastroenterology","page":"1324-1338","volume":"110","issue":"9","source":"Crossref","DOI":"10.1038/ajg.2015.233","ISSN":"0002-9270, 1572-0241","shortTitle":"Selecting Therapeutic Targets in Inflammatory Bowel Disease (STRIDE)","language":"en","author":[{"family":"Peyrin-Biroulet","given":"L"},{"family":"Sandborn","given":"W"},{"family":"Sands","given":"B E"},{"family":"Reinisch","given":"W"},{"family":"Bemelman","given":"W"},{"family":"Bryant","given":"R V"},{"family":"D'Haens","given":"G"},{"family":"Dotan","given":"I"},{"family":"Dubinsky","given":"M"},{"family":"Feagan","given":"B"},{"family":"Fiorino","given":"G"},{"family":"Gearry","given":"R"},{"family":"Krishnareddy","given":"S"},{"family":"Lakatos","given":"P L"},{"family":"Loftus Jr","given":"E V"},{"family":"Marteau","given":"P"},{"family":"Munkholm","given":"P"},{"family":"Murdoch","given":"T B"},{"family":"Ordás","given":"I"},{"family":"Panaccione","given":"R"},{"family":"Riddell","given":"R H"},{"family":"Ruel","given":"J"},{"family":"Rubin","given":"D T"},{"family":"Samaan","given":"M"},{"family":"Siegel","given":"C A"},{"family":"Silverberg","given":"M S"},{"family":"Stoker","given":"J"},{"family":"Schreiber","given":"S"},{"family":"Travis","given":"S"},{"family":"Van Assche","given":"G"},{"family":"Danese","given":"S"},{"family":"Panes","given":"J"},{"family":"Bouguen","given":"G"},{"family":"O'Donnell","given":"S"},{"family":"Pariente","given":"B"},{"family":"Winer","given":"S"},{"family":"Hanauer","given":"S"},{"family":"Colombel","given":"J -F"}],"issued":{"date-parts":[["2015",9]]}}}],"schema":"https://github.com/citation-style-language/schema/raw/master/csl-citation.json"} </w:instrText>
      </w:r>
      <w:r w:rsidRPr="008A5994">
        <w:rPr>
          <w:rFonts w:ascii="Book Antiqua" w:hAnsi="Book Antiqua"/>
          <w:color w:val="000000" w:themeColor="text1"/>
          <w:lang w:val="en-US" w:eastAsia="en-US"/>
        </w:rPr>
        <w:fldChar w:fldCharType="separate"/>
      </w:r>
      <w:r w:rsidR="000B228F" w:rsidRPr="008A5994">
        <w:rPr>
          <w:rFonts w:ascii="Book Antiqua" w:hAnsi="Book Antiqua"/>
          <w:color w:val="000000" w:themeColor="text1"/>
          <w:vertAlign w:val="superscript"/>
          <w:lang w:val="en-US"/>
        </w:rPr>
        <w:t>[4]</w:t>
      </w:r>
      <w:r w:rsidRPr="008A5994">
        <w:rPr>
          <w:rFonts w:ascii="Book Antiqua" w:hAnsi="Book Antiqua"/>
          <w:color w:val="000000" w:themeColor="text1"/>
          <w:lang w:val="en-US" w:eastAsia="en-US"/>
        </w:rPr>
        <w:fldChar w:fldCharType="end"/>
      </w:r>
      <w:r w:rsidRPr="008A5994">
        <w:rPr>
          <w:rFonts w:ascii="Book Antiqua" w:hAnsi="Book Antiqua"/>
          <w:color w:val="000000" w:themeColor="text1"/>
          <w:lang w:val="en-US" w:eastAsia="en-US"/>
        </w:rPr>
        <w:t xml:space="preserve">. In daily practice, this endpoint is limited by </w:t>
      </w:r>
      <w:r w:rsidRPr="008A5994">
        <w:rPr>
          <w:rFonts w:ascii="Book Antiqua" w:hAnsi="Book Antiqua"/>
          <w:color w:val="000000" w:themeColor="text1"/>
          <w:lang w:val="en-US"/>
        </w:rPr>
        <w:t>the potential risks</w:t>
      </w:r>
      <w:r w:rsidRPr="008A5994">
        <w:rPr>
          <w:rFonts w:ascii="Book Antiqua" w:hAnsi="Book Antiqua"/>
          <w:color w:val="000000" w:themeColor="text1"/>
          <w:lang w:val="en-US"/>
        </w:rPr>
        <w:fldChar w:fldCharType="begin"/>
      </w:r>
      <w:r w:rsidR="000B228F" w:rsidRPr="008A5994">
        <w:rPr>
          <w:rFonts w:ascii="Book Antiqua" w:hAnsi="Book Antiqua"/>
          <w:color w:val="000000" w:themeColor="text1"/>
          <w:lang w:val="en-US"/>
        </w:rPr>
        <w:instrText xml:space="preserve"> ADDIN ZOTERO_ITEM CSL_CITATION {"citationID":"LlFD9kY3","properties":{"formattedCitation":"\\super [5]\\nosupersub{}","plainCitation":"[5]","noteIndex":0},"citationItems":[{"id":"9UJ6C9IN/iZLQlvUq","uris":["http://zotero.org/users/local/DNVHcyNP/items/3GFQN2HR"],"uri":["http://zotero.org/users/local/DNVHcyNP/items/3GFQN2HR"],"itemData":{"id":"7RKp65V7/0U5eGhGW","type":"article-journal","title":"Colonoscopic perforations in inflammatory bowel disease: A retrospective study in a French referral centre","container-title":"Digestive and Liver Disease","page":"569-572","volume":"45","issue":"7","source":"Crossref","DOI":"10.1016/j.dld.2012.11.012","ISSN":"15908658","shortTitle":"Colonoscopic perforations in inflammatory bowel disease","language":"en","author":[{"family":"Buisson","given":"Anthony"},{"family":"Chevaux","given":"Jean-Baptiste"},{"family":"Hudziak","given":"Hervé"},{"family":"Bresler","given":"Laurent"},{"family":"Bigard","given":"Marc-André"},{"family":"Peyrin-Biroulet","given":"Laurent"}],"issued":{"date-parts":[["2013",7]]}}}],"schema":"https://github.com/citation-style-language/schema/raw/master/csl-citation.json"} </w:instrText>
      </w:r>
      <w:r w:rsidRPr="008A5994">
        <w:rPr>
          <w:rFonts w:ascii="Book Antiqua" w:hAnsi="Book Antiqua"/>
          <w:color w:val="000000" w:themeColor="text1"/>
          <w:lang w:val="en-US"/>
        </w:rPr>
        <w:fldChar w:fldCharType="separate"/>
      </w:r>
      <w:r w:rsidR="000B228F" w:rsidRPr="008A5994">
        <w:rPr>
          <w:rFonts w:ascii="Book Antiqua" w:hAnsi="Book Antiqua"/>
          <w:color w:val="000000" w:themeColor="text1"/>
          <w:vertAlign w:val="superscript"/>
          <w:lang w:val="en-US"/>
        </w:rPr>
        <w:t>[5]</w:t>
      </w:r>
      <w:r w:rsidRPr="008A5994">
        <w:rPr>
          <w:rFonts w:ascii="Book Antiqua" w:hAnsi="Book Antiqua"/>
          <w:color w:val="000000" w:themeColor="text1"/>
          <w:lang w:val="en-US"/>
        </w:rPr>
        <w:fldChar w:fldCharType="end"/>
      </w:r>
      <w:r w:rsidRPr="008A5994">
        <w:rPr>
          <w:rFonts w:ascii="Book Antiqua" w:hAnsi="Book Antiqua"/>
          <w:color w:val="000000" w:themeColor="text1"/>
          <w:lang w:val="en-US"/>
        </w:rPr>
        <w:t xml:space="preserve"> and </w:t>
      </w:r>
      <w:r w:rsidRPr="008A5994">
        <w:rPr>
          <w:rFonts w:ascii="Book Antiqua" w:hAnsi="Book Antiqua"/>
          <w:color w:val="000000" w:themeColor="text1"/>
          <w:lang w:val="en-US" w:eastAsia="en-US"/>
        </w:rPr>
        <w:t>the need of repeated endoscopic procedures, which is felt as a burden by patients with CD</w:t>
      </w:r>
      <w:r w:rsidRPr="008A5994">
        <w:rPr>
          <w:rFonts w:ascii="Book Antiqua" w:hAnsi="Book Antiqua"/>
          <w:color w:val="000000" w:themeColor="text1"/>
          <w:lang w:val="en-US" w:eastAsia="en-US"/>
        </w:rPr>
        <w:fldChar w:fldCharType="begin"/>
      </w:r>
      <w:r w:rsidR="000B228F" w:rsidRPr="008A5994">
        <w:rPr>
          <w:rFonts w:ascii="Book Antiqua" w:hAnsi="Book Antiqua"/>
          <w:color w:val="000000" w:themeColor="text1"/>
          <w:lang w:val="en-US" w:eastAsia="en-US"/>
        </w:rPr>
        <w:instrText xml:space="preserve"> ADDIN ZOTERO_ITEM CSL_CITATION {"citationID":"ugtf6A9S","properties":{"formattedCitation":"\\super [6]\\nosupersub{}","plainCitation":"[6]","noteIndex":0},"citationItems":[{"id":"9UJ6C9IN/qV7EQRXw","uris":["http://zotero.org/users/local/DNVHcyNP/items/NAHLPLU5"],"uri":["http://zotero.org/users/local/DNVHcyNP/items/NAHLPLU5"],"itemData":{"id":"7RKp65V7/5kzy5OvM","type":"article-journal","title":"Comparative Acceptability and Perceived Clinical Utility of Monitoring Tools: A Nationwide Survey of Patients with Inflammatory Bowel Disease","container-title":"Inflammatory Bowel Diseases","page":"1425-1433","volume":"23","issue":"8","source":"PubMed","abstract":"BACKGROUND: Objective control of intestinal inflammation during inflammatory bowel disease (IBD) is becoming the main driver for medical treatment. However, the monitoring tools-related burden remains poorly investigated. We aimed to evaluate their comparative acceptability and utility according to patients with IBD.\nMETHODS: After a preliminary phase, the final questionnaire encompassing self-administered and physician questionnaires was prospectively and consecutively submitted to 916 patients with IBD from 20 public and private centers. Acceptability and utility visual analog scales (VAS) were expressed as median with interquartile range.\nRESULTS: Regarding the group of patients with Crohn's disease (n = 618), venipuncture (VAS = 9.3 [8.8-9.7]) and ultrasonography (VAS = 9.3 [8.7-9.7]) were the most acceptable tools (P &lt; 0.0001, for each comparison), whereas rectosigmoidoscopy was the least acceptable tool (VAS = 4.4 [1.2-7.3]) (P &lt; 0.0001, for each comparison). Wireless capsule endoscopy (VAS = 8.5 [5.2-9.3]), magnetic resonance enterocolonography (VAS = 8.0 [5.0-9.2]), and stools collection (VAS = 7.7 [4.6-9.3]) were more acceptable than colonoscopy (VAS = 6.7 [4.3-8.9]) (P &lt; 0.0001, for each comparison). The acceptability was assessed in 298 patients with ulcerative colitis for venipuncture (VAS = 9.4 [8.8-9.7]), stools collection (VAS = 8.1 [5.7-9.4]), colonoscopy (VAS = 7.5 [4.7-9.2]), and rectosigmoidoscopy (VAS = 6.7 [2.8-9.1]); (P &lt; 0.001 for each comparison). All monitoring tools were considered as highly useful by patients with IBD. Decreased acceptability was related to embarrassment for the collection/transport of stools (60.7%), bowel cleansing (76.3%) for colonoscopy, abdominal discomfort (51.3%) and rectal enema (36.6%) for rectosigmoidoscopy, bowel distension (48.3%) for magnetic resonance enterocolonography, and potential capsule retention (21.4%) for wireless capsule endoscopy.\nCONCLUSIONS: Among the IBD monitoring tools, endoscopy demonstrated the lowest acceptability supporting the development of alternative modalities. Patients' information and examination conditions should be improved to ensure proper monitoring adherence.","DOI":"10.1097/MIB.0000000000001140","ISSN":"1536-4844","note":"PMID: 28570431","shortTitle":"Comparative Acceptability and Perceived Clinical Utility of Monitoring Tools","journalAbbreviation":"Inflamm. Bowel Dis.","language":"eng","author":[{"family":"Buisson","given":"Anthony"},{"family":"Gonzalez","given":"Florent"},{"family":"Poullenot","given":"Florian"},{"family":"Nancey","given":"Stéphane"},{"family":"Sollellis","given":"Elisa"},{"family":"Fumery","given":"Mathurin"},{"family":"Pariente","given":"Benjamin"},{"family":"Flamant","given":"Mathurin"},{"family":"Trang-Poisson","given":"Caroline"},{"family":"Bonnaud","given":"Guillaume"},{"family":"Mathieu","given":"Stéphane"},{"family":"Thevenin","given":"Alain"},{"family":"Duruy","given":"Marc"},{"family":"Filippi","given":"Jérôme"},{"family":"L</w:instrText>
      </w:r>
      <w:r w:rsidR="000B228F" w:rsidRPr="008A5994">
        <w:rPr>
          <w:rFonts w:ascii="Calibri" w:eastAsia="Calibri" w:hAnsi="Calibri" w:cs="Calibri"/>
          <w:color w:val="000000" w:themeColor="text1"/>
          <w:lang w:val="en-US" w:eastAsia="en-US"/>
        </w:rPr>
        <w:instrText>ʼ</w:instrText>
      </w:r>
      <w:r w:rsidR="000B228F" w:rsidRPr="008A5994">
        <w:rPr>
          <w:rFonts w:ascii="Book Antiqua" w:hAnsi="Book Antiqua"/>
          <w:color w:val="000000" w:themeColor="text1"/>
          <w:lang w:val="en-US" w:eastAsia="en-US"/>
        </w:rPr>
        <w:instrText>hopital","given":"Fran</w:instrText>
      </w:r>
      <w:r w:rsidR="000B228F" w:rsidRPr="008A5994">
        <w:rPr>
          <w:rFonts w:ascii="Book Antiqua" w:hAnsi="Book Antiqua" w:cs="Book Antiqua"/>
          <w:color w:val="000000" w:themeColor="text1"/>
          <w:lang w:val="en-US" w:eastAsia="en-US"/>
        </w:rPr>
        <w:instrText>ç</w:instrText>
      </w:r>
      <w:r w:rsidR="000B228F" w:rsidRPr="008A5994">
        <w:rPr>
          <w:rFonts w:ascii="Book Antiqua" w:hAnsi="Book Antiqua"/>
          <w:color w:val="000000" w:themeColor="text1"/>
          <w:lang w:val="en-US" w:eastAsia="en-US"/>
        </w:rPr>
        <w:instrText xml:space="preserve">ois"},{"family":"Luneau","given":"Fabrice"},{"family":"Michalet","given":"Véronique"},{"family":"Genès","given":"Julien"},{"family":"Achim","given":"Anca"},{"family":"Cruzille","given":"Emmanuelle"},{"family":"Bommelaer","given":"Gilles"},{"family":"Laharie","given":"David"},{"family":"Peyrin-Biroulet","given":"Laurent"},{"family":"Pereira","given":"Bruno"},{"family":"Nachury","given":"Maria"},{"family":"Bouguen","given":"Guillaume"},{"literal":"ACCEPT study group"}],"issued":{"date-parts":[["2017"]]}}}],"schema":"https://github.com/citation-style-language/schema/raw/master/csl-citation.json"} </w:instrText>
      </w:r>
      <w:r w:rsidRPr="008A5994">
        <w:rPr>
          <w:rFonts w:ascii="Book Antiqua" w:hAnsi="Book Antiqua"/>
          <w:color w:val="000000" w:themeColor="text1"/>
          <w:lang w:val="en-US" w:eastAsia="en-US"/>
        </w:rPr>
        <w:fldChar w:fldCharType="separate"/>
      </w:r>
      <w:r w:rsidR="000B228F" w:rsidRPr="008A5994">
        <w:rPr>
          <w:rFonts w:ascii="Book Antiqua" w:hAnsi="Book Antiqua"/>
          <w:color w:val="000000" w:themeColor="text1"/>
          <w:vertAlign w:val="superscript"/>
          <w:lang w:val="en-US"/>
        </w:rPr>
        <w:t>[6]</w:t>
      </w:r>
      <w:r w:rsidRPr="008A5994">
        <w:rPr>
          <w:rFonts w:ascii="Book Antiqua" w:hAnsi="Book Antiqua"/>
          <w:color w:val="000000" w:themeColor="text1"/>
          <w:lang w:val="en-US" w:eastAsia="en-US"/>
        </w:rPr>
        <w:fldChar w:fldCharType="end"/>
      </w:r>
      <w:r w:rsidRPr="008A5994">
        <w:rPr>
          <w:rFonts w:ascii="Book Antiqua" w:hAnsi="Book Antiqua"/>
          <w:color w:val="000000" w:themeColor="text1"/>
          <w:lang w:val="en-US" w:eastAsia="en-US"/>
        </w:rPr>
        <w:t xml:space="preserve">. </w:t>
      </w:r>
    </w:p>
    <w:p w14:paraId="51DB14A3" w14:textId="747BF413" w:rsidR="008707A9" w:rsidRPr="008A5994" w:rsidRDefault="00AB38A7" w:rsidP="008A5994">
      <w:pPr>
        <w:widowControl w:val="0"/>
        <w:autoSpaceDE w:val="0"/>
        <w:autoSpaceDN w:val="0"/>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eastAsia="en-US"/>
        </w:rPr>
        <w:t xml:space="preserve">  </w:t>
      </w:r>
      <w:proofErr w:type="spellStart"/>
      <w:r w:rsidR="008707A9" w:rsidRPr="008A5994">
        <w:rPr>
          <w:rFonts w:ascii="Book Antiqua" w:hAnsi="Book Antiqua"/>
          <w:color w:val="000000" w:themeColor="text1"/>
          <w:lang w:val="en-US" w:eastAsia="en-US"/>
        </w:rPr>
        <w:t>Faecal</w:t>
      </w:r>
      <w:proofErr w:type="spellEnd"/>
      <w:r w:rsidR="008707A9" w:rsidRPr="008A5994">
        <w:rPr>
          <w:rFonts w:ascii="Book Antiqua" w:hAnsi="Book Antiqua"/>
          <w:color w:val="000000" w:themeColor="text1"/>
          <w:lang w:val="en-US" w:eastAsia="en-US"/>
        </w:rPr>
        <w:t xml:space="preserve"> calprotectin (</w:t>
      </w:r>
      <w:proofErr w:type="spellStart"/>
      <w:r w:rsidR="008707A9" w:rsidRPr="008A5994">
        <w:rPr>
          <w:rFonts w:ascii="Book Antiqua" w:hAnsi="Book Antiqua"/>
          <w:color w:val="000000" w:themeColor="text1"/>
          <w:lang w:val="en-US" w:eastAsia="en-US"/>
        </w:rPr>
        <w:t>Fcal</w:t>
      </w:r>
      <w:proofErr w:type="spellEnd"/>
      <w:r w:rsidR="008707A9" w:rsidRPr="008A5994">
        <w:rPr>
          <w:rFonts w:ascii="Book Antiqua" w:hAnsi="Book Antiqua"/>
          <w:color w:val="000000" w:themeColor="text1"/>
          <w:lang w:val="en-US" w:eastAsia="en-US"/>
        </w:rPr>
        <w:t>) is a well-accepted monitoring tool and a surrogate marker of mucosal healing</w:t>
      </w:r>
      <w:r w:rsidR="008707A9" w:rsidRPr="008A5994">
        <w:rPr>
          <w:rFonts w:ascii="Book Antiqua" w:hAnsi="Book Antiqua"/>
          <w:color w:val="000000" w:themeColor="text1"/>
          <w:lang w:val="en-US" w:eastAsia="en-US"/>
        </w:rPr>
        <w:fldChar w:fldCharType="begin"/>
      </w:r>
      <w:r w:rsidR="000B228F" w:rsidRPr="008A5994">
        <w:rPr>
          <w:rFonts w:ascii="Book Antiqua" w:hAnsi="Book Antiqua"/>
          <w:color w:val="000000" w:themeColor="text1"/>
          <w:lang w:val="en-US" w:eastAsia="en-US"/>
        </w:rPr>
        <w:instrText xml:space="preserve"> ADDIN ZOTERO_ITEM CSL_CITATION {"citationID":"NsrmtVc8","properties":{"formattedCitation":"\\super [6\\uc0\\u8211{}8]\\nosupersub{}","plainCitation":"[6–8]","noteIndex":0},"citationItems":[{"id":"9UJ6C9IN/qV7EQRXw","uris":["http://zotero.org/users/local/DNVHcyNP/items/NAHLPLU5"],"uri":["http://zotero.org/users/local/DNVHcyNP/items/NAHLPLU5"],"itemData":{"id":"7RKp65V7/5kzy5OvM","type":"article-journal","title":"Comparative Acceptability and Perceived Clinical Utility of Monitoring Tools: A Nationwide Survey of Patients with Inflammatory Bowel Disease","container-title":"Inflammatory Bowel Diseases","page":"1425-1433","volume":"23","issue":"8","source":"PubMed","abstract":"BACKGROUND: Objective control of intestinal inflammation during inflammatory bowel disease (IBD) is becoming the main driver for medical treatment. However, the monitoring tools-related burden remains poorly investigated. We aimed to evaluate their comparative acceptability and utility according to patients with IBD.\nMETHODS: After a preliminary phase, the final questionnaire encompassing self-administered and physician questionnaires was prospectively and consecutively submitted to 916 patients with IBD from 20 public and private centers. Acceptability and utility visual analog scales (VAS) were expressed as median with interquartile range.\nRESULTS: Regarding the group of patients with Crohn's disease (n = 618), venipuncture (VAS = 9.3 [8.8-9.7]) and ultrasonography (VAS = 9.3 [8.7-9.7]) were the most acceptable tools (P &lt; 0.0001, for each comparison), whereas rectosigmoidoscopy was the least acceptable tool (VAS = 4.4 [1.2-7.3]) (P &lt; 0.0001, for each comparison). Wireless capsule endoscopy (VAS = 8.5 [5.2-9.3]), magnetic resonance enterocolonography (VAS = 8.0 [5.0-9.2]), and stools collection (VAS = 7.7 [4.6-9.3]) were more acceptable than colonoscopy (VAS = 6.7 [4.3-8.9]) (P &lt; 0.0001, for each comparison). The acceptability was assessed in 298 patients with ulcerative colitis for venipuncture (VAS = 9.4 [8.8-9.7]), stools collection (VAS = 8.1 [5.7-9.4]), colonoscopy (VAS = 7.5 [4.7-9.2]), and rectosigmoidoscopy (VAS = 6.7 [2.8-9.1]); (P &lt; 0.001 for each comparison). All monitoring tools were considered as highly useful by patients with IBD. Decreased acceptability was related to embarrassment for the collection/transport of stools (60.7%), bowel cleansing (76.3%) for colonoscopy, abdominal discomfort (51.3%) and rectal enema (36.6%) for rectosigmoidoscopy, bowel distension (48.3%) for magnetic resonance enterocolonography, and potential capsule retention (21.4%) for wireless capsule endoscopy.\nCONCLUSIONS: Among the IBD monitoring tools, endoscopy demonstrated the lowest acceptability supporting the development of alternative modalities. Patients' information and examination conditions should be improved to ensure proper monitoring adherence.","DOI":"10.1097/MIB.0000000000001140","ISSN":"1536-4844","note":"PMID: 28570431","shortTitle":"Comparative Acceptability and Perceived Clinical Utility of Monitoring Tools","journalAbbreviation":"Inflamm. Bowel Dis.","language":"eng","author":[{"family":"Buisson","given":"Anthony"},{"family":"Gonzalez","given":"Florent"},{"family":"Poullenot","given":"Florian"},{"family":"Nancey","given":"Stéphane"},{"family":"Sollellis","given":"Elisa"},{"family":"Fumery","given":"Mathurin"},{"family":"Pariente","given":"Benjamin"},{"family":"Flamant","given":"Mathurin"},{"family":"Trang-Poisson","given":"Caroline"},{"family":"Bonnaud","given":"Guillaume"},{"family":"Mathieu","given":"Stéphane"},{"family":"Thevenin","given":"Alain"},{"family":"Duruy","given":"Marc"},{"family":"Filippi","given":"Jérôme"},{"family":"L</w:instrText>
      </w:r>
      <w:r w:rsidR="000B228F" w:rsidRPr="008A5994">
        <w:rPr>
          <w:rFonts w:ascii="Calibri" w:eastAsia="Calibri" w:hAnsi="Calibri" w:cs="Calibri"/>
          <w:color w:val="000000" w:themeColor="text1"/>
          <w:lang w:val="en-US" w:eastAsia="en-US"/>
        </w:rPr>
        <w:instrText>ʼ</w:instrText>
      </w:r>
      <w:r w:rsidR="000B228F" w:rsidRPr="008A5994">
        <w:rPr>
          <w:rFonts w:ascii="Book Antiqua" w:hAnsi="Book Antiqua"/>
          <w:color w:val="000000" w:themeColor="text1"/>
          <w:lang w:val="en-US" w:eastAsia="en-US"/>
        </w:rPr>
        <w:instrText>hopital","given":"Fran</w:instrText>
      </w:r>
      <w:r w:rsidR="000B228F" w:rsidRPr="008A5994">
        <w:rPr>
          <w:rFonts w:ascii="Book Antiqua" w:hAnsi="Book Antiqua" w:cs="Book Antiqua"/>
          <w:color w:val="000000" w:themeColor="text1"/>
          <w:lang w:val="en-US" w:eastAsia="en-US"/>
        </w:rPr>
        <w:instrText>ç</w:instrText>
      </w:r>
      <w:r w:rsidR="000B228F" w:rsidRPr="008A5994">
        <w:rPr>
          <w:rFonts w:ascii="Book Antiqua" w:hAnsi="Book Antiqua"/>
          <w:color w:val="000000" w:themeColor="text1"/>
          <w:lang w:val="en-US" w:eastAsia="en-US"/>
        </w:rPr>
        <w:instrText xml:space="preserve">ois"},{"family":"Luneau","given":"Fabrice"},{"family":"Michalet","given":"Véronique"},{"family":"Genès","given":"Julien"},{"family":"Achim","given":"Anca"},{"family":"Cruzille","given":"Emmanuelle"},{"family":"Bommelaer","given":"Gilles"},{"family":"Laharie","given":"David"},{"family":"Peyrin-Biroulet","given":"Laurent"},{"family":"Pereira","given":"Bruno"},{"family":"Nachury","given":"Maria"},{"family":"Bouguen","given":"Guillaume"},{"literal":"ACCEPT study group"}],"issued":{"date-parts":[["2017"]]}}},{"id":491,"uris":["http://zotero.org/users/751086/items/D3IDSXCC"],"uri":["http://zotero.org/users/751086/items/D3IDSXCC"],"itemData":{"id":491,"type":"article-journal","title":"Fecal calprotectin is a surrogate marker for endoscopic lesions in inflammatory bowel disease","container-title":"Inflammatory Bowel Diseases","page":"2218-2224","volume":"18","issue":"12","source":"PubMed","abstract":"BACKGROUND: Fecal calprotectin is a marker of inflammation in inflammatory bowel disease (IBD). Since mucosal healing has become a goal of treatment in IBD we examined how reliably calprotectin levels reflect mucosal disease activity.\nMETHODS: In all, 126 IBD patients and 32 irritable bowel syndrome (IBS) patients needing colonoscopy delivered a sample of feces prior to the start of bowel cleansing. Besides collection of symptom scores and blood tests, experienced endoscopists recorded the Simple Endoscopic Score for Crohn's Disease (SES-CD) and the Crohn's Disease Endoscopic Index of Severity (CDEIS) in Crohn's disease (CD) patients and the Mayo endoscopic score in ulcerative colitis (UC) patients. Stool samples were shipped for central calprotectin PhiCal Assay (enzyme-linked immunosorbent assay [ELISA]). Correlation analysis was done with Pearson statistics.\nRESULTS: The median (interquartile range [IQR]) fecal calprotectin levels were 175 (44-938) μg/g in CD, 465 (61-1128) μg/g in UC, and 54 (16-139) μg/g in IBS. Correlations were significant with endoscopic disease scores in both CD and in UC. Using ROC statistics, a cutoff value of 250 μg/g indicated the presence of large ulcers with a sensitivity of 60.4% and a specificity of 79.5% (positive predictive value [PPV] 78.4%, negative predictive value [NPV] 62.0%) in CD. Levels ≤ 250 μg/g predicted endoscopic remission (CDEIS ≤ 3) with 94.1% sensitivity and 62.2% specificity (PPV 48.5%, NPV 96.6%). In UC, a fecal calprotectin &gt;250 μg/g gave a sensitivity of 71.0% and a specificity of 100.0% (PPV 100.0%, NPV 47.1%) for active mucosal disease activity (Mayo &gt;0). Calprotectin levels significantly correlated with symptom scores in UC (r = 0.561, P &lt; 0.001), but not in CD.\nCONCLUSIONS: Fecal calprotectin levels correlate significantly with endoscopic disease activity in IBD. The test appears useful in clinical practice for assessment of endoscopic activity and remission.","DOI":"10.1002/ibd.22917","ISSN":"1536-4844","note":"PMID: 22344983","journalAbbreviation":"Inflamm. Bowel Dis.","language":"eng","author":[{"family":"D'Haens","given":"Geert"},{"family":"Ferrante","given":"Marc"},{"family":"Vermeire","given":"Severine"},{"family":"Baert","given":"Filip"},{"family":"Noman","given":"Maja"},{"family":"Moortgat","given":"Liesbeth"},{"family":"Geens","given":"Patricia"},{"family":"Iwens","given":"Doreen"},{"family":"Aerden","given":"Isolde"},{"family":"Van Assche","given":"Gert"},{"family":"Van Olmen","given":"Gust"},{"family":"Rutgeerts","given":"Paul"}],"issued":{"date-parts":[["2012",12]]}}},{"id":3366,"uris":["http://zotero.org/users/751086/items/7GXEGK7Q"],"uri":["http://zotero.org/users/751086/items/7GXEGK7Q"],"itemData":{"id":3366,"type":"article-journal","title":"Endoscopic Factors Influencing Fecal Calprotectin Value in Crohn's Disease","container-title":"Journal of Crohn's &amp; Colitis","page":"1113-1119","volume":"9","issue":"12","source":"PubMed","abstract":"BACKGROUND AND AIMS: Fecal calprotectin [fcal] is a biomarker of Crohn's disease [CD] endoscopic activity. Identifying the endoscopic situations in which fcal is less reliable remains unexplored. We aimed to determine the endoscopic factors influencing fcal level in CD.\nMETHODS: Overall, 53 CD patients consecutively and prospectively underwent colonoscopy, with CD Endoscopic Index of Severity [CDEIS] calculation and stool collection. Fcal was measured using a quantitative immunochromatographic test. Correlation analysis was done with Pearson statistics.\nRESULTS: Fcal was correlated with CDEIS [0.66, p &lt; 0.001]. In univariate analysis, fcal was correlated with the affected surface [0.65, p &lt; 0.001] and the ulcerated surface [0.47, p &lt; 0.001]. Fcal was significantly associated with ulceration depth, with median fcal of 867.5 µg/g, 1251.0 µg/g, and 1800.0 µg/g, in patients presenting with non-ulcerated lesions, superficial ulcerations [SU], and deep ulcerations [DU], respectively. Lesion locations did not influence fcal. In multivariate analysis, fcal was associated with affected surface [p = 0.04] and the presence of CD lesions. Moreover, fcal increased with the ulceration depth [p = 0.03]. However, ulcerated surface and CD location did not affect fcal. Using a receiver operating characteristic [ROC] curve, we showed that fcal of 400 µg/g was the best compromise between sensitivity [0.76] and specificity [0.77], whereas fcal ≥ 200 µg/g was highly sensitive [0.86] to detect SU or DU.\nCONCLUSIONS: Fcal is a very reliable biomarker to detect endoscopic ulcerations in CD. We suggest repeating measurement in case of intermediary results [200-400 µg/g] in daily practice. Fcal level is mostly influenced by the presence of CD lesions [even non-ulcerated], in a depth-related manner and by the affected surface.","DOI":"10.1093/ecco-jcc/jjv150","ISSN":"1876-4479","note":"PMID: 26351383","journalAbbreviation":"J Crohns Colitis","language":"eng","author":[{"family":"Goutorbe","given":"F."},{"family":"Goutte","given":"M."},{"family":"Minet-Quinard","given":"R."},{"family":"Boucher","given":"A.-L."},{"family":"Pereira","given":"B."},{"family":"Bommelaer","given":"G."},{"family":"Buisson","given":"A."}],"issued":{"date-parts":[["2015",12]]}}}],"schema":"https://github.com/citation-style-language/schema/raw/master/csl-citation.json"} </w:instrText>
      </w:r>
      <w:r w:rsidR="008707A9" w:rsidRPr="008A5994">
        <w:rPr>
          <w:rFonts w:ascii="Book Antiqua" w:hAnsi="Book Antiqua"/>
          <w:color w:val="000000" w:themeColor="text1"/>
          <w:lang w:val="en-US" w:eastAsia="en-US"/>
        </w:rPr>
        <w:fldChar w:fldCharType="separate"/>
      </w:r>
      <w:r w:rsidR="000B228F" w:rsidRPr="008A5994">
        <w:rPr>
          <w:rFonts w:ascii="Book Antiqua" w:hAnsi="Book Antiqua"/>
          <w:color w:val="000000" w:themeColor="text1"/>
          <w:vertAlign w:val="superscript"/>
          <w:lang w:val="en-US"/>
        </w:rPr>
        <w:t>[6</w:t>
      </w:r>
      <w:r>
        <w:rPr>
          <w:rFonts w:ascii="Book Antiqua" w:hAnsi="Book Antiqua"/>
          <w:color w:val="000000" w:themeColor="text1"/>
          <w:vertAlign w:val="superscript"/>
          <w:lang w:val="en-US"/>
        </w:rPr>
        <w:t>-</w:t>
      </w:r>
      <w:r w:rsidR="000B228F" w:rsidRPr="008A5994">
        <w:rPr>
          <w:rFonts w:ascii="Book Antiqua" w:hAnsi="Book Antiqua"/>
          <w:color w:val="000000" w:themeColor="text1"/>
          <w:vertAlign w:val="superscript"/>
          <w:lang w:val="en-US"/>
        </w:rPr>
        <w:t>8]</w:t>
      </w:r>
      <w:r w:rsidR="008707A9" w:rsidRPr="008A5994">
        <w:rPr>
          <w:rFonts w:ascii="Book Antiqua" w:hAnsi="Book Antiqua"/>
          <w:color w:val="000000" w:themeColor="text1"/>
          <w:lang w:val="en-US" w:eastAsia="en-US"/>
        </w:rPr>
        <w:fldChar w:fldCharType="end"/>
      </w:r>
      <w:r w:rsidR="008707A9" w:rsidRPr="008A5994">
        <w:rPr>
          <w:rFonts w:ascii="Book Antiqua" w:hAnsi="Book Antiqua"/>
          <w:color w:val="000000" w:themeColor="text1"/>
          <w:lang w:val="en-US" w:eastAsia="en-US"/>
        </w:rPr>
        <w:t xml:space="preserve"> and could then be an alternative. However, the STRIDE guidelines c</w:t>
      </w:r>
      <w:r>
        <w:rPr>
          <w:rFonts w:ascii="Book Antiqua" w:hAnsi="Book Antiqua"/>
          <w:color w:val="000000" w:themeColor="text1"/>
          <w:lang w:val="en-US" w:eastAsia="en-US"/>
        </w:rPr>
        <w:t xml:space="preserve">onsidered that </w:t>
      </w:r>
      <w:proofErr w:type="spellStart"/>
      <w:r>
        <w:rPr>
          <w:rFonts w:ascii="Book Antiqua" w:hAnsi="Book Antiqua"/>
          <w:color w:val="000000" w:themeColor="text1"/>
          <w:lang w:val="en-US" w:eastAsia="en-US"/>
        </w:rPr>
        <w:t>Fc</w:t>
      </w:r>
      <w:r w:rsidR="008707A9" w:rsidRPr="008A5994">
        <w:rPr>
          <w:rFonts w:ascii="Book Antiqua" w:hAnsi="Book Antiqua"/>
          <w:color w:val="000000" w:themeColor="text1"/>
          <w:lang w:val="en-US" w:eastAsia="en-US"/>
        </w:rPr>
        <w:t>al</w:t>
      </w:r>
      <w:proofErr w:type="spellEnd"/>
      <w:r w:rsidR="008707A9" w:rsidRPr="008A5994">
        <w:rPr>
          <w:rFonts w:ascii="Book Antiqua" w:hAnsi="Book Antiqua"/>
          <w:color w:val="000000" w:themeColor="text1"/>
          <w:lang w:val="en-US" w:eastAsia="en-US"/>
        </w:rPr>
        <w:t xml:space="preserve"> was not a target because of insufficient evidence to recommend treatment optimization using biomarkers alone</w:t>
      </w:r>
      <w:r w:rsidR="008707A9" w:rsidRPr="008A5994">
        <w:rPr>
          <w:rFonts w:ascii="Book Antiqua" w:hAnsi="Book Antiqua"/>
          <w:color w:val="000000" w:themeColor="text1"/>
          <w:lang w:val="en-US" w:eastAsia="en-US"/>
        </w:rPr>
        <w:fldChar w:fldCharType="begin"/>
      </w:r>
      <w:r w:rsidR="000B228F" w:rsidRPr="008A5994">
        <w:rPr>
          <w:rFonts w:ascii="Book Antiqua" w:hAnsi="Book Antiqua"/>
          <w:color w:val="000000" w:themeColor="text1"/>
          <w:lang w:val="en-US" w:eastAsia="en-US"/>
        </w:rPr>
        <w:instrText xml:space="preserve"> ADDIN ZOTERO_ITEM CSL_CITATION {"citationID":"r9Cic5ju","properties":{"formattedCitation":"\\super [4]\\nosupersub{}","plainCitation":"[4]","noteIndex":0},"citationItems":[{"id":"9UJ6C9IN/5nzM8uCG","uris":["http://zotero.org/users/local/DNVHcyNP/items/BCXSQDLH"],"uri":["http://zotero.org/users/local/DNVHcyNP/items/BCXSQDLH"],"itemData":{"id":"LXBO5zXI/3IXpxlQU","type":"article-journal","title":"Selecting Therapeutic Targets in Inflammatory Bowel Disease (STRIDE): Determining Therapeutic Goals for Treat-to-Target","container-title":"The American Journal of Gastroenterology","page":"1324-1338","volume":"110","issue":"9","source":"Crossref","DOI":"10.1038/ajg.2015.233","ISSN":"0002-9270, 1572-0241","shortTitle":"Selecting Therapeutic Targets in Inflammatory Bowel Disease (STRIDE)","language":"en","author":[{"family":"Peyrin-Biroulet","given":"L"},{"family":"Sandborn","given":"W"},{"family":"Sands","given":"B E"},{"family":"Reinisch","given":"W"},{"family":"Bemelman","given":"W"},{"family":"Bryant","given":"R V"},{"family":"D'Haens","given":"G"},{"family":"Dotan","given":"I"},{"family":"Dubinsky","given":"M"},{"family":"Feagan","given":"B"},{"family":"Fiorino","given":"G"},{"family":"Gearry","given":"R"},{"family":"Krishnareddy","given":"S"},{"family":"Lakatos","given":"P L"},{"family":"Loftus Jr","given":"E V"},{"family":"Marteau","given":"P"},{"family":"Munkholm","given":"P"},{"family":"Murdoch","given":"T B"},{"family":"Ordás","given":"I"},{"family":"Panaccione","given":"R"},{"family":"Riddell","given":"R H"},{"family":"Ruel","given":"J"},{"family":"Rubin","given":"D T"},{"family":"Samaan","given":"M"},{"family":"Siegel","given":"C A"},{"family":"Silverberg","given":"M S"},{"family":"Stoker","given":"J"},{"family":"Schreiber","given":"S"},{"family":"Travis","given":"S"},{"family":"Van Assche","given":"G"},{"family":"Danese","given":"S"},{"family":"Panes","given":"J"},{"family":"Bouguen","given":"G"},{"family":"O'Donnell","given":"S"},{"family":"Pariente","given":"B"},{"family":"Winer","given":"S"},{"family":"Hanauer","given":"S"},{"family":"Colombel","given":"J -F"}],"issued":{"date-parts":[["2015",9]]}}}],"schema":"https://github.com/citation-style-language/schema/raw/master/csl-citation.json"} </w:instrText>
      </w:r>
      <w:r w:rsidR="008707A9" w:rsidRPr="008A5994">
        <w:rPr>
          <w:rFonts w:ascii="Book Antiqua" w:hAnsi="Book Antiqua"/>
          <w:color w:val="000000" w:themeColor="text1"/>
          <w:lang w:val="en-US" w:eastAsia="en-US"/>
        </w:rPr>
        <w:fldChar w:fldCharType="separate"/>
      </w:r>
      <w:r w:rsidR="000B228F" w:rsidRPr="008A5994">
        <w:rPr>
          <w:rFonts w:ascii="Book Antiqua" w:hAnsi="Book Antiqua"/>
          <w:color w:val="000000" w:themeColor="text1"/>
          <w:vertAlign w:val="superscript"/>
          <w:lang w:val="en-US"/>
        </w:rPr>
        <w:t>[4]</w:t>
      </w:r>
      <w:r w:rsidR="008707A9" w:rsidRPr="008A5994">
        <w:rPr>
          <w:rFonts w:ascii="Book Antiqua" w:hAnsi="Book Antiqua"/>
          <w:color w:val="000000" w:themeColor="text1"/>
          <w:lang w:val="en-US" w:eastAsia="en-US"/>
        </w:rPr>
        <w:fldChar w:fldCharType="end"/>
      </w:r>
      <w:r w:rsidR="008707A9" w:rsidRPr="008A5994">
        <w:rPr>
          <w:rFonts w:ascii="Book Antiqua" w:hAnsi="Book Antiqua"/>
          <w:color w:val="000000" w:themeColor="text1"/>
          <w:lang w:val="en-US" w:eastAsia="en-US"/>
        </w:rPr>
        <w:t xml:space="preserve">. Recently, the CALM </w:t>
      </w:r>
      <w:r w:rsidR="00D55B71" w:rsidRPr="008A5994">
        <w:rPr>
          <w:rFonts w:ascii="Book Antiqua" w:hAnsi="Book Antiqua"/>
          <w:color w:val="000000" w:themeColor="text1"/>
          <w:lang w:val="en-US" w:eastAsia="en-US"/>
        </w:rPr>
        <w:t xml:space="preserve"> </w:t>
      </w:r>
      <w:r w:rsidR="008707A9" w:rsidRPr="008A5994">
        <w:rPr>
          <w:rFonts w:ascii="Book Antiqua" w:hAnsi="Book Antiqua"/>
          <w:color w:val="000000" w:themeColor="text1"/>
          <w:lang w:val="en-US" w:eastAsia="en-US"/>
        </w:rPr>
        <w:t>trial compared two ways of monitoring patients</w:t>
      </w:r>
      <w:r w:rsidR="00742091" w:rsidRPr="008A5994">
        <w:rPr>
          <w:rFonts w:ascii="Book Antiqua" w:hAnsi="Book Antiqua"/>
          <w:color w:val="000000" w:themeColor="text1"/>
          <w:lang w:val="en-US" w:eastAsia="en-US"/>
        </w:rPr>
        <w:t xml:space="preserve"> with inflammatory bowel disease (IBD) </w:t>
      </w:r>
      <w:r w:rsidR="008707A9" w:rsidRPr="008A5994">
        <w:rPr>
          <w:rFonts w:ascii="Book Antiqua" w:hAnsi="Book Antiqua"/>
          <w:color w:val="000000" w:themeColor="text1"/>
          <w:lang w:val="en-US" w:eastAsia="en-US"/>
        </w:rPr>
        <w:t>treated with adalimumab</w:t>
      </w:r>
      <w:r w:rsidR="008707A9" w:rsidRPr="008A5994">
        <w:rPr>
          <w:rFonts w:ascii="Book Antiqua" w:hAnsi="Book Antiqua"/>
          <w:color w:val="000000" w:themeColor="text1"/>
          <w:lang w:val="en-US" w:eastAsia="en-US"/>
        </w:rPr>
        <w:fldChar w:fldCharType="begin"/>
      </w:r>
      <w:r w:rsidR="000B228F" w:rsidRPr="008A5994">
        <w:rPr>
          <w:rFonts w:ascii="Book Antiqua" w:hAnsi="Book Antiqua"/>
          <w:color w:val="000000" w:themeColor="text1"/>
          <w:lang w:val="en-US" w:eastAsia="en-US"/>
        </w:rPr>
        <w:instrText xml:space="preserve"> ADDIN ZOTERO_ITEM CSL_CITATION {"citationID":"qNdA3ucD","properties":{"formattedCitation":"\\super [9]\\nosupersub{}","plainCitation":"[9]","noteIndex":0},"citationItems":[{"id":"9UJ6C9IN/PiKngbbu","uris":["http://zotero.org/users/local/DNVHcyNP/items/IUHUFVKJ"],"uri":["http://zotero.org/users/local/DNVHcyNP/items/IUHUFVKJ"],"itemData":{"id":"LXBO5zXI/RkkkqrM2","type":"article-journal","title":"Effect of tight control management on Crohn's disease (CALM): a multicentre, randomised, controlled phase 3 trial","container-title":"Lancet (London, England)","page":"2779-2789","volume":"390","issue":"10114","source":"PubMed","abstract":"BACKGROUND: Biomarkers of intestinal inflammation, such as faecal calprotectin and C-reactive protein, have been recommended for monitoring patients with Crohn's disease, but whether their use in treatment decisions improves outcomes is unknown. We aimed to compare endoscopic and clinical outcomes in patients with moderate to severe Crohn's disease who were managed with a tight control algorithm, using clinical symptoms and biomarkers, versus patients managed with a clinical management algorithm.\nMETHODS: CALM was an open-label, randomised, controlled phase 3 study, done in 22 countries at 74 hospitals and outpatient centres, which evaluated adult patients (aged 18-75 years) with active endoscopic Crohn's disease (Crohn's Disease Endoscopic Index of Severity [CDEIS] &gt;6; sum of CDEIS subscores of &gt;6 in one or more segments with ulcers), a Crohn's Disease Activity Index (CDAI) of 150-450 depending on dose of prednisone at baseline, and no previous use of immunomodulators or biologics. Patients were randomly assigned at a 1:1 ratio to tight control or clinical management groups, stratified by smoking status (yes or no), weight (&lt;70 kg or ≥70 kg), and disease duration (≤2 years or &gt;2 years) after 8 weeks of prednisone induction therapy, or earlier if they had active disease. In both groups, treatment was escalated in a stepwise manner, from no treatment, to adalimumab induction followed by adalimumab every other week, adalimumab every week, and lastly to both weekly adalimumab and daily azathioprine. This escalation was based on meeting treatment failure criteria, which differed between groups (tight control group before and after random assignment: faecal calprotectin ≥250 μg/g, C-reactive protein ≥5mg/L, CDAI ≥150, or prednisone use in the previous week; clinical management group before random assignment: CDAI decrease of &lt;70 points compared with baseline or CDAI &gt;200; clinical management group after random assignment: CDAI decrease of &lt;100 points compared with baseline or CDAI ≥200, or prednisone use in the previous week). De-escalation was possible for patients receiving weekly adalimumab and azathioprine or weekly adalimumab alone if failure criteria were not met. The primary endpoint was mucosal healing (CDEIS &lt;4) with absence of deep ulcers 48 weeks after randomisation. Primary and safety analyses were done in the intention-to-treat population. This trial has been completed, and is registered with ClinicalTrials.gov, number NCT01235689.\nFINDINGS: Between Feb 11, 2011, and Nov 3, 2016, 244 patients (mean disease duration: clinical management group, 0·9 years [SD 1·7]; tight control group, 1·0 year [2·3]) were randomly assigned to monitoring groups (n=122 per group). 29 (24%) patients in the clinical management group and 32 (26%) patients in the tight control group discontinued the study, mostly because of adverse events. A significantly higher proportion of patients in the tight control group achieved the primary endpoint at week 48 (56 [46%] of 122 patients) than in the clinical management group (37 [30%] of 122 patients), with a Cochran-Mantel-Haenszel test-adjusted risk difference of 16·1% (95% CI 3·9-28·3; p=0·010). 105 (86%) of 122 patients in the tight control group and 100 (82%) of 122 patients in the clinical management group reported treatment-emergent adverse events; no treatment-related deaths occurred. The most common adverse events were nausea (21 [17%] of 122 patients), nasopharyngitis (18 [15%]), and headache (18 [15%]) in the tight control group, and worsening Crohn's disease (35 [29%] of 122 patients), arthralgia (19 [16%]), and nasopharyngitis (18 [15%]) in the clinical management group.\nINTERPRETATION: CALM is the first study to show that timely escalation with an anti-tumour necrosis factor therapy on the basis of clinical symptoms combined with biomarkers in patients with early Crohn's disease results in better clinical and endoscopic outcomes than symptom-driven decisions alone. Future studies should assess the effects of such a strategy on long-term outcomes such as bowel damage, surgeries, hospital admissions, and disability.\nFUNDING: AbbVie.","DOI":"10.1016/S0140-6736(17)32641-7","ISSN":"1474-547X","note":"PMID: 29096949","shortTitle":"Effect of tight control management on Crohn's disease (CALM)","journalAbbreviation":"Lancet","language":"eng","author":[{"family":"Colombel","given":"Jean-Frederic"},{"family":"Panaccione","given":"Remo"},{"family":"Bossuyt","given":"Peter"},{"family":"Lukas","given":"Milan"},{"family":"Baert","given":"Filip"},{"family":"Vaňásek","given":"Tomas"},{"family":"Danalioglu","given":"Ahmet"},{"family":"Novacek","given":"Gottfried"},{"family":"Armuzzi","given":"Alessandro"},{"family":"Hébuterne","given":"Xavier"},{"family":"Travis","given":"Simon"},{"family":"Danese","given":"Silvio"},{"family":"Reinisch","given":"Walter"},{"family":"Sandborn","given":"William J."},{"family":"Rutgeerts","given":"Paul"},{"family":"Hommes","given":"Daniel"},{"family":"Schreiber","given":"Stefan"},{"family":"Neimark","given":"Ezequiel"},{"family":"Huang","given":"Bidan"},{"family":"Zhou","given":"Qian"},{"family":"Mendez","given":"Paloma"},{"family":"Petersson","given":"Joel"},{"family":"Wallace","given":"Kori"},{"family":"Robinson","given":"Anne M."},{"family":"Thakkar","given":"Roopal B."},{"family":"D'Haens","given":"Geert"}],"issued":{"date-parts":[["2018"]],"season":"23"}}}],"schema":"https://github.com/citation-style-language/schema/raw/master/csl-citation.json"} </w:instrText>
      </w:r>
      <w:r w:rsidR="008707A9" w:rsidRPr="008A5994">
        <w:rPr>
          <w:rFonts w:ascii="Book Antiqua" w:hAnsi="Book Antiqua"/>
          <w:color w:val="000000" w:themeColor="text1"/>
          <w:lang w:val="en-US" w:eastAsia="en-US"/>
        </w:rPr>
        <w:fldChar w:fldCharType="separate"/>
      </w:r>
      <w:r w:rsidR="000B228F" w:rsidRPr="008A5994">
        <w:rPr>
          <w:rFonts w:ascii="Book Antiqua" w:hAnsi="Book Antiqua"/>
          <w:color w:val="000000" w:themeColor="text1"/>
          <w:vertAlign w:val="superscript"/>
          <w:lang w:val="en-US"/>
        </w:rPr>
        <w:t>[9]</w:t>
      </w:r>
      <w:r w:rsidR="008707A9" w:rsidRPr="008A5994">
        <w:rPr>
          <w:rFonts w:ascii="Book Antiqua" w:hAnsi="Book Antiqua"/>
          <w:color w:val="000000" w:themeColor="text1"/>
          <w:lang w:val="en-US" w:eastAsia="en-US"/>
        </w:rPr>
        <w:fldChar w:fldCharType="end"/>
      </w:r>
      <w:r w:rsidR="008707A9" w:rsidRPr="008A5994">
        <w:rPr>
          <w:rFonts w:ascii="Book Antiqua" w:hAnsi="Book Antiqua"/>
          <w:color w:val="000000" w:themeColor="text1"/>
          <w:lang w:val="en-US" w:eastAsia="en-US"/>
        </w:rPr>
        <w:t xml:space="preserve">. In the first arm (conventional care), the patients had a therapeutic intensification if the </w:t>
      </w:r>
      <w:r>
        <w:rPr>
          <w:rFonts w:ascii="Book Antiqua" w:hAnsi="Book Antiqua"/>
          <w:color w:val="000000" w:themeColor="text1"/>
          <w:lang w:val="en-US" w:eastAsia="en-US"/>
        </w:rPr>
        <w:t>CD</w:t>
      </w:r>
      <w:r w:rsidR="008707A9" w:rsidRPr="008A5994">
        <w:rPr>
          <w:rFonts w:ascii="Book Antiqua" w:hAnsi="Book Antiqua"/>
          <w:color w:val="000000" w:themeColor="text1"/>
          <w:lang w:val="en-US" w:eastAsia="en-US"/>
        </w:rPr>
        <w:t xml:space="preserve"> activity index (CDAI) did not decrease of at least 70 points. In the second group so-called “tight control group”, the therapies were upgraded in cases of CDAI &gt; 150 or </w:t>
      </w:r>
      <w:r w:rsidRPr="008A5994">
        <w:rPr>
          <w:rFonts w:ascii="Book Antiqua" w:hAnsi="Book Antiqua"/>
          <w:color w:val="000000" w:themeColor="text1"/>
          <w:lang w:val="en-US"/>
        </w:rPr>
        <w:t>C-reactive protein (CRP)</w:t>
      </w:r>
      <w:r w:rsidR="008707A9" w:rsidRPr="008A5994">
        <w:rPr>
          <w:rFonts w:ascii="Book Antiqua" w:hAnsi="Book Antiqua"/>
          <w:color w:val="000000" w:themeColor="text1"/>
          <w:lang w:val="en-US" w:eastAsia="en-US"/>
        </w:rPr>
        <w:t xml:space="preserve"> &gt; 5 mg/L or </w:t>
      </w:r>
      <w:proofErr w:type="spellStart"/>
      <w:r w:rsidR="008707A9" w:rsidRPr="008A5994">
        <w:rPr>
          <w:rFonts w:ascii="Book Antiqua" w:hAnsi="Book Antiqua"/>
          <w:color w:val="000000" w:themeColor="text1"/>
          <w:lang w:val="en-US" w:eastAsia="en-US"/>
        </w:rPr>
        <w:t>Fcal</w:t>
      </w:r>
      <w:proofErr w:type="spellEnd"/>
      <w:r w:rsidR="008707A9" w:rsidRPr="008A5994">
        <w:rPr>
          <w:rFonts w:ascii="Book Antiqua" w:hAnsi="Book Antiqua"/>
          <w:color w:val="000000" w:themeColor="text1"/>
          <w:lang w:val="en-US" w:eastAsia="en-US"/>
        </w:rPr>
        <w:t xml:space="preserve"> &gt; 250 µg/g</w:t>
      </w:r>
      <w:r w:rsidR="008707A9" w:rsidRPr="008A5994">
        <w:rPr>
          <w:rFonts w:ascii="Book Antiqua" w:hAnsi="Book Antiqua"/>
          <w:color w:val="000000" w:themeColor="text1"/>
          <w:lang w:val="en-US" w:eastAsia="en-US"/>
        </w:rPr>
        <w:fldChar w:fldCharType="begin"/>
      </w:r>
      <w:r w:rsidR="000B228F" w:rsidRPr="008A5994">
        <w:rPr>
          <w:rFonts w:ascii="Book Antiqua" w:hAnsi="Book Antiqua"/>
          <w:color w:val="000000" w:themeColor="text1"/>
          <w:lang w:val="en-US" w:eastAsia="en-US"/>
        </w:rPr>
        <w:instrText xml:space="preserve"> ADDIN ZOTERO_ITEM CSL_CITATION {"citationID":"GTYOyrqc","properties":{"formattedCitation":"\\super [9]\\nosupersub{}","plainCitation":"[9]","noteIndex":0},"citationItems":[{"id":"9UJ6C9IN/PiKngbbu","uris":["http://zotero.org/users/local/DNVHcyNP/items/IUHUFVKJ"],"uri":["http://zotero.org/users/local/DNVHcyNP/items/IUHUFVKJ"],"itemData":{"id":"LXBO5zXI/RkkkqrM2","type":"article-journal","title":"Effect of tight control management on Crohn's disease (CALM): a multicentre, randomised, controlled phase 3 trial","container-title":"Lancet (London, England)","page":"2779-2789","volume":"390","issue":"10114","source":"PubMed","abstract":"BACKGROUND: Biomarkers of intestinal inflammation, such as faecal calprotectin and C-reactive protein, have been recommended for monitoring patients with Crohn's disease, but whether their use in treatment decisions improves outcomes is unknown. We aimed to compare endoscopic and clinical outcomes in patients with moderate to severe Crohn's disease who were managed with a tight control algorithm, using clinical symptoms and biomarkers, versus patients managed with a clinical management algorithm.\nMETHODS: CALM was an open-label, randomised, controlled phase 3 study, done in 22 countries at 74 hospitals and outpatient centres, which evaluated adult patients (aged 18-75 years) with active endoscopic Crohn's disease (Crohn's Disease Endoscopic Index of Severity [CDEIS] &gt;6; sum of CDEIS subscores of &gt;6 in one or more segments with ulcers), a Crohn's Disease Activity Index (CDAI) of 150-450 depending on dose of prednisone at baseline, and no previous use of immunomodulators or biologics. Patients were randomly assigned at a 1:1 ratio to tight control or clinical management groups, stratified by smoking status (yes or no), weight (&lt;70 kg or ≥70 kg), and disease duration (≤2 years or &gt;2 years) after 8 weeks of prednisone induction therapy, or earlier if they had active disease. In both groups, treatment was escalated in a stepwise manner, from no treatment, to adalimumab induction followed by adalimumab every other week, adalimumab every week, and lastly to both weekly adalimumab and daily azathioprine. This escalation was based on meeting treatment failure criteria, which differed between groups (tight control group before and after random assignment: faecal calprotectin ≥250 μg/g, C-reactive protein ≥5mg/L, CDAI ≥150, or prednisone use in the previous week; clinical management group before random assignment: CDAI decrease of &lt;70 points compared with baseline or CDAI &gt;200; clinical management group after random assignment: CDAI decrease of &lt;100 points compared with baseline or CDAI ≥200, or prednisone use in the previous week). De-escalation was possible for patients receiving weekly adalimumab and azathioprine or weekly adalimumab alone if failure criteria were not met. The primary endpoint was mucosal healing (CDEIS &lt;4) with absence of deep ulcers 48 weeks after randomisation. Primary and safety analyses were done in the intention-to-treat population. This trial has been completed, and is registered with ClinicalTrials.gov, number NCT01235689.\nFINDINGS: Between Feb 11, 2011, and Nov 3, 2016, 244 patients (mean disease duration: clinical management group, 0·9 years [SD 1·7]; tight control group, 1·0 year [2·3]) were randomly assigned to monitoring groups (n=122 per group). 29 (24%) patients in the clinical management group and 32 (26%) patients in the tight control group discontinued the study, mostly because of adverse events. A significantly higher proportion of patients in the tight control group achieved the primary endpoint at week 48 (56 [46%] of 122 patients) than in the clinical management group (37 [30%] of 122 patients), with a Cochran-Mantel-Haenszel test-adjusted risk difference of 16·1% (95% CI 3·9-28·3; p=0·010). 105 (86%) of 122 patients in the tight control group and 100 (82%) of 122 patients in the clinical management group reported treatment-emergent adverse events; no treatment-related deaths occurred. The most common adverse events were nausea (21 [17%] of 122 patients), nasopharyngitis (18 [15%]), and headache (18 [15%]) in the tight control group, and worsening Crohn's disease (35 [29%] of 122 patients), arthralgia (19 [16%]), and nasopharyngitis (18 [15%]) in the clinical management group.\nINTERPRETATION: CALM is the first study to show that timely escalation with an anti-tumour necrosis factor therapy on the basis of clinical symptoms combined with biomarkers in patients with early Crohn's disease results in better clinical and endoscopic outcomes than symptom-driven decisions alone. Future studies should assess the effects of such a strategy on long-term outcomes such as bowel damage, surgeries, hospital admissions, and disability.\nFUNDING: AbbVie.","DOI":"10.1016/S0140-6736(17)32641-7","ISSN":"1474-547X","note":"PMID: 29096949","shortTitle":"Effect of tight control management on Crohn's disease (CALM)","journalAbbreviation":"Lancet","language":"eng","author":[{"family":"Colombel","given":"Jean-Frederic"},{"family":"Panaccione","given":"Remo"},{"family":"Bossuyt","given":"Peter"},{"family":"Lukas","given":"Milan"},{"family":"Baert","given":"Filip"},{"family":"Vaňásek","given":"Tomas"},{"family":"Danalioglu","given":"Ahmet"},{"family":"Novacek","given":"Gottfried"},{"family":"Armuzzi","given":"Alessandro"},{"family":"Hébuterne","given":"Xavier"},{"family":"Travis","given":"Simon"},{"family":"Danese","given":"Silvio"},{"family":"Reinisch","given":"Walter"},{"family":"Sandborn","given":"William J."},{"family":"Rutgeerts","given":"Paul"},{"family":"Hommes","given":"Daniel"},{"family":"Schreiber","given":"Stefan"},{"family":"Neimark","given":"Ezequiel"},{"family":"Huang","given":"Bidan"},{"family":"Zhou","given":"Qian"},{"family":"Mendez","given":"Paloma"},{"family":"Petersson","given":"Joel"},{"family":"Wallace","given":"Kori"},{"family":"Robinson","given":"Anne M."},{"family":"Thakkar","given":"Roopal B."},{"family":"D'Haens","given":"Geert"}],"issued":{"date-parts":[["2018"]],"season":"23"}}}],"schema":"https://github.com/citation-style-language/schema/raw/master/csl-citation.json"} </w:instrText>
      </w:r>
      <w:r w:rsidR="008707A9" w:rsidRPr="008A5994">
        <w:rPr>
          <w:rFonts w:ascii="Book Antiqua" w:hAnsi="Book Antiqua"/>
          <w:color w:val="000000" w:themeColor="text1"/>
          <w:lang w:val="en-US" w:eastAsia="en-US"/>
        </w:rPr>
        <w:fldChar w:fldCharType="separate"/>
      </w:r>
      <w:r w:rsidR="000B228F" w:rsidRPr="008A5994">
        <w:rPr>
          <w:rFonts w:ascii="Book Antiqua" w:hAnsi="Book Antiqua"/>
          <w:color w:val="000000" w:themeColor="text1"/>
          <w:vertAlign w:val="superscript"/>
          <w:lang w:val="en-US"/>
        </w:rPr>
        <w:t>[9]</w:t>
      </w:r>
      <w:r w:rsidR="008707A9" w:rsidRPr="008A5994">
        <w:rPr>
          <w:rFonts w:ascii="Book Antiqua" w:hAnsi="Book Antiqua"/>
          <w:color w:val="000000" w:themeColor="text1"/>
          <w:lang w:val="en-US" w:eastAsia="en-US"/>
        </w:rPr>
        <w:fldChar w:fldCharType="end"/>
      </w:r>
      <w:r w:rsidR="008707A9" w:rsidRPr="008A5994">
        <w:rPr>
          <w:rFonts w:ascii="Book Antiqua" w:hAnsi="Book Antiqua"/>
          <w:color w:val="000000" w:themeColor="text1"/>
          <w:lang w:val="en-US" w:eastAsia="en-US"/>
        </w:rPr>
        <w:t>. The authors reported that</w:t>
      </w:r>
      <w:r w:rsidR="008707A9" w:rsidRPr="008A5994">
        <w:rPr>
          <w:rFonts w:ascii="Book Antiqua" w:hAnsi="Book Antiqua" w:cs="Times"/>
          <w:color w:val="000000" w:themeColor="text1"/>
          <w:lang w:val="en-US" w:eastAsia="en-US"/>
        </w:rPr>
        <w:t xml:space="preserve"> the group monitored using a tight control of inflammation with objective markers of disease activity and clinical symptoms to drive treatment decisions (second group), achieved better endoscopic and clinical outcomes than conventional</w:t>
      </w:r>
      <w:r w:rsidR="009068FC" w:rsidRPr="008A5994">
        <w:rPr>
          <w:rFonts w:ascii="Book Antiqua" w:hAnsi="Book Antiqua" w:cs="Times"/>
          <w:color w:val="000000" w:themeColor="text1"/>
          <w:lang w:val="en-US" w:eastAsia="en-US"/>
        </w:rPr>
        <w:t xml:space="preserve"> monitoring</w:t>
      </w:r>
      <w:r w:rsidR="008707A9" w:rsidRPr="008A5994">
        <w:rPr>
          <w:rFonts w:ascii="Book Antiqua" w:hAnsi="Book Antiqua" w:cs="Times"/>
          <w:color w:val="000000" w:themeColor="text1"/>
          <w:lang w:val="en-US" w:eastAsia="en-US"/>
        </w:rPr>
        <w:fldChar w:fldCharType="begin"/>
      </w:r>
      <w:r w:rsidR="000B228F" w:rsidRPr="008A5994">
        <w:rPr>
          <w:rFonts w:ascii="Book Antiqua" w:hAnsi="Book Antiqua" w:cs="Times"/>
          <w:color w:val="000000" w:themeColor="text1"/>
          <w:lang w:val="en-US" w:eastAsia="en-US"/>
        </w:rPr>
        <w:instrText xml:space="preserve"> ADDIN ZOTERO_ITEM CSL_CITATION {"citationID":"a15SjK11","properties":{"formattedCitation":"\\super [9]\\nosupersub{}","plainCitation":"[9]","noteIndex":0},"citationItems":[{"id":"9UJ6C9IN/PiKngbbu","uris":["http://zotero.org/users/local/DNVHcyNP/items/IUHUFVKJ"],"uri":["http://zotero.org/users/local/DNVHcyNP/items/IUHUFVKJ"],"itemData":{"id":176,"type":"article-journal","title":"Effect of tight control management on Crohn's disease (CALM): a multicentre, randomised, controlled phase 3 trial","container-title":"Lancet (London, England)","page":"2779-2789","volume":"390","issue":"10114","source":"PubMed","abstract":"BACKGROUND: Biomarkers of intestinal inflammation, such as faecal calprotectin and C-reactive protein, have been recommended for monitoring patients with Crohn's disease, but whether their use in treatment decisions improves outcomes is unknown. We aimed to compare endoscopic and clinical outcomes in patients with moderate to severe Crohn's disease who were managed with a tight control algorithm, using clinical symptoms and biomarkers, versus patients managed with a clinical management algorithm.\nMETHODS: CALM was an open-label, randomised, controlled phase 3 study, done in 22 countries at 74 hospitals and outpatient centres, which evaluated adult patients (aged 18-75 years) with active endoscopic Crohn's disease (Crohn's Disease Endoscopic Index of Severity [CDEIS] &gt;6; sum of CDEIS subscores of &gt;6 in one or more segments with ulcers), a Crohn's Disease Activity Index (CDAI) of 150-450 depending on dose of prednisone at baseline, and no previous use of immunomodulators or biologics. Patients were randomly assigned at a 1:1 ratio to tight control or clinical management groups, stratified by smoking status (yes or no), weight (&lt;70 kg or ≥70 kg), and disease duration (≤2 years or &gt;2 years) after 8 weeks of prednisone induction therapy, or earlier if they had active disease. In both groups, treatment was escalated in a stepwise manner, from no treatment, to adalimumab induction followed by adalimumab every other week, adalimumab every week, and lastly to both weekly adalimumab and daily azathioprine. This escalation was based on meeting treatment failure criteria, which differed between groups (tight control group before and after random assignment: faecal calprotectin ≥250 μg/g, C-reactive protein ≥5mg/L, CDAI ≥150, or prednisone use in the previous week; clinical management group before random assignment: CDAI decrease of &lt;70 points compared with baseline or CDAI &gt;200; clinical management group after random assignment: CDAI decrease of &lt;100 points compared with baseline or CDAI ≥200, or prednisone use in the previous week). De-escalation was possible for patients receiving weekly adalimumab and azathioprine or weekly adalimumab alone if failure criteria were not met. The primary endpoint was mucosal healing (CDEIS &lt;4) with absence of deep ulcers 48 weeks after randomisation. Primary and safety analyses were done in the intention-to-treat population. This trial has been completed, and is registered with ClinicalTrials.gov, number NCT01235689.\nFINDINGS: Between Feb 11, 2011, and Nov 3, 2016, 244 patients (mean disease duration: clinical management group, 0·9 years [SD 1·7]; tight control group, 1·0 year [2·3]) were randomly assigned to monitoring groups (n=122 per group). 29 (24%) patients in the clinical management group and 32 (26%) patients in the tight control group discontinued the study, mostly because of adverse events. A significantly higher proportion of patients in the tight control group achieved the primary endpoint at week 48 (56 [46%] of 122 patients) than in the clinical management group (37 [30%] of 122 patients), with a Cochran-Mantel-Haenszel test-adjusted risk difference of 16·1% (95% CI 3·9-28·3; p=0·010). 105 (86%) of 122 patients in the tight control group and 100 (82%) of 122 patients in the clinical management group reported treatment-emergent adverse events; no treatment-related deaths occurred. The most common adverse events were nausea (21 [17%] of 122 patients), nasopharyngitis (18 [15%]), and headache (18 [15%]) in the tight control group, and worsening Crohn's disease (35 [29%] of 122 patients), arthralgia (19 [16%]), and nasopharyngitis (18 [15%]) in the clinical management group.\nINTERPRETATION: CALM is the first study to show that timely escalation with an anti-tumour necrosis factor therapy on the basis of clinical symptoms combined with biomarkers in patients with early Crohn's disease results in better clinical and endoscopic outcomes than symptom-driven decisions alone. Future studies should assess the effects of such a strategy on long-term outcomes such as bowel damage, surgeries, hospital admissions, and disability.\nFUNDING: AbbVie.","DOI":"10.1016/S0140-6736(17)32641-7","ISSN":"1474-547X","note":"PMID: 29096949","shortTitle":"Effect of tight control management on Crohn's disease (CALM)","journalAbbreviation":"Lancet","language":"eng","author":[{"family":"Colombel","given":"Jean-Frederic"},{"family":"Panaccione","given":"Remo"},{"family":"Bossuyt","given":"Peter"},{"family":"Lukas","given":"Milan"},{"family":"Baert","given":"Filip"},{"family":"Vaňásek","given":"Tomas"},{"family":"Danalioglu","given":"Ahmet"},{"family":"Novacek","given":"Gottfried"},{"family":"Armuzzi","given":"Alessandro"},{"family":"Hébuterne","given":"Xavier"},{"family":"Travis","given":"Simon"},{"family":"Danese","given":"Silvio"},{"family":"Reinisch","given":"Walter"},{"family":"Sandborn","given":"William J."},{"family":"Rutgeerts","given":"Paul"},{"family":"Hommes","given":"Daniel"},{"family":"Schreiber","given":"Stefan"},{"family":"Neimark","given":"Ezequiel"},{"family":"Huang","given":"Bidan"},{"family":"Zhou","given":"Qian"},{"family":"Mendez","given":"Paloma"},{"family":"Petersson","given":"Joel"},{"family":"Wallace","given":"Kori"},{"family":"Robinson","given":"Anne M."},{"family":"Thakkar","given":"Roopal B."},{"family":"D'Haens","given":"Geert"}],"issued":{"date-parts":[["2018"]],"season":"23"}}}],"schema":"https://github.com/citation-style-language/schema/raw/master/csl-citation.json"} </w:instrText>
      </w:r>
      <w:r w:rsidR="008707A9" w:rsidRPr="008A5994">
        <w:rPr>
          <w:rFonts w:ascii="Book Antiqua" w:hAnsi="Book Antiqua" w:cs="Times"/>
          <w:color w:val="000000" w:themeColor="text1"/>
          <w:lang w:val="en-US" w:eastAsia="en-US"/>
        </w:rPr>
        <w:fldChar w:fldCharType="separate"/>
      </w:r>
      <w:r w:rsidR="000B228F" w:rsidRPr="008A5994">
        <w:rPr>
          <w:rFonts w:ascii="Book Antiqua" w:hAnsi="Book Antiqua"/>
          <w:color w:val="000000" w:themeColor="text1"/>
          <w:vertAlign w:val="superscript"/>
          <w:lang w:val="en-US"/>
        </w:rPr>
        <w:t>[9]</w:t>
      </w:r>
      <w:r w:rsidR="008707A9" w:rsidRPr="008A5994">
        <w:rPr>
          <w:rFonts w:ascii="Book Antiqua" w:hAnsi="Book Antiqua" w:cs="Times"/>
          <w:color w:val="000000" w:themeColor="text1"/>
          <w:lang w:val="en-US" w:eastAsia="en-US"/>
        </w:rPr>
        <w:fldChar w:fldCharType="end"/>
      </w:r>
      <w:r w:rsidR="008707A9" w:rsidRPr="008A5994">
        <w:rPr>
          <w:rFonts w:ascii="Book Antiqua" w:hAnsi="Book Antiqua"/>
          <w:b/>
          <w:color w:val="000000" w:themeColor="text1"/>
          <w:lang w:val="en-US"/>
        </w:rPr>
        <w:t xml:space="preserve">. </w:t>
      </w:r>
      <w:r w:rsidR="008707A9" w:rsidRPr="008A5994">
        <w:rPr>
          <w:rFonts w:ascii="Book Antiqua" w:hAnsi="Book Antiqua"/>
          <w:color w:val="000000" w:themeColor="text1"/>
          <w:lang w:val="en-US"/>
        </w:rPr>
        <w:t xml:space="preserve">In a </w:t>
      </w:r>
      <w:r w:rsidR="008707A9" w:rsidRPr="00AB38A7">
        <w:rPr>
          <w:rFonts w:ascii="Book Antiqua" w:hAnsi="Book Antiqua"/>
          <w:color w:val="000000" w:themeColor="text1"/>
          <w:lang w:val="en-US"/>
        </w:rPr>
        <w:t>post-hoc analysis</w:t>
      </w:r>
      <w:r w:rsidR="008707A9" w:rsidRPr="008A5994">
        <w:rPr>
          <w:rFonts w:ascii="Book Antiqua" w:hAnsi="Book Antiqua"/>
          <w:color w:val="000000" w:themeColor="text1"/>
          <w:lang w:val="en-US"/>
        </w:rPr>
        <w:t xml:space="preserve"> of this</w:t>
      </w:r>
      <w:r w:rsidR="008707A9" w:rsidRPr="008A5994">
        <w:rPr>
          <w:rFonts w:ascii="Book Antiqua" w:hAnsi="Book Antiqua"/>
          <w:b/>
          <w:color w:val="000000" w:themeColor="text1"/>
          <w:lang w:val="en-US"/>
        </w:rPr>
        <w:t xml:space="preserve"> </w:t>
      </w:r>
      <w:r w:rsidR="008707A9" w:rsidRPr="008A5994">
        <w:rPr>
          <w:rFonts w:ascii="Book Antiqua" w:hAnsi="Book Antiqua"/>
          <w:color w:val="000000" w:themeColor="text1"/>
          <w:lang w:val="en-US"/>
        </w:rPr>
        <w:t xml:space="preserve">study, the authors reported that most of the therapeutic intensification were related to increased level of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in the </w:t>
      </w:r>
      <w:r w:rsidR="008707A9" w:rsidRPr="008A5994">
        <w:rPr>
          <w:rFonts w:ascii="Book Antiqua" w:hAnsi="Book Antiqua"/>
          <w:color w:val="000000" w:themeColor="text1"/>
          <w:lang w:val="en-US" w:eastAsia="en-US"/>
        </w:rPr>
        <w:t>tight control group</w:t>
      </w:r>
      <w:r w:rsidR="008707A9" w:rsidRPr="008A5994">
        <w:rPr>
          <w:rFonts w:ascii="Book Antiqua" w:hAnsi="Book Antiqua"/>
          <w:color w:val="000000" w:themeColor="text1"/>
          <w:lang w:val="en-US"/>
        </w:rPr>
        <w:t xml:space="preserve">. However, even though the conclusion of this landmark trial </w:t>
      </w:r>
      <w:r w:rsidR="007072EB" w:rsidRPr="008A5994">
        <w:rPr>
          <w:rFonts w:ascii="Book Antiqua" w:hAnsi="Book Antiqua"/>
          <w:color w:val="000000" w:themeColor="text1"/>
          <w:lang w:val="en-US"/>
        </w:rPr>
        <w:t>encourages</w:t>
      </w:r>
      <w:r w:rsidR="008707A9" w:rsidRPr="008A5994">
        <w:rPr>
          <w:rFonts w:ascii="Book Antiqua" w:hAnsi="Book Antiqua"/>
          <w:color w:val="000000" w:themeColor="text1"/>
          <w:lang w:val="en-US"/>
        </w:rPr>
        <w:t xml:space="preserve"> IBD physicians to use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testing in daily practice, the authors did not explore specifically the value of each marker, </w:t>
      </w:r>
      <w:r w:rsidR="008707A9" w:rsidRPr="008A5994">
        <w:rPr>
          <w:rFonts w:ascii="Book Antiqua" w:hAnsi="Book Antiqua"/>
          <w:i/>
          <w:color w:val="000000" w:themeColor="text1"/>
          <w:lang w:val="en-US"/>
        </w:rPr>
        <w:t>i.e.</w:t>
      </w:r>
      <w:r>
        <w:rPr>
          <w:rFonts w:ascii="Book Antiqua" w:hAnsi="Book Antiqua"/>
          <w:color w:val="000000" w:themeColor="text1"/>
          <w:lang w:val="en-US"/>
        </w:rPr>
        <w:t>,</w:t>
      </w:r>
      <w:r w:rsidR="008707A9" w:rsidRPr="008A5994">
        <w:rPr>
          <w:rFonts w:ascii="Book Antiqua" w:hAnsi="Book Antiqua"/>
          <w:i/>
          <w:color w:val="000000" w:themeColor="text1"/>
          <w:lang w:val="en-US"/>
        </w:rPr>
        <w:t xml:space="preserve"> </w:t>
      </w:r>
      <w:r w:rsidR="008707A9" w:rsidRPr="008A5994">
        <w:rPr>
          <w:rFonts w:ascii="Book Antiqua" w:hAnsi="Book Antiqua"/>
          <w:color w:val="000000" w:themeColor="text1"/>
          <w:lang w:val="en-US"/>
        </w:rPr>
        <w:t xml:space="preserve">CDAI, CRP and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w:t>
      </w:r>
    </w:p>
    <w:p w14:paraId="43BCC032" w14:textId="05F75A6E" w:rsidR="008707A9" w:rsidRDefault="008707A9" w:rsidP="00AB38A7">
      <w:pPr>
        <w:widowControl w:val="0"/>
        <w:autoSpaceDE w:val="0"/>
        <w:autoSpaceDN w:val="0"/>
        <w:adjustRightInd w:val="0"/>
        <w:snapToGrid w:val="0"/>
        <w:spacing w:line="360" w:lineRule="auto"/>
        <w:ind w:firstLine="120"/>
        <w:jc w:val="both"/>
        <w:rPr>
          <w:rFonts w:ascii="Book Antiqua" w:hAnsi="Book Antiqua"/>
          <w:color w:val="000000" w:themeColor="text1"/>
          <w:lang w:val="en-US"/>
        </w:rPr>
      </w:pPr>
      <w:r w:rsidRPr="008A5994">
        <w:rPr>
          <w:rFonts w:ascii="Book Antiqua" w:hAnsi="Book Antiqua"/>
          <w:color w:val="000000" w:themeColor="text1"/>
          <w:lang w:val="en-US"/>
        </w:rPr>
        <w:t xml:space="preserve">In this study, we aimed to investigate the performances of CDAI, CRP and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variation, alone or combined, after 12 </w:t>
      </w:r>
      <w:proofErr w:type="spellStart"/>
      <w:r w:rsidRPr="008A5994">
        <w:rPr>
          <w:rFonts w:ascii="Book Antiqua" w:hAnsi="Book Antiqua"/>
          <w:color w:val="000000" w:themeColor="text1"/>
          <w:lang w:val="en-US"/>
        </w:rPr>
        <w:t>w</w:t>
      </w:r>
      <w:r w:rsidR="00AB38A7">
        <w:rPr>
          <w:rFonts w:ascii="Book Antiqua" w:hAnsi="Book Antiqua"/>
          <w:color w:val="000000" w:themeColor="text1"/>
          <w:lang w:val="en-US"/>
        </w:rPr>
        <w:t>k</w:t>
      </w:r>
      <w:proofErr w:type="spellEnd"/>
      <w:r w:rsidRPr="008A5994">
        <w:rPr>
          <w:rFonts w:ascii="Book Antiqua" w:hAnsi="Book Antiqua"/>
          <w:color w:val="000000" w:themeColor="text1"/>
          <w:lang w:val="en-US"/>
        </w:rPr>
        <w:t xml:space="preserve"> of anti-</w:t>
      </w:r>
      <w:r w:rsidR="00AB38A7">
        <w:rPr>
          <w:rFonts w:ascii="Book Antiqua" w:hAnsi="Book Antiqua"/>
          <w:color w:val="000000" w:themeColor="text1"/>
          <w:lang w:val="en-US"/>
        </w:rPr>
        <w:t>tumor necrosis factor</w:t>
      </w:r>
      <w:r w:rsidR="00AB38A7" w:rsidRPr="008A5994">
        <w:rPr>
          <w:rFonts w:ascii="Book Antiqua" w:hAnsi="Book Antiqua"/>
          <w:color w:val="000000" w:themeColor="text1"/>
          <w:lang w:val="en-US"/>
        </w:rPr>
        <w:t xml:space="preserve"> </w:t>
      </w:r>
      <w:r w:rsidR="00AB38A7">
        <w:rPr>
          <w:rFonts w:ascii="Book Antiqua" w:hAnsi="Book Antiqua"/>
          <w:color w:val="000000" w:themeColor="text1"/>
          <w:lang w:val="en-US"/>
        </w:rPr>
        <w:t>(</w:t>
      </w:r>
      <w:r w:rsidR="00AB38A7" w:rsidRPr="008A5994">
        <w:rPr>
          <w:rFonts w:ascii="Book Antiqua" w:hAnsi="Book Antiqua"/>
          <w:color w:val="000000" w:themeColor="text1"/>
          <w:lang w:val="en-US"/>
        </w:rPr>
        <w:t>TNF</w:t>
      </w:r>
      <w:r w:rsidR="00AB38A7">
        <w:rPr>
          <w:rFonts w:ascii="Book Antiqua" w:hAnsi="Book Antiqua"/>
          <w:color w:val="000000" w:themeColor="text1"/>
          <w:lang w:val="en-US"/>
        </w:rPr>
        <w:t>)</w:t>
      </w:r>
      <w:r w:rsidRPr="008A5994">
        <w:rPr>
          <w:rFonts w:ascii="Book Antiqua" w:hAnsi="Book Antiqua"/>
          <w:color w:val="000000" w:themeColor="text1"/>
          <w:lang w:val="en-US"/>
        </w:rPr>
        <w:t xml:space="preserve"> therapy to predict corticosteroids-free remission (CFREM) at one year, in CD patients treated with anti-TNF.</w:t>
      </w:r>
    </w:p>
    <w:p w14:paraId="6D26D647" w14:textId="77777777" w:rsidR="00AB38A7" w:rsidRPr="008A5994" w:rsidRDefault="00AB38A7" w:rsidP="00AB38A7">
      <w:pPr>
        <w:widowControl w:val="0"/>
        <w:autoSpaceDE w:val="0"/>
        <w:autoSpaceDN w:val="0"/>
        <w:adjustRightInd w:val="0"/>
        <w:snapToGrid w:val="0"/>
        <w:spacing w:line="360" w:lineRule="auto"/>
        <w:ind w:firstLine="120"/>
        <w:jc w:val="both"/>
        <w:rPr>
          <w:rFonts w:ascii="Book Antiqua" w:hAnsi="Book Antiqua"/>
          <w:color w:val="000000" w:themeColor="text1"/>
          <w:lang w:val="en-US"/>
        </w:rPr>
      </w:pPr>
    </w:p>
    <w:p w14:paraId="3B2611B6" w14:textId="505F0916" w:rsidR="008707A9" w:rsidRPr="008A5994" w:rsidRDefault="00AB2771" w:rsidP="00A555A0">
      <w:pPr>
        <w:adjustRightInd w:val="0"/>
        <w:snapToGrid w:val="0"/>
        <w:spacing w:line="360" w:lineRule="auto"/>
        <w:jc w:val="both"/>
        <w:outlineLvl w:val="0"/>
        <w:rPr>
          <w:rFonts w:ascii="Book Antiqua" w:hAnsi="Book Antiqua"/>
          <w:b/>
          <w:color w:val="000000" w:themeColor="text1"/>
          <w:lang w:val="en-US"/>
        </w:rPr>
      </w:pPr>
      <w:bookmarkStart w:id="106" w:name="OLE_LINK238"/>
      <w:bookmarkStart w:id="107" w:name="OLE_LINK239"/>
      <w:r w:rsidRPr="008A5994">
        <w:rPr>
          <w:rFonts w:ascii="Book Antiqua" w:hAnsi="Book Antiqua"/>
          <w:b/>
          <w:caps/>
          <w:color w:val="000000" w:themeColor="text1"/>
          <w:lang w:val="en-US"/>
        </w:rPr>
        <w:lastRenderedPageBreak/>
        <w:t>Materials and methods</w:t>
      </w:r>
      <w:bookmarkEnd w:id="106"/>
      <w:bookmarkEnd w:id="107"/>
    </w:p>
    <w:p w14:paraId="3E823AE6" w14:textId="77777777" w:rsidR="008707A9" w:rsidRPr="008A5994" w:rsidRDefault="008707A9" w:rsidP="00A555A0">
      <w:pPr>
        <w:adjustRightInd w:val="0"/>
        <w:snapToGrid w:val="0"/>
        <w:spacing w:line="360" w:lineRule="auto"/>
        <w:jc w:val="both"/>
        <w:outlineLvl w:val="0"/>
        <w:rPr>
          <w:rFonts w:ascii="Book Antiqua" w:hAnsi="Book Antiqua"/>
          <w:b/>
          <w:i/>
          <w:color w:val="000000" w:themeColor="text1"/>
          <w:lang w:val="en-US"/>
        </w:rPr>
      </w:pPr>
      <w:r w:rsidRPr="008A5994">
        <w:rPr>
          <w:rFonts w:ascii="Book Antiqua" w:hAnsi="Book Antiqua"/>
          <w:b/>
          <w:i/>
          <w:color w:val="000000" w:themeColor="text1"/>
          <w:lang w:val="en-US"/>
        </w:rPr>
        <w:t>Ethical considerations</w:t>
      </w:r>
    </w:p>
    <w:p w14:paraId="251A63D8" w14:textId="76AB8B37" w:rsidR="008707A9" w:rsidRDefault="008707A9" w:rsidP="008A5994">
      <w:pPr>
        <w:adjustRightInd w:val="0"/>
        <w:snapToGrid w:val="0"/>
        <w:spacing w:line="360" w:lineRule="auto"/>
        <w:jc w:val="both"/>
        <w:rPr>
          <w:rFonts w:ascii="Book Antiqua" w:hAnsi="Book Antiqua"/>
          <w:color w:val="000000" w:themeColor="text1"/>
          <w:lang w:val="en-US" w:eastAsia="en-US"/>
        </w:rPr>
      </w:pPr>
      <w:r w:rsidRPr="008A5994">
        <w:rPr>
          <w:rFonts w:ascii="Book Antiqua" w:hAnsi="Book Antiqua"/>
          <w:color w:val="000000" w:themeColor="text1"/>
          <w:lang w:val="en-US" w:eastAsia="en-US"/>
        </w:rPr>
        <w:t>The study was performed in accordance with the Declaration of Helsinki, Good Clinical Practice and applicable regulatory requirements. The study was approved by local Ethics Committee (#2014/CE 72).</w:t>
      </w:r>
    </w:p>
    <w:p w14:paraId="43210F0D" w14:textId="77777777" w:rsidR="002F1842" w:rsidRPr="008A5994" w:rsidRDefault="002F1842" w:rsidP="008A5994">
      <w:pPr>
        <w:adjustRightInd w:val="0"/>
        <w:snapToGrid w:val="0"/>
        <w:spacing w:line="360" w:lineRule="auto"/>
        <w:jc w:val="both"/>
        <w:rPr>
          <w:rFonts w:ascii="Book Antiqua" w:hAnsi="Book Antiqua"/>
          <w:color w:val="000000" w:themeColor="text1"/>
          <w:lang w:val="en-US" w:eastAsia="en-US"/>
        </w:rPr>
      </w:pPr>
    </w:p>
    <w:p w14:paraId="00752A97" w14:textId="77777777" w:rsidR="008707A9" w:rsidRPr="008A5994" w:rsidRDefault="008707A9" w:rsidP="00A555A0">
      <w:pPr>
        <w:adjustRightInd w:val="0"/>
        <w:snapToGrid w:val="0"/>
        <w:spacing w:line="360" w:lineRule="auto"/>
        <w:jc w:val="both"/>
        <w:outlineLvl w:val="0"/>
        <w:rPr>
          <w:rFonts w:ascii="Book Antiqua" w:hAnsi="Book Antiqua"/>
          <w:b/>
          <w:i/>
          <w:color w:val="000000" w:themeColor="text1"/>
          <w:lang w:val="en-US"/>
        </w:rPr>
      </w:pPr>
      <w:r w:rsidRPr="008A5994">
        <w:rPr>
          <w:rFonts w:ascii="Book Antiqua" w:hAnsi="Book Antiqua"/>
          <w:b/>
          <w:i/>
          <w:color w:val="000000" w:themeColor="text1"/>
          <w:lang w:val="en-US"/>
        </w:rPr>
        <w:t>Design of the study</w:t>
      </w:r>
    </w:p>
    <w:p w14:paraId="29EFA385" w14:textId="37EA3984" w:rsidR="008707A9" w:rsidRPr="008A5994" w:rsidRDefault="008707A9" w:rsidP="008A5994">
      <w:pPr>
        <w:adjustRightInd w:val="0"/>
        <w:snapToGrid w:val="0"/>
        <w:spacing w:line="360" w:lineRule="auto"/>
        <w:jc w:val="both"/>
        <w:rPr>
          <w:rFonts w:ascii="Book Antiqua" w:hAnsi="Book Antiqua"/>
          <w:color w:val="000000" w:themeColor="text1"/>
          <w:lang w:val="en-US"/>
        </w:rPr>
      </w:pPr>
      <w:r w:rsidRPr="008A5994">
        <w:rPr>
          <w:rFonts w:ascii="Book Antiqua" w:hAnsi="Book Antiqua"/>
          <w:color w:val="000000" w:themeColor="text1"/>
          <w:lang w:val="en-US"/>
        </w:rPr>
        <w:t>We conducted an observational multicenter study in three French IBD centers. All the patients with CD older than 18 years-old requiring anti-TNF therapy according to the physician</w:t>
      </w:r>
      <w:r w:rsidR="00A555A0">
        <w:rPr>
          <w:rFonts w:ascii="Book Antiqua" w:hAnsi="Book Antiqua"/>
          <w:color w:val="000000" w:themeColor="text1"/>
          <w:lang w:val="en-US"/>
        </w:rPr>
        <w:t>’</w:t>
      </w:r>
      <w:r w:rsidRPr="008A5994">
        <w:rPr>
          <w:rFonts w:ascii="Book Antiqua" w:hAnsi="Book Antiqua"/>
          <w:color w:val="000000" w:themeColor="text1"/>
          <w:lang w:val="en-US"/>
        </w:rPr>
        <w:t>s judgement with CDAI &gt; 150</w:t>
      </w:r>
      <w:r w:rsidR="007C6A47" w:rsidRPr="008A5994">
        <w:rPr>
          <w:rFonts w:ascii="Book Antiqua" w:hAnsi="Book Antiqua"/>
          <w:color w:val="000000" w:themeColor="text1"/>
          <w:lang w:val="en-US"/>
        </w:rPr>
        <w:t>,</w:t>
      </w:r>
      <w:r w:rsidRPr="008A5994">
        <w:rPr>
          <w:rFonts w:ascii="Book Antiqua" w:hAnsi="Book Antiqua"/>
          <w:color w:val="000000" w:themeColor="text1"/>
          <w:lang w:val="en-US"/>
        </w:rPr>
        <w:t xml:space="preserve"> and CRP &gt; </w:t>
      </w:r>
      <w:r w:rsidR="00122640" w:rsidRPr="008A5994">
        <w:rPr>
          <w:rFonts w:ascii="Book Antiqua" w:hAnsi="Book Antiqua"/>
          <w:color w:val="000000" w:themeColor="text1"/>
          <w:lang w:val="en-US"/>
        </w:rPr>
        <w:t>5</w:t>
      </w:r>
      <w:r w:rsidRPr="008A5994">
        <w:rPr>
          <w:rFonts w:ascii="Book Antiqua" w:hAnsi="Book Antiqua"/>
          <w:color w:val="000000" w:themeColor="text1"/>
          <w:lang w:val="en-US"/>
        </w:rPr>
        <w:t xml:space="preserve"> mg/L or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&gt; 250 µg/g were consecutively and prospectively </w:t>
      </w:r>
      <w:r w:rsidR="00FC32BF" w:rsidRPr="008A5994">
        <w:rPr>
          <w:rFonts w:ascii="Book Antiqua" w:hAnsi="Book Antiqua"/>
          <w:color w:val="000000" w:themeColor="text1"/>
          <w:lang w:val="en-US"/>
        </w:rPr>
        <w:t>enrolled</w:t>
      </w:r>
      <w:r w:rsidRPr="008A5994">
        <w:rPr>
          <w:rFonts w:ascii="Book Antiqua" w:hAnsi="Book Antiqua"/>
          <w:color w:val="000000" w:themeColor="text1"/>
          <w:lang w:val="en-US"/>
        </w:rPr>
        <w:t>. Patients who presented with usual contra-indications to anti-TNF or who received anti-TNF therapy to prevent endoscopic postoperative recurrence or to treat isolated perianal lesions were excluded. The patients were treated with infusion of infliximab (5</w:t>
      </w:r>
      <w:r w:rsidR="002F1842">
        <w:rPr>
          <w:rFonts w:ascii="Book Antiqua" w:hAnsi="Book Antiqua"/>
          <w:color w:val="000000" w:themeColor="text1"/>
          <w:lang w:val="en-US"/>
        </w:rPr>
        <w:t xml:space="preserve"> </w:t>
      </w:r>
      <w:r w:rsidRPr="008A5994">
        <w:rPr>
          <w:rFonts w:ascii="Book Antiqua" w:hAnsi="Book Antiqua"/>
          <w:color w:val="000000" w:themeColor="text1"/>
          <w:lang w:val="en-US"/>
        </w:rPr>
        <w:t xml:space="preserve">mg/kg at W0, W2 and W6 and then every 8 </w:t>
      </w:r>
      <w:proofErr w:type="spellStart"/>
      <w:r w:rsidRPr="008A5994">
        <w:rPr>
          <w:rFonts w:ascii="Book Antiqua" w:hAnsi="Book Antiqua"/>
          <w:color w:val="000000" w:themeColor="text1"/>
          <w:lang w:val="en-US"/>
        </w:rPr>
        <w:t>w</w:t>
      </w:r>
      <w:r w:rsidR="002F1842">
        <w:rPr>
          <w:rFonts w:ascii="Book Antiqua" w:hAnsi="Book Antiqua"/>
          <w:color w:val="000000" w:themeColor="text1"/>
          <w:lang w:val="en-US"/>
        </w:rPr>
        <w:t>k</w:t>
      </w:r>
      <w:proofErr w:type="spellEnd"/>
      <w:r w:rsidRPr="008A5994">
        <w:rPr>
          <w:rFonts w:ascii="Book Antiqua" w:hAnsi="Book Antiqua"/>
          <w:color w:val="000000" w:themeColor="text1"/>
          <w:lang w:val="en-US"/>
        </w:rPr>
        <w:t>) or subcutaneous injection of adalimumab (160 mg at W0, 80 mg at W2 and 40 mg every other week) according to the usual guidelines. The choice of the type of anti-TNF agent and the use of concomitant immunosuppressive therapy (azathioprine from 2 to 2.5 mg/kg or methotrexate from 15 mg to 25 mg SC) were free and based on the physician</w:t>
      </w:r>
      <w:r w:rsidR="00A555A0">
        <w:rPr>
          <w:rFonts w:ascii="Book Antiqua" w:hAnsi="Book Antiqua"/>
          <w:color w:val="000000" w:themeColor="text1"/>
          <w:lang w:val="en-US"/>
        </w:rPr>
        <w:t>’</w:t>
      </w:r>
      <w:r w:rsidRPr="008A5994">
        <w:rPr>
          <w:rFonts w:ascii="Book Antiqua" w:hAnsi="Book Antiqua"/>
          <w:color w:val="000000" w:themeColor="text1"/>
          <w:lang w:val="en-US"/>
        </w:rPr>
        <w:t>s judgment. No systematic drug level monitoring was performed during the study as routinely in our centers.</w:t>
      </w:r>
    </w:p>
    <w:p w14:paraId="6960F5CA" w14:textId="39911E5D" w:rsidR="008707A9" w:rsidRDefault="008707A9" w:rsidP="002F1842">
      <w:pPr>
        <w:widowControl w:val="0"/>
        <w:adjustRightInd w:val="0"/>
        <w:snapToGrid w:val="0"/>
        <w:spacing w:line="360" w:lineRule="auto"/>
        <w:ind w:firstLine="120"/>
        <w:jc w:val="both"/>
        <w:rPr>
          <w:rFonts w:ascii="Book Antiqua" w:hAnsi="Book Antiqua"/>
          <w:color w:val="000000" w:themeColor="text1"/>
          <w:lang w:val="en-US" w:eastAsia="en-US"/>
        </w:rPr>
      </w:pPr>
      <w:r w:rsidRPr="008A5994">
        <w:rPr>
          <w:rFonts w:ascii="Book Antiqua" w:hAnsi="Book Antiqua"/>
          <w:color w:val="000000" w:themeColor="text1"/>
          <w:lang w:val="en-US" w:eastAsia="en-US"/>
        </w:rPr>
        <w:t xml:space="preserve">Clinical parameters including the CDAI </w:t>
      </w:r>
      <w:r w:rsidR="00673803" w:rsidRPr="008A5994">
        <w:rPr>
          <w:rFonts w:ascii="Book Antiqua" w:hAnsi="Book Antiqua"/>
          <w:color w:val="000000" w:themeColor="text1"/>
          <w:lang w:val="en-US" w:eastAsia="en-US"/>
        </w:rPr>
        <w:t xml:space="preserve">are detailed in </w:t>
      </w:r>
      <w:r w:rsidR="00673803" w:rsidRPr="002F1842">
        <w:rPr>
          <w:rFonts w:ascii="Book Antiqua" w:hAnsi="Book Antiqua"/>
          <w:color w:val="000000" w:themeColor="text1"/>
          <w:lang w:val="en-US" w:eastAsia="en-US"/>
        </w:rPr>
        <w:t xml:space="preserve">Table 1 </w:t>
      </w:r>
      <w:r w:rsidR="00673803" w:rsidRPr="008A5994">
        <w:rPr>
          <w:rFonts w:ascii="Book Antiqua" w:hAnsi="Book Antiqua"/>
          <w:color w:val="000000" w:themeColor="text1"/>
          <w:lang w:val="en-US" w:eastAsia="en-US"/>
        </w:rPr>
        <w:t xml:space="preserve">and were </w:t>
      </w:r>
      <w:r w:rsidRPr="008A5994">
        <w:rPr>
          <w:rFonts w:ascii="Book Antiqua" w:hAnsi="Book Antiqua"/>
          <w:color w:val="000000" w:themeColor="text1"/>
          <w:lang w:val="en-US" w:eastAsia="en-US"/>
        </w:rPr>
        <w:t>collected before starting anti-TNF therapy (W0), at</w:t>
      </w:r>
      <w:r w:rsidR="002F1842">
        <w:rPr>
          <w:rFonts w:ascii="Book Antiqua" w:hAnsi="Book Antiqua"/>
          <w:color w:val="000000" w:themeColor="text1"/>
          <w:lang w:val="en-US" w:eastAsia="en-US"/>
        </w:rPr>
        <w:t xml:space="preserve"> W12</w:t>
      </w:r>
      <w:r w:rsidRPr="008A5994">
        <w:rPr>
          <w:rFonts w:ascii="Book Antiqua" w:hAnsi="Book Antiqua"/>
          <w:color w:val="000000" w:themeColor="text1"/>
          <w:lang w:val="en-US" w:eastAsia="en-US"/>
        </w:rPr>
        <w:t xml:space="preserve"> and W52. Blood samples were taken and used to measure high</w:t>
      </w:r>
      <w:r w:rsidR="007072EB" w:rsidRPr="008A5994">
        <w:rPr>
          <w:rFonts w:ascii="Book Antiqua" w:hAnsi="Book Antiqua"/>
          <w:color w:val="000000" w:themeColor="text1"/>
          <w:lang w:val="en-US" w:eastAsia="en-US"/>
        </w:rPr>
        <w:t>-</w:t>
      </w:r>
      <w:r w:rsidRPr="008A5994">
        <w:rPr>
          <w:rFonts w:ascii="Book Antiqua" w:hAnsi="Book Antiqua"/>
          <w:color w:val="000000" w:themeColor="text1"/>
          <w:lang w:val="en-US" w:eastAsia="en-US"/>
        </w:rPr>
        <w:t xml:space="preserve"> sensitive serum </w:t>
      </w:r>
      <w:r w:rsidR="002F1842">
        <w:rPr>
          <w:rFonts w:ascii="Book Antiqua" w:hAnsi="Book Antiqua"/>
          <w:color w:val="000000" w:themeColor="text1"/>
          <w:lang w:val="en-US" w:eastAsia="en-US"/>
        </w:rPr>
        <w:t>CRP</w:t>
      </w:r>
      <w:r w:rsidRPr="008A5994">
        <w:rPr>
          <w:rFonts w:ascii="Book Antiqua" w:hAnsi="Book Antiqua"/>
          <w:color w:val="000000" w:themeColor="text1"/>
          <w:lang w:val="en-US" w:eastAsia="en-US"/>
        </w:rPr>
        <w:t xml:space="preserve"> level by </w:t>
      </w:r>
      <w:proofErr w:type="spellStart"/>
      <w:r w:rsidRPr="008A5994">
        <w:rPr>
          <w:rFonts w:ascii="Book Antiqua" w:hAnsi="Book Antiqua"/>
          <w:color w:val="000000" w:themeColor="text1"/>
          <w:lang w:val="en-US" w:eastAsia="en-US"/>
        </w:rPr>
        <w:t>immunonephelemetric</w:t>
      </w:r>
      <w:proofErr w:type="spellEnd"/>
      <w:r w:rsidRPr="008A5994">
        <w:rPr>
          <w:rFonts w:ascii="Book Antiqua" w:hAnsi="Book Antiqua"/>
          <w:color w:val="000000" w:themeColor="text1"/>
          <w:lang w:val="en-US" w:eastAsia="en-US"/>
        </w:rPr>
        <w:t xml:space="preserve"> method (Vista; Siemens, Berlin, Germany) at W0, W12 and W52.</w:t>
      </w:r>
    </w:p>
    <w:p w14:paraId="12394177" w14:textId="77777777" w:rsidR="002F1842" w:rsidRPr="008A5994" w:rsidRDefault="002F1842" w:rsidP="002F1842">
      <w:pPr>
        <w:widowControl w:val="0"/>
        <w:adjustRightInd w:val="0"/>
        <w:snapToGrid w:val="0"/>
        <w:spacing w:line="360" w:lineRule="auto"/>
        <w:ind w:firstLine="120"/>
        <w:jc w:val="both"/>
        <w:rPr>
          <w:rFonts w:ascii="Book Antiqua" w:hAnsi="Book Antiqua"/>
          <w:color w:val="000000" w:themeColor="text1"/>
          <w:lang w:val="en-US"/>
        </w:rPr>
      </w:pPr>
    </w:p>
    <w:p w14:paraId="47C22EDF" w14:textId="25B83FB4" w:rsidR="008707A9" w:rsidRPr="008A5994" w:rsidRDefault="008707A9" w:rsidP="00A555A0">
      <w:pPr>
        <w:adjustRightInd w:val="0"/>
        <w:snapToGrid w:val="0"/>
        <w:spacing w:line="360" w:lineRule="auto"/>
        <w:jc w:val="both"/>
        <w:outlineLvl w:val="0"/>
        <w:rPr>
          <w:rFonts w:ascii="Book Antiqua" w:hAnsi="Book Antiqua"/>
          <w:b/>
          <w:i/>
          <w:color w:val="000000" w:themeColor="text1"/>
          <w:lang w:val="en-US"/>
        </w:rPr>
      </w:pPr>
      <w:proofErr w:type="spellStart"/>
      <w:r w:rsidRPr="008A5994">
        <w:rPr>
          <w:rFonts w:ascii="Book Antiqua" w:hAnsi="Book Antiqua"/>
          <w:b/>
          <w:i/>
          <w:color w:val="000000" w:themeColor="text1"/>
          <w:lang w:val="en-US"/>
        </w:rPr>
        <w:t>F</w:t>
      </w:r>
      <w:r w:rsidR="002F1842">
        <w:rPr>
          <w:rFonts w:ascii="Book Antiqua" w:hAnsi="Book Antiqua"/>
          <w:b/>
          <w:i/>
          <w:color w:val="000000" w:themeColor="text1"/>
          <w:lang w:val="en-US"/>
        </w:rPr>
        <w:t>cal</w:t>
      </w:r>
      <w:proofErr w:type="spellEnd"/>
      <w:r w:rsidRPr="008A5994">
        <w:rPr>
          <w:rFonts w:ascii="Book Antiqua" w:hAnsi="Book Antiqua"/>
          <w:b/>
          <w:i/>
          <w:color w:val="000000" w:themeColor="text1"/>
          <w:lang w:val="en-US"/>
        </w:rPr>
        <w:t xml:space="preserve"> measurement</w:t>
      </w:r>
    </w:p>
    <w:p w14:paraId="7F8CF321" w14:textId="38773617" w:rsidR="008707A9" w:rsidRDefault="008707A9" w:rsidP="008A5994">
      <w:pPr>
        <w:widowControl w:val="0"/>
        <w:adjustRightInd w:val="0"/>
        <w:snapToGrid w:val="0"/>
        <w:spacing w:line="360" w:lineRule="auto"/>
        <w:jc w:val="both"/>
        <w:rPr>
          <w:rFonts w:ascii="Book Antiqua" w:hAnsi="Book Antiqua"/>
          <w:color w:val="000000" w:themeColor="text1"/>
          <w:lang w:val="en-US" w:eastAsia="en-US"/>
        </w:rPr>
      </w:pPr>
      <w:r w:rsidRPr="008A5994">
        <w:rPr>
          <w:rFonts w:ascii="Book Antiqua" w:hAnsi="Book Antiqua"/>
          <w:color w:val="000000" w:themeColor="text1"/>
          <w:lang w:val="en-US"/>
        </w:rPr>
        <w:t xml:space="preserve">Stools samples were collected at W0, W12 and W52, in the morning to reduce </w:t>
      </w:r>
      <w:r w:rsidRPr="008A5994">
        <w:rPr>
          <w:rFonts w:ascii="Book Antiqua" w:hAnsi="Book Antiqua"/>
          <w:color w:val="000000" w:themeColor="text1"/>
          <w:lang w:val="en-US" w:eastAsia="en-US"/>
        </w:rPr>
        <w:t xml:space="preserve">intra-individual variation, and immediately stored at 4 </w:t>
      </w:r>
      <w:bookmarkStart w:id="108" w:name="OLE_LINK530"/>
      <w:bookmarkStart w:id="109" w:name="OLE_LINK531"/>
      <w:r w:rsidR="004C6EB9">
        <w:rPr>
          <w:rFonts w:ascii="MS Mincho" w:eastAsia="MS Mincho" w:hAnsi="MS Mincho" w:cs="MS Mincho"/>
          <w:color w:val="000000" w:themeColor="text1"/>
          <w:lang w:val="en-US" w:eastAsia="en-US"/>
        </w:rPr>
        <w:t>℃</w:t>
      </w:r>
      <w:bookmarkEnd w:id="108"/>
      <w:bookmarkEnd w:id="109"/>
      <w:r w:rsidRPr="008A5994">
        <w:rPr>
          <w:rFonts w:ascii="Book Antiqua" w:hAnsi="Book Antiqua"/>
          <w:color w:val="000000" w:themeColor="text1"/>
          <w:lang w:val="en-US" w:eastAsia="en-US"/>
        </w:rPr>
        <w:t xml:space="preserve">. Patients were instructed to transport the stool samples in a dedicated container at 4 </w:t>
      </w:r>
      <w:r w:rsidR="004C6EB9">
        <w:rPr>
          <w:rFonts w:ascii="MS Mincho" w:eastAsia="MS Mincho" w:hAnsi="MS Mincho" w:cs="MS Mincho"/>
          <w:color w:val="000000" w:themeColor="text1"/>
          <w:lang w:val="en-US" w:eastAsia="en-US"/>
        </w:rPr>
        <w:t>℃</w:t>
      </w:r>
      <w:r w:rsidRPr="008A5994">
        <w:rPr>
          <w:rFonts w:ascii="Book Antiqua" w:hAnsi="Book Antiqua"/>
          <w:color w:val="000000" w:themeColor="text1"/>
          <w:lang w:val="en-US" w:eastAsia="en-US"/>
        </w:rPr>
        <w:t xml:space="preserve">. </w:t>
      </w:r>
      <w:proofErr w:type="spellStart"/>
      <w:r w:rsidRPr="008A5994">
        <w:rPr>
          <w:rFonts w:ascii="Book Antiqua" w:hAnsi="Book Antiqua"/>
          <w:color w:val="000000" w:themeColor="text1"/>
          <w:lang w:val="en-US" w:eastAsia="en-US"/>
        </w:rPr>
        <w:t>Faecal</w:t>
      </w:r>
      <w:proofErr w:type="spellEnd"/>
      <w:r w:rsidRPr="008A5994">
        <w:rPr>
          <w:rFonts w:ascii="Book Antiqua" w:hAnsi="Book Antiqua"/>
          <w:color w:val="000000" w:themeColor="text1"/>
          <w:lang w:val="en-US" w:eastAsia="en-US"/>
        </w:rPr>
        <w:t xml:space="preserve"> samples were immediately transferred, upon patient arrival, to the Clermont</w:t>
      </w:r>
      <w:r w:rsidR="00AB38A7">
        <w:rPr>
          <w:rFonts w:ascii="Book Antiqua" w:hAnsi="Book Antiqua"/>
          <w:color w:val="000000" w:themeColor="text1"/>
          <w:lang w:val="en-US" w:eastAsia="en-US"/>
        </w:rPr>
        <w:t>-</w:t>
      </w:r>
      <w:r w:rsidRPr="008A5994">
        <w:rPr>
          <w:rFonts w:ascii="Book Antiqua" w:hAnsi="Book Antiqua"/>
          <w:color w:val="000000" w:themeColor="text1"/>
          <w:lang w:val="en-US" w:eastAsia="en-US"/>
        </w:rPr>
        <w:t xml:space="preserve">Ferrand hospital Biochemistry Laboratory. Stool cultures were performed on all samples to exclude </w:t>
      </w:r>
      <w:r w:rsidRPr="008A5994">
        <w:rPr>
          <w:rFonts w:ascii="Book Antiqua" w:hAnsi="Book Antiqua"/>
          <w:color w:val="000000" w:themeColor="text1"/>
          <w:lang w:val="en-US" w:eastAsia="en-US"/>
        </w:rPr>
        <w:lastRenderedPageBreak/>
        <w:t xml:space="preserve">gastrointestinal infection. Calprotectin was measured, as routinely performed in our IBD </w:t>
      </w:r>
      <w:proofErr w:type="spellStart"/>
      <w:r w:rsidRPr="008A5994">
        <w:rPr>
          <w:rFonts w:ascii="Book Antiqua" w:hAnsi="Book Antiqua"/>
          <w:color w:val="000000" w:themeColor="text1"/>
          <w:lang w:val="en-US" w:eastAsia="en-US"/>
        </w:rPr>
        <w:t>centre</w:t>
      </w:r>
      <w:proofErr w:type="spellEnd"/>
      <w:r w:rsidRPr="008A5994">
        <w:rPr>
          <w:rFonts w:ascii="Book Antiqua" w:hAnsi="Book Antiqua"/>
          <w:color w:val="000000" w:themeColor="text1"/>
          <w:lang w:val="en-US" w:eastAsia="en-US"/>
        </w:rPr>
        <w:t>, using quantitative immunochromatographic test Quantum Blue High Range (</w:t>
      </w:r>
      <w:proofErr w:type="spellStart"/>
      <w:r w:rsidRPr="008A5994">
        <w:rPr>
          <w:rFonts w:ascii="Book Antiqua" w:hAnsi="Book Antiqua"/>
          <w:color w:val="000000" w:themeColor="text1"/>
          <w:lang w:val="en-US" w:eastAsia="en-US"/>
        </w:rPr>
        <w:t>Bühlmann</w:t>
      </w:r>
      <w:proofErr w:type="spellEnd"/>
      <w:r w:rsidRPr="008A5994">
        <w:rPr>
          <w:rFonts w:ascii="Book Antiqua" w:hAnsi="Book Antiqua"/>
          <w:color w:val="000000" w:themeColor="text1"/>
          <w:lang w:val="en-US" w:eastAsia="en-US"/>
        </w:rPr>
        <w:t xml:space="preserve"> Laboratories AG, </w:t>
      </w:r>
      <w:proofErr w:type="spellStart"/>
      <w:r w:rsidRPr="008A5994">
        <w:rPr>
          <w:rFonts w:ascii="Book Antiqua" w:hAnsi="Book Antiqua"/>
          <w:color w:val="000000" w:themeColor="text1"/>
          <w:lang w:val="en-US" w:eastAsia="en-US"/>
        </w:rPr>
        <w:t>Schönenbuch</w:t>
      </w:r>
      <w:proofErr w:type="spellEnd"/>
      <w:r w:rsidRPr="008A5994">
        <w:rPr>
          <w:rFonts w:ascii="Book Antiqua" w:hAnsi="Book Antiqua"/>
          <w:color w:val="000000" w:themeColor="text1"/>
          <w:lang w:val="en-US" w:eastAsia="en-US"/>
        </w:rPr>
        <w:t>, Switzerland), according to the manufacturer</w:t>
      </w:r>
      <w:r w:rsidR="00A555A0">
        <w:rPr>
          <w:rFonts w:ascii="Book Antiqua" w:hAnsi="Book Antiqua"/>
          <w:color w:val="000000" w:themeColor="text1"/>
          <w:lang w:val="en-US" w:eastAsia="en-US"/>
        </w:rPr>
        <w:t>’</w:t>
      </w:r>
      <w:r w:rsidRPr="008A5994">
        <w:rPr>
          <w:rFonts w:ascii="Book Antiqua" w:hAnsi="Book Antiqua"/>
          <w:color w:val="000000" w:themeColor="text1"/>
          <w:lang w:val="en-US" w:eastAsia="en-US"/>
        </w:rPr>
        <w:t xml:space="preserve">s instructions. Laboratory personnel, who were blinded from the current clinical disease activity of the patients, performed the analyses. The lower and the upper limits of detection for calprotectin were 100 and 1800 </w:t>
      </w:r>
      <w:r w:rsidRPr="008A5994">
        <w:rPr>
          <w:rFonts w:ascii="Book Antiqua" w:hAnsi="Book Antiqua"/>
          <w:color w:val="000000" w:themeColor="text1"/>
          <w:lang w:val="en-US" w:eastAsia="en-US"/>
        </w:rPr>
        <w:sym w:font="Symbol" w:char="F06D"/>
      </w:r>
      <w:r w:rsidRPr="008A5994">
        <w:rPr>
          <w:rFonts w:ascii="Book Antiqua" w:hAnsi="Book Antiqua"/>
          <w:color w:val="000000" w:themeColor="text1"/>
          <w:lang w:val="en-US" w:eastAsia="en-US"/>
        </w:rPr>
        <w:t>g/g, respectively. Consequently, all calprotectin levels &lt;</w:t>
      </w:r>
      <w:r w:rsidR="004C6EB9">
        <w:rPr>
          <w:rFonts w:ascii="Book Antiqua" w:hAnsi="Book Antiqua"/>
          <w:color w:val="000000" w:themeColor="text1"/>
          <w:lang w:val="en-US" w:eastAsia="en-US"/>
        </w:rPr>
        <w:t xml:space="preserve"> </w:t>
      </w:r>
      <w:r w:rsidRPr="008A5994">
        <w:rPr>
          <w:rFonts w:ascii="Book Antiqua" w:hAnsi="Book Antiqua"/>
          <w:color w:val="000000" w:themeColor="text1"/>
          <w:lang w:val="en-US" w:eastAsia="en-US"/>
        </w:rPr>
        <w:t>100 and &gt;</w:t>
      </w:r>
      <w:r w:rsidR="004C6EB9">
        <w:rPr>
          <w:rFonts w:ascii="Book Antiqua" w:hAnsi="Book Antiqua"/>
          <w:color w:val="000000" w:themeColor="text1"/>
          <w:lang w:val="en-US" w:eastAsia="en-US"/>
        </w:rPr>
        <w:t xml:space="preserve"> </w:t>
      </w:r>
      <w:r w:rsidRPr="008A5994">
        <w:rPr>
          <w:rFonts w:ascii="Book Antiqua" w:hAnsi="Book Antiqua"/>
          <w:color w:val="000000" w:themeColor="text1"/>
          <w:lang w:val="en-US" w:eastAsia="en-US"/>
        </w:rPr>
        <w:t xml:space="preserve">1800 </w:t>
      </w:r>
      <w:r w:rsidRPr="008A5994">
        <w:rPr>
          <w:rFonts w:ascii="Book Antiqua" w:hAnsi="Book Antiqua"/>
          <w:color w:val="000000" w:themeColor="text1"/>
          <w:lang w:val="en-US" w:eastAsia="en-US"/>
        </w:rPr>
        <w:sym w:font="Symbol" w:char="F06D"/>
      </w:r>
      <w:r w:rsidRPr="008A5994">
        <w:rPr>
          <w:rFonts w:ascii="Book Antiqua" w:hAnsi="Book Antiqua"/>
          <w:color w:val="000000" w:themeColor="text1"/>
          <w:lang w:val="en-US" w:eastAsia="en-US"/>
        </w:rPr>
        <w:t xml:space="preserve">g/g were considered as equal to 100 and 1800 </w:t>
      </w:r>
      <w:r w:rsidRPr="008A5994">
        <w:rPr>
          <w:rFonts w:ascii="Book Antiqua" w:hAnsi="Book Antiqua"/>
          <w:color w:val="000000" w:themeColor="text1"/>
          <w:lang w:val="en-US" w:eastAsia="en-US"/>
        </w:rPr>
        <w:sym w:font="Symbol" w:char="F06D"/>
      </w:r>
      <w:r w:rsidRPr="008A5994">
        <w:rPr>
          <w:rFonts w:ascii="Book Antiqua" w:hAnsi="Book Antiqua"/>
          <w:color w:val="000000" w:themeColor="text1"/>
          <w:lang w:val="en-US" w:eastAsia="en-US"/>
        </w:rPr>
        <w:t xml:space="preserve">g/g, respectively. Results were given in </w:t>
      </w:r>
      <w:r w:rsidRPr="008A5994">
        <w:rPr>
          <w:rFonts w:ascii="Book Antiqua" w:hAnsi="Book Antiqua"/>
          <w:color w:val="000000" w:themeColor="text1"/>
          <w:lang w:val="en-US" w:eastAsia="en-US"/>
        </w:rPr>
        <w:sym w:font="Symbol" w:char="F06D"/>
      </w:r>
      <w:r w:rsidRPr="008A5994">
        <w:rPr>
          <w:rFonts w:ascii="Book Antiqua" w:hAnsi="Book Antiqua"/>
          <w:color w:val="000000" w:themeColor="text1"/>
          <w:lang w:val="en-US" w:eastAsia="en-US"/>
        </w:rPr>
        <w:t>g/g.</w:t>
      </w:r>
    </w:p>
    <w:p w14:paraId="5062EB9E" w14:textId="77777777" w:rsidR="004C6EB9" w:rsidRPr="008A5994" w:rsidRDefault="004C6EB9" w:rsidP="008A5994">
      <w:pPr>
        <w:widowControl w:val="0"/>
        <w:adjustRightInd w:val="0"/>
        <w:snapToGrid w:val="0"/>
        <w:spacing w:line="360" w:lineRule="auto"/>
        <w:jc w:val="both"/>
        <w:rPr>
          <w:rFonts w:ascii="Book Antiqua" w:hAnsi="Book Antiqua"/>
          <w:color w:val="000000" w:themeColor="text1"/>
          <w:lang w:val="en-US" w:eastAsia="en-US"/>
        </w:rPr>
      </w:pPr>
    </w:p>
    <w:p w14:paraId="5D583C30" w14:textId="77777777" w:rsidR="008707A9" w:rsidRPr="008A5994" w:rsidRDefault="008707A9" w:rsidP="00A555A0">
      <w:pPr>
        <w:adjustRightInd w:val="0"/>
        <w:snapToGrid w:val="0"/>
        <w:spacing w:line="360" w:lineRule="auto"/>
        <w:jc w:val="both"/>
        <w:outlineLvl w:val="0"/>
        <w:rPr>
          <w:rFonts w:ascii="Book Antiqua" w:hAnsi="Book Antiqua"/>
          <w:b/>
          <w:i/>
          <w:color w:val="000000" w:themeColor="text1"/>
          <w:lang w:val="en-US"/>
        </w:rPr>
      </w:pPr>
      <w:r w:rsidRPr="008A5994">
        <w:rPr>
          <w:rFonts w:ascii="Book Antiqua" w:hAnsi="Book Antiqua"/>
          <w:b/>
          <w:i/>
          <w:color w:val="000000" w:themeColor="text1"/>
          <w:lang w:val="en-US"/>
        </w:rPr>
        <w:t>Definitions and endpoints</w:t>
      </w:r>
    </w:p>
    <w:p w14:paraId="1DE50CD9" w14:textId="45F26C9F" w:rsidR="008707A9" w:rsidRDefault="004C6EB9"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CFREM</w:t>
      </w:r>
      <w:r w:rsidR="008707A9" w:rsidRPr="008A5994">
        <w:rPr>
          <w:rFonts w:ascii="Book Antiqua" w:hAnsi="Book Antiqua"/>
          <w:color w:val="000000" w:themeColor="text1"/>
          <w:lang w:val="en-US"/>
        </w:rPr>
        <w:t xml:space="preserve"> at W52 was defined as: CDAI &lt;</w:t>
      </w: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 xml:space="preserve">150 and CRP &lt; 2.9 mg/L </w:t>
      </w:r>
      <w:r w:rsidR="00925145" w:rsidRPr="008A5994">
        <w:rPr>
          <w:rFonts w:ascii="Book Antiqua" w:hAnsi="Book Antiqua"/>
          <w:color w:val="000000" w:themeColor="text1"/>
          <w:lang w:val="en-US"/>
        </w:rPr>
        <w:t>(normal value according to the manufacturer</w:t>
      </w:r>
      <w:r w:rsidR="00A555A0">
        <w:rPr>
          <w:rFonts w:ascii="Book Antiqua" w:hAnsi="Book Antiqua"/>
          <w:color w:val="000000" w:themeColor="text1"/>
          <w:lang w:val="en-US"/>
        </w:rPr>
        <w:t>’</w:t>
      </w:r>
      <w:r w:rsidR="00925145" w:rsidRPr="008A5994">
        <w:rPr>
          <w:rFonts w:ascii="Book Antiqua" w:hAnsi="Book Antiqua"/>
          <w:color w:val="000000" w:themeColor="text1"/>
          <w:lang w:val="en-US"/>
        </w:rPr>
        <w:t xml:space="preserve">s instruction) </w:t>
      </w:r>
      <w:r w:rsidR="008707A9" w:rsidRPr="008A5994">
        <w:rPr>
          <w:rFonts w:ascii="Book Antiqua" w:hAnsi="Book Antiqua"/>
          <w:color w:val="000000" w:themeColor="text1"/>
          <w:lang w:val="en-US"/>
        </w:rPr>
        <w:t xml:space="preserve">and </w:t>
      </w:r>
      <w:proofErr w:type="spellStart"/>
      <w:r w:rsidR="008707A9" w:rsidRPr="008A5994">
        <w:rPr>
          <w:rFonts w:ascii="Book Antiqua" w:hAnsi="Book Antiqua"/>
          <w:color w:val="000000" w:themeColor="text1"/>
          <w:lang w:val="en-US"/>
        </w:rPr>
        <w:t>faecal</w:t>
      </w:r>
      <w:proofErr w:type="spellEnd"/>
      <w:r w:rsidR="008707A9" w:rsidRPr="008A5994">
        <w:rPr>
          <w:rFonts w:ascii="Book Antiqua" w:hAnsi="Book Antiqua"/>
          <w:color w:val="000000" w:themeColor="text1"/>
          <w:lang w:val="en-US"/>
        </w:rPr>
        <w:t xml:space="preserve"> calprotectin &lt; 250</w:t>
      </w:r>
      <w:r>
        <w:rPr>
          <w:rFonts w:ascii="Book Antiqua" w:hAnsi="Book Antiqua"/>
          <w:color w:val="000000" w:themeColor="text1"/>
          <w:lang w:val="en-US"/>
        </w:rPr>
        <w:t xml:space="preserve"> </w:t>
      </w:r>
      <w:proofErr w:type="spellStart"/>
      <w:r w:rsidR="008707A9" w:rsidRPr="008A5994">
        <w:rPr>
          <w:rFonts w:ascii="Book Antiqua" w:hAnsi="Book Antiqua"/>
          <w:color w:val="000000" w:themeColor="text1"/>
          <w:lang w:val="en-US"/>
        </w:rPr>
        <w:t>μg</w:t>
      </w:r>
      <w:proofErr w:type="spellEnd"/>
      <w:r w:rsidR="008707A9" w:rsidRPr="008A5994">
        <w:rPr>
          <w:rFonts w:ascii="Book Antiqua" w:hAnsi="Book Antiqua"/>
          <w:color w:val="000000" w:themeColor="text1"/>
          <w:lang w:val="en-US"/>
        </w:rPr>
        <w:t xml:space="preserve">/g, with no switch or swap of biologics and no bowel resection, and with no therapeutic intensification between W12 and W52. Therapeutic intensification was defined as an increase of anti-TNF dose or a decrease of interval between two infusions/injections or as an addition of another CD-specific medication (steroids or immunosuppressant therapy). Therapeutic intensification was based on clinical activity (CDAI &gt; 150) and not on CRP or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level. </w:t>
      </w:r>
    </w:p>
    <w:p w14:paraId="003DE556" w14:textId="77777777" w:rsidR="004C6EB9" w:rsidRPr="008A5994" w:rsidRDefault="004C6EB9" w:rsidP="008A5994">
      <w:pPr>
        <w:adjustRightInd w:val="0"/>
        <w:snapToGrid w:val="0"/>
        <w:spacing w:line="360" w:lineRule="auto"/>
        <w:jc w:val="both"/>
        <w:rPr>
          <w:rFonts w:ascii="Book Antiqua" w:hAnsi="Book Antiqua"/>
          <w:color w:val="000000" w:themeColor="text1"/>
          <w:lang w:val="en-US"/>
        </w:rPr>
      </w:pPr>
    </w:p>
    <w:p w14:paraId="772A938E" w14:textId="77777777" w:rsidR="008707A9" w:rsidRPr="008A5994" w:rsidRDefault="008707A9" w:rsidP="00A555A0">
      <w:pPr>
        <w:adjustRightInd w:val="0"/>
        <w:snapToGrid w:val="0"/>
        <w:spacing w:line="360" w:lineRule="auto"/>
        <w:jc w:val="both"/>
        <w:outlineLvl w:val="0"/>
        <w:rPr>
          <w:rFonts w:ascii="Book Antiqua" w:hAnsi="Book Antiqua"/>
          <w:b/>
          <w:i/>
          <w:color w:val="000000" w:themeColor="text1"/>
          <w:lang w:val="en-US"/>
        </w:rPr>
      </w:pPr>
      <w:r w:rsidRPr="008A5994">
        <w:rPr>
          <w:rFonts w:ascii="Book Antiqua" w:hAnsi="Book Antiqua"/>
          <w:b/>
          <w:i/>
          <w:color w:val="000000" w:themeColor="text1"/>
          <w:lang w:val="en-US"/>
        </w:rPr>
        <w:t>Sample size calculation</w:t>
      </w:r>
    </w:p>
    <w:p w14:paraId="38F22EFF" w14:textId="7A201505" w:rsidR="008707A9" w:rsidRPr="004C6EB9" w:rsidRDefault="008707A9" w:rsidP="008A5994">
      <w:pPr>
        <w:adjustRightInd w:val="0"/>
        <w:snapToGrid w:val="0"/>
        <w:spacing w:line="360" w:lineRule="auto"/>
        <w:jc w:val="both"/>
        <w:rPr>
          <w:rFonts w:ascii="Book Antiqua" w:hAnsi="Book Antiqua"/>
          <w:b/>
          <w:i/>
          <w:color w:val="000000" w:themeColor="text1"/>
          <w:lang w:val="en-US"/>
        </w:rPr>
      </w:pPr>
      <w:r w:rsidRPr="008A5994">
        <w:rPr>
          <w:rFonts w:ascii="Book Antiqua" w:hAnsi="Book Antiqua"/>
          <w:color w:val="000000" w:themeColor="text1"/>
          <w:lang w:val="en-US"/>
        </w:rPr>
        <w:t xml:space="preserve">Sample size estimation has been performed in order to assess our primary endpoint. Overall, 40 patients were necessary for a type I error at 5% and a statistical power greater than 80% to detect </w:t>
      </w:r>
      <w:r w:rsidR="009F36F5" w:rsidRPr="008A5994">
        <w:rPr>
          <w:rFonts w:ascii="Book Antiqua" w:hAnsi="Book Antiqua"/>
          <w:color w:val="000000" w:themeColor="text1"/>
          <w:lang w:val="en-US"/>
        </w:rPr>
        <w:t>a true absolute difference higher than 50</w:t>
      </w:r>
      <w:r w:rsidRPr="008A5994">
        <w:rPr>
          <w:rFonts w:ascii="Book Antiqua" w:hAnsi="Book Antiqua"/>
          <w:color w:val="000000" w:themeColor="text1"/>
          <w:lang w:val="en-US"/>
        </w:rPr>
        <w:t>%</w:t>
      </w:r>
      <w:r w:rsidR="009F36F5" w:rsidRPr="008A5994">
        <w:rPr>
          <w:rFonts w:ascii="Book Antiqua" w:hAnsi="Book Antiqua"/>
          <w:color w:val="000000" w:themeColor="text1"/>
          <w:lang w:val="en-US"/>
        </w:rPr>
        <w:t xml:space="preserve"> </w:t>
      </w:r>
      <w:r w:rsidRPr="008A5994">
        <w:rPr>
          <w:rFonts w:ascii="Book Antiqua" w:hAnsi="Book Antiqua"/>
          <w:color w:val="000000" w:themeColor="text1"/>
          <w:lang w:val="en-US"/>
        </w:rPr>
        <w:t>to predict CFREM at week 52 using CDAI, CRP, o</w:t>
      </w:r>
      <w:r w:rsidR="009F36F5" w:rsidRPr="008A5994">
        <w:rPr>
          <w:rFonts w:ascii="Book Antiqua" w:hAnsi="Book Antiqua"/>
          <w:color w:val="000000" w:themeColor="text1"/>
          <w:lang w:val="en-US"/>
        </w:rPr>
        <w:t xml:space="preserve">r </w:t>
      </w:r>
      <w:proofErr w:type="spellStart"/>
      <w:r w:rsidR="009F36F5" w:rsidRPr="008A5994">
        <w:rPr>
          <w:rFonts w:ascii="Book Antiqua" w:hAnsi="Book Antiqua"/>
          <w:color w:val="000000" w:themeColor="text1"/>
          <w:lang w:val="en-US"/>
        </w:rPr>
        <w:t>Fcal</w:t>
      </w:r>
      <w:proofErr w:type="spellEnd"/>
      <w:r w:rsidR="009F36F5" w:rsidRPr="008A5994">
        <w:rPr>
          <w:rFonts w:ascii="Book Antiqua" w:hAnsi="Book Antiqua"/>
          <w:color w:val="000000" w:themeColor="text1"/>
          <w:lang w:val="en-US"/>
        </w:rPr>
        <w:t xml:space="preserve">, alone or in combination. </w:t>
      </w:r>
      <w:r w:rsidRPr="008A5994">
        <w:rPr>
          <w:rFonts w:ascii="Book Antiqua" w:hAnsi="Book Antiqua"/>
          <w:color w:val="000000" w:themeColor="text1"/>
          <w:lang w:val="en-US"/>
        </w:rPr>
        <w:t xml:space="preserve">Consequently, we planned to include 40 patients. </w:t>
      </w:r>
    </w:p>
    <w:p w14:paraId="3E01B71E" w14:textId="77777777" w:rsidR="008707A9" w:rsidRPr="008A5994" w:rsidRDefault="008707A9" w:rsidP="008A5994">
      <w:pPr>
        <w:adjustRightInd w:val="0"/>
        <w:snapToGrid w:val="0"/>
        <w:spacing w:line="360" w:lineRule="auto"/>
        <w:jc w:val="both"/>
        <w:rPr>
          <w:rFonts w:ascii="Book Antiqua" w:hAnsi="Book Antiqua"/>
          <w:color w:val="000000" w:themeColor="text1"/>
          <w:lang w:val="en-US"/>
        </w:rPr>
      </w:pPr>
    </w:p>
    <w:p w14:paraId="62DAC281" w14:textId="3474EEA3" w:rsidR="008707A9" w:rsidRPr="008A5994" w:rsidRDefault="004C6EB9" w:rsidP="00A555A0">
      <w:pPr>
        <w:adjustRightInd w:val="0"/>
        <w:snapToGrid w:val="0"/>
        <w:spacing w:line="360" w:lineRule="auto"/>
        <w:jc w:val="both"/>
        <w:outlineLvl w:val="0"/>
        <w:rPr>
          <w:rFonts w:ascii="Book Antiqua" w:hAnsi="Book Antiqua"/>
          <w:b/>
          <w:i/>
          <w:color w:val="000000" w:themeColor="text1"/>
          <w:lang w:val="en-US"/>
        </w:rPr>
      </w:pPr>
      <w:r>
        <w:rPr>
          <w:rFonts w:ascii="Book Antiqua" w:hAnsi="Book Antiqua"/>
          <w:b/>
          <w:i/>
          <w:color w:val="000000" w:themeColor="text1"/>
          <w:lang w:val="en-US"/>
        </w:rPr>
        <w:t>Statistical analysi</w:t>
      </w:r>
      <w:r w:rsidR="008707A9" w:rsidRPr="008A5994">
        <w:rPr>
          <w:rFonts w:ascii="Book Antiqua" w:hAnsi="Book Antiqua"/>
          <w:b/>
          <w:i/>
          <w:color w:val="000000" w:themeColor="text1"/>
          <w:lang w:val="en-US"/>
        </w:rPr>
        <w:t>s</w:t>
      </w:r>
    </w:p>
    <w:p w14:paraId="7D64A913" w14:textId="49BFECCD" w:rsidR="008707A9" w:rsidRPr="008A5994" w:rsidRDefault="008707A9" w:rsidP="008A5994">
      <w:pPr>
        <w:adjustRightInd w:val="0"/>
        <w:snapToGrid w:val="0"/>
        <w:spacing w:line="360" w:lineRule="auto"/>
        <w:jc w:val="both"/>
        <w:rPr>
          <w:rFonts w:ascii="Book Antiqua" w:hAnsi="Book Antiqua"/>
          <w:color w:val="000000" w:themeColor="text1"/>
          <w:lang w:val="en-US"/>
        </w:rPr>
      </w:pPr>
      <w:r w:rsidRPr="008A5994">
        <w:rPr>
          <w:rFonts w:ascii="Book Antiqua" w:hAnsi="Book Antiqua"/>
          <w:color w:val="000000" w:themeColor="text1"/>
          <w:lang w:val="en-US"/>
        </w:rPr>
        <w:t xml:space="preserve">Study data were collected and managed using </w:t>
      </w:r>
      <w:r w:rsidR="004C6EB9" w:rsidRPr="008A5994">
        <w:rPr>
          <w:rFonts w:ascii="Book Antiqua" w:hAnsi="Book Antiqua"/>
          <w:color w:val="000000" w:themeColor="text1"/>
          <w:lang w:val="en-US"/>
        </w:rPr>
        <w:t xml:space="preserve">Research Electronic Data Capture </w:t>
      </w:r>
      <w:r w:rsidR="004C6EB9">
        <w:rPr>
          <w:rFonts w:ascii="Book Antiqua" w:hAnsi="Book Antiqua"/>
          <w:color w:val="000000" w:themeColor="text1"/>
          <w:lang w:val="en-US"/>
        </w:rPr>
        <w:t>(</w:t>
      </w:r>
      <w:proofErr w:type="spellStart"/>
      <w:r w:rsidRPr="008A5994">
        <w:rPr>
          <w:rFonts w:ascii="Book Antiqua" w:hAnsi="Book Antiqua"/>
          <w:color w:val="000000" w:themeColor="text1"/>
          <w:lang w:val="en-US"/>
        </w:rPr>
        <w:t>REDCap</w:t>
      </w:r>
      <w:proofErr w:type="spellEnd"/>
      <w:r w:rsidR="004C6EB9">
        <w:rPr>
          <w:rFonts w:ascii="Book Antiqua" w:hAnsi="Book Antiqua"/>
          <w:color w:val="000000" w:themeColor="text1"/>
          <w:lang w:val="en-US"/>
        </w:rPr>
        <w:t>)</w:t>
      </w:r>
      <w:r w:rsidRPr="008A5994">
        <w:rPr>
          <w:rFonts w:ascii="Book Antiqua" w:hAnsi="Book Antiqua"/>
          <w:color w:val="000000" w:themeColor="text1"/>
          <w:lang w:val="en-US"/>
        </w:rPr>
        <w:t xml:space="preserve"> electronic data capture tools hosted at Clermont-Ferrand University Hospital</w:t>
      </w:r>
      <w:r w:rsidRPr="008A5994">
        <w:rPr>
          <w:rFonts w:ascii="Book Antiqua" w:hAnsi="Book Antiqua"/>
          <w:color w:val="000000" w:themeColor="text1"/>
          <w:lang w:val="en-US"/>
        </w:rPr>
        <w:fldChar w:fldCharType="begin"/>
      </w:r>
      <w:r w:rsidR="000B228F" w:rsidRPr="008A5994">
        <w:rPr>
          <w:rFonts w:ascii="Book Antiqua" w:hAnsi="Book Antiqua"/>
          <w:color w:val="000000" w:themeColor="text1"/>
          <w:lang w:val="en-US"/>
        </w:rPr>
        <w:instrText xml:space="preserve"> ADDIN ZOTERO_ITEM CSL_CITATION {"citationID":"irc829183","properties":{"formattedCitation":"\\super [10]\\nosupersub{}","plainCitation":"[10]","noteIndex":0},"citationItems":[{"id":506,"uris":["http://zotero.org/users/751086/items/DBP3TF4V"],"uri":["http://zotero.org/users/751086/items/DBP3TF4V"],"itemData":{"id":506,"type":"article-journal","title":"Research electronic data capture (REDCap)--a metadata-driven methodology and workflow process for providing translational research informatics support","container-title":"Journal of Biomedical Informatics","page":"377-381","volume":"42","issue":"2","source":"NCBI PubMed","abstract":"Research electronic data capture (REDCap) is a novel workflow methodology and software solution designed for rapid development and deployment of electronic data capture tools to support clinical and translational research. We present: (1) a brief description of the REDCap metadata-driven software toolset; (2) detail concerning the capture and use of study-related metadata from scientific research teams; (3) measures of impact for REDCap; (4) details concerning a consortium network of domestic and international institutions collaborating on the project; and (5) strengths and limitations of the REDCap system. REDCap is currently supporting 286 translational research projects in a growing collaborative network including 27 active partner institutions.","DOI":"10.1016/j.jbi.2008.08.010","ISSN":"1532-0480","note":"PMID: 18929686 \nPMCID: PMC2700030","journalAbbreviation":"J Biomed Inform","language":"eng","author":[{"family":"Harris","given":"Paul A."},{"family":"Taylor","given":"Robert"},{"family":"Thielke","given":"Robert"},{"family":"Payne","given":"Jonathon"},{"family":"Gonzalez","given":"Nathaniel"},{"family":"Conde","given":"Jose G."}],"issued":{"date-parts":[["2009",4]]}}}],"schema":"https://github.com/citation-style-language/schema/raw/master/csl-citation.json"} </w:instrText>
      </w:r>
      <w:r w:rsidRPr="008A5994">
        <w:rPr>
          <w:rFonts w:ascii="Book Antiqua" w:hAnsi="Book Antiqua"/>
          <w:color w:val="000000" w:themeColor="text1"/>
          <w:lang w:val="en-US"/>
        </w:rPr>
        <w:fldChar w:fldCharType="separate"/>
      </w:r>
      <w:r w:rsidR="000B228F" w:rsidRPr="008A5994">
        <w:rPr>
          <w:rFonts w:ascii="Book Antiqua" w:hAnsi="Book Antiqua"/>
          <w:color w:val="000000" w:themeColor="text1"/>
          <w:vertAlign w:val="superscript"/>
          <w:lang w:val="en-US"/>
        </w:rPr>
        <w:t>[10]</w:t>
      </w:r>
      <w:r w:rsidRPr="008A5994">
        <w:rPr>
          <w:rFonts w:ascii="Book Antiqua" w:hAnsi="Book Antiqua"/>
          <w:color w:val="000000" w:themeColor="text1"/>
          <w:lang w:val="en-US"/>
        </w:rPr>
        <w:fldChar w:fldCharType="end"/>
      </w:r>
      <w:r w:rsidRPr="008A5994">
        <w:rPr>
          <w:rFonts w:ascii="Book Antiqua" w:hAnsi="Book Antiqua"/>
          <w:color w:val="000000" w:themeColor="text1"/>
          <w:lang w:val="en-US"/>
        </w:rPr>
        <w:t xml:space="preserve">. </w:t>
      </w:r>
      <w:proofErr w:type="spellStart"/>
      <w:r w:rsidRPr="008A5994">
        <w:rPr>
          <w:rFonts w:ascii="Book Antiqua" w:hAnsi="Book Antiqua"/>
          <w:color w:val="000000" w:themeColor="text1"/>
          <w:lang w:val="en-US"/>
        </w:rPr>
        <w:t>REDCap</w:t>
      </w:r>
      <w:proofErr w:type="spellEnd"/>
      <w:r w:rsidRPr="008A5994">
        <w:rPr>
          <w:rFonts w:ascii="Book Antiqua" w:hAnsi="Book Antiqua"/>
          <w:color w:val="000000" w:themeColor="text1"/>
          <w:lang w:val="en-US"/>
        </w:rPr>
        <w:t xml:space="preserve"> is a secure, web-based application designed to support data capture for research studies, providing </w:t>
      </w:r>
      <w:r w:rsidR="004C6EB9">
        <w:rPr>
          <w:rFonts w:ascii="Book Antiqua" w:hAnsi="Book Antiqua"/>
          <w:color w:val="000000" w:themeColor="text1"/>
          <w:lang w:val="en-US"/>
        </w:rPr>
        <w:t>(</w:t>
      </w:r>
      <w:r w:rsidRPr="008A5994">
        <w:rPr>
          <w:rFonts w:ascii="Book Antiqua" w:hAnsi="Book Antiqua"/>
          <w:color w:val="000000" w:themeColor="text1"/>
          <w:lang w:val="en-US"/>
        </w:rPr>
        <w:t xml:space="preserve">1) an intuitive interface for validated data </w:t>
      </w:r>
      <w:r w:rsidRPr="008A5994">
        <w:rPr>
          <w:rFonts w:ascii="Book Antiqua" w:hAnsi="Book Antiqua"/>
          <w:color w:val="000000" w:themeColor="text1"/>
          <w:lang w:val="en-US"/>
        </w:rPr>
        <w:lastRenderedPageBreak/>
        <w:t xml:space="preserve">entry; </w:t>
      </w:r>
      <w:r w:rsidR="004C6EB9">
        <w:rPr>
          <w:rFonts w:ascii="Book Antiqua" w:hAnsi="Book Antiqua"/>
          <w:color w:val="000000" w:themeColor="text1"/>
          <w:lang w:val="en-US"/>
        </w:rPr>
        <w:t>(</w:t>
      </w:r>
      <w:r w:rsidRPr="008A5994">
        <w:rPr>
          <w:rFonts w:ascii="Book Antiqua" w:hAnsi="Book Antiqua"/>
          <w:color w:val="000000" w:themeColor="text1"/>
          <w:lang w:val="en-US"/>
        </w:rPr>
        <w:t xml:space="preserve">2) audit trails for tracking data manipulation and export procedures; </w:t>
      </w:r>
      <w:r w:rsidR="004C6EB9">
        <w:rPr>
          <w:rFonts w:ascii="Book Antiqua" w:hAnsi="Book Antiqua"/>
          <w:color w:val="000000" w:themeColor="text1"/>
          <w:lang w:val="en-US"/>
        </w:rPr>
        <w:t>(</w:t>
      </w:r>
      <w:r w:rsidRPr="008A5994">
        <w:rPr>
          <w:rFonts w:ascii="Book Antiqua" w:hAnsi="Book Antiqua"/>
          <w:color w:val="000000" w:themeColor="text1"/>
          <w:lang w:val="en-US"/>
        </w:rPr>
        <w:t xml:space="preserve">3) automated export procedures for seamless data downloads to common statistical packages; and </w:t>
      </w:r>
      <w:r w:rsidR="004C6EB9">
        <w:rPr>
          <w:rFonts w:ascii="Book Antiqua" w:hAnsi="Book Antiqua"/>
          <w:color w:val="000000" w:themeColor="text1"/>
          <w:lang w:val="en-US"/>
        </w:rPr>
        <w:t>(</w:t>
      </w:r>
      <w:r w:rsidRPr="008A5994">
        <w:rPr>
          <w:rFonts w:ascii="Book Antiqua" w:hAnsi="Book Antiqua"/>
          <w:color w:val="000000" w:themeColor="text1"/>
          <w:lang w:val="en-US"/>
        </w:rPr>
        <w:t>4) procedures for importing data from external sources.</w:t>
      </w:r>
    </w:p>
    <w:p w14:paraId="19B7326B" w14:textId="57F3234C" w:rsidR="008707A9" w:rsidRPr="008A5994" w:rsidRDefault="004C6EB9" w:rsidP="008A5994">
      <w:pPr>
        <w:widowControl w:val="0"/>
        <w:adjustRightInd w:val="0"/>
        <w:snapToGrid w:val="0"/>
        <w:spacing w:line="360" w:lineRule="auto"/>
        <w:jc w:val="both"/>
        <w:rPr>
          <w:rFonts w:ascii="Book Antiqua" w:hAnsi="Book Antiqua"/>
          <w:color w:val="000000" w:themeColor="text1"/>
          <w:lang w:val="en-US" w:eastAsia="en-US"/>
        </w:rPr>
      </w:pP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 xml:space="preserve">Statistical analysis was performed using Stata software (version 13, </w:t>
      </w:r>
      <w:proofErr w:type="spellStart"/>
      <w:r w:rsidR="008707A9" w:rsidRPr="008A5994">
        <w:rPr>
          <w:rFonts w:ascii="Book Antiqua" w:hAnsi="Book Antiqua"/>
          <w:color w:val="000000" w:themeColor="text1"/>
          <w:lang w:val="en-US"/>
        </w:rPr>
        <w:t>Stata</w:t>
      </w:r>
      <w:r>
        <w:rPr>
          <w:rFonts w:ascii="Book Antiqua" w:hAnsi="Book Antiqua"/>
          <w:color w:val="000000" w:themeColor="text1"/>
          <w:lang w:val="en-US"/>
        </w:rPr>
        <w:t>Corp</w:t>
      </w:r>
      <w:proofErr w:type="spellEnd"/>
      <w:r>
        <w:rPr>
          <w:rFonts w:ascii="Book Antiqua" w:hAnsi="Book Antiqua"/>
          <w:color w:val="000000" w:themeColor="text1"/>
          <w:lang w:val="en-US"/>
        </w:rPr>
        <w:t xml:space="preserve"> LP, College Station, TX, United States</w:t>
      </w:r>
      <w:r w:rsidR="008707A9" w:rsidRPr="008A5994">
        <w:rPr>
          <w:rFonts w:ascii="Book Antiqua" w:hAnsi="Book Antiqua"/>
          <w:color w:val="000000" w:themeColor="text1"/>
          <w:lang w:val="en-US"/>
        </w:rPr>
        <w:t xml:space="preserve">). The tests were two-sided, with a type I error set at α = 0.05. Continuous data were presented as mean ± standard-deviation or </w:t>
      </w:r>
      <w:r>
        <w:rPr>
          <w:rFonts w:ascii="Book Antiqua" w:hAnsi="Book Antiqua"/>
          <w:color w:val="000000" w:themeColor="text1"/>
          <w:lang w:val="en-US"/>
        </w:rPr>
        <w:t>median (interquartile range)</w:t>
      </w:r>
      <w:r w:rsidR="008707A9" w:rsidRPr="008A5994">
        <w:rPr>
          <w:rFonts w:ascii="Book Antiqua" w:hAnsi="Book Antiqua"/>
          <w:color w:val="000000" w:themeColor="text1"/>
          <w:lang w:val="en-US"/>
        </w:rPr>
        <w:t xml:space="preserve"> according to statistical distribution (assumption of normality assessed using the Shapiro</w:t>
      </w:r>
      <w:r w:rsidR="00AB38A7">
        <w:rPr>
          <w:rFonts w:ascii="Book Antiqua" w:hAnsi="Book Antiqua"/>
          <w:color w:val="000000" w:themeColor="text1"/>
          <w:lang w:val="en-US"/>
        </w:rPr>
        <w:t>-</w:t>
      </w:r>
      <w:r w:rsidR="008707A9" w:rsidRPr="008A5994">
        <w:rPr>
          <w:rFonts w:ascii="Book Antiqua" w:hAnsi="Book Antiqua"/>
          <w:color w:val="000000" w:themeColor="text1"/>
          <w:lang w:val="en-US"/>
        </w:rPr>
        <w:t xml:space="preserve">Wilk test). Categorical parameters were presented as frequencies and associated percentages. To assess the factors associated with CFREM at W52, </w:t>
      </w:r>
      <w:r w:rsidR="00AB70E4" w:rsidRPr="008A5994">
        <w:rPr>
          <w:rFonts w:ascii="Book Antiqua" w:hAnsi="Book Antiqua"/>
          <w:color w:val="000000" w:themeColor="text1"/>
          <w:lang w:val="en-US"/>
        </w:rPr>
        <w:t>univariable</w:t>
      </w:r>
      <w:r w:rsidR="008707A9" w:rsidRPr="008A5994">
        <w:rPr>
          <w:rFonts w:ascii="Book Antiqua" w:hAnsi="Book Antiqua"/>
          <w:color w:val="000000" w:themeColor="text1"/>
          <w:lang w:val="en-US"/>
        </w:rPr>
        <w:t xml:space="preserve"> analyses were realized using usual statistical tests: for continuous outcomes Student t-test or Mann-Whitney test when assumptions of </w:t>
      </w:r>
      <w:bookmarkStart w:id="110" w:name="OLE_LINK532"/>
      <w:bookmarkStart w:id="111" w:name="OLE_LINK533"/>
      <w:r w:rsidR="008707A9" w:rsidRPr="004C6EB9">
        <w:rPr>
          <w:rFonts w:ascii="Book Antiqua" w:hAnsi="Book Antiqua"/>
          <w:i/>
          <w:color w:val="000000" w:themeColor="text1"/>
          <w:lang w:val="en-US"/>
        </w:rPr>
        <w:t>t</w:t>
      </w:r>
      <w:bookmarkEnd w:id="110"/>
      <w:bookmarkEnd w:id="111"/>
      <w:r w:rsidR="008707A9" w:rsidRPr="008A5994">
        <w:rPr>
          <w:rFonts w:ascii="Book Antiqua" w:hAnsi="Book Antiqua"/>
          <w:color w:val="000000" w:themeColor="text1"/>
          <w:lang w:val="en-US"/>
        </w:rPr>
        <w:t>-test were not met (normality, homoscedasticity assessed by the Fisher-</w:t>
      </w:r>
      <w:proofErr w:type="spellStart"/>
      <w:r w:rsidR="008707A9" w:rsidRPr="008A5994">
        <w:rPr>
          <w:rFonts w:ascii="Book Antiqua" w:hAnsi="Book Antiqua"/>
          <w:color w:val="000000" w:themeColor="text1"/>
          <w:lang w:val="en-US"/>
        </w:rPr>
        <w:t>Snedecor</w:t>
      </w:r>
      <w:proofErr w:type="spellEnd"/>
      <w:r w:rsidR="008707A9" w:rsidRPr="008A5994">
        <w:rPr>
          <w:rFonts w:ascii="Book Antiqua" w:hAnsi="Book Antiqua"/>
          <w:color w:val="000000" w:themeColor="text1"/>
          <w:lang w:val="en-US"/>
        </w:rPr>
        <w:t xml:space="preserve"> test) and for categorical data chi-squared or Fisher</w:t>
      </w:r>
      <w:r w:rsidR="00A555A0">
        <w:rPr>
          <w:rFonts w:ascii="Book Antiqua" w:hAnsi="Book Antiqua"/>
          <w:color w:val="000000" w:themeColor="text1"/>
          <w:lang w:val="en-US"/>
        </w:rPr>
        <w:t>’</w:t>
      </w:r>
      <w:r w:rsidR="008707A9" w:rsidRPr="008A5994">
        <w:rPr>
          <w:rFonts w:ascii="Book Antiqua" w:hAnsi="Book Antiqua"/>
          <w:color w:val="000000" w:themeColor="text1"/>
          <w:lang w:val="en-US"/>
        </w:rPr>
        <w:t>s exact tests.</w:t>
      </w:r>
      <w:r w:rsidR="007E1FD5">
        <w:rPr>
          <w:rFonts w:ascii="Book Antiqua" w:hAnsi="Book Antiqua"/>
          <w:color w:val="000000" w:themeColor="text1"/>
          <w:lang w:val="en-US"/>
        </w:rPr>
        <w:t xml:space="preserve"> </w:t>
      </w:r>
      <w:r w:rsidR="008707A9" w:rsidRPr="008A5994">
        <w:rPr>
          <w:rFonts w:ascii="Book Antiqua" w:hAnsi="Book Antiqua"/>
          <w:color w:val="000000" w:themeColor="text1"/>
          <w:lang w:val="en-US"/>
        </w:rPr>
        <w:t xml:space="preserve">Regarding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ROC curve analyses were performed to determine the best thresholds to predict CFREM. The optimal threshold was determined according to clinical relevance and usual indexes reported in medical literature (Youden, Liu and efficiency).</w:t>
      </w:r>
      <w:r w:rsidR="007E1FD5">
        <w:rPr>
          <w:rFonts w:ascii="Book Antiqua" w:hAnsi="Book Antiqua"/>
          <w:color w:val="000000" w:themeColor="text1"/>
          <w:lang w:val="en-US"/>
        </w:rPr>
        <w:t xml:space="preserve"> </w:t>
      </w:r>
      <w:r w:rsidR="008707A9" w:rsidRPr="008A5994">
        <w:rPr>
          <w:rFonts w:ascii="Book Antiqua" w:hAnsi="Book Antiqua"/>
          <w:color w:val="000000" w:themeColor="text1"/>
          <w:lang w:val="en-US"/>
        </w:rPr>
        <w:t xml:space="preserve">According to </w:t>
      </w:r>
      <w:r w:rsidR="00AB70E4" w:rsidRPr="008A5994">
        <w:rPr>
          <w:rFonts w:ascii="Book Antiqua" w:hAnsi="Book Antiqua"/>
          <w:color w:val="000000" w:themeColor="text1"/>
          <w:lang w:val="en-US"/>
        </w:rPr>
        <w:t>univariable</w:t>
      </w:r>
      <w:r w:rsidR="008707A9" w:rsidRPr="008A5994">
        <w:rPr>
          <w:rFonts w:ascii="Book Antiqua" w:hAnsi="Book Antiqua"/>
          <w:color w:val="000000" w:themeColor="text1"/>
          <w:lang w:val="en-US"/>
        </w:rPr>
        <w:t xml:space="preserve"> results, a multivaria</w:t>
      </w:r>
      <w:r w:rsidR="00272D50" w:rsidRPr="008A5994">
        <w:rPr>
          <w:rFonts w:ascii="Book Antiqua" w:hAnsi="Book Antiqua"/>
          <w:color w:val="000000" w:themeColor="text1"/>
          <w:lang w:val="en-US"/>
        </w:rPr>
        <w:t>bl</w:t>
      </w:r>
      <w:r w:rsidR="008707A9" w:rsidRPr="008A5994">
        <w:rPr>
          <w:rFonts w:ascii="Book Antiqua" w:hAnsi="Book Antiqua"/>
          <w:color w:val="000000" w:themeColor="text1"/>
          <w:lang w:val="en-US"/>
        </w:rPr>
        <w:t>e analy</w:t>
      </w:r>
      <w:r w:rsidR="00272D50" w:rsidRPr="008A5994">
        <w:rPr>
          <w:rFonts w:ascii="Book Antiqua" w:hAnsi="Book Antiqua"/>
          <w:color w:val="000000" w:themeColor="text1"/>
          <w:lang w:val="en-US"/>
        </w:rPr>
        <w:t>sis</w:t>
      </w:r>
      <w:r w:rsidR="008707A9" w:rsidRPr="008A5994">
        <w:rPr>
          <w:rFonts w:ascii="Book Antiqua" w:hAnsi="Book Antiqua"/>
          <w:color w:val="000000" w:themeColor="text1"/>
          <w:lang w:val="en-US"/>
        </w:rPr>
        <w:t xml:space="preserve"> (logistic regression) was carried out considering an adjustment on relevant clinical parameters. </w:t>
      </w:r>
      <w:r w:rsidR="00272D50" w:rsidRPr="008A5994">
        <w:rPr>
          <w:rFonts w:ascii="Book Antiqua" w:hAnsi="Book Antiqua"/>
          <w:color w:val="000000" w:themeColor="text1"/>
          <w:lang w:val="en-US"/>
        </w:rPr>
        <w:t xml:space="preserve">The results were expressed as odds-ratios and 95% confidence intervals. </w:t>
      </w:r>
    </w:p>
    <w:p w14:paraId="3D48DAED" w14:textId="77777777" w:rsidR="004C6EB9" w:rsidRDefault="004C6EB9" w:rsidP="004C6EB9">
      <w:pPr>
        <w:adjustRightInd w:val="0"/>
        <w:snapToGrid w:val="0"/>
        <w:spacing w:line="360" w:lineRule="auto"/>
        <w:jc w:val="both"/>
        <w:rPr>
          <w:rFonts w:ascii="Book Antiqua" w:hAnsi="Book Antiqua"/>
          <w:b/>
          <w:color w:val="000000" w:themeColor="text1"/>
          <w:lang w:val="en-US"/>
        </w:rPr>
      </w:pPr>
    </w:p>
    <w:p w14:paraId="5F4D1463" w14:textId="2F49CCF7" w:rsidR="008707A9" w:rsidRPr="008A5994" w:rsidRDefault="008707A9" w:rsidP="004C6EB9">
      <w:pPr>
        <w:adjustRightInd w:val="0"/>
        <w:snapToGrid w:val="0"/>
        <w:spacing w:line="360" w:lineRule="auto"/>
        <w:jc w:val="both"/>
        <w:rPr>
          <w:rFonts w:ascii="Book Antiqua" w:hAnsi="Book Antiqua"/>
          <w:b/>
          <w:color w:val="000000" w:themeColor="text1"/>
          <w:lang w:val="en-US"/>
        </w:rPr>
      </w:pPr>
      <w:r w:rsidRPr="008A5994">
        <w:rPr>
          <w:rFonts w:ascii="Book Antiqua" w:hAnsi="Book Antiqua"/>
          <w:b/>
          <w:color w:val="000000" w:themeColor="text1"/>
          <w:lang w:val="en-US"/>
        </w:rPr>
        <w:t xml:space="preserve">RESULTS </w:t>
      </w:r>
    </w:p>
    <w:p w14:paraId="2B13F275" w14:textId="77777777" w:rsidR="008707A9" w:rsidRPr="007E1FD5" w:rsidRDefault="008707A9" w:rsidP="00A555A0">
      <w:pPr>
        <w:adjustRightInd w:val="0"/>
        <w:snapToGrid w:val="0"/>
        <w:spacing w:line="360" w:lineRule="auto"/>
        <w:jc w:val="both"/>
        <w:outlineLvl w:val="0"/>
        <w:rPr>
          <w:rFonts w:ascii="Book Antiqua" w:hAnsi="Book Antiqua"/>
          <w:b/>
          <w:i/>
          <w:color w:val="000000" w:themeColor="text1"/>
          <w:lang w:val="en-US"/>
        </w:rPr>
      </w:pPr>
      <w:r w:rsidRPr="007E1FD5">
        <w:rPr>
          <w:rFonts w:ascii="Book Antiqua" w:hAnsi="Book Antiqua"/>
          <w:b/>
          <w:i/>
          <w:color w:val="000000" w:themeColor="text1"/>
          <w:lang w:val="en-US"/>
        </w:rPr>
        <w:t>Baseline characteristics of the patients</w:t>
      </w:r>
    </w:p>
    <w:p w14:paraId="1BB850F8" w14:textId="109FF1E1" w:rsidR="008707A9" w:rsidRPr="004C6EB9" w:rsidRDefault="008707A9" w:rsidP="008A5994">
      <w:pPr>
        <w:adjustRightInd w:val="0"/>
        <w:snapToGrid w:val="0"/>
        <w:spacing w:line="360" w:lineRule="auto"/>
        <w:jc w:val="both"/>
        <w:rPr>
          <w:rFonts w:ascii="Book Antiqua" w:hAnsi="Book Antiqua"/>
          <w:color w:val="000000" w:themeColor="text1"/>
          <w:lang w:val="en-US"/>
        </w:rPr>
      </w:pPr>
      <w:r w:rsidRPr="008A5994">
        <w:rPr>
          <w:rFonts w:ascii="Book Antiqua" w:hAnsi="Book Antiqua"/>
          <w:color w:val="000000" w:themeColor="text1"/>
          <w:lang w:val="en-US"/>
        </w:rPr>
        <w:t xml:space="preserve">Overall, 40 patients with CD were enrolled in this study. Their baseline characteristics are detailed in </w:t>
      </w:r>
      <w:r w:rsidRPr="004C6EB9">
        <w:rPr>
          <w:rFonts w:ascii="Book Antiqua" w:hAnsi="Book Antiqua"/>
          <w:color w:val="000000" w:themeColor="text1"/>
          <w:lang w:val="en-US"/>
        </w:rPr>
        <w:t xml:space="preserve">Table 1. </w:t>
      </w:r>
    </w:p>
    <w:p w14:paraId="09070A92" w14:textId="53AAB8AD" w:rsidR="008707A9" w:rsidRPr="008A5994" w:rsidRDefault="004C6EB9"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Among them, 16 patients (40%) and 24 patients (60%) were treated with IFX and ADA, respectively. Twenty-one patients received concomitant thiopurines therapy (52.5</w:t>
      </w:r>
      <w:r w:rsidR="00A555A0">
        <w:rPr>
          <w:rFonts w:ascii="Book Antiqua" w:hAnsi="Book Antiqua"/>
          <w:color w:val="000000" w:themeColor="text1"/>
          <w:lang w:val="en-US"/>
        </w:rPr>
        <w:t>%</w:t>
      </w:r>
      <w:r w:rsidR="008707A9" w:rsidRPr="008A5994">
        <w:rPr>
          <w:rFonts w:ascii="Book Antiqua" w:hAnsi="Book Antiqua"/>
          <w:color w:val="000000" w:themeColor="text1"/>
          <w:lang w:val="en-US"/>
        </w:rPr>
        <w:t>).</w:t>
      </w:r>
      <w:r w:rsidR="007E1FD5">
        <w:rPr>
          <w:rFonts w:ascii="Book Antiqua" w:hAnsi="Book Antiqua"/>
          <w:color w:val="000000" w:themeColor="text1"/>
          <w:lang w:val="en-US"/>
        </w:rPr>
        <w:t xml:space="preserve"> </w:t>
      </w:r>
      <w:r w:rsidR="008707A9" w:rsidRPr="008A5994">
        <w:rPr>
          <w:rFonts w:ascii="Book Antiqua" w:hAnsi="Book Antiqua"/>
          <w:color w:val="000000" w:themeColor="text1"/>
          <w:lang w:val="en-US"/>
        </w:rPr>
        <w:t>At ba</w:t>
      </w:r>
      <w:r>
        <w:rPr>
          <w:rFonts w:ascii="Book Antiqua" w:hAnsi="Book Antiqua"/>
          <w:color w:val="000000" w:themeColor="text1"/>
          <w:lang w:val="en-US"/>
        </w:rPr>
        <w:t>seline the median CDAI was 215 (166-282)</w:t>
      </w:r>
      <w:r w:rsidR="008707A9" w:rsidRPr="008A5994">
        <w:rPr>
          <w:rFonts w:ascii="Book Antiqua" w:hAnsi="Book Antiqua"/>
          <w:color w:val="000000" w:themeColor="text1"/>
          <w:lang w:val="en-US"/>
        </w:rPr>
        <w:t xml:space="preserve"> and the median leve</w:t>
      </w:r>
      <w:r>
        <w:rPr>
          <w:rFonts w:ascii="Book Antiqua" w:hAnsi="Book Antiqua"/>
          <w:color w:val="000000" w:themeColor="text1"/>
          <w:lang w:val="en-US"/>
        </w:rPr>
        <w:t xml:space="preserve">ls of </w:t>
      </w:r>
      <w:proofErr w:type="spellStart"/>
      <w:r>
        <w:rPr>
          <w:rFonts w:ascii="Book Antiqua" w:hAnsi="Book Antiqua"/>
          <w:color w:val="000000" w:themeColor="text1"/>
          <w:lang w:val="en-US"/>
        </w:rPr>
        <w:t>Fcal</w:t>
      </w:r>
      <w:proofErr w:type="spellEnd"/>
      <w:r>
        <w:rPr>
          <w:rFonts w:ascii="Book Antiqua" w:hAnsi="Book Antiqua"/>
          <w:color w:val="000000" w:themeColor="text1"/>
          <w:lang w:val="en-US"/>
        </w:rPr>
        <w:t xml:space="preserve"> and CRP were 1010.5 (357.8-1800.0) µg/g and 13.2 (5.2-25.9)</w:t>
      </w:r>
      <w:r w:rsidR="008707A9" w:rsidRPr="008A5994">
        <w:rPr>
          <w:rFonts w:ascii="Book Antiqua" w:hAnsi="Book Antiqua"/>
          <w:color w:val="000000" w:themeColor="text1"/>
          <w:lang w:val="en-US"/>
        </w:rPr>
        <w:t xml:space="preserve"> mg/L, respectively.</w:t>
      </w:r>
      <w:r w:rsidR="008707A9" w:rsidRPr="008A5994">
        <w:rPr>
          <w:rFonts w:ascii="Book Antiqua" w:hAnsi="Book Antiqua"/>
          <w:b/>
          <w:color w:val="000000" w:themeColor="text1"/>
          <w:lang w:val="en-US"/>
        </w:rPr>
        <w:t xml:space="preserve"> </w:t>
      </w:r>
      <w:r w:rsidR="008707A9" w:rsidRPr="008A5994">
        <w:rPr>
          <w:rFonts w:ascii="Book Antiqua" w:hAnsi="Book Antiqua"/>
          <w:color w:val="000000" w:themeColor="text1"/>
          <w:lang w:val="en-US"/>
        </w:rPr>
        <w:t>Among the 40 patients treated wit</w:t>
      </w:r>
      <w:r>
        <w:rPr>
          <w:rFonts w:ascii="Book Antiqua" w:hAnsi="Book Antiqua"/>
          <w:color w:val="000000" w:themeColor="text1"/>
          <w:lang w:val="en-US"/>
        </w:rPr>
        <w:t>h anti-TNF, the levels of CDAI [111 (</w:t>
      </w:r>
      <w:r w:rsidR="008707A9" w:rsidRPr="008A5994">
        <w:rPr>
          <w:rFonts w:ascii="Book Antiqua" w:hAnsi="Book Antiqua"/>
          <w:color w:val="000000" w:themeColor="text1"/>
          <w:lang w:val="en-US"/>
        </w:rPr>
        <w:t>55-19</w:t>
      </w:r>
      <w:r>
        <w:rPr>
          <w:rFonts w:ascii="Book Antiqua" w:hAnsi="Book Antiqua"/>
          <w:color w:val="000000" w:themeColor="text1"/>
          <w:lang w:val="en-US"/>
        </w:rPr>
        <w:t xml:space="preserve">8) </w:t>
      </w:r>
      <w:r w:rsidRPr="004C6EB9">
        <w:rPr>
          <w:rFonts w:ascii="Book Antiqua" w:hAnsi="Book Antiqua"/>
          <w:i/>
          <w:color w:val="000000" w:themeColor="text1"/>
          <w:lang w:val="en-US"/>
        </w:rPr>
        <w:t>vs</w:t>
      </w:r>
      <w:r>
        <w:rPr>
          <w:rFonts w:ascii="Book Antiqua" w:hAnsi="Book Antiqua"/>
          <w:color w:val="000000" w:themeColor="text1"/>
          <w:lang w:val="en-US"/>
        </w:rPr>
        <w:t xml:space="preserve"> 215 (166-282); </w:t>
      </w:r>
      <w:r w:rsidRPr="004C6EB9">
        <w:rPr>
          <w:rFonts w:ascii="Book Antiqua" w:hAnsi="Book Antiqua"/>
          <w:i/>
          <w:color w:val="000000" w:themeColor="text1"/>
          <w:lang w:val="en-US"/>
        </w:rPr>
        <w:t>P</w:t>
      </w:r>
      <w:r>
        <w:rPr>
          <w:rFonts w:ascii="Book Antiqua" w:hAnsi="Book Antiqua"/>
          <w:color w:val="000000" w:themeColor="text1"/>
          <w:lang w:val="en-US"/>
        </w:rPr>
        <w:t xml:space="preserve"> &lt; 0.0001], CRP [3.0 (1.0-17.0)</w:t>
      </w:r>
      <w:r w:rsidR="008707A9" w:rsidRPr="008A5994">
        <w:rPr>
          <w:rFonts w:ascii="Book Antiqua" w:hAnsi="Book Antiqua"/>
          <w:color w:val="000000" w:themeColor="text1"/>
          <w:lang w:val="en-US"/>
        </w:rPr>
        <w:t xml:space="preserve"> mg/L </w:t>
      </w:r>
      <w:bookmarkStart w:id="112" w:name="OLE_LINK534"/>
      <w:bookmarkStart w:id="113" w:name="OLE_LINK535"/>
      <w:r w:rsidR="008707A9" w:rsidRPr="004C6EB9">
        <w:rPr>
          <w:rFonts w:ascii="Book Antiqua" w:hAnsi="Book Antiqua"/>
          <w:i/>
          <w:color w:val="000000" w:themeColor="text1"/>
          <w:lang w:val="en-US"/>
        </w:rPr>
        <w:t>v</w:t>
      </w:r>
      <w:r w:rsidRPr="004C6EB9">
        <w:rPr>
          <w:rFonts w:ascii="Book Antiqua" w:hAnsi="Book Antiqua"/>
          <w:i/>
          <w:color w:val="000000" w:themeColor="text1"/>
          <w:lang w:val="en-US"/>
        </w:rPr>
        <w:t>s</w:t>
      </w:r>
      <w:bookmarkEnd w:id="112"/>
      <w:bookmarkEnd w:id="113"/>
      <w:r>
        <w:rPr>
          <w:rFonts w:ascii="Book Antiqua" w:hAnsi="Book Antiqua"/>
          <w:color w:val="000000" w:themeColor="text1"/>
          <w:lang w:val="en-US"/>
        </w:rPr>
        <w:t xml:space="preserve"> 13.2 (5.2-25.9) mg/L; p=0.011] and </w:t>
      </w:r>
      <w:proofErr w:type="spellStart"/>
      <w:r>
        <w:rPr>
          <w:rFonts w:ascii="Book Antiqua" w:hAnsi="Book Antiqua"/>
          <w:color w:val="000000" w:themeColor="text1"/>
          <w:lang w:val="en-US"/>
        </w:rPr>
        <w:lastRenderedPageBreak/>
        <w:t>Fcal</w:t>
      </w:r>
      <w:proofErr w:type="spellEnd"/>
      <w:r>
        <w:rPr>
          <w:rFonts w:ascii="Book Antiqua" w:hAnsi="Book Antiqua"/>
          <w:color w:val="000000" w:themeColor="text1"/>
          <w:lang w:val="en-US"/>
        </w:rPr>
        <w:t xml:space="preserve"> [374.0 (103.0-969.0)</w:t>
      </w:r>
      <w:r w:rsidR="008707A9" w:rsidRPr="008A5994">
        <w:rPr>
          <w:rFonts w:ascii="Book Antiqua" w:hAnsi="Book Antiqua"/>
          <w:color w:val="000000" w:themeColor="text1"/>
          <w:lang w:val="en-US"/>
        </w:rPr>
        <w:t xml:space="preserve"> </w:t>
      </w:r>
      <w:r w:rsidR="008707A9" w:rsidRPr="004C6EB9">
        <w:rPr>
          <w:rFonts w:ascii="Book Antiqua" w:hAnsi="Book Antiqua"/>
          <w:i/>
          <w:color w:val="000000" w:themeColor="text1"/>
          <w:lang w:val="en-US"/>
        </w:rPr>
        <w:t>vs</w:t>
      </w:r>
      <w:r w:rsidR="008707A9" w:rsidRPr="008A5994">
        <w:rPr>
          <w:rFonts w:ascii="Book Antiqua" w:hAnsi="Book Antiqua"/>
          <w:color w:val="000000" w:themeColor="text1"/>
          <w:lang w:val="en-US"/>
        </w:rPr>
        <w:t xml:space="preserve"> 1010.5</w:t>
      </w:r>
      <w:r>
        <w:rPr>
          <w:rFonts w:ascii="Book Antiqua" w:hAnsi="Book Antiqua"/>
          <w:color w:val="000000" w:themeColor="text1"/>
          <w:lang w:val="en-US"/>
        </w:rPr>
        <w:t xml:space="preserve"> (357.8-1800.0) µg/g; p = 0.001]</w:t>
      </w:r>
      <w:r w:rsidR="008707A9" w:rsidRPr="008A5994">
        <w:rPr>
          <w:rFonts w:ascii="Book Antiqua" w:hAnsi="Book Antiqua"/>
          <w:color w:val="000000" w:themeColor="text1"/>
          <w:lang w:val="en-US"/>
        </w:rPr>
        <w:t xml:space="preserve"> were significantly diminished after 12 </w:t>
      </w:r>
      <w:proofErr w:type="spellStart"/>
      <w:r w:rsidR="008707A9" w:rsidRPr="008A5994">
        <w:rPr>
          <w:rFonts w:ascii="Book Antiqua" w:hAnsi="Book Antiqua"/>
          <w:color w:val="000000" w:themeColor="text1"/>
          <w:lang w:val="en-US"/>
        </w:rPr>
        <w:t>w</w:t>
      </w:r>
      <w:r>
        <w:rPr>
          <w:rFonts w:ascii="Book Antiqua" w:hAnsi="Book Antiqua"/>
          <w:color w:val="000000" w:themeColor="text1"/>
          <w:lang w:val="en-US"/>
        </w:rPr>
        <w:t>k</w:t>
      </w:r>
      <w:proofErr w:type="spellEnd"/>
      <w:r w:rsidR="008707A9" w:rsidRPr="008A5994">
        <w:rPr>
          <w:rFonts w:ascii="Book Antiqua" w:hAnsi="Book Antiqua"/>
          <w:color w:val="000000" w:themeColor="text1"/>
          <w:lang w:val="en-US"/>
        </w:rPr>
        <w:t xml:space="preserve"> of anti-TNF agents. </w:t>
      </w:r>
    </w:p>
    <w:p w14:paraId="6E2D39A9" w14:textId="77777777" w:rsidR="008707A9" w:rsidRPr="008A5994" w:rsidRDefault="008707A9" w:rsidP="008A5994">
      <w:pPr>
        <w:adjustRightInd w:val="0"/>
        <w:snapToGrid w:val="0"/>
        <w:spacing w:line="360" w:lineRule="auto"/>
        <w:jc w:val="both"/>
        <w:rPr>
          <w:rFonts w:ascii="Book Antiqua" w:hAnsi="Book Antiqua"/>
          <w:color w:val="000000" w:themeColor="text1"/>
          <w:lang w:val="en-US"/>
        </w:rPr>
      </w:pPr>
    </w:p>
    <w:p w14:paraId="5809F231" w14:textId="437F749E" w:rsidR="008707A9" w:rsidRPr="004C6EB9" w:rsidRDefault="008707A9" w:rsidP="008A5994">
      <w:pPr>
        <w:adjustRightInd w:val="0"/>
        <w:snapToGrid w:val="0"/>
        <w:spacing w:line="360" w:lineRule="auto"/>
        <w:jc w:val="both"/>
        <w:rPr>
          <w:rFonts w:ascii="Book Antiqua" w:hAnsi="Book Antiqua"/>
          <w:b/>
          <w:i/>
          <w:color w:val="000000" w:themeColor="text1"/>
          <w:lang w:val="en-US"/>
        </w:rPr>
      </w:pPr>
      <w:r w:rsidRPr="004C6EB9">
        <w:rPr>
          <w:rFonts w:ascii="Book Antiqua" w:hAnsi="Book Antiqua"/>
          <w:b/>
          <w:i/>
          <w:color w:val="000000" w:themeColor="text1"/>
          <w:lang w:val="en-US"/>
        </w:rPr>
        <w:t xml:space="preserve">Early variation of CDAI, CRP and </w:t>
      </w:r>
      <w:proofErr w:type="spellStart"/>
      <w:r w:rsidRPr="004C6EB9">
        <w:rPr>
          <w:rFonts w:ascii="Book Antiqua" w:hAnsi="Book Antiqua"/>
          <w:b/>
          <w:i/>
          <w:color w:val="000000" w:themeColor="text1"/>
          <w:lang w:val="en-US"/>
        </w:rPr>
        <w:t>Fcal</w:t>
      </w:r>
      <w:proofErr w:type="spellEnd"/>
      <w:r w:rsidRPr="004C6EB9">
        <w:rPr>
          <w:rFonts w:ascii="Book Antiqua" w:hAnsi="Book Antiqua"/>
          <w:b/>
          <w:i/>
          <w:color w:val="000000" w:themeColor="text1"/>
          <w:lang w:val="en-US"/>
        </w:rPr>
        <w:t xml:space="preserve"> after anti-TNF induction therapy (</w:t>
      </w:r>
      <w:r w:rsidR="004C6EB9" w:rsidRPr="004C6EB9">
        <w:rPr>
          <w:rFonts w:ascii="Book Antiqua" w:hAnsi="Book Antiqua"/>
          <w:b/>
          <w:i/>
          <w:color w:val="000000" w:themeColor="text1"/>
          <w:lang w:val="en-US"/>
        </w:rPr>
        <w:t>W</w:t>
      </w:r>
      <w:r w:rsidRPr="004C6EB9">
        <w:rPr>
          <w:rFonts w:ascii="Book Antiqua" w:hAnsi="Book Antiqua"/>
          <w:b/>
          <w:i/>
          <w:color w:val="000000" w:themeColor="text1"/>
          <w:lang w:val="en-US"/>
        </w:rPr>
        <w:t xml:space="preserve">12) as predictor of CFREM at </w:t>
      </w:r>
      <w:r w:rsidR="004C6EB9" w:rsidRPr="004C6EB9">
        <w:rPr>
          <w:rFonts w:ascii="Book Antiqua" w:hAnsi="Book Antiqua"/>
          <w:b/>
          <w:i/>
          <w:color w:val="000000" w:themeColor="text1"/>
          <w:lang w:val="en-US"/>
        </w:rPr>
        <w:t>W</w:t>
      </w:r>
      <w:r w:rsidRPr="004C6EB9">
        <w:rPr>
          <w:rFonts w:ascii="Book Antiqua" w:hAnsi="Book Antiqua"/>
          <w:b/>
          <w:i/>
          <w:color w:val="000000" w:themeColor="text1"/>
          <w:lang w:val="en-US"/>
        </w:rPr>
        <w:t xml:space="preserve">52 in patients with CD </w:t>
      </w:r>
    </w:p>
    <w:p w14:paraId="03BF575B" w14:textId="17A23AF3" w:rsidR="008707A9" w:rsidRPr="004C6EB9" w:rsidRDefault="008707A9" w:rsidP="008A5994">
      <w:pPr>
        <w:adjustRightInd w:val="0"/>
        <w:snapToGrid w:val="0"/>
        <w:spacing w:line="360" w:lineRule="auto"/>
        <w:jc w:val="both"/>
        <w:rPr>
          <w:rFonts w:ascii="Book Antiqua" w:hAnsi="Book Antiqua"/>
          <w:color w:val="000000" w:themeColor="text1"/>
          <w:lang w:val="en-US"/>
        </w:rPr>
      </w:pPr>
      <w:r w:rsidRPr="008A5994">
        <w:rPr>
          <w:rFonts w:ascii="Book Antiqua" w:hAnsi="Book Antiqua"/>
          <w:color w:val="000000" w:themeColor="text1"/>
          <w:lang w:val="en-US"/>
        </w:rPr>
        <w:t>Overall, 13 patients (32.5</w:t>
      </w:r>
      <w:r w:rsidR="00A555A0">
        <w:rPr>
          <w:rFonts w:ascii="Book Antiqua" w:hAnsi="Book Antiqua"/>
          <w:color w:val="000000" w:themeColor="text1"/>
          <w:lang w:val="en-US"/>
        </w:rPr>
        <w:t>%</w:t>
      </w:r>
      <w:r w:rsidRPr="008A5994">
        <w:rPr>
          <w:rFonts w:ascii="Book Antiqua" w:hAnsi="Book Antiqua"/>
          <w:color w:val="000000" w:themeColor="text1"/>
          <w:lang w:val="en-US"/>
        </w:rPr>
        <w:t xml:space="preserve">) achieved CFREM at W52. The proportion of patients achieving the different therapeutic endpoints at W12 is reported in </w:t>
      </w:r>
      <w:r w:rsidRPr="004C6EB9">
        <w:rPr>
          <w:rFonts w:ascii="Book Antiqua" w:hAnsi="Book Antiqua"/>
          <w:color w:val="000000" w:themeColor="text1"/>
          <w:lang w:val="en-US"/>
        </w:rPr>
        <w:t xml:space="preserve">Figure 1. </w:t>
      </w:r>
    </w:p>
    <w:p w14:paraId="5E87017E" w14:textId="281D6EF2" w:rsidR="008707A9" w:rsidRPr="008A5994" w:rsidRDefault="004C6EB9"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The median CDAI at W12 was significantly lower in patients pr</w:t>
      </w:r>
      <w:r>
        <w:rPr>
          <w:rFonts w:ascii="Book Antiqua" w:hAnsi="Book Antiqua"/>
          <w:color w:val="000000" w:themeColor="text1"/>
          <w:lang w:val="en-US"/>
        </w:rPr>
        <w:t xml:space="preserve">esenting with CFREM at one </w:t>
      </w:r>
      <w:proofErr w:type="gramStart"/>
      <w:r>
        <w:rPr>
          <w:rFonts w:ascii="Book Antiqua" w:hAnsi="Book Antiqua"/>
          <w:color w:val="000000" w:themeColor="text1"/>
          <w:lang w:val="en-US"/>
        </w:rPr>
        <w:t>year[</w:t>
      </w:r>
      <w:proofErr w:type="gramEnd"/>
      <w:r>
        <w:rPr>
          <w:rFonts w:ascii="Book Antiqua" w:hAnsi="Book Antiqua"/>
          <w:color w:val="000000" w:themeColor="text1"/>
          <w:lang w:val="en-US"/>
        </w:rPr>
        <w:t>46 (14-64)] compared to those who did not [165 (83-265)]</w:t>
      </w:r>
      <w:r w:rsidR="008707A9" w:rsidRPr="008A5994">
        <w:rPr>
          <w:rFonts w:ascii="Book Antiqua" w:hAnsi="Book Antiqua"/>
          <w:color w:val="000000" w:themeColor="text1"/>
          <w:lang w:val="en-US"/>
        </w:rPr>
        <w:t xml:space="preserve"> (</w:t>
      </w:r>
      <w:r w:rsidRPr="004C6EB9">
        <w:rPr>
          <w:rFonts w:ascii="Book Antiqua" w:hAnsi="Book Antiqua"/>
          <w:i/>
          <w:color w:val="000000" w:themeColor="text1"/>
          <w:lang w:val="en-US"/>
        </w:rPr>
        <w:t>P</w:t>
      </w:r>
      <w:r w:rsidR="008707A9" w:rsidRPr="008A5994">
        <w:rPr>
          <w:rFonts w:ascii="Book Antiqua" w:hAnsi="Book Antiqua"/>
          <w:color w:val="000000" w:themeColor="text1"/>
          <w:lang w:val="en-US"/>
        </w:rPr>
        <w:t xml:space="preserve"> &lt; 0.001). In </w:t>
      </w:r>
      <w:r w:rsidR="00AB70E4" w:rsidRPr="008A5994">
        <w:rPr>
          <w:rFonts w:ascii="Book Antiqua" w:hAnsi="Book Antiqua"/>
          <w:color w:val="000000" w:themeColor="text1"/>
          <w:lang w:val="en-US"/>
        </w:rPr>
        <w:t>univariable</w:t>
      </w:r>
      <w:r w:rsidR="008707A9" w:rsidRPr="008A5994">
        <w:rPr>
          <w:rFonts w:ascii="Book Antiqua" w:hAnsi="Book Antiqua"/>
          <w:color w:val="000000" w:themeColor="text1"/>
          <w:lang w:val="en-US"/>
        </w:rPr>
        <w:t xml:space="preserve"> analysis, CDAI &lt; 150 at </w:t>
      </w:r>
      <w:r>
        <w:rPr>
          <w:rFonts w:ascii="Book Antiqua" w:hAnsi="Book Antiqua"/>
          <w:color w:val="000000" w:themeColor="text1"/>
          <w:lang w:val="en-US"/>
        </w:rPr>
        <w:t>W</w:t>
      </w:r>
      <w:r w:rsidR="008707A9" w:rsidRPr="008A5994">
        <w:rPr>
          <w:rFonts w:ascii="Book Antiqua" w:hAnsi="Book Antiqua"/>
          <w:color w:val="000000" w:themeColor="text1"/>
          <w:lang w:val="en-US"/>
        </w:rPr>
        <w:t xml:space="preserve">12 was associated with higher likelihood of CFREM at </w:t>
      </w:r>
      <w:r>
        <w:rPr>
          <w:rFonts w:ascii="Book Antiqua" w:hAnsi="Book Antiqua"/>
          <w:color w:val="000000" w:themeColor="text1"/>
          <w:lang w:val="en-US"/>
        </w:rPr>
        <w:t>W</w:t>
      </w:r>
      <w:r w:rsidR="008707A9" w:rsidRPr="008A5994">
        <w:rPr>
          <w:rFonts w:ascii="Book Antiqua" w:hAnsi="Book Antiqua"/>
          <w:color w:val="000000" w:themeColor="text1"/>
          <w:lang w:val="en-US"/>
        </w:rPr>
        <w:t xml:space="preserve">52 (47.9% </w:t>
      </w:r>
      <w:bookmarkStart w:id="114" w:name="OLE_LINK536"/>
      <w:bookmarkStart w:id="115" w:name="OLE_LINK537"/>
      <w:r w:rsidR="008707A9" w:rsidRPr="004C6EB9">
        <w:rPr>
          <w:rFonts w:ascii="Book Antiqua" w:hAnsi="Book Antiqua"/>
          <w:i/>
          <w:color w:val="000000" w:themeColor="text1"/>
          <w:lang w:val="en-US"/>
        </w:rPr>
        <w:t>vs</w:t>
      </w:r>
      <w:bookmarkEnd w:id="114"/>
      <w:bookmarkEnd w:id="115"/>
      <w:r w:rsidR="008707A9" w:rsidRPr="008A5994">
        <w:rPr>
          <w:rFonts w:ascii="Book Antiqua" w:hAnsi="Book Antiqua"/>
          <w:color w:val="000000" w:themeColor="text1"/>
          <w:lang w:val="en-US"/>
        </w:rPr>
        <w:t xml:space="preserve"> 11.8%, </w:t>
      </w:r>
      <w:r w:rsidRPr="004C6EB9">
        <w:rPr>
          <w:rFonts w:ascii="Book Antiqua" w:hAnsi="Book Antiqua"/>
          <w:i/>
          <w:color w:val="000000" w:themeColor="text1"/>
          <w:lang w:val="en-US"/>
        </w:rPr>
        <w:t>P</w:t>
      </w: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 0.012). Clinical remission at W12 (CDAI &lt; 150) predicted CFREM at W52 with the following per</w:t>
      </w:r>
      <w:r>
        <w:rPr>
          <w:rFonts w:ascii="Book Antiqua" w:hAnsi="Book Antiqua"/>
          <w:color w:val="000000" w:themeColor="text1"/>
          <w:lang w:val="en-US"/>
        </w:rPr>
        <w:t>formances: sensitivity = 84.6% (56.3-96.6)</w:t>
      </w:r>
      <w:r w:rsidR="008707A9" w:rsidRPr="008A5994">
        <w:rPr>
          <w:rFonts w:ascii="Book Antiqua" w:hAnsi="Book Antiqua"/>
          <w:color w:val="000000" w:themeColor="text1"/>
          <w:lang w:val="en-US"/>
        </w:rPr>
        <w:t>, specificity = 55.6</w:t>
      </w:r>
      <w:r w:rsidR="00A555A0">
        <w:rPr>
          <w:rFonts w:ascii="Book Antiqua" w:hAnsi="Book Antiqua"/>
          <w:color w:val="000000" w:themeColor="text1"/>
          <w:lang w:val="en-US"/>
        </w:rPr>
        <w:t>%</w:t>
      </w:r>
      <w:r>
        <w:rPr>
          <w:rFonts w:ascii="Book Antiqua" w:hAnsi="Book Antiqua"/>
          <w:color w:val="000000" w:themeColor="text1"/>
          <w:lang w:val="en-US"/>
        </w:rPr>
        <w:t xml:space="preserve"> (37.3-72.4)</w:t>
      </w:r>
      <w:r w:rsidR="008707A9" w:rsidRPr="008A5994">
        <w:rPr>
          <w:rFonts w:ascii="Book Antiqua" w:hAnsi="Book Antiqua"/>
          <w:color w:val="000000" w:themeColor="text1"/>
          <w:lang w:val="en-US"/>
        </w:rPr>
        <w:t xml:space="preserve">, positive </w:t>
      </w:r>
      <w:r>
        <w:rPr>
          <w:rFonts w:ascii="Book Antiqua" w:hAnsi="Book Antiqua"/>
          <w:color w:val="000000" w:themeColor="text1"/>
          <w:lang w:val="en-US"/>
        </w:rPr>
        <w:t>predictive value (PPV) = 47.8% (27.4-68.2)</w:t>
      </w:r>
      <w:r w:rsidR="008707A9" w:rsidRPr="008A5994">
        <w:rPr>
          <w:rFonts w:ascii="Book Antiqua" w:hAnsi="Book Antiqua"/>
          <w:color w:val="000000" w:themeColor="text1"/>
          <w:lang w:val="en-US"/>
        </w:rPr>
        <w:t>, negativ</w:t>
      </w:r>
      <w:r>
        <w:rPr>
          <w:rFonts w:ascii="Book Antiqua" w:hAnsi="Book Antiqua"/>
          <w:color w:val="000000" w:themeColor="text1"/>
          <w:lang w:val="en-US"/>
        </w:rPr>
        <w:t>e positive value (NPV) = 88.2% (72.9-100.0)</w:t>
      </w:r>
      <w:r w:rsidR="008707A9" w:rsidRPr="008A5994">
        <w:rPr>
          <w:rFonts w:ascii="Book Antiqua" w:hAnsi="Book Antiqua"/>
          <w:color w:val="000000" w:themeColor="text1"/>
          <w:lang w:val="en-US"/>
        </w:rPr>
        <w:t xml:space="preserve">, positive </w:t>
      </w:r>
      <w:r>
        <w:rPr>
          <w:rFonts w:ascii="Book Antiqua" w:hAnsi="Book Antiqua"/>
          <w:color w:val="000000" w:themeColor="text1"/>
          <w:lang w:val="en-US"/>
        </w:rPr>
        <w:t>likelihood ratio (LR+) = 1.904 (1.177-3.081)</w:t>
      </w:r>
      <w:r w:rsidR="008707A9" w:rsidRPr="008A5994">
        <w:rPr>
          <w:rFonts w:ascii="Book Antiqua" w:hAnsi="Book Antiqua"/>
          <w:color w:val="000000" w:themeColor="text1"/>
          <w:lang w:val="en-US"/>
        </w:rPr>
        <w:t xml:space="preserve"> and negative </w:t>
      </w:r>
      <w:r>
        <w:rPr>
          <w:rFonts w:ascii="Book Antiqua" w:hAnsi="Book Antiqua"/>
          <w:color w:val="000000" w:themeColor="text1"/>
          <w:lang w:val="en-US"/>
        </w:rPr>
        <w:t>likelihood ratio (LR-) = 0.277 (0.074-1.035)</w:t>
      </w:r>
      <w:r w:rsidR="008707A9" w:rsidRPr="008A5994">
        <w:rPr>
          <w:rFonts w:ascii="Book Antiqua" w:hAnsi="Book Antiqua"/>
          <w:color w:val="000000" w:themeColor="text1"/>
          <w:lang w:val="en-US"/>
        </w:rPr>
        <w:t xml:space="preserve"> (</w:t>
      </w:r>
      <w:bookmarkStart w:id="116" w:name="OLE_LINK538"/>
      <w:bookmarkStart w:id="117" w:name="OLE_LINK539"/>
      <w:r w:rsidR="008707A9" w:rsidRPr="004C6EB9">
        <w:rPr>
          <w:rFonts w:ascii="Book Antiqua" w:hAnsi="Book Antiqua"/>
          <w:color w:val="000000" w:themeColor="text1"/>
          <w:lang w:val="en-US"/>
        </w:rPr>
        <w:t>Table 2</w:t>
      </w:r>
      <w:bookmarkEnd w:id="116"/>
      <w:bookmarkEnd w:id="117"/>
      <w:r w:rsidR="008707A9" w:rsidRPr="008A5994">
        <w:rPr>
          <w:rFonts w:ascii="Book Antiqua" w:hAnsi="Book Antiqua"/>
          <w:color w:val="000000" w:themeColor="text1"/>
          <w:lang w:val="en-US"/>
        </w:rPr>
        <w:t>).</w:t>
      </w:r>
    </w:p>
    <w:p w14:paraId="7C512AE4" w14:textId="27435089" w:rsidR="008707A9" w:rsidRPr="008A5994" w:rsidRDefault="004C6EB9"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The level of CRP dropped at W12 in p</w:t>
      </w:r>
      <w:r>
        <w:rPr>
          <w:rFonts w:ascii="Book Antiqua" w:hAnsi="Book Antiqua"/>
          <w:color w:val="000000" w:themeColor="text1"/>
          <w:lang w:val="en-US"/>
        </w:rPr>
        <w:t>atients with CFREM at one year [1.0 mg/L (1.0-2.9)</w:t>
      </w:r>
      <w:r w:rsidR="008707A9" w:rsidRPr="008A5994">
        <w:rPr>
          <w:rFonts w:ascii="Book Antiqua" w:hAnsi="Book Antiqua"/>
          <w:color w:val="000000" w:themeColor="text1"/>
          <w:lang w:val="en-US"/>
        </w:rPr>
        <w:t xml:space="preserve"> </w:t>
      </w:r>
      <w:r w:rsidR="008707A9" w:rsidRPr="004C6EB9">
        <w:rPr>
          <w:rFonts w:ascii="Book Antiqua" w:hAnsi="Book Antiqua"/>
          <w:i/>
          <w:color w:val="000000" w:themeColor="text1"/>
          <w:lang w:val="en-US"/>
        </w:rPr>
        <w:t>v</w:t>
      </w:r>
      <w:r w:rsidRPr="004C6EB9">
        <w:rPr>
          <w:rFonts w:ascii="Book Antiqua" w:hAnsi="Book Antiqua"/>
          <w:i/>
          <w:color w:val="000000" w:themeColor="text1"/>
          <w:lang w:val="en-US"/>
        </w:rPr>
        <w:t>s</w:t>
      </w:r>
      <w:r>
        <w:rPr>
          <w:rFonts w:ascii="Book Antiqua" w:hAnsi="Book Antiqua"/>
          <w:color w:val="000000" w:themeColor="text1"/>
          <w:lang w:val="en-US"/>
        </w:rPr>
        <w:t xml:space="preserve"> 8.4 mg/L (2.9-29.5); </w:t>
      </w:r>
      <w:r w:rsidRPr="004C6EB9">
        <w:rPr>
          <w:rFonts w:ascii="Book Antiqua" w:hAnsi="Book Antiqua"/>
          <w:i/>
          <w:color w:val="000000" w:themeColor="text1"/>
          <w:lang w:val="en-US"/>
        </w:rPr>
        <w:t xml:space="preserve">P </w:t>
      </w:r>
      <w:r>
        <w:rPr>
          <w:rFonts w:ascii="Book Antiqua" w:hAnsi="Book Antiqua"/>
          <w:color w:val="000000" w:themeColor="text1"/>
          <w:lang w:val="en-US"/>
        </w:rPr>
        <w:t>= 0.001]</w:t>
      </w:r>
      <w:r w:rsidR="008707A9" w:rsidRPr="008A5994">
        <w:rPr>
          <w:rFonts w:ascii="Book Antiqua" w:hAnsi="Book Antiqua"/>
          <w:color w:val="000000" w:themeColor="text1"/>
          <w:lang w:val="en-US"/>
        </w:rPr>
        <w:t xml:space="preserve">. In </w:t>
      </w:r>
      <w:r w:rsidR="00AB70E4" w:rsidRPr="008A5994">
        <w:rPr>
          <w:rFonts w:ascii="Book Antiqua" w:hAnsi="Book Antiqua"/>
          <w:color w:val="000000" w:themeColor="text1"/>
          <w:lang w:val="en-US"/>
        </w:rPr>
        <w:t>univariable</w:t>
      </w:r>
      <w:r w:rsidR="008707A9" w:rsidRPr="008A5994">
        <w:rPr>
          <w:rFonts w:ascii="Book Antiqua" w:hAnsi="Book Antiqua"/>
          <w:color w:val="000000" w:themeColor="text1"/>
          <w:lang w:val="en-US"/>
        </w:rPr>
        <w:t xml:space="preserve"> analysis, a CRP level &lt; 2.9 mg/L </w:t>
      </w:r>
      <w:r w:rsidR="004B4541" w:rsidRPr="008A5994">
        <w:rPr>
          <w:rFonts w:ascii="Book Antiqua" w:hAnsi="Book Antiqua"/>
          <w:color w:val="000000" w:themeColor="text1"/>
          <w:lang w:val="en-US"/>
        </w:rPr>
        <w:t xml:space="preserve">(normalized CRP) </w:t>
      </w:r>
      <w:r w:rsidR="008707A9" w:rsidRPr="008A5994">
        <w:rPr>
          <w:rFonts w:ascii="Book Antiqua" w:hAnsi="Book Antiqua"/>
          <w:color w:val="000000" w:themeColor="text1"/>
          <w:lang w:val="en-US"/>
        </w:rPr>
        <w:t xml:space="preserve">at </w:t>
      </w:r>
      <w:r w:rsidR="00A30463">
        <w:rPr>
          <w:rFonts w:ascii="Book Antiqua" w:hAnsi="Book Antiqua"/>
          <w:color w:val="000000" w:themeColor="text1"/>
          <w:lang w:val="en-US"/>
        </w:rPr>
        <w:t>W</w:t>
      </w:r>
      <w:r w:rsidR="008707A9" w:rsidRPr="008A5994">
        <w:rPr>
          <w:rFonts w:ascii="Book Antiqua" w:hAnsi="Book Antiqua"/>
          <w:color w:val="000000" w:themeColor="text1"/>
          <w:lang w:val="en-US"/>
        </w:rPr>
        <w:t xml:space="preserve">12 was associated with higher rate of CFREM at </w:t>
      </w:r>
      <w:r w:rsidR="00A30463">
        <w:rPr>
          <w:rFonts w:ascii="Book Antiqua" w:hAnsi="Book Antiqua"/>
          <w:color w:val="000000" w:themeColor="text1"/>
          <w:lang w:val="en-US"/>
        </w:rPr>
        <w:t>W</w:t>
      </w:r>
      <w:r w:rsidR="008707A9" w:rsidRPr="008A5994">
        <w:rPr>
          <w:rFonts w:ascii="Book Antiqua" w:hAnsi="Book Antiqua"/>
          <w:color w:val="000000" w:themeColor="text1"/>
          <w:lang w:val="en-US"/>
        </w:rPr>
        <w:t xml:space="preserve">52 (61.2% </w:t>
      </w:r>
      <w:r w:rsidR="008707A9" w:rsidRPr="00A30463">
        <w:rPr>
          <w:rFonts w:ascii="Book Antiqua" w:hAnsi="Book Antiqua"/>
          <w:i/>
          <w:color w:val="000000" w:themeColor="text1"/>
          <w:lang w:val="en-US"/>
        </w:rPr>
        <w:t>vs</w:t>
      </w:r>
      <w:r w:rsidR="008707A9" w:rsidRPr="008A5994">
        <w:rPr>
          <w:rFonts w:ascii="Book Antiqua" w:hAnsi="Book Antiqua"/>
          <w:color w:val="000000" w:themeColor="text1"/>
          <w:lang w:val="en-US"/>
        </w:rPr>
        <w:t xml:space="preserve"> 4.8%, </w:t>
      </w:r>
      <w:r w:rsidR="00A30463" w:rsidRPr="00A30463">
        <w:rPr>
          <w:rFonts w:ascii="Book Antiqua" w:hAnsi="Book Antiqua"/>
          <w:i/>
          <w:color w:val="000000" w:themeColor="text1"/>
          <w:lang w:val="en-US"/>
        </w:rPr>
        <w:t>P</w:t>
      </w:r>
      <w:r w:rsidR="008707A9" w:rsidRPr="008A5994">
        <w:rPr>
          <w:rFonts w:ascii="Book Antiqua" w:hAnsi="Book Antiqua"/>
          <w:color w:val="000000" w:themeColor="text1"/>
          <w:lang w:val="en-US"/>
        </w:rPr>
        <w:t xml:space="preserve"> &lt; 0.001). CRP level below 2.9 mg/L at W12 predicted CFREM at W52 with the following per</w:t>
      </w:r>
      <w:r w:rsidR="00A30463">
        <w:rPr>
          <w:rFonts w:ascii="Book Antiqua" w:hAnsi="Book Antiqua"/>
          <w:color w:val="000000" w:themeColor="text1"/>
          <w:lang w:val="en-US"/>
        </w:rPr>
        <w:t>formances: sensitivity = 92.3% (64.2</w:t>
      </w:r>
      <w:r w:rsidR="00AB38A7">
        <w:rPr>
          <w:rFonts w:ascii="Book Antiqua" w:hAnsi="Book Antiqua"/>
          <w:color w:val="000000" w:themeColor="text1"/>
          <w:lang w:val="en-US"/>
        </w:rPr>
        <w:t>-</w:t>
      </w:r>
      <w:r w:rsidR="00A30463">
        <w:rPr>
          <w:rFonts w:ascii="Book Antiqua" w:hAnsi="Book Antiqua"/>
          <w:color w:val="000000" w:themeColor="text1"/>
          <w:lang w:val="en-US"/>
        </w:rPr>
        <w:t>100.0)</w:t>
      </w:r>
      <w:r w:rsidR="008707A9" w:rsidRPr="008A5994">
        <w:rPr>
          <w:rFonts w:ascii="Book Antiqua" w:hAnsi="Book Antiqua"/>
          <w:color w:val="000000" w:themeColor="text1"/>
          <w:lang w:val="en-US"/>
        </w:rPr>
        <w:t>, specificity = 74.1</w:t>
      </w:r>
      <w:r w:rsidR="00A555A0">
        <w:rPr>
          <w:rFonts w:ascii="Book Antiqua" w:hAnsi="Book Antiqua"/>
          <w:color w:val="000000" w:themeColor="text1"/>
          <w:lang w:val="en-US"/>
        </w:rPr>
        <w:t>%</w:t>
      </w:r>
      <w:r w:rsidR="00A30463">
        <w:rPr>
          <w:rFonts w:ascii="Book Antiqua" w:hAnsi="Book Antiqua"/>
          <w:color w:val="000000" w:themeColor="text1"/>
          <w:lang w:val="en-US"/>
        </w:rPr>
        <w:t xml:space="preserve"> (</w:t>
      </w:r>
      <w:r w:rsidR="008707A9" w:rsidRPr="008A5994">
        <w:rPr>
          <w:rFonts w:ascii="Book Antiqua" w:hAnsi="Book Antiqua"/>
          <w:color w:val="000000" w:themeColor="text1"/>
          <w:lang w:val="en-US"/>
        </w:rPr>
        <w:t>55.0</w:t>
      </w:r>
      <w:r w:rsidR="00A30463">
        <w:rPr>
          <w:rFonts w:ascii="Book Antiqua" w:hAnsi="Book Antiqua"/>
          <w:color w:val="000000" w:themeColor="text1"/>
          <w:lang w:val="en-US"/>
        </w:rPr>
        <w:t>-86.9), PPV = 63.2% (</w:t>
      </w:r>
      <w:r w:rsidR="008707A9" w:rsidRPr="008A5994">
        <w:rPr>
          <w:rFonts w:ascii="Book Antiqua" w:hAnsi="Book Antiqua"/>
          <w:color w:val="000000" w:themeColor="text1"/>
          <w:lang w:val="en-US"/>
        </w:rPr>
        <w:t>41.5</w:t>
      </w:r>
      <w:r w:rsidR="00A30463">
        <w:rPr>
          <w:rFonts w:ascii="Book Antiqua" w:hAnsi="Book Antiqua"/>
          <w:color w:val="000000" w:themeColor="text1"/>
          <w:lang w:val="en-US"/>
        </w:rPr>
        <w:t>-84.8), NPV = 95.2% (86.1-100.0), LR+ = 3.560 (</w:t>
      </w:r>
      <w:r w:rsidR="008707A9" w:rsidRPr="008A5994">
        <w:rPr>
          <w:rFonts w:ascii="Book Antiqua" w:hAnsi="Book Antiqua"/>
          <w:color w:val="000000" w:themeColor="text1"/>
          <w:lang w:val="en-US"/>
        </w:rPr>
        <w:t>1.84</w:t>
      </w:r>
      <w:r w:rsidR="00A30463">
        <w:rPr>
          <w:rFonts w:ascii="Book Antiqua" w:hAnsi="Book Antiqua"/>
          <w:color w:val="000000" w:themeColor="text1"/>
          <w:lang w:val="en-US"/>
        </w:rPr>
        <w:t>6-6.865), LR- = 0.104 (0.016-0.692)</w:t>
      </w:r>
      <w:r w:rsidR="008707A9" w:rsidRPr="008A5994">
        <w:rPr>
          <w:rFonts w:ascii="Book Antiqua" w:hAnsi="Book Antiqua"/>
          <w:color w:val="000000" w:themeColor="text1"/>
          <w:lang w:val="en-US"/>
        </w:rPr>
        <w:t xml:space="preserve"> (</w:t>
      </w:r>
      <w:r w:rsidR="008707A9" w:rsidRPr="00A30463">
        <w:rPr>
          <w:rFonts w:ascii="Book Antiqua" w:hAnsi="Book Antiqua"/>
          <w:color w:val="000000" w:themeColor="text1"/>
          <w:lang w:val="en-US"/>
        </w:rPr>
        <w:t>Table 2</w:t>
      </w:r>
      <w:r w:rsidR="008707A9" w:rsidRPr="008A5994">
        <w:rPr>
          <w:rFonts w:ascii="Book Antiqua" w:hAnsi="Book Antiqua"/>
          <w:color w:val="000000" w:themeColor="text1"/>
          <w:lang w:val="en-US"/>
        </w:rPr>
        <w:t>).</w:t>
      </w:r>
    </w:p>
    <w:p w14:paraId="50E77127" w14:textId="17FCD442" w:rsidR="008707A9" w:rsidRPr="008A5994" w:rsidRDefault="00A30463"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The combined performances of both CDAI &lt; 150 and CRP ≤ 2.9 mg/L at W12 to predict CFREM a</w:t>
      </w:r>
      <w:r>
        <w:rPr>
          <w:rFonts w:ascii="Book Antiqua" w:hAnsi="Book Antiqua"/>
          <w:color w:val="000000" w:themeColor="text1"/>
          <w:lang w:val="en-US"/>
        </w:rPr>
        <w:t>t W52 were sensitivity = 76.9% (</w:t>
      </w:r>
      <w:r w:rsidR="008707A9" w:rsidRPr="008A5994">
        <w:rPr>
          <w:rFonts w:ascii="Book Antiqua" w:hAnsi="Book Antiqua"/>
          <w:color w:val="000000" w:themeColor="text1"/>
          <w:lang w:val="en-US"/>
        </w:rPr>
        <w:t>48.9</w:t>
      </w:r>
      <w:r>
        <w:rPr>
          <w:rFonts w:ascii="Book Antiqua" w:hAnsi="Book Antiqua"/>
          <w:color w:val="000000" w:themeColor="text1"/>
          <w:lang w:val="en-US"/>
        </w:rPr>
        <w:t>-92.2)</w:t>
      </w:r>
      <w:r w:rsidR="008707A9" w:rsidRPr="008A5994">
        <w:rPr>
          <w:rFonts w:ascii="Book Antiqua" w:hAnsi="Book Antiqua"/>
          <w:color w:val="000000" w:themeColor="text1"/>
          <w:lang w:val="en-US"/>
        </w:rPr>
        <w:t>, specificity = 85.2</w:t>
      </w:r>
      <w:r w:rsidR="00A555A0">
        <w:rPr>
          <w:rFonts w:ascii="Book Antiqua" w:hAnsi="Book Antiqua"/>
          <w:color w:val="000000" w:themeColor="text1"/>
          <w:lang w:val="en-US"/>
        </w:rPr>
        <w:t>%</w:t>
      </w: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66.7</w:t>
      </w:r>
      <w:r>
        <w:rPr>
          <w:rFonts w:ascii="Book Antiqua" w:hAnsi="Book Antiqua"/>
          <w:color w:val="000000" w:themeColor="text1"/>
          <w:lang w:val="en-US"/>
        </w:rPr>
        <w:t>-94.6), PPV = 71.4% (</w:t>
      </w:r>
      <w:r w:rsidR="008707A9" w:rsidRPr="008A5994">
        <w:rPr>
          <w:rFonts w:ascii="Book Antiqua" w:hAnsi="Book Antiqua"/>
          <w:color w:val="000000" w:themeColor="text1"/>
          <w:lang w:val="en-US"/>
        </w:rPr>
        <w:t>47.8</w:t>
      </w:r>
      <w:r>
        <w:rPr>
          <w:rFonts w:ascii="Book Antiqua" w:hAnsi="Book Antiqua"/>
          <w:color w:val="000000" w:themeColor="text1"/>
          <w:lang w:val="en-US"/>
        </w:rPr>
        <w:t>-95.1), NPV = 88.5% (76.2-100.0), LR+ = 5.192 (2.004-13.456)</w:t>
      </w:r>
      <w:r w:rsidR="008707A9" w:rsidRPr="008A5994">
        <w:rPr>
          <w:rFonts w:ascii="Book Antiqua" w:hAnsi="Book Antiqua"/>
          <w:color w:val="000000" w:themeColor="text1"/>
          <w:lang w:val="en-US"/>
        </w:rPr>
        <w:t xml:space="preserve">, LR- </w:t>
      </w:r>
      <w:r>
        <w:rPr>
          <w:rFonts w:ascii="Book Antiqua" w:hAnsi="Book Antiqua"/>
          <w:color w:val="000000" w:themeColor="text1"/>
          <w:lang w:val="en-US"/>
        </w:rPr>
        <w:t>= 0.271 (0.099-0.740)</w:t>
      </w:r>
      <w:r w:rsidR="008707A9" w:rsidRPr="008A5994">
        <w:rPr>
          <w:rFonts w:ascii="Book Antiqua" w:hAnsi="Book Antiqua"/>
          <w:color w:val="000000" w:themeColor="text1"/>
          <w:lang w:val="en-US"/>
        </w:rPr>
        <w:t xml:space="preserve"> (</w:t>
      </w:r>
      <w:r w:rsidR="008707A9" w:rsidRPr="00A30463">
        <w:rPr>
          <w:rFonts w:ascii="Book Antiqua" w:hAnsi="Book Antiqua"/>
          <w:color w:val="000000" w:themeColor="text1"/>
          <w:lang w:val="en-US"/>
        </w:rPr>
        <w:t>Table 2</w:t>
      </w:r>
      <w:r w:rsidR="008707A9" w:rsidRPr="008A5994">
        <w:rPr>
          <w:rFonts w:ascii="Book Antiqua" w:hAnsi="Book Antiqua"/>
          <w:color w:val="000000" w:themeColor="text1"/>
          <w:lang w:val="en-US"/>
        </w:rPr>
        <w:t>).</w:t>
      </w:r>
    </w:p>
    <w:p w14:paraId="22496FEE" w14:textId="2F9C2497" w:rsidR="008707A9" w:rsidRPr="008A5994" w:rsidRDefault="00EB1AAA"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 xml:space="preserve">In patient with CFREM at one year, the median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level </w:t>
      </w:r>
      <w:r>
        <w:rPr>
          <w:rFonts w:ascii="Book Antiqua" w:hAnsi="Book Antiqua"/>
          <w:color w:val="000000" w:themeColor="text1"/>
          <w:lang w:val="en-US"/>
        </w:rPr>
        <w:t xml:space="preserve">at W12 was significantly lower [100.0 </w:t>
      </w:r>
      <w:proofErr w:type="spellStart"/>
      <w:r>
        <w:rPr>
          <w:rFonts w:ascii="Book Antiqua" w:hAnsi="Book Antiqua"/>
          <w:color w:val="000000" w:themeColor="text1"/>
          <w:lang w:val="en-US"/>
        </w:rPr>
        <w:t>μg</w:t>
      </w:r>
      <w:proofErr w:type="spellEnd"/>
      <w:r>
        <w:rPr>
          <w:rFonts w:ascii="Book Antiqua" w:hAnsi="Book Antiqua"/>
          <w:color w:val="000000" w:themeColor="text1"/>
          <w:lang w:val="en-US"/>
        </w:rPr>
        <w:t>/g (100.0-193.0)]</w:t>
      </w:r>
      <w:r w:rsidR="008707A9" w:rsidRPr="008A5994">
        <w:rPr>
          <w:rFonts w:ascii="Book Antiqua" w:hAnsi="Book Antiqua"/>
          <w:color w:val="000000" w:themeColor="text1"/>
          <w:lang w:val="en-US"/>
        </w:rPr>
        <w:t xml:space="preserve"> </w:t>
      </w:r>
      <w:r w:rsidR="008707A9" w:rsidRPr="00EB1AAA">
        <w:rPr>
          <w:rFonts w:ascii="Book Antiqua" w:hAnsi="Book Antiqua"/>
          <w:i/>
          <w:color w:val="000000" w:themeColor="text1"/>
          <w:lang w:val="en-US"/>
        </w:rPr>
        <w:t xml:space="preserve">vs </w:t>
      </w:r>
      <w:r>
        <w:rPr>
          <w:rFonts w:ascii="Book Antiqua" w:hAnsi="Book Antiqua"/>
          <w:color w:val="000000" w:themeColor="text1"/>
          <w:lang w:val="en-US"/>
        </w:rPr>
        <w:t xml:space="preserve">compared to those who were not [646.0 </w:t>
      </w:r>
      <w:proofErr w:type="spellStart"/>
      <w:r>
        <w:rPr>
          <w:rFonts w:ascii="Book Antiqua" w:hAnsi="Book Antiqua"/>
          <w:color w:val="000000" w:themeColor="text1"/>
          <w:lang w:val="en-US"/>
        </w:rPr>
        <w:t>μg</w:t>
      </w:r>
      <w:proofErr w:type="spellEnd"/>
      <w:r>
        <w:rPr>
          <w:rFonts w:ascii="Book Antiqua" w:hAnsi="Book Antiqua"/>
          <w:color w:val="000000" w:themeColor="text1"/>
          <w:lang w:val="en-US"/>
        </w:rPr>
        <w:t>/g (315.0-1567.0)]</w:t>
      </w:r>
      <w:r w:rsidR="008707A9" w:rsidRPr="008A5994">
        <w:rPr>
          <w:rFonts w:ascii="Book Antiqua" w:hAnsi="Book Antiqua"/>
          <w:color w:val="000000" w:themeColor="text1"/>
          <w:lang w:val="en-US"/>
        </w:rPr>
        <w:t xml:space="preserve"> (</w:t>
      </w:r>
      <w:r w:rsidRPr="00EB1AAA">
        <w:rPr>
          <w:rFonts w:ascii="Book Antiqua" w:hAnsi="Book Antiqua"/>
          <w:i/>
          <w:color w:val="000000" w:themeColor="text1"/>
          <w:lang w:val="en-US"/>
        </w:rPr>
        <w:t>P</w:t>
      </w:r>
      <w:r w:rsidR="008707A9" w:rsidRPr="008A5994">
        <w:rPr>
          <w:rFonts w:ascii="Book Antiqua" w:hAnsi="Book Antiqua"/>
          <w:color w:val="000000" w:themeColor="text1"/>
          <w:lang w:val="en-US"/>
        </w:rPr>
        <w:t xml:space="preserve"> &lt; 0.001) </w:t>
      </w:r>
      <w:r w:rsidR="008707A9" w:rsidRPr="00EB1AAA">
        <w:rPr>
          <w:rFonts w:ascii="Book Antiqua" w:hAnsi="Book Antiqua"/>
          <w:color w:val="000000" w:themeColor="text1"/>
          <w:lang w:val="en-US"/>
        </w:rPr>
        <w:t>(Figure 2)</w:t>
      </w:r>
      <w:r w:rsidR="008707A9" w:rsidRPr="008A5994">
        <w:rPr>
          <w:rFonts w:ascii="Book Antiqua" w:hAnsi="Book Antiqua"/>
          <w:color w:val="000000" w:themeColor="text1"/>
          <w:lang w:val="en-US"/>
        </w:rPr>
        <w:t xml:space="preserve">. </w:t>
      </w:r>
    </w:p>
    <w:p w14:paraId="7657D400" w14:textId="3884A3FB" w:rsidR="008707A9" w:rsidRPr="008A5994" w:rsidRDefault="00EB1AAA"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lastRenderedPageBreak/>
        <w:t xml:space="preserve">  </w:t>
      </w:r>
      <w:r w:rsidR="008707A9" w:rsidRPr="008A5994">
        <w:rPr>
          <w:rFonts w:ascii="Book Antiqua" w:hAnsi="Book Antiqua"/>
          <w:color w:val="000000" w:themeColor="text1"/>
          <w:lang w:val="en-US"/>
        </w:rPr>
        <w:t xml:space="preserve">We also observed that the relative decrease of </w:t>
      </w:r>
      <w:proofErr w:type="spellStart"/>
      <w:r w:rsidR="008707A9" w:rsidRPr="008A5994">
        <w:rPr>
          <w:rFonts w:ascii="Book Antiqua" w:hAnsi="Book Antiqua"/>
          <w:color w:val="000000" w:themeColor="text1"/>
          <w:lang w:val="en-US"/>
        </w:rPr>
        <w:t>Fcal</w:t>
      </w:r>
      <w:proofErr w:type="spellEnd"/>
      <w:r>
        <w:rPr>
          <w:rFonts w:ascii="Book Antiqua" w:hAnsi="Book Antiqua"/>
          <w:color w:val="000000" w:themeColor="text1"/>
          <w:lang w:val="en-US"/>
        </w:rPr>
        <w:t xml:space="preserve"> between W0 and W12 was higher [</w:t>
      </w:r>
      <w:r w:rsidR="008707A9" w:rsidRPr="008A5994">
        <w:rPr>
          <w:rFonts w:ascii="Book Antiqua" w:hAnsi="Book Antiqua"/>
          <w:color w:val="000000" w:themeColor="text1"/>
          <w:lang w:val="en-US"/>
        </w:rPr>
        <w:t>83.3</w:t>
      </w:r>
      <w:r w:rsidR="00A555A0">
        <w:rPr>
          <w:rFonts w:ascii="Book Antiqua" w:hAnsi="Book Antiqua"/>
          <w:color w:val="000000" w:themeColor="text1"/>
          <w:lang w:val="en-US"/>
        </w:rPr>
        <w:t>%</w:t>
      </w: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33.6</w:t>
      </w:r>
      <w:r w:rsidR="00A555A0">
        <w:rPr>
          <w:rFonts w:ascii="Book Antiqua" w:hAnsi="Book Antiqua"/>
          <w:color w:val="000000" w:themeColor="text1"/>
          <w:lang w:val="en-US"/>
        </w:rPr>
        <w:t>%</w:t>
      </w:r>
      <w:r w:rsidR="00A30463">
        <w:rPr>
          <w:rFonts w:ascii="Book Antiqua" w:hAnsi="Book Antiqua"/>
          <w:color w:val="000000" w:themeColor="text1"/>
          <w:lang w:val="en-US"/>
        </w:rPr>
        <w:t>-</w:t>
      </w:r>
      <w:r>
        <w:rPr>
          <w:rFonts w:ascii="Book Antiqua" w:hAnsi="Book Antiqua"/>
          <w:color w:val="000000" w:themeColor="text1"/>
          <w:lang w:val="en-US"/>
        </w:rPr>
        <w:t>83.3%)</w:t>
      </w:r>
      <w:r w:rsidR="008707A9" w:rsidRPr="008A5994">
        <w:rPr>
          <w:rFonts w:ascii="Book Antiqua" w:hAnsi="Book Antiqua"/>
          <w:color w:val="000000" w:themeColor="text1"/>
          <w:lang w:val="en-US"/>
        </w:rPr>
        <w:t xml:space="preserve"> </w:t>
      </w:r>
      <w:bookmarkStart w:id="118" w:name="OLE_LINK540"/>
      <w:r w:rsidR="008707A9" w:rsidRPr="00EB1AAA">
        <w:rPr>
          <w:rFonts w:ascii="Book Antiqua" w:hAnsi="Book Antiqua"/>
          <w:i/>
          <w:color w:val="000000" w:themeColor="text1"/>
          <w:lang w:val="en-US"/>
        </w:rPr>
        <w:t>vs</w:t>
      </w:r>
      <w:bookmarkEnd w:id="118"/>
      <w:r w:rsidR="008707A9" w:rsidRPr="008A5994">
        <w:rPr>
          <w:rFonts w:ascii="Book Antiqua" w:hAnsi="Book Antiqua"/>
          <w:color w:val="000000" w:themeColor="text1"/>
          <w:lang w:val="en-US"/>
        </w:rPr>
        <w:t xml:space="preserve"> 0.0</w:t>
      </w:r>
      <w:r w:rsidR="00A555A0">
        <w:rPr>
          <w:rFonts w:ascii="Book Antiqua" w:hAnsi="Book Antiqua"/>
          <w:color w:val="000000" w:themeColor="text1"/>
          <w:lang w:val="en-US"/>
        </w:rPr>
        <w:t>%</w:t>
      </w: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0.0</w:t>
      </w:r>
      <w:r w:rsidR="00A555A0">
        <w:rPr>
          <w:rFonts w:ascii="Book Antiqua" w:hAnsi="Book Antiqua"/>
          <w:color w:val="000000" w:themeColor="text1"/>
          <w:lang w:val="en-US"/>
        </w:rPr>
        <w:t>%</w:t>
      </w:r>
      <w:r w:rsidR="00A30463">
        <w:rPr>
          <w:rFonts w:ascii="Book Antiqua" w:hAnsi="Book Antiqua"/>
          <w:color w:val="000000" w:themeColor="text1"/>
          <w:lang w:val="en-US"/>
        </w:rPr>
        <w:t>-</w:t>
      </w:r>
      <w:r w:rsidR="008707A9" w:rsidRPr="008A5994">
        <w:rPr>
          <w:rFonts w:ascii="Book Antiqua" w:hAnsi="Book Antiqua"/>
          <w:color w:val="000000" w:themeColor="text1"/>
          <w:lang w:val="en-US"/>
        </w:rPr>
        <w:t>33.2</w:t>
      </w:r>
      <w:r w:rsidR="00A555A0">
        <w:rPr>
          <w:rFonts w:ascii="Book Antiqua" w:hAnsi="Book Antiqua"/>
          <w:color w:val="000000" w:themeColor="text1"/>
          <w:lang w:val="en-US"/>
        </w:rPr>
        <w:t>%</w:t>
      </w:r>
      <w:r>
        <w:rPr>
          <w:rFonts w:ascii="Book Antiqua" w:hAnsi="Book Antiqua"/>
          <w:color w:val="000000" w:themeColor="text1"/>
          <w:lang w:val="en-US"/>
        </w:rPr>
        <w:t xml:space="preserve">), </w:t>
      </w:r>
      <w:r w:rsidRPr="00EB1AAA">
        <w:rPr>
          <w:rFonts w:ascii="Book Antiqua" w:hAnsi="Book Antiqua"/>
          <w:i/>
          <w:color w:val="000000" w:themeColor="text1"/>
          <w:lang w:val="en-US"/>
        </w:rPr>
        <w:t>P</w:t>
      </w:r>
      <w:r>
        <w:rPr>
          <w:rFonts w:ascii="Book Antiqua" w:hAnsi="Book Antiqua"/>
          <w:color w:val="000000" w:themeColor="text1"/>
          <w:lang w:val="en-US"/>
        </w:rPr>
        <w:t xml:space="preserve"> = 0.001]</w:t>
      </w:r>
      <w:r w:rsidR="008707A9" w:rsidRPr="008A5994">
        <w:rPr>
          <w:rFonts w:ascii="Book Antiqua" w:hAnsi="Book Antiqua"/>
          <w:color w:val="000000" w:themeColor="text1"/>
          <w:lang w:val="en-US"/>
        </w:rPr>
        <w:t xml:space="preserve"> in the patients achieving CFREM at W52 compared to the patients who failed to obtain CFREM at </w:t>
      </w:r>
      <w:r>
        <w:rPr>
          <w:rFonts w:ascii="Book Antiqua" w:hAnsi="Book Antiqua"/>
          <w:color w:val="000000" w:themeColor="text1"/>
          <w:lang w:val="en-US"/>
        </w:rPr>
        <w:t>W</w:t>
      </w:r>
      <w:r w:rsidR="008707A9" w:rsidRPr="008A5994">
        <w:rPr>
          <w:rFonts w:ascii="Book Antiqua" w:hAnsi="Book Antiqua"/>
          <w:color w:val="000000" w:themeColor="text1"/>
          <w:lang w:val="en-US"/>
        </w:rPr>
        <w:t>52</w:t>
      </w:r>
      <w:r w:rsidR="008707A9" w:rsidRPr="008A5994">
        <w:rPr>
          <w:rFonts w:ascii="Book Antiqua" w:hAnsi="Book Antiqua"/>
          <w:b/>
          <w:color w:val="000000" w:themeColor="text1"/>
          <w:lang w:val="en-US"/>
        </w:rPr>
        <w:t xml:space="preserve">. </w:t>
      </w:r>
      <w:r w:rsidR="008707A9" w:rsidRPr="008A5994">
        <w:rPr>
          <w:rFonts w:ascii="Book Antiqua" w:hAnsi="Book Antiqua"/>
          <w:color w:val="000000" w:themeColor="text1"/>
          <w:lang w:val="en-US" w:eastAsia="en-US"/>
        </w:rPr>
        <w:t xml:space="preserve">Based on ROC curve analyses, we determined that the best threshold of </w:t>
      </w:r>
      <w:proofErr w:type="spellStart"/>
      <w:r w:rsidR="008707A9" w:rsidRPr="008A5994">
        <w:rPr>
          <w:rFonts w:ascii="Book Antiqua" w:hAnsi="Book Antiqua"/>
          <w:color w:val="000000" w:themeColor="text1"/>
          <w:lang w:val="en-US" w:eastAsia="en-US"/>
        </w:rPr>
        <w:t>Fcal</w:t>
      </w:r>
      <w:proofErr w:type="spellEnd"/>
      <w:r w:rsidR="008707A9" w:rsidRPr="008A5994">
        <w:rPr>
          <w:rFonts w:ascii="Book Antiqua" w:hAnsi="Book Antiqua"/>
          <w:color w:val="000000" w:themeColor="text1"/>
          <w:lang w:val="en-US" w:eastAsia="en-US"/>
        </w:rPr>
        <w:t xml:space="preserve"> after anti-TNF induction therapy (</w:t>
      </w:r>
      <w:r>
        <w:rPr>
          <w:rFonts w:ascii="Book Antiqua" w:hAnsi="Book Antiqua"/>
          <w:color w:val="000000" w:themeColor="text1"/>
          <w:lang w:val="en-US" w:eastAsia="en-US"/>
        </w:rPr>
        <w:t>W</w:t>
      </w:r>
      <w:r w:rsidR="008707A9" w:rsidRPr="008A5994">
        <w:rPr>
          <w:rFonts w:ascii="Book Antiqua" w:hAnsi="Book Antiqua"/>
          <w:color w:val="000000" w:themeColor="text1"/>
          <w:lang w:val="en-US" w:eastAsia="en-US"/>
        </w:rPr>
        <w:t xml:space="preserve">12) to predict CFREM at one year was </w:t>
      </w:r>
      <w:r w:rsidR="008707A9" w:rsidRPr="008A5994">
        <w:rPr>
          <w:rFonts w:ascii="Book Antiqua" w:hAnsi="Book Antiqua"/>
          <w:color w:val="000000" w:themeColor="text1"/>
          <w:lang w:val="en-US"/>
        </w:rPr>
        <w:t xml:space="preserve">300 </w:t>
      </w:r>
      <w:proofErr w:type="spellStart"/>
      <w:r>
        <w:rPr>
          <w:rFonts w:ascii="Book Antiqua" w:hAnsi="Book Antiqua"/>
          <w:color w:val="000000" w:themeColor="text1"/>
          <w:lang w:val="en-US"/>
        </w:rPr>
        <w:t>μg</w:t>
      </w:r>
      <w:proofErr w:type="spellEnd"/>
      <w:r>
        <w:rPr>
          <w:rFonts w:ascii="Book Antiqua" w:hAnsi="Book Antiqua"/>
          <w:color w:val="000000" w:themeColor="text1"/>
          <w:lang w:val="en-US"/>
        </w:rPr>
        <w:t>/g [area under the curve (AUC) = 0.848]</w:t>
      </w:r>
      <w:r w:rsidR="008707A9" w:rsidRPr="008A5994">
        <w:rPr>
          <w:rFonts w:ascii="Book Antiqua" w:hAnsi="Book Antiqua"/>
          <w:color w:val="000000" w:themeColor="text1"/>
          <w:lang w:val="en-US"/>
        </w:rPr>
        <w:t>. The performances of this cut-off value were: sensitivity =</w:t>
      </w: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84.6</w:t>
      </w:r>
      <w:r w:rsidR="00A555A0">
        <w:rPr>
          <w:rFonts w:ascii="Book Antiqua" w:hAnsi="Book Antiqua"/>
          <w:color w:val="000000" w:themeColor="text1"/>
          <w:lang w:val="en-US"/>
        </w:rPr>
        <w:t>%</w:t>
      </w:r>
      <w:r>
        <w:rPr>
          <w:rFonts w:ascii="Book Antiqua" w:hAnsi="Book Antiqua"/>
          <w:color w:val="000000" w:themeColor="text1"/>
          <w:lang w:val="en-US"/>
        </w:rPr>
        <w:t xml:space="preserve"> (56.3-96.6)</w:t>
      </w:r>
      <w:r w:rsidR="008707A9" w:rsidRPr="008A5994">
        <w:rPr>
          <w:rFonts w:ascii="Book Antiqua" w:hAnsi="Book Antiqua"/>
          <w:color w:val="000000" w:themeColor="text1"/>
          <w:lang w:val="en-US"/>
        </w:rPr>
        <w:t>, specificity =</w:t>
      </w: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77.8</w:t>
      </w:r>
      <w:r w:rsidR="00A555A0">
        <w:rPr>
          <w:rFonts w:ascii="Book Antiqua" w:hAnsi="Book Antiqua"/>
          <w:color w:val="000000" w:themeColor="text1"/>
          <w:lang w:val="en-US"/>
        </w:rPr>
        <w:t>%</w:t>
      </w:r>
      <w:r>
        <w:rPr>
          <w:rFonts w:ascii="Book Antiqua" w:hAnsi="Book Antiqua"/>
          <w:color w:val="000000" w:themeColor="text1"/>
          <w:lang w:val="en-US"/>
        </w:rPr>
        <w:t xml:space="preserve"> (58.8-89.6)</w:t>
      </w:r>
      <w:r w:rsidR="008707A9" w:rsidRPr="008A5994">
        <w:rPr>
          <w:rFonts w:ascii="Book Antiqua" w:hAnsi="Book Antiqua"/>
          <w:color w:val="000000" w:themeColor="text1"/>
          <w:lang w:val="en-US"/>
        </w:rPr>
        <w:t>, PPV = 64.7</w:t>
      </w:r>
      <w:r w:rsidR="00A555A0">
        <w:rPr>
          <w:rFonts w:ascii="Book Antiqua" w:hAnsi="Book Antiqua"/>
          <w:color w:val="000000" w:themeColor="text1"/>
          <w:lang w:val="en-US"/>
        </w:rPr>
        <w:t>%</w:t>
      </w:r>
      <w:r w:rsidR="008707A9" w:rsidRPr="008A5994">
        <w:rPr>
          <w:rFonts w:ascii="Book Antiqua" w:hAnsi="Book Antiqua"/>
          <w:color w:val="000000" w:themeColor="text1"/>
          <w:lang w:val="en-US"/>
        </w:rPr>
        <w:t xml:space="preserve"> </w:t>
      </w:r>
      <w:bookmarkStart w:id="119" w:name="OLE_LINK1"/>
      <w:r>
        <w:rPr>
          <w:rFonts w:ascii="Book Antiqua" w:hAnsi="Book Antiqua"/>
          <w:color w:val="000000" w:themeColor="text1"/>
          <w:lang w:val="en-US"/>
        </w:rPr>
        <w:t>(</w:t>
      </w:r>
      <w:r w:rsidR="008707A9" w:rsidRPr="008A5994">
        <w:rPr>
          <w:rFonts w:ascii="Book Antiqua" w:hAnsi="Book Antiqua"/>
          <w:color w:val="000000" w:themeColor="text1"/>
          <w:lang w:val="en-US"/>
        </w:rPr>
        <w:t>42.0-87.4</w:t>
      </w:r>
      <w:bookmarkEnd w:id="119"/>
      <w:r>
        <w:rPr>
          <w:rFonts w:ascii="Book Antiqua" w:hAnsi="Book Antiqua"/>
          <w:color w:val="000000" w:themeColor="text1"/>
          <w:lang w:val="en-US"/>
        </w:rPr>
        <w:t>), NPV = 91.3% (79.8-100%)</w:t>
      </w:r>
      <w:r w:rsidR="008707A9" w:rsidRPr="008A5994">
        <w:rPr>
          <w:rFonts w:ascii="Book Antiqua" w:hAnsi="Book Antiqua"/>
          <w:color w:val="000000" w:themeColor="text1"/>
          <w:lang w:val="en-US"/>
        </w:rPr>
        <w:t xml:space="preserve">, </w:t>
      </w:r>
      <w:r>
        <w:rPr>
          <w:rFonts w:ascii="Book Antiqua" w:hAnsi="Book Antiqua"/>
          <w:color w:val="000000" w:themeColor="text1"/>
          <w:lang w:val="en-US"/>
        </w:rPr>
        <w:t>LR+ = 3.808 (</w:t>
      </w:r>
      <w:r w:rsidR="008707A9" w:rsidRPr="008A5994">
        <w:rPr>
          <w:rFonts w:ascii="Book Antiqua" w:hAnsi="Book Antiqua"/>
          <w:color w:val="000000" w:themeColor="text1"/>
          <w:lang w:val="en-US"/>
        </w:rPr>
        <w:t>1.812-8.0</w:t>
      </w:r>
      <w:r>
        <w:rPr>
          <w:rFonts w:ascii="Book Antiqua" w:hAnsi="Book Antiqua"/>
          <w:color w:val="000000" w:themeColor="text1"/>
          <w:lang w:val="en-US"/>
        </w:rPr>
        <w:t>03)</w:t>
      </w:r>
      <w:r w:rsidR="008707A9" w:rsidRPr="008A5994">
        <w:rPr>
          <w:rFonts w:ascii="Book Antiqua" w:hAnsi="Book Antiqua"/>
          <w:color w:val="000000" w:themeColor="text1"/>
          <w:lang w:val="en-US"/>
        </w:rPr>
        <w:t xml:space="preserve">, </w:t>
      </w:r>
      <w:r>
        <w:rPr>
          <w:rFonts w:ascii="Book Antiqua" w:hAnsi="Book Antiqua"/>
          <w:color w:val="000000" w:themeColor="text1"/>
          <w:lang w:val="en-US"/>
        </w:rPr>
        <w:t>LR- = 0.198 (0.054-0.719)</w:t>
      </w:r>
      <w:r w:rsidR="008707A9" w:rsidRPr="008A5994">
        <w:rPr>
          <w:rFonts w:ascii="Book Antiqua" w:hAnsi="Book Antiqua"/>
          <w:color w:val="000000" w:themeColor="text1"/>
          <w:lang w:val="en-US"/>
        </w:rPr>
        <w:t xml:space="preserve"> (</w:t>
      </w:r>
      <w:r w:rsidR="008707A9" w:rsidRPr="00EB1AAA">
        <w:rPr>
          <w:rFonts w:ascii="Book Antiqua" w:hAnsi="Book Antiqua"/>
          <w:color w:val="000000" w:themeColor="text1"/>
          <w:lang w:val="en-US"/>
        </w:rPr>
        <w:t>Table 2</w:t>
      </w:r>
      <w:r w:rsidR="008707A9" w:rsidRPr="008A5994">
        <w:rPr>
          <w:rFonts w:ascii="Book Antiqua" w:hAnsi="Book Antiqua"/>
          <w:color w:val="000000" w:themeColor="text1"/>
          <w:lang w:val="en-US"/>
        </w:rPr>
        <w:t xml:space="preserve">). </w:t>
      </w:r>
    </w:p>
    <w:p w14:paraId="226CFC56" w14:textId="3250535A" w:rsidR="008707A9" w:rsidRPr="008A5994" w:rsidRDefault="00EB1AAA"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Using a ROC curve (AUC</w:t>
      </w: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w:t>
      </w: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 xml:space="preserve">0.82), a decreased </w:t>
      </w:r>
      <w:r w:rsidR="00591E91" w:rsidRPr="008A5994">
        <w:rPr>
          <w:rFonts w:ascii="Book Antiqua" w:hAnsi="Book Antiqua"/>
          <w:color w:val="000000" w:themeColor="text1"/>
          <w:lang w:val="en-US"/>
        </w:rPr>
        <w:t xml:space="preserve">&gt; </w:t>
      </w:r>
      <w:r w:rsidR="008707A9" w:rsidRPr="008A5994">
        <w:rPr>
          <w:rFonts w:ascii="Book Antiqua" w:hAnsi="Book Antiqua"/>
          <w:color w:val="000000" w:themeColor="text1"/>
          <w:lang w:val="en-US"/>
        </w:rPr>
        <w:t xml:space="preserve">50% of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was also predictive of CFREM at one</w:t>
      </w:r>
      <w:r>
        <w:rPr>
          <w:rFonts w:ascii="Book Antiqua" w:hAnsi="Book Antiqua"/>
          <w:color w:val="000000" w:themeColor="text1"/>
          <w:lang w:val="en-US"/>
        </w:rPr>
        <w:t xml:space="preserve"> year with sensitivity = 61.5% (</w:t>
      </w:r>
      <w:r w:rsidR="008707A9" w:rsidRPr="008A5994">
        <w:rPr>
          <w:rFonts w:ascii="Book Antiqua" w:hAnsi="Book Antiqua"/>
          <w:color w:val="000000" w:themeColor="text1"/>
          <w:lang w:val="en-US"/>
        </w:rPr>
        <w:t>35.4</w:t>
      </w:r>
      <w:r w:rsidR="00A30463">
        <w:rPr>
          <w:rFonts w:ascii="Book Antiqua" w:hAnsi="Book Antiqua"/>
          <w:color w:val="000000" w:themeColor="text1"/>
          <w:lang w:val="en-US"/>
        </w:rPr>
        <w:t>-</w:t>
      </w:r>
      <w:r>
        <w:rPr>
          <w:rFonts w:ascii="Book Antiqua" w:hAnsi="Book Antiqua"/>
          <w:color w:val="000000" w:themeColor="text1"/>
          <w:lang w:val="en-US"/>
        </w:rPr>
        <w:t>82.2), specificity = 85.2% (</w:t>
      </w:r>
      <w:r w:rsidR="008707A9" w:rsidRPr="008A5994">
        <w:rPr>
          <w:rFonts w:ascii="Book Antiqua" w:hAnsi="Book Antiqua"/>
          <w:color w:val="000000" w:themeColor="text1"/>
          <w:lang w:val="en-US"/>
        </w:rPr>
        <w:t>66.7</w:t>
      </w:r>
      <w:r w:rsidR="00A30463">
        <w:rPr>
          <w:rFonts w:ascii="Book Antiqua" w:hAnsi="Book Antiqua"/>
          <w:color w:val="000000" w:themeColor="text1"/>
          <w:lang w:val="en-US"/>
        </w:rPr>
        <w:t>-</w:t>
      </w:r>
      <w:r>
        <w:rPr>
          <w:rFonts w:ascii="Book Antiqua" w:hAnsi="Book Antiqua"/>
          <w:color w:val="000000" w:themeColor="text1"/>
          <w:lang w:val="en-US"/>
        </w:rPr>
        <w:t>94.6)</w:t>
      </w:r>
      <w:r w:rsidR="008707A9" w:rsidRPr="008A5994">
        <w:rPr>
          <w:rFonts w:ascii="Book Antiqua" w:hAnsi="Book Antiqua"/>
          <w:color w:val="000000" w:themeColor="text1"/>
          <w:lang w:val="en-US"/>
        </w:rPr>
        <w:t>, PPV</w:t>
      </w: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 66.7</w:t>
      </w:r>
      <w:r w:rsidR="00A555A0">
        <w:rPr>
          <w:rFonts w:ascii="Book Antiqua" w:hAnsi="Book Antiqua"/>
          <w:color w:val="000000" w:themeColor="text1"/>
          <w:lang w:val="en-US"/>
        </w:rPr>
        <w:t>%</w:t>
      </w:r>
      <w:r w:rsidR="008707A9" w:rsidRPr="008A5994">
        <w:rPr>
          <w:rFonts w:ascii="Book Antiqua" w:hAnsi="Book Antiqua"/>
          <w:color w:val="000000" w:themeColor="text1"/>
          <w:lang w:val="en-US"/>
        </w:rPr>
        <w:t xml:space="preserve"> </w:t>
      </w:r>
      <w:r>
        <w:rPr>
          <w:rFonts w:ascii="Book Antiqua" w:hAnsi="Book Antiqua"/>
          <w:color w:val="000000" w:themeColor="text1"/>
          <w:lang w:val="en-US"/>
        </w:rPr>
        <w:t>(</w:t>
      </w:r>
      <w:r w:rsidR="008707A9" w:rsidRPr="008A5994">
        <w:rPr>
          <w:rFonts w:ascii="Book Antiqua" w:hAnsi="Book Antiqua"/>
          <w:color w:val="000000" w:themeColor="text1"/>
          <w:lang w:val="en-US"/>
        </w:rPr>
        <w:t>40.0</w:t>
      </w:r>
      <w:r w:rsidR="00A30463">
        <w:rPr>
          <w:rFonts w:ascii="Book Antiqua" w:hAnsi="Book Antiqua"/>
          <w:color w:val="000000" w:themeColor="text1"/>
          <w:lang w:val="en-US"/>
        </w:rPr>
        <w:t>-</w:t>
      </w:r>
      <w:r>
        <w:rPr>
          <w:rFonts w:ascii="Book Antiqua" w:hAnsi="Book Antiqua"/>
          <w:color w:val="000000" w:themeColor="text1"/>
          <w:lang w:val="en-US"/>
        </w:rPr>
        <w:t>93.3)</w:t>
      </w:r>
      <w:r w:rsidR="008707A9" w:rsidRPr="008A5994">
        <w:rPr>
          <w:rFonts w:ascii="Book Antiqua" w:hAnsi="Book Antiqua"/>
          <w:color w:val="000000" w:themeColor="text1"/>
          <w:lang w:val="en-US"/>
        </w:rPr>
        <w:t>, NPV</w:t>
      </w: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w:t>
      </w: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82.1</w:t>
      </w:r>
      <w:r w:rsidR="00A555A0">
        <w:rPr>
          <w:rFonts w:ascii="Book Antiqua" w:hAnsi="Book Antiqua"/>
          <w:color w:val="000000" w:themeColor="text1"/>
          <w:lang w:val="en-US"/>
        </w:rPr>
        <w:t>%</w:t>
      </w:r>
      <w:r>
        <w:rPr>
          <w:rFonts w:ascii="Book Antiqua" w:hAnsi="Book Antiqua"/>
          <w:color w:val="000000" w:themeColor="text1"/>
          <w:lang w:val="en-US"/>
        </w:rPr>
        <w:t xml:space="preserve"> (68.0-96.3)</w:t>
      </w:r>
      <w:r w:rsidR="008707A9" w:rsidRPr="008A5994">
        <w:rPr>
          <w:rFonts w:ascii="Book Antiqua" w:hAnsi="Book Antiqua"/>
          <w:color w:val="000000" w:themeColor="text1"/>
          <w:lang w:val="en-US"/>
        </w:rPr>
        <w:t>, LR+</w:t>
      </w:r>
      <w:r>
        <w:rPr>
          <w:rFonts w:ascii="Book Antiqua" w:hAnsi="Book Antiqua"/>
          <w:color w:val="000000" w:themeColor="text1"/>
          <w:lang w:val="en-US"/>
        </w:rPr>
        <w:t xml:space="preserve"> = 4.154 (1.526-11.307)</w:t>
      </w:r>
      <w:r w:rsidR="008707A9" w:rsidRPr="008A5994">
        <w:rPr>
          <w:rFonts w:ascii="Book Antiqua" w:hAnsi="Book Antiqua"/>
          <w:color w:val="000000" w:themeColor="text1"/>
          <w:lang w:val="en-US"/>
        </w:rPr>
        <w:t>, LR- =</w:t>
      </w:r>
      <w:r>
        <w:rPr>
          <w:rFonts w:ascii="Book Antiqua" w:hAnsi="Book Antiqua"/>
          <w:color w:val="000000" w:themeColor="text1"/>
          <w:lang w:val="en-US"/>
        </w:rPr>
        <w:t xml:space="preserve"> 0.452 (0.223-0.914</w:t>
      </w:r>
      <w:r w:rsidR="008707A9" w:rsidRPr="008A5994">
        <w:rPr>
          <w:rFonts w:ascii="Book Antiqua" w:hAnsi="Book Antiqua"/>
          <w:color w:val="000000" w:themeColor="text1"/>
          <w:lang w:val="en-US"/>
        </w:rPr>
        <w:t>).</w:t>
      </w:r>
    </w:p>
    <w:p w14:paraId="4A193E4B" w14:textId="51829519" w:rsidR="008707A9" w:rsidRPr="008A5994" w:rsidRDefault="00EB1AAA" w:rsidP="008A5994">
      <w:pPr>
        <w:widowControl w:val="0"/>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 xml:space="preserve">We also studied the complementary of these two thresholds by creating a composite criterion so-called </w:t>
      </w:r>
      <w:bookmarkStart w:id="120" w:name="_Hlk532650735"/>
      <w:proofErr w:type="spellStart"/>
      <w:r>
        <w:rPr>
          <w:rFonts w:ascii="Book Antiqua" w:hAnsi="Book Antiqua"/>
          <w:color w:val="000000" w:themeColor="text1"/>
          <w:lang w:val="en-US"/>
        </w:rPr>
        <w:t>Fcal</w:t>
      </w:r>
      <w:proofErr w:type="spellEnd"/>
      <w:r>
        <w:rPr>
          <w:rFonts w:ascii="Book Antiqua" w:hAnsi="Book Antiqua"/>
          <w:color w:val="000000" w:themeColor="text1"/>
          <w:lang w:val="en-US"/>
        </w:rPr>
        <w:t xml:space="preserve"> improvement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&lt; 300 </w:t>
      </w:r>
      <w:proofErr w:type="spellStart"/>
      <w:r w:rsidR="008707A9" w:rsidRPr="008A5994">
        <w:rPr>
          <w:rFonts w:ascii="Book Antiqua" w:hAnsi="Book Antiqua"/>
          <w:color w:val="000000" w:themeColor="text1"/>
          <w:lang w:val="en-US"/>
        </w:rPr>
        <w:t>μg</w:t>
      </w:r>
      <w:proofErr w:type="spellEnd"/>
      <w:r w:rsidR="008707A9" w:rsidRPr="008A5994">
        <w:rPr>
          <w:rFonts w:ascii="Book Antiqua" w:hAnsi="Book Antiqua"/>
          <w:color w:val="000000" w:themeColor="text1"/>
          <w:lang w:val="en-US"/>
        </w:rPr>
        <w:t xml:space="preserve">/g at W12; or, for patients with initial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&lt; 300 </w:t>
      </w:r>
      <w:proofErr w:type="spellStart"/>
      <w:r w:rsidR="008707A9" w:rsidRPr="008A5994">
        <w:rPr>
          <w:rFonts w:ascii="Book Antiqua" w:hAnsi="Book Antiqua"/>
          <w:color w:val="000000" w:themeColor="text1"/>
          <w:lang w:val="en-US"/>
        </w:rPr>
        <w:t>μg</w:t>
      </w:r>
      <w:proofErr w:type="spellEnd"/>
      <w:r w:rsidR="008707A9" w:rsidRPr="008A5994">
        <w:rPr>
          <w:rFonts w:ascii="Book Antiqua" w:hAnsi="Book Antiqua"/>
          <w:color w:val="000000" w:themeColor="text1"/>
          <w:lang w:val="en-US"/>
        </w:rPr>
        <w:t xml:space="preserve">/g, at least 50% decrease </w:t>
      </w:r>
      <w:r w:rsidR="00D37C54" w:rsidRPr="008A5994">
        <w:rPr>
          <w:rFonts w:ascii="Book Antiqua" w:hAnsi="Book Antiqua"/>
          <w:color w:val="000000" w:themeColor="text1"/>
          <w:lang w:val="en-US"/>
        </w:rPr>
        <w:t xml:space="preserve">of </w:t>
      </w:r>
      <w:proofErr w:type="spellStart"/>
      <w:r w:rsidR="00D37C54" w:rsidRPr="008A5994">
        <w:rPr>
          <w:rFonts w:ascii="Book Antiqua" w:hAnsi="Book Antiqua"/>
          <w:color w:val="000000" w:themeColor="text1"/>
          <w:lang w:val="en-US"/>
        </w:rPr>
        <w:t>Fcal</w:t>
      </w:r>
      <w:proofErr w:type="spellEnd"/>
      <w:r w:rsidR="00D37C54" w:rsidRPr="008A5994">
        <w:rPr>
          <w:rFonts w:ascii="Book Antiqua" w:hAnsi="Book Antiqua"/>
          <w:color w:val="000000" w:themeColor="text1"/>
          <w:lang w:val="en-US"/>
        </w:rPr>
        <w:t xml:space="preserve"> </w:t>
      </w:r>
      <w:r w:rsidR="008707A9" w:rsidRPr="008A5994">
        <w:rPr>
          <w:rFonts w:ascii="Book Antiqua" w:hAnsi="Book Antiqua"/>
          <w:color w:val="000000" w:themeColor="text1"/>
          <w:lang w:val="en-US"/>
        </w:rPr>
        <w:t xml:space="preserve">or normalization of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(&lt; 100 </w:t>
      </w:r>
      <w:proofErr w:type="spellStart"/>
      <w:r w:rsidR="008707A9" w:rsidRPr="008A5994">
        <w:rPr>
          <w:rFonts w:ascii="Book Antiqua" w:hAnsi="Book Antiqua"/>
          <w:color w:val="000000" w:themeColor="text1"/>
          <w:lang w:val="en-US"/>
        </w:rPr>
        <w:t>μg</w:t>
      </w:r>
      <w:proofErr w:type="spellEnd"/>
      <w:r w:rsidR="008707A9" w:rsidRPr="008A5994">
        <w:rPr>
          <w:rFonts w:ascii="Book Antiqua" w:hAnsi="Book Antiqua"/>
          <w:color w:val="000000" w:themeColor="text1"/>
          <w:lang w:val="en-US"/>
        </w:rPr>
        <w:t>/g)</w:t>
      </w:r>
      <w:bookmarkEnd w:id="120"/>
      <w:r>
        <w:rPr>
          <w:rFonts w:ascii="Book Antiqua" w:hAnsi="Book Antiqua"/>
          <w:color w:val="000000" w:themeColor="text1"/>
          <w:lang w:val="en-US"/>
        </w:rPr>
        <w:t>]</w:t>
      </w:r>
      <w:r w:rsidR="008707A9" w:rsidRPr="008A5994">
        <w:rPr>
          <w:rFonts w:ascii="Book Antiqua" w:hAnsi="Book Antiqua"/>
          <w:color w:val="000000" w:themeColor="text1"/>
          <w:lang w:val="en-US"/>
        </w:rPr>
        <w:t xml:space="preserve">.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improvement predicted CFREM at 1 year with the following per</w:t>
      </w:r>
      <w:r>
        <w:rPr>
          <w:rFonts w:ascii="Book Antiqua" w:hAnsi="Book Antiqua"/>
          <w:color w:val="000000" w:themeColor="text1"/>
          <w:lang w:val="en-US"/>
        </w:rPr>
        <w:t>formances: sensitivity = 76.9% (48.9-92.2)</w:t>
      </w:r>
      <w:r w:rsidR="008707A9" w:rsidRPr="008A5994">
        <w:rPr>
          <w:rFonts w:ascii="Book Antiqua" w:hAnsi="Book Antiqua"/>
          <w:color w:val="000000" w:themeColor="text1"/>
          <w:lang w:val="en-US"/>
        </w:rPr>
        <w:t>, specificity = 92.</w:t>
      </w:r>
      <w:r>
        <w:rPr>
          <w:rFonts w:ascii="Book Antiqua" w:hAnsi="Book Antiqua"/>
          <w:color w:val="000000" w:themeColor="text1"/>
          <w:lang w:val="en-US"/>
        </w:rPr>
        <w:t>6% (75.3-98.9), PPV = 83.3% (62.2-100.0), NPV = 89.3% (77.8-100.0), LR+ = 10.385 (2.648-40.721), LR- = 0.249 (0.092-0.676)</w:t>
      </w:r>
      <w:r w:rsidR="008707A9" w:rsidRPr="008A5994">
        <w:rPr>
          <w:rFonts w:ascii="Book Antiqua" w:hAnsi="Book Antiqua"/>
          <w:color w:val="000000" w:themeColor="text1"/>
          <w:lang w:val="en-US"/>
        </w:rPr>
        <w:t xml:space="preserve"> (</w:t>
      </w:r>
      <w:r w:rsidR="008707A9" w:rsidRPr="007E1FD5">
        <w:rPr>
          <w:rFonts w:ascii="Book Antiqua" w:hAnsi="Book Antiqua"/>
          <w:color w:val="000000" w:themeColor="text1"/>
          <w:lang w:val="en-US"/>
        </w:rPr>
        <w:t>Table 2</w:t>
      </w:r>
      <w:r w:rsidR="008707A9" w:rsidRPr="008A5994">
        <w:rPr>
          <w:rFonts w:ascii="Book Antiqua" w:hAnsi="Book Antiqua"/>
          <w:color w:val="000000" w:themeColor="text1"/>
          <w:lang w:val="en-US"/>
        </w:rPr>
        <w:t xml:space="preserve">). </w:t>
      </w:r>
    </w:p>
    <w:p w14:paraId="45778EEC" w14:textId="2605640C" w:rsidR="008707A9" w:rsidRPr="008A5994" w:rsidRDefault="00EB1AAA" w:rsidP="008A5994">
      <w:pPr>
        <w:widowControl w:val="0"/>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 xml:space="preserve">Concomitant CDAI &lt; 150 and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improvement at W12 was predictive of CFREM at W52 with the following performances: sensit</w:t>
      </w:r>
      <w:r>
        <w:rPr>
          <w:rFonts w:ascii="Book Antiqua" w:hAnsi="Book Antiqua"/>
          <w:color w:val="000000" w:themeColor="text1"/>
          <w:lang w:val="en-US"/>
        </w:rPr>
        <w:t>ivity = 69.2% (</w:t>
      </w:r>
      <w:r w:rsidR="008707A9" w:rsidRPr="008A5994">
        <w:rPr>
          <w:rFonts w:ascii="Book Antiqua" w:hAnsi="Book Antiqua"/>
          <w:color w:val="000000" w:themeColor="text1"/>
          <w:lang w:val="en-US"/>
        </w:rPr>
        <w:t>42.0</w:t>
      </w:r>
      <w:r w:rsidR="00A30463">
        <w:rPr>
          <w:rFonts w:ascii="Book Antiqua" w:hAnsi="Book Antiqua"/>
          <w:color w:val="000000" w:themeColor="text1"/>
          <w:lang w:val="en-US"/>
        </w:rPr>
        <w:t>-</w:t>
      </w:r>
      <w:r>
        <w:rPr>
          <w:rFonts w:ascii="Book Antiqua" w:hAnsi="Book Antiqua"/>
          <w:color w:val="000000" w:themeColor="text1"/>
          <w:lang w:val="en-US"/>
        </w:rPr>
        <w:t>87.4),</w:t>
      </w:r>
      <w:r w:rsidR="008707A9" w:rsidRPr="008A5994">
        <w:rPr>
          <w:rFonts w:ascii="Book Antiqua" w:hAnsi="Book Antiqua"/>
          <w:color w:val="000000" w:themeColor="text1"/>
          <w:lang w:val="en-US"/>
        </w:rPr>
        <w:t xml:space="preserve"> specificity = 96.3</w:t>
      </w:r>
      <w:r w:rsidR="00A555A0">
        <w:rPr>
          <w:rFonts w:ascii="Book Antiqua" w:hAnsi="Book Antiqua"/>
          <w:color w:val="000000" w:themeColor="text1"/>
          <w:lang w:val="en-US"/>
        </w:rPr>
        <w:t>%</w:t>
      </w: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79.9</w:t>
      </w:r>
      <w:r w:rsidR="00A30463">
        <w:rPr>
          <w:rFonts w:ascii="Book Antiqua" w:hAnsi="Book Antiqua"/>
          <w:color w:val="000000" w:themeColor="text1"/>
          <w:lang w:val="en-US"/>
        </w:rPr>
        <w:t>-</w:t>
      </w:r>
      <w:r>
        <w:rPr>
          <w:rFonts w:ascii="Book Antiqua" w:hAnsi="Book Antiqua"/>
          <w:color w:val="000000" w:themeColor="text1"/>
          <w:lang w:val="en-US"/>
        </w:rPr>
        <w:t>100.0), PPV = 90.0% (</w:t>
      </w:r>
      <w:r w:rsidR="008707A9" w:rsidRPr="008A5994">
        <w:rPr>
          <w:rFonts w:ascii="Book Antiqua" w:hAnsi="Book Antiqua"/>
          <w:color w:val="000000" w:themeColor="text1"/>
          <w:lang w:val="en-US"/>
        </w:rPr>
        <w:t>71.4</w:t>
      </w:r>
      <w:r w:rsidR="00A30463">
        <w:rPr>
          <w:rFonts w:ascii="Book Antiqua" w:hAnsi="Book Antiqua"/>
          <w:color w:val="000000" w:themeColor="text1"/>
          <w:lang w:val="en-US"/>
        </w:rPr>
        <w:t>-</w:t>
      </w:r>
      <w:r>
        <w:rPr>
          <w:rFonts w:ascii="Book Antiqua" w:hAnsi="Book Antiqua"/>
          <w:color w:val="000000" w:themeColor="text1"/>
          <w:lang w:val="en-US"/>
        </w:rPr>
        <w:t>100.0), NPV = 86.7% (74.5-98.8), LR+ = 18.692 (2.640-132.328), LR- = 0.320 (0.141-0.725)</w:t>
      </w:r>
      <w:r w:rsidR="008707A9" w:rsidRPr="008A5994">
        <w:rPr>
          <w:rFonts w:ascii="Book Antiqua" w:hAnsi="Book Antiqua"/>
          <w:color w:val="000000" w:themeColor="text1"/>
          <w:lang w:val="en-US"/>
        </w:rPr>
        <w:t xml:space="preserve"> (</w:t>
      </w:r>
      <w:r w:rsidR="008707A9" w:rsidRPr="00EB1AAA">
        <w:rPr>
          <w:rFonts w:ascii="Book Antiqua" w:hAnsi="Book Antiqua"/>
          <w:color w:val="000000" w:themeColor="text1"/>
          <w:lang w:val="en-US"/>
        </w:rPr>
        <w:t>Table 2</w:t>
      </w:r>
      <w:r w:rsidR="008707A9" w:rsidRPr="008A5994">
        <w:rPr>
          <w:rFonts w:ascii="Book Antiqua" w:hAnsi="Book Antiqua"/>
          <w:color w:val="000000" w:themeColor="text1"/>
          <w:lang w:val="en-US"/>
        </w:rPr>
        <w:t>).</w:t>
      </w:r>
    </w:p>
    <w:p w14:paraId="16B2DF1C" w14:textId="00AA30CD" w:rsidR="008707A9" w:rsidRPr="008A5994" w:rsidRDefault="00EB1AAA" w:rsidP="008A5994">
      <w:pPr>
        <w:widowControl w:val="0"/>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 xml:space="preserve">Combined endpoints such as CDAI &lt; 150 and CRP ≤ 2.9 mg/L and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improvement at W12 predicted CFREM at W52 with the following pe</w:t>
      </w:r>
      <w:r>
        <w:rPr>
          <w:rFonts w:ascii="Book Antiqua" w:hAnsi="Book Antiqua"/>
          <w:color w:val="000000" w:themeColor="text1"/>
          <w:lang w:val="en-US"/>
        </w:rPr>
        <w:t>rformances sensitivity = 69.2% (</w:t>
      </w:r>
      <w:r w:rsidR="008707A9" w:rsidRPr="008A5994">
        <w:rPr>
          <w:rFonts w:ascii="Book Antiqua" w:hAnsi="Book Antiqua"/>
          <w:color w:val="000000" w:themeColor="text1"/>
          <w:lang w:val="en-US"/>
        </w:rPr>
        <w:t>42.0</w:t>
      </w:r>
      <w:r w:rsidR="00A30463">
        <w:rPr>
          <w:rFonts w:ascii="Book Antiqua" w:hAnsi="Book Antiqua"/>
          <w:color w:val="000000" w:themeColor="text1"/>
          <w:lang w:val="en-US"/>
        </w:rPr>
        <w:t>-</w:t>
      </w:r>
      <w:r>
        <w:rPr>
          <w:rFonts w:ascii="Book Antiqua" w:hAnsi="Book Antiqua"/>
          <w:color w:val="000000" w:themeColor="text1"/>
          <w:lang w:val="en-US"/>
        </w:rPr>
        <w:t>87.4)</w:t>
      </w:r>
      <w:r w:rsidR="008707A9" w:rsidRPr="008A5994">
        <w:rPr>
          <w:rFonts w:ascii="Book Antiqua" w:hAnsi="Book Antiqua"/>
          <w:color w:val="000000" w:themeColor="text1"/>
          <w:lang w:val="en-US"/>
        </w:rPr>
        <w:t>, specificity = 100.0</w:t>
      </w:r>
      <w:r w:rsidR="00A555A0">
        <w:rPr>
          <w:rFonts w:ascii="Book Antiqua" w:hAnsi="Book Antiqua"/>
          <w:color w:val="000000" w:themeColor="text1"/>
          <w:lang w:val="en-US"/>
        </w:rPr>
        <w:t>%</w:t>
      </w: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84.9</w:t>
      </w:r>
      <w:r w:rsidR="00A30463">
        <w:rPr>
          <w:rFonts w:ascii="Book Antiqua" w:hAnsi="Book Antiqua"/>
          <w:color w:val="000000" w:themeColor="text1"/>
          <w:lang w:val="en-US"/>
        </w:rPr>
        <w:t>-</w:t>
      </w:r>
      <w:r>
        <w:rPr>
          <w:rFonts w:ascii="Book Antiqua" w:hAnsi="Book Antiqua"/>
          <w:color w:val="000000" w:themeColor="text1"/>
          <w:lang w:val="en-US"/>
        </w:rPr>
        <w:t>100.0), PPV = 100.0% (</w:t>
      </w:r>
      <w:r w:rsidR="008707A9" w:rsidRPr="008A5994">
        <w:rPr>
          <w:rFonts w:ascii="Book Antiqua" w:hAnsi="Book Antiqua"/>
          <w:color w:val="000000" w:themeColor="text1"/>
          <w:lang w:val="en-US"/>
        </w:rPr>
        <w:t>100.0</w:t>
      </w:r>
      <w:r w:rsidR="00A30463">
        <w:rPr>
          <w:rFonts w:ascii="Book Antiqua" w:hAnsi="Book Antiqua"/>
          <w:color w:val="000000" w:themeColor="text1"/>
          <w:lang w:val="en-US"/>
        </w:rPr>
        <w:t>-</w:t>
      </w:r>
      <w:r>
        <w:rPr>
          <w:rFonts w:ascii="Book Antiqua" w:hAnsi="Book Antiqua"/>
          <w:color w:val="000000" w:themeColor="text1"/>
          <w:lang w:val="en-US"/>
        </w:rPr>
        <w:t>100.0), NPV = 87.1% (75.3-98.9)</w:t>
      </w:r>
      <w:r w:rsidR="008707A9" w:rsidRPr="008A5994">
        <w:rPr>
          <w:rFonts w:ascii="Book Antiqua" w:hAnsi="Book Antiqua"/>
          <w:color w:val="000000" w:themeColor="text1"/>
          <w:lang w:val="en-US"/>
        </w:rPr>
        <w:t>, LR+ = not appli</w:t>
      </w:r>
      <w:r>
        <w:rPr>
          <w:rFonts w:ascii="Book Antiqua" w:hAnsi="Book Antiqua"/>
          <w:color w:val="000000" w:themeColor="text1"/>
          <w:lang w:val="en-US"/>
        </w:rPr>
        <w:t>cable, LR- = 0.308 (0.136-0.695)</w:t>
      </w:r>
      <w:r w:rsidR="008707A9" w:rsidRPr="008A5994">
        <w:rPr>
          <w:rFonts w:ascii="Book Antiqua" w:hAnsi="Book Antiqua"/>
          <w:color w:val="000000" w:themeColor="text1"/>
          <w:lang w:val="en-US"/>
        </w:rPr>
        <w:t xml:space="preserve"> (</w:t>
      </w:r>
      <w:r w:rsidR="008707A9" w:rsidRPr="00EB1AAA">
        <w:rPr>
          <w:rFonts w:ascii="Book Antiqua" w:hAnsi="Book Antiqua"/>
          <w:color w:val="000000" w:themeColor="text1"/>
          <w:lang w:val="en-US"/>
        </w:rPr>
        <w:t>Table 2</w:t>
      </w:r>
      <w:r w:rsidR="008707A9" w:rsidRPr="008A5994">
        <w:rPr>
          <w:rFonts w:ascii="Book Antiqua" w:hAnsi="Book Antiqua"/>
          <w:color w:val="000000" w:themeColor="text1"/>
          <w:lang w:val="en-US"/>
        </w:rPr>
        <w:t>).</w:t>
      </w:r>
      <w:r w:rsidR="00591E91" w:rsidRPr="008A5994">
        <w:rPr>
          <w:rFonts w:ascii="Book Antiqua" w:hAnsi="Book Antiqua"/>
          <w:color w:val="000000" w:themeColor="text1"/>
          <w:lang w:val="en-US"/>
        </w:rPr>
        <w:t xml:space="preserve"> </w:t>
      </w:r>
    </w:p>
    <w:p w14:paraId="57E4163A" w14:textId="29AEB58F" w:rsidR="008707A9" w:rsidRPr="008A5994" w:rsidRDefault="00EB1AAA"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 xml:space="preserve">In </w:t>
      </w:r>
      <w:r w:rsidR="00AB70E4" w:rsidRPr="008A5994">
        <w:rPr>
          <w:rFonts w:ascii="Book Antiqua" w:hAnsi="Book Antiqua"/>
          <w:color w:val="000000" w:themeColor="text1"/>
          <w:lang w:val="en-US"/>
        </w:rPr>
        <w:t>univariable</w:t>
      </w:r>
      <w:r w:rsidR="008707A9" w:rsidRPr="008A5994">
        <w:rPr>
          <w:rFonts w:ascii="Book Antiqua" w:hAnsi="Book Antiqua"/>
          <w:color w:val="000000" w:themeColor="text1"/>
          <w:lang w:val="en-US"/>
        </w:rPr>
        <w:t xml:space="preserve"> analysis, we did not observe any additional factors associated with CFREM. In </w:t>
      </w:r>
      <w:r w:rsidR="001A0541" w:rsidRPr="008A5994">
        <w:rPr>
          <w:rFonts w:ascii="Book Antiqua" w:hAnsi="Book Antiqua"/>
          <w:color w:val="000000" w:themeColor="text1"/>
          <w:lang w:val="en-US"/>
        </w:rPr>
        <w:t>multivariable</w:t>
      </w:r>
      <w:r w:rsidR="008707A9" w:rsidRPr="008A5994">
        <w:rPr>
          <w:rFonts w:ascii="Book Antiqua" w:hAnsi="Book Antiqua"/>
          <w:color w:val="000000" w:themeColor="text1"/>
          <w:lang w:val="en-US"/>
        </w:rPr>
        <w:t xml:space="preserve"> analysis including disease duration, smoking status, CDAI and CRP values,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improvement at W12 was independently as</w:t>
      </w:r>
      <w:r>
        <w:rPr>
          <w:rFonts w:ascii="Book Antiqua" w:hAnsi="Book Antiqua"/>
          <w:color w:val="000000" w:themeColor="text1"/>
          <w:lang w:val="en-US"/>
        </w:rPr>
        <w:t xml:space="preserve">sociated with CFREM </w:t>
      </w:r>
      <w:r>
        <w:rPr>
          <w:rFonts w:ascii="Book Antiqua" w:hAnsi="Book Antiqua"/>
          <w:color w:val="000000" w:themeColor="text1"/>
          <w:lang w:val="en-US"/>
        </w:rPr>
        <w:lastRenderedPageBreak/>
        <w:t>at W52 [odd ratio (</w:t>
      </w:r>
      <w:r w:rsidR="008707A9" w:rsidRPr="008A5994">
        <w:rPr>
          <w:rFonts w:ascii="Book Antiqua" w:hAnsi="Book Antiqua"/>
          <w:color w:val="000000" w:themeColor="text1"/>
          <w:lang w:val="en-US"/>
        </w:rPr>
        <w:t>OR</w:t>
      </w:r>
      <w:r>
        <w:rPr>
          <w:rFonts w:ascii="Book Antiqua" w:hAnsi="Book Antiqua"/>
          <w:color w:val="000000" w:themeColor="text1"/>
          <w:lang w:val="en-US"/>
        </w:rPr>
        <w:t>) = 45.1 (2.96-687.9)</w:t>
      </w:r>
      <w:r w:rsidR="008707A9" w:rsidRPr="008A5994">
        <w:rPr>
          <w:rFonts w:ascii="Book Antiqua" w:hAnsi="Book Antiqua"/>
          <w:color w:val="000000" w:themeColor="text1"/>
          <w:lang w:val="en-US"/>
        </w:rPr>
        <w:t xml:space="preserve">; </w:t>
      </w:r>
      <w:r w:rsidRPr="00EB1AAA">
        <w:rPr>
          <w:rFonts w:ascii="Book Antiqua" w:hAnsi="Book Antiqua"/>
          <w:i/>
          <w:color w:val="000000" w:themeColor="text1"/>
          <w:lang w:val="en-US"/>
        </w:rPr>
        <w:t xml:space="preserve">P </w:t>
      </w:r>
      <w:r w:rsidR="008707A9" w:rsidRPr="008A5994">
        <w:rPr>
          <w:rFonts w:ascii="Book Antiqua" w:hAnsi="Book Antiqua"/>
          <w:color w:val="000000" w:themeColor="text1"/>
          <w:lang w:val="en-US"/>
        </w:rPr>
        <w:t>= 0.03</w:t>
      </w:r>
      <w:r>
        <w:rPr>
          <w:rFonts w:ascii="Book Antiqua" w:hAnsi="Book Antiqua"/>
          <w:color w:val="000000" w:themeColor="text1"/>
          <w:lang w:val="en-US"/>
        </w:rPr>
        <w:t>]</w:t>
      </w:r>
      <w:r w:rsidR="008707A9" w:rsidRPr="008A5994">
        <w:rPr>
          <w:rFonts w:ascii="Book Antiqua" w:hAnsi="Book Antiqua"/>
          <w:color w:val="000000" w:themeColor="text1"/>
          <w:lang w:val="en-US"/>
        </w:rPr>
        <w:t xml:space="preserve"> and was a be</w:t>
      </w:r>
      <w:r w:rsidR="004B4541" w:rsidRPr="008A5994">
        <w:rPr>
          <w:rFonts w:ascii="Book Antiqua" w:hAnsi="Book Antiqua"/>
          <w:color w:val="000000" w:themeColor="text1"/>
          <w:lang w:val="en-US"/>
        </w:rPr>
        <w:t>tter</w:t>
      </w:r>
      <w:r>
        <w:rPr>
          <w:rFonts w:ascii="Book Antiqua" w:hAnsi="Book Antiqua"/>
          <w:color w:val="000000" w:themeColor="text1"/>
          <w:lang w:val="en-US"/>
        </w:rPr>
        <w:t xml:space="preserve"> predictor than CDAI &lt; 150 [9.3 (</w:t>
      </w:r>
      <w:r w:rsidR="008707A9" w:rsidRPr="008A5994">
        <w:rPr>
          <w:rFonts w:ascii="Book Antiqua" w:hAnsi="Book Antiqua"/>
          <w:color w:val="000000" w:themeColor="text1"/>
          <w:lang w:val="en-US"/>
        </w:rPr>
        <w:t>0.36</w:t>
      </w:r>
      <w:r w:rsidR="00A30463">
        <w:rPr>
          <w:rFonts w:ascii="Book Antiqua" w:hAnsi="Book Antiqua"/>
          <w:color w:val="000000" w:themeColor="text1"/>
          <w:lang w:val="en-US"/>
        </w:rPr>
        <w:t>-</w:t>
      </w:r>
      <w:r>
        <w:rPr>
          <w:rFonts w:ascii="Book Antiqua" w:hAnsi="Book Antiqua"/>
          <w:color w:val="000000" w:themeColor="text1"/>
          <w:lang w:val="en-US"/>
        </w:rPr>
        <w:t>237.1)</w:t>
      </w:r>
      <w:r w:rsidR="008707A9" w:rsidRPr="008A5994">
        <w:rPr>
          <w:rFonts w:ascii="Book Antiqua" w:hAnsi="Book Antiqua"/>
          <w:color w:val="000000" w:themeColor="text1"/>
          <w:lang w:val="en-US"/>
        </w:rPr>
        <w:t xml:space="preserve">; </w:t>
      </w:r>
      <w:r w:rsidRPr="00EB1AAA">
        <w:rPr>
          <w:rFonts w:ascii="Book Antiqua" w:hAnsi="Book Antiqua"/>
          <w:i/>
          <w:color w:val="000000" w:themeColor="text1"/>
          <w:lang w:val="en-US"/>
        </w:rPr>
        <w:t xml:space="preserve">P </w:t>
      </w:r>
      <w:r>
        <w:rPr>
          <w:rFonts w:ascii="Book Antiqua" w:hAnsi="Book Antiqua"/>
          <w:color w:val="000000" w:themeColor="text1"/>
          <w:lang w:val="en-US"/>
        </w:rPr>
        <w:t>= 0.145]</w:t>
      </w:r>
      <w:r w:rsidR="008707A9" w:rsidRPr="008A5994">
        <w:rPr>
          <w:rFonts w:ascii="Book Antiqua" w:hAnsi="Book Antiqua"/>
          <w:color w:val="000000" w:themeColor="text1"/>
          <w:lang w:val="en-US"/>
        </w:rPr>
        <w:t xml:space="preserve"> and CRP &lt; 2.9 mg/L (0.77</w:t>
      </w:r>
      <w:r w:rsidR="00A30463">
        <w:rPr>
          <w:rFonts w:ascii="Book Antiqua" w:hAnsi="Book Antiqua"/>
          <w:color w:val="000000" w:themeColor="text1"/>
          <w:lang w:val="en-US"/>
        </w:rPr>
        <w:t>-</w:t>
      </w:r>
      <w:r w:rsidR="008707A9" w:rsidRPr="008A5994">
        <w:rPr>
          <w:rFonts w:ascii="Book Antiqua" w:hAnsi="Book Antiqua"/>
          <w:color w:val="000000" w:themeColor="text1"/>
          <w:lang w:val="en-US"/>
        </w:rPr>
        <w:t xml:space="preserve">278.0; </w:t>
      </w:r>
      <w:bookmarkStart w:id="121" w:name="OLE_LINK541"/>
      <w:r w:rsidRPr="00EB1AAA">
        <w:rPr>
          <w:rFonts w:ascii="Book Antiqua" w:hAnsi="Book Antiqua"/>
          <w:i/>
          <w:color w:val="000000" w:themeColor="text1"/>
          <w:lang w:val="en-US"/>
        </w:rPr>
        <w:t xml:space="preserve">P </w:t>
      </w:r>
      <w:bookmarkEnd w:id="121"/>
      <w:r w:rsidR="008707A9" w:rsidRPr="008A5994">
        <w:rPr>
          <w:rFonts w:ascii="Book Antiqua" w:hAnsi="Book Antiqua"/>
          <w:color w:val="000000" w:themeColor="text1"/>
          <w:lang w:val="en-US"/>
        </w:rPr>
        <w:t>= 0.073)</w:t>
      </w:r>
      <w:r w:rsidR="001A0541" w:rsidRPr="008A5994">
        <w:rPr>
          <w:rFonts w:ascii="Book Antiqua" w:hAnsi="Book Antiqua"/>
          <w:color w:val="000000" w:themeColor="text1"/>
          <w:lang w:val="en-US"/>
        </w:rPr>
        <w:t xml:space="preserve"> (</w:t>
      </w:r>
      <w:r w:rsidR="001A0541" w:rsidRPr="00EB1AAA">
        <w:rPr>
          <w:rFonts w:ascii="Book Antiqua" w:hAnsi="Book Antiqua"/>
          <w:color w:val="000000" w:themeColor="text1"/>
          <w:lang w:val="en-US"/>
        </w:rPr>
        <w:t>Figure 3</w:t>
      </w:r>
      <w:r w:rsidR="001A0541" w:rsidRPr="008A5994">
        <w:rPr>
          <w:rFonts w:ascii="Book Antiqua" w:hAnsi="Book Antiqua"/>
          <w:color w:val="000000" w:themeColor="text1"/>
          <w:lang w:val="en-US"/>
        </w:rPr>
        <w:t>)</w:t>
      </w:r>
      <w:r w:rsidR="008707A9" w:rsidRPr="008A5994">
        <w:rPr>
          <w:rFonts w:ascii="Book Antiqua" w:hAnsi="Book Antiqua"/>
          <w:color w:val="000000" w:themeColor="text1"/>
          <w:lang w:val="en-US"/>
        </w:rPr>
        <w:t>.</w:t>
      </w:r>
    </w:p>
    <w:p w14:paraId="4C1FD9C4" w14:textId="77777777" w:rsidR="00E104F1" w:rsidRPr="008A5994" w:rsidRDefault="00E104F1" w:rsidP="008A5994">
      <w:pPr>
        <w:adjustRightInd w:val="0"/>
        <w:snapToGrid w:val="0"/>
        <w:spacing w:line="360" w:lineRule="auto"/>
        <w:jc w:val="both"/>
        <w:rPr>
          <w:rFonts w:ascii="Book Antiqua" w:hAnsi="Book Antiqua"/>
          <w:color w:val="000000" w:themeColor="text1"/>
          <w:lang w:val="en-US"/>
        </w:rPr>
      </w:pPr>
    </w:p>
    <w:p w14:paraId="4A254D0C" w14:textId="42A5109D" w:rsidR="008707A9" w:rsidRPr="008A5994" w:rsidRDefault="00EB1AAA" w:rsidP="00EB1AAA">
      <w:pPr>
        <w:adjustRightInd w:val="0"/>
        <w:snapToGrid w:val="0"/>
        <w:spacing w:line="360" w:lineRule="auto"/>
        <w:jc w:val="both"/>
        <w:rPr>
          <w:rFonts w:ascii="Book Antiqua" w:hAnsi="Book Antiqua"/>
          <w:b/>
          <w:color w:val="000000" w:themeColor="text1"/>
          <w:lang w:val="en-US"/>
        </w:rPr>
      </w:pPr>
      <w:r w:rsidRPr="008A5994">
        <w:rPr>
          <w:rFonts w:ascii="Book Antiqua" w:hAnsi="Book Antiqua"/>
          <w:b/>
          <w:color w:val="000000" w:themeColor="text1"/>
          <w:lang w:val="en-US"/>
        </w:rPr>
        <w:t>DISCUSSION</w:t>
      </w:r>
    </w:p>
    <w:p w14:paraId="1409A499" w14:textId="77777777" w:rsidR="008707A9" w:rsidRPr="008A5994" w:rsidRDefault="008707A9" w:rsidP="008A5994">
      <w:pPr>
        <w:adjustRightInd w:val="0"/>
        <w:snapToGrid w:val="0"/>
        <w:spacing w:line="360" w:lineRule="auto"/>
        <w:jc w:val="both"/>
        <w:rPr>
          <w:rFonts w:ascii="Book Antiqua" w:hAnsi="Book Antiqua"/>
          <w:color w:val="000000" w:themeColor="text1"/>
          <w:lang w:val="en-US"/>
        </w:rPr>
      </w:pPr>
      <w:r w:rsidRPr="008A5994">
        <w:rPr>
          <w:rFonts w:ascii="Book Antiqua" w:hAnsi="Book Antiqua"/>
          <w:color w:val="000000" w:themeColor="text1"/>
          <w:lang w:val="en-US"/>
        </w:rPr>
        <w:t xml:space="preserve">In this prospective study, we showed the complementarity of the variation of CDAI, CRP and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after anti-TNF induction therapy, to predict CFREM at one year, and confirmed that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was the most effective predictor among these three markers.</w:t>
      </w:r>
    </w:p>
    <w:p w14:paraId="50FC2FE3" w14:textId="39470467" w:rsidR="008707A9" w:rsidRPr="008A5994" w:rsidRDefault="00EB1AAA"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 xml:space="preserve">According to the results of the CALM trial, we decided to use the same composite endpoint at W52 </w:t>
      </w:r>
      <w:r w:rsidR="008707A9" w:rsidRPr="008A5994">
        <w:rPr>
          <w:rFonts w:ascii="Book Antiqua" w:hAnsi="Book Antiqua"/>
          <w:i/>
          <w:color w:val="000000" w:themeColor="text1"/>
          <w:lang w:val="en-US"/>
        </w:rPr>
        <w:t>i.e.</w:t>
      </w:r>
      <w:r w:rsidRPr="00EB1AAA">
        <w:rPr>
          <w:rFonts w:ascii="Book Antiqua" w:hAnsi="Book Antiqua"/>
          <w:color w:val="000000" w:themeColor="text1"/>
          <w:lang w:val="en-US"/>
        </w:rPr>
        <w:t>,</w:t>
      </w:r>
      <w:r w:rsidR="008707A9" w:rsidRPr="008A5994">
        <w:rPr>
          <w:rFonts w:ascii="Book Antiqua" w:hAnsi="Book Antiqua"/>
          <w:i/>
          <w:color w:val="000000" w:themeColor="text1"/>
          <w:lang w:val="en-US"/>
        </w:rPr>
        <w:t xml:space="preserve"> </w:t>
      </w:r>
      <w:r w:rsidR="008707A9" w:rsidRPr="008A5994">
        <w:rPr>
          <w:rFonts w:ascii="Book Antiqua" w:hAnsi="Book Antiqua"/>
          <w:color w:val="000000" w:themeColor="text1"/>
          <w:lang w:val="en-US"/>
        </w:rPr>
        <w:t xml:space="preserve">CDAI &lt; 150 and CRP normalization (&lt; 2.9 mg/L using our assay) and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&lt; 250 µg/g, so-called CFREM, which has been shown to be associated with clinical and endoscopic remission</w:t>
      </w:r>
      <w:r w:rsidR="008707A9" w:rsidRPr="008A5994">
        <w:rPr>
          <w:rFonts w:ascii="Book Antiqua" w:hAnsi="Book Antiqua"/>
          <w:color w:val="000000" w:themeColor="text1"/>
          <w:lang w:val="en-US"/>
        </w:rPr>
        <w:fldChar w:fldCharType="begin"/>
      </w:r>
      <w:r w:rsidR="000B228F" w:rsidRPr="008A5994">
        <w:rPr>
          <w:rFonts w:ascii="Book Antiqua" w:hAnsi="Book Antiqua"/>
          <w:color w:val="000000" w:themeColor="text1"/>
          <w:lang w:val="en-US"/>
        </w:rPr>
        <w:instrText xml:space="preserve"> ADDIN ZOTERO_ITEM CSL_CITATION {"citationID":"NuEICo3b","properties":{"formattedCitation":"\\super [9]\\nosupersub{}","plainCitation":"[9]","noteIndex":0},"citationItems":[{"id":"9UJ6C9IN/PiKngbbu","uris":["http://zotero.org/users/local/DNVHcyNP/items/IUHUFVKJ"],"uri":["http://zotero.org/users/local/DNVHcyNP/items/IUHUFVKJ"],"itemData":{"id":"6xSjmwpM/Srmkgg8x","type":"article-journal","title":"Effect of tight control management on Crohn's disease (CALM): a multicentre, randomised, controlled phase 3 trial","container-title":"Lancet (London, England)","page":"2779-2789","volume":"390","issue":"10114","source":"PubMed","abstract":"BACKGROUND: Biomarkers of intestinal inflammation, such as faecal calprotectin and C-reactive protein, have been recommended for monitoring patients with Crohn's disease, but whether their use in treatment decisions improves outcomes is unknown. We aimed to compare endoscopic and clinical outcomes in patients with moderate to severe Crohn's disease who were managed with a tight control algorithm, using clinical symptoms and biomarkers, versus patients managed with a clinical management algorithm.\nMETHODS: CALM was an open-label, randomised, controlled phase 3 study, done in 22 countries at 74 hospitals and outpatient centres, which evaluated adult patients (aged 18-75 years) with active endoscopic Crohn's disease (Crohn's Disease Endoscopic Index of Severity [CDEIS] &gt;6; sum of CDEIS subscores of &gt;6 in one or more segments with ulcers), a Crohn's Disease Activity Index (CDAI) of 150-450 depending on dose of prednisone at baseline, and no previous use of immunomodulators or biologics. Patients were randomly assigned at a 1:1 ratio to tight control or clinical management groups, stratified by smoking status (yes or no), weight (&lt;70 kg or ≥70 kg), and disease duration (≤2 years or &gt;2 years) after 8 weeks of prednisone induction therapy, or earlier if they had active disease. In both groups, treatment was escalated in a stepwise manner, from no treatment, to adalimumab induction followed by adalimumab every other week, adalimumab every week, and lastly to both weekly adalimumab and daily azathioprine. This escalation was based on meeting treatment failure criteria, which differed between groups (tight control group before and after random assignment: faecal calprotectin ≥250 μg/g, C-reactive protein ≥5mg/L, CDAI ≥150, or prednisone use in the previous week; clinical management group before random assignment: CDAI decrease of &lt;70 points compared with baseline or CDAI &gt;200; clinical management group after random assignment: CDAI decrease of &lt;100 points compared with baseline or CDAI ≥200, or prednisone use in the previous week). De-escalation was possible for patients receiving weekly adalimumab and azathioprine or weekly adalimumab alone if failure criteria were not met. The primary endpoint was mucosal healing (CDEIS &lt;4) with absence of deep ulcers 48 weeks after randomisation. Primary and safety analyses were done in the intention-to-treat population. This trial has been completed, and is registered with ClinicalTrials.gov, number NCT01235689.\nFINDINGS: Between Feb 11, 2011, and Nov 3, 2016, 244 patients (mean disease duration: clinical management group, 0·9 years [SD 1·7]; tight control group, 1·0 year [2·3]) were randomly assigned to monitoring groups (n=122 per group). 29 (24%) patients in the clinical management group and 32 (26%) patients in the tight control group discontinued the study, mostly because of adverse events. A significantly higher proportion of patients in the tight control group achieved the primary endpoint at week 48 (56 [46%] of 122 patients) than in the clinical management group (37 [30%] of 122 patients), with a Cochran-Mantel-Haenszel test-adjusted risk difference of 16·1% (95% CI 3·9-28·3; p=0·010). 105 (86%) of 122 patients in the tight control group and 100 (82%) of 122 patients in the clinical management group reported treatment-emergent adverse events; no treatment-related deaths occurred. The most common adverse events were nausea (21 [17%] of 122 patients), nasopharyngitis (18 [15%]), and headache (18 [15%]) in the tight control group, and worsening Crohn's disease (35 [29%] of 122 patients), arthralgia (19 [16%]), and nasopharyngitis (18 [15%]) in the clinical management group.\nINTERPRETATION: CALM is the first study to show that timely escalation with an anti-tumour necrosis factor therapy on the basis of clinical symptoms combined with biomarkers in patients with early Crohn's disease results in better clinical and endoscopic outcomes than symptom-driven decisions alone. Future studies should assess the effects of such a strategy on long-term outcomes such as bowel damage, surgeries, hospital admissions, and disability.\nFUNDING: AbbVie.","DOI":"10.1016/S0140-6736(17)32641-7","ISSN":"1474-547X","note":"PMID: 29096949","shortTitle":"Effect of tight control management on Crohn's disease (CALM)","journalAbbreviation":"Lancet","language":"eng","author":[{"family":"Colombel","given":"Jean-Frederic"},{"family":"Panaccione","given":"Remo"},{"family":"Bossuyt","given":"Peter"},{"family":"Lukas","given":"Milan"},{"family":"Baert","given":"Filip"},{"family":"Vaňásek","given":"Tomas"},{"family":"Danalioglu","given":"Ahmet"},{"family":"Novacek","given":"Gottfried"},{"family":"Armuzzi","given":"Alessandro"},{"family":"Hébuterne","given":"Xavier"},{"family":"Travis","given":"Simon"},{"family":"Danese","given":"Silvio"},{"family":"Reinisch","given":"Walter"},{"family":"Sandborn","given":"William J."},{"family":"Rutgeerts","given":"Paul"},{"family":"Hommes","given":"Daniel"},{"family":"Schreiber","given":"Stefan"},{"family":"Neimark","given":"Ezequiel"},{"family":"Huang","given":"Bidan"},{"family":"Zhou","given":"Qian"},{"family":"Mendez","given":"Paloma"},{"family":"Petersson","given":"Joel"},{"family":"Wallace","given":"Kori"},{"family":"Robinson","given":"Anne M."},{"family":"Thakkar","given":"Roopal B."},{"family":"D'Haens","given":"Geert"}],"issued":{"date-parts":[["2018"]],"season":"23"}}}],"schema":"https://github.com/citation-style-language/schema/raw/master/csl-citation.json"} </w:instrText>
      </w:r>
      <w:r w:rsidR="008707A9" w:rsidRPr="008A5994">
        <w:rPr>
          <w:rFonts w:ascii="Book Antiqua" w:hAnsi="Book Antiqua"/>
          <w:color w:val="000000" w:themeColor="text1"/>
          <w:lang w:val="en-US"/>
        </w:rPr>
        <w:fldChar w:fldCharType="separate"/>
      </w:r>
      <w:r w:rsidR="000B228F" w:rsidRPr="008A5994">
        <w:rPr>
          <w:rFonts w:ascii="Book Antiqua" w:hAnsi="Book Antiqua"/>
          <w:color w:val="000000" w:themeColor="text1"/>
          <w:vertAlign w:val="superscript"/>
          <w:lang w:val="en-US"/>
        </w:rPr>
        <w:t>[9]</w:t>
      </w:r>
      <w:r w:rsidR="008707A9" w:rsidRPr="008A5994">
        <w:rPr>
          <w:rFonts w:ascii="Book Antiqua" w:hAnsi="Book Antiqua"/>
          <w:color w:val="000000" w:themeColor="text1"/>
          <w:lang w:val="en-US"/>
        </w:rPr>
        <w:fldChar w:fldCharType="end"/>
      </w:r>
      <w:r w:rsidR="008707A9" w:rsidRPr="008A5994">
        <w:rPr>
          <w:rFonts w:ascii="Book Antiqua" w:hAnsi="Book Antiqua"/>
          <w:color w:val="000000" w:themeColor="text1"/>
          <w:lang w:val="en-US"/>
        </w:rPr>
        <w:t>. We added the absence of therapeutic intensification including the absence of CD-related surgery</w:t>
      </w:r>
      <w:r w:rsidR="001E3C01" w:rsidRPr="008A5994">
        <w:rPr>
          <w:rFonts w:ascii="Book Antiqua" w:hAnsi="Book Antiqua"/>
          <w:color w:val="000000" w:themeColor="text1"/>
          <w:lang w:val="en-US"/>
        </w:rPr>
        <w:t xml:space="preserve"> to asses</w:t>
      </w:r>
      <w:r w:rsidR="00D74B7A" w:rsidRPr="008A5994">
        <w:rPr>
          <w:rFonts w:ascii="Book Antiqua" w:hAnsi="Book Antiqua"/>
          <w:color w:val="000000" w:themeColor="text1"/>
          <w:lang w:val="en-US"/>
        </w:rPr>
        <w:t>s</w:t>
      </w:r>
      <w:r w:rsidR="001E3C01" w:rsidRPr="008A5994">
        <w:rPr>
          <w:rFonts w:ascii="Book Antiqua" w:hAnsi="Book Antiqua"/>
          <w:color w:val="000000" w:themeColor="text1"/>
          <w:lang w:val="en-US"/>
        </w:rPr>
        <w:t xml:space="preserve"> the impact of these biomarkers on CD outcomes and also to avoid a complete overlap between the criteria assessed at W12 and the composite primary endpoint at W52</w:t>
      </w:r>
      <w:r w:rsidR="008707A9" w:rsidRPr="008A5994">
        <w:rPr>
          <w:rFonts w:ascii="Book Antiqua" w:hAnsi="Book Antiqua"/>
          <w:color w:val="000000" w:themeColor="text1"/>
          <w:lang w:val="en-US"/>
        </w:rPr>
        <w:t xml:space="preserve">. We aimed to investigate what was the best predictor among CDAI, CRP,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or combination of these biomarkers assessed at W12 to predict CFREM at </w:t>
      </w:r>
      <w:r>
        <w:rPr>
          <w:rFonts w:ascii="Book Antiqua" w:hAnsi="Book Antiqua"/>
          <w:color w:val="000000" w:themeColor="text1"/>
          <w:lang w:val="en-US"/>
        </w:rPr>
        <w:t>W</w:t>
      </w:r>
      <w:r w:rsidR="008707A9" w:rsidRPr="008A5994">
        <w:rPr>
          <w:rFonts w:ascii="Book Antiqua" w:hAnsi="Book Antiqua"/>
          <w:color w:val="000000" w:themeColor="text1"/>
          <w:lang w:val="en-US"/>
        </w:rPr>
        <w:t>52.</w:t>
      </w:r>
    </w:p>
    <w:p w14:paraId="75C5FB0B" w14:textId="7100A90E" w:rsidR="008707A9" w:rsidRPr="008A5994" w:rsidRDefault="00EB1AAA"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 xml:space="preserve">In this study, we confirmed that CDAI alone is not suitable to monitor CD patients as we found a low PPV (47.3%) of clinical remission (CDAI &lt; 150) at W12 to predict CFREM at </w:t>
      </w:r>
      <w:r>
        <w:rPr>
          <w:rFonts w:ascii="Book Antiqua" w:hAnsi="Book Antiqua"/>
          <w:color w:val="000000" w:themeColor="text1"/>
          <w:lang w:val="en-US"/>
        </w:rPr>
        <w:t>W</w:t>
      </w:r>
      <w:r w:rsidR="008707A9" w:rsidRPr="008A5994">
        <w:rPr>
          <w:rFonts w:ascii="Book Antiqua" w:hAnsi="Book Antiqua"/>
          <w:color w:val="000000" w:themeColor="text1"/>
          <w:lang w:val="en-US"/>
        </w:rPr>
        <w:t xml:space="preserve">52. The lack of correlation between clinical symptoms and objective markers of activity is now well admitted. A </w:t>
      </w:r>
      <w:r w:rsidR="008707A9" w:rsidRPr="008A5994">
        <w:rPr>
          <w:rFonts w:ascii="Book Antiqua" w:hAnsi="Book Antiqua"/>
          <w:i/>
          <w:color w:val="000000" w:themeColor="text1"/>
          <w:lang w:val="en-US"/>
        </w:rPr>
        <w:t>post-hoc</w:t>
      </w:r>
      <w:r w:rsidR="008707A9" w:rsidRPr="008A5994">
        <w:rPr>
          <w:rFonts w:ascii="Book Antiqua" w:hAnsi="Book Antiqua"/>
          <w:color w:val="000000" w:themeColor="text1"/>
          <w:lang w:val="en-US"/>
        </w:rPr>
        <w:t xml:space="preserve"> analysis from the SONIC trial showed that almost one half of the patients with CDAI &lt; 150 presented with significant endoscopic lesions</w:t>
      </w:r>
      <w:r w:rsidR="008707A9" w:rsidRPr="008A5994">
        <w:rPr>
          <w:rFonts w:ascii="Book Antiqua" w:hAnsi="Book Antiqua"/>
          <w:color w:val="000000" w:themeColor="text1"/>
          <w:lang w:val="en-US"/>
        </w:rPr>
        <w:fldChar w:fldCharType="begin"/>
      </w:r>
      <w:r w:rsidR="000B228F" w:rsidRPr="008A5994">
        <w:rPr>
          <w:rFonts w:ascii="Book Antiqua" w:hAnsi="Book Antiqua"/>
          <w:color w:val="000000" w:themeColor="text1"/>
          <w:lang w:val="en-US"/>
        </w:rPr>
        <w:instrText xml:space="preserve"> ADDIN ZOTERO_ITEM CSL_CITATION {"citationID":"V4tiHadV","properties":{"formattedCitation":"\\super [11]\\nosupersub{}","plainCitation":"[11]","noteIndex":0},"citationItems":[{"id":"9UJ6C9IN/nO01IBSC","uris":["http://zotero.org/users/local/DNVHcyNP/items/IZWPMJ7C"],"uri":["http://zotero.org/users/local/DNVHcyNP/items/IZWPMJ7C"],"itemData":{"id":"1igfQtP6/HbIifpjR","type":"article-journal","title":"Clinical disease activity, C-reactive protein normalisation and mucosal healing in Crohn's disease in the SONIC trial","container-title":"Gut","page":"88-95","volume":"63","issue":"1","source":"Crossref","abstract":"Background and aims The Crohn’s Disease Activity Index (CDAI) has been criticised due to heavy weighting on subjective clinical symptoms. C-reactive protein (CRP) and endoscopic lesions are objective measures of inﬂammation. We investigated the relationships between clinical disease activity, CRP normalisation and mucosal healing in Crohn’s disease (CD).\nMethods The Study of Biologic and Immunomodulator Naive Patients in CD trial compared inﬂiximab to azathioprine and to inﬂiximab plus azathioprine in 508 CD patients. Mucosal healing was deﬁned as the absence of mucosal ulceration at the week 26 ileocolonoscopy in a patient who had evidence of ulceration at the baseline ileocolonoscopy.\nResults 188 patients who had evaluable ileocolonoscopy with evidence of mucosal ulceration at baseline, CDAI scores and CRP values at baseline and week 26 were analysed. Seventy-two of 136 patients (53%) who had a CDAI&lt;150 at week 26 achieved mucosal healing, and 38 of 90 patients (42%) achieved both CRP normalisation (CRP&lt;0.8 mg/dL) and mucosal healing while in clinical remission. The positive predictive value (PPV) and negative predictive value (NPV) of CDAI to detect mucosal healing using 150 as a cut-off for CDAI were 65% and 53%, respectively. The PPV and NPV of CDAI to detect mucosal healing and CRP normalisation using 150 as a cut-off for CDAI were 79% and 42%, respectively.\nConclusions Half the patients under azathioprine and/ or inﬂiximab in clinical remission have endoscopic and/or CRP evidence of residual active CD, whereas other patients with endoscopic and CRP normalisation have persistent clinical symptoms. Clinical symptoms as scored by CDAI are not a reliable measure of the underlying inﬂammation.","DOI":"10.1136/gutjnl-2013-304984","ISSN":"0017-5749, 1468-3288","language":"en","author":[{"family":"Peyrin-Biroulet","given":"Laurent"},{"family":"Reinisch","given":"Walter"},{"family":"Colombel","given":"Jean-Frederic"},{"family":"Mantzaris","given":"Gerassimos J"},{"family":"Kornbluth","given":"Asher"},{"family":"Diamond","given":"Robert"},{"family":"Rutgeerts","given":"Paul"},{"family":"Tang","given":"Linda K"},{"family":"Cornillie","given":"Freddy J"},{"family":"Sandborn","given":"William J"}],"issued":{"date-parts":[["2014",1]]}}}],"schema":"https://github.com/citation-style-language/schema/raw/master/csl-citation.json"} </w:instrText>
      </w:r>
      <w:r w:rsidR="008707A9" w:rsidRPr="008A5994">
        <w:rPr>
          <w:rFonts w:ascii="Book Antiqua" w:hAnsi="Book Antiqua"/>
          <w:color w:val="000000" w:themeColor="text1"/>
          <w:lang w:val="en-US"/>
        </w:rPr>
        <w:fldChar w:fldCharType="separate"/>
      </w:r>
      <w:r w:rsidR="000B228F" w:rsidRPr="008A5994">
        <w:rPr>
          <w:rFonts w:ascii="Book Antiqua" w:hAnsi="Book Antiqua"/>
          <w:color w:val="000000" w:themeColor="text1"/>
          <w:vertAlign w:val="superscript"/>
          <w:lang w:val="en-US"/>
        </w:rPr>
        <w:t>[11]</w:t>
      </w:r>
      <w:r w:rsidR="008707A9" w:rsidRPr="008A5994">
        <w:rPr>
          <w:rFonts w:ascii="Book Antiqua" w:hAnsi="Book Antiqua"/>
          <w:color w:val="000000" w:themeColor="text1"/>
          <w:lang w:val="en-US"/>
        </w:rPr>
        <w:fldChar w:fldCharType="end"/>
      </w:r>
      <w:r w:rsidR="008707A9" w:rsidRPr="008A5994">
        <w:rPr>
          <w:rFonts w:ascii="Book Antiqua" w:hAnsi="Book Antiqua"/>
          <w:color w:val="000000" w:themeColor="text1"/>
          <w:lang w:val="en-US"/>
        </w:rPr>
        <w:t>. The STRIDE guidelines considered that resolution of symptoms alone is not a sufficient target and that objective evidence of bowel inflammation is necessary when making clinical decisions</w:t>
      </w:r>
      <w:r w:rsidR="008707A9" w:rsidRPr="008A5994">
        <w:rPr>
          <w:rFonts w:ascii="Book Antiqua" w:hAnsi="Book Antiqua"/>
          <w:color w:val="000000" w:themeColor="text1"/>
          <w:lang w:val="en-US"/>
        </w:rPr>
        <w:fldChar w:fldCharType="begin"/>
      </w:r>
      <w:r w:rsidR="000B228F" w:rsidRPr="008A5994">
        <w:rPr>
          <w:rFonts w:ascii="Book Antiqua" w:hAnsi="Book Antiqua"/>
          <w:color w:val="000000" w:themeColor="text1"/>
          <w:lang w:val="en-US"/>
        </w:rPr>
        <w:instrText xml:space="preserve"> ADDIN ZOTERO_ITEM CSL_CITATION {"citationID":"iMFCwmg3","properties":{"formattedCitation":"\\super [4]\\nosupersub{}","plainCitation":"[4]","noteIndex":0},"citationItems":[{"id":"9UJ6C9IN/5nzM8uCG","uris":["http://zotero.org/users/local/DNVHcyNP/items/BCXSQDLH"],"uri":["http://zotero.org/users/local/DNVHcyNP/items/BCXSQDLH"],"itemData":{"id":"6xSjmwpM/d6VXUGtQ","type":"article-journal","title":"Selecting Therapeutic Targets in Inflammatory Bowel Disease (STRIDE): Determining Therapeutic Goals for Treat-to-Target","container-title":"The American Journal of Gastroenterology","page":"1324-1338","volume":"110","issue":"9","source":"Crossref","DOI":"10.1038/ajg.2015.233","ISSN":"0002-9270, 1572-0241","shortTitle":"Selecting Therapeutic Targets in Inflammatory Bowel Disease (STRIDE)","language":"en","author":[{"family":"Peyrin-Biroulet","given":"L"},{"family":"Sandborn","given":"W"},{"family":"Sands","given":"B E"},{"family":"Reinisch","given":"W"},{"family":"Bemelman","given":"W"},{"family":"Bryant","given":"R V"},{"family":"D'Haens","given":"G"},{"family":"Dotan","given":"I"},{"family":"Dubinsky","given":"M"},{"family":"Feagan","given":"B"},{"family":"Fiorino","given":"G"},{"family":"Gearry","given":"R"},{"family":"Krishnareddy","given":"S"},{"family":"Lakatos","given":"P L"},{"family":"Loftus Jr","given":"E V"},{"family":"Marteau","given":"P"},{"family":"Munkholm","given":"P"},{"family":"Murdoch","given":"T B"},{"family":"Ordás","given":"I"},{"family":"Panaccione","given":"R"},{"family":"Riddell","given":"R H"},{"family":"Ruel","given":"J"},{"family":"Rubin","given":"D T"},{"family":"Samaan","given":"M"},{"family":"Siegel","given":"C A"},{"family":"Silverberg","given":"M S"},{"family":"Stoker","given":"J"},{"family":"Schreiber","given":"S"},{"family":"Travis","given":"S"},{"family":"Van Assche","given":"G"},{"family":"Danese","given":"S"},{"family":"Panes","given":"J"},{"family":"Bouguen","given":"G"},{"family":"O'Donnell","given":"S"},{"family":"Pariente","given":"B"},{"family":"Winer","given":"S"},{"family":"Hanauer","given":"S"},{"family":"Colombel","given":"J -F"}],"issued":{"date-parts":[["2015",9]]}}}],"schema":"https://github.com/citation-style-language/schema/raw/master/csl-citation.json"} </w:instrText>
      </w:r>
      <w:r w:rsidR="008707A9" w:rsidRPr="008A5994">
        <w:rPr>
          <w:rFonts w:ascii="Book Antiqua" w:hAnsi="Book Antiqua"/>
          <w:color w:val="000000" w:themeColor="text1"/>
          <w:lang w:val="en-US"/>
        </w:rPr>
        <w:fldChar w:fldCharType="separate"/>
      </w:r>
      <w:r w:rsidR="000B228F" w:rsidRPr="008A5994">
        <w:rPr>
          <w:rFonts w:ascii="Book Antiqua" w:hAnsi="Book Antiqua"/>
          <w:color w:val="000000" w:themeColor="text1"/>
          <w:vertAlign w:val="superscript"/>
          <w:lang w:val="en-US"/>
        </w:rPr>
        <w:t>[4]</w:t>
      </w:r>
      <w:r w:rsidR="008707A9" w:rsidRPr="008A5994">
        <w:rPr>
          <w:rFonts w:ascii="Book Antiqua" w:hAnsi="Book Antiqua"/>
          <w:color w:val="000000" w:themeColor="text1"/>
          <w:lang w:val="en-US"/>
        </w:rPr>
        <w:fldChar w:fldCharType="end"/>
      </w:r>
      <w:r w:rsidR="008707A9" w:rsidRPr="008A5994">
        <w:rPr>
          <w:rFonts w:ascii="Book Antiqua" w:hAnsi="Book Antiqua"/>
          <w:color w:val="000000" w:themeColor="text1"/>
          <w:lang w:val="en-US"/>
        </w:rPr>
        <w:t>. A</w:t>
      </w:r>
      <w:r w:rsidR="00E96617" w:rsidRPr="008A5994">
        <w:rPr>
          <w:rFonts w:ascii="Book Antiqua" w:hAnsi="Book Antiqua"/>
          <w:color w:val="000000" w:themeColor="text1"/>
          <w:lang w:val="en-US"/>
        </w:rPr>
        <w:t>s</w:t>
      </w:r>
      <w:r w:rsidR="008707A9" w:rsidRPr="008A5994">
        <w:rPr>
          <w:rFonts w:ascii="Book Antiqua" w:hAnsi="Book Antiqua"/>
          <w:color w:val="000000" w:themeColor="text1"/>
          <w:lang w:val="en-US"/>
        </w:rPr>
        <w:t xml:space="preserve"> expected, we also found that the patients, who did not achieve clinical remission (CDAI &lt; 150) at W12, had a very high likelihood of treatment failure (with NPV of 88.2%) reminding that clinical remission is a necessary but not sufficient therapeutic goal in patients with CD.</w:t>
      </w:r>
    </w:p>
    <w:p w14:paraId="473CBE32" w14:textId="565D78E4" w:rsidR="008707A9" w:rsidRPr="008A5994" w:rsidRDefault="00EB1AAA"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 xml:space="preserve">We also investigated the measurement of CRP value at W12 in patients receiving anti-TNF agents as predictor of mid-term CFREM (W52). While CRP normalization after 12 </w:t>
      </w:r>
      <w:proofErr w:type="spellStart"/>
      <w:r w:rsidR="008707A9" w:rsidRPr="008A5994">
        <w:rPr>
          <w:rFonts w:ascii="Book Antiqua" w:hAnsi="Book Antiqua"/>
          <w:color w:val="000000" w:themeColor="text1"/>
          <w:lang w:val="en-US"/>
        </w:rPr>
        <w:t>w</w:t>
      </w:r>
      <w:r>
        <w:rPr>
          <w:rFonts w:ascii="Book Antiqua" w:hAnsi="Book Antiqua"/>
          <w:color w:val="000000" w:themeColor="text1"/>
          <w:lang w:val="en-US"/>
        </w:rPr>
        <w:t>k</w:t>
      </w:r>
      <w:proofErr w:type="spellEnd"/>
      <w:r w:rsidR="008707A9" w:rsidRPr="008A5994">
        <w:rPr>
          <w:rFonts w:ascii="Book Antiqua" w:hAnsi="Book Antiqua"/>
          <w:color w:val="000000" w:themeColor="text1"/>
          <w:lang w:val="en-US"/>
        </w:rPr>
        <w:t xml:space="preserve"> demonstrated moderate performances (PPV = 63.2%) to predict CFREM at W52, </w:t>
      </w:r>
      <w:r w:rsidR="008707A9" w:rsidRPr="008A5994">
        <w:rPr>
          <w:rFonts w:ascii="Book Antiqua" w:hAnsi="Book Antiqua"/>
          <w:color w:val="000000" w:themeColor="text1"/>
          <w:lang w:val="en-US"/>
        </w:rPr>
        <w:lastRenderedPageBreak/>
        <w:t xml:space="preserve">the absence of CRP normalization at W12 was highly predictive of treatment failure (NPV = 95.2%). Our data seems slightly different from two studies dedicated to CRP normalization as predictor of remission. </w:t>
      </w:r>
      <w:proofErr w:type="spellStart"/>
      <w:r w:rsidR="008707A9" w:rsidRPr="008A5994">
        <w:rPr>
          <w:rFonts w:ascii="Book Antiqua" w:hAnsi="Book Antiqua"/>
          <w:color w:val="000000" w:themeColor="text1"/>
          <w:lang w:val="en-US"/>
        </w:rPr>
        <w:t>Reinisch</w:t>
      </w:r>
      <w:proofErr w:type="spellEnd"/>
      <w:r w:rsidR="008707A9" w:rsidRPr="008A5994">
        <w:rPr>
          <w:rFonts w:ascii="Book Antiqua" w:hAnsi="Book Antiqua"/>
          <w:color w:val="000000" w:themeColor="text1"/>
          <w:lang w:val="en-US"/>
        </w:rPr>
        <w:t xml:space="preserve"> </w:t>
      </w:r>
      <w:r w:rsidR="008707A9" w:rsidRPr="008A5994">
        <w:rPr>
          <w:rFonts w:ascii="Book Antiqua" w:hAnsi="Book Antiqua"/>
          <w:i/>
          <w:color w:val="000000" w:themeColor="text1"/>
          <w:lang w:val="en-US"/>
        </w:rPr>
        <w:t>et al</w:t>
      </w:r>
      <w:r w:rsidRPr="008A5994">
        <w:rPr>
          <w:rFonts w:ascii="Book Antiqua" w:hAnsi="Book Antiqua"/>
          <w:color w:val="000000" w:themeColor="text1"/>
          <w:lang w:val="en-US"/>
        </w:rPr>
        <w:fldChar w:fldCharType="begin"/>
      </w:r>
      <w:r w:rsidRPr="008A5994">
        <w:rPr>
          <w:rFonts w:ascii="Book Antiqua" w:hAnsi="Book Antiqua"/>
          <w:color w:val="000000" w:themeColor="text1"/>
          <w:lang w:val="en-US"/>
        </w:rPr>
        <w:instrText xml:space="preserve"> ADDIN ZOTERO_ITEM CSL_CITATION {"citationID":"wmNaw7ts","properties":{"formattedCitation":"\\super [12]\\nosupersub{}","plainCitation":"[12]","noteIndex":0},"citationItems":[{"id":49,"uris":["http://zotero.org/users/751086/items/3C43CBS7"],"uri":["http://zotero.org/users/751086/items/3C43CBS7"],"itemData":{"id":49,"type":"article-journal","title":"C-reactive protein, an indicator for maintained response or remission to infliximab in patients with Crohn's disease: a post-hoc analysis from ACCENT I","container-title":"Alimentary Pharmacology &amp; Therapeutics","page":"568-576","volume":"35","issue":"5","source":"NCBI PubMed","abstract":"BACKGROUND: Secondary loss of response to anti-TNF-α therapy is observed in Crohn's disease patients.\nAIM: Serum C-reactive protein (CRP) levels at baseline and after infliximab induction therapy at week 14 were assessed as predictors for maintained response or remission through 54 weeks of treatment in patients with Crohn's disease who responded to induction therapy.\nMETHODS: ACCENT I was a multicenter, randomised, placebo-controlled study. Patients who received infliximab induction (weeks 0, 2 and 6) and maintenance (5 or 10 mg/kg every 8 weeks beginning at week 14) therapy were considered. Patients in clinical response or remission to induction therapy at week 14 (n = 212 or n = 138 respectively) were analysed. Associations between CRP levels (cut-off points 0.5-3.0 mg/dL), baseline disease variables and maintained clinical response or remission during maintenance therapy were assessed.\nRESULTS: A significant association was observed between baseline CRP levels and maintained remission. Forty-five percent of patients with baseline CRP ≥ 0.7 mg/dL vs. 22.0% with CRP &lt; 0.7 mg/dL maintained remission (P = 0.012). CRP normalisation during infliximab treatment (decrease from 0.5 mg/dL at baseline to &lt; 0.5 mg/dL at week 14) resulted in higher probability of maintained response (P &lt; 0.001) or remission (P = 0.052). At week 14 low CRP levels were associated with maintained response (56.6% of patients with CRP &lt; 0.5 mg/dL vs. 37.2% with higher CRP, P = 0.005). No optimal predictive CRP cut-off point was observed.\nCONCLUSIONS: High baseline CRP levels increased the likelihood of maintained remission. Normalised CRP levels at week 14 increased the likelihood of maintained response or remission during 1 year of infliximab maintenance therapy (\nCLINICAL TRIAL: NCT00207662).","DOI":"10.1111/j.1365-2036.2011.04987.x","ISSN":"1365-2036","note":"PMID: 22251435","shortTitle":"C-reactive protein, an indicator for maintained response or remission to infliximab in patients with Crohn's disease","journalAbbreviation":"Aliment. Pharmacol. Ther.","language":"eng","author":[{"family":"Reinisch","given":"W."},{"family":"Wang","given":"Y."},{"family":"Oddens","given":"B. J."},{"family":"Link","given":"R."}],"issued":{"date-parts":[["2012",3]]}}}],"schema":"https://github.com/citation-style-language/schema/raw/master/csl-citation.json"} </w:instrText>
      </w:r>
      <w:r w:rsidRPr="008A5994">
        <w:rPr>
          <w:rFonts w:ascii="Book Antiqua" w:hAnsi="Book Antiqua"/>
          <w:color w:val="000000" w:themeColor="text1"/>
          <w:lang w:val="en-US"/>
        </w:rPr>
        <w:fldChar w:fldCharType="separate"/>
      </w:r>
      <w:r w:rsidRPr="008A5994">
        <w:rPr>
          <w:rFonts w:ascii="Book Antiqua" w:hAnsi="Book Antiqua"/>
          <w:color w:val="000000" w:themeColor="text1"/>
          <w:vertAlign w:val="superscript"/>
          <w:lang w:val="en-US"/>
        </w:rPr>
        <w:t>[12]</w:t>
      </w:r>
      <w:r w:rsidRPr="008A5994">
        <w:rPr>
          <w:rFonts w:ascii="Book Antiqua" w:hAnsi="Book Antiqua"/>
          <w:color w:val="000000" w:themeColor="text1"/>
          <w:lang w:val="en-US"/>
        </w:rPr>
        <w:fldChar w:fldCharType="end"/>
      </w:r>
      <w:r w:rsidR="008707A9" w:rsidRPr="008A5994">
        <w:rPr>
          <w:rFonts w:ascii="Book Antiqua" w:hAnsi="Book Antiqua"/>
          <w:color w:val="000000" w:themeColor="text1"/>
          <w:lang w:val="en-US"/>
        </w:rPr>
        <w:t xml:space="preserve"> reported in a </w:t>
      </w:r>
      <w:r w:rsidR="008707A9" w:rsidRPr="008A5994">
        <w:rPr>
          <w:rFonts w:ascii="Book Antiqua" w:hAnsi="Book Antiqua"/>
          <w:i/>
          <w:color w:val="000000" w:themeColor="text1"/>
          <w:lang w:val="en-US"/>
        </w:rPr>
        <w:t>post-hoc</w:t>
      </w:r>
      <w:r w:rsidR="008707A9" w:rsidRPr="008A5994">
        <w:rPr>
          <w:rFonts w:ascii="Book Antiqua" w:hAnsi="Book Antiqua"/>
          <w:color w:val="000000" w:themeColor="text1"/>
          <w:lang w:val="en-US"/>
        </w:rPr>
        <w:t xml:space="preserve"> analysis of the landmark ACCENT 1 trial that </w:t>
      </w:r>
      <w:proofErr w:type="spellStart"/>
      <w:r w:rsidR="008707A9" w:rsidRPr="008A5994">
        <w:rPr>
          <w:rFonts w:ascii="Book Antiqua" w:hAnsi="Book Antiqua"/>
          <w:color w:val="000000" w:themeColor="text1"/>
          <w:lang w:val="en-US"/>
        </w:rPr>
        <w:t>normalisation</w:t>
      </w:r>
      <w:proofErr w:type="spellEnd"/>
      <w:r w:rsidR="008707A9" w:rsidRPr="008A5994">
        <w:rPr>
          <w:rFonts w:ascii="Book Antiqua" w:hAnsi="Book Antiqua"/>
          <w:color w:val="000000" w:themeColor="text1"/>
          <w:lang w:val="en-US"/>
        </w:rPr>
        <w:t xml:space="preserve"> of CRP at week 14 led to a higher probability of maintained response or remission during one-year of infliximab maintenance therapy (</w:t>
      </w:r>
      <w:r w:rsidRPr="00EB1AAA">
        <w:rPr>
          <w:rFonts w:ascii="Book Antiqua" w:hAnsi="Book Antiqua"/>
          <w:i/>
          <w:color w:val="000000" w:themeColor="text1"/>
          <w:lang w:val="en-US"/>
        </w:rPr>
        <w:t xml:space="preserve">P </w:t>
      </w:r>
      <w:r w:rsidR="008707A9" w:rsidRPr="008A5994">
        <w:rPr>
          <w:rFonts w:ascii="Book Antiqua" w:hAnsi="Book Antiqua"/>
          <w:color w:val="000000" w:themeColor="text1"/>
          <w:lang w:val="en-US"/>
        </w:rPr>
        <w:t>&lt;</w:t>
      </w: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 xml:space="preserve">0.001) with PPV of 51.8% and NPV of 68.0%. Kiss </w:t>
      </w:r>
      <w:r w:rsidR="008707A9" w:rsidRPr="008A5994">
        <w:rPr>
          <w:rFonts w:ascii="Book Antiqua" w:hAnsi="Book Antiqua"/>
          <w:i/>
          <w:color w:val="000000" w:themeColor="text1"/>
          <w:lang w:val="en-US"/>
        </w:rPr>
        <w:t>et al</w:t>
      </w:r>
      <w:r w:rsidRPr="008A5994">
        <w:rPr>
          <w:rFonts w:ascii="Book Antiqua" w:hAnsi="Book Antiqua"/>
          <w:color w:val="000000" w:themeColor="text1"/>
          <w:lang w:val="en-US"/>
        </w:rPr>
        <w:fldChar w:fldCharType="begin"/>
      </w:r>
      <w:r w:rsidRPr="008A5994">
        <w:rPr>
          <w:rFonts w:ascii="Book Antiqua" w:hAnsi="Book Antiqua"/>
          <w:color w:val="000000" w:themeColor="text1"/>
          <w:lang w:val="en-US"/>
        </w:rPr>
        <w:instrText xml:space="preserve"> ADDIN ZOTERO_ITEM CSL_CITATION {"citationID":"sdlsm4hl","properties":{"formattedCitation":"\\super [13]\\nosupersub{}","plainCitation":"[13]","noteIndex":0},"citationItems":[{"id":577,"uris":["http://zotero.org/users/751086/items/EX43TQ4H"],"uri":["http://zotero.org/users/751086/items/EX43TQ4H"],"itemData":{"id":577,"type":"article-journal","title":"Early clinical remission and normalisation of CRP are the strongest predictors of efficacy, mucosal healing and dose escalation during the first year of adalimumab therapy in Crohn's disease","container-title":"Alimentary Pharmacology &amp; Therapeutics","page":"911-922","volume":"34","issue":"8","source":"NCBI PubMed","abstract":"BACKGROUND: Adalimumab is a fully human monoclonal antibody targeting tumour necrosis factor with proven efficacy in the treatment of Crohn's disease (CD).\nAIM: To investigate the predictors of medium-term clinical efficacy and mucosal healing during adalimumab therapy, in patients with CD, in specialised centres approved for biological therapy in Hungary.\nMETHODS: Data capture of the 201 CD patients was standardised and prospective (male/female: 112/89, median age: 33.0 years, duration: 8 years). Previous infliximab therapy had been administered in 48% of patients, concomitant steroids in 41%, azathioprine in 69% and combined therapy in 27% of patients.\nRESULTS: Overall clinical response and remission rates at 24 weeks were 78% and 52%, respectively; at 52 weeks were 69% and 44%, respectively. Endoscopic improvement and healing were achieved in 43% and 24% of patients. In a logistic regression model, clinical efficacy and CRP at week 12, need for combined immunosuppression at induction, shorter disease duration and smoking were identified as independent predictors for 12-month clinical outcome, whereas CRP at week 12, clinical remission at week 24, inflammatory parameters and nonsmoking were associated to endoscopic improvement/healing. Intensification to weekly dosing was needed in 16% of patients. Parallel azathioprine therapy and clinical remission at week 12 were inversely associated with dose escalation.\nCONCLUSIONS: Clinical efficacy and normalised CRP at week 12 (early deep clinical remission) are associated with medium-term clinical efficacy and mucosal healing during adalimumab therapy, whereas need for combined immunosuppression at induction and smoking status are predictors for non-response. Parallel azathioprine therapy may decrease the probability for dose escalation.","DOI":"10.1111/j.1365-2036.2011.04827.x","ISSN":"1365-2036","note":"PMID: 21883326","journalAbbreviation":"Aliment. Pharmacol. Ther.","language":"eng","author":[{"family":"Kiss","given":"L. S."},{"family":"Szamosi","given":"T."},{"family":"Molnar","given":"T."},{"family":"Miheller","given":"P."},{"family":"Lakatos","given":"L."},{"family":"Vincze","given":"A."},{"family":"Palatka","given":"K."},{"family":"Barta","given":"Z."},{"family":"Gasztonyi","given":"B."},{"family":"Salamon","given":"A."},{"family":"Horvath","given":"G."},{"family":"Tóth","given":"G. T."},{"family":"Farkas","given":"K."},{"family":"Banai","given":"J."},{"family":"Tulassay","given":"Z."},{"family":"Nagy","given":"F."},{"family":"Szenes","given":"M."},{"family":"Veres","given":"G."},{"family":"Lovasz","given":"B. D."},{"family":"Vegh","given":"Z."},{"family":"Golovics","given":"P. A."},{"family":"Szathmari","given":"M."},{"family":"Papp","given":"M."},{"family":"Lakatos","given":"P. L."},{"literal":"Hungarian IBD Study Group"}],"issued":{"date-parts":[["2011",10]]}}}],"schema":"https://github.com/citation-style-language/schema/raw/master/csl-citation.json"} </w:instrText>
      </w:r>
      <w:r w:rsidRPr="008A5994">
        <w:rPr>
          <w:rFonts w:ascii="Book Antiqua" w:hAnsi="Book Antiqua"/>
          <w:color w:val="000000" w:themeColor="text1"/>
          <w:lang w:val="en-US"/>
        </w:rPr>
        <w:fldChar w:fldCharType="separate"/>
      </w:r>
      <w:r w:rsidRPr="008A5994">
        <w:rPr>
          <w:rFonts w:ascii="Book Antiqua" w:hAnsi="Book Antiqua"/>
          <w:color w:val="000000" w:themeColor="text1"/>
          <w:vertAlign w:val="superscript"/>
          <w:lang w:val="en-US"/>
        </w:rPr>
        <w:t>[13]</w:t>
      </w:r>
      <w:r w:rsidRPr="008A5994">
        <w:rPr>
          <w:rFonts w:ascii="Book Antiqua" w:hAnsi="Book Antiqua"/>
          <w:color w:val="000000" w:themeColor="text1"/>
          <w:lang w:val="en-US"/>
        </w:rPr>
        <w:fldChar w:fldCharType="end"/>
      </w:r>
      <w:r w:rsidR="008707A9" w:rsidRPr="008A5994">
        <w:rPr>
          <w:rFonts w:ascii="Book Antiqua" w:hAnsi="Book Antiqua"/>
          <w:color w:val="000000" w:themeColor="text1"/>
          <w:lang w:val="en-US"/>
        </w:rPr>
        <w:t xml:space="preserve"> showed that CD patients who had </w:t>
      </w:r>
      <w:proofErr w:type="spellStart"/>
      <w:r w:rsidR="008707A9" w:rsidRPr="008A5994">
        <w:rPr>
          <w:rFonts w:ascii="Book Antiqua" w:hAnsi="Book Antiqua"/>
          <w:color w:val="000000" w:themeColor="text1"/>
          <w:lang w:val="en-US"/>
        </w:rPr>
        <w:t>normalised</w:t>
      </w:r>
      <w:proofErr w:type="spellEnd"/>
      <w:r w:rsidR="008707A9" w:rsidRPr="008A5994">
        <w:rPr>
          <w:rFonts w:ascii="Book Antiqua" w:hAnsi="Book Antiqua"/>
          <w:color w:val="000000" w:themeColor="text1"/>
          <w:lang w:val="en-US"/>
        </w:rPr>
        <w:t xml:space="preserve"> CRP at week 12 were associated with clinical efficacy at 12 </w:t>
      </w:r>
      <w:proofErr w:type="spellStart"/>
      <w:r w:rsidR="008707A9" w:rsidRPr="008A5994">
        <w:rPr>
          <w:rFonts w:ascii="Book Antiqua" w:hAnsi="Book Antiqua"/>
          <w:color w:val="000000" w:themeColor="text1"/>
          <w:lang w:val="en-US"/>
        </w:rPr>
        <w:t>mo</w:t>
      </w:r>
      <w:proofErr w:type="spellEnd"/>
      <w:r w:rsidR="008707A9" w:rsidRPr="008A5994">
        <w:rPr>
          <w:rFonts w:ascii="Book Antiqua" w:hAnsi="Book Antiqua"/>
          <w:color w:val="000000" w:themeColor="text1"/>
          <w:lang w:val="en-US"/>
        </w:rPr>
        <w:t xml:space="preserve"> with PPV ranging from 67% to 79% and NPV from 73% to 80%. This discrepancy could be partly explained by our sample size but also by the choice of our combined endpoint, which is probably more stringent than the two former studies and could have improve the NPV.</w:t>
      </w:r>
    </w:p>
    <w:p w14:paraId="00595EE8" w14:textId="7FEF10DE" w:rsidR="008707A9" w:rsidRPr="008A5994" w:rsidRDefault="00EB1AAA" w:rsidP="008A5994">
      <w:pPr>
        <w:adjustRightInd w:val="0"/>
        <w:snapToGrid w:val="0"/>
        <w:spacing w:line="360" w:lineRule="auto"/>
        <w:jc w:val="both"/>
        <w:rPr>
          <w:rFonts w:ascii="Book Antiqua" w:hAnsi="Book Antiqua"/>
          <w:color w:val="000000" w:themeColor="text1"/>
          <w:lang w:val="en-US" w:eastAsia="en-US"/>
        </w:rPr>
      </w:pP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 xml:space="preserve">As the capability of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to change under treatment remains poorly investigated</w:t>
      </w:r>
      <w:r w:rsidR="008707A9" w:rsidRPr="008A5994">
        <w:rPr>
          <w:rFonts w:ascii="Book Antiqua" w:hAnsi="Book Antiqua"/>
          <w:color w:val="000000" w:themeColor="text1"/>
          <w:lang w:val="en-US"/>
        </w:rPr>
        <w:fldChar w:fldCharType="begin"/>
      </w:r>
      <w:r w:rsidR="000B228F" w:rsidRPr="008A5994">
        <w:rPr>
          <w:rFonts w:ascii="Book Antiqua" w:hAnsi="Book Antiqua"/>
          <w:color w:val="000000" w:themeColor="text1"/>
          <w:lang w:val="en-US"/>
        </w:rPr>
        <w:instrText xml:space="preserve"> ADDIN ZOTERO_ITEM CSL_CITATION {"citationID":"LgGV3IbV","properties":{"formattedCitation":"\\super [14\\uc0\\u8211{}16]\\nosupersub{}","plainCitation":"[14–16]","noteIndex":0},"citationItems":[{"id":"9UJ6C9IN/SCpr5GSw","uris":["http://zotero.org/users/local/DNVHcyNP/items/5T2TPD2Z"],"uri":["http://zotero.org/users/local/DNVHcyNP/items/5T2TPD2Z"],"itemData":{"id":"6xSjmwpM/hCDbFnOz","type":"article-journal","title":"Accuracies of serum and fecal S100 proteins (calprotectin and calgranulin C) to predict the response to TNF antagonists in patients with Crohn's disease","container-title":"Inflammatory Bowel Diseases","page":"331-336","volume":"21","issue":"2","source":"PubMed","abstract":"BACKGROUND: Calprotectin and S100A12 (calgranulin C) are markers of gut inflammation. The aim was to compare the usefulness of serum and fecal calprotectin (fCal) and S100A12 in assessing the response to anti-TNF and in predicting relapse under maintenance therapy in Crohn's diseases (CD).\nMETHODS: Thirty-two consecutive patients with CD were treated with adalimumab or infliximab. All received an induction regimen followed by maintenance therapy with infliximab 5 mg/kg every 8 weeks or adalimumab 40 mg every other week and provided at week 0 and 14 fecal and blood samples for determination serum CRP, serum and fecal calprotectin and S100A12 levels.\nRESULTS: Clinical remission at week 14 (responders) was achieved in 21 patients and among them, 12 were still in steroid-free clinical remission at week 52. Median serum S100A12 and fCal concentrations significantly drop only in responders from week 0 to week 14 after induction, whereas serum calprotectin and fecal S100A12 levels failed to differ significantly. Fecal calprotectin levels at week 14 had the highest discriminant validity to predict clinical remission within 1 year after induction (area under the curve = 0.87) followed by fecal, serum S100A12, and serum calprotectin (area under the ROC curve = 0.70, 0.70, and 0.68, respectively). A cutoff of 82 μg/g for fCal at week 14 had a sensitivity and specificity of 93% and 75%, respectively, to predict clinical remission within 1 year of therapy.\nCONCLUSIONS: Serum S100A12 level and fCal are reliable markers associated with response to induction therapy with anti-TNF. Fecal calprotectin was the best for predicting clinical remission in CD under maintenance therapy.","DOI":"10.1097/MIB.0000000000000273","ISSN":"1536-4844","note":"PMID: 25625487","journalAbbreviation":"Inflamm. Bowel Dis.","language":"eng","author":[{"family":"Boschetti","given":"Gilles"},{"family":"Garnero","given":"Patrick"},{"family":"Moussata","given":"Driffa"},{"family":"Cuerq","given":"Charlotte"},{"family":"Préaudat","given":"Corinne"},{"family":"Duclaux-Loras","given":"Remi"},{"family":"Mialon","given":"Anne"},{"family":"Drai","given":"Jocelyne"},{"family":"Flourié","given":"Bernard"},{"family":"Nancey","given":"Stephane"}],"issued":{"date-parts":[["2015",2]]}}},{"id":"9UJ6C9IN/rqrQmKKs","uris":["http://zotero.org/users/local/DNVHcyNP/items/3H49NVKK"],"uri":["http://zotero.org/users/local/DNVHcyNP/items/3H49NVKK"],"itemData":{"id":"6xSjmwpM/1LQ56Jis","type":"article-journal","title":"Faecal calprotectin assay after induction with anti-Tumour Necrosis Factor α agents in inflammatory bowel disease: Prediction of clinical response and mucosal healing at one year","container-title":"Digestive and Liver Disease","page":"974-979","volume":"46","issue":"11","source":"Crossref","DOI":"10.1016/j.dld.2014.07.013","ISSN":"15908658","shortTitle":"Faecal calprotectin assay after induction with anti-Tumour Necrosis Factor α agents in inflammatory bowel disease","language":"en","author":[{"family":"Guidi","given":"Luisa"},{"family":"Marzo","given":"Manuela"},{"family":"Andrisani","given":"Gianluca"},{"family":"Felice","given":"Carla"},{"family":"Pugliese","given":"Daniela"},{"family":"Mocci","given":"Giammarco"},{"family":"Nardone","given":"Olga"},{"family":"De Vitis","given":"Italo"},{"family":"Papa","given":"Alfredo"},{"family":"Rapaccini","given":"Gianlodovico"},{"family":"Forni","given":"Franca"},{"family":"Armuzzi","given":"Alessandro"}],"issued":{"date-parts":[["2014",11]]}}},{"id":3385,"uris":["http://zotero.org/users/751086/items/B9NNHB26"],"uri":["http://zotero.org/users/751086/items/B9NNHB26"],"itemData":{"id":3385,"type":"article-journal","title":"Fecal calprotectin concentration predicts outcome in inflammatory bowel disease after induction therapy with TNFα blocking agents","container-title":"Inflammatory Bowel Diseases","page":"2011-2017","volume":"18","issue":"11","source":"PubMed","abstract":"BACKGROUND: Fecal calprotectin (FC) concentration is a useful surrogate marker for mucosal healing (MH) during tumor necrosis factor alpha (TNFα)-blocking therapy for inflammatory bowel disease (IBD). Our aim was to evaluate whether a normal FC after induction therapy with TNFα antagonist predicts the outcome of IBD patients during maintenance therapy.\nMETHODS: Sixty IBD patients (34 Crohn's disease [CD], 26 ulcerative colitis [UC]), treated with TNFα antagonists, either infliximab (n = 42) or adalimumab (n = 18), and having a documented FC level at baseline and after induction therapy were included. Disease activity was evaluated by partial Mayo score without endoscopy or Harvey-Bradshaw index at baseline, after induction, and at 12 months during maintenance therapy.\nRESULTS: After induction, FC was normalized (≤ 100 μg/g) in 31 patients (52%, median 42 μg/g, range 0-97), whereas the level remained elevated in 29 patients (48%, median 424 μg/g, range 116-5859). At ≈12 months, 26/31 (84%, 18 CD, 8 UC) of the patients with normal FC after induction were in clinical remission, whereas only 11/29 (38%, 9 CD, 2 UC) of those with an elevated (≥ 100 μg/g) postinduction FC were in clinical remission, P &lt; 0.0001. After induction therapy with TNFα antagonists, a cutoff concentration of 139 μg/g for FC had a sensitivity of 72% and a specificity of 80% to predict a risk of clinically active disease after 1 year.\nCONCLUSIONS: A normal FC after induction therapy with TNFα antagonists predicts sustained clinical remission in the majority of patients on scheduled therapy with active luminal disease.","DOI":"10.1002/ibd.22863","ISSN":"1536-4844","note":"PMID: 22223566","journalAbbreviation":"Inflamm. Bowel Dis.","language":"eng","author":[{"family":"Molander","given":"Pauliina"},{"family":"Björkesten","given":"Clas-Göran","non-dropping-particle":"af"},{"family":"Mustonen","given":"Harri"},{"family":"Haapamäki","given":"Johanna"},{"family":"Vauhkonen","given":"Matti"},{"family":"Kolho","given":"Kaija-Leena"},{"family":"Färkkilä","given":"Martti"},{"family":"Sipponen","given":"Taina"}],"issued":{"date-parts":[["2012",11]]}}}],"schema":"https://github.com/citation-style-language/schema/raw/master/csl-citation.json"} </w:instrText>
      </w:r>
      <w:r w:rsidR="008707A9" w:rsidRPr="008A5994">
        <w:rPr>
          <w:rFonts w:ascii="Book Antiqua" w:hAnsi="Book Antiqua"/>
          <w:color w:val="000000" w:themeColor="text1"/>
          <w:lang w:val="en-US"/>
        </w:rPr>
        <w:fldChar w:fldCharType="separate"/>
      </w:r>
      <w:r w:rsidR="000B228F" w:rsidRPr="008A5994">
        <w:rPr>
          <w:rFonts w:ascii="Book Antiqua" w:hAnsi="Book Antiqua"/>
          <w:color w:val="000000" w:themeColor="text1"/>
          <w:vertAlign w:val="superscript"/>
          <w:lang w:val="en-US"/>
        </w:rPr>
        <w:t>[14</w:t>
      </w:r>
      <w:r w:rsidR="00AB38A7">
        <w:rPr>
          <w:rFonts w:ascii="Book Antiqua" w:hAnsi="Book Antiqua"/>
          <w:color w:val="000000" w:themeColor="text1"/>
          <w:vertAlign w:val="superscript"/>
          <w:lang w:val="en-US"/>
        </w:rPr>
        <w:t>-</w:t>
      </w:r>
      <w:r w:rsidR="000B228F" w:rsidRPr="008A5994">
        <w:rPr>
          <w:rFonts w:ascii="Book Antiqua" w:hAnsi="Book Antiqua"/>
          <w:color w:val="000000" w:themeColor="text1"/>
          <w:vertAlign w:val="superscript"/>
          <w:lang w:val="en-US"/>
        </w:rPr>
        <w:t>16]</w:t>
      </w:r>
      <w:r w:rsidR="008707A9" w:rsidRPr="008A5994">
        <w:rPr>
          <w:rFonts w:ascii="Book Antiqua" w:hAnsi="Book Antiqua"/>
          <w:color w:val="000000" w:themeColor="text1"/>
          <w:lang w:val="en-US"/>
        </w:rPr>
        <w:fldChar w:fldCharType="end"/>
      </w:r>
      <w:r w:rsidR="008707A9" w:rsidRPr="008A5994">
        <w:rPr>
          <w:rFonts w:ascii="Book Antiqua" w:hAnsi="Book Antiqua"/>
          <w:color w:val="000000" w:themeColor="text1"/>
          <w:lang w:val="en-US"/>
        </w:rPr>
        <w:t xml:space="preserve">, the STRIDE guidelines did not consider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as a therapeutic target</w:t>
      </w:r>
      <w:r w:rsidR="008707A9" w:rsidRPr="008A5994">
        <w:rPr>
          <w:rFonts w:ascii="Book Antiqua" w:hAnsi="Book Antiqua"/>
          <w:color w:val="000000" w:themeColor="text1"/>
          <w:lang w:val="en-US"/>
        </w:rPr>
        <w:fldChar w:fldCharType="begin"/>
      </w:r>
      <w:r w:rsidR="000B228F" w:rsidRPr="008A5994">
        <w:rPr>
          <w:rFonts w:ascii="Book Antiqua" w:hAnsi="Book Antiqua"/>
          <w:color w:val="000000" w:themeColor="text1"/>
          <w:lang w:val="en-US"/>
        </w:rPr>
        <w:instrText xml:space="preserve"> ADDIN ZOTERO_ITEM CSL_CITATION {"citationID":"xSZzxH3Q","properties":{"formattedCitation":"\\super [4]\\nosupersub{}","plainCitation":"[4]","noteIndex":0},"citationItems":[{"id":"9UJ6C9IN/5nzM8uCG","uris":["http://zotero.org/users/local/DNVHcyNP/items/BCXSQDLH"],"uri":["http://zotero.org/users/local/DNVHcyNP/items/BCXSQDLH"],"itemData":{"id":"6xSjmwpM/d6VXUGtQ","type":"article-journal","title":"Selecting Therapeutic Targets in Inflammatory Bowel Disease (STRIDE): Determining Therapeutic Goals for Treat-to-Target","container-title":"The American Journal of Gastroenterology","page":"1324-1338","volume":"110","issue":"9","source":"Crossref","DOI":"10.1038/ajg.2015.233","ISSN":"0002-9270, 1572-0241","shortTitle":"Selecting Therapeutic Targets in Inflammatory Bowel Disease (STRIDE)","language":"en","author":[{"family":"Peyrin-Biroulet","given":"L"},{"family":"Sandborn","given":"W"},{"family":"Sands","given":"B E"},{"family":"Reinisch","given":"W"},{"family":"Bemelman","given":"W"},{"family":"Bryant","given":"R V"},{"family":"D'Haens","given":"G"},{"family":"Dotan","given":"I"},{"family":"Dubinsky","given":"M"},{"family":"Feagan","given":"B"},{"family":"Fiorino","given":"G"},{"family":"Gearry","given":"R"},{"family":"Krishnareddy","given":"S"},{"family":"Lakatos","given":"P L"},{"family":"Loftus Jr","given":"E V"},{"family":"Marteau","given":"P"},{"family":"Munkholm","given":"P"},{"family":"Murdoch","given":"T B"},{"family":"Ordás","given":"I"},{"family":"Panaccione","given":"R"},{"family":"Riddell","given":"R H"},{"family":"Ruel","given":"J"},{"family":"Rubin","given":"D T"},{"family":"Samaan","given":"M"},{"family":"Siegel","given":"C A"},{"family":"Silverberg","given":"M S"},{"family":"Stoker","given":"J"},{"family":"Schreiber","given":"S"},{"family":"Travis","given":"S"},{"family":"Van Assche","given":"G"},{"family":"Danese","given":"S"},{"family":"Panes","given":"J"},{"family":"Bouguen","given":"G"},{"family":"O'Donnell","given":"S"},{"family":"Pariente","given":"B"},{"family":"Winer","given":"S"},{"family":"Hanauer","given":"S"},{"family":"Colombel","given":"J -F"}],"issued":{"date-parts":[["2015",9]]}}}],"schema":"https://github.com/citation-style-language/schema/raw/master/csl-citation.json"} </w:instrText>
      </w:r>
      <w:r w:rsidR="008707A9" w:rsidRPr="008A5994">
        <w:rPr>
          <w:rFonts w:ascii="Book Antiqua" w:hAnsi="Book Antiqua"/>
          <w:color w:val="000000" w:themeColor="text1"/>
          <w:lang w:val="en-US"/>
        </w:rPr>
        <w:fldChar w:fldCharType="separate"/>
      </w:r>
      <w:r w:rsidR="000B228F" w:rsidRPr="008A5994">
        <w:rPr>
          <w:rFonts w:ascii="Book Antiqua" w:hAnsi="Book Antiqua"/>
          <w:color w:val="000000" w:themeColor="text1"/>
          <w:vertAlign w:val="superscript"/>
          <w:lang w:val="en-US"/>
        </w:rPr>
        <w:t>[4]</w:t>
      </w:r>
      <w:r w:rsidR="008707A9" w:rsidRPr="008A5994">
        <w:rPr>
          <w:rFonts w:ascii="Book Antiqua" w:hAnsi="Book Antiqua"/>
          <w:color w:val="000000" w:themeColor="text1"/>
          <w:lang w:val="en-US"/>
        </w:rPr>
        <w:fldChar w:fldCharType="end"/>
      </w:r>
      <w:r w:rsidR="008707A9" w:rsidRPr="008A5994">
        <w:rPr>
          <w:rFonts w:ascii="Book Antiqua" w:hAnsi="Book Antiqua"/>
          <w:color w:val="000000" w:themeColor="text1"/>
          <w:lang w:val="en-US"/>
        </w:rPr>
        <w:t>. Our results highlighted the pe</w:t>
      </w:r>
      <w:r>
        <w:rPr>
          <w:rFonts w:ascii="Book Antiqua" w:hAnsi="Book Antiqua"/>
          <w:color w:val="000000" w:themeColor="text1"/>
          <w:lang w:val="en-US"/>
        </w:rPr>
        <w:t xml:space="preserve">rformances of </w:t>
      </w:r>
      <w:proofErr w:type="spellStart"/>
      <w:r>
        <w:rPr>
          <w:rFonts w:ascii="Book Antiqua" w:hAnsi="Book Antiqua"/>
          <w:color w:val="000000" w:themeColor="text1"/>
          <w:lang w:val="en-US"/>
        </w:rPr>
        <w:t>Fcal</w:t>
      </w:r>
      <w:proofErr w:type="spellEnd"/>
      <w:r>
        <w:rPr>
          <w:rFonts w:ascii="Book Antiqua" w:hAnsi="Book Antiqua"/>
          <w:color w:val="000000" w:themeColor="text1"/>
          <w:lang w:val="en-US"/>
        </w:rPr>
        <w:t xml:space="preserve"> improvement [</w:t>
      </w:r>
      <w:r w:rsidR="008707A9" w:rsidRPr="008A5994">
        <w:rPr>
          <w:rFonts w:ascii="Book Antiqua" w:hAnsi="Book Antiqua"/>
          <w:color w:val="000000" w:themeColor="text1"/>
          <w:lang w:val="en-US"/>
        </w:rPr>
        <w:t xml:space="preserve">defined as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&lt; 300 </w:t>
      </w:r>
      <w:proofErr w:type="spellStart"/>
      <w:r w:rsidR="008707A9" w:rsidRPr="008A5994">
        <w:rPr>
          <w:rFonts w:ascii="Book Antiqua" w:hAnsi="Book Antiqua"/>
          <w:color w:val="000000" w:themeColor="text1"/>
          <w:lang w:val="en-US"/>
        </w:rPr>
        <w:t>μg</w:t>
      </w:r>
      <w:proofErr w:type="spellEnd"/>
      <w:r w:rsidR="008707A9" w:rsidRPr="008A5994">
        <w:rPr>
          <w:rFonts w:ascii="Book Antiqua" w:hAnsi="Book Antiqua"/>
          <w:color w:val="000000" w:themeColor="text1"/>
          <w:lang w:val="en-US"/>
        </w:rPr>
        <w:t xml:space="preserve">/g at W12 or, for patients with baseline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&lt; 300 </w:t>
      </w:r>
      <w:proofErr w:type="spellStart"/>
      <w:r w:rsidR="008707A9" w:rsidRPr="008A5994">
        <w:rPr>
          <w:rFonts w:ascii="Book Antiqua" w:hAnsi="Book Antiqua"/>
          <w:color w:val="000000" w:themeColor="text1"/>
          <w:lang w:val="en-US"/>
        </w:rPr>
        <w:t>μg</w:t>
      </w:r>
      <w:proofErr w:type="spellEnd"/>
      <w:r w:rsidR="008707A9" w:rsidRPr="008A5994">
        <w:rPr>
          <w:rFonts w:ascii="Book Antiqua" w:hAnsi="Book Antiqua"/>
          <w:color w:val="000000" w:themeColor="text1"/>
          <w:lang w:val="en-US"/>
        </w:rPr>
        <w:t>/g, at least 50% decrease or nor</w:t>
      </w:r>
      <w:r>
        <w:rPr>
          <w:rFonts w:ascii="Book Antiqua" w:hAnsi="Book Antiqua"/>
          <w:color w:val="000000" w:themeColor="text1"/>
          <w:lang w:val="en-US"/>
        </w:rPr>
        <w:t xml:space="preserve">malization of </w:t>
      </w:r>
      <w:proofErr w:type="spellStart"/>
      <w:r>
        <w:rPr>
          <w:rFonts w:ascii="Book Antiqua" w:hAnsi="Book Antiqua"/>
          <w:color w:val="000000" w:themeColor="text1"/>
          <w:lang w:val="en-US"/>
        </w:rPr>
        <w:t>Fcal</w:t>
      </w:r>
      <w:proofErr w:type="spellEnd"/>
      <w:r>
        <w:rPr>
          <w:rFonts w:ascii="Book Antiqua" w:hAnsi="Book Antiqua"/>
          <w:color w:val="000000" w:themeColor="text1"/>
          <w:lang w:val="en-US"/>
        </w:rPr>
        <w:t xml:space="preserve"> (&lt; 100 </w:t>
      </w:r>
      <w:proofErr w:type="spellStart"/>
      <w:r>
        <w:rPr>
          <w:rFonts w:ascii="Book Antiqua" w:hAnsi="Book Antiqua"/>
          <w:color w:val="000000" w:themeColor="text1"/>
          <w:lang w:val="en-US"/>
        </w:rPr>
        <w:t>μg</w:t>
      </w:r>
      <w:proofErr w:type="spellEnd"/>
      <w:r>
        <w:rPr>
          <w:rFonts w:ascii="Book Antiqua" w:hAnsi="Book Antiqua"/>
          <w:color w:val="000000" w:themeColor="text1"/>
          <w:lang w:val="en-US"/>
        </w:rPr>
        <w:t>/g)]</w:t>
      </w:r>
      <w:r w:rsidR="008707A9" w:rsidRPr="008A5994">
        <w:rPr>
          <w:rFonts w:ascii="Book Antiqua" w:hAnsi="Book Antiqua"/>
          <w:color w:val="000000" w:themeColor="text1"/>
          <w:lang w:val="en-US"/>
        </w:rPr>
        <w:t xml:space="preserve"> to predict CFREM at 1 year: PPV</w:t>
      </w: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w:t>
      </w: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83.3% and NPV</w:t>
      </w: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w:t>
      </w: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 xml:space="preserve">89.3%. We chose to also enroll patients with moderate elevation of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(100-300 µg/g) as it reflects some real-life clinical situations in daily practice. Our data are in line with the three studies available to date on this topic. In a French prospective study including 32 patients with CD receiving anti-TNF therapy,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w:t>
      </w:r>
      <w:r w:rsidR="008707A9" w:rsidRPr="008A5994">
        <w:rPr>
          <w:rFonts w:ascii="Book Antiqua" w:hAnsi="Book Antiqua"/>
          <w:color w:val="000000" w:themeColor="text1"/>
          <w:lang w:val="en-US" w:eastAsia="en-US"/>
        </w:rPr>
        <w:t>level above 82 µg/g at W14</w:t>
      </w:r>
      <w:r w:rsidR="008707A9" w:rsidRPr="008A5994">
        <w:rPr>
          <w:rFonts w:ascii="Book Antiqua" w:hAnsi="Book Antiqua"/>
          <w:color w:val="000000" w:themeColor="text1"/>
          <w:lang w:val="en-US"/>
        </w:rPr>
        <w:t xml:space="preserve"> demonstrated PPV = 85% and NPV = 87% to predict clinical remission within one year using quantitative monoclonal antibody-based enzyme-linked immunosorbent assay (</w:t>
      </w:r>
      <w:proofErr w:type="spellStart"/>
      <w:r w:rsidR="008707A9" w:rsidRPr="008A5994">
        <w:rPr>
          <w:rFonts w:ascii="Book Antiqua" w:hAnsi="Book Antiqua"/>
          <w:color w:val="000000" w:themeColor="text1"/>
          <w:lang w:val="en-US"/>
        </w:rPr>
        <w:t>Bühlmann</w:t>
      </w:r>
      <w:proofErr w:type="spellEnd"/>
      <w:r w:rsidR="008707A9" w:rsidRPr="008A5994">
        <w:rPr>
          <w:rFonts w:ascii="Book Antiqua" w:hAnsi="Book Antiqua"/>
          <w:color w:val="000000" w:themeColor="text1"/>
          <w:lang w:val="en-US"/>
        </w:rPr>
        <w:t xml:space="preserve">, </w:t>
      </w:r>
      <w:proofErr w:type="spellStart"/>
      <w:r w:rsidR="008707A9" w:rsidRPr="008A5994">
        <w:rPr>
          <w:rFonts w:ascii="Book Antiqua" w:hAnsi="Book Antiqua"/>
          <w:color w:val="000000" w:themeColor="text1"/>
          <w:lang w:val="en-US"/>
        </w:rPr>
        <w:t>Schönenbuch</w:t>
      </w:r>
      <w:proofErr w:type="spellEnd"/>
      <w:r w:rsidR="008707A9" w:rsidRPr="008A5994">
        <w:rPr>
          <w:rFonts w:ascii="Book Antiqua" w:hAnsi="Book Antiqua"/>
          <w:color w:val="000000" w:themeColor="text1"/>
          <w:lang w:val="en-US"/>
        </w:rPr>
        <w:t xml:space="preserve">, Switzerland). </w:t>
      </w:r>
      <w:proofErr w:type="spellStart"/>
      <w:r w:rsidR="008707A9" w:rsidRPr="008A5994">
        <w:rPr>
          <w:rFonts w:ascii="Book Antiqua" w:hAnsi="Book Antiqua"/>
          <w:color w:val="000000" w:themeColor="text1"/>
          <w:lang w:val="en-US" w:eastAsia="en-US"/>
        </w:rPr>
        <w:t>Guidi</w:t>
      </w:r>
      <w:proofErr w:type="spellEnd"/>
      <w:r w:rsidR="008707A9" w:rsidRPr="008A5994">
        <w:rPr>
          <w:rFonts w:ascii="Book Antiqua" w:hAnsi="Book Antiqua"/>
          <w:color w:val="000000" w:themeColor="text1"/>
          <w:lang w:val="en-US" w:eastAsia="en-US"/>
        </w:rPr>
        <w:t xml:space="preserve"> and colleagues (</w:t>
      </w:r>
      <w:r w:rsidR="008707A9" w:rsidRPr="00EB1AAA">
        <w:rPr>
          <w:rFonts w:ascii="Book Antiqua" w:hAnsi="Book Antiqua"/>
          <w:i/>
          <w:color w:val="000000" w:themeColor="text1"/>
          <w:lang w:val="en-US" w:eastAsia="en-US"/>
        </w:rPr>
        <w:t>n</w:t>
      </w:r>
      <w:r w:rsidR="008707A9" w:rsidRPr="008A5994">
        <w:rPr>
          <w:rFonts w:ascii="Book Antiqua" w:hAnsi="Book Antiqua"/>
          <w:color w:val="000000" w:themeColor="text1"/>
          <w:lang w:val="en-US" w:eastAsia="en-US"/>
        </w:rPr>
        <w:t xml:space="preserve"> = 44 patients with CD), post-induction level of </w:t>
      </w:r>
      <w:proofErr w:type="spellStart"/>
      <w:r w:rsidR="008707A9" w:rsidRPr="008A5994">
        <w:rPr>
          <w:rFonts w:ascii="Book Antiqua" w:hAnsi="Book Antiqua"/>
          <w:color w:val="000000" w:themeColor="text1"/>
          <w:lang w:val="en-US" w:eastAsia="en-US"/>
        </w:rPr>
        <w:t>Fcal</w:t>
      </w:r>
      <w:proofErr w:type="spellEnd"/>
      <w:r w:rsidR="008707A9" w:rsidRPr="008A5994">
        <w:rPr>
          <w:rFonts w:ascii="Book Antiqua" w:hAnsi="Book Antiqua"/>
          <w:color w:val="000000" w:themeColor="text1"/>
          <w:lang w:val="en-US" w:eastAsia="en-US"/>
        </w:rPr>
        <w:t xml:space="preserve"> ≤ 168 µg/g using enzyme-linked immunosorbent assay (ELISA, </w:t>
      </w:r>
      <w:proofErr w:type="spellStart"/>
      <w:r w:rsidR="008707A9" w:rsidRPr="008A5994">
        <w:rPr>
          <w:rFonts w:ascii="Book Antiqua" w:hAnsi="Book Antiqua"/>
          <w:color w:val="000000" w:themeColor="text1"/>
          <w:lang w:val="en-US" w:eastAsia="en-US"/>
        </w:rPr>
        <w:t>Calprest</w:t>
      </w:r>
      <w:proofErr w:type="spellEnd"/>
      <w:r w:rsidR="008707A9" w:rsidRPr="008A5994">
        <w:rPr>
          <w:rFonts w:ascii="Book Antiqua" w:hAnsi="Book Antiqua"/>
          <w:color w:val="000000" w:themeColor="text1"/>
          <w:lang w:val="en-US" w:eastAsia="en-US"/>
        </w:rPr>
        <w:t xml:space="preserve">, </w:t>
      </w:r>
      <w:proofErr w:type="spellStart"/>
      <w:r w:rsidR="008707A9" w:rsidRPr="008A5994">
        <w:rPr>
          <w:rFonts w:ascii="Book Antiqua" w:hAnsi="Book Antiqua"/>
          <w:color w:val="000000" w:themeColor="text1"/>
          <w:lang w:val="en-US" w:eastAsia="en-US"/>
        </w:rPr>
        <w:t>Eurospitals.p.a</w:t>
      </w:r>
      <w:proofErr w:type="spellEnd"/>
      <w:r w:rsidR="008707A9" w:rsidRPr="008A5994">
        <w:rPr>
          <w:rFonts w:ascii="Book Antiqua" w:hAnsi="Book Antiqua"/>
          <w:color w:val="000000" w:themeColor="text1"/>
          <w:lang w:val="en-US" w:eastAsia="en-US"/>
        </w:rPr>
        <w:t>., Trieste, Italy) was predictive of sustained clinical response with PPV = 81% and NPV = 77%</w:t>
      </w:r>
      <w:r w:rsidR="008707A9" w:rsidRPr="008A5994">
        <w:rPr>
          <w:rFonts w:ascii="Book Antiqua" w:hAnsi="Book Antiqua"/>
          <w:color w:val="000000" w:themeColor="text1"/>
          <w:lang w:val="en-US" w:eastAsia="en-US"/>
        </w:rPr>
        <w:fldChar w:fldCharType="begin"/>
      </w:r>
      <w:r w:rsidR="000B228F" w:rsidRPr="008A5994">
        <w:rPr>
          <w:rFonts w:ascii="Book Antiqua" w:hAnsi="Book Antiqua"/>
          <w:color w:val="000000" w:themeColor="text1"/>
          <w:lang w:val="en-US" w:eastAsia="en-US"/>
        </w:rPr>
        <w:instrText xml:space="preserve"> ADDIN ZOTERO_ITEM CSL_CITATION {"citationID":"2Mj2RhPm","properties":{"formattedCitation":"\\super [15]\\nosupersub{}","plainCitation":"[15]","noteIndex":0},"citationItems":[{"id":"9UJ6C9IN/rqrQmKKs","uris":["http://zotero.org/users/local/DNVHcyNP/items/3H49NVKK"],"uri":["http://zotero.org/users/local/DNVHcyNP/items/3H49NVKK"],"itemData":{"id":"6xSjmwpM/1LQ56Jis","type":"article-journal","title":"Faecal calprotectin assay after induction with anti-Tumour Necrosis Factor α agents in inflammatory bowel disease: Prediction of clinical response and mucosal healing at one year","container-title":"Digestive and Liver Disease","page":"974-979","volume":"46","issue":"11","source":"Crossref","DOI":"10.1016/j.dld.2014.07.013","ISSN":"15908658","shortTitle":"Faecal calprotectin assay after induction with anti-Tumour Necrosis Factor α agents in inflammatory bowel disease","language":"en","author":[{"family":"Guidi","given":"Luisa"},{"family":"Marzo","given":"Manuela"},{"family":"Andrisani","given":"Gianluca"},{"family":"Felice","given":"Carla"},{"family":"Pugliese","given":"Daniela"},{"family":"Mocci","given":"Giammarco"},{"family":"Nardone","given":"Olga"},{"family":"De Vitis","given":"Italo"},{"family":"Papa","given":"Alfredo"},{"family":"Rapaccini","given":"Gianlodovico"},{"family":"Forni","given":"Franca"},{"family":"Armuzzi","given":"Alessandro"}],"issued":{"date-parts":[["2014",11]]}}}],"schema":"https://github.com/citation-style-language/schema/raw/master/csl-citation.json"} </w:instrText>
      </w:r>
      <w:r w:rsidR="008707A9" w:rsidRPr="008A5994">
        <w:rPr>
          <w:rFonts w:ascii="Book Antiqua" w:hAnsi="Book Antiqua"/>
          <w:color w:val="000000" w:themeColor="text1"/>
          <w:lang w:val="en-US" w:eastAsia="en-US"/>
        </w:rPr>
        <w:fldChar w:fldCharType="separate"/>
      </w:r>
      <w:r w:rsidR="000B228F" w:rsidRPr="008A5994">
        <w:rPr>
          <w:rFonts w:ascii="Book Antiqua" w:hAnsi="Book Antiqua"/>
          <w:color w:val="000000" w:themeColor="text1"/>
          <w:vertAlign w:val="superscript"/>
          <w:lang w:val="en-US"/>
        </w:rPr>
        <w:t>[15]</w:t>
      </w:r>
      <w:r w:rsidR="008707A9" w:rsidRPr="008A5994">
        <w:rPr>
          <w:rFonts w:ascii="Book Antiqua" w:hAnsi="Book Antiqua"/>
          <w:color w:val="000000" w:themeColor="text1"/>
          <w:lang w:val="en-US" w:eastAsia="en-US"/>
        </w:rPr>
        <w:fldChar w:fldCharType="end"/>
      </w:r>
      <w:r w:rsidR="008707A9" w:rsidRPr="008A5994">
        <w:rPr>
          <w:rFonts w:ascii="Book Antiqua" w:hAnsi="Book Antiqua"/>
          <w:color w:val="000000" w:themeColor="text1"/>
          <w:lang w:val="en-US" w:eastAsia="en-US"/>
        </w:rPr>
        <w:t xml:space="preserve">. Eventually, </w:t>
      </w:r>
      <w:proofErr w:type="spellStart"/>
      <w:r w:rsidR="008707A9" w:rsidRPr="008A5994">
        <w:rPr>
          <w:rFonts w:ascii="Book Antiqua" w:hAnsi="Book Antiqua"/>
          <w:color w:val="000000" w:themeColor="text1"/>
          <w:lang w:val="en-US" w:eastAsia="en-US"/>
        </w:rPr>
        <w:t>Molander</w:t>
      </w:r>
      <w:proofErr w:type="spellEnd"/>
      <w:r w:rsidR="008707A9" w:rsidRPr="008A5994">
        <w:rPr>
          <w:rFonts w:ascii="Book Antiqua" w:hAnsi="Book Antiqua"/>
          <w:color w:val="000000" w:themeColor="text1"/>
          <w:lang w:val="en-US" w:eastAsia="en-US"/>
        </w:rPr>
        <w:t xml:space="preserve"> </w:t>
      </w:r>
      <w:r>
        <w:rPr>
          <w:rFonts w:ascii="Book Antiqua" w:hAnsi="Book Antiqua"/>
          <w:i/>
          <w:color w:val="000000" w:themeColor="text1"/>
          <w:lang w:val="en-US" w:eastAsia="en-US"/>
        </w:rPr>
        <w:t>et al</w:t>
      </w:r>
      <w:r w:rsidRPr="008A5994">
        <w:rPr>
          <w:rFonts w:ascii="Book Antiqua" w:hAnsi="Book Antiqua"/>
          <w:color w:val="000000" w:themeColor="text1"/>
          <w:lang w:val="en-US" w:eastAsia="en-US"/>
        </w:rPr>
        <w:fldChar w:fldCharType="begin"/>
      </w:r>
      <w:r w:rsidRPr="008A5994">
        <w:rPr>
          <w:rFonts w:ascii="Book Antiqua" w:hAnsi="Book Antiqua"/>
          <w:color w:val="000000" w:themeColor="text1"/>
          <w:lang w:val="en-US" w:eastAsia="en-US"/>
        </w:rPr>
        <w:instrText xml:space="preserve"> ADDIN ZOTERO_ITEM CSL_CITATION {"citationID":"csafgdIC","properties":{"formattedCitation":"\\super [16]\\nosupersub{}","plainCitation":"[16]","noteIndex":0},"citationItems":[{"id":3385,"uris":["http://zotero.org/users/751086/items/B9NNHB26"],"uri":["http://zotero.org/users/751086/items/B9NNHB26"],"itemData":{"id":3385,"type":"article-journal","title":"Fecal calprotectin concentration predicts outcome in inflammatory bowel disease after induction therapy with TNFα blocking agents","container-title":"Inflammatory Bowel Diseases","page":"2011-2017","volume":"18","issue":"11","source":"PubMed","abstract":"BACKGROUND: Fecal calprotectin (FC) concentration is a useful surrogate marker for mucosal healing (MH) during tumor necrosis factor alpha (TNFα)-blocking therapy for inflammatory bowel disease (IBD). Our aim was to evaluate whether a normal FC after induction therapy with TNFα antagonist predicts the outcome of IBD patients during maintenance therapy.\nMETHODS: Sixty IBD patients (34 Crohn's disease [CD], 26 ulcerative colitis [UC]), treated with TNFα antagonists, either infliximab (n = 42) or adalimumab (n = 18), and having a documented FC level at baseline and after induction therapy were included. Disease activity was evaluated by partial Mayo score without endoscopy or Harvey-Bradshaw index at baseline, after induction, and at 12 months during maintenance therapy.\nRESULTS: After induction, FC was normalized (≤ 100 μg/g) in 31 patients (52%, median 42 μg/g, range 0-97), whereas the level remained elevated in 29 patients (48%, median 424 μg/g, range 116-5859). At ≈12 months, 26/31 (84%, 18 CD, 8 UC) of the patients with normal FC after induction were in clinical remission, whereas only 11/29 (38%, 9 CD, 2 UC) of those with an elevated (≥ 100 μg/g) postinduction FC were in clinical remission, P &lt; 0.0001. After induction therapy with TNFα antagonists, a cutoff concentration of 139 μg/g for FC had a sensitivity of 72% and a specificity of 80% to predict a risk of clinically active disease after 1 year.\nCONCLUSIONS: A normal FC after induction therapy with TNFα antagonists predicts sustained clinical remission in the majority of patients on scheduled therapy with active luminal disease.","DOI":"10.1002/ibd.22863","ISSN":"1536-4844","note":"PMID: 22223566","journalAbbreviation":"Inflamm. Bowel Dis.","language":"eng","author":[{"family":"Molander","given":"Pauliina"},{"family":"Björkesten","given":"Clas-Göran","non-dropping-particle":"af"},{"family":"Mustonen","given":"Harri"},{"family":"Haapamäki","given":"Johanna"},{"family":"Vauhkonen","given":"Matti"},{"family":"Kolho","given":"Kaija-Leena"},{"family":"Färkkilä","given":"Martti"},{"family":"Sipponen","given":"Taina"}],"issued":{"date-parts":[["2012",11]]}}}],"schema":"https://github.com/citation-style-language/schema/raw/master/csl-citation.json"} </w:instrText>
      </w:r>
      <w:r w:rsidRPr="008A5994">
        <w:rPr>
          <w:rFonts w:ascii="Book Antiqua" w:hAnsi="Book Antiqua"/>
          <w:color w:val="000000" w:themeColor="text1"/>
          <w:lang w:val="en-US" w:eastAsia="en-US"/>
        </w:rPr>
        <w:fldChar w:fldCharType="separate"/>
      </w:r>
      <w:r w:rsidRPr="008A5994">
        <w:rPr>
          <w:rFonts w:ascii="Book Antiqua" w:hAnsi="Book Antiqua"/>
          <w:color w:val="000000" w:themeColor="text1"/>
          <w:vertAlign w:val="superscript"/>
          <w:lang w:val="en-US"/>
        </w:rPr>
        <w:t>[16]</w:t>
      </w:r>
      <w:r w:rsidRPr="008A5994">
        <w:rPr>
          <w:rFonts w:ascii="Book Antiqua" w:hAnsi="Book Antiqua"/>
          <w:color w:val="000000" w:themeColor="text1"/>
          <w:lang w:val="en-US" w:eastAsia="en-US"/>
        </w:rPr>
        <w:fldChar w:fldCharType="end"/>
      </w:r>
      <w:r w:rsidR="008707A9" w:rsidRPr="008A5994">
        <w:rPr>
          <w:rFonts w:ascii="Book Antiqua" w:hAnsi="Book Antiqua"/>
          <w:i/>
          <w:color w:val="000000" w:themeColor="text1"/>
          <w:lang w:val="en-US" w:eastAsia="en-US"/>
        </w:rPr>
        <w:t xml:space="preserve"> </w:t>
      </w:r>
      <w:r w:rsidR="008707A9" w:rsidRPr="008A5994">
        <w:rPr>
          <w:rFonts w:ascii="Book Antiqua" w:hAnsi="Book Antiqua"/>
          <w:color w:val="000000" w:themeColor="text1"/>
          <w:lang w:val="en-US" w:eastAsia="en-US"/>
        </w:rPr>
        <w:t>found that a post-indu</w:t>
      </w:r>
      <w:r>
        <w:rPr>
          <w:rFonts w:ascii="Book Antiqua" w:hAnsi="Book Antiqua"/>
          <w:color w:val="000000" w:themeColor="text1"/>
          <w:lang w:val="en-US" w:eastAsia="en-US"/>
        </w:rPr>
        <w:t xml:space="preserve">ction level of </w:t>
      </w:r>
      <w:proofErr w:type="spellStart"/>
      <w:r>
        <w:rPr>
          <w:rFonts w:ascii="Book Antiqua" w:hAnsi="Book Antiqua"/>
          <w:color w:val="000000" w:themeColor="text1"/>
          <w:lang w:val="en-US" w:eastAsia="en-US"/>
        </w:rPr>
        <w:t>Fcal</w:t>
      </w:r>
      <w:proofErr w:type="spellEnd"/>
      <w:r>
        <w:rPr>
          <w:rFonts w:ascii="Book Antiqua" w:hAnsi="Book Antiqua"/>
          <w:color w:val="000000" w:themeColor="text1"/>
          <w:lang w:val="en-US" w:eastAsia="en-US"/>
        </w:rPr>
        <w:t xml:space="preserve"> &lt; 139 µg/g [</w:t>
      </w:r>
      <w:r w:rsidR="008707A9" w:rsidRPr="008A5994">
        <w:rPr>
          <w:rFonts w:ascii="Book Antiqua" w:hAnsi="Book Antiqua"/>
          <w:color w:val="000000" w:themeColor="text1"/>
          <w:lang w:val="en-US" w:eastAsia="en-US"/>
        </w:rPr>
        <w:t>measured by a quantitative enzyme immunoassay (</w:t>
      </w:r>
      <w:proofErr w:type="spellStart"/>
      <w:r w:rsidR="008707A9" w:rsidRPr="008A5994">
        <w:rPr>
          <w:rFonts w:ascii="Book Antiqua" w:hAnsi="Book Antiqua"/>
          <w:color w:val="000000" w:themeColor="text1"/>
          <w:lang w:val="en-US" w:eastAsia="en-US"/>
        </w:rPr>
        <w:t>PhiCal</w:t>
      </w:r>
      <w:proofErr w:type="spellEnd"/>
      <w:r w:rsidR="008707A9" w:rsidRPr="008A5994">
        <w:rPr>
          <w:rFonts w:ascii="Book Antiqua" w:hAnsi="Book Antiqua"/>
          <w:color w:val="000000" w:themeColor="text1"/>
          <w:lang w:val="en-US" w:eastAsia="en-US"/>
        </w:rPr>
        <w:t xml:space="preserve"> T</w:t>
      </w:r>
      <w:r>
        <w:rPr>
          <w:rFonts w:ascii="Book Antiqua" w:hAnsi="Book Antiqua"/>
          <w:color w:val="000000" w:themeColor="text1"/>
          <w:lang w:val="en-US" w:eastAsia="en-US"/>
        </w:rPr>
        <w:t xml:space="preserve">est, </w:t>
      </w:r>
      <w:proofErr w:type="spellStart"/>
      <w:r>
        <w:rPr>
          <w:rFonts w:ascii="Book Antiqua" w:hAnsi="Book Antiqua"/>
          <w:color w:val="000000" w:themeColor="text1"/>
          <w:lang w:val="en-US" w:eastAsia="en-US"/>
        </w:rPr>
        <w:t>Calpro</w:t>
      </w:r>
      <w:proofErr w:type="spellEnd"/>
      <w:r>
        <w:rPr>
          <w:rFonts w:ascii="Book Antiqua" w:hAnsi="Book Antiqua"/>
          <w:color w:val="000000" w:themeColor="text1"/>
          <w:lang w:val="en-US" w:eastAsia="en-US"/>
        </w:rPr>
        <w:t>, Oslo, Norway)]</w:t>
      </w:r>
      <w:r w:rsidR="008707A9" w:rsidRPr="008A5994">
        <w:rPr>
          <w:rFonts w:ascii="Book Antiqua" w:hAnsi="Book Antiqua"/>
          <w:color w:val="000000" w:themeColor="text1"/>
          <w:lang w:val="en-US" w:eastAsia="en-US"/>
        </w:rPr>
        <w:t xml:space="preserve"> predicted</w:t>
      </w:r>
      <w:r w:rsidR="007E1FD5">
        <w:rPr>
          <w:rFonts w:ascii="Book Antiqua" w:hAnsi="Book Antiqua"/>
          <w:color w:val="000000" w:themeColor="text1"/>
          <w:lang w:val="en-US" w:eastAsia="en-US"/>
        </w:rPr>
        <w:t xml:space="preserve"> </w:t>
      </w:r>
      <w:r w:rsidR="008707A9" w:rsidRPr="008A5994">
        <w:rPr>
          <w:rFonts w:ascii="Book Antiqua" w:hAnsi="Book Antiqua"/>
          <w:color w:val="000000" w:themeColor="text1"/>
          <w:lang w:val="en-US" w:eastAsia="en-US"/>
        </w:rPr>
        <w:t xml:space="preserve">the risk of relapse in 34 patients with CD treated with anti-TNF agents. The heterogeneity of these thresholds is explained by the difference of assays used across the studies. IBD physicians have to be aware of these variations between the different assays to </w:t>
      </w:r>
      <w:r w:rsidR="008707A9" w:rsidRPr="008A5994">
        <w:rPr>
          <w:rFonts w:ascii="Book Antiqua" w:hAnsi="Book Antiqua"/>
          <w:color w:val="000000" w:themeColor="text1"/>
          <w:lang w:val="en-US" w:eastAsia="en-US"/>
        </w:rPr>
        <w:lastRenderedPageBreak/>
        <w:t xml:space="preserve">measure </w:t>
      </w:r>
      <w:proofErr w:type="spellStart"/>
      <w:r w:rsidR="008707A9" w:rsidRPr="008A5994">
        <w:rPr>
          <w:rFonts w:ascii="Book Antiqua" w:hAnsi="Book Antiqua"/>
          <w:color w:val="000000" w:themeColor="text1"/>
          <w:lang w:val="en-US" w:eastAsia="en-US"/>
        </w:rPr>
        <w:t>FCal</w:t>
      </w:r>
      <w:proofErr w:type="spellEnd"/>
      <w:r w:rsidR="008707A9" w:rsidRPr="008A5994">
        <w:rPr>
          <w:rFonts w:ascii="Book Antiqua" w:hAnsi="Book Antiqua"/>
          <w:color w:val="000000" w:themeColor="text1"/>
          <w:lang w:val="en-US" w:eastAsia="en-US"/>
        </w:rPr>
        <w:t xml:space="preserve"> when they make a decision based on </w:t>
      </w:r>
      <w:proofErr w:type="spellStart"/>
      <w:r w:rsidR="008707A9" w:rsidRPr="008A5994">
        <w:rPr>
          <w:rFonts w:ascii="Book Antiqua" w:hAnsi="Book Antiqua"/>
          <w:color w:val="000000" w:themeColor="text1"/>
          <w:lang w:val="en-US" w:eastAsia="en-US"/>
        </w:rPr>
        <w:t>Fcal</w:t>
      </w:r>
      <w:proofErr w:type="spellEnd"/>
      <w:r w:rsidR="008707A9" w:rsidRPr="008A5994">
        <w:rPr>
          <w:rFonts w:ascii="Book Antiqua" w:hAnsi="Book Antiqua"/>
          <w:color w:val="000000" w:themeColor="text1"/>
          <w:lang w:val="en-US" w:eastAsia="en-US"/>
        </w:rPr>
        <w:t xml:space="preserve"> cut-off values. We strongly encourage IBD physicians to use the same assays when assessing the variation of </w:t>
      </w:r>
      <w:proofErr w:type="spellStart"/>
      <w:r w:rsidR="008707A9" w:rsidRPr="008A5994">
        <w:rPr>
          <w:rFonts w:ascii="Book Antiqua" w:hAnsi="Book Antiqua"/>
          <w:color w:val="000000" w:themeColor="text1"/>
          <w:lang w:val="en-US" w:eastAsia="en-US"/>
        </w:rPr>
        <w:t>Fcal</w:t>
      </w:r>
      <w:proofErr w:type="spellEnd"/>
      <w:r w:rsidR="008707A9" w:rsidRPr="008A5994">
        <w:rPr>
          <w:rFonts w:ascii="Book Antiqua" w:hAnsi="Book Antiqua"/>
          <w:color w:val="000000" w:themeColor="text1"/>
          <w:lang w:val="en-US" w:eastAsia="en-US"/>
        </w:rPr>
        <w:t xml:space="preserve"> under treatment in a same patient. A study comparing six commercially available assays underlined that </w:t>
      </w:r>
      <w:proofErr w:type="spellStart"/>
      <w:r w:rsidR="008707A9" w:rsidRPr="008A5994">
        <w:rPr>
          <w:rFonts w:ascii="Book Antiqua" w:hAnsi="Book Antiqua"/>
          <w:color w:val="000000" w:themeColor="text1"/>
          <w:lang w:val="en-US" w:eastAsia="en-US"/>
        </w:rPr>
        <w:t>Fcal</w:t>
      </w:r>
      <w:proofErr w:type="spellEnd"/>
      <w:r w:rsidR="008707A9" w:rsidRPr="008A5994">
        <w:rPr>
          <w:rFonts w:ascii="Book Antiqua" w:hAnsi="Book Antiqua"/>
          <w:color w:val="000000" w:themeColor="text1"/>
          <w:lang w:val="en-US" w:eastAsia="en-US"/>
        </w:rPr>
        <w:t xml:space="preserve"> level may vary with up to 5-fold quantitative differences between assays</w:t>
      </w:r>
      <w:r w:rsidR="008707A9" w:rsidRPr="008A5994">
        <w:rPr>
          <w:rFonts w:ascii="Book Antiqua" w:hAnsi="Book Antiqua"/>
          <w:color w:val="000000" w:themeColor="text1"/>
          <w:lang w:val="en-US" w:eastAsia="en-US"/>
        </w:rPr>
        <w:fldChar w:fldCharType="begin"/>
      </w:r>
      <w:r w:rsidR="000B228F" w:rsidRPr="008A5994">
        <w:rPr>
          <w:rFonts w:ascii="Book Antiqua" w:hAnsi="Book Antiqua"/>
          <w:color w:val="000000" w:themeColor="text1"/>
          <w:lang w:val="en-US" w:eastAsia="en-US"/>
        </w:rPr>
        <w:instrText xml:space="preserve"> ADDIN ZOTERO_ITEM CSL_CITATION {"citationID":"bDaRaTfv","properties":{"formattedCitation":"\\super [17]\\nosupersub{}","plainCitation":"[17]","noteIndex":0},"citationItems":[{"id":"9UJ6C9IN/GlDjKeRo","uris":["http://zotero.org/users/local/DNVHcyNP/items/CAF4FVV5"],"uri":["http://zotero.org/users/local/DNVHcyNP/items/CAF4FVV5"],"itemData":{"id":"6xSjmwpM/OIHYWtIp","type":"article-journal","title":"Comparison of six different calprotectin assays for the assessment of inflammatory bowel disease","container-title":"United European Gastroenterology Journal","page":"30-37","volume":"2","issue":"1","source":"PubMed Central","abstract":"Background and objectives\nFaecal calprotectin is a valuable noninvasive marker for inflammatory bowel disease (IBD). The aim of our study was to determine the correlation between six different calprotectin assays and compare their performance for diagnosis and follow up of IBD.\n\nMethods\nThirty-one patients with suspected IBD and 31 patients in follow up were included. We determined calprotectin by means of three rapid immmunochromatographic tests, two enzyme-linked immunosorbent assays, and one automated fluoroimmunoassay. Results were correlated with endoscopic and histological findings.\n\nResults\nAlthough all methods correlated significantly, slopes and intercepts differed extensively, with up to 5-fold quantitative differences between assays. Sensitivity and specificity for diagnosis of IBD were 82–83 and 84–89%, respectively. For follow up, sensitivity in detecting mild ulcerative colitis was 71–100%. In moderate-to-severe ulcerative colitis, sensitivity was 100% for all assays. Specificity was 67–86% in both subgroups. In Crohn’s disease, only moderate-to-severe disease could be differentiated from remission, with sensitivity 83–86% and specificity 75% for all tests.\n\nConclusions\nAll calprotectin assays showed comparable clinical performance for diagnosis of IBD. For follow up, performance was acceptable, except for mild Crohn’s disease. Because of the large quantitative differences, further efforts are needed to standardize calprotectin assays.","DOI":"10.1177/2050640613518201","ISSN":"2050-6406","note":"PMID: 24918006\nPMCID: PMC4040805","journalAbbreviation":"United European Gastroenterol J","author":[{"family":"Labaere","given":"Delphine"},{"family":"Smismans","given":"Annick"},{"family":"Van Olmen","given":"August"},{"family":"Christiaens","given":"Paul"},{"family":"D’Haens","given":"Geert"},{"family":"Moons","given":"Veerle"},{"family":"Cuyle","given":"Pieter-Jan"},{"family":"Frans","given":"Johan"},{"family":"Bossuyt","given":"Peter"}],"issued":{"date-parts":[["2014",2]]}}}],"schema":"https://github.com/citation-style-language/schema/raw/master/csl-citation.json"} </w:instrText>
      </w:r>
      <w:r w:rsidR="008707A9" w:rsidRPr="008A5994">
        <w:rPr>
          <w:rFonts w:ascii="Book Antiqua" w:hAnsi="Book Antiqua"/>
          <w:color w:val="000000" w:themeColor="text1"/>
          <w:lang w:val="en-US" w:eastAsia="en-US"/>
        </w:rPr>
        <w:fldChar w:fldCharType="separate"/>
      </w:r>
      <w:r w:rsidR="000B228F" w:rsidRPr="008A5994">
        <w:rPr>
          <w:rFonts w:ascii="Book Antiqua" w:hAnsi="Book Antiqua"/>
          <w:color w:val="000000" w:themeColor="text1"/>
          <w:vertAlign w:val="superscript"/>
          <w:lang w:val="en-US"/>
        </w:rPr>
        <w:t>[17]</w:t>
      </w:r>
      <w:r w:rsidR="008707A9" w:rsidRPr="008A5994">
        <w:rPr>
          <w:rFonts w:ascii="Book Antiqua" w:hAnsi="Book Antiqua"/>
          <w:color w:val="000000" w:themeColor="text1"/>
          <w:lang w:val="en-US" w:eastAsia="en-US"/>
        </w:rPr>
        <w:fldChar w:fldCharType="end"/>
      </w:r>
      <w:r w:rsidR="008707A9" w:rsidRPr="008A5994">
        <w:rPr>
          <w:rFonts w:ascii="Book Antiqua" w:hAnsi="Book Antiqua"/>
          <w:color w:val="000000" w:themeColor="text1"/>
          <w:lang w:val="en-US" w:eastAsia="en-US"/>
        </w:rPr>
        <w:t>.</w:t>
      </w:r>
    </w:p>
    <w:p w14:paraId="7F9A9C7B" w14:textId="44CBDA88" w:rsidR="008707A9" w:rsidRPr="008A5994" w:rsidRDefault="00EB1AAA"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The CALM trial was designed considering that the use of biomarkers could improve patients</w:t>
      </w:r>
      <w:r w:rsidR="00A555A0">
        <w:rPr>
          <w:rFonts w:ascii="Book Antiqua" w:hAnsi="Book Antiqua"/>
          <w:color w:val="000000" w:themeColor="text1"/>
          <w:lang w:val="en-US"/>
        </w:rPr>
        <w:t>’</w:t>
      </w:r>
      <w:r w:rsidR="008707A9" w:rsidRPr="008A5994">
        <w:rPr>
          <w:rFonts w:ascii="Book Antiqua" w:hAnsi="Book Antiqua"/>
          <w:color w:val="000000" w:themeColor="text1"/>
          <w:lang w:val="en-US"/>
        </w:rPr>
        <w:t xml:space="preserve"> outcomes without real evidence of it. Since the publication of this study, the authors insisted on the role of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to monitor patients with CD. However, what is the part of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CRP and CDAI remains questionable. It is why we decided to investigate the specific role and the potential complementarity of these three biomarkers. In our study, we observed that achieving CDAI &lt; 150, CRP normalization and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improvement was the best combination and led to a PPV of 100</w:t>
      </w:r>
      <w:r w:rsidR="00A555A0">
        <w:rPr>
          <w:rFonts w:ascii="Book Antiqua" w:hAnsi="Book Antiqua"/>
          <w:color w:val="000000" w:themeColor="text1"/>
          <w:lang w:val="en-US"/>
        </w:rPr>
        <w:t>%</w:t>
      </w:r>
      <w:r w:rsidR="008707A9" w:rsidRPr="008A5994">
        <w:rPr>
          <w:rFonts w:ascii="Book Antiqua" w:hAnsi="Book Antiqua"/>
          <w:color w:val="000000" w:themeColor="text1"/>
          <w:lang w:val="en-US"/>
        </w:rPr>
        <w:t xml:space="preserve"> with substantial NPV (87.1%) for the prediction of CFREM at </w:t>
      </w:r>
      <w:r>
        <w:rPr>
          <w:rFonts w:ascii="Book Antiqua" w:hAnsi="Book Antiqua"/>
          <w:color w:val="000000" w:themeColor="text1"/>
          <w:lang w:val="en-US"/>
        </w:rPr>
        <w:t>W</w:t>
      </w:r>
      <w:r w:rsidR="008707A9" w:rsidRPr="008A5994">
        <w:rPr>
          <w:rFonts w:ascii="Book Antiqua" w:hAnsi="Book Antiqua"/>
          <w:color w:val="000000" w:themeColor="text1"/>
          <w:lang w:val="en-US"/>
        </w:rPr>
        <w:t>52. This result could mean that the surveillance scheduled every three months in the CALM trial could be slightly lightened in patients achieving this endpoint after induction therapy and extended to every 6 mo.</w:t>
      </w:r>
    </w:p>
    <w:p w14:paraId="57C3AA83" w14:textId="0F0A7A24" w:rsidR="008707A9" w:rsidRPr="008A5994" w:rsidRDefault="00EB1AAA" w:rsidP="008A5994">
      <w:pPr>
        <w:adjustRightInd w:val="0"/>
        <w:snapToGrid w:val="0"/>
        <w:spacing w:line="360" w:lineRule="auto"/>
        <w:jc w:val="both"/>
        <w:rPr>
          <w:rFonts w:ascii="Book Antiqua" w:hAnsi="Book Antiqua"/>
          <w:color w:val="000000" w:themeColor="text1"/>
          <w:lang w:val="en-US" w:eastAsia="en-US"/>
        </w:rPr>
      </w:pP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The main limitations of our study are the lack of endoscopic evaluation at W52 and the relative small number of patients even though our sample size calculation showed that it was appropriate</w:t>
      </w:r>
      <w:r w:rsidR="008707A9" w:rsidRPr="008A5994">
        <w:rPr>
          <w:rFonts w:ascii="Book Antiqua" w:hAnsi="Book Antiqua"/>
          <w:color w:val="000000" w:themeColor="text1"/>
          <w:lang w:val="en-US" w:eastAsia="en-US"/>
        </w:rPr>
        <w:t xml:space="preserve">. However, we investigated prospectively with a suitable power the performances of each item of the CALM criteria and their combinations to predict favorable outcomes in patients with CD. </w:t>
      </w:r>
    </w:p>
    <w:p w14:paraId="7EAFAFB4" w14:textId="1FFC6323" w:rsidR="008707A9" w:rsidRPr="008A5994" w:rsidRDefault="00EB1AAA"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8707A9" w:rsidRPr="008A5994">
        <w:rPr>
          <w:rFonts w:ascii="Book Antiqua" w:hAnsi="Book Antiqua"/>
          <w:color w:val="000000" w:themeColor="text1"/>
          <w:lang w:val="en-US"/>
        </w:rPr>
        <w:t xml:space="preserve">In conclusion, the </w:t>
      </w:r>
      <w:r w:rsidR="001A0541" w:rsidRPr="008A5994">
        <w:rPr>
          <w:rFonts w:ascii="Book Antiqua" w:hAnsi="Book Antiqua"/>
          <w:color w:val="000000" w:themeColor="text1"/>
          <w:lang w:val="en-US"/>
        </w:rPr>
        <w:t xml:space="preserve">combined </w:t>
      </w:r>
      <w:r w:rsidR="008707A9" w:rsidRPr="008A5994">
        <w:rPr>
          <w:rFonts w:ascii="Book Antiqua" w:hAnsi="Book Antiqua"/>
          <w:color w:val="000000" w:themeColor="text1"/>
          <w:lang w:val="en-US"/>
        </w:rPr>
        <w:t xml:space="preserve">monitoring of CDAI, CRP and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after anti-TNF induction therapy is able to predict favorable outcome within one year in patients with CD. The most impactful biomarker was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among these three biomarkers. Our results should lead IBD physicians to monitor patients with CD using a tight control strategy based on CDAI, CRP and </w:t>
      </w:r>
      <w:proofErr w:type="spellStart"/>
      <w:r w:rsidR="008707A9" w:rsidRPr="008A5994">
        <w:rPr>
          <w:rFonts w:ascii="Book Antiqua" w:hAnsi="Book Antiqua"/>
          <w:color w:val="000000" w:themeColor="text1"/>
          <w:lang w:val="en-US"/>
        </w:rPr>
        <w:t>Fcal</w:t>
      </w:r>
      <w:proofErr w:type="spellEnd"/>
      <w:r w:rsidR="008707A9" w:rsidRPr="008A5994">
        <w:rPr>
          <w:rFonts w:ascii="Book Antiqua" w:hAnsi="Book Antiqua"/>
          <w:color w:val="000000" w:themeColor="text1"/>
          <w:lang w:val="en-US"/>
        </w:rPr>
        <w:t xml:space="preserve"> in daily practice.</w:t>
      </w:r>
    </w:p>
    <w:p w14:paraId="5DE13C4C" w14:textId="77777777" w:rsidR="00EB1AAA" w:rsidRDefault="00EB1AAA" w:rsidP="00EB1AAA">
      <w:pPr>
        <w:adjustRightInd w:val="0"/>
        <w:snapToGrid w:val="0"/>
        <w:spacing w:line="360" w:lineRule="auto"/>
        <w:jc w:val="both"/>
        <w:rPr>
          <w:rFonts w:ascii="Book Antiqua" w:hAnsi="Book Antiqua" w:cs="Segoe UI"/>
          <w:b/>
          <w:caps/>
          <w:color w:val="000000" w:themeColor="text1"/>
          <w:shd w:val="clear" w:color="auto" w:fill="FFFFFF"/>
          <w:lang w:val="en-US"/>
        </w:rPr>
      </w:pPr>
      <w:bookmarkStart w:id="122" w:name="OLE_LINK151"/>
      <w:bookmarkStart w:id="123" w:name="OLE_LINK259"/>
      <w:bookmarkStart w:id="124" w:name="OLE_LINK158"/>
      <w:bookmarkStart w:id="125" w:name="OLE_LINK159"/>
      <w:bookmarkStart w:id="126" w:name="OLE_LINK205"/>
      <w:bookmarkStart w:id="127" w:name="OLE_LINK206"/>
      <w:bookmarkStart w:id="128" w:name="OLE_LINK244"/>
      <w:bookmarkStart w:id="129" w:name="OLE_LINK245"/>
      <w:bookmarkStart w:id="130" w:name="OLE_LINK11"/>
      <w:bookmarkStart w:id="131" w:name="OLE_LINK12"/>
      <w:bookmarkStart w:id="132" w:name="OLE_LINK23"/>
      <w:bookmarkStart w:id="133" w:name="OLE_LINK24"/>
      <w:bookmarkStart w:id="134" w:name="OLE_LINK316"/>
      <w:bookmarkStart w:id="135" w:name="OLE_LINK332"/>
      <w:bookmarkStart w:id="136" w:name="OLE_LINK521"/>
      <w:bookmarkStart w:id="137" w:name="OLE_LINK403"/>
      <w:bookmarkStart w:id="138" w:name="OLE_LINK560"/>
    </w:p>
    <w:p w14:paraId="4D21890C" w14:textId="6E661930" w:rsidR="00AB2771" w:rsidRPr="00EB1AAA" w:rsidRDefault="00AB2771" w:rsidP="00EB1AAA">
      <w:pPr>
        <w:adjustRightInd w:val="0"/>
        <w:snapToGrid w:val="0"/>
        <w:spacing w:line="360" w:lineRule="auto"/>
        <w:jc w:val="both"/>
        <w:rPr>
          <w:rFonts w:ascii="Book Antiqua" w:hAnsi="Book Antiqua" w:cs="Segoe UI"/>
          <w:b/>
          <w:caps/>
          <w:color w:val="000000" w:themeColor="text1"/>
          <w:shd w:val="clear" w:color="auto" w:fill="FFFFFF"/>
          <w:lang w:val="en-US"/>
        </w:rPr>
      </w:pPr>
      <w:r w:rsidRPr="008A5994">
        <w:rPr>
          <w:rFonts w:ascii="Book Antiqua" w:hAnsi="Book Antiqua" w:cs="Segoe UI"/>
          <w:b/>
          <w:caps/>
          <w:color w:val="000000" w:themeColor="text1"/>
          <w:shd w:val="clear" w:color="auto" w:fill="FFFFFF"/>
          <w:lang w:val="en-US"/>
        </w:rPr>
        <w:t xml:space="preserve">Article Highlights  </w:t>
      </w:r>
    </w:p>
    <w:p w14:paraId="1A935CE4" w14:textId="77777777" w:rsidR="00AB2771" w:rsidRPr="008A5994" w:rsidRDefault="00AB2771" w:rsidP="00A555A0">
      <w:pPr>
        <w:adjustRightInd w:val="0"/>
        <w:snapToGrid w:val="0"/>
        <w:spacing w:line="360" w:lineRule="auto"/>
        <w:jc w:val="both"/>
        <w:outlineLvl w:val="0"/>
        <w:rPr>
          <w:rFonts w:ascii="Book Antiqua" w:hAnsi="Book Antiqua"/>
          <w:b/>
          <w:i/>
          <w:color w:val="000000" w:themeColor="text1"/>
          <w:lang w:val="en-US"/>
        </w:rPr>
      </w:pPr>
      <w:r w:rsidRPr="008A5994">
        <w:rPr>
          <w:rFonts w:ascii="Book Antiqua" w:hAnsi="Book Antiqua"/>
          <w:b/>
          <w:i/>
          <w:color w:val="000000" w:themeColor="text1"/>
          <w:lang w:val="en-US"/>
        </w:rPr>
        <w:t>Research background</w:t>
      </w:r>
    </w:p>
    <w:p w14:paraId="3D8DEB5D" w14:textId="2C415AB5" w:rsidR="003F1310" w:rsidRPr="008A5994" w:rsidRDefault="003F1310" w:rsidP="008A5994">
      <w:pPr>
        <w:widowControl w:val="0"/>
        <w:autoSpaceDE w:val="0"/>
        <w:autoSpaceDN w:val="0"/>
        <w:adjustRightInd w:val="0"/>
        <w:snapToGrid w:val="0"/>
        <w:spacing w:line="360" w:lineRule="auto"/>
        <w:jc w:val="both"/>
        <w:rPr>
          <w:rFonts w:ascii="Book Antiqua" w:hAnsi="Book Antiqua"/>
          <w:color w:val="000000" w:themeColor="text1"/>
          <w:lang w:val="en-US"/>
        </w:rPr>
      </w:pPr>
      <w:r w:rsidRPr="008A5994">
        <w:rPr>
          <w:rFonts w:ascii="Book Antiqua" w:hAnsi="Book Antiqua"/>
          <w:color w:val="000000" w:themeColor="text1"/>
          <w:lang w:val="en-US"/>
        </w:rPr>
        <w:t>Crohn</w:t>
      </w:r>
      <w:r w:rsidR="00A555A0">
        <w:rPr>
          <w:rFonts w:ascii="Book Antiqua" w:hAnsi="Book Antiqua"/>
          <w:color w:val="000000" w:themeColor="text1"/>
          <w:lang w:val="en-US"/>
        </w:rPr>
        <w:t>’</w:t>
      </w:r>
      <w:r w:rsidRPr="008A5994">
        <w:rPr>
          <w:rFonts w:ascii="Book Antiqua" w:hAnsi="Book Antiqua"/>
          <w:color w:val="000000" w:themeColor="text1"/>
          <w:lang w:val="en-US"/>
        </w:rPr>
        <w:t>s disease (CD) is a</w:t>
      </w:r>
      <w:r w:rsidRPr="008A5994">
        <w:rPr>
          <w:rFonts w:ascii="Book Antiqua" w:hAnsi="Book Antiqua"/>
          <w:b/>
          <w:color w:val="000000" w:themeColor="text1"/>
          <w:lang w:val="en-US"/>
        </w:rPr>
        <w:t xml:space="preserve"> </w:t>
      </w:r>
      <w:r w:rsidRPr="008A5994">
        <w:rPr>
          <w:rFonts w:ascii="Book Antiqua" w:hAnsi="Book Antiqua"/>
          <w:color w:val="000000" w:themeColor="text1"/>
          <w:lang w:val="en-US" w:eastAsia="en-US"/>
        </w:rPr>
        <w:t>chronic and disabling disorder that can highly affect quality of life.</w:t>
      </w:r>
      <w:r w:rsidR="00FF5C7A" w:rsidRPr="008A5994">
        <w:rPr>
          <w:rFonts w:ascii="Book Antiqua" w:hAnsi="Book Antiqua"/>
          <w:color w:val="000000" w:themeColor="text1"/>
          <w:lang w:val="en-US" w:eastAsia="en-US"/>
        </w:rPr>
        <w:t xml:space="preserve"> </w:t>
      </w:r>
      <w:proofErr w:type="spellStart"/>
      <w:r w:rsidRPr="008A5994">
        <w:rPr>
          <w:rFonts w:ascii="Book Antiqua" w:hAnsi="Book Antiqua"/>
          <w:color w:val="000000" w:themeColor="text1"/>
          <w:lang w:val="en-US" w:eastAsia="en-US"/>
        </w:rPr>
        <w:t>Faecal</w:t>
      </w:r>
      <w:proofErr w:type="spellEnd"/>
      <w:r w:rsidRPr="008A5994">
        <w:rPr>
          <w:rFonts w:ascii="Book Antiqua" w:hAnsi="Book Antiqua"/>
          <w:color w:val="000000" w:themeColor="text1"/>
          <w:lang w:val="en-US" w:eastAsia="en-US"/>
        </w:rPr>
        <w:t xml:space="preserve"> calprotectin (</w:t>
      </w:r>
      <w:proofErr w:type="spellStart"/>
      <w:r w:rsidRPr="008A5994">
        <w:rPr>
          <w:rFonts w:ascii="Book Antiqua" w:hAnsi="Book Antiqua"/>
          <w:color w:val="000000" w:themeColor="text1"/>
          <w:lang w:val="en-US" w:eastAsia="en-US"/>
        </w:rPr>
        <w:t>Fcal</w:t>
      </w:r>
      <w:proofErr w:type="spellEnd"/>
      <w:r w:rsidRPr="008A5994">
        <w:rPr>
          <w:rFonts w:ascii="Book Antiqua" w:hAnsi="Book Antiqua"/>
          <w:color w:val="000000" w:themeColor="text1"/>
          <w:lang w:val="en-US" w:eastAsia="en-US"/>
        </w:rPr>
        <w:t xml:space="preserve">) is a well-accepted monitoring tool and a surrogate </w:t>
      </w:r>
      <w:r w:rsidRPr="008A5994">
        <w:rPr>
          <w:rFonts w:ascii="Book Antiqua" w:hAnsi="Book Antiqua"/>
          <w:color w:val="000000" w:themeColor="text1"/>
          <w:lang w:val="en-US" w:eastAsia="en-US"/>
        </w:rPr>
        <w:lastRenderedPageBreak/>
        <w:t>marker of mucosal healing and could then be an alternative</w:t>
      </w:r>
      <w:r w:rsidR="00FF5C7A" w:rsidRPr="008A5994">
        <w:rPr>
          <w:rFonts w:ascii="Book Antiqua" w:hAnsi="Book Antiqua"/>
          <w:color w:val="000000" w:themeColor="text1"/>
          <w:lang w:val="en-US" w:eastAsia="en-US"/>
        </w:rPr>
        <w:t xml:space="preserve"> to endoscopy</w:t>
      </w:r>
      <w:r w:rsidRPr="008A5994">
        <w:rPr>
          <w:rFonts w:ascii="Book Antiqua" w:hAnsi="Book Antiqua"/>
          <w:color w:val="000000" w:themeColor="text1"/>
          <w:lang w:val="en-US" w:eastAsia="en-US"/>
        </w:rPr>
        <w:t>. Recently, the CALM trial compared two ways of monitoring patients with inflammatory bowel disease (IBD) treated with adalimumab. The authors reported that</w:t>
      </w:r>
      <w:r w:rsidRPr="008A5994">
        <w:rPr>
          <w:rFonts w:ascii="Book Antiqua" w:hAnsi="Book Antiqua" w:cs="Times"/>
          <w:color w:val="000000" w:themeColor="text1"/>
          <w:lang w:val="en-US" w:eastAsia="en-US"/>
        </w:rPr>
        <w:t xml:space="preserve"> the group monitored using a tight control of inflammation with objective markers of disease activity and clinical symptoms to drive treatment decisions, achieved better endoscopic and clinical outcomes than conventional monitoring</w:t>
      </w:r>
      <w:r w:rsidRPr="008A5994">
        <w:rPr>
          <w:rFonts w:ascii="Book Antiqua" w:hAnsi="Book Antiqua"/>
          <w:b/>
          <w:color w:val="000000" w:themeColor="text1"/>
          <w:lang w:val="en-US"/>
        </w:rPr>
        <w:t xml:space="preserve">. </w:t>
      </w:r>
      <w:r w:rsidRPr="008A5994">
        <w:rPr>
          <w:rFonts w:ascii="Book Antiqua" w:hAnsi="Book Antiqua"/>
          <w:color w:val="000000" w:themeColor="text1"/>
          <w:lang w:val="en-US"/>
        </w:rPr>
        <w:t xml:space="preserve">In a </w:t>
      </w:r>
      <w:r w:rsidRPr="008A5994">
        <w:rPr>
          <w:rFonts w:ascii="Book Antiqua" w:hAnsi="Book Antiqua"/>
          <w:i/>
          <w:color w:val="000000" w:themeColor="text1"/>
          <w:lang w:val="en-US"/>
        </w:rPr>
        <w:t xml:space="preserve">post-hoc </w:t>
      </w:r>
      <w:bookmarkStart w:id="139" w:name="OLE_LINK542"/>
      <w:bookmarkStart w:id="140" w:name="OLE_LINK543"/>
      <w:r w:rsidRPr="00EB1AAA">
        <w:rPr>
          <w:rFonts w:ascii="Book Antiqua" w:hAnsi="Book Antiqua"/>
          <w:color w:val="000000" w:themeColor="text1"/>
          <w:lang w:val="en-US"/>
        </w:rPr>
        <w:t xml:space="preserve">analysis </w:t>
      </w:r>
      <w:bookmarkEnd w:id="139"/>
      <w:bookmarkEnd w:id="140"/>
      <w:r w:rsidRPr="008A5994">
        <w:rPr>
          <w:rFonts w:ascii="Book Antiqua" w:hAnsi="Book Antiqua"/>
          <w:color w:val="000000" w:themeColor="text1"/>
          <w:lang w:val="en-US"/>
        </w:rPr>
        <w:t>of this</w:t>
      </w:r>
      <w:r w:rsidRPr="008A5994">
        <w:rPr>
          <w:rFonts w:ascii="Book Antiqua" w:hAnsi="Book Antiqua"/>
          <w:b/>
          <w:color w:val="000000" w:themeColor="text1"/>
          <w:lang w:val="en-US"/>
        </w:rPr>
        <w:t xml:space="preserve"> </w:t>
      </w:r>
      <w:r w:rsidRPr="008A5994">
        <w:rPr>
          <w:rFonts w:ascii="Book Antiqua" w:hAnsi="Book Antiqua"/>
          <w:color w:val="000000" w:themeColor="text1"/>
          <w:lang w:val="en-US"/>
        </w:rPr>
        <w:t xml:space="preserve">study, the authors reported that most of the therapeutic intensification were related to increased level of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in the </w:t>
      </w:r>
      <w:r w:rsidRPr="008A5994">
        <w:rPr>
          <w:rFonts w:ascii="Book Antiqua" w:hAnsi="Book Antiqua"/>
          <w:color w:val="000000" w:themeColor="text1"/>
          <w:lang w:val="en-US" w:eastAsia="en-US"/>
        </w:rPr>
        <w:t>tight control group</w:t>
      </w:r>
      <w:r w:rsidRPr="008A5994">
        <w:rPr>
          <w:rFonts w:ascii="Book Antiqua" w:hAnsi="Book Antiqua"/>
          <w:color w:val="000000" w:themeColor="text1"/>
          <w:lang w:val="en-US"/>
        </w:rPr>
        <w:t xml:space="preserve">. However, even though the conclusion of this landmark trial encourages IBD physicians to use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testing in daily practice, the authors did not explore specifically the value of each marker, </w:t>
      </w:r>
      <w:r w:rsidRPr="008A5994">
        <w:rPr>
          <w:rFonts w:ascii="Book Antiqua" w:hAnsi="Book Antiqua"/>
          <w:i/>
          <w:color w:val="000000" w:themeColor="text1"/>
          <w:lang w:val="en-US"/>
        </w:rPr>
        <w:t>i.e.</w:t>
      </w:r>
      <w:r w:rsidR="00EB1AAA">
        <w:rPr>
          <w:rFonts w:ascii="Book Antiqua" w:hAnsi="Book Antiqua"/>
          <w:i/>
          <w:color w:val="000000" w:themeColor="text1"/>
          <w:lang w:val="en-US"/>
        </w:rPr>
        <w:t>,</w:t>
      </w:r>
      <w:r w:rsidRPr="008A5994">
        <w:rPr>
          <w:rFonts w:ascii="Book Antiqua" w:hAnsi="Book Antiqua"/>
          <w:i/>
          <w:color w:val="000000" w:themeColor="text1"/>
          <w:lang w:val="en-US"/>
        </w:rPr>
        <w:t xml:space="preserve"> </w:t>
      </w:r>
      <w:r w:rsidR="00EB1AAA">
        <w:rPr>
          <w:rFonts w:ascii="Book Antiqua" w:hAnsi="Book Antiqua"/>
          <w:color w:val="000000" w:themeColor="text1"/>
          <w:lang w:val="en-US"/>
        </w:rPr>
        <w:t>CD</w:t>
      </w:r>
      <w:r w:rsidR="00FF5C7A" w:rsidRPr="008A5994">
        <w:rPr>
          <w:rFonts w:ascii="Book Antiqua" w:hAnsi="Book Antiqua"/>
          <w:color w:val="000000" w:themeColor="text1"/>
          <w:lang w:val="en-US"/>
        </w:rPr>
        <w:t xml:space="preserve"> activity index (</w:t>
      </w:r>
      <w:r w:rsidRPr="008A5994">
        <w:rPr>
          <w:rFonts w:ascii="Book Antiqua" w:hAnsi="Book Antiqua"/>
          <w:color w:val="000000" w:themeColor="text1"/>
          <w:lang w:val="en-US"/>
        </w:rPr>
        <w:t>CDAI</w:t>
      </w:r>
      <w:r w:rsidR="00FF5C7A" w:rsidRPr="008A5994">
        <w:rPr>
          <w:rFonts w:ascii="Book Antiqua" w:hAnsi="Book Antiqua"/>
          <w:color w:val="000000" w:themeColor="text1"/>
          <w:lang w:val="en-US"/>
        </w:rPr>
        <w:t>)</w:t>
      </w:r>
      <w:r w:rsidRPr="008A5994">
        <w:rPr>
          <w:rFonts w:ascii="Book Antiqua" w:hAnsi="Book Antiqua"/>
          <w:color w:val="000000" w:themeColor="text1"/>
          <w:lang w:val="en-US"/>
        </w:rPr>
        <w:t xml:space="preserve">, </w:t>
      </w:r>
      <w:r w:rsidR="00FF5C7A" w:rsidRPr="008A5994">
        <w:rPr>
          <w:rFonts w:ascii="Book Antiqua" w:hAnsi="Book Antiqua"/>
          <w:color w:val="000000" w:themeColor="text1"/>
          <w:lang w:val="en-US"/>
        </w:rPr>
        <w:t>C-reactive protein (</w:t>
      </w:r>
      <w:r w:rsidRPr="008A5994">
        <w:rPr>
          <w:rFonts w:ascii="Book Antiqua" w:hAnsi="Book Antiqua"/>
          <w:color w:val="000000" w:themeColor="text1"/>
          <w:lang w:val="en-US"/>
        </w:rPr>
        <w:t>CRP</w:t>
      </w:r>
      <w:r w:rsidR="00FF5C7A" w:rsidRPr="008A5994">
        <w:rPr>
          <w:rFonts w:ascii="Book Antiqua" w:hAnsi="Book Antiqua"/>
          <w:color w:val="000000" w:themeColor="text1"/>
          <w:lang w:val="en-US"/>
        </w:rPr>
        <w:t>)</w:t>
      </w:r>
      <w:r w:rsidRPr="008A5994">
        <w:rPr>
          <w:rFonts w:ascii="Book Antiqua" w:hAnsi="Book Antiqua"/>
          <w:color w:val="000000" w:themeColor="text1"/>
          <w:lang w:val="en-US"/>
        </w:rPr>
        <w:t xml:space="preserve"> and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w:t>
      </w:r>
    </w:p>
    <w:p w14:paraId="3D3C5DCD" w14:textId="77777777" w:rsidR="00AB2771" w:rsidRPr="008A5994" w:rsidRDefault="00AB2771" w:rsidP="008A5994">
      <w:pPr>
        <w:adjustRightInd w:val="0"/>
        <w:snapToGrid w:val="0"/>
        <w:spacing w:line="360" w:lineRule="auto"/>
        <w:jc w:val="both"/>
        <w:rPr>
          <w:rFonts w:ascii="Book Antiqua" w:hAnsi="Book Antiqua"/>
          <w:color w:val="000000" w:themeColor="text1"/>
          <w:lang w:val="en-US"/>
        </w:rPr>
      </w:pPr>
    </w:p>
    <w:p w14:paraId="4FE754DE" w14:textId="77777777" w:rsidR="00AB2771" w:rsidRPr="008A5994" w:rsidRDefault="00AB2771" w:rsidP="00A555A0">
      <w:pPr>
        <w:adjustRightInd w:val="0"/>
        <w:snapToGrid w:val="0"/>
        <w:spacing w:line="360" w:lineRule="auto"/>
        <w:jc w:val="both"/>
        <w:outlineLvl w:val="0"/>
        <w:rPr>
          <w:rFonts w:ascii="Book Antiqua" w:hAnsi="Book Antiqua"/>
          <w:b/>
          <w:i/>
          <w:color w:val="000000" w:themeColor="text1"/>
          <w:lang w:val="en-US"/>
        </w:rPr>
      </w:pPr>
      <w:r w:rsidRPr="008A5994">
        <w:rPr>
          <w:rFonts w:ascii="Book Antiqua" w:hAnsi="Book Antiqua"/>
          <w:b/>
          <w:i/>
          <w:color w:val="000000" w:themeColor="text1"/>
          <w:lang w:val="en-US"/>
        </w:rPr>
        <w:t>Research motivation</w:t>
      </w:r>
    </w:p>
    <w:p w14:paraId="78AFA8DA" w14:textId="4C470A79" w:rsidR="00AB2771" w:rsidRPr="008A5994" w:rsidRDefault="00FF5C7A" w:rsidP="008A5994">
      <w:pPr>
        <w:adjustRightInd w:val="0"/>
        <w:snapToGrid w:val="0"/>
        <w:spacing w:line="360" w:lineRule="auto"/>
        <w:jc w:val="both"/>
        <w:rPr>
          <w:rFonts w:ascii="Book Antiqua" w:hAnsi="Book Antiqua"/>
          <w:color w:val="000000" w:themeColor="text1"/>
          <w:lang w:val="en-US"/>
        </w:rPr>
      </w:pPr>
      <w:r w:rsidRPr="008A5994">
        <w:rPr>
          <w:rFonts w:ascii="Book Antiqua" w:hAnsi="Book Antiqua"/>
          <w:color w:val="000000" w:themeColor="text1"/>
          <w:lang w:val="en-US"/>
        </w:rPr>
        <w:t xml:space="preserve">Understanding the value of each monitoring biomarker to guide physicians to manage patients with inflammatory bowel disease is a key point. </w:t>
      </w:r>
    </w:p>
    <w:p w14:paraId="05EDBC18" w14:textId="77777777" w:rsidR="00AB2771" w:rsidRPr="008A5994" w:rsidRDefault="00AB2771" w:rsidP="008A5994">
      <w:pPr>
        <w:adjustRightInd w:val="0"/>
        <w:snapToGrid w:val="0"/>
        <w:spacing w:line="360" w:lineRule="auto"/>
        <w:jc w:val="both"/>
        <w:rPr>
          <w:rFonts w:ascii="Book Antiqua" w:hAnsi="Book Antiqua"/>
          <w:b/>
          <w:color w:val="000000" w:themeColor="text1"/>
          <w:lang w:val="en-US"/>
        </w:rPr>
      </w:pPr>
    </w:p>
    <w:p w14:paraId="0C5592CE" w14:textId="77777777" w:rsidR="00AB2771" w:rsidRPr="008A5994" w:rsidRDefault="00AB2771" w:rsidP="00A555A0">
      <w:pPr>
        <w:adjustRightInd w:val="0"/>
        <w:snapToGrid w:val="0"/>
        <w:spacing w:line="360" w:lineRule="auto"/>
        <w:jc w:val="both"/>
        <w:outlineLvl w:val="0"/>
        <w:rPr>
          <w:rFonts w:ascii="Book Antiqua" w:hAnsi="Book Antiqua"/>
          <w:b/>
          <w:i/>
          <w:color w:val="000000" w:themeColor="text1"/>
          <w:lang w:val="en-US"/>
        </w:rPr>
      </w:pPr>
      <w:r w:rsidRPr="008A5994">
        <w:rPr>
          <w:rFonts w:ascii="Book Antiqua" w:hAnsi="Book Antiqua"/>
          <w:b/>
          <w:i/>
          <w:color w:val="000000" w:themeColor="text1"/>
          <w:lang w:val="en-US"/>
        </w:rPr>
        <w:t>Research objectives</w:t>
      </w:r>
    </w:p>
    <w:p w14:paraId="39E62E01" w14:textId="40C794C8" w:rsidR="00AB2771" w:rsidRDefault="00FF5C7A" w:rsidP="008A5994">
      <w:pPr>
        <w:widowControl w:val="0"/>
        <w:autoSpaceDE w:val="0"/>
        <w:autoSpaceDN w:val="0"/>
        <w:adjustRightInd w:val="0"/>
        <w:snapToGrid w:val="0"/>
        <w:spacing w:line="360" w:lineRule="auto"/>
        <w:jc w:val="both"/>
        <w:rPr>
          <w:rFonts w:ascii="Book Antiqua" w:hAnsi="Book Antiqua"/>
          <w:b/>
          <w:color w:val="000000" w:themeColor="text1"/>
          <w:lang w:val="en-US"/>
        </w:rPr>
      </w:pPr>
      <w:r w:rsidRPr="008A5994">
        <w:rPr>
          <w:rFonts w:ascii="Book Antiqua" w:hAnsi="Book Antiqua"/>
          <w:color w:val="000000" w:themeColor="text1"/>
          <w:lang w:val="en-US"/>
        </w:rPr>
        <w:t xml:space="preserve">In this study, we aimed to investigate the performances of CDAI, CRP and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variation, alone or combined, after 12 </w:t>
      </w:r>
      <w:proofErr w:type="spellStart"/>
      <w:r w:rsidRPr="008A5994">
        <w:rPr>
          <w:rFonts w:ascii="Book Antiqua" w:hAnsi="Book Antiqua"/>
          <w:color w:val="000000" w:themeColor="text1"/>
          <w:lang w:val="en-US"/>
        </w:rPr>
        <w:t>w</w:t>
      </w:r>
      <w:r w:rsidR="00EB1AAA">
        <w:rPr>
          <w:rFonts w:ascii="Book Antiqua" w:hAnsi="Book Antiqua"/>
          <w:color w:val="000000" w:themeColor="text1"/>
          <w:lang w:val="en-US"/>
        </w:rPr>
        <w:t>k</w:t>
      </w:r>
      <w:proofErr w:type="spellEnd"/>
      <w:r w:rsidRPr="008A5994">
        <w:rPr>
          <w:rFonts w:ascii="Book Antiqua" w:hAnsi="Book Antiqua"/>
          <w:color w:val="000000" w:themeColor="text1"/>
          <w:lang w:val="en-US"/>
        </w:rPr>
        <w:t xml:space="preserve"> of anti-</w:t>
      </w:r>
      <w:r w:rsidR="00EB1AAA">
        <w:rPr>
          <w:rFonts w:ascii="Book Antiqua" w:hAnsi="Book Antiqua"/>
          <w:color w:val="000000" w:themeColor="text1"/>
          <w:lang w:val="en-US"/>
        </w:rPr>
        <w:t>tumor necrosis factor (</w:t>
      </w:r>
      <w:r w:rsidRPr="008A5994">
        <w:rPr>
          <w:rFonts w:ascii="Book Antiqua" w:hAnsi="Book Antiqua"/>
          <w:color w:val="000000" w:themeColor="text1"/>
          <w:lang w:val="en-US"/>
        </w:rPr>
        <w:t>TNF</w:t>
      </w:r>
      <w:r w:rsidR="00EB1AAA">
        <w:rPr>
          <w:rFonts w:ascii="Book Antiqua" w:hAnsi="Book Antiqua"/>
          <w:color w:val="000000" w:themeColor="text1"/>
          <w:lang w:val="en-US"/>
        </w:rPr>
        <w:t>)</w:t>
      </w:r>
      <w:r w:rsidRPr="008A5994">
        <w:rPr>
          <w:rFonts w:ascii="Book Antiqua" w:hAnsi="Book Antiqua"/>
          <w:color w:val="000000" w:themeColor="text1"/>
          <w:lang w:val="en-US"/>
        </w:rPr>
        <w:t xml:space="preserve"> therapy to predict corticosteroids-free remission (CFREM) at one year, in CD patients treated with anti-TNF.</w:t>
      </w:r>
    </w:p>
    <w:p w14:paraId="43A3A5DB" w14:textId="77777777" w:rsidR="00EB1AAA" w:rsidRPr="008A5994" w:rsidRDefault="00EB1AAA" w:rsidP="008A5994">
      <w:pPr>
        <w:widowControl w:val="0"/>
        <w:autoSpaceDE w:val="0"/>
        <w:autoSpaceDN w:val="0"/>
        <w:adjustRightInd w:val="0"/>
        <w:snapToGrid w:val="0"/>
        <w:spacing w:line="360" w:lineRule="auto"/>
        <w:jc w:val="both"/>
        <w:rPr>
          <w:rFonts w:ascii="Book Antiqua" w:hAnsi="Book Antiqua"/>
          <w:color w:val="000000" w:themeColor="text1"/>
          <w:lang w:val="en-US"/>
        </w:rPr>
      </w:pPr>
    </w:p>
    <w:p w14:paraId="4E7FB5FA" w14:textId="77777777" w:rsidR="00AB2771" w:rsidRPr="008A5994" w:rsidRDefault="00AB2771" w:rsidP="00A555A0">
      <w:pPr>
        <w:adjustRightInd w:val="0"/>
        <w:snapToGrid w:val="0"/>
        <w:spacing w:line="360" w:lineRule="auto"/>
        <w:jc w:val="both"/>
        <w:outlineLvl w:val="0"/>
        <w:rPr>
          <w:rFonts w:ascii="Book Antiqua" w:hAnsi="Book Antiqua"/>
          <w:b/>
          <w:i/>
          <w:color w:val="000000" w:themeColor="text1"/>
          <w:lang w:val="en-US"/>
        </w:rPr>
      </w:pPr>
      <w:r w:rsidRPr="008A5994">
        <w:rPr>
          <w:rFonts w:ascii="Book Antiqua" w:hAnsi="Book Antiqua"/>
          <w:b/>
          <w:i/>
          <w:color w:val="000000" w:themeColor="text1"/>
          <w:lang w:val="en-US"/>
        </w:rPr>
        <w:t>Research methods</w:t>
      </w:r>
    </w:p>
    <w:p w14:paraId="6B97C207" w14:textId="36629A46" w:rsidR="00AB2771" w:rsidRPr="008A5994" w:rsidRDefault="00FF5C7A" w:rsidP="00A555A0">
      <w:pPr>
        <w:adjustRightInd w:val="0"/>
        <w:snapToGrid w:val="0"/>
        <w:spacing w:line="360" w:lineRule="auto"/>
        <w:jc w:val="both"/>
        <w:outlineLvl w:val="0"/>
        <w:rPr>
          <w:rFonts w:ascii="Book Antiqua" w:hAnsi="Book Antiqua"/>
          <w:color w:val="000000" w:themeColor="text1"/>
          <w:lang w:val="en-US"/>
        </w:rPr>
      </w:pPr>
      <w:r w:rsidRPr="008A5994">
        <w:rPr>
          <w:rFonts w:ascii="Book Antiqua" w:hAnsi="Book Antiqua"/>
          <w:color w:val="000000" w:themeColor="text1"/>
          <w:lang w:val="en-US"/>
        </w:rPr>
        <w:t xml:space="preserve">It was a </w:t>
      </w:r>
      <w:proofErr w:type="spellStart"/>
      <w:r w:rsidRPr="008A5994">
        <w:rPr>
          <w:rFonts w:ascii="Book Antiqua" w:hAnsi="Book Antiqua"/>
          <w:color w:val="000000" w:themeColor="text1"/>
          <w:lang w:val="en-US"/>
        </w:rPr>
        <w:t>multicentre</w:t>
      </w:r>
      <w:proofErr w:type="spellEnd"/>
      <w:r w:rsidRPr="008A5994">
        <w:rPr>
          <w:rFonts w:ascii="Book Antiqua" w:hAnsi="Book Antiqua"/>
          <w:color w:val="000000" w:themeColor="text1"/>
          <w:lang w:val="en-US"/>
        </w:rPr>
        <w:t xml:space="preserve"> prospective observational study.</w:t>
      </w:r>
    </w:p>
    <w:p w14:paraId="7FC531BD" w14:textId="77777777" w:rsidR="00FF5C7A" w:rsidRPr="008A5994" w:rsidRDefault="00FF5C7A" w:rsidP="008A5994">
      <w:pPr>
        <w:adjustRightInd w:val="0"/>
        <w:snapToGrid w:val="0"/>
        <w:spacing w:line="360" w:lineRule="auto"/>
        <w:jc w:val="both"/>
        <w:rPr>
          <w:rFonts w:ascii="Book Antiqua" w:hAnsi="Book Antiqua"/>
          <w:b/>
          <w:color w:val="000000" w:themeColor="text1"/>
          <w:lang w:val="en-US"/>
        </w:rPr>
      </w:pPr>
    </w:p>
    <w:p w14:paraId="37FB7A02" w14:textId="77777777" w:rsidR="00AB2771" w:rsidRPr="008A5994" w:rsidRDefault="00AB2771" w:rsidP="00A555A0">
      <w:pPr>
        <w:adjustRightInd w:val="0"/>
        <w:snapToGrid w:val="0"/>
        <w:spacing w:line="360" w:lineRule="auto"/>
        <w:jc w:val="both"/>
        <w:outlineLvl w:val="0"/>
        <w:rPr>
          <w:rFonts w:ascii="Book Antiqua" w:hAnsi="Book Antiqua"/>
          <w:b/>
          <w:i/>
          <w:color w:val="000000" w:themeColor="text1"/>
          <w:lang w:val="en-US"/>
        </w:rPr>
      </w:pPr>
      <w:r w:rsidRPr="008A5994">
        <w:rPr>
          <w:rFonts w:ascii="Book Antiqua" w:hAnsi="Book Antiqua"/>
          <w:b/>
          <w:i/>
          <w:color w:val="000000" w:themeColor="text1"/>
          <w:lang w:val="en-US"/>
        </w:rPr>
        <w:t>Research results</w:t>
      </w:r>
    </w:p>
    <w:p w14:paraId="07048F7D" w14:textId="2DE5200E" w:rsidR="008A72B6" w:rsidRPr="008A5994" w:rsidRDefault="008A72B6" w:rsidP="008A5994">
      <w:pPr>
        <w:adjustRightInd w:val="0"/>
        <w:snapToGrid w:val="0"/>
        <w:spacing w:line="360" w:lineRule="auto"/>
        <w:jc w:val="both"/>
        <w:rPr>
          <w:rFonts w:ascii="Book Antiqua" w:hAnsi="Book Antiqua"/>
          <w:color w:val="000000" w:themeColor="text1"/>
          <w:lang w:val="en-US"/>
        </w:rPr>
      </w:pPr>
      <w:r w:rsidRPr="008A5994">
        <w:rPr>
          <w:rFonts w:ascii="Book Antiqua" w:hAnsi="Book Antiqua"/>
          <w:color w:val="000000" w:themeColor="text1"/>
          <w:lang w:val="en-US"/>
        </w:rPr>
        <w:t>Among the 40 included patients, 13 patients (32.5</w:t>
      </w:r>
      <w:r w:rsidR="00A555A0">
        <w:rPr>
          <w:rFonts w:ascii="Book Antiqua" w:hAnsi="Book Antiqua"/>
          <w:color w:val="000000" w:themeColor="text1"/>
          <w:lang w:val="en-US"/>
        </w:rPr>
        <w:t>%</w:t>
      </w:r>
      <w:r w:rsidRPr="008A5994">
        <w:rPr>
          <w:rFonts w:ascii="Book Antiqua" w:hAnsi="Book Antiqua"/>
          <w:color w:val="000000" w:themeColor="text1"/>
          <w:lang w:val="en-US"/>
        </w:rPr>
        <w:t>) achieved CFREM at W52. In univariable analysis, CDAI &lt; 150 at W12 (</w:t>
      </w:r>
      <w:r w:rsidR="00EB1AAA" w:rsidRPr="00EB1AAA">
        <w:rPr>
          <w:rFonts w:ascii="Book Antiqua" w:hAnsi="Book Antiqua"/>
          <w:i/>
          <w:color w:val="000000" w:themeColor="text1"/>
          <w:lang w:val="en-US"/>
        </w:rPr>
        <w:t>P</w:t>
      </w:r>
      <w:r w:rsidRPr="008A5994">
        <w:rPr>
          <w:rFonts w:ascii="Book Antiqua" w:hAnsi="Book Antiqua"/>
          <w:color w:val="000000" w:themeColor="text1"/>
          <w:lang w:val="en-US"/>
        </w:rPr>
        <w:t xml:space="preserve"> = 0.012), CRP level &lt; 2.9 mg/L at W12 (</w:t>
      </w:r>
      <w:r w:rsidR="00EB1AAA" w:rsidRPr="00EB1AAA">
        <w:rPr>
          <w:rFonts w:ascii="Book Antiqua" w:hAnsi="Book Antiqua"/>
          <w:i/>
          <w:color w:val="000000" w:themeColor="text1"/>
          <w:lang w:val="en-US"/>
        </w:rPr>
        <w:t>P</w:t>
      </w:r>
      <w:r w:rsidRPr="008A5994">
        <w:rPr>
          <w:rFonts w:ascii="Book Antiqua" w:hAnsi="Book Antiqua"/>
          <w:color w:val="000000" w:themeColor="text1"/>
          <w:lang w:val="en-US"/>
        </w:rPr>
        <w:t xml:space="preserve"> = 0.00</w:t>
      </w:r>
      <w:r w:rsidR="00EB1AAA">
        <w:rPr>
          <w:rFonts w:ascii="Book Antiqua" w:hAnsi="Book Antiqua"/>
          <w:color w:val="000000" w:themeColor="text1"/>
          <w:lang w:val="en-US"/>
        </w:rPr>
        <w:t xml:space="preserve">1) and </w:t>
      </w:r>
      <w:proofErr w:type="spellStart"/>
      <w:r w:rsidR="00EB1AAA">
        <w:rPr>
          <w:rFonts w:ascii="Book Antiqua" w:hAnsi="Book Antiqua"/>
          <w:color w:val="000000" w:themeColor="text1"/>
          <w:lang w:val="en-US"/>
        </w:rPr>
        <w:t>Fcal</w:t>
      </w:r>
      <w:proofErr w:type="spellEnd"/>
      <w:r w:rsidR="00EB1AAA">
        <w:rPr>
          <w:rFonts w:ascii="Book Antiqua" w:hAnsi="Book Antiqua"/>
          <w:color w:val="000000" w:themeColor="text1"/>
          <w:lang w:val="en-US"/>
        </w:rPr>
        <w:t xml:space="preserve"> improvement at W12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&lt; 300 </w:t>
      </w:r>
      <w:proofErr w:type="spellStart"/>
      <w:r w:rsidRPr="008A5994">
        <w:rPr>
          <w:rFonts w:ascii="Book Antiqua" w:hAnsi="Book Antiqua"/>
          <w:color w:val="000000" w:themeColor="text1"/>
          <w:lang w:val="en-US"/>
        </w:rPr>
        <w:t>μg</w:t>
      </w:r>
      <w:proofErr w:type="spellEnd"/>
      <w:r w:rsidRPr="008A5994">
        <w:rPr>
          <w:rFonts w:ascii="Book Antiqua" w:hAnsi="Book Antiqua"/>
          <w:color w:val="000000" w:themeColor="text1"/>
          <w:lang w:val="en-US"/>
        </w:rPr>
        <w:t xml:space="preserve">/g; or, for patients with initial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&lt; 300 </w:t>
      </w:r>
      <w:proofErr w:type="spellStart"/>
      <w:r w:rsidRPr="008A5994">
        <w:rPr>
          <w:rFonts w:ascii="Book Antiqua" w:hAnsi="Book Antiqua"/>
          <w:color w:val="000000" w:themeColor="text1"/>
          <w:lang w:val="en-US"/>
        </w:rPr>
        <w:t>μg</w:t>
      </w:r>
      <w:proofErr w:type="spellEnd"/>
      <w:r w:rsidRPr="008A5994">
        <w:rPr>
          <w:rFonts w:ascii="Book Antiqua" w:hAnsi="Book Antiqua"/>
          <w:color w:val="000000" w:themeColor="text1"/>
          <w:lang w:val="en-US"/>
        </w:rPr>
        <w:t xml:space="preserve">/g, at least 50% decrease of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or no</w:t>
      </w:r>
      <w:r w:rsidR="00EB1AAA">
        <w:rPr>
          <w:rFonts w:ascii="Book Antiqua" w:hAnsi="Book Antiqua"/>
          <w:color w:val="000000" w:themeColor="text1"/>
          <w:lang w:val="en-US"/>
        </w:rPr>
        <w:t xml:space="preserve">rmalization of </w:t>
      </w:r>
      <w:proofErr w:type="spellStart"/>
      <w:r w:rsidR="00EB1AAA">
        <w:rPr>
          <w:rFonts w:ascii="Book Antiqua" w:hAnsi="Book Antiqua"/>
          <w:color w:val="000000" w:themeColor="text1"/>
          <w:lang w:val="en-US"/>
        </w:rPr>
        <w:t>Fcal</w:t>
      </w:r>
      <w:proofErr w:type="spellEnd"/>
      <w:r w:rsidR="00EB1AAA">
        <w:rPr>
          <w:rFonts w:ascii="Book Antiqua" w:hAnsi="Book Antiqua"/>
          <w:color w:val="000000" w:themeColor="text1"/>
          <w:lang w:val="en-US"/>
        </w:rPr>
        <w:t xml:space="preserve"> (&lt;100 </w:t>
      </w:r>
      <w:proofErr w:type="spellStart"/>
      <w:r w:rsidR="00EB1AAA">
        <w:rPr>
          <w:rFonts w:ascii="Book Antiqua" w:hAnsi="Book Antiqua"/>
          <w:color w:val="000000" w:themeColor="text1"/>
          <w:lang w:val="en-US"/>
        </w:rPr>
        <w:t>μg</w:t>
      </w:r>
      <w:proofErr w:type="spellEnd"/>
      <w:r w:rsidR="00EB1AAA">
        <w:rPr>
          <w:rFonts w:ascii="Book Antiqua" w:hAnsi="Book Antiqua"/>
          <w:color w:val="000000" w:themeColor="text1"/>
          <w:lang w:val="en-US"/>
        </w:rPr>
        <w:t>/g)]</w:t>
      </w:r>
      <w:r w:rsidRPr="008A5994">
        <w:rPr>
          <w:rFonts w:ascii="Book Antiqua" w:hAnsi="Book Antiqua"/>
          <w:color w:val="000000" w:themeColor="text1"/>
          <w:lang w:val="en-US"/>
        </w:rPr>
        <w:t xml:space="preserve"> (</w:t>
      </w:r>
      <w:r w:rsidR="00EB1AAA" w:rsidRPr="00EB1AAA">
        <w:rPr>
          <w:rFonts w:ascii="Book Antiqua" w:hAnsi="Book Antiqua"/>
          <w:i/>
          <w:color w:val="000000" w:themeColor="text1"/>
          <w:lang w:val="en-US"/>
        </w:rPr>
        <w:t xml:space="preserve">P </w:t>
      </w:r>
      <w:r w:rsidRPr="008A5994">
        <w:rPr>
          <w:rFonts w:ascii="Book Antiqua" w:hAnsi="Book Antiqua"/>
          <w:color w:val="000000" w:themeColor="text1"/>
          <w:lang w:val="en-US"/>
        </w:rPr>
        <w:t>=</w:t>
      </w:r>
      <w:r w:rsidR="00EB1AAA">
        <w:rPr>
          <w:rFonts w:ascii="Book Antiqua" w:hAnsi="Book Antiqua"/>
          <w:color w:val="000000" w:themeColor="text1"/>
          <w:lang w:val="en-US"/>
        </w:rPr>
        <w:t xml:space="preserve"> </w:t>
      </w:r>
      <w:r w:rsidRPr="008A5994">
        <w:rPr>
          <w:rFonts w:ascii="Book Antiqua" w:hAnsi="Book Antiqua"/>
          <w:color w:val="000000" w:themeColor="text1"/>
          <w:lang w:val="en-US"/>
        </w:rPr>
        <w:t xml:space="preserve">0.001) were predictive of CFREM at W52. Combined endpoint (CDAI &lt; 150 and CRP </w:t>
      </w:r>
      <w:r w:rsidRPr="008A5994">
        <w:rPr>
          <w:rFonts w:ascii="Book Antiqua" w:hAnsi="Book Antiqua"/>
          <w:color w:val="000000" w:themeColor="text1"/>
          <w:lang w:val="en-US"/>
        </w:rPr>
        <w:lastRenderedPageBreak/>
        <w:t xml:space="preserve">≤ 2.9 mg/L and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improvement) at W12 was the best predictor of </w:t>
      </w:r>
      <w:r w:rsidR="00EB1AAA">
        <w:rPr>
          <w:rFonts w:ascii="Book Antiqua" w:hAnsi="Book Antiqua"/>
          <w:color w:val="000000" w:themeColor="text1"/>
          <w:lang w:val="en-US"/>
        </w:rPr>
        <w:t>CFREM at W52 with PPV = 100.0% (</w:t>
      </w:r>
      <w:r w:rsidRPr="008A5994">
        <w:rPr>
          <w:rFonts w:ascii="Book Antiqua" w:hAnsi="Book Antiqua"/>
          <w:color w:val="000000" w:themeColor="text1"/>
          <w:lang w:val="en-US"/>
        </w:rPr>
        <w:t>100.0</w:t>
      </w:r>
      <w:r w:rsidR="00A30463">
        <w:rPr>
          <w:rFonts w:ascii="Book Antiqua" w:hAnsi="Book Antiqua"/>
          <w:color w:val="000000" w:themeColor="text1"/>
          <w:lang w:val="en-US"/>
        </w:rPr>
        <w:t>-</w:t>
      </w:r>
      <w:r w:rsidR="00EB1AAA">
        <w:rPr>
          <w:rFonts w:ascii="Book Antiqua" w:hAnsi="Book Antiqua"/>
          <w:color w:val="000000" w:themeColor="text1"/>
          <w:lang w:val="en-US"/>
        </w:rPr>
        <w:t>100.0) and NPV = 87.1% (75.3-98.9)</w:t>
      </w:r>
      <w:r w:rsidRPr="008A5994">
        <w:rPr>
          <w:rFonts w:ascii="Book Antiqua" w:hAnsi="Book Antiqua"/>
          <w:color w:val="000000" w:themeColor="text1"/>
          <w:lang w:val="en-US"/>
        </w:rPr>
        <w:t>. In multivariable ana</w:t>
      </w:r>
      <w:r w:rsidR="00EB1AAA">
        <w:rPr>
          <w:rFonts w:ascii="Book Antiqua" w:hAnsi="Book Antiqua"/>
          <w:color w:val="000000" w:themeColor="text1"/>
          <w:lang w:val="en-US"/>
        </w:rPr>
        <w:t xml:space="preserve">lysis, </w:t>
      </w:r>
      <w:proofErr w:type="spellStart"/>
      <w:r w:rsidR="00EB1AAA">
        <w:rPr>
          <w:rFonts w:ascii="Book Antiqua" w:hAnsi="Book Antiqua"/>
          <w:color w:val="000000" w:themeColor="text1"/>
          <w:lang w:val="en-US"/>
        </w:rPr>
        <w:t>Fcal</w:t>
      </w:r>
      <w:proofErr w:type="spellEnd"/>
      <w:r w:rsidR="00EB1AAA">
        <w:rPr>
          <w:rFonts w:ascii="Book Antiqua" w:hAnsi="Book Antiqua"/>
          <w:color w:val="000000" w:themeColor="text1"/>
          <w:lang w:val="en-US"/>
        </w:rPr>
        <w:t xml:space="preserve"> improvement at W12 [odd ratio (OR) = 45.1 (2.96-687.9); </w:t>
      </w:r>
      <w:bookmarkStart w:id="141" w:name="OLE_LINK544"/>
      <w:r w:rsidR="00EB1AAA" w:rsidRPr="00EB1AAA">
        <w:rPr>
          <w:rFonts w:ascii="Book Antiqua" w:hAnsi="Book Antiqua"/>
          <w:i/>
          <w:color w:val="000000" w:themeColor="text1"/>
          <w:lang w:val="en-US"/>
        </w:rPr>
        <w:t xml:space="preserve">P </w:t>
      </w:r>
      <w:bookmarkEnd w:id="141"/>
      <w:r w:rsidR="00EB1AAA">
        <w:rPr>
          <w:rFonts w:ascii="Book Antiqua" w:hAnsi="Book Antiqua"/>
          <w:color w:val="000000" w:themeColor="text1"/>
          <w:lang w:val="en-US"/>
        </w:rPr>
        <w:t>= 0.03]</w:t>
      </w:r>
      <w:r w:rsidRPr="008A5994">
        <w:rPr>
          <w:rFonts w:ascii="Book Antiqua" w:hAnsi="Book Antiqua"/>
          <w:color w:val="000000" w:themeColor="text1"/>
          <w:lang w:val="en-US"/>
        </w:rPr>
        <w:t xml:space="preserve"> was a better predictor o</w:t>
      </w:r>
      <w:r w:rsidR="00EB1AAA">
        <w:rPr>
          <w:rFonts w:ascii="Book Antiqua" w:hAnsi="Book Antiqua"/>
          <w:color w:val="000000" w:themeColor="text1"/>
          <w:lang w:val="en-US"/>
        </w:rPr>
        <w:t>f CFREM at W52 than CDAI &lt; 150 [</w:t>
      </w:r>
      <w:r w:rsidRPr="008A5994">
        <w:rPr>
          <w:rFonts w:ascii="Book Antiqua" w:hAnsi="Book Antiqua"/>
          <w:color w:val="000000" w:themeColor="text1"/>
          <w:lang w:val="en-US"/>
        </w:rPr>
        <w:t>OR</w:t>
      </w:r>
      <w:r w:rsidR="00EB1AAA">
        <w:rPr>
          <w:rFonts w:ascii="Book Antiqua" w:hAnsi="Book Antiqua"/>
          <w:color w:val="000000" w:themeColor="text1"/>
          <w:lang w:val="en-US"/>
        </w:rPr>
        <w:t xml:space="preserve"> </w:t>
      </w:r>
      <w:r w:rsidRPr="008A5994">
        <w:rPr>
          <w:rFonts w:ascii="Book Antiqua" w:hAnsi="Book Antiqua"/>
          <w:color w:val="000000" w:themeColor="text1"/>
          <w:lang w:val="en-US"/>
        </w:rPr>
        <w:t>=</w:t>
      </w:r>
      <w:r w:rsidR="00EB1AAA">
        <w:rPr>
          <w:rFonts w:ascii="Book Antiqua" w:hAnsi="Book Antiqua"/>
          <w:color w:val="000000" w:themeColor="text1"/>
          <w:lang w:val="en-US"/>
        </w:rPr>
        <w:t xml:space="preserve"> 9.3 (0.36-237.1)</w:t>
      </w:r>
      <w:r w:rsidRPr="008A5994">
        <w:rPr>
          <w:rFonts w:ascii="Book Antiqua" w:hAnsi="Book Antiqua"/>
          <w:color w:val="000000" w:themeColor="text1"/>
          <w:lang w:val="en-US"/>
        </w:rPr>
        <w:t xml:space="preserve">; </w:t>
      </w:r>
      <w:r w:rsidR="00EB1AAA" w:rsidRPr="00EB1AAA">
        <w:rPr>
          <w:rFonts w:ascii="Book Antiqua" w:hAnsi="Book Antiqua"/>
          <w:i/>
          <w:color w:val="000000" w:themeColor="text1"/>
          <w:lang w:val="en-US"/>
        </w:rPr>
        <w:t>P</w:t>
      </w:r>
      <w:r w:rsidR="00EB1AAA">
        <w:rPr>
          <w:rFonts w:ascii="Book Antiqua" w:hAnsi="Book Antiqua"/>
          <w:color w:val="000000" w:themeColor="text1"/>
          <w:lang w:val="en-US"/>
        </w:rPr>
        <w:t xml:space="preserve"> </w:t>
      </w:r>
      <w:r w:rsidRPr="008A5994">
        <w:rPr>
          <w:rFonts w:ascii="Book Antiqua" w:hAnsi="Book Antiqua"/>
          <w:color w:val="000000" w:themeColor="text1"/>
          <w:lang w:val="en-US"/>
        </w:rPr>
        <w:t>=</w:t>
      </w:r>
      <w:r w:rsidR="00EB1AAA">
        <w:rPr>
          <w:rFonts w:ascii="Book Antiqua" w:hAnsi="Book Antiqua"/>
          <w:color w:val="000000" w:themeColor="text1"/>
          <w:lang w:val="en-US"/>
        </w:rPr>
        <w:t xml:space="preserve"> 0.145]</w:t>
      </w:r>
      <w:r w:rsidRPr="008A5994">
        <w:rPr>
          <w:rFonts w:ascii="Book Antiqua" w:hAnsi="Book Antiqua"/>
          <w:color w:val="000000" w:themeColor="text1"/>
          <w:lang w:val="en-US"/>
        </w:rPr>
        <w:t xml:space="preserve"> and CRP &lt; 2.9 mg/L (0.77-278.0; </w:t>
      </w:r>
      <w:r w:rsidR="00EB1AAA" w:rsidRPr="00EB1AAA">
        <w:rPr>
          <w:rFonts w:ascii="Book Antiqua" w:hAnsi="Book Antiqua"/>
          <w:i/>
          <w:color w:val="000000" w:themeColor="text1"/>
          <w:lang w:val="en-US"/>
        </w:rPr>
        <w:t>P</w:t>
      </w:r>
      <w:r w:rsidR="00EB1AAA">
        <w:rPr>
          <w:rFonts w:ascii="Book Antiqua" w:hAnsi="Book Antiqua"/>
          <w:color w:val="000000" w:themeColor="text1"/>
          <w:lang w:val="en-US"/>
        </w:rPr>
        <w:t xml:space="preserve"> </w:t>
      </w:r>
      <w:r w:rsidRPr="008A5994">
        <w:rPr>
          <w:rFonts w:ascii="Book Antiqua" w:hAnsi="Book Antiqua"/>
          <w:color w:val="000000" w:themeColor="text1"/>
          <w:lang w:val="en-US"/>
        </w:rPr>
        <w:t>=</w:t>
      </w:r>
      <w:r w:rsidR="00EB1AAA">
        <w:rPr>
          <w:rFonts w:ascii="Book Antiqua" w:hAnsi="Book Antiqua"/>
          <w:color w:val="000000" w:themeColor="text1"/>
          <w:lang w:val="en-US"/>
        </w:rPr>
        <w:t xml:space="preserve"> </w:t>
      </w:r>
      <w:r w:rsidRPr="008A5994">
        <w:rPr>
          <w:rFonts w:ascii="Book Antiqua" w:hAnsi="Book Antiqua"/>
          <w:color w:val="000000" w:themeColor="text1"/>
          <w:lang w:val="en-US"/>
        </w:rPr>
        <w:t xml:space="preserve">0.073). </w:t>
      </w:r>
    </w:p>
    <w:p w14:paraId="058DEA4D" w14:textId="77777777" w:rsidR="00AB2771" w:rsidRPr="008A5994" w:rsidRDefault="00AB2771" w:rsidP="008A5994">
      <w:pPr>
        <w:adjustRightInd w:val="0"/>
        <w:snapToGrid w:val="0"/>
        <w:spacing w:line="360" w:lineRule="auto"/>
        <w:jc w:val="both"/>
        <w:rPr>
          <w:rFonts w:ascii="Book Antiqua" w:hAnsi="Book Antiqua" w:cs="Segoe UI"/>
          <w:color w:val="000000" w:themeColor="text1"/>
          <w:shd w:val="clear" w:color="auto" w:fill="FFFFFF"/>
          <w:lang w:val="en-US"/>
        </w:rPr>
      </w:pPr>
    </w:p>
    <w:p w14:paraId="30623CC1" w14:textId="77777777" w:rsidR="00AB2771" w:rsidRPr="008A5994" w:rsidRDefault="00AB2771" w:rsidP="00A555A0">
      <w:pPr>
        <w:adjustRightInd w:val="0"/>
        <w:snapToGrid w:val="0"/>
        <w:spacing w:line="360" w:lineRule="auto"/>
        <w:jc w:val="both"/>
        <w:outlineLvl w:val="0"/>
        <w:rPr>
          <w:rFonts w:ascii="Book Antiqua" w:hAnsi="Book Antiqua" w:cs="Segoe UI"/>
          <w:b/>
          <w:i/>
          <w:color w:val="000000" w:themeColor="text1"/>
          <w:shd w:val="clear" w:color="auto" w:fill="FFFFFF"/>
          <w:lang w:val="en-US"/>
        </w:rPr>
      </w:pPr>
      <w:r w:rsidRPr="008A5994">
        <w:rPr>
          <w:rFonts w:ascii="Book Antiqua" w:hAnsi="Book Antiqua"/>
          <w:b/>
          <w:i/>
          <w:color w:val="000000" w:themeColor="text1"/>
          <w:lang w:val="en-US"/>
        </w:rPr>
        <w:t>Research conclusions</w:t>
      </w:r>
    </w:p>
    <w:p w14:paraId="03B24607" w14:textId="309A5661" w:rsidR="00174F0F" w:rsidRPr="008A5994" w:rsidRDefault="00174F0F" w:rsidP="008A5994">
      <w:pPr>
        <w:adjustRightInd w:val="0"/>
        <w:snapToGrid w:val="0"/>
        <w:spacing w:line="360" w:lineRule="auto"/>
        <w:jc w:val="both"/>
        <w:rPr>
          <w:rFonts w:ascii="Book Antiqua" w:hAnsi="Book Antiqua"/>
          <w:color w:val="000000" w:themeColor="text1"/>
          <w:lang w:val="en-US"/>
        </w:rPr>
      </w:pPr>
      <w:r w:rsidRPr="008A5994">
        <w:rPr>
          <w:rFonts w:ascii="Book Antiqua" w:hAnsi="Book Antiqua"/>
          <w:color w:val="000000" w:themeColor="text1"/>
          <w:lang w:val="en-US"/>
        </w:rPr>
        <w:t xml:space="preserve">The combined monitoring of CDAI, CRP and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after anti-TNF induction therapy is</w:t>
      </w:r>
      <w:r w:rsidR="002F1FAE" w:rsidRPr="008A5994">
        <w:rPr>
          <w:rFonts w:ascii="Book Antiqua" w:hAnsi="Book Antiqua"/>
          <w:color w:val="000000" w:themeColor="text1"/>
          <w:lang w:val="en-US"/>
        </w:rPr>
        <w:t xml:space="preserve"> </w:t>
      </w:r>
      <w:r w:rsidRPr="008A5994">
        <w:rPr>
          <w:rFonts w:ascii="Book Antiqua" w:hAnsi="Book Antiqua"/>
          <w:color w:val="000000" w:themeColor="text1"/>
          <w:lang w:val="en-US"/>
        </w:rPr>
        <w:t xml:space="preserve">able to predict favorable outcome within one year in patients with CD. The most impactful biomarker was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among these three biomarkers. Our results should lead IBD physicians to monitor patients with CD using a tight control strategy based on CDAI, CRP and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in daily practice.</w:t>
      </w:r>
    </w:p>
    <w:p w14:paraId="0BDAC013" w14:textId="77777777" w:rsidR="00AB2771" w:rsidRPr="008A5994" w:rsidRDefault="00AB2771" w:rsidP="008A5994">
      <w:pPr>
        <w:adjustRightInd w:val="0"/>
        <w:snapToGrid w:val="0"/>
        <w:spacing w:line="360" w:lineRule="auto"/>
        <w:jc w:val="both"/>
        <w:rPr>
          <w:rFonts w:ascii="Book Antiqua" w:hAnsi="Book Antiqua" w:cs="Segoe UI"/>
          <w:color w:val="000000" w:themeColor="text1"/>
          <w:shd w:val="clear" w:color="auto" w:fill="FFFFFF"/>
          <w:lang w:val="en-US"/>
        </w:rPr>
      </w:pPr>
    </w:p>
    <w:p w14:paraId="62073F1D" w14:textId="77777777" w:rsidR="00AB2771" w:rsidRPr="008A5994" w:rsidRDefault="00AB2771" w:rsidP="00A555A0">
      <w:pPr>
        <w:adjustRightInd w:val="0"/>
        <w:snapToGrid w:val="0"/>
        <w:spacing w:line="360" w:lineRule="auto"/>
        <w:jc w:val="both"/>
        <w:outlineLvl w:val="0"/>
        <w:rPr>
          <w:rFonts w:ascii="Book Antiqua" w:hAnsi="Book Antiqua" w:cs="Segoe UI"/>
          <w:b/>
          <w:i/>
          <w:color w:val="000000" w:themeColor="text1"/>
          <w:shd w:val="clear" w:color="auto" w:fill="FFFFFF"/>
          <w:lang w:val="en-US"/>
        </w:rPr>
      </w:pPr>
      <w:r w:rsidRPr="008A5994">
        <w:rPr>
          <w:rFonts w:ascii="Book Antiqua" w:hAnsi="Book Antiqua" w:cs="Segoe UI"/>
          <w:b/>
          <w:i/>
          <w:color w:val="000000" w:themeColor="text1"/>
          <w:shd w:val="clear" w:color="auto" w:fill="FFFFFF"/>
          <w:lang w:val="en-US"/>
        </w:rPr>
        <w:t>Research perspectives</w:t>
      </w:r>
    </w:p>
    <w:bookmarkEnd w:id="122"/>
    <w:bookmarkEnd w:id="123"/>
    <w:p w14:paraId="576FC893" w14:textId="654395CB" w:rsidR="00AB2771" w:rsidRPr="008A5994" w:rsidRDefault="002F1FAE" w:rsidP="008A5994">
      <w:pPr>
        <w:adjustRightInd w:val="0"/>
        <w:snapToGrid w:val="0"/>
        <w:spacing w:line="360" w:lineRule="auto"/>
        <w:jc w:val="both"/>
        <w:rPr>
          <w:rFonts w:ascii="Book Antiqua" w:hAnsi="Book Antiqua"/>
          <w:b/>
          <w:color w:val="000000" w:themeColor="text1"/>
          <w:lang w:val="en-US"/>
        </w:rPr>
      </w:pPr>
      <w:r w:rsidRPr="008A5994">
        <w:rPr>
          <w:rFonts w:ascii="Book Antiqua" w:hAnsi="Book Antiqua" w:cs="Segoe UI"/>
          <w:color w:val="000000" w:themeColor="text1"/>
          <w:shd w:val="clear" w:color="auto" w:fill="FFFFFF"/>
          <w:lang w:val="en-US"/>
        </w:rPr>
        <w:t>Additional studies from independent cohorts should be conducted to confirm these data.</w:t>
      </w:r>
    </w:p>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14:paraId="1E883C80" w14:textId="77777777" w:rsidR="000A3616" w:rsidRDefault="000A3616" w:rsidP="00FA3782">
      <w:pPr>
        <w:adjustRightInd w:val="0"/>
        <w:snapToGrid w:val="0"/>
        <w:spacing w:line="360" w:lineRule="auto"/>
        <w:jc w:val="both"/>
        <w:rPr>
          <w:rFonts w:ascii="Book Antiqua" w:hAnsi="Book Antiqua"/>
          <w:b/>
          <w:color w:val="000000" w:themeColor="text1"/>
          <w:u w:val="single"/>
          <w:lang w:val="en-US"/>
        </w:rPr>
      </w:pPr>
      <w:r>
        <w:rPr>
          <w:rFonts w:ascii="Book Antiqua" w:hAnsi="Book Antiqua"/>
          <w:b/>
          <w:color w:val="000000" w:themeColor="text1"/>
          <w:u w:val="single"/>
          <w:lang w:val="en-US"/>
        </w:rPr>
        <w:br w:type="page"/>
      </w:r>
    </w:p>
    <w:p w14:paraId="22C5ABEF" w14:textId="1D5344EF" w:rsidR="008707A9" w:rsidRPr="008A5994" w:rsidRDefault="008707A9" w:rsidP="00FA3782">
      <w:pPr>
        <w:adjustRightInd w:val="0"/>
        <w:snapToGrid w:val="0"/>
        <w:spacing w:line="360" w:lineRule="auto"/>
        <w:jc w:val="both"/>
        <w:rPr>
          <w:rFonts w:ascii="Book Antiqua" w:hAnsi="Book Antiqua"/>
          <w:b/>
          <w:color w:val="000000" w:themeColor="text1"/>
          <w:lang w:val="en-US"/>
        </w:rPr>
      </w:pPr>
      <w:r w:rsidRPr="008A5994">
        <w:rPr>
          <w:rFonts w:ascii="Book Antiqua" w:hAnsi="Book Antiqua"/>
          <w:b/>
          <w:color w:val="000000" w:themeColor="text1"/>
          <w:lang w:val="en-US"/>
        </w:rPr>
        <w:lastRenderedPageBreak/>
        <w:t>REFERENCES</w:t>
      </w:r>
    </w:p>
    <w:p w14:paraId="5B6D3D59" w14:textId="77777777" w:rsidR="00FA3782" w:rsidRPr="00FA3782" w:rsidRDefault="008707A9" w:rsidP="00FA3782">
      <w:pPr>
        <w:pStyle w:val="Bibliography"/>
        <w:adjustRightInd w:val="0"/>
        <w:snapToGrid w:val="0"/>
        <w:spacing w:after="0" w:line="360" w:lineRule="auto"/>
        <w:ind w:left="0" w:firstLine="0"/>
        <w:jc w:val="both"/>
        <w:rPr>
          <w:rFonts w:ascii="Book Antiqua" w:hAnsi="Book Antiqua"/>
          <w:color w:val="000000" w:themeColor="text1"/>
          <w:lang w:val="en-US"/>
        </w:rPr>
      </w:pPr>
      <w:r w:rsidRPr="008A5994">
        <w:rPr>
          <w:rFonts w:ascii="Book Antiqua" w:hAnsi="Book Antiqua"/>
          <w:color w:val="000000" w:themeColor="text1"/>
          <w:lang w:val="en-US"/>
        </w:rPr>
        <w:fldChar w:fldCharType="begin"/>
      </w:r>
      <w:r w:rsidR="000B228F" w:rsidRPr="008A5994">
        <w:rPr>
          <w:rFonts w:ascii="Book Antiqua" w:hAnsi="Book Antiqua"/>
          <w:color w:val="000000" w:themeColor="text1"/>
          <w:lang w:val="en-US"/>
        </w:rPr>
        <w:instrText xml:space="preserve"> ADDIN ZOTERO_BIBL {"uncited":[],"omitted":[],"custom":[]} CSL_BIBLIOGRAPHY </w:instrText>
      </w:r>
      <w:r w:rsidRPr="008A5994">
        <w:rPr>
          <w:rFonts w:ascii="Book Antiqua" w:hAnsi="Book Antiqua"/>
          <w:color w:val="000000" w:themeColor="text1"/>
          <w:lang w:val="en-US"/>
        </w:rPr>
        <w:fldChar w:fldCharType="separate"/>
      </w:r>
      <w:r w:rsidR="00FA3782" w:rsidRPr="00FA3782">
        <w:rPr>
          <w:rFonts w:ascii="Book Antiqua" w:hAnsi="Book Antiqua"/>
          <w:color w:val="000000" w:themeColor="text1"/>
          <w:lang w:val="en-US"/>
        </w:rPr>
        <w:t>1 </w:t>
      </w:r>
      <w:r w:rsidR="00FA3782" w:rsidRPr="00FA3782">
        <w:rPr>
          <w:rFonts w:ascii="Book Antiqua" w:hAnsi="Book Antiqua"/>
          <w:b/>
          <w:bCs/>
          <w:color w:val="000000" w:themeColor="text1"/>
          <w:lang w:val="en-US"/>
        </w:rPr>
        <w:t>Peyrin-Biroulet L</w:t>
      </w:r>
      <w:r w:rsidR="00FA3782" w:rsidRPr="00FA3782">
        <w:rPr>
          <w:rFonts w:ascii="Book Antiqua" w:hAnsi="Book Antiqua"/>
          <w:color w:val="000000" w:themeColor="text1"/>
          <w:lang w:val="en-US"/>
        </w:rPr>
        <w:t>, Cieza A, Sandborn WJ, Coenen M, Chowers Y, Hibi T, Kostanjsek N, Stucki G, Colombel JF; International Programme to Develop New Indexes for Crohn's Disease (IPNIC) group. Development of the first disability index for inflammatory bowel disease based on the international classification of functioning, disability and health. </w:t>
      </w:r>
      <w:r w:rsidR="00FA3782" w:rsidRPr="00FA3782">
        <w:rPr>
          <w:rFonts w:ascii="Book Antiqua" w:hAnsi="Book Antiqua"/>
          <w:i/>
          <w:iCs/>
          <w:color w:val="000000" w:themeColor="text1"/>
          <w:lang w:val="en-US"/>
        </w:rPr>
        <w:t>Gut</w:t>
      </w:r>
      <w:r w:rsidR="00FA3782" w:rsidRPr="00FA3782">
        <w:rPr>
          <w:rFonts w:ascii="Book Antiqua" w:hAnsi="Book Antiqua"/>
          <w:color w:val="000000" w:themeColor="text1"/>
          <w:lang w:val="en-US"/>
        </w:rPr>
        <w:t> 2012; </w:t>
      </w:r>
      <w:r w:rsidR="00FA3782" w:rsidRPr="00FA3782">
        <w:rPr>
          <w:rFonts w:ascii="Book Antiqua" w:hAnsi="Book Antiqua"/>
          <w:b/>
          <w:bCs/>
          <w:color w:val="000000" w:themeColor="text1"/>
          <w:lang w:val="en-US"/>
        </w:rPr>
        <w:t>61</w:t>
      </w:r>
      <w:r w:rsidR="00FA3782" w:rsidRPr="00FA3782">
        <w:rPr>
          <w:rFonts w:ascii="Book Antiqua" w:hAnsi="Book Antiqua"/>
          <w:color w:val="000000" w:themeColor="text1"/>
          <w:lang w:val="en-US"/>
        </w:rPr>
        <w:t>: 241-247 [PMID: 21646246 DOI: 10.1136/gutjnl-2011-300049]</w:t>
      </w:r>
    </w:p>
    <w:p w14:paraId="08D75341" w14:textId="77777777" w:rsidR="00FA3782" w:rsidRPr="00FA3782" w:rsidRDefault="00FA3782" w:rsidP="00FA3782">
      <w:pPr>
        <w:pStyle w:val="Bibliography"/>
        <w:adjustRightInd w:val="0"/>
        <w:snapToGrid w:val="0"/>
        <w:spacing w:after="0" w:line="360" w:lineRule="auto"/>
        <w:ind w:left="0" w:firstLine="0"/>
        <w:jc w:val="both"/>
        <w:rPr>
          <w:rFonts w:ascii="Book Antiqua" w:hAnsi="Book Antiqua"/>
          <w:color w:val="000000" w:themeColor="text1"/>
          <w:lang w:val="en-US"/>
        </w:rPr>
      </w:pPr>
      <w:r w:rsidRPr="00FA3782">
        <w:rPr>
          <w:rFonts w:ascii="Book Antiqua" w:hAnsi="Book Antiqua"/>
          <w:color w:val="000000" w:themeColor="text1"/>
          <w:lang w:val="en-US"/>
        </w:rPr>
        <w:t>2 </w:t>
      </w:r>
      <w:r w:rsidRPr="00FA3782">
        <w:rPr>
          <w:rFonts w:ascii="Book Antiqua" w:hAnsi="Book Antiqua"/>
          <w:b/>
          <w:bCs/>
          <w:color w:val="000000" w:themeColor="text1"/>
          <w:lang w:val="en-US"/>
        </w:rPr>
        <w:t>Pariente B</w:t>
      </w:r>
      <w:r w:rsidRPr="00FA3782">
        <w:rPr>
          <w:rFonts w:ascii="Book Antiqua" w:hAnsi="Book Antiqua"/>
          <w:color w:val="000000" w:themeColor="text1"/>
          <w:lang w:val="en-US"/>
        </w:rPr>
        <w:t>, Cosnes J, Danese S, Sandborn WJ, Lewin M, Fletcher JG, Chowers Y, D'Haens G, Feagan BG, Hibi T, Hommes DW, Irvine EJ, Kamm MA, Loftus EV Jr, Louis E, Michetti P, Munkholm P, Oresland T, Panés J, Peyrin-Biroulet L, Reinisch W, Sands BE, Schoelmerich J, Schreiber S, Tilg H, Travis S, van Assche G, Vecchi M, Mary JY, Colombel JF, Lémann M. Development of the Crohn's disease digestive damage score, the Lémann score. </w:t>
      </w:r>
      <w:r w:rsidRPr="00FA3782">
        <w:rPr>
          <w:rFonts w:ascii="Book Antiqua" w:hAnsi="Book Antiqua"/>
          <w:i/>
          <w:iCs/>
          <w:color w:val="000000" w:themeColor="text1"/>
          <w:lang w:val="en-US"/>
        </w:rPr>
        <w:t>Inflamm Bowel Dis</w:t>
      </w:r>
      <w:r w:rsidRPr="00FA3782">
        <w:rPr>
          <w:rFonts w:ascii="Book Antiqua" w:hAnsi="Book Antiqua"/>
          <w:color w:val="000000" w:themeColor="text1"/>
          <w:lang w:val="en-US"/>
        </w:rPr>
        <w:t> 2011; </w:t>
      </w:r>
      <w:r w:rsidRPr="00FA3782">
        <w:rPr>
          <w:rFonts w:ascii="Book Antiqua" w:hAnsi="Book Antiqua"/>
          <w:b/>
          <w:bCs/>
          <w:color w:val="000000" w:themeColor="text1"/>
          <w:lang w:val="en-US"/>
        </w:rPr>
        <w:t>17</w:t>
      </w:r>
      <w:r w:rsidRPr="00FA3782">
        <w:rPr>
          <w:rFonts w:ascii="Book Antiqua" w:hAnsi="Book Antiqua"/>
          <w:color w:val="000000" w:themeColor="text1"/>
          <w:lang w:val="en-US"/>
        </w:rPr>
        <w:t>: 1415-1422 [PMID: 21560202 DOI: 10.1002/ibd.21506]</w:t>
      </w:r>
    </w:p>
    <w:p w14:paraId="47A1A8DF" w14:textId="77777777" w:rsidR="00FA3782" w:rsidRPr="00FA3782" w:rsidRDefault="00FA3782" w:rsidP="00FA3782">
      <w:pPr>
        <w:pStyle w:val="Bibliography"/>
        <w:adjustRightInd w:val="0"/>
        <w:snapToGrid w:val="0"/>
        <w:spacing w:after="0" w:line="360" w:lineRule="auto"/>
        <w:ind w:left="0" w:firstLine="0"/>
        <w:jc w:val="both"/>
        <w:rPr>
          <w:rFonts w:ascii="Book Antiqua" w:hAnsi="Book Antiqua"/>
          <w:color w:val="000000" w:themeColor="text1"/>
          <w:lang w:val="en-US"/>
        </w:rPr>
      </w:pPr>
      <w:r w:rsidRPr="00FA3782">
        <w:rPr>
          <w:rFonts w:ascii="Book Antiqua" w:hAnsi="Book Antiqua"/>
          <w:color w:val="000000" w:themeColor="text1"/>
          <w:lang w:val="en-US"/>
        </w:rPr>
        <w:t>3 </w:t>
      </w:r>
      <w:r w:rsidRPr="00FA3782">
        <w:rPr>
          <w:rFonts w:ascii="Book Antiqua" w:hAnsi="Book Antiqua"/>
          <w:b/>
          <w:bCs/>
          <w:color w:val="000000" w:themeColor="text1"/>
          <w:lang w:val="en-US"/>
        </w:rPr>
        <w:t>Pariente B</w:t>
      </w:r>
      <w:r w:rsidRPr="00FA3782">
        <w:rPr>
          <w:rFonts w:ascii="Book Antiqua" w:hAnsi="Book Antiqua"/>
          <w:color w:val="000000" w:themeColor="text1"/>
          <w:lang w:val="en-US"/>
        </w:rPr>
        <w:t>, Mary JY, Danese S, Chowers Y, De Cruz P, D'Haens G, Loftus EV Jr, Louis E, Panés J, Schölmerich J, Schreiber S, Vecchi M, Branche J, Bruining D, Fiorino G, Herzog M, Kamm MA, Klein A, Lewin M, Meunier P, Ordas I, Strauch U, Tontini GE, Zagdanski AM, Bonifacio C, Rimola J, Nachury M, Leroy C, Sandborn W, Colombel JF, Cosnes J. Development of the Lémann index to assess digestive tract damage in patients with Crohn's disease. </w:t>
      </w:r>
      <w:r w:rsidRPr="00FA3782">
        <w:rPr>
          <w:rFonts w:ascii="Book Antiqua" w:hAnsi="Book Antiqua"/>
          <w:i/>
          <w:iCs/>
          <w:color w:val="000000" w:themeColor="text1"/>
          <w:lang w:val="en-US"/>
        </w:rPr>
        <w:t>Gastroenterology</w:t>
      </w:r>
      <w:r w:rsidRPr="00FA3782">
        <w:rPr>
          <w:rFonts w:ascii="Book Antiqua" w:hAnsi="Book Antiqua"/>
          <w:color w:val="000000" w:themeColor="text1"/>
          <w:lang w:val="en-US"/>
        </w:rPr>
        <w:t> 2015; </w:t>
      </w:r>
      <w:r w:rsidRPr="00FA3782">
        <w:rPr>
          <w:rFonts w:ascii="Book Antiqua" w:hAnsi="Book Antiqua"/>
          <w:b/>
          <w:bCs/>
          <w:color w:val="000000" w:themeColor="text1"/>
          <w:lang w:val="en-US"/>
        </w:rPr>
        <w:t>148</w:t>
      </w:r>
      <w:r w:rsidRPr="00FA3782">
        <w:rPr>
          <w:rFonts w:ascii="Book Antiqua" w:hAnsi="Book Antiqua"/>
          <w:color w:val="000000" w:themeColor="text1"/>
          <w:lang w:val="en-US"/>
        </w:rPr>
        <w:t>: 52-63.e3 [PMID: 25241327 DOI: 10.1053/j.gastro.2014.09.015]</w:t>
      </w:r>
    </w:p>
    <w:p w14:paraId="1FD85F10" w14:textId="77777777" w:rsidR="00FA3782" w:rsidRPr="00FA3782" w:rsidRDefault="00FA3782" w:rsidP="00FA3782">
      <w:pPr>
        <w:pStyle w:val="Bibliography"/>
        <w:adjustRightInd w:val="0"/>
        <w:snapToGrid w:val="0"/>
        <w:spacing w:after="0" w:line="360" w:lineRule="auto"/>
        <w:ind w:left="0" w:firstLine="0"/>
        <w:jc w:val="both"/>
        <w:rPr>
          <w:rFonts w:ascii="Book Antiqua" w:hAnsi="Book Antiqua"/>
          <w:color w:val="000000" w:themeColor="text1"/>
          <w:lang w:val="en-US"/>
        </w:rPr>
      </w:pPr>
      <w:r w:rsidRPr="00FA3782">
        <w:rPr>
          <w:rFonts w:ascii="Book Antiqua" w:hAnsi="Book Antiqua"/>
          <w:color w:val="000000" w:themeColor="text1"/>
          <w:lang w:val="en-US"/>
        </w:rPr>
        <w:t>4 </w:t>
      </w:r>
      <w:r w:rsidRPr="00FA3782">
        <w:rPr>
          <w:rFonts w:ascii="Book Antiqua" w:hAnsi="Book Antiqua"/>
          <w:b/>
          <w:bCs/>
          <w:color w:val="000000" w:themeColor="text1"/>
          <w:lang w:val="en-US"/>
        </w:rPr>
        <w:t>Peyrin-Biroulet L</w:t>
      </w:r>
      <w:r w:rsidRPr="00FA3782">
        <w:rPr>
          <w:rFonts w:ascii="Book Antiqua" w:hAnsi="Book Antiqua"/>
          <w:color w:val="000000" w:themeColor="text1"/>
          <w:lang w:val="en-US"/>
        </w:rPr>
        <w:t>, Sandborn W, Sands BE, Reinisch W, Bemelman W, Bryant RV, D'Haens G, Dotan I, Dubinsky M, Feagan B, Fiorino G, Gearry R, Krishnareddy S, Lakatos PL, Loftus EV Jr, Marteau P, Munkholm P, Murdoch TB, Ordás I, Panaccione R, Riddell RH, Ruel J, Rubin DT, Samaan M, Siegel CA, Silverberg MS, Stoker J, Schreiber S, Travis S, Van Assche G, Danese S, Panes J, Bouguen G, O'Donnell S, Pariente B, Winer S, Hanauer S, Colombel JF. Selecting Therapeutic Targets in Inflammatory Bowel Disease (STRIDE): Determining Therapeutic Goals for Treat-to-Target. </w:t>
      </w:r>
      <w:r w:rsidRPr="00FA3782">
        <w:rPr>
          <w:rFonts w:ascii="Book Antiqua" w:hAnsi="Book Antiqua"/>
          <w:i/>
          <w:iCs/>
          <w:color w:val="000000" w:themeColor="text1"/>
          <w:lang w:val="en-US"/>
        </w:rPr>
        <w:t>Am J Gastroenterol</w:t>
      </w:r>
      <w:r w:rsidRPr="00FA3782">
        <w:rPr>
          <w:rFonts w:ascii="Book Antiqua" w:hAnsi="Book Antiqua"/>
          <w:color w:val="000000" w:themeColor="text1"/>
          <w:lang w:val="en-US"/>
        </w:rPr>
        <w:t> 2015; </w:t>
      </w:r>
      <w:r w:rsidRPr="00FA3782">
        <w:rPr>
          <w:rFonts w:ascii="Book Antiqua" w:hAnsi="Book Antiqua"/>
          <w:b/>
          <w:bCs/>
          <w:color w:val="000000" w:themeColor="text1"/>
          <w:lang w:val="en-US"/>
        </w:rPr>
        <w:t>110</w:t>
      </w:r>
      <w:r w:rsidRPr="00FA3782">
        <w:rPr>
          <w:rFonts w:ascii="Book Antiqua" w:hAnsi="Book Antiqua"/>
          <w:color w:val="000000" w:themeColor="text1"/>
          <w:lang w:val="en-US"/>
        </w:rPr>
        <w:t>: 1324-1338 [PMID: 26303131 DOI: 10.1038/ajg.2015.233]</w:t>
      </w:r>
    </w:p>
    <w:p w14:paraId="4AC39971" w14:textId="77777777" w:rsidR="00FA3782" w:rsidRPr="00FA3782" w:rsidRDefault="00FA3782" w:rsidP="00FA3782">
      <w:pPr>
        <w:pStyle w:val="Bibliography"/>
        <w:adjustRightInd w:val="0"/>
        <w:snapToGrid w:val="0"/>
        <w:spacing w:after="0" w:line="360" w:lineRule="auto"/>
        <w:ind w:left="0" w:firstLine="0"/>
        <w:jc w:val="both"/>
        <w:rPr>
          <w:rFonts w:ascii="Book Antiqua" w:hAnsi="Book Antiqua"/>
          <w:color w:val="000000" w:themeColor="text1"/>
          <w:lang w:val="en-US"/>
        </w:rPr>
      </w:pPr>
      <w:r w:rsidRPr="00FA3782">
        <w:rPr>
          <w:rFonts w:ascii="Book Antiqua" w:hAnsi="Book Antiqua"/>
          <w:color w:val="000000" w:themeColor="text1"/>
          <w:lang w:val="en-US"/>
        </w:rPr>
        <w:lastRenderedPageBreak/>
        <w:t>5 </w:t>
      </w:r>
      <w:r w:rsidRPr="00FA3782">
        <w:rPr>
          <w:rFonts w:ascii="Book Antiqua" w:hAnsi="Book Antiqua"/>
          <w:b/>
          <w:bCs/>
          <w:color w:val="000000" w:themeColor="text1"/>
          <w:lang w:val="en-US"/>
        </w:rPr>
        <w:t>Buisson A</w:t>
      </w:r>
      <w:r w:rsidRPr="00FA3782">
        <w:rPr>
          <w:rFonts w:ascii="Book Antiqua" w:hAnsi="Book Antiqua"/>
          <w:color w:val="000000" w:themeColor="text1"/>
          <w:lang w:val="en-US"/>
        </w:rPr>
        <w:t>, Chevaux JB, Hudziak H, Bresler L, Bigard MA, Peyrin-Biroulet L. Colonoscopic perforations in inflammatory bowel disease: a retrospective study in a French referral centre. </w:t>
      </w:r>
      <w:r w:rsidRPr="00FA3782">
        <w:rPr>
          <w:rFonts w:ascii="Book Antiqua" w:hAnsi="Book Antiqua"/>
          <w:i/>
          <w:iCs/>
          <w:color w:val="000000" w:themeColor="text1"/>
          <w:lang w:val="en-US"/>
        </w:rPr>
        <w:t>Dig Liver Dis</w:t>
      </w:r>
      <w:r w:rsidRPr="00FA3782">
        <w:rPr>
          <w:rFonts w:ascii="Book Antiqua" w:hAnsi="Book Antiqua"/>
          <w:color w:val="000000" w:themeColor="text1"/>
          <w:lang w:val="en-US"/>
        </w:rPr>
        <w:t> 2013; </w:t>
      </w:r>
      <w:r w:rsidRPr="00FA3782">
        <w:rPr>
          <w:rFonts w:ascii="Book Antiqua" w:hAnsi="Book Antiqua"/>
          <w:b/>
          <w:bCs/>
          <w:color w:val="000000" w:themeColor="text1"/>
          <w:lang w:val="en-US"/>
        </w:rPr>
        <w:t>45</w:t>
      </w:r>
      <w:r w:rsidRPr="00FA3782">
        <w:rPr>
          <w:rFonts w:ascii="Book Antiqua" w:hAnsi="Book Antiqua"/>
          <w:color w:val="000000" w:themeColor="text1"/>
          <w:lang w:val="en-US"/>
        </w:rPr>
        <w:t>: 569-572 [PMID: 23298761 DOI: 10.1016/j.dld.2012.11.012]</w:t>
      </w:r>
    </w:p>
    <w:p w14:paraId="4CE25978" w14:textId="77777777" w:rsidR="00FA3782" w:rsidRPr="00FA3782" w:rsidRDefault="00FA3782" w:rsidP="00FA3782">
      <w:pPr>
        <w:pStyle w:val="Bibliography"/>
        <w:adjustRightInd w:val="0"/>
        <w:snapToGrid w:val="0"/>
        <w:spacing w:after="0" w:line="360" w:lineRule="auto"/>
        <w:ind w:left="0" w:firstLine="0"/>
        <w:jc w:val="both"/>
        <w:rPr>
          <w:rFonts w:ascii="Book Antiqua" w:hAnsi="Book Antiqua"/>
          <w:color w:val="000000" w:themeColor="text1"/>
          <w:lang w:val="en-US"/>
        </w:rPr>
      </w:pPr>
      <w:r w:rsidRPr="00FA3782">
        <w:rPr>
          <w:rFonts w:ascii="Book Antiqua" w:hAnsi="Book Antiqua"/>
          <w:color w:val="000000" w:themeColor="text1"/>
          <w:lang w:val="en-US"/>
        </w:rPr>
        <w:t>6 </w:t>
      </w:r>
      <w:r w:rsidRPr="00FA3782">
        <w:rPr>
          <w:rFonts w:ascii="Book Antiqua" w:hAnsi="Book Antiqua"/>
          <w:b/>
          <w:bCs/>
          <w:color w:val="000000" w:themeColor="text1"/>
          <w:lang w:val="en-US"/>
        </w:rPr>
        <w:t>Buisson A</w:t>
      </w:r>
      <w:r w:rsidRPr="00FA3782">
        <w:rPr>
          <w:rFonts w:ascii="Book Antiqua" w:hAnsi="Book Antiqua"/>
          <w:color w:val="000000" w:themeColor="text1"/>
          <w:lang w:val="en-US"/>
        </w:rPr>
        <w:t>, Gonzalez F, Poullenot F, Nancey S, Sollellis E, Fumery M, Pariente B, Flamant M, Trang-Poisson C, Bonnaud G, Mathieu S, Thevenin A, Duruy M, Filippi J, L</w:t>
      </w:r>
      <w:r w:rsidRPr="00FA3782">
        <w:rPr>
          <w:rFonts w:ascii="Calibri" w:eastAsia="Calibri" w:hAnsi="Calibri" w:cs="Calibri"/>
          <w:color w:val="000000" w:themeColor="text1"/>
          <w:lang w:val="en-US"/>
        </w:rPr>
        <w:t>ʼ</w:t>
      </w:r>
      <w:r w:rsidRPr="00FA3782">
        <w:rPr>
          <w:rFonts w:ascii="Book Antiqua" w:hAnsi="Book Antiqua"/>
          <w:color w:val="000000" w:themeColor="text1"/>
          <w:lang w:val="en-US"/>
        </w:rPr>
        <w:t>hopital F, Luneau F, Michalet V, Genès J, Achim A, Cruzille E, Bommelaer G, Laharie D, Peyrin-Biroulet L, Pereira B, Nachury M, Bouguen G; ACCEPT study group. Comparative Acceptability and Perceived Clinical Utility of Monitoring Tools: A Nationwide Survey of Patients with Inflammatory Bowel Disease. </w:t>
      </w:r>
      <w:r w:rsidRPr="00FA3782">
        <w:rPr>
          <w:rFonts w:ascii="Book Antiqua" w:hAnsi="Book Antiqua"/>
          <w:i/>
          <w:iCs/>
          <w:color w:val="000000" w:themeColor="text1"/>
          <w:lang w:val="en-US"/>
        </w:rPr>
        <w:t>Inflamm Bowel Dis</w:t>
      </w:r>
      <w:r w:rsidRPr="00FA3782">
        <w:rPr>
          <w:rFonts w:ascii="Book Antiqua" w:hAnsi="Book Antiqua"/>
          <w:color w:val="000000" w:themeColor="text1"/>
          <w:lang w:val="en-US"/>
        </w:rPr>
        <w:t> 2017; </w:t>
      </w:r>
      <w:r w:rsidRPr="00FA3782">
        <w:rPr>
          <w:rFonts w:ascii="Book Antiqua" w:hAnsi="Book Antiqua"/>
          <w:b/>
          <w:bCs/>
          <w:color w:val="000000" w:themeColor="text1"/>
          <w:lang w:val="en-US"/>
        </w:rPr>
        <w:t>23</w:t>
      </w:r>
      <w:r w:rsidRPr="00FA3782">
        <w:rPr>
          <w:rFonts w:ascii="Book Antiqua" w:hAnsi="Book Antiqua"/>
          <w:color w:val="000000" w:themeColor="text1"/>
          <w:lang w:val="en-US"/>
        </w:rPr>
        <w:t>: 1425-1433 [PMID: 28570431 DOI: 10.1097/MIB.0000000000001140]</w:t>
      </w:r>
    </w:p>
    <w:p w14:paraId="228F2D22" w14:textId="77777777" w:rsidR="00FA3782" w:rsidRPr="00FA3782" w:rsidRDefault="00FA3782" w:rsidP="00FA3782">
      <w:pPr>
        <w:pStyle w:val="Bibliography"/>
        <w:adjustRightInd w:val="0"/>
        <w:snapToGrid w:val="0"/>
        <w:spacing w:after="0" w:line="360" w:lineRule="auto"/>
        <w:ind w:left="0" w:firstLine="0"/>
        <w:jc w:val="both"/>
        <w:rPr>
          <w:rFonts w:ascii="Book Antiqua" w:hAnsi="Book Antiqua"/>
          <w:color w:val="000000" w:themeColor="text1"/>
          <w:lang w:val="en-US"/>
        </w:rPr>
      </w:pPr>
      <w:r w:rsidRPr="00FA3782">
        <w:rPr>
          <w:rFonts w:ascii="Book Antiqua" w:hAnsi="Book Antiqua"/>
          <w:color w:val="000000" w:themeColor="text1"/>
          <w:lang w:val="en-US"/>
        </w:rPr>
        <w:t>7 </w:t>
      </w:r>
      <w:r w:rsidRPr="00FA3782">
        <w:rPr>
          <w:rFonts w:ascii="Book Antiqua" w:hAnsi="Book Antiqua"/>
          <w:b/>
          <w:bCs/>
          <w:color w:val="000000" w:themeColor="text1"/>
          <w:lang w:val="en-US"/>
        </w:rPr>
        <w:t>D'Haens G</w:t>
      </w:r>
      <w:r w:rsidRPr="00FA3782">
        <w:rPr>
          <w:rFonts w:ascii="Book Antiqua" w:hAnsi="Book Antiqua"/>
          <w:color w:val="000000" w:themeColor="text1"/>
          <w:lang w:val="en-US"/>
        </w:rPr>
        <w:t>, Ferrante M, Vermeire S, Baert F, Noman M, Moortgat L, Geens P, Iwens D, Aerden I, Van Assche G, Van Olmen G, Rutgeerts P. Fecal calprotectin is a surrogate marker for endoscopic lesions in inflammatory bowel disease. </w:t>
      </w:r>
      <w:r w:rsidRPr="00FA3782">
        <w:rPr>
          <w:rFonts w:ascii="Book Antiqua" w:hAnsi="Book Antiqua"/>
          <w:i/>
          <w:iCs/>
          <w:color w:val="000000" w:themeColor="text1"/>
          <w:lang w:val="en-US"/>
        </w:rPr>
        <w:t>Inflamm Bowel Dis</w:t>
      </w:r>
      <w:r w:rsidRPr="00FA3782">
        <w:rPr>
          <w:rFonts w:ascii="Book Antiqua" w:hAnsi="Book Antiqua"/>
          <w:color w:val="000000" w:themeColor="text1"/>
          <w:lang w:val="en-US"/>
        </w:rPr>
        <w:t> 2012; </w:t>
      </w:r>
      <w:r w:rsidRPr="00FA3782">
        <w:rPr>
          <w:rFonts w:ascii="Book Antiqua" w:hAnsi="Book Antiqua"/>
          <w:b/>
          <w:bCs/>
          <w:color w:val="000000" w:themeColor="text1"/>
          <w:lang w:val="en-US"/>
        </w:rPr>
        <w:t>18</w:t>
      </w:r>
      <w:r w:rsidRPr="00FA3782">
        <w:rPr>
          <w:rFonts w:ascii="Book Antiqua" w:hAnsi="Book Antiqua"/>
          <w:color w:val="000000" w:themeColor="text1"/>
          <w:lang w:val="en-US"/>
        </w:rPr>
        <w:t>: 2218-2224 [PMID: 22344983 DOI: 10.1002/ibd.22917]</w:t>
      </w:r>
    </w:p>
    <w:p w14:paraId="69C33157" w14:textId="77777777" w:rsidR="00FA3782" w:rsidRPr="00FA3782" w:rsidRDefault="00FA3782" w:rsidP="00FA3782">
      <w:pPr>
        <w:pStyle w:val="Bibliography"/>
        <w:adjustRightInd w:val="0"/>
        <w:snapToGrid w:val="0"/>
        <w:spacing w:after="0" w:line="360" w:lineRule="auto"/>
        <w:ind w:left="0" w:firstLine="0"/>
        <w:jc w:val="both"/>
        <w:rPr>
          <w:rFonts w:ascii="Book Antiqua" w:hAnsi="Book Antiqua"/>
          <w:color w:val="000000" w:themeColor="text1"/>
          <w:lang w:val="en-US"/>
        </w:rPr>
      </w:pPr>
      <w:r w:rsidRPr="00FA3782">
        <w:rPr>
          <w:rFonts w:ascii="Book Antiqua" w:hAnsi="Book Antiqua"/>
          <w:color w:val="000000" w:themeColor="text1"/>
          <w:lang w:val="en-US"/>
        </w:rPr>
        <w:t>8 </w:t>
      </w:r>
      <w:r w:rsidRPr="00FA3782">
        <w:rPr>
          <w:rFonts w:ascii="Book Antiqua" w:hAnsi="Book Antiqua"/>
          <w:b/>
          <w:bCs/>
          <w:color w:val="000000" w:themeColor="text1"/>
          <w:lang w:val="en-US"/>
        </w:rPr>
        <w:t>Goutorbe F</w:t>
      </w:r>
      <w:r w:rsidRPr="00FA3782">
        <w:rPr>
          <w:rFonts w:ascii="Book Antiqua" w:hAnsi="Book Antiqua"/>
          <w:color w:val="000000" w:themeColor="text1"/>
          <w:lang w:val="en-US"/>
        </w:rPr>
        <w:t>, Goutte M, Minet-Quinard R, Boucher AL, Pereira B, Bommelaer G, Buisson A. Endoscopic Factors Influencing Fecal Calprotectin Value in Crohn's Disease. </w:t>
      </w:r>
      <w:r w:rsidRPr="00FA3782">
        <w:rPr>
          <w:rFonts w:ascii="Book Antiqua" w:hAnsi="Book Antiqua"/>
          <w:i/>
          <w:iCs/>
          <w:color w:val="000000" w:themeColor="text1"/>
          <w:lang w:val="en-US"/>
        </w:rPr>
        <w:t>J Crohns Colitis</w:t>
      </w:r>
      <w:r w:rsidRPr="00FA3782">
        <w:rPr>
          <w:rFonts w:ascii="Book Antiqua" w:hAnsi="Book Antiqua"/>
          <w:color w:val="000000" w:themeColor="text1"/>
          <w:lang w:val="en-US"/>
        </w:rPr>
        <w:t> 2015; </w:t>
      </w:r>
      <w:r w:rsidRPr="00FA3782">
        <w:rPr>
          <w:rFonts w:ascii="Book Antiqua" w:hAnsi="Book Antiqua"/>
          <w:b/>
          <w:bCs/>
          <w:color w:val="000000" w:themeColor="text1"/>
          <w:lang w:val="en-US"/>
        </w:rPr>
        <w:t>9</w:t>
      </w:r>
      <w:r w:rsidRPr="00FA3782">
        <w:rPr>
          <w:rFonts w:ascii="Book Antiqua" w:hAnsi="Book Antiqua"/>
          <w:color w:val="000000" w:themeColor="text1"/>
          <w:lang w:val="en-US"/>
        </w:rPr>
        <w:t>: 1113-1119 [PMID: 26351383 DOI: 10.1093/ecco-jcc/jjv150]</w:t>
      </w:r>
    </w:p>
    <w:p w14:paraId="0048B518" w14:textId="77777777" w:rsidR="00FA3782" w:rsidRPr="00FA3782" w:rsidRDefault="00FA3782" w:rsidP="00FA3782">
      <w:pPr>
        <w:pStyle w:val="Bibliography"/>
        <w:adjustRightInd w:val="0"/>
        <w:snapToGrid w:val="0"/>
        <w:spacing w:after="0" w:line="360" w:lineRule="auto"/>
        <w:ind w:left="0" w:firstLine="0"/>
        <w:jc w:val="both"/>
        <w:rPr>
          <w:rFonts w:ascii="Book Antiqua" w:hAnsi="Book Antiqua"/>
          <w:color w:val="000000" w:themeColor="text1"/>
          <w:lang w:val="en-US"/>
        </w:rPr>
      </w:pPr>
      <w:r w:rsidRPr="00FA3782">
        <w:rPr>
          <w:rFonts w:ascii="Book Antiqua" w:hAnsi="Book Antiqua"/>
          <w:color w:val="000000" w:themeColor="text1"/>
          <w:lang w:val="en-US"/>
        </w:rPr>
        <w:t>9 </w:t>
      </w:r>
      <w:r w:rsidRPr="00FA3782">
        <w:rPr>
          <w:rFonts w:ascii="Book Antiqua" w:hAnsi="Book Antiqua"/>
          <w:b/>
          <w:bCs/>
          <w:color w:val="000000" w:themeColor="text1"/>
          <w:lang w:val="en-US"/>
        </w:rPr>
        <w:t>Colombel JF</w:t>
      </w:r>
      <w:r w:rsidRPr="00FA3782">
        <w:rPr>
          <w:rFonts w:ascii="Book Antiqua" w:hAnsi="Book Antiqua"/>
          <w:color w:val="000000" w:themeColor="text1"/>
          <w:lang w:val="en-US"/>
        </w:rPr>
        <w:t>, Panaccione R, Bossuyt P, Lukas M, Baert F, Vaňásek T, Danalioglu A, Novacek G, Armuzzi A, Hébuterne X, Travis S, Danese S, Reinisch W, Sandborn WJ, Rutgeerts P, Hommes D, Schreiber S, Neimark E, Huang B, Zhou Q, Mendez P, Petersson J, Wallace K, Robinson AM, Thakkar RB, D'Haens G. Effect of tight control management on Crohn's disease (CALM): a multicentre, randomised, controlled phase 3 trial. </w:t>
      </w:r>
      <w:r w:rsidRPr="00FA3782">
        <w:rPr>
          <w:rFonts w:ascii="Book Antiqua" w:hAnsi="Book Antiqua"/>
          <w:i/>
          <w:iCs/>
          <w:color w:val="000000" w:themeColor="text1"/>
          <w:lang w:val="en-US"/>
        </w:rPr>
        <w:t>Lancet</w:t>
      </w:r>
      <w:r w:rsidRPr="00FA3782">
        <w:rPr>
          <w:rFonts w:ascii="Book Antiqua" w:hAnsi="Book Antiqua"/>
          <w:color w:val="000000" w:themeColor="text1"/>
          <w:lang w:val="en-US"/>
        </w:rPr>
        <w:t> 2018; </w:t>
      </w:r>
      <w:r w:rsidRPr="00FA3782">
        <w:rPr>
          <w:rFonts w:ascii="Book Antiqua" w:hAnsi="Book Antiqua"/>
          <w:b/>
          <w:bCs/>
          <w:color w:val="000000" w:themeColor="text1"/>
          <w:lang w:val="en-US"/>
        </w:rPr>
        <w:t>390</w:t>
      </w:r>
      <w:r w:rsidRPr="00FA3782">
        <w:rPr>
          <w:rFonts w:ascii="Book Antiqua" w:hAnsi="Book Antiqua"/>
          <w:color w:val="000000" w:themeColor="text1"/>
          <w:lang w:val="en-US"/>
        </w:rPr>
        <w:t>: 2779-2789 [PMID: 29096949 DOI: 10.1016/S0140-6736(17)32641-7]</w:t>
      </w:r>
    </w:p>
    <w:p w14:paraId="00580F12" w14:textId="77777777" w:rsidR="00FA3782" w:rsidRPr="00FA3782" w:rsidRDefault="00FA3782" w:rsidP="00FA3782">
      <w:pPr>
        <w:pStyle w:val="Bibliography"/>
        <w:adjustRightInd w:val="0"/>
        <w:snapToGrid w:val="0"/>
        <w:spacing w:after="0" w:line="360" w:lineRule="auto"/>
        <w:ind w:left="0" w:firstLine="0"/>
        <w:jc w:val="both"/>
        <w:rPr>
          <w:rFonts w:ascii="Book Antiqua" w:hAnsi="Book Antiqua"/>
          <w:color w:val="000000" w:themeColor="text1"/>
          <w:lang w:val="en-US"/>
        </w:rPr>
      </w:pPr>
      <w:r w:rsidRPr="00FA3782">
        <w:rPr>
          <w:rFonts w:ascii="Book Antiqua" w:hAnsi="Book Antiqua"/>
          <w:color w:val="000000" w:themeColor="text1"/>
          <w:lang w:val="en-US"/>
        </w:rPr>
        <w:t>10 </w:t>
      </w:r>
      <w:r w:rsidRPr="00FA3782">
        <w:rPr>
          <w:rFonts w:ascii="Book Antiqua" w:hAnsi="Book Antiqua"/>
          <w:b/>
          <w:bCs/>
          <w:color w:val="000000" w:themeColor="text1"/>
          <w:lang w:val="en-US"/>
        </w:rPr>
        <w:t>Harris PA</w:t>
      </w:r>
      <w:r w:rsidRPr="00FA3782">
        <w:rPr>
          <w:rFonts w:ascii="Book Antiqua" w:hAnsi="Book Antiqua"/>
          <w:color w:val="000000" w:themeColor="text1"/>
          <w:lang w:val="en-US"/>
        </w:rPr>
        <w:t>, Taylor R, Thielke R, Payne J, Gonzalez N, Conde JG. Research electronic data capture (REDCap)--a metadata-driven methodology and workflow process for providing translational research informatics support. </w:t>
      </w:r>
      <w:r w:rsidRPr="00FA3782">
        <w:rPr>
          <w:rFonts w:ascii="Book Antiqua" w:hAnsi="Book Antiqua"/>
          <w:i/>
          <w:iCs/>
          <w:color w:val="000000" w:themeColor="text1"/>
          <w:lang w:val="en-US"/>
        </w:rPr>
        <w:t>J Biomed Inform</w:t>
      </w:r>
      <w:r w:rsidRPr="00FA3782">
        <w:rPr>
          <w:rFonts w:ascii="Book Antiqua" w:hAnsi="Book Antiqua"/>
          <w:color w:val="000000" w:themeColor="text1"/>
          <w:lang w:val="en-US"/>
        </w:rPr>
        <w:t> 2009; </w:t>
      </w:r>
      <w:r w:rsidRPr="00FA3782">
        <w:rPr>
          <w:rFonts w:ascii="Book Antiqua" w:hAnsi="Book Antiqua"/>
          <w:b/>
          <w:bCs/>
          <w:color w:val="000000" w:themeColor="text1"/>
          <w:lang w:val="en-US"/>
        </w:rPr>
        <w:t>42</w:t>
      </w:r>
      <w:r w:rsidRPr="00FA3782">
        <w:rPr>
          <w:rFonts w:ascii="Book Antiqua" w:hAnsi="Book Antiqua"/>
          <w:color w:val="000000" w:themeColor="text1"/>
          <w:lang w:val="en-US"/>
        </w:rPr>
        <w:t>: 377-381 [PMID: 18929686 DOI: 10.1016/j.jbi.2008.08.010]</w:t>
      </w:r>
    </w:p>
    <w:p w14:paraId="4D46E59B" w14:textId="77777777" w:rsidR="00FA3782" w:rsidRPr="00FA3782" w:rsidRDefault="00FA3782" w:rsidP="00FA3782">
      <w:pPr>
        <w:pStyle w:val="Bibliography"/>
        <w:adjustRightInd w:val="0"/>
        <w:snapToGrid w:val="0"/>
        <w:spacing w:after="0" w:line="360" w:lineRule="auto"/>
        <w:ind w:left="0" w:firstLine="0"/>
        <w:jc w:val="both"/>
        <w:rPr>
          <w:rFonts w:ascii="Book Antiqua" w:hAnsi="Book Antiqua"/>
          <w:color w:val="000000" w:themeColor="text1"/>
          <w:lang w:val="en-US"/>
        </w:rPr>
      </w:pPr>
      <w:r w:rsidRPr="00FA3782">
        <w:rPr>
          <w:rFonts w:ascii="Book Antiqua" w:hAnsi="Book Antiqua"/>
          <w:color w:val="000000" w:themeColor="text1"/>
          <w:lang w:val="en-US"/>
        </w:rPr>
        <w:lastRenderedPageBreak/>
        <w:t>11 </w:t>
      </w:r>
      <w:r w:rsidRPr="00FA3782">
        <w:rPr>
          <w:rFonts w:ascii="Book Antiqua" w:hAnsi="Book Antiqua"/>
          <w:b/>
          <w:bCs/>
          <w:color w:val="000000" w:themeColor="text1"/>
          <w:lang w:val="en-US"/>
        </w:rPr>
        <w:t>Peyrin-Biroulet L</w:t>
      </w:r>
      <w:r w:rsidRPr="00FA3782">
        <w:rPr>
          <w:rFonts w:ascii="Book Antiqua" w:hAnsi="Book Antiqua"/>
          <w:color w:val="000000" w:themeColor="text1"/>
          <w:lang w:val="en-US"/>
        </w:rPr>
        <w:t>, Reinisch W, Colombel JF, Mantzaris GJ, Kornbluth A, Diamond R, Rutgeerts P, Tang LK, Cornillie FJ, Sandborn WJ. Clinical disease activity, C-reactive protein normalisation and mucosal healing in Crohn's disease in the SONIC trial. </w:t>
      </w:r>
      <w:r w:rsidRPr="00FA3782">
        <w:rPr>
          <w:rFonts w:ascii="Book Antiqua" w:hAnsi="Book Antiqua"/>
          <w:i/>
          <w:iCs/>
          <w:color w:val="000000" w:themeColor="text1"/>
          <w:lang w:val="en-US"/>
        </w:rPr>
        <w:t>Gut</w:t>
      </w:r>
      <w:r w:rsidRPr="00FA3782">
        <w:rPr>
          <w:rFonts w:ascii="Book Antiqua" w:hAnsi="Book Antiqua"/>
          <w:color w:val="000000" w:themeColor="text1"/>
          <w:lang w:val="en-US"/>
        </w:rPr>
        <w:t> 2014; </w:t>
      </w:r>
      <w:r w:rsidRPr="00FA3782">
        <w:rPr>
          <w:rFonts w:ascii="Book Antiqua" w:hAnsi="Book Antiqua"/>
          <w:b/>
          <w:bCs/>
          <w:color w:val="000000" w:themeColor="text1"/>
          <w:lang w:val="en-US"/>
        </w:rPr>
        <w:t>63</w:t>
      </w:r>
      <w:r w:rsidRPr="00FA3782">
        <w:rPr>
          <w:rFonts w:ascii="Book Antiqua" w:hAnsi="Book Antiqua"/>
          <w:color w:val="000000" w:themeColor="text1"/>
          <w:lang w:val="en-US"/>
        </w:rPr>
        <w:t>: 88-95 [PMID: 23974954 DOI: 10.1136/gutjnl-2013-304984]</w:t>
      </w:r>
    </w:p>
    <w:p w14:paraId="33E338C6" w14:textId="77777777" w:rsidR="00FA3782" w:rsidRPr="00FA3782" w:rsidRDefault="00FA3782" w:rsidP="00FA3782">
      <w:pPr>
        <w:pStyle w:val="Bibliography"/>
        <w:adjustRightInd w:val="0"/>
        <w:snapToGrid w:val="0"/>
        <w:spacing w:after="0" w:line="360" w:lineRule="auto"/>
        <w:ind w:left="0" w:firstLine="0"/>
        <w:jc w:val="both"/>
        <w:rPr>
          <w:rFonts w:ascii="Book Antiqua" w:hAnsi="Book Antiqua"/>
          <w:color w:val="000000" w:themeColor="text1"/>
          <w:lang w:val="en-US"/>
        </w:rPr>
      </w:pPr>
      <w:r w:rsidRPr="00FA3782">
        <w:rPr>
          <w:rFonts w:ascii="Book Antiqua" w:hAnsi="Book Antiqua"/>
          <w:color w:val="000000" w:themeColor="text1"/>
          <w:lang w:val="en-US"/>
        </w:rPr>
        <w:t>12 </w:t>
      </w:r>
      <w:r w:rsidRPr="00FA3782">
        <w:rPr>
          <w:rFonts w:ascii="Book Antiqua" w:hAnsi="Book Antiqua"/>
          <w:b/>
          <w:bCs/>
          <w:color w:val="000000" w:themeColor="text1"/>
          <w:lang w:val="en-US"/>
        </w:rPr>
        <w:t>Reinisch W</w:t>
      </w:r>
      <w:r w:rsidRPr="00FA3782">
        <w:rPr>
          <w:rFonts w:ascii="Book Antiqua" w:hAnsi="Book Antiqua"/>
          <w:color w:val="000000" w:themeColor="text1"/>
          <w:lang w:val="en-US"/>
        </w:rPr>
        <w:t>, Wang Y, Oddens BJ, Link R. C-reactive protein, an indicator for maintained response or remission to infliximab in patients with Crohn's disease: a post-hoc analysis from ACCENT I. </w:t>
      </w:r>
      <w:r w:rsidRPr="00FA3782">
        <w:rPr>
          <w:rFonts w:ascii="Book Antiqua" w:hAnsi="Book Antiqua"/>
          <w:i/>
          <w:iCs/>
          <w:color w:val="000000" w:themeColor="text1"/>
          <w:lang w:val="en-US"/>
        </w:rPr>
        <w:t>Aliment Pharmacol Ther</w:t>
      </w:r>
      <w:r w:rsidRPr="00FA3782">
        <w:rPr>
          <w:rFonts w:ascii="Book Antiqua" w:hAnsi="Book Antiqua"/>
          <w:color w:val="000000" w:themeColor="text1"/>
          <w:lang w:val="en-US"/>
        </w:rPr>
        <w:t> 2012; </w:t>
      </w:r>
      <w:r w:rsidRPr="00FA3782">
        <w:rPr>
          <w:rFonts w:ascii="Book Antiqua" w:hAnsi="Book Antiqua"/>
          <w:b/>
          <w:bCs/>
          <w:color w:val="000000" w:themeColor="text1"/>
          <w:lang w:val="en-US"/>
        </w:rPr>
        <w:t>35</w:t>
      </w:r>
      <w:r w:rsidRPr="00FA3782">
        <w:rPr>
          <w:rFonts w:ascii="Book Antiqua" w:hAnsi="Book Antiqua"/>
          <w:color w:val="000000" w:themeColor="text1"/>
          <w:lang w:val="en-US"/>
        </w:rPr>
        <w:t>: 568-576 [PMID: 22251435 DOI: 10.1111/j.1365-2036.2011.04987.x]</w:t>
      </w:r>
    </w:p>
    <w:p w14:paraId="2F05D11B" w14:textId="77777777" w:rsidR="00FA3782" w:rsidRPr="00FA3782" w:rsidRDefault="00FA3782" w:rsidP="00FA3782">
      <w:pPr>
        <w:pStyle w:val="Bibliography"/>
        <w:adjustRightInd w:val="0"/>
        <w:snapToGrid w:val="0"/>
        <w:spacing w:after="0" w:line="360" w:lineRule="auto"/>
        <w:ind w:left="0" w:firstLine="0"/>
        <w:jc w:val="both"/>
        <w:rPr>
          <w:rFonts w:ascii="Book Antiqua" w:hAnsi="Book Antiqua"/>
          <w:color w:val="000000" w:themeColor="text1"/>
          <w:lang w:val="en-US"/>
        </w:rPr>
      </w:pPr>
      <w:r w:rsidRPr="00FA3782">
        <w:rPr>
          <w:rFonts w:ascii="Book Antiqua" w:hAnsi="Book Antiqua"/>
          <w:color w:val="000000" w:themeColor="text1"/>
          <w:lang w:val="en-US"/>
        </w:rPr>
        <w:t>13 </w:t>
      </w:r>
      <w:r w:rsidRPr="00FA3782">
        <w:rPr>
          <w:rFonts w:ascii="Book Antiqua" w:hAnsi="Book Antiqua"/>
          <w:b/>
          <w:bCs/>
          <w:color w:val="000000" w:themeColor="text1"/>
          <w:lang w:val="en-US"/>
        </w:rPr>
        <w:t>Kiss LS</w:t>
      </w:r>
      <w:r w:rsidRPr="00FA3782">
        <w:rPr>
          <w:rFonts w:ascii="Book Antiqua" w:hAnsi="Book Antiqua"/>
          <w:color w:val="000000" w:themeColor="text1"/>
          <w:lang w:val="en-US"/>
        </w:rPr>
        <w:t>, Szamosi T, Molnar T, Miheller P, Lakatos L, Vincze A, Palatka K, Barta Z, Gasztonyi B, Salamon A, Horvath G, Tóth GT, Farkas K, Banai J, Tulassay Z, Nagy F, Szenes M, Veres G, Lovasz BD, Vegh Z, Golovics PA, Szathmari M, Papp M, Lakatos PL; Hungarian IBD Study Group. Early clinical remission and normalisation of CRP are the strongest predictors of efficacy, mucosal healing and dose escalation during the first year of adalimumab therapy in Crohn's disease. </w:t>
      </w:r>
      <w:r w:rsidRPr="00FA3782">
        <w:rPr>
          <w:rFonts w:ascii="Book Antiqua" w:hAnsi="Book Antiqua"/>
          <w:i/>
          <w:iCs/>
          <w:color w:val="000000" w:themeColor="text1"/>
          <w:lang w:val="en-US"/>
        </w:rPr>
        <w:t>Aliment Pharmacol Ther</w:t>
      </w:r>
      <w:r w:rsidRPr="00FA3782">
        <w:rPr>
          <w:rFonts w:ascii="Book Antiqua" w:hAnsi="Book Antiqua"/>
          <w:color w:val="000000" w:themeColor="text1"/>
          <w:lang w:val="en-US"/>
        </w:rPr>
        <w:t> 2011; </w:t>
      </w:r>
      <w:r w:rsidRPr="00FA3782">
        <w:rPr>
          <w:rFonts w:ascii="Book Antiqua" w:hAnsi="Book Antiqua"/>
          <w:b/>
          <w:bCs/>
          <w:color w:val="000000" w:themeColor="text1"/>
          <w:lang w:val="en-US"/>
        </w:rPr>
        <w:t>34</w:t>
      </w:r>
      <w:r w:rsidRPr="00FA3782">
        <w:rPr>
          <w:rFonts w:ascii="Book Antiqua" w:hAnsi="Book Antiqua"/>
          <w:color w:val="000000" w:themeColor="text1"/>
          <w:lang w:val="en-US"/>
        </w:rPr>
        <w:t>: 911-922 [PMID: 21883326 DOI: 10.1111/j.1365-2036.2011.04827.x]</w:t>
      </w:r>
    </w:p>
    <w:p w14:paraId="0D33D619" w14:textId="77777777" w:rsidR="00FA3782" w:rsidRPr="00FA3782" w:rsidRDefault="00FA3782" w:rsidP="00FA3782">
      <w:pPr>
        <w:pStyle w:val="Bibliography"/>
        <w:adjustRightInd w:val="0"/>
        <w:snapToGrid w:val="0"/>
        <w:spacing w:after="0" w:line="360" w:lineRule="auto"/>
        <w:ind w:left="0" w:firstLine="0"/>
        <w:jc w:val="both"/>
        <w:rPr>
          <w:rFonts w:ascii="Book Antiqua" w:hAnsi="Book Antiqua"/>
          <w:color w:val="000000" w:themeColor="text1"/>
          <w:lang w:val="en-US"/>
        </w:rPr>
      </w:pPr>
      <w:r w:rsidRPr="00FA3782">
        <w:rPr>
          <w:rFonts w:ascii="Book Antiqua" w:hAnsi="Book Antiqua"/>
          <w:color w:val="000000" w:themeColor="text1"/>
          <w:lang w:val="en-US"/>
        </w:rPr>
        <w:t>14 </w:t>
      </w:r>
      <w:r w:rsidRPr="00FA3782">
        <w:rPr>
          <w:rFonts w:ascii="Book Antiqua" w:hAnsi="Book Antiqua"/>
          <w:b/>
          <w:bCs/>
          <w:color w:val="000000" w:themeColor="text1"/>
          <w:lang w:val="en-US"/>
        </w:rPr>
        <w:t>Boschetti G</w:t>
      </w:r>
      <w:r w:rsidRPr="00FA3782">
        <w:rPr>
          <w:rFonts w:ascii="Book Antiqua" w:hAnsi="Book Antiqua"/>
          <w:color w:val="000000" w:themeColor="text1"/>
          <w:lang w:val="en-US"/>
        </w:rPr>
        <w:t>, Garnero P, Moussata D, Cuerq C, Préaudat C, Duclaux-Loras R, Mialon A, Drai J, Flourié B, Nancey S. Accuracies of serum and fecal S100 proteins (calprotectin and calgranulin C) to predict the response to TNF antagonists in patients with Crohn's disease. </w:t>
      </w:r>
      <w:r w:rsidRPr="00FA3782">
        <w:rPr>
          <w:rFonts w:ascii="Book Antiqua" w:hAnsi="Book Antiqua"/>
          <w:i/>
          <w:iCs/>
          <w:color w:val="000000" w:themeColor="text1"/>
          <w:lang w:val="en-US"/>
        </w:rPr>
        <w:t>Inflamm Bowel Dis</w:t>
      </w:r>
      <w:r w:rsidRPr="00FA3782">
        <w:rPr>
          <w:rFonts w:ascii="Book Antiqua" w:hAnsi="Book Antiqua"/>
          <w:color w:val="000000" w:themeColor="text1"/>
          <w:lang w:val="en-US"/>
        </w:rPr>
        <w:t> 2015; </w:t>
      </w:r>
      <w:r w:rsidRPr="00FA3782">
        <w:rPr>
          <w:rFonts w:ascii="Book Antiqua" w:hAnsi="Book Antiqua"/>
          <w:b/>
          <w:bCs/>
          <w:color w:val="000000" w:themeColor="text1"/>
          <w:lang w:val="en-US"/>
        </w:rPr>
        <w:t>21</w:t>
      </w:r>
      <w:r w:rsidRPr="00FA3782">
        <w:rPr>
          <w:rFonts w:ascii="Book Antiqua" w:hAnsi="Book Antiqua"/>
          <w:color w:val="000000" w:themeColor="text1"/>
          <w:lang w:val="en-US"/>
        </w:rPr>
        <w:t>: 331-336 [PMID: 25625487 DOI: 10.1097/MIB.0000000000000273]</w:t>
      </w:r>
    </w:p>
    <w:p w14:paraId="18A93608" w14:textId="77777777" w:rsidR="00FA3782" w:rsidRPr="00FA3782" w:rsidRDefault="00FA3782" w:rsidP="00FA3782">
      <w:pPr>
        <w:pStyle w:val="Bibliography"/>
        <w:adjustRightInd w:val="0"/>
        <w:snapToGrid w:val="0"/>
        <w:spacing w:after="0" w:line="360" w:lineRule="auto"/>
        <w:ind w:left="0" w:firstLine="0"/>
        <w:jc w:val="both"/>
        <w:rPr>
          <w:rFonts w:ascii="Book Antiqua" w:hAnsi="Book Antiqua"/>
          <w:color w:val="000000" w:themeColor="text1"/>
          <w:lang w:val="en-US"/>
        </w:rPr>
      </w:pPr>
      <w:r w:rsidRPr="00FA3782">
        <w:rPr>
          <w:rFonts w:ascii="Book Antiqua" w:hAnsi="Book Antiqua"/>
          <w:color w:val="000000" w:themeColor="text1"/>
          <w:lang w:val="en-US"/>
        </w:rPr>
        <w:t>15 </w:t>
      </w:r>
      <w:r w:rsidRPr="00FA3782">
        <w:rPr>
          <w:rFonts w:ascii="Book Antiqua" w:hAnsi="Book Antiqua"/>
          <w:b/>
          <w:bCs/>
          <w:color w:val="000000" w:themeColor="text1"/>
          <w:lang w:val="en-US"/>
        </w:rPr>
        <w:t>Guidi L</w:t>
      </w:r>
      <w:r w:rsidRPr="00FA3782">
        <w:rPr>
          <w:rFonts w:ascii="Book Antiqua" w:hAnsi="Book Antiqua"/>
          <w:color w:val="000000" w:themeColor="text1"/>
          <w:lang w:val="en-US"/>
        </w:rPr>
        <w:t>, Marzo M, Andrisani G, Felice C, Pugliese D, Mocci G, Nardone O, De Vitis I, Papa A, Rapaccini G, Forni F, Armuzzi A. Faecal calprotectin assay after induction with anti-Tumour Necrosis Factor α agents in inflammatory bowel disease: Prediction of clinical response and mucosal healing at one year. </w:t>
      </w:r>
      <w:r w:rsidRPr="00FA3782">
        <w:rPr>
          <w:rFonts w:ascii="Book Antiqua" w:hAnsi="Book Antiqua"/>
          <w:i/>
          <w:iCs/>
          <w:color w:val="000000" w:themeColor="text1"/>
          <w:lang w:val="en-US"/>
        </w:rPr>
        <w:t>Dig Liver Dis</w:t>
      </w:r>
      <w:r w:rsidRPr="00FA3782">
        <w:rPr>
          <w:rFonts w:ascii="Book Antiqua" w:hAnsi="Book Antiqua"/>
          <w:color w:val="000000" w:themeColor="text1"/>
          <w:lang w:val="en-US"/>
        </w:rPr>
        <w:t> 2014; </w:t>
      </w:r>
      <w:r w:rsidRPr="00FA3782">
        <w:rPr>
          <w:rFonts w:ascii="Book Antiqua" w:hAnsi="Book Antiqua"/>
          <w:b/>
          <w:bCs/>
          <w:color w:val="000000" w:themeColor="text1"/>
          <w:lang w:val="en-US"/>
        </w:rPr>
        <w:t>46</w:t>
      </w:r>
      <w:r w:rsidRPr="00FA3782">
        <w:rPr>
          <w:rFonts w:ascii="Book Antiqua" w:hAnsi="Book Antiqua"/>
          <w:color w:val="000000" w:themeColor="text1"/>
          <w:lang w:val="en-US"/>
        </w:rPr>
        <w:t>: 974-979 [PMID: 25096964 DOI: 10.1016/j.dld.2014.07.013]</w:t>
      </w:r>
    </w:p>
    <w:p w14:paraId="2E8A862F" w14:textId="77777777" w:rsidR="00FA3782" w:rsidRPr="00FA3782" w:rsidRDefault="00FA3782" w:rsidP="00FA3782">
      <w:pPr>
        <w:pStyle w:val="Bibliography"/>
        <w:adjustRightInd w:val="0"/>
        <w:snapToGrid w:val="0"/>
        <w:spacing w:after="0" w:line="360" w:lineRule="auto"/>
        <w:ind w:left="0" w:firstLine="0"/>
        <w:jc w:val="both"/>
        <w:rPr>
          <w:rFonts w:ascii="Book Antiqua" w:hAnsi="Book Antiqua"/>
          <w:color w:val="000000" w:themeColor="text1"/>
          <w:lang w:val="en-US"/>
        </w:rPr>
      </w:pPr>
      <w:r w:rsidRPr="00FA3782">
        <w:rPr>
          <w:rFonts w:ascii="Book Antiqua" w:hAnsi="Book Antiqua"/>
          <w:color w:val="000000" w:themeColor="text1"/>
          <w:lang w:val="en-US"/>
        </w:rPr>
        <w:t>16 </w:t>
      </w:r>
      <w:r w:rsidRPr="00FA3782">
        <w:rPr>
          <w:rFonts w:ascii="Book Antiqua" w:hAnsi="Book Antiqua"/>
          <w:b/>
          <w:bCs/>
          <w:color w:val="000000" w:themeColor="text1"/>
          <w:lang w:val="en-US"/>
        </w:rPr>
        <w:t>Molander P</w:t>
      </w:r>
      <w:r w:rsidRPr="00FA3782">
        <w:rPr>
          <w:rFonts w:ascii="Book Antiqua" w:hAnsi="Book Antiqua"/>
          <w:color w:val="000000" w:themeColor="text1"/>
          <w:lang w:val="en-US"/>
        </w:rPr>
        <w:t>, af Björkesten CG, Mustonen H, Haapamäki J, Vauhkonen M, Kolho KL, Färkkilä M, Sipponen T. Fecal calprotectin concentration predicts outcome in inflammatory bowel disease after induction therapy with TNFα blocking agents. </w:t>
      </w:r>
      <w:r w:rsidRPr="00FA3782">
        <w:rPr>
          <w:rFonts w:ascii="Book Antiqua" w:hAnsi="Book Antiqua"/>
          <w:i/>
          <w:iCs/>
          <w:color w:val="000000" w:themeColor="text1"/>
          <w:lang w:val="en-US"/>
        </w:rPr>
        <w:t>Inflamm Bowel Dis</w:t>
      </w:r>
      <w:r w:rsidRPr="00FA3782">
        <w:rPr>
          <w:rFonts w:ascii="Book Antiqua" w:hAnsi="Book Antiqua"/>
          <w:color w:val="000000" w:themeColor="text1"/>
          <w:lang w:val="en-US"/>
        </w:rPr>
        <w:t> 2012; </w:t>
      </w:r>
      <w:r w:rsidRPr="00FA3782">
        <w:rPr>
          <w:rFonts w:ascii="Book Antiqua" w:hAnsi="Book Antiqua"/>
          <w:b/>
          <w:bCs/>
          <w:color w:val="000000" w:themeColor="text1"/>
          <w:lang w:val="en-US"/>
        </w:rPr>
        <w:t>18</w:t>
      </w:r>
      <w:r w:rsidRPr="00FA3782">
        <w:rPr>
          <w:rFonts w:ascii="Book Antiqua" w:hAnsi="Book Antiqua"/>
          <w:color w:val="000000" w:themeColor="text1"/>
          <w:lang w:val="en-US"/>
        </w:rPr>
        <w:t>: 2011-2017 [PMID: 22223566 DOI: 10.1002/ibd.22863]</w:t>
      </w:r>
    </w:p>
    <w:p w14:paraId="134A722C" w14:textId="77777777" w:rsidR="00FA3782" w:rsidRPr="00FA3782" w:rsidRDefault="00FA3782" w:rsidP="00FA3782">
      <w:pPr>
        <w:pStyle w:val="Bibliography"/>
        <w:adjustRightInd w:val="0"/>
        <w:snapToGrid w:val="0"/>
        <w:spacing w:after="0" w:line="360" w:lineRule="auto"/>
        <w:ind w:left="0" w:firstLine="0"/>
        <w:jc w:val="both"/>
        <w:rPr>
          <w:rFonts w:ascii="Book Antiqua" w:hAnsi="Book Antiqua"/>
          <w:color w:val="000000" w:themeColor="text1"/>
          <w:lang w:val="en-US"/>
        </w:rPr>
      </w:pPr>
      <w:r w:rsidRPr="00FA3782">
        <w:rPr>
          <w:rFonts w:ascii="Book Antiqua" w:hAnsi="Book Antiqua"/>
          <w:color w:val="000000" w:themeColor="text1"/>
          <w:lang w:val="en-US"/>
        </w:rPr>
        <w:lastRenderedPageBreak/>
        <w:t>17 </w:t>
      </w:r>
      <w:r w:rsidRPr="00FA3782">
        <w:rPr>
          <w:rFonts w:ascii="Book Antiqua" w:hAnsi="Book Antiqua"/>
          <w:b/>
          <w:bCs/>
          <w:color w:val="000000" w:themeColor="text1"/>
          <w:lang w:val="en-US"/>
        </w:rPr>
        <w:t>Labaere D</w:t>
      </w:r>
      <w:r w:rsidRPr="00FA3782">
        <w:rPr>
          <w:rFonts w:ascii="Book Antiqua" w:hAnsi="Book Antiqua"/>
          <w:color w:val="000000" w:themeColor="text1"/>
          <w:lang w:val="en-US"/>
        </w:rPr>
        <w:t>, Smismans A, Van Olmen A, Christiaens P, D'Haens G, Moons V, Cuyle PJ, Frans J, Bossuyt P. Comparison of six different calprotectin assays for the assessment of inflammatory bowel disease. </w:t>
      </w:r>
      <w:r w:rsidRPr="00FA3782">
        <w:rPr>
          <w:rFonts w:ascii="Book Antiqua" w:hAnsi="Book Antiqua"/>
          <w:i/>
          <w:iCs/>
          <w:color w:val="000000" w:themeColor="text1"/>
          <w:lang w:val="en-US"/>
        </w:rPr>
        <w:t>United European Gastroenterol J</w:t>
      </w:r>
      <w:r w:rsidRPr="00FA3782">
        <w:rPr>
          <w:rFonts w:ascii="Book Antiqua" w:hAnsi="Book Antiqua"/>
          <w:color w:val="000000" w:themeColor="text1"/>
          <w:lang w:val="en-US"/>
        </w:rPr>
        <w:t> 2014; </w:t>
      </w:r>
      <w:r w:rsidRPr="00FA3782">
        <w:rPr>
          <w:rFonts w:ascii="Book Antiqua" w:hAnsi="Book Antiqua"/>
          <w:b/>
          <w:bCs/>
          <w:color w:val="000000" w:themeColor="text1"/>
          <w:lang w:val="en-US"/>
        </w:rPr>
        <w:t>2</w:t>
      </w:r>
      <w:r w:rsidRPr="00FA3782">
        <w:rPr>
          <w:rFonts w:ascii="Book Antiqua" w:hAnsi="Book Antiqua"/>
          <w:color w:val="000000" w:themeColor="text1"/>
          <w:lang w:val="en-US"/>
        </w:rPr>
        <w:t>: 30-37 [PMID: 24918006 DOI: 10.1177/2050640613518201]</w:t>
      </w:r>
    </w:p>
    <w:p w14:paraId="5B337EFD" w14:textId="404DDE6E" w:rsidR="00A511DE" w:rsidRPr="00A511DE" w:rsidRDefault="008707A9" w:rsidP="00A511DE">
      <w:pPr>
        <w:wordWrap w:val="0"/>
        <w:snapToGrid w:val="0"/>
        <w:spacing w:line="360" w:lineRule="auto"/>
        <w:jc w:val="right"/>
        <w:rPr>
          <w:rFonts w:ascii="Book Antiqua" w:eastAsia="SimSun" w:hAnsi="Book Antiqua"/>
          <w:b/>
          <w:bCs/>
          <w:lang w:val="en-US" w:eastAsia="zh-CN"/>
        </w:rPr>
      </w:pPr>
      <w:r w:rsidRPr="008A5994">
        <w:rPr>
          <w:rFonts w:ascii="Book Antiqua" w:hAnsi="Book Antiqua"/>
          <w:color w:val="000000" w:themeColor="text1"/>
          <w:lang w:val="en-US"/>
        </w:rPr>
        <w:fldChar w:fldCharType="end"/>
      </w:r>
      <w:bookmarkStart w:id="142" w:name="OLE_LINK148"/>
      <w:bookmarkStart w:id="143" w:name="OLE_LINK320"/>
      <w:bookmarkStart w:id="144" w:name="OLE_LINK387"/>
      <w:bookmarkStart w:id="145" w:name="OLE_LINK254"/>
      <w:bookmarkStart w:id="146" w:name="OLE_LINK149"/>
      <w:bookmarkStart w:id="147" w:name="OLE_LINK225"/>
      <w:bookmarkStart w:id="148" w:name="OLE_LINK207"/>
      <w:bookmarkStart w:id="149" w:name="OLE_LINK226"/>
      <w:bookmarkStart w:id="150" w:name="OLE_LINK212"/>
      <w:bookmarkStart w:id="151" w:name="OLE_LINK250"/>
      <w:bookmarkStart w:id="152" w:name="OLE_LINK281"/>
      <w:bookmarkStart w:id="153" w:name="OLE_LINK282"/>
      <w:bookmarkStart w:id="154" w:name="OLE_LINK313"/>
      <w:bookmarkStart w:id="155" w:name="OLE_LINK304"/>
      <w:bookmarkStart w:id="156" w:name="OLE_LINK321"/>
      <w:bookmarkStart w:id="157" w:name="OLE_LINK385"/>
      <w:bookmarkStart w:id="158" w:name="OLE_LINK400"/>
      <w:bookmarkStart w:id="159" w:name="OLE_LINK346"/>
      <w:bookmarkStart w:id="160" w:name="OLE_LINK371"/>
      <w:bookmarkStart w:id="161" w:name="OLE_LINK334"/>
      <w:bookmarkStart w:id="162" w:name="OLE_LINK1830"/>
      <w:bookmarkStart w:id="163" w:name="OLE_LINK457"/>
      <w:bookmarkStart w:id="164" w:name="OLE_LINK288"/>
      <w:bookmarkStart w:id="165" w:name="OLE_LINK384"/>
      <w:bookmarkStart w:id="166" w:name="OLE_LINK379"/>
      <w:bookmarkStart w:id="167" w:name="OLE_LINK303"/>
      <w:bookmarkStart w:id="168" w:name="OLE_LINK450"/>
      <w:bookmarkStart w:id="169" w:name="OLE_LINK489"/>
      <w:bookmarkStart w:id="170" w:name="OLE_LINK648"/>
      <w:bookmarkStart w:id="171" w:name="OLE_LINK686"/>
      <w:bookmarkStart w:id="172" w:name="OLE_LINK471"/>
      <w:bookmarkStart w:id="173" w:name="OLE_LINK462"/>
      <w:bookmarkStart w:id="174" w:name="OLE_LINK575"/>
      <w:bookmarkStart w:id="175" w:name="OLE_LINK491"/>
      <w:bookmarkStart w:id="176" w:name="OLE_LINK572"/>
      <w:bookmarkStart w:id="177" w:name="OLE_LINK574"/>
      <w:bookmarkStart w:id="178" w:name="OLE_LINK480"/>
      <w:bookmarkStart w:id="179" w:name="OLE_LINK567"/>
      <w:bookmarkStart w:id="180" w:name="OLE_LINK2700"/>
      <w:bookmarkStart w:id="181" w:name="OLE_LINK581"/>
      <w:bookmarkStart w:id="182" w:name="OLE_LINK639"/>
      <w:bookmarkStart w:id="183" w:name="OLE_LINK688"/>
      <w:bookmarkStart w:id="184" w:name="OLE_LINK722"/>
      <w:bookmarkStart w:id="185" w:name="OLE_LINK589"/>
      <w:bookmarkStart w:id="186" w:name="OLE_LINK582"/>
      <w:bookmarkStart w:id="187" w:name="OLE_LINK640"/>
      <w:bookmarkStart w:id="188" w:name="OLE_LINK714"/>
      <w:bookmarkStart w:id="189" w:name="OLE_LINK593"/>
      <w:bookmarkStart w:id="190" w:name="OLE_LINK716"/>
      <w:bookmarkStart w:id="191" w:name="OLE_LINK770"/>
      <w:bookmarkStart w:id="192" w:name="OLE_LINK801"/>
      <w:bookmarkStart w:id="193" w:name="OLE_LINK660"/>
      <w:bookmarkStart w:id="194" w:name="OLE_LINK781"/>
      <w:bookmarkStart w:id="195" w:name="OLE_LINK833"/>
      <w:bookmarkStart w:id="196" w:name="OLE_LINK642"/>
      <w:bookmarkStart w:id="197" w:name="OLE_LINK700"/>
      <w:bookmarkStart w:id="198" w:name="OLE_LINK792"/>
      <w:bookmarkStart w:id="199" w:name="OLE_LINK2882"/>
      <w:bookmarkStart w:id="200" w:name="OLE_LINK836"/>
      <w:bookmarkStart w:id="201" w:name="OLE_LINK889"/>
      <w:bookmarkStart w:id="202" w:name="OLE_LINK782"/>
      <w:bookmarkStart w:id="203" w:name="OLE_LINK826"/>
      <w:bookmarkStart w:id="204" w:name="OLE_LINK865"/>
      <w:bookmarkStart w:id="205" w:name="OLE_LINK856"/>
      <w:bookmarkStart w:id="206" w:name="OLE_LINK908"/>
      <w:bookmarkStart w:id="207" w:name="OLE_LINK980"/>
      <w:bookmarkStart w:id="208" w:name="OLE_LINK1018"/>
      <w:bookmarkStart w:id="209" w:name="OLE_LINK1049"/>
      <w:bookmarkStart w:id="210" w:name="OLE_LINK1076"/>
      <w:bookmarkStart w:id="211" w:name="OLE_LINK1106"/>
      <w:bookmarkStart w:id="212" w:name="OLE_LINK891"/>
      <w:bookmarkStart w:id="213" w:name="OLE_LINK943"/>
      <w:bookmarkStart w:id="214" w:name="OLE_LINK981"/>
      <w:bookmarkStart w:id="215" w:name="OLE_LINK1030"/>
      <w:bookmarkStart w:id="216" w:name="OLE_LINK847"/>
      <w:bookmarkStart w:id="217" w:name="OLE_LINK909"/>
      <w:bookmarkStart w:id="218" w:name="OLE_LINK906"/>
      <w:bookmarkStart w:id="219" w:name="OLE_LINK992"/>
      <w:bookmarkStart w:id="220" w:name="OLE_LINK993"/>
      <w:bookmarkStart w:id="221" w:name="OLE_LINK1052"/>
      <w:bookmarkStart w:id="222" w:name="OLE_LINK946"/>
      <w:bookmarkStart w:id="223" w:name="OLE_LINK911"/>
      <w:bookmarkStart w:id="224" w:name="OLE_LINK930"/>
      <w:bookmarkStart w:id="225" w:name="OLE_LINK1059"/>
      <w:bookmarkStart w:id="226" w:name="OLE_LINK1174"/>
      <w:bookmarkStart w:id="227" w:name="OLE_LINK1137"/>
      <w:bookmarkStart w:id="228" w:name="OLE_LINK1167"/>
      <w:bookmarkStart w:id="229" w:name="OLE_LINK1200"/>
      <w:bookmarkStart w:id="230" w:name="OLE_LINK1241"/>
      <w:bookmarkStart w:id="231" w:name="OLE_LINK1288"/>
      <w:bookmarkStart w:id="232" w:name="OLE_LINK1056"/>
      <w:bookmarkStart w:id="233" w:name="OLE_LINK1158"/>
      <w:bookmarkStart w:id="234" w:name="OLE_LINK1175"/>
      <w:bookmarkStart w:id="235" w:name="OLE_LINK1074"/>
      <w:bookmarkStart w:id="236" w:name="OLE_LINK1169"/>
      <w:bookmarkStart w:id="237" w:name="OLE_LINK386"/>
      <w:bookmarkStart w:id="238" w:name="OLE_LINK33"/>
      <w:bookmarkStart w:id="239" w:name="OLE_LINK34"/>
      <w:bookmarkStart w:id="240" w:name="OLE_LINK501"/>
      <w:r w:rsidR="00A511DE" w:rsidRPr="00A511DE">
        <w:rPr>
          <w:rFonts w:ascii="Book Antiqua" w:eastAsia="SimSun" w:hAnsi="Book Antiqua"/>
          <w:b/>
          <w:bCs/>
          <w:lang w:val="en-US" w:eastAsia="zh-CN"/>
        </w:rPr>
        <w:t xml:space="preserve"> P-Reviewer:</w:t>
      </w:r>
      <w:r w:rsidR="00A511DE" w:rsidRPr="00A511DE">
        <w:rPr>
          <w:rFonts w:ascii="Book Antiqua" w:eastAsia="SimSun" w:hAnsi="Book Antiqua" w:hint="eastAsia"/>
          <w:b/>
          <w:bCs/>
          <w:lang w:val="en-US" w:eastAsia="zh-CN"/>
        </w:rPr>
        <w:t xml:space="preserve"> </w:t>
      </w:r>
      <w:proofErr w:type="spellStart"/>
      <w:r w:rsidR="00A511DE">
        <w:rPr>
          <w:rFonts w:ascii="Book Antiqua" w:eastAsia="SimSun" w:hAnsi="Book Antiqua"/>
          <w:bCs/>
          <w:lang w:val="en-US" w:eastAsia="zh-CN"/>
        </w:rPr>
        <w:t>Lv</w:t>
      </w:r>
      <w:proofErr w:type="spellEnd"/>
      <w:r w:rsidR="00A511DE">
        <w:rPr>
          <w:rFonts w:ascii="Book Antiqua" w:eastAsia="SimSun" w:hAnsi="Book Antiqua"/>
          <w:bCs/>
          <w:lang w:val="en-US" w:eastAsia="zh-CN"/>
        </w:rPr>
        <w:t xml:space="preserve"> XP, Sachar DB, Yang MS</w:t>
      </w:r>
    </w:p>
    <w:p w14:paraId="619BA35F" w14:textId="77777777" w:rsidR="00A511DE" w:rsidRPr="00A511DE" w:rsidRDefault="00A511DE" w:rsidP="00A511DE">
      <w:pPr>
        <w:snapToGrid w:val="0"/>
        <w:spacing w:line="360" w:lineRule="auto"/>
        <w:jc w:val="right"/>
        <w:rPr>
          <w:rFonts w:ascii="Book Antiqua" w:eastAsia="SimSun" w:hAnsi="Book Antiqua"/>
          <w:lang w:val="en-US" w:eastAsia="zh-CN"/>
        </w:rPr>
      </w:pPr>
      <w:r w:rsidRPr="00A511DE">
        <w:rPr>
          <w:rFonts w:ascii="Book Antiqua" w:eastAsia="SimSun" w:hAnsi="Book Antiqua"/>
          <w:b/>
          <w:bCs/>
          <w:lang w:val="en-US" w:eastAsia="zh-CN"/>
        </w:rPr>
        <w:t>S-Editor:</w:t>
      </w:r>
      <w:r w:rsidRPr="00A511DE">
        <w:rPr>
          <w:rFonts w:ascii="Book Antiqua" w:eastAsia="SimSun" w:hAnsi="Book Antiqua" w:hint="eastAsia"/>
          <w:lang w:val="en-US" w:eastAsia="zh-CN"/>
        </w:rPr>
        <w:t xml:space="preserve"> </w:t>
      </w:r>
      <w:r w:rsidRPr="00A511DE">
        <w:rPr>
          <w:rFonts w:ascii="Book Antiqua" w:eastAsia="SimSun" w:hAnsi="Book Antiqua"/>
          <w:lang w:val="en-US" w:eastAsia="zh-CN"/>
        </w:rPr>
        <w:t>Ma</w:t>
      </w:r>
      <w:r w:rsidRPr="00A511DE">
        <w:rPr>
          <w:rFonts w:ascii="Book Antiqua" w:eastAsia="SimSun" w:hAnsi="Book Antiqua" w:hint="eastAsia"/>
          <w:lang w:val="en-US" w:eastAsia="zh-CN"/>
        </w:rPr>
        <w:t xml:space="preserve"> </w:t>
      </w:r>
      <w:r w:rsidRPr="00A511DE">
        <w:rPr>
          <w:rFonts w:ascii="Book Antiqua" w:eastAsia="SimSun" w:hAnsi="Book Antiqua"/>
          <w:lang w:val="en-US" w:eastAsia="zh-CN"/>
        </w:rPr>
        <w:t>RY</w:t>
      </w:r>
      <w:r w:rsidRPr="00A511DE">
        <w:rPr>
          <w:rFonts w:ascii="Book Antiqua" w:eastAsia="SimSun" w:hAnsi="Book Antiqua" w:hint="eastAsia"/>
          <w:lang w:val="en-US" w:eastAsia="zh-CN"/>
        </w:rPr>
        <w:t xml:space="preserve"> </w:t>
      </w:r>
      <w:r w:rsidRPr="00A511DE">
        <w:rPr>
          <w:rFonts w:ascii="Book Antiqua" w:eastAsia="SimSun" w:hAnsi="Book Antiqua"/>
          <w:b/>
          <w:bCs/>
          <w:lang w:val="en-US" w:eastAsia="zh-CN"/>
        </w:rPr>
        <w:t>L-Editor:</w:t>
      </w:r>
      <w:r w:rsidRPr="00A511DE">
        <w:rPr>
          <w:rFonts w:ascii="Book Antiqua" w:eastAsia="SimSun" w:hAnsi="Book Antiqua"/>
          <w:lang w:val="en-US" w:eastAsia="zh-CN"/>
        </w:rPr>
        <w:t xml:space="preserve"> </w:t>
      </w:r>
      <w:r w:rsidRPr="00A511DE">
        <w:rPr>
          <w:rFonts w:ascii="Book Antiqua" w:eastAsia="SimSun" w:hAnsi="Book Antiqua"/>
          <w:b/>
          <w:bCs/>
          <w:lang w:val="en-US" w:eastAsia="zh-CN"/>
        </w:rPr>
        <w:t>E-Editor:</w:t>
      </w:r>
    </w:p>
    <w:p w14:paraId="2AD77032" w14:textId="77777777" w:rsidR="00A511DE" w:rsidRPr="00A511DE" w:rsidRDefault="00A511DE" w:rsidP="00A511DE">
      <w:pPr>
        <w:shd w:val="clear" w:color="auto" w:fill="FFFFFF"/>
        <w:snapToGrid w:val="0"/>
        <w:spacing w:line="360" w:lineRule="auto"/>
        <w:jc w:val="both"/>
        <w:rPr>
          <w:rFonts w:ascii="Book Antiqua" w:eastAsia="SimSun" w:hAnsi="Book Antiqua" w:cs="Helvetica"/>
          <w:b/>
          <w:lang w:val="en-US" w:eastAsia="zh-CN"/>
        </w:rPr>
      </w:pPr>
      <w:bookmarkStart w:id="241" w:name="OLE_LINK880"/>
      <w:bookmarkStart w:id="242" w:name="OLE_LINK88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Pr="00A511DE">
        <w:rPr>
          <w:rFonts w:ascii="Book Antiqua" w:eastAsia="SimSun" w:hAnsi="Book Antiqua" w:cs="Helvetica"/>
          <w:b/>
          <w:lang w:val="en-US" w:eastAsia="zh-CN"/>
        </w:rPr>
        <w:t xml:space="preserve">Specialty type: </w:t>
      </w:r>
      <w:r w:rsidRPr="00A511DE">
        <w:rPr>
          <w:rFonts w:ascii="Book Antiqua" w:eastAsia="SimSun" w:hAnsi="Book Antiqua" w:cs="Helvetica"/>
          <w:lang w:val="en-US" w:eastAsia="zh-CN"/>
        </w:rPr>
        <w:t>Gastroenterology and</w:t>
      </w:r>
      <w:r w:rsidRPr="00A511DE">
        <w:rPr>
          <w:rFonts w:ascii="Book Antiqua" w:eastAsia="SimSun" w:hAnsi="Book Antiqua" w:cs="Helvetica" w:hint="eastAsia"/>
          <w:lang w:val="en-US" w:eastAsia="zh-CN"/>
        </w:rPr>
        <w:t xml:space="preserve"> </w:t>
      </w:r>
      <w:r w:rsidRPr="00A511DE">
        <w:rPr>
          <w:rFonts w:ascii="Book Antiqua" w:eastAsia="SimSun" w:hAnsi="Book Antiqua" w:cs="Helvetica"/>
          <w:lang w:val="en-US" w:eastAsia="zh-CN"/>
        </w:rPr>
        <w:t>hepatology</w:t>
      </w:r>
    </w:p>
    <w:p w14:paraId="25F7EB3C" w14:textId="45131E9B" w:rsidR="00A511DE" w:rsidRPr="00A511DE" w:rsidRDefault="00A511DE" w:rsidP="00A511DE">
      <w:pPr>
        <w:shd w:val="clear" w:color="auto" w:fill="FFFFFF"/>
        <w:snapToGrid w:val="0"/>
        <w:spacing w:line="360" w:lineRule="auto"/>
        <w:jc w:val="both"/>
        <w:rPr>
          <w:rFonts w:ascii="Book Antiqua" w:eastAsia="SimSun" w:hAnsi="Book Antiqua" w:cs="Helvetica"/>
          <w:b/>
          <w:lang w:val="en-US" w:eastAsia="zh-CN"/>
        </w:rPr>
      </w:pPr>
      <w:r w:rsidRPr="00A511DE">
        <w:rPr>
          <w:rFonts w:ascii="Book Antiqua" w:eastAsia="SimSun" w:hAnsi="Book Antiqua" w:cs="Helvetica"/>
          <w:b/>
          <w:lang w:val="en-US" w:eastAsia="zh-CN"/>
        </w:rPr>
        <w:t xml:space="preserve">Country of origin: </w:t>
      </w:r>
      <w:r>
        <w:rPr>
          <w:rFonts w:ascii="Book Antiqua" w:eastAsia="SimSun" w:hAnsi="Book Antiqua" w:cs="Helvetica"/>
          <w:lang w:val="en-US" w:eastAsia="zh-CN"/>
        </w:rPr>
        <w:t>France</w:t>
      </w:r>
    </w:p>
    <w:p w14:paraId="330811B3" w14:textId="77777777" w:rsidR="00A511DE" w:rsidRPr="00A511DE" w:rsidRDefault="00A511DE" w:rsidP="00A511DE">
      <w:pPr>
        <w:shd w:val="clear" w:color="auto" w:fill="FFFFFF"/>
        <w:snapToGrid w:val="0"/>
        <w:spacing w:line="360" w:lineRule="auto"/>
        <w:jc w:val="both"/>
        <w:rPr>
          <w:rFonts w:ascii="Book Antiqua" w:eastAsia="SimSun" w:hAnsi="Book Antiqua" w:cs="Helvetica"/>
          <w:b/>
          <w:lang w:val="en-US" w:eastAsia="zh-CN"/>
        </w:rPr>
      </w:pPr>
      <w:r w:rsidRPr="00A511DE">
        <w:rPr>
          <w:rFonts w:ascii="Book Antiqua" w:eastAsia="SimSun" w:hAnsi="Book Antiqua" w:cs="Helvetica"/>
          <w:b/>
          <w:lang w:val="en-US" w:eastAsia="zh-CN"/>
        </w:rPr>
        <w:t>Peer-review report classification</w:t>
      </w:r>
    </w:p>
    <w:p w14:paraId="579BBCA5" w14:textId="77777777" w:rsidR="00A511DE" w:rsidRPr="00A511DE" w:rsidRDefault="00A511DE" w:rsidP="00A511DE">
      <w:pPr>
        <w:shd w:val="clear" w:color="auto" w:fill="FFFFFF"/>
        <w:snapToGrid w:val="0"/>
        <w:spacing w:line="360" w:lineRule="auto"/>
        <w:jc w:val="both"/>
        <w:rPr>
          <w:rFonts w:ascii="Book Antiqua" w:eastAsia="SimSun" w:hAnsi="Book Antiqua" w:cs="Helvetica"/>
          <w:lang w:val="en-US" w:eastAsia="zh-CN"/>
        </w:rPr>
      </w:pPr>
      <w:r w:rsidRPr="00A511DE">
        <w:rPr>
          <w:rFonts w:ascii="Book Antiqua" w:eastAsia="SimSun" w:hAnsi="Book Antiqua" w:cs="Helvetica"/>
          <w:lang w:val="en-US" w:eastAsia="zh-CN"/>
        </w:rPr>
        <w:t xml:space="preserve">Grade A (Excellent): </w:t>
      </w:r>
      <w:r w:rsidRPr="00A511DE">
        <w:rPr>
          <w:rFonts w:ascii="Book Antiqua" w:eastAsia="SimSun" w:hAnsi="Book Antiqua" w:cs="Helvetica" w:hint="eastAsia"/>
          <w:lang w:val="en-US" w:eastAsia="zh-CN"/>
        </w:rPr>
        <w:t>0</w:t>
      </w:r>
    </w:p>
    <w:p w14:paraId="0CA0DDC3" w14:textId="77777777" w:rsidR="00A511DE" w:rsidRPr="00A511DE" w:rsidRDefault="00A511DE" w:rsidP="00A511DE">
      <w:pPr>
        <w:shd w:val="clear" w:color="auto" w:fill="FFFFFF"/>
        <w:snapToGrid w:val="0"/>
        <w:spacing w:line="360" w:lineRule="auto"/>
        <w:jc w:val="both"/>
        <w:rPr>
          <w:rFonts w:ascii="Book Antiqua" w:eastAsia="SimSun" w:hAnsi="Book Antiqua" w:cs="Helvetica"/>
          <w:lang w:val="en-US" w:eastAsia="zh-CN"/>
        </w:rPr>
      </w:pPr>
      <w:r w:rsidRPr="00A511DE">
        <w:rPr>
          <w:rFonts w:ascii="Book Antiqua" w:eastAsia="SimSun" w:hAnsi="Book Antiqua" w:cs="Helvetica"/>
          <w:lang w:val="en-US" w:eastAsia="zh-CN"/>
        </w:rPr>
        <w:t xml:space="preserve">Grade B (Very good): </w:t>
      </w:r>
      <w:r w:rsidRPr="00A511DE">
        <w:rPr>
          <w:rFonts w:ascii="Book Antiqua" w:eastAsia="SimSun" w:hAnsi="Book Antiqua" w:cs="Helvetica" w:hint="eastAsia"/>
          <w:lang w:val="en-US" w:eastAsia="zh-CN"/>
        </w:rPr>
        <w:t>B</w:t>
      </w:r>
    </w:p>
    <w:p w14:paraId="126830D3" w14:textId="77777777" w:rsidR="00A511DE" w:rsidRPr="00A511DE" w:rsidRDefault="00A511DE" w:rsidP="00A511DE">
      <w:pPr>
        <w:shd w:val="clear" w:color="auto" w:fill="FFFFFF"/>
        <w:snapToGrid w:val="0"/>
        <w:spacing w:line="360" w:lineRule="auto"/>
        <w:jc w:val="both"/>
        <w:rPr>
          <w:rFonts w:ascii="Book Antiqua" w:eastAsia="SimSun" w:hAnsi="Book Antiqua" w:cs="Helvetica"/>
          <w:lang w:val="en-US" w:eastAsia="zh-CN"/>
        </w:rPr>
      </w:pPr>
      <w:r w:rsidRPr="00A511DE">
        <w:rPr>
          <w:rFonts w:ascii="Book Antiqua" w:eastAsia="SimSun" w:hAnsi="Book Antiqua" w:cs="Helvetica"/>
          <w:lang w:val="en-US" w:eastAsia="zh-CN"/>
        </w:rPr>
        <w:t xml:space="preserve">Grade C (Good): </w:t>
      </w:r>
      <w:r w:rsidRPr="00A511DE">
        <w:rPr>
          <w:rFonts w:ascii="Book Antiqua" w:eastAsia="SimSun" w:hAnsi="Book Antiqua" w:cs="Helvetica" w:hint="eastAsia"/>
          <w:lang w:val="en-US" w:eastAsia="zh-CN"/>
        </w:rPr>
        <w:t>C, C</w:t>
      </w:r>
    </w:p>
    <w:p w14:paraId="4225BDDB" w14:textId="77777777" w:rsidR="00A511DE" w:rsidRPr="00A511DE" w:rsidRDefault="00A511DE" w:rsidP="00A511DE">
      <w:pPr>
        <w:shd w:val="clear" w:color="auto" w:fill="FFFFFF"/>
        <w:snapToGrid w:val="0"/>
        <w:spacing w:line="360" w:lineRule="auto"/>
        <w:jc w:val="both"/>
        <w:rPr>
          <w:rFonts w:ascii="Book Antiqua" w:eastAsia="SimSun" w:hAnsi="Book Antiqua" w:cs="Helvetica"/>
          <w:lang w:val="en-US" w:eastAsia="zh-CN"/>
        </w:rPr>
      </w:pPr>
      <w:r w:rsidRPr="00A511DE">
        <w:rPr>
          <w:rFonts w:ascii="Book Antiqua" w:eastAsia="SimSun" w:hAnsi="Book Antiqua" w:cs="Helvetica"/>
          <w:lang w:val="en-US" w:eastAsia="zh-CN"/>
        </w:rPr>
        <w:t xml:space="preserve">Grade D (Fair): </w:t>
      </w:r>
      <w:r w:rsidRPr="00A511DE">
        <w:rPr>
          <w:rFonts w:ascii="Book Antiqua" w:eastAsia="SimSun" w:hAnsi="Book Antiqua" w:cs="Helvetica" w:hint="eastAsia"/>
          <w:lang w:val="en-US" w:eastAsia="zh-CN"/>
        </w:rPr>
        <w:t>0</w:t>
      </w:r>
    </w:p>
    <w:p w14:paraId="3CF16508" w14:textId="77777777" w:rsidR="00A511DE" w:rsidRPr="00A511DE" w:rsidRDefault="00A511DE" w:rsidP="00A511DE">
      <w:pPr>
        <w:snapToGrid w:val="0"/>
        <w:spacing w:line="360" w:lineRule="auto"/>
        <w:jc w:val="both"/>
        <w:rPr>
          <w:rFonts w:ascii="Book Antiqua" w:eastAsia="SimSun" w:hAnsi="Book Antiqua"/>
          <w:b/>
          <w:iCs/>
          <w:lang w:val="en-US" w:eastAsia="zh-CN"/>
        </w:rPr>
      </w:pPr>
      <w:r w:rsidRPr="00A511DE">
        <w:rPr>
          <w:rFonts w:ascii="Book Antiqua" w:eastAsia="SimSun" w:hAnsi="Book Antiqua" w:cs="Helvetica"/>
          <w:lang w:val="en-US" w:eastAsia="zh-CN"/>
        </w:rPr>
        <w:t xml:space="preserve">Grade E (Poor): </w:t>
      </w:r>
      <w:r w:rsidRPr="00A511DE">
        <w:rPr>
          <w:rFonts w:ascii="Book Antiqua" w:eastAsia="SimSun" w:hAnsi="Book Antiqua" w:cs="Helvetica" w:hint="eastAsia"/>
          <w:lang w:val="en-US" w:eastAsia="zh-CN"/>
        </w:rPr>
        <w:t>0</w:t>
      </w:r>
      <w:bookmarkEnd w:id="237"/>
      <w:bookmarkEnd w:id="241"/>
      <w:bookmarkEnd w:id="242"/>
    </w:p>
    <w:bookmarkEnd w:id="238"/>
    <w:bookmarkEnd w:id="239"/>
    <w:bookmarkEnd w:id="240"/>
    <w:p w14:paraId="303A5ABC" w14:textId="58CF7661" w:rsidR="001A0541" w:rsidRPr="008A5994" w:rsidRDefault="001A0541" w:rsidP="00FA3782">
      <w:pPr>
        <w:adjustRightInd w:val="0"/>
        <w:snapToGrid w:val="0"/>
        <w:spacing w:line="360" w:lineRule="auto"/>
        <w:jc w:val="both"/>
        <w:rPr>
          <w:rFonts w:ascii="Book Antiqua" w:hAnsi="Book Antiqua"/>
          <w:color w:val="000000" w:themeColor="text1"/>
          <w:lang w:val="en-US"/>
        </w:rPr>
      </w:pPr>
    </w:p>
    <w:p w14:paraId="280049D0" w14:textId="77777777" w:rsidR="001A0541" w:rsidRPr="008A5994" w:rsidRDefault="001A0541" w:rsidP="008A5994">
      <w:pPr>
        <w:adjustRightInd w:val="0"/>
        <w:snapToGrid w:val="0"/>
        <w:spacing w:line="360" w:lineRule="auto"/>
        <w:jc w:val="both"/>
        <w:rPr>
          <w:rFonts w:ascii="Book Antiqua" w:hAnsi="Book Antiqua"/>
          <w:color w:val="000000" w:themeColor="text1"/>
          <w:lang w:val="en-US"/>
        </w:rPr>
      </w:pPr>
      <w:r w:rsidRPr="008A5994">
        <w:rPr>
          <w:rFonts w:ascii="Book Antiqua" w:hAnsi="Book Antiqua"/>
          <w:color w:val="000000" w:themeColor="text1"/>
          <w:lang w:val="en-US"/>
        </w:rPr>
        <w:br w:type="page"/>
      </w:r>
    </w:p>
    <w:p w14:paraId="4CD400F4" w14:textId="065AF1EA" w:rsidR="0097732B" w:rsidRPr="00A030B2" w:rsidRDefault="0097732B" w:rsidP="008A5994">
      <w:pPr>
        <w:widowControl w:val="0"/>
        <w:adjustRightInd w:val="0"/>
        <w:snapToGrid w:val="0"/>
        <w:spacing w:line="360" w:lineRule="auto"/>
        <w:jc w:val="both"/>
        <w:rPr>
          <w:rFonts w:ascii="Book Antiqua" w:hAnsi="Book Antiqua"/>
          <w:b/>
          <w:color w:val="000000" w:themeColor="text1"/>
          <w:lang w:val="en-US"/>
        </w:rPr>
      </w:pPr>
      <w:r w:rsidRPr="00A030B2">
        <w:rPr>
          <w:rFonts w:ascii="Book Antiqua" w:hAnsi="Book Antiqua"/>
          <w:b/>
          <w:color w:val="000000" w:themeColor="text1"/>
          <w:lang w:val="en-US"/>
        </w:rPr>
        <w:lastRenderedPageBreak/>
        <w:t>Table 1 Baseline characteristics of the 40 patients with Crohn</w:t>
      </w:r>
      <w:r w:rsidR="00A555A0" w:rsidRPr="00A030B2">
        <w:rPr>
          <w:rFonts w:ascii="Book Antiqua" w:hAnsi="Book Antiqua"/>
          <w:b/>
          <w:color w:val="000000" w:themeColor="text1"/>
          <w:lang w:val="en-US"/>
        </w:rPr>
        <w:t>’</w:t>
      </w:r>
      <w:r w:rsidRPr="00A030B2">
        <w:rPr>
          <w:rFonts w:ascii="Book Antiqua" w:hAnsi="Book Antiqua"/>
          <w:b/>
          <w:color w:val="000000" w:themeColor="text1"/>
          <w:lang w:val="en-US"/>
        </w:rPr>
        <w:t>s disease included in this study</w:t>
      </w:r>
    </w:p>
    <w:tbl>
      <w:tblPr>
        <w:tblW w:w="8382" w:type="dxa"/>
        <w:jc w:val="center"/>
        <w:tblLook w:val="04A0" w:firstRow="1" w:lastRow="0" w:firstColumn="1" w:lastColumn="0" w:noHBand="0" w:noVBand="1"/>
      </w:tblPr>
      <w:tblGrid>
        <w:gridCol w:w="5886"/>
        <w:gridCol w:w="2496"/>
      </w:tblGrid>
      <w:tr w:rsidR="008A5994" w:rsidRPr="008A5994" w14:paraId="54EA5F1D" w14:textId="77777777" w:rsidTr="009D2863">
        <w:trPr>
          <w:jc w:val="center"/>
        </w:trPr>
        <w:tc>
          <w:tcPr>
            <w:tcW w:w="5886" w:type="dxa"/>
            <w:tcBorders>
              <w:top w:val="single" w:sz="4" w:space="0" w:color="auto"/>
              <w:bottom w:val="single" w:sz="4" w:space="0" w:color="auto"/>
            </w:tcBorders>
            <w:shd w:val="clear" w:color="auto" w:fill="auto"/>
            <w:vAlign w:val="center"/>
          </w:tcPr>
          <w:p w14:paraId="7C357D35" w14:textId="77777777" w:rsidR="0097732B" w:rsidRPr="0048191C" w:rsidRDefault="0097732B" w:rsidP="008A5994">
            <w:pPr>
              <w:adjustRightInd w:val="0"/>
              <w:snapToGrid w:val="0"/>
              <w:spacing w:line="360" w:lineRule="auto"/>
              <w:jc w:val="both"/>
              <w:rPr>
                <w:rFonts w:ascii="Book Antiqua" w:hAnsi="Book Antiqua"/>
                <w:b/>
                <w:color w:val="000000" w:themeColor="text1"/>
                <w:lang w:val="en-US"/>
              </w:rPr>
            </w:pPr>
          </w:p>
        </w:tc>
        <w:tc>
          <w:tcPr>
            <w:tcW w:w="2496" w:type="dxa"/>
            <w:tcBorders>
              <w:top w:val="single" w:sz="4" w:space="0" w:color="auto"/>
              <w:bottom w:val="single" w:sz="4" w:space="0" w:color="auto"/>
            </w:tcBorders>
            <w:shd w:val="clear" w:color="auto" w:fill="auto"/>
            <w:vAlign w:val="center"/>
          </w:tcPr>
          <w:p w14:paraId="2B116207" w14:textId="38F6EACF" w:rsidR="0097732B" w:rsidRPr="0048191C" w:rsidRDefault="0048191C" w:rsidP="00A030B2">
            <w:pPr>
              <w:adjustRightInd w:val="0"/>
              <w:snapToGrid w:val="0"/>
              <w:spacing w:line="360" w:lineRule="auto"/>
              <w:jc w:val="center"/>
              <w:rPr>
                <w:rFonts w:ascii="Book Antiqua" w:hAnsi="Book Antiqua"/>
                <w:b/>
                <w:color w:val="000000" w:themeColor="text1"/>
                <w:lang w:val="en-US"/>
              </w:rPr>
            </w:pPr>
            <w:r w:rsidRPr="0048191C">
              <w:rPr>
                <w:rFonts w:ascii="Book Antiqua" w:hAnsi="Book Antiqua"/>
                <w:b/>
                <w:i/>
                <w:color w:val="000000" w:themeColor="text1"/>
                <w:lang w:val="en-US"/>
              </w:rPr>
              <w:t xml:space="preserve">n </w:t>
            </w:r>
            <w:r w:rsidR="0097732B" w:rsidRPr="0048191C">
              <w:rPr>
                <w:rFonts w:ascii="Book Antiqua" w:hAnsi="Book Antiqua"/>
                <w:b/>
                <w:color w:val="000000" w:themeColor="text1"/>
                <w:lang w:val="en-US"/>
              </w:rPr>
              <w:t>= 40 patients</w:t>
            </w:r>
          </w:p>
        </w:tc>
      </w:tr>
      <w:tr w:rsidR="008A5994" w:rsidRPr="008A5994" w14:paraId="6379337C" w14:textId="77777777" w:rsidTr="009D2863">
        <w:trPr>
          <w:jc w:val="center"/>
        </w:trPr>
        <w:tc>
          <w:tcPr>
            <w:tcW w:w="5886" w:type="dxa"/>
            <w:tcBorders>
              <w:top w:val="single" w:sz="4" w:space="0" w:color="auto"/>
            </w:tcBorders>
            <w:shd w:val="clear" w:color="auto" w:fill="auto"/>
            <w:vAlign w:val="center"/>
          </w:tcPr>
          <w:p w14:paraId="3E4FBAB2" w14:textId="1B61F9E1" w:rsidR="0097732B" w:rsidRPr="008A5994" w:rsidRDefault="0097732B" w:rsidP="0048191C">
            <w:pPr>
              <w:adjustRightInd w:val="0"/>
              <w:snapToGrid w:val="0"/>
              <w:spacing w:line="360" w:lineRule="auto"/>
              <w:jc w:val="both"/>
              <w:rPr>
                <w:rFonts w:ascii="Book Antiqua" w:hAnsi="Book Antiqua"/>
                <w:color w:val="000000" w:themeColor="text1"/>
                <w:lang w:val="en-US"/>
              </w:rPr>
            </w:pPr>
            <w:r w:rsidRPr="008A5994">
              <w:rPr>
                <w:rFonts w:ascii="Book Antiqua" w:hAnsi="Book Antiqua"/>
                <w:color w:val="000000" w:themeColor="text1"/>
                <w:lang w:val="en-US"/>
              </w:rPr>
              <w:t xml:space="preserve">Age at the </w:t>
            </w:r>
            <w:r w:rsidR="0048191C">
              <w:rPr>
                <w:rFonts w:ascii="Book Antiqua" w:hAnsi="Book Antiqua"/>
                <w:color w:val="000000" w:themeColor="text1"/>
                <w:lang w:val="en-US"/>
              </w:rPr>
              <w:t>time of inclusion, mean ± SD (</w:t>
            </w:r>
            <w:proofErr w:type="spellStart"/>
            <w:r w:rsidR="0048191C">
              <w:rPr>
                <w:rFonts w:ascii="Book Antiqua" w:hAnsi="Book Antiqua"/>
                <w:color w:val="000000" w:themeColor="text1"/>
                <w:lang w:val="en-US"/>
              </w:rPr>
              <w:t>yr</w:t>
            </w:r>
            <w:proofErr w:type="spellEnd"/>
            <w:r w:rsidRPr="008A5994">
              <w:rPr>
                <w:rFonts w:ascii="Book Antiqua" w:hAnsi="Book Antiqua"/>
                <w:color w:val="000000" w:themeColor="text1"/>
                <w:lang w:val="en-US"/>
              </w:rPr>
              <w:t>)</w:t>
            </w:r>
          </w:p>
        </w:tc>
        <w:tc>
          <w:tcPr>
            <w:tcW w:w="2496" w:type="dxa"/>
            <w:tcBorders>
              <w:top w:val="single" w:sz="4" w:space="0" w:color="auto"/>
            </w:tcBorders>
            <w:shd w:val="clear" w:color="auto" w:fill="auto"/>
            <w:vAlign w:val="center"/>
          </w:tcPr>
          <w:p w14:paraId="13BA0C5E" w14:textId="77777777" w:rsidR="0097732B" w:rsidRPr="008A5994" w:rsidRDefault="0097732B" w:rsidP="00A030B2">
            <w:pPr>
              <w:adjustRightInd w:val="0"/>
              <w:snapToGrid w:val="0"/>
              <w:spacing w:line="360" w:lineRule="auto"/>
              <w:jc w:val="center"/>
              <w:rPr>
                <w:rFonts w:ascii="Book Antiqua" w:hAnsi="Book Antiqua"/>
                <w:color w:val="000000" w:themeColor="text1"/>
                <w:lang w:val="en-US"/>
              </w:rPr>
            </w:pPr>
            <w:r w:rsidRPr="008A5994">
              <w:rPr>
                <w:rFonts w:ascii="Book Antiqua" w:hAnsi="Book Antiqua"/>
                <w:color w:val="000000" w:themeColor="text1"/>
                <w:lang w:val="en-US"/>
              </w:rPr>
              <w:t>34 .0 ± 13.6</w:t>
            </w:r>
          </w:p>
        </w:tc>
      </w:tr>
      <w:tr w:rsidR="008A5994" w:rsidRPr="008A5994" w14:paraId="51F5ED3C" w14:textId="77777777" w:rsidTr="009D2863">
        <w:trPr>
          <w:jc w:val="center"/>
        </w:trPr>
        <w:tc>
          <w:tcPr>
            <w:tcW w:w="5886" w:type="dxa"/>
            <w:shd w:val="clear" w:color="auto" w:fill="auto"/>
            <w:vAlign w:val="center"/>
          </w:tcPr>
          <w:p w14:paraId="3BB904DF" w14:textId="6A49FC42" w:rsidR="0097732B" w:rsidRPr="008A5994" w:rsidRDefault="0048191C" w:rsidP="0048191C">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Disease duration, median (IQR)</w:t>
            </w:r>
            <w:r w:rsidR="0097732B" w:rsidRPr="008A5994">
              <w:rPr>
                <w:rFonts w:ascii="Book Antiqua" w:hAnsi="Book Antiqua"/>
                <w:color w:val="000000" w:themeColor="text1"/>
                <w:lang w:val="en-US"/>
              </w:rPr>
              <w:t xml:space="preserve"> (</w:t>
            </w:r>
            <w:proofErr w:type="spellStart"/>
            <w:r w:rsidR="0097732B" w:rsidRPr="008A5994">
              <w:rPr>
                <w:rFonts w:ascii="Book Antiqua" w:hAnsi="Book Antiqua"/>
                <w:color w:val="000000" w:themeColor="text1"/>
                <w:lang w:val="en-US"/>
              </w:rPr>
              <w:t>y</w:t>
            </w:r>
            <w:r>
              <w:rPr>
                <w:rFonts w:ascii="Book Antiqua" w:hAnsi="Book Antiqua"/>
                <w:color w:val="000000" w:themeColor="text1"/>
                <w:lang w:val="en-US"/>
              </w:rPr>
              <w:t>r</w:t>
            </w:r>
            <w:proofErr w:type="spellEnd"/>
            <w:r w:rsidR="0097732B" w:rsidRPr="008A5994">
              <w:rPr>
                <w:rFonts w:ascii="Book Antiqua" w:hAnsi="Book Antiqua"/>
                <w:color w:val="000000" w:themeColor="text1"/>
                <w:lang w:val="en-US"/>
              </w:rPr>
              <w:t>)</w:t>
            </w:r>
          </w:p>
        </w:tc>
        <w:tc>
          <w:tcPr>
            <w:tcW w:w="2496" w:type="dxa"/>
            <w:shd w:val="clear" w:color="auto" w:fill="auto"/>
            <w:vAlign w:val="center"/>
          </w:tcPr>
          <w:p w14:paraId="43FCBD46" w14:textId="1A9DC6D0" w:rsidR="0097732B" w:rsidRPr="008A5994" w:rsidRDefault="0048191C" w:rsidP="00A030B2">
            <w:pPr>
              <w:adjustRightInd w:val="0"/>
              <w:snapToGrid w:val="0"/>
              <w:spacing w:line="360" w:lineRule="auto"/>
              <w:jc w:val="center"/>
              <w:rPr>
                <w:rFonts w:ascii="Book Antiqua" w:hAnsi="Book Antiqua"/>
                <w:color w:val="000000" w:themeColor="text1"/>
                <w:lang w:val="en-US"/>
              </w:rPr>
            </w:pPr>
            <w:r>
              <w:rPr>
                <w:rFonts w:ascii="Book Antiqua" w:hAnsi="Book Antiqua"/>
                <w:color w:val="000000" w:themeColor="text1"/>
                <w:lang w:val="en-US"/>
              </w:rPr>
              <w:t>4 (0.8-11.3)</w:t>
            </w:r>
          </w:p>
        </w:tc>
      </w:tr>
      <w:tr w:rsidR="008A5994" w:rsidRPr="008A5994" w14:paraId="4F589172" w14:textId="77777777" w:rsidTr="009D2863">
        <w:trPr>
          <w:jc w:val="center"/>
        </w:trPr>
        <w:tc>
          <w:tcPr>
            <w:tcW w:w="5886" w:type="dxa"/>
            <w:shd w:val="clear" w:color="auto" w:fill="auto"/>
            <w:vAlign w:val="center"/>
          </w:tcPr>
          <w:p w14:paraId="629B0996" w14:textId="77777777" w:rsidR="0097732B" w:rsidRPr="008A5994" w:rsidRDefault="0097732B" w:rsidP="008A5994">
            <w:pPr>
              <w:adjustRightInd w:val="0"/>
              <w:snapToGrid w:val="0"/>
              <w:spacing w:line="360" w:lineRule="auto"/>
              <w:jc w:val="both"/>
              <w:rPr>
                <w:rFonts w:ascii="Book Antiqua" w:hAnsi="Book Antiqua"/>
                <w:color w:val="000000" w:themeColor="text1"/>
                <w:lang w:val="en-US"/>
              </w:rPr>
            </w:pPr>
            <w:r w:rsidRPr="008A5994">
              <w:rPr>
                <w:rFonts w:ascii="Book Antiqua" w:hAnsi="Book Antiqua"/>
                <w:color w:val="000000" w:themeColor="text1"/>
                <w:lang w:val="en-US"/>
              </w:rPr>
              <w:t xml:space="preserve">Female gender, </w:t>
            </w:r>
            <w:r w:rsidRPr="0048191C">
              <w:rPr>
                <w:rFonts w:ascii="Book Antiqua" w:hAnsi="Book Antiqua"/>
                <w:i/>
                <w:color w:val="000000" w:themeColor="text1"/>
                <w:lang w:val="en-US"/>
              </w:rPr>
              <w:t>n</w:t>
            </w:r>
            <w:r w:rsidRPr="008A5994">
              <w:rPr>
                <w:rFonts w:ascii="Book Antiqua" w:hAnsi="Book Antiqua"/>
                <w:color w:val="000000" w:themeColor="text1"/>
                <w:lang w:val="en-US"/>
              </w:rPr>
              <w:t xml:space="preserve"> (%)</w:t>
            </w:r>
          </w:p>
        </w:tc>
        <w:tc>
          <w:tcPr>
            <w:tcW w:w="2496" w:type="dxa"/>
            <w:shd w:val="clear" w:color="auto" w:fill="auto"/>
            <w:vAlign w:val="center"/>
          </w:tcPr>
          <w:p w14:paraId="70CBA3D2" w14:textId="7BBAA275" w:rsidR="0097732B" w:rsidRPr="008A5994" w:rsidRDefault="0048191C" w:rsidP="00A030B2">
            <w:pPr>
              <w:adjustRightInd w:val="0"/>
              <w:snapToGrid w:val="0"/>
              <w:spacing w:line="360" w:lineRule="auto"/>
              <w:jc w:val="center"/>
              <w:rPr>
                <w:rFonts w:ascii="Book Antiqua" w:hAnsi="Book Antiqua"/>
                <w:color w:val="000000" w:themeColor="text1"/>
                <w:lang w:val="en-US"/>
              </w:rPr>
            </w:pPr>
            <w:r>
              <w:rPr>
                <w:rFonts w:ascii="Book Antiqua" w:hAnsi="Book Antiqua"/>
                <w:color w:val="000000" w:themeColor="text1"/>
                <w:lang w:val="en-US"/>
              </w:rPr>
              <w:t>21 (52.5</w:t>
            </w:r>
            <w:r w:rsidR="0097732B" w:rsidRPr="008A5994">
              <w:rPr>
                <w:rFonts w:ascii="Book Antiqua" w:hAnsi="Book Antiqua"/>
                <w:color w:val="000000" w:themeColor="text1"/>
                <w:lang w:val="en-US"/>
              </w:rPr>
              <w:t>)</w:t>
            </w:r>
          </w:p>
        </w:tc>
      </w:tr>
      <w:tr w:rsidR="008A5994" w:rsidRPr="008A5994" w14:paraId="6AE04B88" w14:textId="77777777" w:rsidTr="0048191C">
        <w:trPr>
          <w:trHeight w:val="470"/>
          <w:jc w:val="center"/>
        </w:trPr>
        <w:tc>
          <w:tcPr>
            <w:tcW w:w="5886" w:type="dxa"/>
            <w:shd w:val="clear" w:color="auto" w:fill="auto"/>
            <w:vAlign w:val="center"/>
          </w:tcPr>
          <w:p w14:paraId="13D09A75" w14:textId="77777777" w:rsidR="0097732B" w:rsidRPr="008A5994" w:rsidRDefault="0097732B" w:rsidP="008A5994">
            <w:pPr>
              <w:adjustRightInd w:val="0"/>
              <w:snapToGrid w:val="0"/>
              <w:spacing w:line="360" w:lineRule="auto"/>
              <w:jc w:val="both"/>
              <w:rPr>
                <w:rFonts w:ascii="Book Antiqua" w:hAnsi="Book Antiqua"/>
                <w:color w:val="000000" w:themeColor="text1"/>
                <w:lang w:val="en-US"/>
              </w:rPr>
            </w:pPr>
            <w:r w:rsidRPr="008A5994">
              <w:rPr>
                <w:rFonts w:ascii="Book Antiqua" w:hAnsi="Book Antiqua"/>
                <w:color w:val="000000" w:themeColor="text1"/>
                <w:lang w:val="en-US"/>
              </w:rPr>
              <w:t xml:space="preserve">Current smokers, </w:t>
            </w:r>
            <w:r w:rsidRPr="0048191C">
              <w:rPr>
                <w:rFonts w:ascii="Book Antiqua" w:hAnsi="Book Antiqua"/>
                <w:i/>
                <w:color w:val="000000" w:themeColor="text1"/>
                <w:lang w:val="en-US"/>
              </w:rPr>
              <w:t>n</w:t>
            </w:r>
            <w:r w:rsidRPr="008A5994">
              <w:rPr>
                <w:rFonts w:ascii="Book Antiqua" w:hAnsi="Book Antiqua"/>
                <w:color w:val="000000" w:themeColor="text1"/>
                <w:lang w:val="en-US"/>
              </w:rPr>
              <w:t xml:space="preserve"> (%)</w:t>
            </w:r>
          </w:p>
        </w:tc>
        <w:tc>
          <w:tcPr>
            <w:tcW w:w="2496" w:type="dxa"/>
            <w:shd w:val="clear" w:color="auto" w:fill="auto"/>
            <w:vAlign w:val="center"/>
          </w:tcPr>
          <w:p w14:paraId="44C23E64" w14:textId="73C3C618" w:rsidR="0097732B" w:rsidRPr="008A5994" w:rsidRDefault="0048191C" w:rsidP="00A030B2">
            <w:pPr>
              <w:adjustRightInd w:val="0"/>
              <w:snapToGrid w:val="0"/>
              <w:spacing w:line="360" w:lineRule="auto"/>
              <w:jc w:val="center"/>
              <w:rPr>
                <w:rFonts w:ascii="Book Antiqua" w:hAnsi="Book Antiqua"/>
                <w:color w:val="000000" w:themeColor="text1"/>
                <w:lang w:val="en-US"/>
              </w:rPr>
            </w:pPr>
            <w:r>
              <w:rPr>
                <w:rFonts w:ascii="Book Antiqua" w:hAnsi="Book Antiqua"/>
                <w:color w:val="000000" w:themeColor="text1"/>
                <w:lang w:val="en-US"/>
              </w:rPr>
              <w:t>15 (37.5</w:t>
            </w:r>
            <w:r w:rsidR="0097732B" w:rsidRPr="008A5994">
              <w:rPr>
                <w:rFonts w:ascii="Book Antiqua" w:hAnsi="Book Antiqua"/>
                <w:color w:val="000000" w:themeColor="text1"/>
                <w:lang w:val="en-US"/>
              </w:rPr>
              <w:t>)</w:t>
            </w:r>
          </w:p>
        </w:tc>
      </w:tr>
      <w:tr w:rsidR="008A5994" w:rsidRPr="008A5994" w14:paraId="53D4136D" w14:textId="77777777" w:rsidTr="009D2863">
        <w:trPr>
          <w:jc w:val="center"/>
        </w:trPr>
        <w:tc>
          <w:tcPr>
            <w:tcW w:w="5886" w:type="dxa"/>
            <w:shd w:val="clear" w:color="auto" w:fill="auto"/>
            <w:vAlign w:val="center"/>
          </w:tcPr>
          <w:p w14:paraId="39BE8C01" w14:textId="77777777" w:rsidR="0097732B" w:rsidRPr="008A5994" w:rsidRDefault="0097732B" w:rsidP="008A5994">
            <w:pPr>
              <w:adjustRightInd w:val="0"/>
              <w:snapToGrid w:val="0"/>
              <w:spacing w:line="360" w:lineRule="auto"/>
              <w:jc w:val="both"/>
              <w:rPr>
                <w:rFonts w:ascii="Book Antiqua" w:hAnsi="Book Antiqua"/>
                <w:color w:val="000000" w:themeColor="text1"/>
                <w:lang w:val="en-US"/>
              </w:rPr>
            </w:pPr>
            <w:r w:rsidRPr="008A5994">
              <w:rPr>
                <w:rFonts w:ascii="Book Antiqua" w:hAnsi="Book Antiqua"/>
                <w:color w:val="000000" w:themeColor="text1"/>
                <w:lang w:val="en-US"/>
              </w:rPr>
              <w:t xml:space="preserve">Prior bowel resection, </w:t>
            </w:r>
            <w:r w:rsidRPr="0048191C">
              <w:rPr>
                <w:rFonts w:ascii="Book Antiqua" w:hAnsi="Book Antiqua"/>
                <w:i/>
                <w:color w:val="000000" w:themeColor="text1"/>
                <w:lang w:val="en-US"/>
              </w:rPr>
              <w:t>n</w:t>
            </w:r>
            <w:r w:rsidRPr="008A5994">
              <w:rPr>
                <w:rFonts w:ascii="Book Antiqua" w:hAnsi="Book Antiqua"/>
                <w:color w:val="000000" w:themeColor="text1"/>
                <w:lang w:val="en-US"/>
              </w:rPr>
              <w:t xml:space="preserve"> (%)</w:t>
            </w:r>
          </w:p>
        </w:tc>
        <w:tc>
          <w:tcPr>
            <w:tcW w:w="2496" w:type="dxa"/>
            <w:shd w:val="clear" w:color="auto" w:fill="auto"/>
            <w:vAlign w:val="center"/>
          </w:tcPr>
          <w:p w14:paraId="5E0DD5E8" w14:textId="38937982" w:rsidR="0097732B" w:rsidRPr="008A5994" w:rsidRDefault="0048191C" w:rsidP="00A030B2">
            <w:pPr>
              <w:adjustRightInd w:val="0"/>
              <w:snapToGrid w:val="0"/>
              <w:spacing w:line="360" w:lineRule="auto"/>
              <w:jc w:val="center"/>
              <w:rPr>
                <w:rFonts w:ascii="Book Antiqua" w:hAnsi="Book Antiqua"/>
                <w:color w:val="000000" w:themeColor="text1"/>
                <w:lang w:val="en-US"/>
              </w:rPr>
            </w:pPr>
            <w:r>
              <w:rPr>
                <w:rFonts w:ascii="Book Antiqua" w:hAnsi="Book Antiqua"/>
                <w:color w:val="000000" w:themeColor="text1"/>
                <w:lang w:val="en-US"/>
              </w:rPr>
              <w:t>7</w:t>
            </w:r>
            <w:r w:rsidR="0097732B" w:rsidRPr="008A5994">
              <w:rPr>
                <w:rFonts w:ascii="Book Antiqua" w:hAnsi="Book Antiqua"/>
                <w:color w:val="000000" w:themeColor="text1"/>
                <w:lang w:val="en-US"/>
              </w:rPr>
              <w:t xml:space="preserve"> (17.5)</w:t>
            </w:r>
          </w:p>
        </w:tc>
      </w:tr>
      <w:tr w:rsidR="008A5994" w:rsidRPr="008A5994" w14:paraId="50F75628" w14:textId="77777777" w:rsidTr="009D2863">
        <w:trPr>
          <w:jc w:val="center"/>
        </w:trPr>
        <w:tc>
          <w:tcPr>
            <w:tcW w:w="5886" w:type="dxa"/>
            <w:shd w:val="clear" w:color="auto" w:fill="auto"/>
            <w:vAlign w:val="center"/>
          </w:tcPr>
          <w:p w14:paraId="09FA16E4" w14:textId="77777777" w:rsidR="0097732B" w:rsidRPr="008A5994" w:rsidRDefault="0097732B" w:rsidP="008A5994">
            <w:pPr>
              <w:adjustRightInd w:val="0"/>
              <w:snapToGrid w:val="0"/>
              <w:spacing w:line="360" w:lineRule="auto"/>
              <w:jc w:val="both"/>
              <w:rPr>
                <w:rFonts w:ascii="Book Antiqua" w:hAnsi="Book Antiqua"/>
                <w:color w:val="000000" w:themeColor="text1"/>
                <w:lang w:val="en-US"/>
              </w:rPr>
            </w:pPr>
            <w:r w:rsidRPr="008A5994">
              <w:rPr>
                <w:rFonts w:ascii="Book Antiqua" w:hAnsi="Book Antiqua"/>
                <w:color w:val="000000" w:themeColor="text1"/>
                <w:lang w:val="en-US"/>
              </w:rPr>
              <w:t>Montreal classification</w:t>
            </w:r>
          </w:p>
        </w:tc>
        <w:tc>
          <w:tcPr>
            <w:tcW w:w="2496" w:type="dxa"/>
            <w:shd w:val="clear" w:color="auto" w:fill="auto"/>
            <w:vAlign w:val="center"/>
          </w:tcPr>
          <w:p w14:paraId="5A4CD795" w14:textId="77777777" w:rsidR="0097732B" w:rsidRPr="008A5994" w:rsidRDefault="0097732B" w:rsidP="00A030B2">
            <w:pPr>
              <w:adjustRightInd w:val="0"/>
              <w:snapToGrid w:val="0"/>
              <w:spacing w:line="360" w:lineRule="auto"/>
              <w:jc w:val="center"/>
              <w:rPr>
                <w:rFonts w:ascii="Book Antiqua" w:hAnsi="Book Antiqua"/>
                <w:color w:val="000000" w:themeColor="text1"/>
                <w:lang w:val="en-US"/>
              </w:rPr>
            </w:pPr>
          </w:p>
        </w:tc>
      </w:tr>
      <w:tr w:rsidR="008A5994" w:rsidRPr="008A5994" w14:paraId="24E28C22" w14:textId="77777777" w:rsidTr="009D2863">
        <w:trPr>
          <w:jc w:val="center"/>
        </w:trPr>
        <w:tc>
          <w:tcPr>
            <w:tcW w:w="5886" w:type="dxa"/>
            <w:shd w:val="clear" w:color="auto" w:fill="auto"/>
            <w:vAlign w:val="center"/>
          </w:tcPr>
          <w:p w14:paraId="3BB10D01" w14:textId="1941513D" w:rsidR="0097732B" w:rsidRPr="008A5994" w:rsidRDefault="007E1FD5"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97732B" w:rsidRPr="008A5994">
              <w:rPr>
                <w:rFonts w:ascii="Book Antiqua" w:hAnsi="Book Antiqua"/>
                <w:color w:val="000000" w:themeColor="text1"/>
                <w:lang w:val="en-US"/>
              </w:rPr>
              <w:t>Location</w:t>
            </w:r>
          </w:p>
        </w:tc>
        <w:tc>
          <w:tcPr>
            <w:tcW w:w="2496" w:type="dxa"/>
            <w:shd w:val="clear" w:color="auto" w:fill="auto"/>
            <w:vAlign w:val="center"/>
          </w:tcPr>
          <w:p w14:paraId="124CBC5A" w14:textId="77777777" w:rsidR="0097732B" w:rsidRPr="008A5994" w:rsidRDefault="0097732B" w:rsidP="00A030B2">
            <w:pPr>
              <w:adjustRightInd w:val="0"/>
              <w:snapToGrid w:val="0"/>
              <w:spacing w:line="360" w:lineRule="auto"/>
              <w:jc w:val="center"/>
              <w:rPr>
                <w:rFonts w:ascii="Book Antiqua" w:hAnsi="Book Antiqua"/>
                <w:color w:val="000000" w:themeColor="text1"/>
                <w:lang w:val="en-US"/>
              </w:rPr>
            </w:pPr>
          </w:p>
        </w:tc>
      </w:tr>
      <w:tr w:rsidR="008A5994" w:rsidRPr="008A5994" w14:paraId="265EC3A7" w14:textId="77777777" w:rsidTr="009D2863">
        <w:trPr>
          <w:jc w:val="center"/>
        </w:trPr>
        <w:tc>
          <w:tcPr>
            <w:tcW w:w="5886" w:type="dxa"/>
            <w:shd w:val="clear" w:color="auto" w:fill="auto"/>
            <w:vAlign w:val="center"/>
          </w:tcPr>
          <w:p w14:paraId="2226BA1D" w14:textId="0015A526" w:rsidR="0097732B" w:rsidRPr="008A5994" w:rsidRDefault="007E1FD5"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97732B" w:rsidRPr="008A5994">
              <w:rPr>
                <w:rFonts w:ascii="Book Antiqua" w:hAnsi="Book Antiqua"/>
                <w:color w:val="000000" w:themeColor="text1"/>
                <w:lang w:val="en-US"/>
              </w:rPr>
              <w:t xml:space="preserve">L1, </w:t>
            </w:r>
            <w:r w:rsidR="0097732B" w:rsidRPr="0048191C">
              <w:rPr>
                <w:rFonts w:ascii="Book Antiqua" w:hAnsi="Book Antiqua"/>
                <w:i/>
                <w:color w:val="000000" w:themeColor="text1"/>
                <w:lang w:val="en-US"/>
              </w:rPr>
              <w:t>n</w:t>
            </w:r>
            <w:r w:rsidR="0097732B" w:rsidRPr="008A5994">
              <w:rPr>
                <w:rFonts w:ascii="Book Antiqua" w:hAnsi="Book Antiqua"/>
                <w:color w:val="000000" w:themeColor="text1"/>
                <w:lang w:val="en-US"/>
              </w:rPr>
              <w:t xml:space="preserve"> (%)</w:t>
            </w:r>
          </w:p>
        </w:tc>
        <w:tc>
          <w:tcPr>
            <w:tcW w:w="2496" w:type="dxa"/>
            <w:shd w:val="clear" w:color="auto" w:fill="auto"/>
            <w:vAlign w:val="center"/>
          </w:tcPr>
          <w:p w14:paraId="42BEA222" w14:textId="289F29EB" w:rsidR="0097732B" w:rsidRPr="008A5994" w:rsidRDefault="0048191C" w:rsidP="00A030B2">
            <w:pPr>
              <w:adjustRightInd w:val="0"/>
              <w:snapToGrid w:val="0"/>
              <w:spacing w:line="360" w:lineRule="auto"/>
              <w:jc w:val="center"/>
              <w:rPr>
                <w:rFonts w:ascii="Book Antiqua" w:hAnsi="Book Antiqua"/>
                <w:color w:val="000000" w:themeColor="text1"/>
                <w:lang w:val="en-US"/>
              </w:rPr>
            </w:pPr>
            <w:r>
              <w:rPr>
                <w:rFonts w:ascii="Book Antiqua" w:hAnsi="Book Antiqua"/>
                <w:color w:val="000000" w:themeColor="text1"/>
                <w:lang w:val="en-US"/>
              </w:rPr>
              <w:t>18</w:t>
            </w:r>
            <w:r w:rsidR="0097732B" w:rsidRPr="008A5994">
              <w:rPr>
                <w:rFonts w:ascii="Book Antiqua" w:hAnsi="Book Antiqua"/>
                <w:color w:val="000000" w:themeColor="text1"/>
                <w:lang w:val="en-US"/>
              </w:rPr>
              <w:t xml:space="preserve"> (45.0)</w:t>
            </w:r>
          </w:p>
        </w:tc>
      </w:tr>
      <w:tr w:rsidR="008A5994" w:rsidRPr="008A5994" w14:paraId="45F4C971" w14:textId="77777777" w:rsidTr="009D2863">
        <w:trPr>
          <w:jc w:val="center"/>
        </w:trPr>
        <w:tc>
          <w:tcPr>
            <w:tcW w:w="5886" w:type="dxa"/>
            <w:shd w:val="clear" w:color="auto" w:fill="auto"/>
            <w:vAlign w:val="center"/>
          </w:tcPr>
          <w:p w14:paraId="1C849438" w14:textId="0433143F" w:rsidR="0097732B" w:rsidRPr="008A5994" w:rsidRDefault="007E1FD5"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97732B" w:rsidRPr="008A5994">
              <w:rPr>
                <w:rFonts w:ascii="Book Antiqua" w:hAnsi="Book Antiqua"/>
                <w:color w:val="000000" w:themeColor="text1"/>
                <w:lang w:val="en-US"/>
              </w:rPr>
              <w:t xml:space="preserve">L2, </w:t>
            </w:r>
            <w:r w:rsidR="0097732B" w:rsidRPr="0048191C">
              <w:rPr>
                <w:rFonts w:ascii="Book Antiqua" w:hAnsi="Book Antiqua"/>
                <w:i/>
                <w:color w:val="000000" w:themeColor="text1"/>
                <w:lang w:val="en-US"/>
              </w:rPr>
              <w:t>n</w:t>
            </w:r>
            <w:r w:rsidR="0097732B" w:rsidRPr="008A5994">
              <w:rPr>
                <w:rFonts w:ascii="Book Antiqua" w:hAnsi="Book Antiqua"/>
                <w:color w:val="000000" w:themeColor="text1"/>
                <w:lang w:val="en-US"/>
              </w:rPr>
              <w:t xml:space="preserve"> (%)</w:t>
            </w:r>
          </w:p>
        </w:tc>
        <w:tc>
          <w:tcPr>
            <w:tcW w:w="2496" w:type="dxa"/>
            <w:shd w:val="clear" w:color="auto" w:fill="auto"/>
            <w:vAlign w:val="center"/>
          </w:tcPr>
          <w:p w14:paraId="2536E4D0" w14:textId="4ABA0966" w:rsidR="0097732B" w:rsidRPr="008A5994" w:rsidRDefault="0048191C" w:rsidP="00A030B2">
            <w:pPr>
              <w:adjustRightInd w:val="0"/>
              <w:snapToGrid w:val="0"/>
              <w:spacing w:line="360" w:lineRule="auto"/>
              <w:jc w:val="center"/>
              <w:rPr>
                <w:rFonts w:ascii="Book Antiqua" w:hAnsi="Book Antiqua"/>
                <w:color w:val="000000" w:themeColor="text1"/>
                <w:lang w:val="en-US"/>
              </w:rPr>
            </w:pPr>
            <w:r>
              <w:rPr>
                <w:rFonts w:ascii="Book Antiqua" w:hAnsi="Book Antiqua"/>
                <w:color w:val="000000" w:themeColor="text1"/>
                <w:lang w:val="en-US"/>
              </w:rPr>
              <w:t>3 (7.5</w:t>
            </w:r>
            <w:r w:rsidR="0097732B" w:rsidRPr="008A5994">
              <w:rPr>
                <w:rFonts w:ascii="Book Antiqua" w:hAnsi="Book Antiqua"/>
                <w:color w:val="000000" w:themeColor="text1"/>
                <w:lang w:val="en-US"/>
              </w:rPr>
              <w:t>)</w:t>
            </w:r>
          </w:p>
        </w:tc>
      </w:tr>
      <w:tr w:rsidR="008A5994" w:rsidRPr="008A5994" w14:paraId="4334376C" w14:textId="77777777" w:rsidTr="009D2863">
        <w:trPr>
          <w:jc w:val="center"/>
        </w:trPr>
        <w:tc>
          <w:tcPr>
            <w:tcW w:w="5886" w:type="dxa"/>
            <w:shd w:val="clear" w:color="auto" w:fill="auto"/>
            <w:vAlign w:val="center"/>
          </w:tcPr>
          <w:p w14:paraId="5AE0D1A3" w14:textId="6ACE0420" w:rsidR="0097732B" w:rsidRPr="008A5994" w:rsidRDefault="007E1FD5"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97732B" w:rsidRPr="008A5994">
              <w:rPr>
                <w:rFonts w:ascii="Book Antiqua" w:hAnsi="Book Antiqua"/>
                <w:color w:val="000000" w:themeColor="text1"/>
                <w:lang w:val="en-US"/>
              </w:rPr>
              <w:t xml:space="preserve">L3, </w:t>
            </w:r>
            <w:r w:rsidR="0097732B" w:rsidRPr="0048191C">
              <w:rPr>
                <w:rFonts w:ascii="Book Antiqua" w:hAnsi="Book Antiqua"/>
                <w:i/>
                <w:color w:val="000000" w:themeColor="text1"/>
                <w:lang w:val="en-US"/>
              </w:rPr>
              <w:t>n</w:t>
            </w:r>
            <w:r w:rsidR="0097732B" w:rsidRPr="008A5994">
              <w:rPr>
                <w:rFonts w:ascii="Book Antiqua" w:hAnsi="Book Antiqua"/>
                <w:color w:val="000000" w:themeColor="text1"/>
                <w:lang w:val="en-US"/>
              </w:rPr>
              <w:t xml:space="preserve"> (%)</w:t>
            </w:r>
          </w:p>
        </w:tc>
        <w:tc>
          <w:tcPr>
            <w:tcW w:w="2496" w:type="dxa"/>
            <w:shd w:val="clear" w:color="auto" w:fill="auto"/>
            <w:vAlign w:val="center"/>
          </w:tcPr>
          <w:p w14:paraId="7DD72F08" w14:textId="3734024D" w:rsidR="0097732B" w:rsidRPr="008A5994" w:rsidRDefault="0048191C" w:rsidP="00A030B2">
            <w:pPr>
              <w:adjustRightInd w:val="0"/>
              <w:snapToGrid w:val="0"/>
              <w:spacing w:line="360" w:lineRule="auto"/>
              <w:jc w:val="center"/>
              <w:rPr>
                <w:rFonts w:ascii="Book Antiqua" w:hAnsi="Book Antiqua"/>
                <w:color w:val="000000" w:themeColor="text1"/>
                <w:lang w:val="en-US"/>
              </w:rPr>
            </w:pPr>
            <w:r>
              <w:rPr>
                <w:rFonts w:ascii="Book Antiqua" w:hAnsi="Book Antiqua"/>
                <w:color w:val="000000" w:themeColor="text1"/>
                <w:lang w:val="en-US"/>
              </w:rPr>
              <w:t>19</w:t>
            </w:r>
            <w:r w:rsidR="0097732B" w:rsidRPr="008A5994">
              <w:rPr>
                <w:rFonts w:ascii="Book Antiqua" w:hAnsi="Book Antiqua"/>
                <w:color w:val="000000" w:themeColor="text1"/>
                <w:lang w:val="en-US"/>
              </w:rPr>
              <w:t xml:space="preserve"> (47.5)</w:t>
            </w:r>
          </w:p>
        </w:tc>
      </w:tr>
      <w:tr w:rsidR="008A5994" w:rsidRPr="008A5994" w14:paraId="7DE57C4B" w14:textId="77777777" w:rsidTr="009D2863">
        <w:trPr>
          <w:jc w:val="center"/>
        </w:trPr>
        <w:tc>
          <w:tcPr>
            <w:tcW w:w="5886" w:type="dxa"/>
            <w:shd w:val="clear" w:color="auto" w:fill="auto"/>
            <w:vAlign w:val="center"/>
          </w:tcPr>
          <w:p w14:paraId="453F0B44" w14:textId="01C024B4" w:rsidR="0097732B" w:rsidRPr="008A5994" w:rsidRDefault="007E1FD5"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proofErr w:type="spellStart"/>
            <w:r w:rsidR="0097732B" w:rsidRPr="008A5994">
              <w:rPr>
                <w:rFonts w:ascii="Book Antiqua" w:hAnsi="Book Antiqua"/>
                <w:color w:val="000000" w:themeColor="text1"/>
                <w:lang w:val="en-US"/>
              </w:rPr>
              <w:t>Behaviour</w:t>
            </w:r>
            <w:proofErr w:type="spellEnd"/>
          </w:p>
        </w:tc>
        <w:tc>
          <w:tcPr>
            <w:tcW w:w="2496" w:type="dxa"/>
            <w:shd w:val="clear" w:color="auto" w:fill="auto"/>
            <w:vAlign w:val="center"/>
          </w:tcPr>
          <w:p w14:paraId="1EA01229" w14:textId="77777777" w:rsidR="0097732B" w:rsidRPr="008A5994" w:rsidRDefault="0097732B" w:rsidP="00A030B2">
            <w:pPr>
              <w:adjustRightInd w:val="0"/>
              <w:snapToGrid w:val="0"/>
              <w:spacing w:line="360" w:lineRule="auto"/>
              <w:jc w:val="center"/>
              <w:rPr>
                <w:rFonts w:ascii="Book Antiqua" w:hAnsi="Book Antiqua"/>
                <w:color w:val="000000" w:themeColor="text1"/>
                <w:lang w:val="en-US"/>
              </w:rPr>
            </w:pPr>
          </w:p>
        </w:tc>
      </w:tr>
      <w:tr w:rsidR="008A5994" w:rsidRPr="008A5994" w14:paraId="7DF3C59C" w14:textId="77777777" w:rsidTr="009D2863">
        <w:trPr>
          <w:jc w:val="center"/>
        </w:trPr>
        <w:tc>
          <w:tcPr>
            <w:tcW w:w="5886" w:type="dxa"/>
            <w:shd w:val="clear" w:color="auto" w:fill="auto"/>
            <w:vAlign w:val="center"/>
          </w:tcPr>
          <w:p w14:paraId="67DE3B6F" w14:textId="6ABC9733" w:rsidR="0097732B" w:rsidRPr="008A5994" w:rsidRDefault="007E1FD5"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97732B" w:rsidRPr="008A5994">
              <w:rPr>
                <w:rFonts w:ascii="Book Antiqua" w:hAnsi="Book Antiqua"/>
                <w:color w:val="000000" w:themeColor="text1"/>
                <w:lang w:val="en-US"/>
              </w:rPr>
              <w:t xml:space="preserve">B1, </w:t>
            </w:r>
            <w:r w:rsidR="0097732B" w:rsidRPr="0048191C">
              <w:rPr>
                <w:rFonts w:ascii="Book Antiqua" w:hAnsi="Book Antiqua"/>
                <w:i/>
                <w:color w:val="000000" w:themeColor="text1"/>
                <w:lang w:val="en-US"/>
              </w:rPr>
              <w:t>n</w:t>
            </w:r>
            <w:r w:rsidR="0097732B" w:rsidRPr="008A5994">
              <w:rPr>
                <w:rFonts w:ascii="Book Antiqua" w:hAnsi="Book Antiqua"/>
                <w:color w:val="000000" w:themeColor="text1"/>
                <w:lang w:val="en-US"/>
              </w:rPr>
              <w:t xml:space="preserve"> (%)</w:t>
            </w:r>
          </w:p>
        </w:tc>
        <w:tc>
          <w:tcPr>
            <w:tcW w:w="2496" w:type="dxa"/>
            <w:shd w:val="clear" w:color="auto" w:fill="auto"/>
            <w:vAlign w:val="center"/>
          </w:tcPr>
          <w:p w14:paraId="539B0AA2" w14:textId="1491D56B" w:rsidR="0097732B" w:rsidRPr="008A5994" w:rsidRDefault="00A030B2" w:rsidP="00A030B2">
            <w:pPr>
              <w:autoSpaceDE w:val="0"/>
              <w:autoSpaceDN w:val="0"/>
              <w:adjustRightInd w:val="0"/>
              <w:snapToGrid w:val="0"/>
              <w:spacing w:line="360" w:lineRule="auto"/>
              <w:jc w:val="center"/>
              <w:rPr>
                <w:rFonts w:ascii="Book Antiqua" w:hAnsi="Book Antiqua"/>
                <w:color w:val="000000" w:themeColor="text1"/>
                <w:lang w:val="en-US"/>
              </w:rPr>
            </w:pPr>
            <w:r>
              <w:rPr>
                <w:rFonts w:ascii="Book Antiqua" w:hAnsi="Book Antiqua"/>
                <w:color w:val="000000" w:themeColor="text1"/>
                <w:lang w:val="en-US"/>
              </w:rPr>
              <w:t>13</w:t>
            </w:r>
            <w:r w:rsidR="0097732B" w:rsidRPr="008A5994">
              <w:rPr>
                <w:rFonts w:ascii="Book Antiqua" w:hAnsi="Book Antiqua"/>
                <w:color w:val="000000" w:themeColor="text1"/>
                <w:lang w:val="en-US"/>
              </w:rPr>
              <w:t xml:space="preserve"> (3</w:t>
            </w:r>
            <w:r>
              <w:rPr>
                <w:rFonts w:ascii="Book Antiqua" w:hAnsi="Book Antiqua"/>
                <w:color w:val="000000" w:themeColor="text1"/>
                <w:lang w:val="en-US"/>
              </w:rPr>
              <w:t>2.5</w:t>
            </w:r>
            <w:r w:rsidR="0097732B" w:rsidRPr="008A5994">
              <w:rPr>
                <w:rFonts w:ascii="Book Antiqua" w:hAnsi="Book Antiqua"/>
                <w:color w:val="000000" w:themeColor="text1"/>
                <w:lang w:val="en-US"/>
              </w:rPr>
              <w:t>)</w:t>
            </w:r>
          </w:p>
        </w:tc>
      </w:tr>
      <w:tr w:rsidR="008A5994" w:rsidRPr="008A5994" w14:paraId="009068D7" w14:textId="77777777" w:rsidTr="009D2863">
        <w:trPr>
          <w:jc w:val="center"/>
        </w:trPr>
        <w:tc>
          <w:tcPr>
            <w:tcW w:w="5886" w:type="dxa"/>
            <w:shd w:val="clear" w:color="auto" w:fill="auto"/>
            <w:vAlign w:val="center"/>
          </w:tcPr>
          <w:p w14:paraId="0BF0ECEF" w14:textId="3D3E005B" w:rsidR="0097732B" w:rsidRPr="008A5994" w:rsidRDefault="007E1FD5"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97732B" w:rsidRPr="008A5994">
              <w:rPr>
                <w:rFonts w:ascii="Book Antiqua" w:hAnsi="Book Antiqua"/>
                <w:color w:val="000000" w:themeColor="text1"/>
                <w:lang w:val="en-US"/>
              </w:rPr>
              <w:t xml:space="preserve">B2, </w:t>
            </w:r>
            <w:bookmarkStart w:id="243" w:name="OLE_LINK545"/>
            <w:bookmarkStart w:id="244" w:name="OLE_LINK546"/>
            <w:r w:rsidR="0097732B" w:rsidRPr="0048191C">
              <w:rPr>
                <w:rFonts w:ascii="Book Antiqua" w:hAnsi="Book Antiqua"/>
                <w:i/>
                <w:color w:val="000000" w:themeColor="text1"/>
                <w:lang w:val="en-US"/>
              </w:rPr>
              <w:t>n</w:t>
            </w:r>
            <w:bookmarkEnd w:id="243"/>
            <w:bookmarkEnd w:id="244"/>
            <w:r w:rsidR="0097732B" w:rsidRPr="008A5994">
              <w:rPr>
                <w:rFonts w:ascii="Book Antiqua" w:hAnsi="Book Antiqua"/>
                <w:color w:val="000000" w:themeColor="text1"/>
                <w:lang w:val="en-US"/>
              </w:rPr>
              <w:t xml:space="preserve"> (%)</w:t>
            </w:r>
          </w:p>
        </w:tc>
        <w:tc>
          <w:tcPr>
            <w:tcW w:w="2496" w:type="dxa"/>
            <w:shd w:val="clear" w:color="auto" w:fill="auto"/>
            <w:vAlign w:val="center"/>
          </w:tcPr>
          <w:p w14:paraId="34BE38A9" w14:textId="1F8FFA24" w:rsidR="0097732B" w:rsidRPr="008A5994" w:rsidRDefault="00A030B2" w:rsidP="00A030B2">
            <w:pPr>
              <w:adjustRightInd w:val="0"/>
              <w:snapToGrid w:val="0"/>
              <w:spacing w:line="360" w:lineRule="auto"/>
              <w:jc w:val="center"/>
              <w:rPr>
                <w:rFonts w:ascii="Book Antiqua" w:hAnsi="Book Antiqua"/>
                <w:color w:val="000000" w:themeColor="text1"/>
                <w:lang w:val="en-US"/>
              </w:rPr>
            </w:pPr>
            <w:r>
              <w:rPr>
                <w:rFonts w:ascii="Book Antiqua" w:hAnsi="Book Antiqua"/>
                <w:color w:val="000000" w:themeColor="text1"/>
                <w:lang w:val="en-US"/>
              </w:rPr>
              <w:t>16 (40.0</w:t>
            </w:r>
            <w:r w:rsidR="0097732B" w:rsidRPr="008A5994">
              <w:rPr>
                <w:rFonts w:ascii="Book Antiqua" w:hAnsi="Book Antiqua"/>
                <w:color w:val="000000" w:themeColor="text1"/>
                <w:lang w:val="en-US"/>
              </w:rPr>
              <w:t>)</w:t>
            </w:r>
          </w:p>
        </w:tc>
      </w:tr>
      <w:tr w:rsidR="008A5994" w:rsidRPr="008A5994" w14:paraId="7F900462" w14:textId="77777777" w:rsidTr="009D2863">
        <w:trPr>
          <w:jc w:val="center"/>
        </w:trPr>
        <w:tc>
          <w:tcPr>
            <w:tcW w:w="5886" w:type="dxa"/>
            <w:shd w:val="clear" w:color="auto" w:fill="auto"/>
            <w:vAlign w:val="center"/>
          </w:tcPr>
          <w:p w14:paraId="3F12B17C" w14:textId="3613D4BD" w:rsidR="0097732B" w:rsidRPr="008A5994" w:rsidRDefault="007E1FD5"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48191C">
              <w:rPr>
                <w:rFonts w:ascii="Book Antiqua" w:hAnsi="Book Antiqua"/>
                <w:color w:val="000000" w:themeColor="text1"/>
                <w:lang w:val="en-US"/>
              </w:rPr>
              <w:t xml:space="preserve">B3, </w:t>
            </w:r>
            <w:r w:rsidR="0048191C" w:rsidRPr="0048191C">
              <w:rPr>
                <w:rFonts w:ascii="Book Antiqua" w:hAnsi="Book Antiqua"/>
                <w:i/>
                <w:color w:val="000000" w:themeColor="text1"/>
                <w:lang w:val="en-US"/>
              </w:rPr>
              <w:t>n</w:t>
            </w:r>
            <w:r w:rsidR="0097732B" w:rsidRPr="008A5994">
              <w:rPr>
                <w:rFonts w:ascii="Book Antiqua" w:hAnsi="Book Antiqua"/>
                <w:color w:val="000000" w:themeColor="text1"/>
                <w:lang w:val="en-US"/>
              </w:rPr>
              <w:t xml:space="preserve"> (%)</w:t>
            </w:r>
          </w:p>
        </w:tc>
        <w:tc>
          <w:tcPr>
            <w:tcW w:w="2496" w:type="dxa"/>
            <w:shd w:val="clear" w:color="auto" w:fill="auto"/>
            <w:vAlign w:val="center"/>
          </w:tcPr>
          <w:p w14:paraId="4B2FB06C" w14:textId="3AC5310B" w:rsidR="0097732B" w:rsidRPr="008A5994" w:rsidRDefault="00A030B2" w:rsidP="00A030B2">
            <w:pPr>
              <w:adjustRightInd w:val="0"/>
              <w:snapToGrid w:val="0"/>
              <w:spacing w:line="360" w:lineRule="auto"/>
              <w:jc w:val="center"/>
              <w:rPr>
                <w:rFonts w:ascii="Book Antiqua" w:hAnsi="Book Antiqua"/>
                <w:color w:val="000000" w:themeColor="text1"/>
                <w:lang w:val="en-US"/>
              </w:rPr>
            </w:pPr>
            <w:r>
              <w:rPr>
                <w:rFonts w:ascii="Book Antiqua" w:hAnsi="Book Antiqua"/>
                <w:color w:val="000000" w:themeColor="text1"/>
                <w:lang w:val="en-US"/>
              </w:rPr>
              <w:t>11 (27.5</w:t>
            </w:r>
            <w:r w:rsidR="0097732B" w:rsidRPr="008A5994">
              <w:rPr>
                <w:rFonts w:ascii="Book Antiqua" w:hAnsi="Book Antiqua"/>
                <w:color w:val="000000" w:themeColor="text1"/>
                <w:lang w:val="en-US"/>
              </w:rPr>
              <w:t>)</w:t>
            </w:r>
          </w:p>
        </w:tc>
      </w:tr>
      <w:tr w:rsidR="008A5994" w:rsidRPr="008A5994" w14:paraId="6F431F75" w14:textId="77777777" w:rsidTr="009D2863">
        <w:trPr>
          <w:jc w:val="center"/>
        </w:trPr>
        <w:tc>
          <w:tcPr>
            <w:tcW w:w="5886" w:type="dxa"/>
            <w:shd w:val="clear" w:color="auto" w:fill="auto"/>
            <w:vAlign w:val="center"/>
          </w:tcPr>
          <w:p w14:paraId="53052C0C" w14:textId="21C1D213" w:rsidR="0097732B" w:rsidRPr="008A5994" w:rsidRDefault="0048191C"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Perianal lesions, </w:t>
            </w:r>
            <w:r w:rsidRPr="0048191C">
              <w:rPr>
                <w:rFonts w:ascii="Book Antiqua" w:hAnsi="Book Antiqua"/>
                <w:i/>
                <w:color w:val="000000" w:themeColor="text1"/>
                <w:lang w:val="en-US"/>
              </w:rPr>
              <w:t>n</w:t>
            </w:r>
            <w:r w:rsidR="0097732B" w:rsidRPr="008A5994">
              <w:rPr>
                <w:rFonts w:ascii="Book Antiqua" w:hAnsi="Book Antiqua"/>
                <w:color w:val="000000" w:themeColor="text1"/>
                <w:lang w:val="en-US"/>
              </w:rPr>
              <w:t xml:space="preserve"> (%)</w:t>
            </w:r>
          </w:p>
        </w:tc>
        <w:tc>
          <w:tcPr>
            <w:tcW w:w="2496" w:type="dxa"/>
            <w:shd w:val="clear" w:color="auto" w:fill="auto"/>
            <w:vAlign w:val="center"/>
          </w:tcPr>
          <w:p w14:paraId="0877995C" w14:textId="2C42E719" w:rsidR="0097732B" w:rsidRPr="008A5994" w:rsidRDefault="00A030B2" w:rsidP="00A030B2">
            <w:pPr>
              <w:adjustRightInd w:val="0"/>
              <w:snapToGrid w:val="0"/>
              <w:spacing w:line="360" w:lineRule="auto"/>
              <w:jc w:val="center"/>
              <w:rPr>
                <w:rFonts w:ascii="Book Antiqua" w:hAnsi="Book Antiqua"/>
                <w:color w:val="000000" w:themeColor="text1"/>
                <w:lang w:val="en-US"/>
              </w:rPr>
            </w:pPr>
            <w:r>
              <w:rPr>
                <w:rFonts w:ascii="Book Antiqua" w:hAnsi="Book Antiqua"/>
                <w:color w:val="000000" w:themeColor="text1"/>
                <w:lang w:val="en-US"/>
              </w:rPr>
              <w:t>7 (17.5</w:t>
            </w:r>
            <w:r w:rsidR="0097732B" w:rsidRPr="008A5994">
              <w:rPr>
                <w:rFonts w:ascii="Book Antiqua" w:hAnsi="Book Antiqua"/>
                <w:color w:val="000000" w:themeColor="text1"/>
                <w:lang w:val="en-US"/>
              </w:rPr>
              <w:t>)</w:t>
            </w:r>
          </w:p>
        </w:tc>
      </w:tr>
      <w:tr w:rsidR="008A5994" w:rsidRPr="008A5994" w14:paraId="4601D9BD" w14:textId="77777777" w:rsidTr="009D2863">
        <w:trPr>
          <w:jc w:val="center"/>
        </w:trPr>
        <w:tc>
          <w:tcPr>
            <w:tcW w:w="5886" w:type="dxa"/>
            <w:shd w:val="clear" w:color="auto" w:fill="auto"/>
            <w:vAlign w:val="center"/>
          </w:tcPr>
          <w:p w14:paraId="7D1ABED1" w14:textId="777EDDC8" w:rsidR="0097732B" w:rsidRPr="008A5994" w:rsidRDefault="0048191C"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Anti-TNF-naïve patients, </w:t>
            </w:r>
            <w:r w:rsidRPr="0048191C">
              <w:rPr>
                <w:rFonts w:ascii="Book Antiqua" w:hAnsi="Book Antiqua"/>
                <w:i/>
                <w:color w:val="000000" w:themeColor="text1"/>
                <w:lang w:val="en-US"/>
              </w:rPr>
              <w:t>n</w:t>
            </w:r>
            <w:r w:rsidR="0097732B" w:rsidRPr="008A5994">
              <w:rPr>
                <w:rFonts w:ascii="Book Antiqua" w:hAnsi="Book Antiqua"/>
                <w:color w:val="000000" w:themeColor="text1"/>
                <w:lang w:val="en-US"/>
              </w:rPr>
              <w:t xml:space="preserve"> (%)</w:t>
            </w:r>
          </w:p>
        </w:tc>
        <w:tc>
          <w:tcPr>
            <w:tcW w:w="2496" w:type="dxa"/>
            <w:shd w:val="clear" w:color="auto" w:fill="auto"/>
            <w:vAlign w:val="center"/>
          </w:tcPr>
          <w:p w14:paraId="061746C0" w14:textId="6EE77351" w:rsidR="0097732B" w:rsidRPr="008A5994" w:rsidRDefault="00A030B2" w:rsidP="00A030B2">
            <w:pPr>
              <w:adjustRightInd w:val="0"/>
              <w:snapToGrid w:val="0"/>
              <w:spacing w:line="360" w:lineRule="auto"/>
              <w:jc w:val="center"/>
              <w:rPr>
                <w:rFonts w:ascii="Book Antiqua" w:hAnsi="Book Antiqua"/>
                <w:color w:val="000000" w:themeColor="text1"/>
                <w:lang w:val="en-US"/>
              </w:rPr>
            </w:pPr>
            <w:r>
              <w:rPr>
                <w:rFonts w:ascii="Book Antiqua" w:hAnsi="Book Antiqua"/>
                <w:color w:val="000000" w:themeColor="text1"/>
                <w:lang w:val="en-US"/>
              </w:rPr>
              <w:t>24 (60.0</w:t>
            </w:r>
            <w:r w:rsidR="0097732B" w:rsidRPr="008A5994">
              <w:rPr>
                <w:rFonts w:ascii="Book Antiqua" w:hAnsi="Book Antiqua"/>
                <w:color w:val="000000" w:themeColor="text1"/>
                <w:lang w:val="en-US"/>
              </w:rPr>
              <w:t>)</w:t>
            </w:r>
          </w:p>
        </w:tc>
      </w:tr>
      <w:tr w:rsidR="008A5994" w:rsidRPr="008A5994" w14:paraId="2C01AB3D" w14:textId="77777777" w:rsidTr="009D2863">
        <w:trPr>
          <w:jc w:val="center"/>
        </w:trPr>
        <w:tc>
          <w:tcPr>
            <w:tcW w:w="5886" w:type="dxa"/>
            <w:shd w:val="clear" w:color="auto" w:fill="auto"/>
            <w:vAlign w:val="center"/>
          </w:tcPr>
          <w:p w14:paraId="500B0505" w14:textId="77777777" w:rsidR="0097732B" w:rsidRPr="008A5994" w:rsidRDefault="0097732B" w:rsidP="008A5994">
            <w:pPr>
              <w:adjustRightInd w:val="0"/>
              <w:snapToGrid w:val="0"/>
              <w:spacing w:line="360" w:lineRule="auto"/>
              <w:jc w:val="both"/>
              <w:rPr>
                <w:rFonts w:ascii="Book Antiqua" w:hAnsi="Book Antiqua"/>
                <w:color w:val="000000" w:themeColor="text1"/>
                <w:lang w:val="en-US"/>
              </w:rPr>
            </w:pPr>
            <w:r w:rsidRPr="008A5994">
              <w:rPr>
                <w:rFonts w:ascii="Book Antiqua" w:hAnsi="Book Antiqua"/>
                <w:color w:val="000000" w:themeColor="text1"/>
                <w:lang w:val="en-US"/>
              </w:rPr>
              <w:t>Type of anti-TNF</w:t>
            </w:r>
          </w:p>
        </w:tc>
        <w:tc>
          <w:tcPr>
            <w:tcW w:w="2496" w:type="dxa"/>
            <w:shd w:val="clear" w:color="auto" w:fill="auto"/>
            <w:vAlign w:val="center"/>
          </w:tcPr>
          <w:p w14:paraId="51CC7718" w14:textId="77777777" w:rsidR="0097732B" w:rsidRPr="008A5994" w:rsidRDefault="0097732B" w:rsidP="00A030B2">
            <w:pPr>
              <w:adjustRightInd w:val="0"/>
              <w:snapToGrid w:val="0"/>
              <w:spacing w:line="360" w:lineRule="auto"/>
              <w:jc w:val="center"/>
              <w:rPr>
                <w:rFonts w:ascii="Book Antiqua" w:hAnsi="Book Antiqua"/>
                <w:color w:val="000000" w:themeColor="text1"/>
                <w:lang w:val="en-US"/>
              </w:rPr>
            </w:pPr>
          </w:p>
        </w:tc>
      </w:tr>
      <w:tr w:rsidR="008A5994" w:rsidRPr="008A5994" w14:paraId="5C6CA11B" w14:textId="77777777" w:rsidTr="009D2863">
        <w:trPr>
          <w:jc w:val="center"/>
        </w:trPr>
        <w:tc>
          <w:tcPr>
            <w:tcW w:w="5886" w:type="dxa"/>
            <w:shd w:val="clear" w:color="auto" w:fill="auto"/>
            <w:vAlign w:val="center"/>
          </w:tcPr>
          <w:p w14:paraId="5712FCA1" w14:textId="58EF247A" w:rsidR="0097732B" w:rsidRPr="008A5994" w:rsidRDefault="007E1FD5"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48191C">
              <w:rPr>
                <w:rFonts w:ascii="Book Antiqua" w:hAnsi="Book Antiqua"/>
                <w:color w:val="000000" w:themeColor="text1"/>
                <w:lang w:val="en-US"/>
              </w:rPr>
              <w:t xml:space="preserve">Infliximab, </w:t>
            </w:r>
            <w:r w:rsidR="0048191C" w:rsidRPr="0048191C">
              <w:rPr>
                <w:rFonts w:ascii="Book Antiqua" w:hAnsi="Book Antiqua"/>
                <w:i/>
                <w:color w:val="000000" w:themeColor="text1"/>
                <w:lang w:val="en-US"/>
              </w:rPr>
              <w:t>n</w:t>
            </w:r>
            <w:r w:rsidR="0097732B" w:rsidRPr="008A5994">
              <w:rPr>
                <w:rFonts w:ascii="Book Antiqua" w:hAnsi="Book Antiqua"/>
                <w:color w:val="000000" w:themeColor="text1"/>
                <w:lang w:val="en-US"/>
              </w:rPr>
              <w:t xml:space="preserve"> (%)</w:t>
            </w:r>
          </w:p>
        </w:tc>
        <w:tc>
          <w:tcPr>
            <w:tcW w:w="2496" w:type="dxa"/>
            <w:shd w:val="clear" w:color="auto" w:fill="auto"/>
            <w:vAlign w:val="center"/>
          </w:tcPr>
          <w:p w14:paraId="0E72928B" w14:textId="34EFC00A" w:rsidR="0097732B" w:rsidRPr="008A5994" w:rsidRDefault="00A030B2" w:rsidP="00A030B2">
            <w:pPr>
              <w:adjustRightInd w:val="0"/>
              <w:snapToGrid w:val="0"/>
              <w:spacing w:line="360" w:lineRule="auto"/>
              <w:jc w:val="center"/>
              <w:rPr>
                <w:rFonts w:ascii="Book Antiqua" w:hAnsi="Book Antiqua"/>
                <w:color w:val="000000" w:themeColor="text1"/>
                <w:lang w:val="en-US"/>
              </w:rPr>
            </w:pPr>
            <w:r>
              <w:rPr>
                <w:rFonts w:ascii="Book Antiqua" w:hAnsi="Book Antiqua"/>
                <w:color w:val="000000" w:themeColor="text1"/>
                <w:lang w:val="en-US"/>
              </w:rPr>
              <w:t>16 (40.0</w:t>
            </w:r>
            <w:r w:rsidR="0097732B" w:rsidRPr="008A5994">
              <w:rPr>
                <w:rFonts w:ascii="Book Antiqua" w:hAnsi="Book Antiqua"/>
                <w:color w:val="000000" w:themeColor="text1"/>
                <w:lang w:val="en-US"/>
              </w:rPr>
              <w:t>)</w:t>
            </w:r>
          </w:p>
        </w:tc>
      </w:tr>
      <w:tr w:rsidR="008A5994" w:rsidRPr="008A5994" w14:paraId="0CC8E66D" w14:textId="77777777" w:rsidTr="009D2863">
        <w:trPr>
          <w:jc w:val="center"/>
        </w:trPr>
        <w:tc>
          <w:tcPr>
            <w:tcW w:w="5886" w:type="dxa"/>
            <w:shd w:val="clear" w:color="auto" w:fill="auto"/>
            <w:vAlign w:val="center"/>
          </w:tcPr>
          <w:p w14:paraId="4E6D7501" w14:textId="50EDFE44" w:rsidR="0097732B" w:rsidRPr="008A5994" w:rsidRDefault="007E1FD5"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48191C">
              <w:rPr>
                <w:rFonts w:ascii="Book Antiqua" w:hAnsi="Book Antiqua"/>
                <w:color w:val="000000" w:themeColor="text1"/>
                <w:lang w:val="en-US"/>
              </w:rPr>
              <w:t xml:space="preserve">Adalimumab, </w:t>
            </w:r>
            <w:r w:rsidR="0048191C" w:rsidRPr="0048191C">
              <w:rPr>
                <w:rFonts w:ascii="Book Antiqua" w:hAnsi="Book Antiqua"/>
                <w:i/>
                <w:color w:val="000000" w:themeColor="text1"/>
                <w:lang w:val="en-US"/>
              </w:rPr>
              <w:t>n</w:t>
            </w:r>
            <w:r w:rsidR="0097732B" w:rsidRPr="008A5994">
              <w:rPr>
                <w:rFonts w:ascii="Book Antiqua" w:hAnsi="Book Antiqua"/>
                <w:color w:val="000000" w:themeColor="text1"/>
                <w:lang w:val="en-US"/>
              </w:rPr>
              <w:t xml:space="preserve"> (%)</w:t>
            </w:r>
          </w:p>
        </w:tc>
        <w:tc>
          <w:tcPr>
            <w:tcW w:w="2496" w:type="dxa"/>
            <w:shd w:val="clear" w:color="auto" w:fill="auto"/>
            <w:vAlign w:val="center"/>
          </w:tcPr>
          <w:p w14:paraId="582E8C4A" w14:textId="618628C2" w:rsidR="0097732B" w:rsidRPr="008A5994" w:rsidRDefault="00A030B2" w:rsidP="00A030B2">
            <w:pPr>
              <w:adjustRightInd w:val="0"/>
              <w:snapToGrid w:val="0"/>
              <w:spacing w:line="360" w:lineRule="auto"/>
              <w:jc w:val="center"/>
              <w:rPr>
                <w:rFonts w:ascii="Book Antiqua" w:hAnsi="Book Antiqua"/>
                <w:color w:val="000000" w:themeColor="text1"/>
                <w:lang w:val="en-US"/>
              </w:rPr>
            </w:pPr>
            <w:r>
              <w:rPr>
                <w:rFonts w:ascii="Book Antiqua" w:hAnsi="Book Antiqua"/>
                <w:color w:val="000000" w:themeColor="text1"/>
                <w:lang w:val="en-US"/>
              </w:rPr>
              <w:t>24 (60.0</w:t>
            </w:r>
            <w:r w:rsidR="0097732B" w:rsidRPr="008A5994">
              <w:rPr>
                <w:rFonts w:ascii="Book Antiqua" w:hAnsi="Book Antiqua"/>
                <w:color w:val="000000" w:themeColor="text1"/>
                <w:lang w:val="en-US"/>
              </w:rPr>
              <w:t>)</w:t>
            </w:r>
          </w:p>
        </w:tc>
      </w:tr>
      <w:tr w:rsidR="008A5994" w:rsidRPr="008A5994" w14:paraId="49C438C3" w14:textId="77777777" w:rsidTr="009D2863">
        <w:trPr>
          <w:jc w:val="center"/>
        </w:trPr>
        <w:tc>
          <w:tcPr>
            <w:tcW w:w="5886" w:type="dxa"/>
            <w:shd w:val="clear" w:color="auto" w:fill="auto"/>
            <w:vAlign w:val="center"/>
          </w:tcPr>
          <w:p w14:paraId="123C9A86" w14:textId="77777777" w:rsidR="0097732B" w:rsidRPr="008A5994" w:rsidRDefault="0097732B" w:rsidP="008A5994">
            <w:pPr>
              <w:adjustRightInd w:val="0"/>
              <w:snapToGrid w:val="0"/>
              <w:spacing w:line="360" w:lineRule="auto"/>
              <w:jc w:val="both"/>
              <w:rPr>
                <w:rFonts w:ascii="Book Antiqua" w:hAnsi="Book Antiqua"/>
                <w:color w:val="000000" w:themeColor="text1"/>
                <w:lang w:val="en-US"/>
              </w:rPr>
            </w:pPr>
            <w:r w:rsidRPr="008A5994">
              <w:rPr>
                <w:rFonts w:ascii="Book Antiqua" w:hAnsi="Book Antiqua"/>
                <w:color w:val="000000" w:themeColor="text1"/>
                <w:lang w:val="en-US"/>
              </w:rPr>
              <w:t>Concomitant medications</w:t>
            </w:r>
          </w:p>
        </w:tc>
        <w:tc>
          <w:tcPr>
            <w:tcW w:w="2496" w:type="dxa"/>
            <w:shd w:val="clear" w:color="auto" w:fill="auto"/>
            <w:vAlign w:val="center"/>
          </w:tcPr>
          <w:p w14:paraId="3A00BFA0" w14:textId="77777777" w:rsidR="0097732B" w:rsidRPr="008A5994" w:rsidRDefault="0097732B" w:rsidP="00A030B2">
            <w:pPr>
              <w:adjustRightInd w:val="0"/>
              <w:snapToGrid w:val="0"/>
              <w:spacing w:line="360" w:lineRule="auto"/>
              <w:jc w:val="center"/>
              <w:rPr>
                <w:rFonts w:ascii="Book Antiqua" w:hAnsi="Book Antiqua"/>
                <w:color w:val="000000" w:themeColor="text1"/>
                <w:lang w:val="en-US"/>
              </w:rPr>
            </w:pPr>
          </w:p>
        </w:tc>
      </w:tr>
      <w:tr w:rsidR="008A5994" w:rsidRPr="008A5994" w14:paraId="42AFCB4A" w14:textId="77777777" w:rsidTr="00A030B2">
        <w:trPr>
          <w:trHeight w:val="512"/>
          <w:jc w:val="center"/>
        </w:trPr>
        <w:tc>
          <w:tcPr>
            <w:tcW w:w="5886" w:type="dxa"/>
            <w:shd w:val="clear" w:color="auto" w:fill="auto"/>
            <w:vAlign w:val="center"/>
          </w:tcPr>
          <w:p w14:paraId="07C2704D" w14:textId="1FA0D332" w:rsidR="0097732B" w:rsidRPr="008A5994" w:rsidRDefault="007E1FD5"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48191C">
              <w:rPr>
                <w:rFonts w:ascii="Book Antiqua" w:hAnsi="Book Antiqua"/>
                <w:color w:val="000000" w:themeColor="text1"/>
                <w:lang w:val="en-US"/>
              </w:rPr>
              <w:t xml:space="preserve">Immunosuppressive therapies, </w:t>
            </w:r>
            <w:r w:rsidR="0048191C" w:rsidRPr="0048191C">
              <w:rPr>
                <w:rFonts w:ascii="Book Antiqua" w:hAnsi="Book Antiqua"/>
                <w:i/>
                <w:color w:val="000000" w:themeColor="text1"/>
                <w:lang w:val="en-US"/>
              </w:rPr>
              <w:t>n</w:t>
            </w:r>
            <w:r w:rsidR="0097732B" w:rsidRPr="008A5994">
              <w:rPr>
                <w:rFonts w:ascii="Book Antiqua" w:hAnsi="Book Antiqua"/>
                <w:color w:val="000000" w:themeColor="text1"/>
                <w:lang w:val="en-US"/>
              </w:rPr>
              <w:t xml:space="preserve"> (%)</w:t>
            </w:r>
          </w:p>
        </w:tc>
        <w:tc>
          <w:tcPr>
            <w:tcW w:w="2496" w:type="dxa"/>
            <w:shd w:val="clear" w:color="auto" w:fill="auto"/>
            <w:vAlign w:val="center"/>
          </w:tcPr>
          <w:p w14:paraId="495AFD2F" w14:textId="24A0E414" w:rsidR="0097732B" w:rsidRPr="008A5994" w:rsidRDefault="00A030B2" w:rsidP="00A030B2">
            <w:pPr>
              <w:adjustRightInd w:val="0"/>
              <w:snapToGrid w:val="0"/>
              <w:spacing w:line="360" w:lineRule="auto"/>
              <w:jc w:val="center"/>
              <w:rPr>
                <w:rFonts w:ascii="Book Antiqua" w:hAnsi="Book Antiqua"/>
                <w:color w:val="000000" w:themeColor="text1"/>
                <w:lang w:val="en-US"/>
              </w:rPr>
            </w:pPr>
            <w:r>
              <w:rPr>
                <w:rFonts w:ascii="Book Antiqua" w:hAnsi="Book Antiqua"/>
                <w:color w:val="000000" w:themeColor="text1"/>
                <w:lang w:val="en-US"/>
              </w:rPr>
              <w:t>21 (52.5</w:t>
            </w:r>
            <w:r w:rsidR="0097732B" w:rsidRPr="008A5994">
              <w:rPr>
                <w:rFonts w:ascii="Book Antiqua" w:hAnsi="Book Antiqua"/>
                <w:color w:val="000000" w:themeColor="text1"/>
                <w:lang w:val="en-US"/>
              </w:rPr>
              <w:t>)</w:t>
            </w:r>
          </w:p>
        </w:tc>
      </w:tr>
      <w:tr w:rsidR="008A5994" w:rsidRPr="008A5994" w14:paraId="38EA1A39" w14:textId="77777777" w:rsidTr="009D2863">
        <w:trPr>
          <w:jc w:val="center"/>
        </w:trPr>
        <w:tc>
          <w:tcPr>
            <w:tcW w:w="5886" w:type="dxa"/>
            <w:shd w:val="clear" w:color="auto" w:fill="auto"/>
            <w:vAlign w:val="center"/>
          </w:tcPr>
          <w:p w14:paraId="6D16C034" w14:textId="71C79AFA" w:rsidR="0097732B" w:rsidRPr="008A5994" w:rsidRDefault="007E1FD5"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 xml:space="preserve"> </w:t>
            </w:r>
            <w:r w:rsidR="0048191C">
              <w:rPr>
                <w:rFonts w:ascii="Book Antiqua" w:hAnsi="Book Antiqua"/>
                <w:color w:val="000000" w:themeColor="text1"/>
                <w:lang w:val="en-US"/>
              </w:rPr>
              <w:t xml:space="preserve">Steroids, </w:t>
            </w:r>
            <w:r w:rsidR="0048191C" w:rsidRPr="0048191C">
              <w:rPr>
                <w:rFonts w:ascii="Book Antiqua" w:hAnsi="Book Antiqua"/>
                <w:i/>
                <w:color w:val="000000" w:themeColor="text1"/>
                <w:lang w:val="en-US"/>
              </w:rPr>
              <w:t>n</w:t>
            </w:r>
            <w:r w:rsidR="0097732B" w:rsidRPr="008A5994">
              <w:rPr>
                <w:rFonts w:ascii="Book Antiqua" w:hAnsi="Book Antiqua"/>
                <w:color w:val="000000" w:themeColor="text1"/>
                <w:lang w:val="en-US"/>
              </w:rPr>
              <w:t xml:space="preserve"> (%)</w:t>
            </w:r>
          </w:p>
        </w:tc>
        <w:tc>
          <w:tcPr>
            <w:tcW w:w="2496" w:type="dxa"/>
            <w:shd w:val="clear" w:color="auto" w:fill="auto"/>
            <w:vAlign w:val="center"/>
          </w:tcPr>
          <w:p w14:paraId="1CD8816E" w14:textId="6B9F50CE" w:rsidR="0097732B" w:rsidRPr="008A5994" w:rsidRDefault="00A030B2" w:rsidP="00A030B2">
            <w:pPr>
              <w:adjustRightInd w:val="0"/>
              <w:snapToGrid w:val="0"/>
              <w:spacing w:line="360" w:lineRule="auto"/>
              <w:jc w:val="center"/>
              <w:rPr>
                <w:rFonts w:ascii="Book Antiqua" w:hAnsi="Book Antiqua"/>
                <w:color w:val="000000" w:themeColor="text1"/>
                <w:lang w:val="en-US"/>
              </w:rPr>
            </w:pPr>
            <w:r>
              <w:rPr>
                <w:rFonts w:ascii="Book Antiqua" w:hAnsi="Book Antiqua"/>
                <w:color w:val="000000" w:themeColor="text1"/>
                <w:lang w:val="en-US"/>
              </w:rPr>
              <w:t>7 (17.5</w:t>
            </w:r>
            <w:r w:rsidR="0097732B" w:rsidRPr="008A5994">
              <w:rPr>
                <w:rFonts w:ascii="Book Antiqua" w:hAnsi="Book Antiqua"/>
                <w:color w:val="000000" w:themeColor="text1"/>
                <w:lang w:val="en-US"/>
              </w:rPr>
              <w:t>)</w:t>
            </w:r>
          </w:p>
        </w:tc>
      </w:tr>
      <w:tr w:rsidR="008A5994" w:rsidRPr="008A5994" w14:paraId="2BA09F19" w14:textId="77777777" w:rsidTr="009D2863">
        <w:trPr>
          <w:jc w:val="center"/>
        </w:trPr>
        <w:tc>
          <w:tcPr>
            <w:tcW w:w="5886" w:type="dxa"/>
            <w:shd w:val="clear" w:color="auto" w:fill="auto"/>
            <w:vAlign w:val="center"/>
          </w:tcPr>
          <w:p w14:paraId="07FCDE91" w14:textId="50B61F94" w:rsidR="0097732B" w:rsidRPr="008A5994" w:rsidRDefault="0097732B" w:rsidP="008A5994">
            <w:pPr>
              <w:adjustRightInd w:val="0"/>
              <w:snapToGrid w:val="0"/>
              <w:spacing w:line="360" w:lineRule="auto"/>
              <w:jc w:val="both"/>
              <w:rPr>
                <w:rFonts w:ascii="Book Antiqua" w:hAnsi="Book Antiqua"/>
                <w:color w:val="000000" w:themeColor="text1"/>
                <w:lang w:val="en-US"/>
              </w:rPr>
            </w:pPr>
            <w:proofErr w:type="spellStart"/>
            <w:r w:rsidRPr="008A5994">
              <w:rPr>
                <w:rFonts w:ascii="Book Antiqua" w:hAnsi="Book Antiqua"/>
                <w:color w:val="000000" w:themeColor="text1"/>
                <w:lang w:val="en-US"/>
              </w:rPr>
              <w:t>Faecal</w:t>
            </w:r>
            <w:proofErr w:type="spellEnd"/>
            <w:r w:rsidRPr="008A5994">
              <w:rPr>
                <w:rFonts w:ascii="Book Antiqua" w:hAnsi="Book Antiqua"/>
                <w:color w:val="000000" w:themeColor="text1"/>
                <w:lang w:val="en-US"/>
              </w:rPr>
              <w:t xml:space="preserve"> calprote</w:t>
            </w:r>
            <w:r w:rsidR="00A030B2">
              <w:rPr>
                <w:rFonts w:ascii="Book Antiqua" w:hAnsi="Book Antiqua"/>
                <w:color w:val="000000" w:themeColor="text1"/>
                <w:lang w:val="en-US"/>
              </w:rPr>
              <w:t>ctin level at baseline, median (IQR)</w:t>
            </w:r>
            <w:r w:rsidRPr="008A5994">
              <w:rPr>
                <w:rFonts w:ascii="Book Antiqua" w:hAnsi="Book Antiqua"/>
                <w:color w:val="000000" w:themeColor="text1"/>
                <w:lang w:val="en-US"/>
              </w:rPr>
              <w:t xml:space="preserve"> (µg/g)</w:t>
            </w:r>
          </w:p>
        </w:tc>
        <w:tc>
          <w:tcPr>
            <w:tcW w:w="2496" w:type="dxa"/>
            <w:shd w:val="clear" w:color="auto" w:fill="auto"/>
            <w:vAlign w:val="center"/>
          </w:tcPr>
          <w:p w14:paraId="0AF31CB2" w14:textId="096EC96D" w:rsidR="0097732B" w:rsidRPr="008A5994" w:rsidRDefault="00A030B2" w:rsidP="00A030B2">
            <w:pPr>
              <w:adjustRightInd w:val="0"/>
              <w:snapToGrid w:val="0"/>
              <w:spacing w:line="360" w:lineRule="auto"/>
              <w:jc w:val="center"/>
              <w:rPr>
                <w:rFonts w:ascii="Book Antiqua" w:hAnsi="Book Antiqua"/>
                <w:color w:val="000000" w:themeColor="text1"/>
                <w:lang w:val="en-US"/>
              </w:rPr>
            </w:pPr>
            <w:r>
              <w:rPr>
                <w:rFonts w:ascii="Book Antiqua" w:hAnsi="Book Antiqua"/>
                <w:color w:val="000000" w:themeColor="text1"/>
                <w:lang w:val="en-US"/>
              </w:rPr>
              <w:t>1010.5 (357.8-1800.0)</w:t>
            </w:r>
          </w:p>
        </w:tc>
      </w:tr>
      <w:tr w:rsidR="008A5994" w:rsidRPr="008A5994" w14:paraId="11E35B9B" w14:textId="77777777" w:rsidTr="009D2863">
        <w:trPr>
          <w:jc w:val="center"/>
        </w:trPr>
        <w:tc>
          <w:tcPr>
            <w:tcW w:w="5886" w:type="dxa"/>
            <w:tcBorders>
              <w:bottom w:val="single" w:sz="4" w:space="0" w:color="auto"/>
            </w:tcBorders>
            <w:shd w:val="clear" w:color="auto" w:fill="auto"/>
            <w:vAlign w:val="center"/>
          </w:tcPr>
          <w:p w14:paraId="4C045208" w14:textId="19B15592" w:rsidR="0097732B" w:rsidRPr="008A5994" w:rsidRDefault="00A030B2"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CRP level at baseline, median (IQR)</w:t>
            </w:r>
            <w:r w:rsidR="0097732B" w:rsidRPr="008A5994">
              <w:rPr>
                <w:rFonts w:ascii="Book Antiqua" w:hAnsi="Book Antiqua"/>
                <w:color w:val="000000" w:themeColor="text1"/>
                <w:lang w:val="en-US"/>
              </w:rPr>
              <w:t xml:space="preserve"> (mg/L)</w:t>
            </w:r>
          </w:p>
        </w:tc>
        <w:tc>
          <w:tcPr>
            <w:tcW w:w="2496" w:type="dxa"/>
            <w:tcBorders>
              <w:bottom w:val="single" w:sz="4" w:space="0" w:color="auto"/>
            </w:tcBorders>
            <w:shd w:val="clear" w:color="auto" w:fill="auto"/>
            <w:vAlign w:val="center"/>
          </w:tcPr>
          <w:p w14:paraId="5CCBCF7A" w14:textId="37981117" w:rsidR="0097732B" w:rsidRPr="008A5994" w:rsidRDefault="00A030B2" w:rsidP="00A030B2">
            <w:pPr>
              <w:autoSpaceDE w:val="0"/>
              <w:autoSpaceDN w:val="0"/>
              <w:adjustRightInd w:val="0"/>
              <w:snapToGrid w:val="0"/>
              <w:spacing w:line="360" w:lineRule="auto"/>
              <w:jc w:val="center"/>
              <w:rPr>
                <w:rFonts w:ascii="Book Antiqua" w:hAnsi="Book Antiqua"/>
                <w:color w:val="000000" w:themeColor="text1"/>
                <w:lang w:val="en-US"/>
              </w:rPr>
            </w:pPr>
            <w:r>
              <w:rPr>
                <w:rFonts w:ascii="Book Antiqua" w:hAnsi="Book Antiqua"/>
                <w:color w:val="000000" w:themeColor="text1"/>
                <w:lang w:val="en-US"/>
              </w:rPr>
              <w:t>13.2 (5.2-25.9)</w:t>
            </w:r>
          </w:p>
        </w:tc>
      </w:tr>
    </w:tbl>
    <w:p w14:paraId="7DD8ADE7" w14:textId="074226A3" w:rsidR="0097732B" w:rsidRPr="008A5994" w:rsidRDefault="00A030B2" w:rsidP="008A5994">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SD: S</w:t>
      </w:r>
      <w:r w:rsidR="0097732B" w:rsidRPr="008A5994">
        <w:rPr>
          <w:rFonts w:ascii="Book Antiqua" w:hAnsi="Book Antiqua"/>
          <w:color w:val="000000" w:themeColor="text1"/>
          <w:lang w:val="en-US"/>
        </w:rPr>
        <w:t>tandard deviat</w:t>
      </w:r>
      <w:r>
        <w:rPr>
          <w:rFonts w:ascii="Book Antiqua" w:hAnsi="Book Antiqua"/>
          <w:color w:val="000000" w:themeColor="text1"/>
          <w:lang w:val="en-US"/>
        </w:rPr>
        <w:t>ion; IQR: Interquartile range; TNF: T</w:t>
      </w:r>
      <w:r w:rsidR="0097732B" w:rsidRPr="008A5994">
        <w:rPr>
          <w:rFonts w:ascii="Book Antiqua" w:hAnsi="Book Antiqua"/>
          <w:color w:val="000000" w:themeColor="text1"/>
          <w:lang w:val="en-US"/>
        </w:rPr>
        <w:t>umor necrosis factor.</w:t>
      </w:r>
    </w:p>
    <w:p w14:paraId="011EAC06" w14:textId="77777777" w:rsidR="00A030B2" w:rsidRDefault="00A030B2">
      <w:pPr>
        <w:spacing w:after="160" w:line="259" w:lineRule="auto"/>
        <w:rPr>
          <w:rFonts w:ascii="Book Antiqua" w:hAnsi="Book Antiqua"/>
          <w:b/>
          <w:color w:val="000000" w:themeColor="text1"/>
          <w:u w:val="single"/>
          <w:lang w:val="en-US"/>
        </w:rPr>
      </w:pPr>
      <w:r>
        <w:rPr>
          <w:rFonts w:ascii="Book Antiqua" w:hAnsi="Book Antiqua"/>
          <w:b/>
          <w:color w:val="000000" w:themeColor="text1"/>
          <w:u w:val="single"/>
          <w:lang w:val="en-US"/>
        </w:rPr>
        <w:br w:type="page"/>
      </w:r>
    </w:p>
    <w:p w14:paraId="42A761D3" w14:textId="1E374C06" w:rsidR="0097732B" w:rsidRPr="008A5994" w:rsidRDefault="0097732B" w:rsidP="008A5994">
      <w:pPr>
        <w:adjustRightInd w:val="0"/>
        <w:snapToGrid w:val="0"/>
        <w:spacing w:line="360" w:lineRule="auto"/>
        <w:jc w:val="both"/>
        <w:rPr>
          <w:rFonts w:ascii="Book Antiqua" w:hAnsi="Book Antiqua"/>
          <w:color w:val="000000" w:themeColor="text1"/>
          <w:lang w:val="en-US"/>
        </w:rPr>
      </w:pPr>
      <w:r w:rsidRPr="00A030B2">
        <w:rPr>
          <w:rFonts w:ascii="Book Antiqua" w:hAnsi="Book Antiqua"/>
          <w:b/>
          <w:color w:val="000000" w:themeColor="text1"/>
          <w:lang w:val="en-US"/>
        </w:rPr>
        <w:lastRenderedPageBreak/>
        <w:t>Table 2</w:t>
      </w:r>
      <w:r w:rsidR="00A030B2" w:rsidRPr="00A030B2">
        <w:rPr>
          <w:rFonts w:ascii="Book Antiqua" w:hAnsi="Book Antiqua"/>
          <w:b/>
          <w:color w:val="000000" w:themeColor="text1"/>
          <w:lang w:val="en-US"/>
        </w:rPr>
        <w:t xml:space="preserve"> </w:t>
      </w:r>
      <w:r w:rsidRPr="00A030B2">
        <w:rPr>
          <w:rFonts w:ascii="Book Antiqua" w:hAnsi="Book Antiqua"/>
          <w:b/>
          <w:color w:val="000000" w:themeColor="text1"/>
          <w:lang w:val="en-US"/>
        </w:rPr>
        <w:t xml:space="preserve">Performances of </w:t>
      </w:r>
      <w:r w:rsidR="00D84B40" w:rsidRPr="00A030B2">
        <w:rPr>
          <w:rFonts w:ascii="Book Antiqua" w:hAnsi="Book Antiqua"/>
          <w:b/>
          <w:color w:val="000000" w:themeColor="text1"/>
          <w:lang w:val="en-US"/>
        </w:rPr>
        <w:t>Crohn</w:t>
      </w:r>
      <w:r w:rsidR="00A555A0" w:rsidRPr="00A030B2">
        <w:rPr>
          <w:rFonts w:ascii="Book Antiqua" w:hAnsi="Book Antiqua"/>
          <w:b/>
          <w:color w:val="000000" w:themeColor="text1"/>
          <w:lang w:val="en-US"/>
        </w:rPr>
        <w:t>’</w:t>
      </w:r>
      <w:r w:rsidR="00D84B40" w:rsidRPr="00A030B2">
        <w:rPr>
          <w:rFonts w:ascii="Book Antiqua" w:hAnsi="Book Antiqua"/>
          <w:b/>
          <w:color w:val="000000" w:themeColor="text1"/>
          <w:lang w:val="en-US"/>
        </w:rPr>
        <w:t>s disease activity index</w:t>
      </w:r>
      <w:r w:rsidRPr="00A030B2">
        <w:rPr>
          <w:rFonts w:ascii="Book Antiqua" w:hAnsi="Book Antiqua"/>
          <w:b/>
          <w:color w:val="000000" w:themeColor="text1"/>
          <w:lang w:val="en-US"/>
        </w:rPr>
        <w:t xml:space="preserve">, </w:t>
      </w:r>
      <w:bookmarkStart w:id="245" w:name="OLE_LINK549"/>
      <w:bookmarkStart w:id="246" w:name="OLE_LINK550"/>
      <w:r w:rsidRPr="00A030B2">
        <w:rPr>
          <w:rFonts w:ascii="Book Antiqua" w:hAnsi="Book Antiqua"/>
          <w:b/>
          <w:color w:val="000000" w:themeColor="text1"/>
          <w:lang w:val="en-US"/>
        </w:rPr>
        <w:t>C</w:t>
      </w:r>
      <w:r w:rsidR="00D84B40" w:rsidRPr="00A030B2">
        <w:rPr>
          <w:rFonts w:ascii="Book Antiqua" w:hAnsi="Book Antiqua"/>
          <w:b/>
          <w:color w:val="000000" w:themeColor="text1"/>
          <w:lang w:val="en-US"/>
        </w:rPr>
        <w:t>-reactive protein</w:t>
      </w:r>
      <w:bookmarkEnd w:id="245"/>
      <w:bookmarkEnd w:id="246"/>
      <w:r w:rsidRPr="00A030B2">
        <w:rPr>
          <w:rFonts w:ascii="Book Antiqua" w:hAnsi="Book Antiqua"/>
          <w:b/>
          <w:color w:val="000000" w:themeColor="text1"/>
          <w:lang w:val="en-US"/>
        </w:rPr>
        <w:t xml:space="preserve">, and </w:t>
      </w:r>
      <w:bookmarkStart w:id="247" w:name="OLE_LINK551"/>
      <w:proofErr w:type="spellStart"/>
      <w:r w:rsidRPr="00A030B2">
        <w:rPr>
          <w:rFonts w:ascii="Book Antiqua" w:hAnsi="Book Antiqua"/>
          <w:b/>
          <w:color w:val="000000" w:themeColor="text1"/>
          <w:lang w:val="en-US"/>
        </w:rPr>
        <w:t>faecal</w:t>
      </w:r>
      <w:proofErr w:type="spellEnd"/>
      <w:r w:rsidRPr="00A030B2">
        <w:rPr>
          <w:rFonts w:ascii="Book Antiqua" w:hAnsi="Book Antiqua"/>
          <w:b/>
          <w:color w:val="000000" w:themeColor="text1"/>
          <w:lang w:val="en-US"/>
        </w:rPr>
        <w:t xml:space="preserve"> calprotectin</w:t>
      </w:r>
      <w:bookmarkEnd w:id="247"/>
      <w:r w:rsidRPr="00A030B2">
        <w:rPr>
          <w:rFonts w:ascii="Book Antiqua" w:hAnsi="Book Antiqua"/>
          <w:b/>
          <w:color w:val="000000" w:themeColor="text1"/>
          <w:lang w:val="en-US"/>
        </w:rPr>
        <w:t xml:space="preserve"> after 12 </w:t>
      </w:r>
      <w:proofErr w:type="spellStart"/>
      <w:r w:rsidRPr="00A030B2">
        <w:rPr>
          <w:rFonts w:ascii="Book Antiqua" w:hAnsi="Book Antiqua"/>
          <w:b/>
          <w:color w:val="000000" w:themeColor="text1"/>
          <w:lang w:val="en-US"/>
        </w:rPr>
        <w:t>w</w:t>
      </w:r>
      <w:r w:rsidR="00A030B2" w:rsidRPr="00A030B2">
        <w:rPr>
          <w:rFonts w:ascii="Book Antiqua" w:hAnsi="Book Antiqua"/>
          <w:b/>
          <w:color w:val="000000" w:themeColor="text1"/>
          <w:lang w:val="en-US"/>
        </w:rPr>
        <w:t>k</w:t>
      </w:r>
      <w:proofErr w:type="spellEnd"/>
      <w:r w:rsidR="00A030B2" w:rsidRPr="00A030B2">
        <w:rPr>
          <w:rFonts w:ascii="Book Antiqua" w:hAnsi="Book Antiqua"/>
          <w:b/>
          <w:color w:val="000000" w:themeColor="text1"/>
          <w:lang w:val="en-US"/>
        </w:rPr>
        <w:t xml:space="preserve"> of anti-tumor necrosis factor</w:t>
      </w:r>
      <w:r w:rsidRPr="00A030B2">
        <w:rPr>
          <w:rFonts w:ascii="Book Antiqua" w:hAnsi="Book Antiqua"/>
          <w:b/>
          <w:color w:val="000000" w:themeColor="text1"/>
          <w:lang w:val="en-US"/>
        </w:rPr>
        <w:t xml:space="preserve"> to predict </w:t>
      </w:r>
      <w:r w:rsidR="00D84B40" w:rsidRPr="00A030B2">
        <w:rPr>
          <w:rFonts w:ascii="Book Antiqua" w:hAnsi="Book Antiqua"/>
          <w:b/>
          <w:color w:val="000000" w:themeColor="text1"/>
          <w:lang w:val="en-US"/>
        </w:rPr>
        <w:t>steroids-free remission</w:t>
      </w:r>
      <w:r w:rsidR="00A030B2" w:rsidRPr="00A030B2">
        <w:rPr>
          <w:rFonts w:ascii="Book Antiqua" w:hAnsi="Book Antiqua"/>
          <w:b/>
          <w:color w:val="000000" w:themeColor="text1"/>
          <w:lang w:val="en-US"/>
        </w:rPr>
        <w:t xml:space="preserve"> at week 52</w:t>
      </w:r>
    </w:p>
    <w:tbl>
      <w:tblPr>
        <w:tblStyle w:val="PlainTable5"/>
        <w:tblW w:w="9518" w:type="dxa"/>
        <w:tblBorders>
          <w:top w:val="single" w:sz="4" w:space="0" w:color="auto"/>
          <w:bottom w:val="single" w:sz="4" w:space="0" w:color="auto"/>
        </w:tblBorders>
        <w:tblLayout w:type="fixed"/>
        <w:tblLook w:val="04A0" w:firstRow="1" w:lastRow="0" w:firstColumn="1" w:lastColumn="0" w:noHBand="0" w:noVBand="1"/>
      </w:tblPr>
      <w:tblGrid>
        <w:gridCol w:w="1353"/>
        <w:gridCol w:w="1163"/>
        <w:gridCol w:w="1163"/>
        <w:gridCol w:w="1256"/>
        <w:gridCol w:w="1096"/>
        <w:gridCol w:w="1336"/>
        <w:gridCol w:w="1176"/>
        <w:gridCol w:w="975"/>
      </w:tblGrid>
      <w:tr w:rsidR="008A5994" w:rsidRPr="008A5994" w14:paraId="5F2B52BB" w14:textId="77777777" w:rsidTr="004C6DB9">
        <w:trPr>
          <w:cnfStyle w:val="100000000000" w:firstRow="1" w:lastRow="0" w:firstColumn="0" w:lastColumn="0" w:oddVBand="0" w:evenVBand="0" w:oddHBand="0" w:evenHBand="0" w:firstRowFirstColumn="0" w:firstRowLastColumn="0" w:lastRowFirstColumn="0" w:lastRowLastColumn="0"/>
          <w:trHeight w:val="904"/>
        </w:trPr>
        <w:tc>
          <w:tcPr>
            <w:cnfStyle w:val="001000000100" w:firstRow="0" w:lastRow="0" w:firstColumn="1" w:lastColumn="0" w:oddVBand="0" w:evenVBand="0" w:oddHBand="0" w:evenHBand="0" w:firstRowFirstColumn="1" w:firstRowLastColumn="0" w:lastRowFirstColumn="0" w:lastRowLastColumn="0"/>
            <w:tcW w:w="1353" w:type="dxa"/>
            <w:tcBorders>
              <w:top w:val="single" w:sz="4" w:space="0" w:color="auto"/>
              <w:bottom w:val="single" w:sz="4" w:space="0" w:color="auto"/>
              <w:right w:val="none" w:sz="0" w:space="0" w:color="auto"/>
            </w:tcBorders>
            <w:shd w:val="clear" w:color="auto" w:fill="auto"/>
          </w:tcPr>
          <w:p w14:paraId="2A60A59C" w14:textId="77777777" w:rsidR="0097732B" w:rsidRPr="008A5994" w:rsidRDefault="0097732B" w:rsidP="008A5994">
            <w:pPr>
              <w:widowControl w:val="0"/>
              <w:adjustRightInd w:val="0"/>
              <w:snapToGrid w:val="0"/>
              <w:spacing w:line="360" w:lineRule="auto"/>
              <w:jc w:val="both"/>
              <w:rPr>
                <w:rFonts w:ascii="Book Antiqua" w:hAnsi="Book Antiqua"/>
                <w:b/>
                <w:i w:val="0"/>
                <w:color w:val="000000" w:themeColor="text1"/>
                <w:lang w:val="en-US"/>
              </w:rPr>
            </w:pPr>
            <w:r w:rsidRPr="008A5994">
              <w:rPr>
                <w:rFonts w:ascii="Book Antiqua" w:hAnsi="Book Antiqua"/>
                <w:b/>
                <w:i w:val="0"/>
                <w:color w:val="000000" w:themeColor="text1"/>
                <w:lang w:val="en-US"/>
              </w:rPr>
              <w:t>Endpoints</w:t>
            </w:r>
          </w:p>
        </w:tc>
        <w:tc>
          <w:tcPr>
            <w:tcW w:w="1163" w:type="dxa"/>
            <w:tcBorders>
              <w:top w:val="single" w:sz="4" w:space="0" w:color="auto"/>
              <w:bottom w:val="single" w:sz="4" w:space="0" w:color="auto"/>
            </w:tcBorders>
            <w:shd w:val="clear" w:color="auto" w:fill="auto"/>
          </w:tcPr>
          <w:p w14:paraId="58BE0FDC" w14:textId="77777777" w:rsidR="0097732B" w:rsidRPr="008A5994" w:rsidRDefault="0097732B" w:rsidP="004C6DB9">
            <w:pPr>
              <w:widowControl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i w:val="0"/>
                <w:color w:val="000000" w:themeColor="text1"/>
                <w:lang w:val="en-US"/>
              </w:rPr>
            </w:pPr>
            <w:r w:rsidRPr="008A5994">
              <w:rPr>
                <w:rFonts w:ascii="Book Antiqua" w:hAnsi="Book Antiqua"/>
                <w:b/>
                <w:i w:val="0"/>
                <w:color w:val="000000" w:themeColor="text1"/>
                <w:lang w:val="en-US"/>
              </w:rPr>
              <w:t>Sensitivity</w:t>
            </w:r>
          </w:p>
        </w:tc>
        <w:tc>
          <w:tcPr>
            <w:tcW w:w="1163" w:type="dxa"/>
            <w:tcBorders>
              <w:top w:val="single" w:sz="4" w:space="0" w:color="auto"/>
              <w:bottom w:val="single" w:sz="4" w:space="0" w:color="auto"/>
            </w:tcBorders>
            <w:shd w:val="clear" w:color="auto" w:fill="auto"/>
          </w:tcPr>
          <w:p w14:paraId="0E7361FC" w14:textId="77777777" w:rsidR="0097732B" w:rsidRPr="008A5994" w:rsidRDefault="0097732B" w:rsidP="004C6DB9">
            <w:pPr>
              <w:widowControl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i w:val="0"/>
                <w:color w:val="000000" w:themeColor="text1"/>
                <w:lang w:val="en-US"/>
              </w:rPr>
            </w:pPr>
            <w:r w:rsidRPr="008A5994">
              <w:rPr>
                <w:rFonts w:ascii="Book Antiqua" w:hAnsi="Book Antiqua"/>
                <w:b/>
                <w:i w:val="0"/>
                <w:color w:val="000000" w:themeColor="text1"/>
                <w:lang w:val="en-US"/>
              </w:rPr>
              <w:t>Specificity</w:t>
            </w:r>
          </w:p>
        </w:tc>
        <w:tc>
          <w:tcPr>
            <w:tcW w:w="1256" w:type="dxa"/>
            <w:tcBorders>
              <w:top w:val="single" w:sz="4" w:space="0" w:color="auto"/>
              <w:bottom w:val="single" w:sz="4" w:space="0" w:color="auto"/>
            </w:tcBorders>
            <w:shd w:val="clear" w:color="auto" w:fill="auto"/>
          </w:tcPr>
          <w:p w14:paraId="7B82CC12" w14:textId="77777777" w:rsidR="0097732B" w:rsidRPr="008A5994" w:rsidRDefault="0097732B" w:rsidP="004C6DB9">
            <w:pPr>
              <w:widowControl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i w:val="0"/>
                <w:color w:val="000000" w:themeColor="text1"/>
                <w:lang w:val="en-US"/>
              </w:rPr>
            </w:pPr>
            <w:r w:rsidRPr="008A5994">
              <w:rPr>
                <w:rFonts w:ascii="Book Antiqua" w:hAnsi="Book Antiqua"/>
                <w:b/>
                <w:i w:val="0"/>
                <w:color w:val="000000" w:themeColor="text1"/>
                <w:lang w:val="en-US"/>
              </w:rPr>
              <w:t>PPV</w:t>
            </w:r>
          </w:p>
        </w:tc>
        <w:tc>
          <w:tcPr>
            <w:tcW w:w="1096" w:type="dxa"/>
            <w:tcBorders>
              <w:top w:val="single" w:sz="4" w:space="0" w:color="auto"/>
              <w:bottom w:val="single" w:sz="4" w:space="0" w:color="auto"/>
            </w:tcBorders>
            <w:shd w:val="clear" w:color="auto" w:fill="auto"/>
          </w:tcPr>
          <w:p w14:paraId="63DBD256" w14:textId="77777777" w:rsidR="0097732B" w:rsidRPr="008A5994" w:rsidRDefault="0097732B" w:rsidP="004C6DB9">
            <w:pPr>
              <w:widowControl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i w:val="0"/>
                <w:color w:val="000000" w:themeColor="text1"/>
                <w:lang w:val="en-US"/>
              </w:rPr>
            </w:pPr>
            <w:r w:rsidRPr="008A5994">
              <w:rPr>
                <w:rFonts w:ascii="Book Antiqua" w:hAnsi="Book Antiqua"/>
                <w:b/>
                <w:i w:val="0"/>
                <w:color w:val="000000" w:themeColor="text1"/>
                <w:lang w:val="en-US"/>
              </w:rPr>
              <w:t>NPV</w:t>
            </w:r>
          </w:p>
        </w:tc>
        <w:tc>
          <w:tcPr>
            <w:tcW w:w="1336" w:type="dxa"/>
            <w:tcBorders>
              <w:top w:val="single" w:sz="4" w:space="0" w:color="auto"/>
              <w:bottom w:val="single" w:sz="4" w:space="0" w:color="auto"/>
            </w:tcBorders>
            <w:shd w:val="clear" w:color="auto" w:fill="auto"/>
          </w:tcPr>
          <w:p w14:paraId="03211A91" w14:textId="285BD2ED" w:rsidR="0097732B" w:rsidRPr="008A5994" w:rsidRDefault="00191607" w:rsidP="004C6DB9">
            <w:pPr>
              <w:widowControl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i w:val="0"/>
                <w:color w:val="000000" w:themeColor="text1"/>
                <w:lang w:val="en-US"/>
              </w:rPr>
            </w:pPr>
            <w:r>
              <w:rPr>
                <w:rFonts w:ascii="Book Antiqua" w:hAnsi="Book Antiqua"/>
                <w:b/>
                <w:i w:val="0"/>
                <w:color w:val="000000" w:themeColor="text1"/>
                <w:lang w:val="en-US"/>
              </w:rPr>
              <w:t>LR</w:t>
            </w:r>
            <w:r w:rsidR="0097732B" w:rsidRPr="008A5994">
              <w:rPr>
                <w:rFonts w:ascii="Book Antiqua" w:hAnsi="Book Antiqua"/>
                <w:b/>
                <w:i w:val="0"/>
                <w:color w:val="000000" w:themeColor="text1"/>
                <w:lang w:val="en-US"/>
              </w:rPr>
              <w:t>+</w:t>
            </w:r>
          </w:p>
        </w:tc>
        <w:tc>
          <w:tcPr>
            <w:tcW w:w="1176" w:type="dxa"/>
            <w:tcBorders>
              <w:top w:val="single" w:sz="4" w:space="0" w:color="auto"/>
              <w:bottom w:val="single" w:sz="4" w:space="0" w:color="auto"/>
            </w:tcBorders>
            <w:shd w:val="clear" w:color="auto" w:fill="auto"/>
          </w:tcPr>
          <w:p w14:paraId="2804E0AE" w14:textId="5ECFE344" w:rsidR="0097732B" w:rsidRPr="008A5994" w:rsidRDefault="0097732B" w:rsidP="004C6DB9">
            <w:pPr>
              <w:widowControl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i w:val="0"/>
                <w:color w:val="000000" w:themeColor="text1"/>
                <w:lang w:val="en-US"/>
              </w:rPr>
            </w:pPr>
            <w:r w:rsidRPr="008A5994">
              <w:rPr>
                <w:rFonts w:ascii="Book Antiqua" w:hAnsi="Book Antiqua"/>
                <w:b/>
                <w:i w:val="0"/>
                <w:color w:val="000000" w:themeColor="text1"/>
                <w:lang w:val="en-US"/>
              </w:rPr>
              <w:t>LR-</w:t>
            </w:r>
          </w:p>
        </w:tc>
        <w:tc>
          <w:tcPr>
            <w:tcW w:w="975" w:type="dxa"/>
            <w:tcBorders>
              <w:top w:val="single" w:sz="4" w:space="0" w:color="auto"/>
              <w:bottom w:val="single" w:sz="4" w:space="0" w:color="auto"/>
            </w:tcBorders>
            <w:shd w:val="clear" w:color="auto" w:fill="auto"/>
          </w:tcPr>
          <w:p w14:paraId="5E2C28EF" w14:textId="77777777" w:rsidR="0097732B" w:rsidRPr="008A5994" w:rsidRDefault="0097732B" w:rsidP="004C6DB9">
            <w:pPr>
              <w:widowControl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i w:val="0"/>
                <w:color w:val="000000" w:themeColor="text1"/>
                <w:lang w:val="en-US"/>
              </w:rPr>
            </w:pPr>
            <w:r w:rsidRPr="008A5994">
              <w:rPr>
                <w:rFonts w:ascii="Book Antiqua" w:hAnsi="Book Antiqua"/>
                <w:b/>
                <w:i w:val="0"/>
                <w:color w:val="000000" w:themeColor="text1"/>
                <w:lang w:val="en-US"/>
              </w:rPr>
              <w:t>Accuracy</w:t>
            </w:r>
          </w:p>
        </w:tc>
      </w:tr>
      <w:tr w:rsidR="008A5994" w:rsidRPr="008A5994" w14:paraId="3958546A" w14:textId="77777777" w:rsidTr="004C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Borders>
              <w:top w:val="single" w:sz="4" w:space="0" w:color="auto"/>
              <w:right w:val="none" w:sz="0" w:space="0" w:color="auto"/>
            </w:tcBorders>
            <w:shd w:val="clear" w:color="auto" w:fill="auto"/>
          </w:tcPr>
          <w:p w14:paraId="1C11BE15" w14:textId="77777777" w:rsidR="0097732B" w:rsidRPr="008A5994" w:rsidRDefault="0097732B" w:rsidP="008A5994">
            <w:pPr>
              <w:widowControl w:val="0"/>
              <w:adjustRightInd w:val="0"/>
              <w:snapToGrid w:val="0"/>
              <w:spacing w:line="360" w:lineRule="auto"/>
              <w:jc w:val="both"/>
              <w:rPr>
                <w:rFonts w:ascii="Book Antiqua" w:hAnsi="Book Antiqua"/>
                <w:i w:val="0"/>
                <w:color w:val="000000" w:themeColor="text1"/>
                <w:lang w:val="en-US"/>
              </w:rPr>
            </w:pPr>
            <w:r w:rsidRPr="008A5994">
              <w:rPr>
                <w:rFonts w:ascii="Book Antiqua" w:hAnsi="Book Antiqua"/>
                <w:i w:val="0"/>
                <w:color w:val="000000" w:themeColor="text1"/>
                <w:lang w:val="en-US"/>
              </w:rPr>
              <w:t>CDAI &lt; 150</w:t>
            </w:r>
          </w:p>
        </w:tc>
        <w:tc>
          <w:tcPr>
            <w:tcW w:w="1163" w:type="dxa"/>
            <w:tcBorders>
              <w:top w:val="single" w:sz="4" w:space="0" w:color="auto"/>
            </w:tcBorders>
            <w:shd w:val="clear" w:color="auto" w:fill="auto"/>
          </w:tcPr>
          <w:p w14:paraId="6FB5DF8D" w14:textId="77777777"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84.6%</w:t>
            </w:r>
          </w:p>
          <w:p w14:paraId="2F4E1FB5" w14:textId="5BD082E3"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56.3</w:t>
            </w:r>
            <w:r w:rsidR="00A30463">
              <w:rPr>
                <w:rFonts w:ascii="Book Antiqua" w:hAnsi="Book Antiqua"/>
                <w:color w:val="000000" w:themeColor="text1"/>
                <w:lang w:val="en-US"/>
              </w:rPr>
              <w:t>-</w:t>
            </w:r>
            <w:r>
              <w:rPr>
                <w:rFonts w:ascii="Book Antiqua" w:hAnsi="Book Antiqua"/>
                <w:color w:val="000000" w:themeColor="text1"/>
                <w:lang w:val="en-US"/>
              </w:rPr>
              <w:t>96.6)</w:t>
            </w:r>
          </w:p>
        </w:tc>
        <w:tc>
          <w:tcPr>
            <w:tcW w:w="1163" w:type="dxa"/>
            <w:tcBorders>
              <w:top w:val="single" w:sz="4" w:space="0" w:color="auto"/>
            </w:tcBorders>
            <w:shd w:val="clear" w:color="auto" w:fill="auto"/>
          </w:tcPr>
          <w:p w14:paraId="6323236A" w14:textId="45CD6BBE"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55.6</w:t>
            </w:r>
            <w:r w:rsidR="00A555A0">
              <w:rPr>
                <w:rFonts w:ascii="Book Antiqua" w:hAnsi="Book Antiqua"/>
                <w:color w:val="000000" w:themeColor="text1"/>
                <w:lang w:val="en-US"/>
              </w:rPr>
              <w:t>%</w:t>
            </w:r>
          </w:p>
          <w:p w14:paraId="56129058" w14:textId="5A5E2F00"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37.3</w:t>
            </w:r>
            <w:r w:rsidR="00A30463">
              <w:rPr>
                <w:rFonts w:ascii="Book Antiqua" w:hAnsi="Book Antiqua"/>
                <w:color w:val="000000" w:themeColor="text1"/>
                <w:lang w:val="en-US"/>
              </w:rPr>
              <w:t>-</w:t>
            </w:r>
            <w:r w:rsidR="0097732B" w:rsidRPr="008A5994">
              <w:rPr>
                <w:rFonts w:ascii="Book Antiqua" w:hAnsi="Book Antiqua"/>
                <w:color w:val="000000" w:themeColor="text1"/>
                <w:lang w:val="en-US"/>
              </w:rPr>
              <w:t>72.4</w:t>
            </w:r>
            <w:r>
              <w:rPr>
                <w:rFonts w:ascii="Book Antiqua" w:hAnsi="Book Antiqua"/>
                <w:color w:val="000000" w:themeColor="text1"/>
                <w:lang w:val="en-US"/>
              </w:rPr>
              <w:t>)</w:t>
            </w:r>
          </w:p>
        </w:tc>
        <w:tc>
          <w:tcPr>
            <w:tcW w:w="1256" w:type="dxa"/>
            <w:tcBorders>
              <w:top w:val="single" w:sz="4" w:space="0" w:color="auto"/>
            </w:tcBorders>
            <w:shd w:val="clear" w:color="auto" w:fill="auto"/>
          </w:tcPr>
          <w:p w14:paraId="21385CF5" w14:textId="77777777"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47.8%</w:t>
            </w:r>
          </w:p>
          <w:p w14:paraId="0A52E671" w14:textId="663EECC7"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27.4</w:t>
            </w:r>
            <w:r w:rsidR="00A30463">
              <w:rPr>
                <w:rFonts w:ascii="Book Antiqua" w:hAnsi="Book Antiqua"/>
                <w:color w:val="000000" w:themeColor="text1"/>
                <w:lang w:val="en-US"/>
              </w:rPr>
              <w:t>-</w:t>
            </w:r>
            <w:r w:rsidR="0097732B" w:rsidRPr="008A5994">
              <w:rPr>
                <w:rFonts w:ascii="Book Antiqua" w:hAnsi="Book Antiqua"/>
                <w:color w:val="000000" w:themeColor="text1"/>
                <w:lang w:val="en-US"/>
              </w:rPr>
              <w:t>68.2</w:t>
            </w:r>
            <w:r>
              <w:rPr>
                <w:rFonts w:ascii="Book Antiqua" w:hAnsi="Book Antiqua"/>
                <w:color w:val="000000" w:themeColor="text1"/>
                <w:lang w:val="en-US"/>
              </w:rPr>
              <w:t>)</w:t>
            </w:r>
          </w:p>
        </w:tc>
        <w:tc>
          <w:tcPr>
            <w:tcW w:w="1096" w:type="dxa"/>
            <w:tcBorders>
              <w:top w:val="single" w:sz="4" w:space="0" w:color="auto"/>
            </w:tcBorders>
            <w:shd w:val="clear" w:color="auto" w:fill="auto"/>
          </w:tcPr>
          <w:p w14:paraId="295F42D0" w14:textId="77777777"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88.2%</w:t>
            </w:r>
          </w:p>
          <w:p w14:paraId="4692DD29" w14:textId="236C5C19"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72.9-100.0</w:t>
            </w:r>
            <w:r>
              <w:rPr>
                <w:rFonts w:ascii="Book Antiqua" w:hAnsi="Book Antiqua"/>
                <w:color w:val="000000" w:themeColor="text1"/>
                <w:lang w:val="en-US"/>
              </w:rPr>
              <w:t>)</w:t>
            </w:r>
          </w:p>
        </w:tc>
        <w:tc>
          <w:tcPr>
            <w:tcW w:w="1336" w:type="dxa"/>
            <w:tcBorders>
              <w:top w:val="single" w:sz="4" w:space="0" w:color="auto"/>
            </w:tcBorders>
            <w:shd w:val="clear" w:color="auto" w:fill="auto"/>
          </w:tcPr>
          <w:p w14:paraId="0B3B3F32" w14:textId="77777777"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1.904</w:t>
            </w:r>
          </w:p>
          <w:p w14:paraId="7AF417B5" w14:textId="562478D1"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1.177-3.081</w:t>
            </w:r>
            <w:r>
              <w:rPr>
                <w:rFonts w:ascii="Book Antiqua" w:hAnsi="Book Antiqua"/>
                <w:color w:val="000000" w:themeColor="text1"/>
                <w:lang w:val="en-US"/>
              </w:rPr>
              <w:t>)</w:t>
            </w:r>
          </w:p>
        </w:tc>
        <w:tc>
          <w:tcPr>
            <w:tcW w:w="1176" w:type="dxa"/>
            <w:tcBorders>
              <w:top w:val="single" w:sz="4" w:space="0" w:color="auto"/>
            </w:tcBorders>
            <w:shd w:val="clear" w:color="auto" w:fill="auto"/>
          </w:tcPr>
          <w:p w14:paraId="013E83F4" w14:textId="77777777"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0.277</w:t>
            </w:r>
          </w:p>
          <w:p w14:paraId="5658CB3B" w14:textId="21DA5078"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0.074-1.035</w:t>
            </w:r>
            <w:r>
              <w:rPr>
                <w:rFonts w:ascii="Book Antiqua" w:hAnsi="Book Antiqua"/>
                <w:color w:val="000000" w:themeColor="text1"/>
                <w:lang w:val="en-US"/>
              </w:rPr>
              <w:t>)</w:t>
            </w:r>
          </w:p>
        </w:tc>
        <w:tc>
          <w:tcPr>
            <w:tcW w:w="975" w:type="dxa"/>
            <w:tcBorders>
              <w:top w:val="single" w:sz="4" w:space="0" w:color="auto"/>
            </w:tcBorders>
            <w:shd w:val="clear" w:color="auto" w:fill="auto"/>
          </w:tcPr>
          <w:p w14:paraId="27797AFE" w14:textId="77777777"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60.5%</w:t>
            </w:r>
          </w:p>
          <w:p w14:paraId="7A701812" w14:textId="77C9E320"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50.2-79.8</w:t>
            </w:r>
            <w:r>
              <w:rPr>
                <w:rFonts w:ascii="Book Antiqua" w:hAnsi="Book Antiqua"/>
                <w:color w:val="000000" w:themeColor="text1"/>
                <w:lang w:val="en-US"/>
              </w:rPr>
              <w:t>)</w:t>
            </w:r>
          </w:p>
        </w:tc>
      </w:tr>
      <w:tr w:rsidR="008A5994" w:rsidRPr="008A5994" w14:paraId="2A35801E" w14:textId="77777777" w:rsidTr="00A030B2">
        <w:tc>
          <w:tcPr>
            <w:cnfStyle w:val="001000000000" w:firstRow="0" w:lastRow="0" w:firstColumn="1" w:lastColumn="0" w:oddVBand="0" w:evenVBand="0" w:oddHBand="0" w:evenHBand="0" w:firstRowFirstColumn="0" w:firstRowLastColumn="0" w:lastRowFirstColumn="0" w:lastRowLastColumn="0"/>
            <w:tcW w:w="1353" w:type="dxa"/>
            <w:tcBorders>
              <w:right w:val="none" w:sz="0" w:space="0" w:color="auto"/>
            </w:tcBorders>
            <w:shd w:val="clear" w:color="auto" w:fill="auto"/>
          </w:tcPr>
          <w:p w14:paraId="0CAB3350" w14:textId="77777777" w:rsidR="0097732B" w:rsidRPr="008A5994" w:rsidRDefault="0097732B" w:rsidP="008A5994">
            <w:pPr>
              <w:widowControl w:val="0"/>
              <w:adjustRightInd w:val="0"/>
              <w:snapToGrid w:val="0"/>
              <w:spacing w:line="360" w:lineRule="auto"/>
              <w:jc w:val="both"/>
              <w:rPr>
                <w:rFonts w:ascii="Book Antiqua" w:hAnsi="Book Antiqua"/>
                <w:i w:val="0"/>
                <w:color w:val="000000" w:themeColor="text1"/>
                <w:lang w:val="en-US"/>
              </w:rPr>
            </w:pPr>
            <w:r w:rsidRPr="008A5994">
              <w:rPr>
                <w:rFonts w:ascii="Book Antiqua" w:hAnsi="Book Antiqua"/>
                <w:i w:val="0"/>
                <w:color w:val="000000" w:themeColor="text1"/>
                <w:lang w:val="en-US"/>
              </w:rPr>
              <w:t>CRP ≤ 2.9 mg/L</w:t>
            </w:r>
          </w:p>
        </w:tc>
        <w:tc>
          <w:tcPr>
            <w:tcW w:w="1163" w:type="dxa"/>
            <w:shd w:val="clear" w:color="auto" w:fill="auto"/>
          </w:tcPr>
          <w:p w14:paraId="1EDC3E82" w14:textId="6F3B71DD" w:rsidR="0097732B" w:rsidRPr="008A5994" w:rsidRDefault="0097732B"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92.3%</w:t>
            </w:r>
          </w:p>
          <w:p w14:paraId="0256CEC8" w14:textId="0BF96F87" w:rsidR="0097732B" w:rsidRPr="008A5994" w:rsidRDefault="004C6DB9"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64.2</w:t>
            </w:r>
            <w:r w:rsidR="00A30463">
              <w:rPr>
                <w:rFonts w:ascii="Book Antiqua" w:hAnsi="Book Antiqua"/>
                <w:color w:val="000000" w:themeColor="text1"/>
                <w:lang w:val="en-US"/>
              </w:rPr>
              <w:t>-</w:t>
            </w:r>
            <w:r w:rsidR="0097732B" w:rsidRPr="008A5994">
              <w:rPr>
                <w:rFonts w:ascii="Book Antiqua" w:hAnsi="Book Antiqua"/>
                <w:color w:val="000000" w:themeColor="text1"/>
                <w:lang w:val="en-US"/>
              </w:rPr>
              <w:t>100.0</w:t>
            </w:r>
            <w:r>
              <w:rPr>
                <w:rFonts w:ascii="Book Antiqua" w:hAnsi="Book Antiqua"/>
                <w:color w:val="000000" w:themeColor="text1"/>
                <w:lang w:val="en-US"/>
              </w:rPr>
              <w:t>)</w:t>
            </w:r>
          </w:p>
        </w:tc>
        <w:tc>
          <w:tcPr>
            <w:tcW w:w="1163" w:type="dxa"/>
            <w:shd w:val="clear" w:color="auto" w:fill="auto"/>
          </w:tcPr>
          <w:p w14:paraId="5747820E" w14:textId="568C1160" w:rsidR="0097732B" w:rsidRPr="008A5994" w:rsidRDefault="0097732B"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74.1</w:t>
            </w:r>
            <w:r w:rsidR="00A555A0">
              <w:rPr>
                <w:rFonts w:ascii="Book Antiqua" w:hAnsi="Book Antiqua"/>
                <w:color w:val="000000" w:themeColor="text1"/>
                <w:lang w:val="en-US"/>
              </w:rPr>
              <w:t>%</w:t>
            </w:r>
          </w:p>
          <w:p w14:paraId="6D554427" w14:textId="3855FB91" w:rsidR="0097732B" w:rsidRPr="008A5994" w:rsidRDefault="004C6DB9"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55.0</w:t>
            </w:r>
            <w:r w:rsidR="00A30463">
              <w:rPr>
                <w:rFonts w:ascii="Book Antiqua" w:hAnsi="Book Antiqua"/>
                <w:color w:val="000000" w:themeColor="text1"/>
                <w:lang w:val="en-US"/>
              </w:rPr>
              <w:t>-</w:t>
            </w:r>
            <w:r w:rsidR="0097732B" w:rsidRPr="008A5994">
              <w:rPr>
                <w:rFonts w:ascii="Book Antiqua" w:hAnsi="Book Antiqua"/>
                <w:color w:val="000000" w:themeColor="text1"/>
                <w:lang w:val="en-US"/>
              </w:rPr>
              <w:t>86.9</w:t>
            </w:r>
            <w:r>
              <w:rPr>
                <w:rFonts w:ascii="Book Antiqua" w:hAnsi="Book Antiqua"/>
                <w:color w:val="000000" w:themeColor="text1"/>
                <w:lang w:val="en-US"/>
              </w:rPr>
              <w:t>)</w:t>
            </w:r>
          </w:p>
        </w:tc>
        <w:tc>
          <w:tcPr>
            <w:tcW w:w="1256" w:type="dxa"/>
            <w:shd w:val="clear" w:color="auto" w:fill="auto"/>
          </w:tcPr>
          <w:p w14:paraId="7B2480AE" w14:textId="56836943" w:rsidR="0097732B" w:rsidRPr="008A5994" w:rsidRDefault="0097732B"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63.2%</w:t>
            </w:r>
          </w:p>
          <w:p w14:paraId="42697E6F" w14:textId="125FBD4D" w:rsidR="0097732B" w:rsidRPr="008A5994" w:rsidRDefault="004C6DB9"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41.5</w:t>
            </w:r>
            <w:r w:rsidR="00A30463">
              <w:rPr>
                <w:rFonts w:ascii="Book Antiqua" w:hAnsi="Book Antiqua"/>
                <w:color w:val="000000" w:themeColor="text1"/>
                <w:lang w:val="en-US"/>
              </w:rPr>
              <w:t>-</w:t>
            </w:r>
            <w:r w:rsidR="0097732B" w:rsidRPr="008A5994">
              <w:rPr>
                <w:rFonts w:ascii="Book Antiqua" w:hAnsi="Book Antiqua"/>
                <w:color w:val="000000" w:themeColor="text1"/>
                <w:lang w:val="en-US"/>
              </w:rPr>
              <w:t>84.8</w:t>
            </w:r>
            <w:r>
              <w:rPr>
                <w:rFonts w:ascii="Book Antiqua" w:hAnsi="Book Antiqua"/>
                <w:color w:val="000000" w:themeColor="text1"/>
                <w:lang w:val="en-US"/>
              </w:rPr>
              <w:t>)</w:t>
            </w:r>
          </w:p>
        </w:tc>
        <w:tc>
          <w:tcPr>
            <w:tcW w:w="1096" w:type="dxa"/>
            <w:shd w:val="clear" w:color="auto" w:fill="auto"/>
          </w:tcPr>
          <w:p w14:paraId="64243F77" w14:textId="77777777" w:rsidR="0097732B" w:rsidRPr="008A5994" w:rsidRDefault="0097732B"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95.2%</w:t>
            </w:r>
          </w:p>
          <w:p w14:paraId="5DA39B95" w14:textId="0A6A23EF" w:rsidR="0097732B" w:rsidRPr="008A5994" w:rsidRDefault="004C6DB9"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86.1-100.0</w:t>
            </w:r>
            <w:r>
              <w:rPr>
                <w:rFonts w:ascii="Book Antiqua" w:hAnsi="Book Antiqua"/>
                <w:color w:val="000000" w:themeColor="text1"/>
                <w:lang w:val="en-US"/>
              </w:rPr>
              <w:t>)</w:t>
            </w:r>
          </w:p>
        </w:tc>
        <w:tc>
          <w:tcPr>
            <w:tcW w:w="1336" w:type="dxa"/>
            <w:shd w:val="clear" w:color="auto" w:fill="auto"/>
          </w:tcPr>
          <w:p w14:paraId="68949DC9" w14:textId="77777777" w:rsidR="0097732B" w:rsidRPr="008A5994" w:rsidRDefault="0097732B"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3.560</w:t>
            </w:r>
          </w:p>
          <w:p w14:paraId="28760F1F" w14:textId="24F12D37" w:rsidR="0097732B" w:rsidRPr="008A5994" w:rsidRDefault="004C6DB9"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1.846-6.865</w:t>
            </w:r>
            <w:r>
              <w:rPr>
                <w:rFonts w:ascii="Book Antiqua" w:hAnsi="Book Antiqua"/>
                <w:color w:val="000000" w:themeColor="text1"/>
                <w:lang w:val="en-US"/>
              </w:rPr>
              <w:t>)</w:t>
            </w:r>
          </w:p>
        </w:tc>
        <w:tc>
          <w:tcPr>
            <w:tcW w:w="1176" w:type="dxa"/>
            <w:shd w:val="clear" w:color="auto" w:fill="auto"/>
          </w:tcPr>
          <w:p w14:paraId="542EEFB4" w14:textId="77777777" w:rsidR="0097732B" w:rsidRPr="008A5994" w:rsidRDefault="0097732B"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0.104</w:t>
            </w:r>
          </w:p>
          <w:p w14:paraId="27AEA542" w14:textId="536062F5" w:rsidR="0097732B" w:rsidRPr="008A5994" w:rsidRDefault="004C6DB9"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0.016-0.692</w:t>
            </w:r>
            <w:r>
              <w:rPr>
                <w:rFonts w:ascii="Book Antiqua" w:hAnsi="Book Antiqua"/>
                <w:color w:val="000000" w:themeColor="text1"/>
                <w:lang w:val="en-US"/>
              </w:rPr>
              <w:t>)</w:t>
            </w:r>
          </w:p>
        </w:tc>
        <w:tc>
          <w:tcPr>
            <w:tcW w:w="975" w:type="dxa"/>
            <w:shd w:val="clear" w:color="auto" w:fill="auto"/>
          </w:tcPr>
          <w:p w14:paraId="720698C9" w14:textId="77777777" w:rsidR="0097732B" w:rsidRPr="008A5994" w:rsidRDefault="0097732B"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80.0%</w:t>
            </w:r>
          </w:p>
          <w:p w14:paraId="02203FA0" w14:textId="36086B5A" w:rsidR="0097732B" w:rsidRPr="008A5994" w:rsidRDefault="004C6DB9"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67.6-92.4</w:t>
            </w:r>
            <w:r>
              <w:rPr>
                <w:rFonts w:ascii="Book Antiqua" w:hAnsi="Book Antiqua"/>
                <w:color w:val="000000" w:themeColor="text1"/>
                <w:lang w:val="en-US"/>
              </w:rPr>
              <w:t>)</w:t>
            </w:r>
          </w:p>
        </w:tc>
      </w:tr>
      <w:tr w:rsidR="008A5994" w:rsidRPr="008A5994" w14:paraId="27E7D8E0" w14:textId="77777777" w:rsidTr="00A03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Borders>
              <w:right w:val="none" w:sz="0" w:space="0" w:color="auto"/>
            </w:tcBorders>
            <w:shd w:val="clear" w:color="auto" w:fill="auto"/>
          </w:tcPr>
          <w:p w14:paraId="6180D212" w14:textId="77777777" w:rsidR="0097732B" w:rsidRPr="008A5994" w:rsidRDefault="0097732B" w:rsidP="008A5994">
            <w:pPr>
              <w:widowControl w:val="0"/>
              <w:adjustRightInd w:val="0"/>
              <w:snapToGrid w:val="0"/>
              <w:spacing w:line="360" w:lineRule="auto"/>
              <w:jc w:val="both"/>
              <w:rPr>
                <w:rFonts w:ascii="Book Antiqua" w:hAnsi="Book Antiqua"/>
                <w:i w:val="0"/>
                <w:color w:val="000000" w:themeColor="text1"/>
                <w:lang w:val="en-US"/>
              </w:rPr>
            </w:pPr>
            <w:r w:rsidRPr="008A5994">
              <w:rPr>
                <w:rFonts w:ascii="Book Antiqua" w:hAnsi="Book Antiqua"/>
                <w:i w:val="0"/>
                <w:color w:val="000000" w:themeColor="text1"/>
                <w:lang w:val="en-US"/>
              </w:rPr>
              <w:t>CDAI &lt; 150 and CRP ≤ 2.9 mg/L</w:t>
            </w:r>
          </w:p>
        </w:tc>
        <w:tc>
          <w:tcPr>
            <w:tcW w:w="1163" w:type="dxa"/>
            <w:shd w:val="clear" w:color="auto" w:fill="auto"/>
          </w:tcPr>
          <w:p w14:paraId="2607DED9" w14:textId="33C131E3"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76.9%</w:t>
            </w:r>
          </w:p>
          <w:p w14:paraId="16FCEA4D" w14:textId="55175A2F"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48.9</w:t>
            </w:r>
            <w:r w:rsidR="00A30463">
              <w:rPr>
                <w:rFonts w:ascii="Book Antiqua" w:hAnsi="Book Antiqua"/>
                <w:color w:val="000000" w:themeColor="text1"/>
                <w:lang w:val="en-US"/>
              </w:rPr>
              <w:t>-</w:t>
            </w:r>
            <w:r w:rsidR="0097732B" w:rsidRPr="008A5994">
              <w:rPr>
                <w:rFonts w:ascii="Book Antiqua" w:hAnsi="Book Antiqua"/>
                <w:color w:val="000000" w:themeColor="text1"/>
                <w:lang w:val="en-US"/>
              </w:rPr>
              <w:t>92.2</w:t>
            </w:r>
            <w:r>
              <w:rPr>
                <w:rFonts w:ascii="Book Antiqua" w:hAnsi="Book Antiqua"/>
                <w:color w:val="000000" w:themeColor="text1"/>
                <w:lang w:val="en-US"/>
              </w:rPr>
              <w:t>)</w:t>
            </w:r>
          </w:p>
        </w:tc>
        <w:tc>
          <w:tcPr>
            <w:tcW w:w="1163" w:type="dxa"/>
            <w:shd w:val="clear" w:color="auto" w:fill="auto"/>
          </w:tcPr>
          <w:p w14:paraId="7FB539AD" w14:textId="15A3A5FD"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85.2</w:t>
            </w:r>
            <w:r w:rsidR="00A555A0">
              <w:rPr>
                <w:rFonts w:ascii="Book Antiqua" w:hAnsi="Book Antiqua"/>
                <w:color w:val="000000" w:themeColor="text1"/>
                <w:lang w:val="en-US"/>
              </w:rPr>
              <w:t>%</w:t>
            </w:r>
          </w:p>
          <w:p w14:paraId="66729A68" w14:textId="16BBEFAF"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66.7</w:t>
            </w:r>
            <w:r w:rsidR="00A30463">
              <w:rPr>
                <w:rFonts w:ascii="Book Antiqua" w:hAnsi="Book Antiqua"/>
                <w:color w:val="000000" w:themeColor="text1"/>
                <w:lang w:val="en-US"/>
              </w:rPr>
              <w:t>-</w:t>
            </w:r>
            <w:r w:rsidR="0097732B" w:rsidRPr="008A5994">
              <w:rPr>
                <w:rFonts w:ascii="Book Antiqua" w:hAnsi="Book Antiqua"/>
                <w:color w:val="000000" w:themeColor="text1"/>
                <w:lang w:val="en-US"/>
              </w:rPr>
              <w:t>94.6</w:t>
            </w:r>
            <w:r>
              <w:rPr>
                <w:rFonts w:ascii="Book Antiqua" w:hAnsi="Book Antiqua"/>
                <w:color w:val="000000" w:themeColor="text1"/>
                <w:lang w:val="en-US"/>
              </w:rPr>
              <w:t>)</w:t>
            </w:r>
          </w:p>
        </w:tc>
        <w:tc>
          <w:tcPr>
            <w:tcW w:w="1256" w:type="dxa"/>
            <w:shd w:val="clear" w:color="auto" w:fill="auto"/>
          </w:tcPr>
          <w:p w14:paraId="559A6BA9" w14:textId="42238A31"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71.4%</w:t>
            </w:r>
          </w:p>
          <w:p w14:paraId="2021111B" w14:textId="2BFD6664"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47.8</w:t>
            </w:r>
            <w:r w:rsidR="00A30463">
              <w:rPr>
                <w:rFonts w:ascii="Book Antiqua" w:hAnsi="Book Antiqua"/>
                <w:color w:val="000000" w:themeColor="text1"/>
                <w:lang w:val="en-US"/>
              </w:rPr>
              <w:t>-</w:t>
            </w:r>
            <w:r w:rsidR="0097732B" w:rsidRPr="008A5994">
              <w:rPr>
                <w:rFonts w:ascii="Book Antiqua" w:hAnsi="Book Antiqua"/>
                <w:color w:val="000000" w:themeColor="text1"/>
                <w:lang w:val="en-US"/>
              </w:rPr>
              <w:t>95.1</w:t>
            </w:r>
            <w:r>
              <w:rPr>
                <w:rFonts w:ascii="Book Antiqua" w:hAnsi="Book Antiqua"/>
                <w:color w:val="000000" w:themeColor="text1"/>
                <w:lang w:val="en-US"/>
              </w:rPr>
              <w:t>)</w:t>
            </w:r>
          </w:p>
        </w:tc>
        <w:tc>
          <w:tcPr>
            <w:tcW w:w="1096" w:type="dxa"/>
            <w:shd w:val="clear" w:color="auto" w:fill="auto"/>
          </w:tcPr>
          <w:p w14:paraId="2F9A0310" w14:textId="687944E0"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88.5%</w:t>
            </w:r>
          </w:p>
          <w:p w14:paraId="427456E0" w14:textId="4E98D2E5"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76.2-100.0</w:t>
            </w:r>
            <w:r>
              <w:rPr>
                <w:rFonts w:ascii="Book Antiqua" w:hAnsi="Book Antiqua"/>
                <w:color w:val="000000" w:themeColor="text1"/>
                <w:lang w:val="en-US"/>
              </w:rPr>
              <w:t>)</w:t>
            </w:r>
          </w:p>
        </w:tc>
        <w:tc>
          <w:tcPr>
            <w:tcW w:w="1336" w:type="dxa"/>
            <w:shd w:val="clear" w:color="auto" w:fill="auto"/>
          </w:tcPr>
          <w:p w14:paraId="0435B5F5" w14:textId="0F5445BB"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5.192</w:t>
            </w:r>
          </w:p>
          <w:p w14:paraId="1B921EAB" w14:textId="3487EF56"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2.004-13.456</w:t>
            </w:r>
            <w:r>
              <w:rPr>
                <w:rFonts w:ascii="Book Antiqua" w:hAnsi="Book Antiqua"/>
                <w:color w:val="000000" w:themeColor="text1"/>
                <w:lang w:val="en-US"/>
              </w:rPr>
              <w:t>)</w:t>
            </w:r>
          </w:p>
        </w:tc>
        <w:tc>
          <w:tcPr>
            <w:tcW w:w="1176" w:type="dxa"/>
            <w:shd w:val="clear" w:color="auto" w:fill="auto"/>
          </w:tcPr>
          <w:p w14:paraId="4FAF5578" w14:textId="2F03D02E"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0.271</w:t>
            </w:r>
          </w:p>
          <w:p w14:paraId="146EC426" w14:textId="2DD6A7A2"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0.099-0.740</w:t>
            </w:r>
            <w:r>
              <w:rPr>
                <w:rFonts w:ascii="Book Antiqua" w:hAnsi="Book Antiqua"/>
                <w:color w:val="000000" w:themeColor="text1"/>
                <w:lang w:val="en-US"/>
              </w:rPr>
              <w:t>)</w:t>
            </w:r>
          </w:p>
        </w:tc>
        <w:tc>
          <w:tcPr>
            <w:tcW w:w="975" w:type="dxa"/>
            <w:shd w:val="clear" w:color="auto" w:fill="auto"/>
          </w:tcPr>
          <w:p w14:paraId="78679A54" w14:textId="77777777"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82.5%</w:t>
            </w:r>
          </w:p>
          <w:p w14:paraId="39986F05" w14:textId="09522153"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70.7-94.3</w:t>
            </w:r>
            <w:r>
              <w:rPr>
                <w:rFonts w:ascii="Book Antiqua" w:hAnsi="Book Antiqua"/>
                <w:color w:val="000000" w:themeColor="text1"/>
                <w:lang w:val="en-US"/>
              </w:rPr>
              <w:t>)</w:t>
            </w:r>
          </w:p>
        </w:tc>
      </w:tr>
      <w:tr w:rsidR="008A5994" w:rsidRPr="008A5994" w14:paraId="04512A2B" w14:textId="77777777" w:rsidTr="00A030B2">
        <w:tc>
          <w:tcPr>
            <w:cnfStyle w:val="001000000000" w:firstRow="0" w:lastRow="0" w:firstColumn="1" w:lastColumn="0" w:oddVBand="0" w:evenVBand="0" w:oddHBand="0" w:evenHBand="0" w:firstRowFirstColumn="0" w:firstRowLastColumn="0" w:lastRowFirstColumn="0" w:lastRowLastColumn="0"/>
            <w:tcW w:w="1353" w:type="dxa"/>
            <w:tcBorders>
              <w:right w:val="none" w:sz="0" w:space="0" w:color="auto"/>
            </w:tcBorders>
            <w:shd w:val="clear" w:color="auto" w:fill="auto"/>
          </w:tcPr>
          <w:p w14:paraId="0477DCD9" w14:textId="77777777" w:rsidR="0097732B" w:rsidRPr="008A5994" w:rsidRDefault="0097732B" w:rsidP="008A5994">
            <w:pPr>
              <w:widowControl w:val="0"/>
              <w:adjustRightInd w:val="0"/>
              <w:snapToGrid w:val="0"/>
              <w:spacing w:line="360" w:lineRule="auto"/>
              <w:jc w:val="both"/>
              <w:rPr>
                <w:rFonts w:ascii="Book Antiqua" w:hAnsi="Book Antiqua"/>
                <w:i w:val="0"/>
                <w:color w:val="000000" w:themeColor="text1"/>
                <w:lang w:val="en-US"/>
              </w:rPr>
            </w:pPr>
            <w:proofErr w:type="spellStart"/>
            <w:r w:rsidRPr="008A5994">
              <w:rPr>
                <w:rFonts w:ascii="Book Antiqua" w:hAnsi="Book Antiqua"/>
                <w:i w:val="0"/>
                <w:color w:val="000000" w:themeColor="text1"/>
                <w:lang w:val="en-US"/>
              </w:rPr>
              <w:t>Fcal</w:t>
            </w:r>
            <w:proofErr w:type="spellEnd"/>
            <w:r w:rsidRPr="008A5994">
              <w:rPr>
                <w:rFonts w:ascii="Book Antiqua" w:hAnsi="Book Antiqua"/>
                <w:i w:val="0"/>
                <w:color w:val="000000" w:themeColor="text1"/>
                <w:lang w:val="en-US"/>
              </w:rPr>
              <w:t xml:space="preserve"> &lt; 300 µg/g</w:t>
            </w:r>
          </w:p>
        </w:tc>
        <w:tc>
          <w:tcPr>
            <w:tcW w:w="1163" w:type="dxa"/>
            <w:shd w:val="clear" w:color="auto" w:fill="auto"/>
          </w:tcPr>
          <w:p w14:paraId="056031A6" w14:textId="405645DC" w:rsidR="0097732B" w:rsidRPr="008A5994" w:rsidRDefault="0097732B"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84.6</w:t>
            </w:r>
            <w:r w:rsidR="00A555A0">
              <w:rPr>
                <w:rFonts w:ascii="Book Antiqua" w:hAnsi="Book Antiqua"/>
                <w:color w:val="000000" w:themeColor="text1"/>
                <w:lang w:val="en-US"/>
              </w:rPr>
              <w:t>%</w:t>
            </w:r>
          </w:p>
          <w:p w14:paraId="565D655A" w14:textId="3EEA6DD6" w:rsidR="0097732B" w:rsidRPr="008A5994" w:rsidRDefault="004C6DB9"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56.3-96.6</w:t>
            </w:r>
            <w:r>
              <w:rPr>
                <w:rFonts w:ascii="Book Antiqua" w:hAnsi="Book Antiqua"/>
                <w:color w:val="000000" w:themeColor="text1"/>
                <w:lang w:val="en-US"/>
              </w:rPr>
              <w:t>)</w:t>
            </w:r>
          </w:p>
        </w:tc>
        <w:tc>
          <w:tcPr>
            <w:tcW w:w="1163" w:type="dxa"/>
            <w:shd w:val="clear" w:color="auto" w:fill="auto"/>
          </w:tcPr>
          <w:p w14:paraId="58060270" w14:textId="48C2D7E5" w:rsidR="0097732B" w:rsidRPr="008A5994" w:rsidRDefault="0097732B"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77.8</w:t>
            </w:r>
            <w:r w:rsidR="00A555A0">
              <w:rPr>
                <w:rFonts w:ascii="Book Antiqua" w:hAnsi="Book Antiqua"/>
                <w:color w:val="000000" w:themeColor="text1"/>
                <w:lang w:val="en-US"/>
              </w:rPr>
              <w:t>%</w:t>
            </w:r>
          </w:p>
          <w:p w14:paraId="79986D3B" w14:textId="70BC9B5A" w:rsidR="0097732B" w:rsidRPr="008A5994" w:rsidRDefault="004C6DB9"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58.8-89.6</w:t>
            </w:r>
            <w:r>
              <w:rPr>
                <w:rFonts w:ascii="Book Antiqua" w:hAnsi="Book Antiqua"/>
                <w:color w:val="000000" w:themeColor="text1"/>
                <w:lang w:val="en-US"/>
              </w:rPr>
              <w:t>)</w:t>
            </w:r>
          </w:p>
        </w:tc>
        <w:tc>
          <w:tcPr>
            <w:tcW w:w="1256" w:type="dxa"/>
            <w:shd w:val="clear" w:color="auto" w:fill="auto"/>
          </w:tcPr>
          <w:p w14:paraId="67A37BE0" w14:textId="75E15743" w:rsidR="0097732B" w:rsidRPr="008A5994" w:rsidRDefault="0097732B"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64.7</w:t>
            </w:r>
            <w:r w:rsidR="00A555A0">
              <w:rPr>
                <w:rFonts w:ascii="Book Antiqua" w:hAnsi="Book Antiqua"/>
                <w:color w:val="000000" w:themeColor="text1"/>
                <w:lang w:val="en-US"/>
              </w:rPr>
              <w:t>%</w:t>
            </w:r>
          </w:p>
          <w:p w14:paraId="05D41B91" w14:textId="45937827" w:rsidR="0097732B" w:rsidRPr="008A5994" w:rsidRDefault="004C6DB9"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42.0-87.4</w:t>
            </w:r>
            <w:r>
              <w:rPr>
                <w:rFonts w:ascii="Book Antiqua" w:hAnsi="Book Antiqua"/>
                <w:color w:val="000000" w:themeColor="text1"/>
                <w:lang w:val="en-US"/>
              </w:rPr>
              <w:t>)</w:t>
            </w:r>
          </w:p>
        </w:tc>
        <w:tc>
          <w:tcPr>
            <w:tcW w:w="1096" w:type="dxa"/>
            <w:shd w:val="clear" w:color="auto" w:fill="auto"/>
          </w:tcPr>
          <w:p w14:paraId="35323F53" w14:textId="60DD94D5" w:rsidR="0097732B" w:rsidRPr="008A5994" w:rsidRDefault="0097732B"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91.3%</w:t>
            </w:r>
          </w:p>
          <w:p w14:paraId="63B42F16" w14:textId="3F2965F6" w:rsidR="0097732B" w:rsidRPr="008A5994" w:rsidRDefault="004C6DB9"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79.8-100%</w:t>
            </w:r>
            <w:r>
              <w:rPr>
                <w:rFonts w:ascii="Book Antiqua" w:hAnsi="Book Antiqua"/>
                <w:color w:val="000000" w:themeColor="text1"/>
                <w:lang w:val="en-US"/>
              </w:rPr>
              <w:t>)</w:t>
            </w:r>
          </w:p>
        </w:tc>
        <w:tc>
          <w:tcPr>
            <w:tcW w:w="1336" w:type="dxa"/>
            <w:shd w:val="clear" w:color="auto" w:fill="auto"/>
          </w:tcPr>
          <w:p w14:paraId="127F5A54" w14:textId="2FA39402" w:rsidR="0097732B" w:rsidRPr="008A5994" w:rsidRDefault="0097732B"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3.808</w:t>
            </w:r>
          </w:p>
          <w:p w14:paraId="3AB8FB3E" w14:textId="5D1DC4EB" w:rsidR="0097732B" w:rsidRPr="008A5994" w:rsidRDefault="004C6DB9"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1.812-8.003</w:t>
            </w:r>
            <w:r>
              <w:rPr>
                <w:rFonts w:ascii="Book Antiqua" w:hAnsi="Book Antiqua"/>
                <w:color w:val="000000" w:themeColor="text1"/>
                <w:lang w:val="en-US"/>
              </w:rPr>
              <w:t>)</w:t>
            </w:r>
          </w:p>
        </w:tc>
        <w:tc>
          <w:tcPr>
            <w:tcW w:w="1176" w:type="dxa"/>
            <w:shd w:val="clear" w:color="auto" w:fill="auto"/>
          </w:tcPr>
          <w:p w14:paraId="658B523D" w14:textId="3171E865" w:rsidR="0097732B" w:rsidRPr="008A5994" w:rsidRDefault="0097732B"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0.198</w:t>
            </w:r>
          </w:p>
          <w:p w14:paraId="2CDECA66" w14:textId="7379B3E0" w:rsidR="0097732B" w:rsidRPr="008A5994" w:rsidRDefault="004C6DB9"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0.054-0.719</w:t>
            </w:r>
            <w:r>
              <w:rPr>
                <w:rFonts w:ascii="Book Antiqua" w:hAnsi="Book Antiqua"/>
                <w:color w:val="000000" w:themeColor="text1"/>
                <w:lang w:val="en-US"/>
              </w:rPr>
              <w:t>)</w:t>
            </w:r>
          </w:p>
        </w:tc>
        <w:tc>
          <w:tcPr>
            <w:tcW w:w="975" w:type="dxa"/>
            <w:shd w:val="clear" w:color="auto" w:fill="auto"/>
          </w:tcPr>
          <w:p w14:paraId="7A077588" w14:textId="77777777" w:rsidR="0097732B" w:rsidRPr="008A5994" w:rsidRDefault="0097732B"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80.0%</w:t>
            </w:r>
          </w:p>
          <w:p w14:paraId="0B34D161" w14:textId="75C3D206" w:rsidR="0097732B" w:rsidRPr="008A5994" w:rsidRDefault="004C6DB9"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67.6-92.4</w:t>
            </w:r>
            <w:r>
              <w:rPr>
                <w:rFonts w:ascii="Book Antiqua" w:hAnsi="Book Antiqua"/>
                <w:color w:val="000000" w:themeColor="text1"/>
                <w:lang w:val="en-US"/>
              </w:rPr>
              <w:t>)</w:t>
            </w:r>
          </w:p>
        </w:tc>
      </w:tr>
      <w:tr w:rsidR="008A5994" w:rsidRPr="008A5994" w14:paraId="42976894" w14:textId="77777777" w:rsidTr="00A03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Borders>
              <w:right w:val="none" w:sz="0" w:space="0" w:color="auto"/>
            </w:tcBorders>
            <w:shd w:val="clear" w:color="auto" w:fill="auto"/>
          </w:tcPr>
          <w:p w14:paraId="38CB6261" w14:textId="784B917F" w:rsidR="0097732B" w:rsidRPr="008A5994" w:rsidRDefault="0097732B" w:rsidP="008A5994">
            <w:pPr>
              <w:widowControl w:val="0"/>
              <w:adjustRightInd w:val="0"/>
              <w:snapToGrid w:val="0"/>
              <w:spacing w:line="360" w:lineRule="auto"/>
              <w:jc w:val="both"/>
              <w:rPr>
                <w:rFonts w:ascii="Book Antiqua" w:hAnsi="Book Antiqua"/>
                <w:i w:val="0"/>
                <w:color w:val="000000" w:themeColor="text1"/>
                <w:lang w:val="en-US"/>
              </w:rPr>
            </w:pPr>
            <w:proofErr w:type="spellStart"/>
            <w:r w:rsidRPr="008A5994">
              <w:rPr>
                <w:rFonts w:ascii="Book Antiqua" w:hAnsi="Book Antiqua"/>
                <w:i w:val="0"/>
                <w:color w:val="000000" w:themeColor="text1"/>
                <w:lang w:val="en-US"/>
              </w:rPr>
              <w:t>Fcal</w:t>
            </w:r>
            <w:proofErr w:type="spellEnd"/>
            <w:r w:rsidRPr="008A5994">
              <w:rPr>
                <w:rFonts w:ascii="Book Antiqua" w:hAnsi="Book Antiqua"/>
                <w:i w:val="0"/>
                <w:color w:val="000000" w:themeColor="text1"/>
                <w:lang w:val="en-US"/>
              </w:rPr>
              <w:t xml:space="preserve"> improvement</w:t>
            </w:r>
          </w:p>
        </w:tc>
        <w:tc>
          <w:tcPr>
            <w:tcW w:w="1163" w:type="dxa"/>
            <w:shd w:val="clear" w:color="auto" w:fill="auto"/>
          </w:tcPr>
          <w:p w14:paraId="6D89E3E6" w14:textId="79ED3218"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76.9%</w:t>
            </w:r>
          </w:p>
          <w:p w14:paraId="5DF8E564" w14:textId="348C2324"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48.9-92.2</w:t>
            </w:r>
            <w:r>
              <w:rPr>
                <w:rFonts w:ascii="Book Antiqua" w:hAnsi="Book Antiqua"/>
                <w:color w:val="000000" w:themeColor="text1"/>
                <w:lang w:val="en-US"/>
              </w:rPr>
              <w:t>)</w:t>
            </w:r>
          </w:p>
        </w:tc>
        <w:tc>
          <w:tcPr>
            <w:tcW w:w="1163" w:type="dxa"/>
            <w:shd w:val="clear" w:color="auto" w:fill="auto"/>
          </w:tcPr>
          <w:p w14:paraId="30850A77" w14:textId="1BA7C6E5"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92.6%</w:t>
            </w:r>
          </w:p>
          <w:p w14:paraId="7AEF4899" w14:textId="7B4A8562"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75.3-98.9</w:t>
            </w:r>
            <w:r>
              <w:rPr>
                <w:rFonts w:ascii="Book Antiqua" w:hAnsi="Book Antiqua"/>
                <w:color w:val="000000" w:themeColor="text1"/>
                <w:lang w:val="en-US"/>
              </w:rPr>
              <w:t>)</w:t>
            </w:r>
          </w:p>
        </w:tc>
        <w:tc>
          <w:tcPr>
            <w:tcW w:w="1256" w:type="dxa"/>
            <w:shd w:val="clear" w:color="auto" w:fill="auto"/>
          </w:tcPr>
          <w:p w14:paraId="48C11FD3" w14:textId="0E86028E"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83.3%</w:t>
            </w:r>
          </w:p>
          <w:p w14:paraId="33EEC070" w14:textId="1D9FA84F"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62.2-100.0</w:t>
            </w:r>
            <w:r>
              <w:rPr>
                <w:rFonts w:ascii="Book Antiqua" w:hAnsi="Book Antiqua"/>
                <w:color w:val="000000" w:themeColor="text1"/>
                <w:lang w:val="en-US"/>
              </w:rPr>
              <w:t>)</w:t>
            </w:r>
          </w:p>
        </w:tc>
        <w:tc>
          <w:tcPr>
            <w:tcW w:w="1096" w:type="dxa"/>
            <w:shd w:val="clear" w:color="auto" w:fill="auto"/>
          </w:tcPr>
          <w:p w14:paraId="695959E8" w14:textId="461CC060"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89.3%</w:t>
            </w:r>
          </w:p>
          <w:p w14:paraId="23DB1597" w14:textId="1291865D"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77.8-100.0</w:t>
            </w:r>
            <w:r>
              <w:rPr>
                <w:rFonts w:ascii="Book Antiqua" w:hAnsi="Book Antiqua"/>
                <w:color w:val="000000" w:themeColor="text1"/>
                <w:lang w:val="en-US"/>
              </w:rPr>
              <w:t>)</w:t>
            </w:r>
          </w:p>
        </w:tc>
        <w:tc>
          <w:tcPr>
            <w:tcW w:w="1336" w:type="dxa"/>
            <w:shd w:val="clear" w:color="auto" w:fill="auto"/>
          </w:tcPr>
          <w:p w14:paraId="26D80272" w14:textId="580D04F4"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10.385</w:t>
            </w:r>
          </w:p>
          <w:p w14:paraId="47E298EB" w14:textId="69F1DD4C"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2.648-40.721</w:t>
            </w:r>
            <w:r>
              <w:rPr>
                <w:rFonts w:ascii="Book Antiqua" w:hAnsi="Book Antiqua"/>
                <w:color w:val="000000" w:themeColor="text1"/>
                <w:lang w:val="en-US"/>
              </w:rPr>
              <w:t>)</w:t>
            </w:r>
          </w:p>
        </w:tc>
        <w:tc>
          <w:tcPr>
            <w:tcW w:w="1176" w:type="dxa"/>
            <w:shd w:val="clear" w:color="auto" w:fill="auto"/>
          </w:tcPr>
          <w:p w14:paraId="5B11507A" w14:textId="0683FBEE"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0.249</w:t>
            </w:r>
          </w:p>
          <w:p w14:paraId="424941BF" w14:textId="31F20E72"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0.092-0.676</w:t>
            </w:r>
            <w:r>
              <w:rPr>
                <w:rFonts w:ascii="Book Antiqua" w:hAnsi="Book Antiqua"/>
                <w:color w:val="000000" w:themeColor="text1"/>
                <w:lang w:val="en-US"/>
              </w:rPr>
              <w:t>)</w:t>
            </w:r>
          </w:p>
        </w:tc>
        <w:tc>
          <w:tcPr>
            <w:tcW w:w="975" w:type="dxa"/>
            <w:shd w:val="clear" w:color="auto" w:fill="auto"/>
          </w:tcPr>
          <w:p w14:paraId="0F6C05AB" w14:textId="77777777"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87.5%</w:t>
            </w:r>
          </w:p>
          <w:p w14:paraId="3E223D53" w14:textId="41947A27"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77.3-97.7</w:t>
            </w:r>
            <w:r>
              <w:rPr>
                <w:rFonts w:ascii="Book Antiqua" w:hAnsi="Book Antiqua"/>
                <w:color w:val="000000" w:themeColor="text1"/>
                <w:lang w:val="en-US"/>
              </w:rPr>
              <w:t>)</w:t>
            </w:r>
          </w:p>
        </w:tc>
      </w:tr>
      <w:tr w:rsidR="008A5994" w:rsidRPr="008A5994" w14:paraId="674D57B9" w14:textId="77777777" w:rsidTr="00A030B2">
        <w:tc>
          <w:tcPr>
            <w:cnfStyle w:val="001000000000" w:firstRow="0" w:lastRow="0" w:firstColumn="1" w:lastColumn="0" w:oddVBand="0" w:evenVBand="0" w:oddHBand="0" w:evenHBand="0" w:firstRowFirstColumn="0" w:firstRowLastColumn="0" w:lastRowFirstColumn="0" w:lastRowLastColumn="0"/>
            <w:tcW w:w="1353" w:type="dxa"/>
            <w:tcBorders>
              <w:right w:val="none" w:sz="0" w:space="0" w:color="auto"/>
            </w:tcBorders>
            <w:shd w:val="clear" w:color="auto" w:fill="auto"/>
          </w:tcPr>
          <w:p w14:paraId="4593BDEC" w14:textId="0619BC9C" w:rsidR="0097732B" w:rsidRPr="008A5994" w:rsidRDefault="0097732B" w:rsidP="008A5994">
            <w:pPr>
              <w:widowControl w:val="0"/>
              <w:adjustRightInd w:val="0"/>
              <w:snapToGrid w:val="0"/>
              <w:spacing w:line="360" w:lineRule="auto"/>
              <w:jc w:val="both"/>
              <w:rPr>
                <w:rFonts w:ascii="Book Antiqua" w:hAnsi="Book Antiqua"/>
                <w:i w:val="0"/>
                <w:color w:val="000000" w:themeColor="text1"/>
                <w:lang w:val="en-US"/>
              </w:rPr>
            </w:pPr>
            <w:r w:rsidRPr="008A5994">
              <w:rPr>
                <w:rFonts w:ascii="Book Antiqua" w:hAnsi="Book Antiqua"/>
                <w:i w:val="0"/>
                <w:color w:val="000000" w:themeColor="text1"/>
                <w:lang w:val="en-US"/>
              </w:rPr>
              <w:t xml:space="preserve">CDAI &lt; 150 and </w:t>
            </w:r>
            <w:proofErr w:type="spellStart"/>
            <w:r w:rsidRPr="008A5994">
              <w:rPr>
                <w:rFonts w:ascii="Book Antiqua" w:hAnsi="Book Antiqua"/>
                <w:i w:val="0"/>
                <w:color w:val="000000" w:themeColor="text1"/>
                <w:lang w:val="en-US"/>
              </w:rPr>
              <w:t>Fcal</w:t>
            </w:r>
            <w:proofErr w:type="spellEnd"/>
            <w:r w:rsidRPr="008A5994">
              <w:rPr>
                <w:rFonts w:ascii="Book Antiqua" w:hAnsi="Book Antiqua"/>
                <w:i w:val="0"/>
                <w:color w:val="000000" w:themeColor="text1"/>
                <w:lang w:val="en-US"/>
              </w:rPr>
              <w:t xml:space="preserve"> improvement</w:t>
            </w:r>
          </w:p>
        </w:tc>
        <w:tc>
          <w:tcPr>
            <w:tcW w:w="1163" w:type="dxa"/>
            <w:shd w:val="clear" w:color="auto" w:fill="auto"/>
          </w:tcPr>
          <w:p w14:paraId="4FE9DD80" w14:textId="10649389" w:rsidR="0097732B" w:rsidRPr="008A5994" w:rsidRDefault="0097732B"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69.2%</w:t>
            </w:r>
          </w:p>
          <w:p w14:paraId="59E35E60" w14:textId="55E17551" w:rsidR="0097732B" w:rsidRPr="008A5994" w:rsidRDefault="004C6DB9"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42.0-87.4</w:t>
            </w:r>
            <w:r>
              <w:rPr>
                <w:rFonts w:ascii="Book Antiqua" w:hAnsi="Book Antiqua"/>
                <w:color w:val="000000" w:themeColor="text1"/>
                <w:lang w:val="en-US"/>
              </w:rPr>
              <w:t>)</w:t>
            </w:r>
          </w:p>
        </w:tc>
        <w:tc>
          <w:tcPr>
            <w:tcW w:w="1163" w:type="dxa"/>
            <w:shd w:val="clear" w:color="auto" w:fill="auto"/>
          </w:tcPr>
          <w:p w14:paraId="02A871C7" w14:textId="7D7C997A" w:rsidR="0097732B" w:rsidRPr="008A5994" w:rsidRDefault="0097732B"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96.3%</w:t>
            </w:r>
          </w:p>
          <w:p w14:paraId="13219E29" w14:textId="551348E4" w:rsidR="0097732B" w:rsidRPr="008A5994" w:rsidRDefault="004C6DB9"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79.9-100.0</w:t>
            </w:r>
            <w:r>
              <w:rPr>
                <w:rFonts w:ascii="Book Antiqua" w:hAnsi="Book Antiqua"/>
                <w:color w:val="000000" w:themeColor="text1"/>
                <w:lang w:val="en-US"/>
              </w:rPr>
              <w:t>)</w:t>
            </w:r>
          </w:p>
        </w:tc>
        <w:tc>
          <w:tcPr>
            <w:tcW w:w="1256" w:type="dxa"/>
            <w:shd w:val="clear" w:color="auto" w:fill="auto"/>
          </w:tcPr>
          <w:p w14:paraId="0BBD4D96" w14:textId="3018CBB1" w:rsidR="0097732B" w:rsidRPr="008A5994" w:rsidRDefault="0097732B"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90.0%</w:t>
            </w:r>
          </w:p>
          <w:p w14:paraId="785630EE" w14:textId="3885921E" w:rsidR="0097732B" w:rsidRPr="008A5994" w:rsidRDefault="004C6DB9"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71.4-100.0</w:t>
            </w:r>
            <w:r>
              <w:rPr>
                <w:rFonts w:ascii="Book Antiqua" w:hAnsi="Book Antiqua"/>
                <w:color w:val="000000" w:themeColor="text1"/>
                <w:lang w:val="en-US"/>
              </w:rPr>
              <w:t>)</w:t>
            </w:r>
          </w:p>
        </w:tc>
        <w:tc>
          <w:tcPr>
            <w:tcW w:w="1096" w:type="dxa"/>
            <w:shd w:val="clear" w:color="auto" w:fill="auto"/>
          </w:tcPr>
          <w:p w14:paraId="1DA01891" w14:textId="424B0E35" w:rsidR="0097732B" w:rsidRPr="008A5994" w:rsidRDefault="0097732B"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86.7%</w:t>
            </w:r>
          </w:p>
          <w:p w14:paraId="21DB4121" w14:textId="6F2FBE54" w:rsidR="0097732B" w:rsidRPr="008A5994" w:rsidRDefault="004C6DB9"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74.5-98.8</w:t>
            </w:r>
            <w:r>
              <w:rPr>
                <w:rFonts w:ascii="Book Antiqua" w:hAnsi="Book Antiqua"/>
                <w:color w:val="000000" w:themeColor="text1"/>
                <w:lang w:val="en-US"/>
              </w:rPr>
              <w:t>)</w:t>
            </w:r>
          </w:p>
        </w:tc>
        <w:tc>
          <w:tcPr>
            <w:tcW w:w="1336" w:type="dxa"/>
            <w:shd w:val="clear" w:color="auto" w:fill="auto"/>
          </w:tcPr>
          <w:p w14:paraId="735E4948" w14:textId="77777777" w:rsidR="0097732B" w:rsidRPr="008A5994" w:rsidRDefault="0097732B"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18.692</w:t>
            </w:r>
          </w:p>
          <w:p w14:paraId="032E3523" w14:textId="0D6E911C" w:rsidR="0097732B" w:rsidRPr="008A5994" w:rsidRDefault="004C6DB9"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2.640-132.328</w:t>
            </w:r>
            <w:r>
              <w:rPr>
                <w:rFonts w:ascii="Book Antiqua" w:hAnsi="Book Antiqua"/>
                <w:color w:val="000000" w:themeColor="text1"/>
                <w:lang w:val="en-US"/>
              </w:rPr>
              <w:t>)</w:t>
            </w:r>
          </w:p>
        </w:tc>
        <w:tc>
          <w:tcPr>
            <w:tcW w:w="1176" w:type="dxa"/>
            <w:shd w:val="clear" w:color="auto" w:fill="auto"/>
          </w:tcPr>
          <w:p w14:paraId="1EB93B6F" w14:textId="546CD6FA" w:rsidR="0097732B" w:rsidRPr="008A5994" w:rsidRDefault="0097732B"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0.320</w:t>
            </w:r>
          </w:p>
          <w:p w14:paraId="4329E240" w14:textId="51963446" w:rsidR="0097732B" w:rsidRPr="008A5994" w:rsidRDefault="004C6DB9"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0.141-0.725</w:t>
            </w:r>
            <w:r>
              <w:rPr>
                <w:rFonts w:ascii="Book Antiqua" w:hAnsi="Book Antiqua"/>
                <w:color w:val="000000" w:themeColor="text1"/>
                <w:lang w:val="en-US"/>
              </w:rPr>
              <w:t>)</w:t>
            </w:r>
          </w:p>
        </w:tc>
        <w:tc>
          <w:tcPr>
            <w:tcW w:w="975" w:type="dxa"/>
            <w:shd w:val="clear" w:color="auto" w:fill="auto"/>
          </w:tcPr>
          <w:p w14:paraId="38D98253" w14:textId="77777777" w:rsidR="0097732B" w:rsidRPr="008A5994" w:rsidRDefault="0097732B"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87.5%</w:t>
            </w:r>
          </w:p>
          <w:p w14:paraId="0B697229" w14:textId="28DCF718" w:rsidR="0097732B" w:rsidRPr="008A5994" w:rsidRDefault="004C6DB9" w:rsidP="004C6DB9">
            <w:pPr>
              <w:widowControl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77.3-97.7</w:t>
            </w:r>
            <w:r>
              <w:rPr>
                <w:rFonts w:ascii="Book Antiqua" w:hAnsi="Book Antiqua"/>
                <w:color w:val="000000" w:themeColor="text1"/>
                <w:lang w:val="en-US"/>
              </w:rPr>
              <w:t>)</w:t>
            </w:r>
          </w:p>
        </w:tc>
      </w:tr>
      <w:tr w:rsidR="008A5994" w:rsidRPr="008A5994" w14:paraId="031CF242" w14:textId="77777777" w:rsidTr="00A03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Borders>
              <w:right w:val="none" w:sz="0" w:space="0" w:color="auto"/>
            </w:tcBorders>
            <w:shd w:val="clear" w:color="auto" w:fill="auto"/>
          </w:tcPr>
          <w:p w14:paraId="1D2B4354" w14:textId="24656FBC" w:rsidR="0097732B" w:rsidRPr="008A5994" w:rsidRDefault="0097732B" w:rsidP="008A5994">
            <w:pPr>
              <w:widowControl w:val="0"/>
              <w:adjustRightInd w:val="0"/>
              <w:snapToGrid w:val="0"/>
              <w:spacing w:line="360" w:lineRule="auto"/>
              <w:jc w:val="both"/>
              <w:rPr>
                <w:rFonts w:ascii="Book Antiqua" w:hAnsi="Book Antiqua"/>
                <w:i w:val="0"/>
                <w:color w:val="000000" w:themeColor="text1"/>
                <w:lang w:val="en-US"/>
              </w:rPr>
            </w:pPr>
            <w:r w:rsidRPr="008A5994">
              <w:rPr>
                <w:rFonts w:ascii="Book Antiqua" w:hAnsi="Book Antiqua"/>
                <w:i w:val="0"/>
                <w:color w:val="000000" w:themeColor="text1"/>
                <w:lang w:val="en-US"/>
              </w:rPr>
              <w:t xml:space="preserve">CDAI &lt; 150 and CRP ≤ 2.9 mg/L and </w:t>
            </w:r>
            <w:proofErr w:type="spellStart"/>
            <w:r w:rsidRPr="008A5994">
              <w:rPr>
                <w:rFonts w:ascii="Book Antiqua" w:hAnsi="Book Antiqua"/>
                <w:i w:val="0"/>
                <w:color w:val="000000" w:themeColor="text1"/>
                <w:lang w:val="en-US"/>
              </w:rPr>
              <w:t>Fcal</w:t>
            </w:r>
            <w:proofErr w:type="spellEnd"/>
            <w:r w:rsidRPr="008A5994">
              <w:rPr>
                <w:rFonts w:ascii="Book Antiqua" w:hAnsi="Book Antiqua"/>
                <w:i w:val="0"/>
                <w:color w:val="000000" w:themeColor="text1"/>
                <w:lang w:val="en-US"/>
              </w:rPr>
              <w:t xml:space="preserve"> </w:t>
            </w:r>
            <w:r w:rsidRPr="008A5994">
              <w:rPr>
                <w:rFonts w:ascii="Book Antiqua" w:hAnsi="Book Antiqua"/>
                <w:i w:val="0"/>
                <w:color w:val="000000" w:themeColor="text1"/>
                <w:lang w:val="en-US"/>
              </w:rPr>
              <w:lastRenderedPageBreak/>
              <w:t>improvement</w:t>
            </w:r>
          </w:p>
        </w:tc>
        <w:tc>
          <w:tcPr>
            <w:tcW w:w="1163" w:type="dxa"/>
            <w:shd w:val="clear" w:color="auto" w:fill="auto"/>
          </w:tcPr>
          <w:p w14:paraId="1FC2AF4E" w14:textId="6E8018D9"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lastRenderedPageBreak/>
              <w:t>69.2%</w:t>
            </w:r>
          </w:p>
          <w:p w14:paraId="0ACC093F" w14:textId="5EB8DCF6"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42.0</w:t>
            </w:r>
            <w:r w:rsidR="00A30463">
              <w:rPr>
                <w:rFonts w:ascii="Book Antiqua" w:hAnsi="Book Antiqua"/>
                <w:color w:val="000000" w:themeColor="text1"/>
                <w:lang w:val="en-US"/>
              </w:rPr>
              <w:t>-</w:t>
            </w:r>
            <w:r w:rsidR="0097732B" w:rsidRPr="008A5994">
              <w:rPr>
                <w:rFonts w:ascii="Book Antiqua" w:hAnsi="Book Antiqua"/>
                <w:color w:val="000000" w:themeColor="text1"/>
                <w:lang w:val="en-US"/>
              </w:rPr>
              <w:t>87.4</w:t>
            </w:r>
            <w:r>
              <w:rPr>
                <w:rFonts w:ascii="Book Antiqua" w:hAnsi="Book Antiqua"/>
                <w:color w:val="000000" w:themeColor="text1"/>
                <w:lang w:val="en-US"/>
              </w:rPr>
              <w:t>)</w:t>
            </w:r>
          </w:p>
        </w:tc>
        <w:tc>
          <w:tcPr>
            <w:tcW w:w="1163" w:type="dxa"/>
            <w:shd w:val="clear" w:color="auto" w:fill="auto"/>
          </w:tcPr>
          <w:p w14:paraId="508B7B6B" w14:textId="4346297A"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100.0</w:t>
            </w:r>
            <w:r w:rsidR="00A555A0">
              <w:rPr>
                <w:rFonts w:ascii="Book Antiqua" w:hAnsi="Book Antiqua"/>
                <w:color w:val="000000" w:themeColor="text1"/>
                <w:lang w:val="en-US"/>
              </w:rPr>
              <w:t>%</w:t>
            </w:r>
          </w:p>
          <w:p w14:paraId="120AA74B" w14:textId="5BDECE6A"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84.9</w:t>
            </w:r>
            <w:r w:rsidR="00A30463">
              <w:rPr>
                <w:rFonts w:ascii="Book Antiqua" w:hAnsi="Book Antiqua"/>
                <w:color w:val="000000" w:themeColor="text1"/>
                <w:lang w:val="en-US"/>
              </w:rPr>
              <w:t>-</w:t>
            </w:r>
            <w:r w:rsidR="0097732B" w:rsidRPr="008A5994">
              <w:rPr>
                <w:rFonts w:ascii="Book Antiqua" w:hAnsi="Book Antiqua"/>
                <w:color w:val="000000" w:themeColor="text1"/>
                <w:lang w:val="en-US"/>
              </w:rPr>
              <w:t>100.0</w:t>
            </w:r>
            <w:r>
              <w:rPr>
                <w:rFonts w:ascii="Book Antiqua" w:hAnsi="Book Antiqua"/>
                <w:color w:val="000000" w:themeColor="text1"/>
                <w:lang w:val="en-US"/>
              </w:rPr>
              <w:t>)</w:t>
            </w:r>
          </w:p>
        </w:tc>
        <w:tc>
          <w:tcPr>
            <w:tcW w:w="1256" w:type="dxa"/>
            <w:shd w:val="clear" w:color="auto" w:fill="auto"/>
          </w:tcPr>
          <w:p w14:paraId="3DC09F8B" w14:textId="75B215D8"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100.0%</w:t>
            </w:r>
          </w:p>
          <w:p w14:paraId="21B57349" w14:textId="0CF0958E"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100.0</w:t>
            </w:r>
            <w:r w:rsidR="00A30463">
              <w:rPr>
                <w:rFonts w:ascii="Book Antiqua" w:hAnsi="Book Antiqua"/>
                <w:color w:val="000000" w:themeColor="text1"/>
                <w:lang w:val="en-US"/>
              </w:rPr>
              <w:t>-</w:t>
            </w:r>
            <w:r w:rsidR="0097732B" w:rsidRPr="008A5994">
              <w:rPr>
                <w:rFonts w:ascii="Book Antiqua" w:hAnsi="Book Antiqua"/>
                <w:color w:val="000000" w:themeColor="text1"/>
                <w:lang w:val="en-US"/>
              </w:rPr>
              <w:t>100.0</w:t>
            </w:r>
            <w:r>
              <w:rPr>
                <w:rFonts w:ascii="Book Antiqua" w:hAnsi="Book Antiqua"/>
                <w:color w:val="000000" w:themeColor="text1"/>
                <w:lang w:val="en-US"/>
              </w:rPr>
              <w:t>)</w:t>
            </w:r>
          </w:p>
        </w:tc>
        <w:tc>
          <w:tcPr>
            <w:tcW w:w="1096" w:type="dxa"/>
            <w:shd w:val="clear" w:color="auto" w:fill="auto"/>
          </w:tcPr>
          <w:p w14:paraId="49147E8D" w14:textId="4BFCE838"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87.1%</w:t>
            </w:r>
          </w:p>
          <w:p w14:paraId="3247C88E" w14:textId="759A8BF2"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75.3-98.9</w:t>
            </w:r>
            <w:r>
              <w:rPr>
                <w:rFonts w:ascii="Book Antiqua" w:hAnsi="Book Antiqua"/>
                <w:color w:val="000000" w:themeColor="text1"/>
                <w:lang w:val="en-US"/>
              </w:rPr>
              <w:t>)</w:t>
            </w:r>
          </w:p>
        </w:tc>
        <w:tc>
          <w:tcPr>
            <w:tcW w:w="1336" w:type="dxa"/>
            <w:shd w:val="clear" w:color="auto" w:fill="auto"/>
          </w:tcPr>
          <w:p w14:paraId="06E5C78E" w14:textId="77777777"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NA</w:t>
            </w:r>
          </w:p>
        </w:tc>
        <w:tc>
          <w:tcPr>
            <w:tcW w:w="1176" w:type="dxa"/>
            <w:shd w:val="clear" w:color="auto" w:fill="auto"/>
          </w:tcPr>
          <w:p w14:paraId="38254F81" w14:textId="406583C9"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0.308</w:t>
            </w:r>
          </w:p>
          <w:p w14:paraId="0A67D531" w14:textId="6CC94CE3"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0.136-0.695</w:t>
            </w:r>
            <w:r>
              <w:rPr>
                <w:rFonts w:ascii="Book Antiqua" w:hAnsi="Book Antiqua"/>
                <w:color w:val="000000" w:themeColor="text1"/>
                <w:lang w:val="en-US"/>
              </w:rPr>
              <w:t>)</w:t>
            </w:r>
          </w:p>
        </w:tc>
        <w:tc>
          <w:tcPr>
            <w:tcW w:w="975" w:type="dxa"/>
            <w:shd w:val="clear" w:color="auto" w:fill="auto"/>
          </w:tcPr>
          <w:p w14:paraId="4C6A7DA9" w14:textId="77777777" w:rsidR="0097732B" w:rsidRPr="008A5994" w:rsidRDefault="0097732B"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8A5994">
              <w:rPr>
                <w:rFonts w:ascii="Book Antiqua" w:hAnsi="Book Antiqua"/>
                <w:color w:val="000000" w:themeColor="text1"/>
                <w:lang w:val="en-US"/>
              </w:rPr>
              <w:t>90.0%</w:t>
            </w:r>
          </w:p>
          <w:p w14:paraId="2C639376" w14:textId="3199AAD5" w:rsidR="0097732B" w:rsidRPr="008A5994" w:rsidRDefault="004C6DB9" w:rsidP="004C6DB9">
            <w:pPr>
              <w:widowControl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Pr>
                <w:rFonts w:ascii="Book Antiqua" w:hAnsi="Book Antiqua"/>
                <w:color w:val="000000" w:themeColor="text1"/>
                <w:lang w:val="en-US"/>
              </w:rPr>
              <w:t>(</w:t>
            </w:r>
            <w:r w:rsidR="0097732B" w:rsidRPr="008A5994">
              <w:rPr>
                <w:rFonts w:ascii="Book Antiqua" w:hAnsi="Book Antiqua"/>
                <w:color w:val="000000" w:themeColor="text1"/>
                <w:lang w:val="en-US"/>
              </w:rPr>
              <w:t>80.7-99.3</w:t>
            </w:r>
            <w:r>
              <w:rPr>
                <w:rFonts w:ascii="Book Antiqua" w:hAnsi="Book Antiqua"/>
                <w:color w:val="000000" w:themeColor="text1"/>
                <w:lang w:val="en-US"/>
              </w:rPr>
              <w:t>)</w:t>
            </w:r>
          </w:p>
        </w:tc>
      </w:tr>
    </w:tbl>
    <w:p w14:paraId="78F857AD" w14:textId="1C7D3CAA" w:rsidR="00191607" w:rsidRDefault="004C6DB9" w:rsidP="008A5994">
      <w:pPr>
        <w:adjustRightInd w:val="0"/>
        <w:snapToGrid w:val="0"/>
        <w:spacing w:line="360" w:lineRule="auto"/>
        <w:jc w:val="both"/>
        <w:rPr>
          <w:rFonts w:ascii="Book Antiqua" w:hAnsi="Book Antiqua"/>
          <w:color w:val="000000" w:themeColor="text1"/>
          <w:lang w:val="en-US"/>
        </w:rPr>
      </w:pPr>
      <w:r w:rsidRPr="00191607">
        <w:rPr>
          <w:rFonts w:ascii="Book Antiqua" w:hAnsi="Book Antiqua"/>
          <w:color w:val="000000" w:themeColor="text1"/>
          <w:lang w:val="en-US"/>
        </w:rPr>
        <w:t xml:space="preserve">CDAI: Crohn’s disease activity index; CRP: C-reactive protein; </w:t>
      </w:r>
      <w:proofErr w:type="spellStart"/>
      <w:r w:rsidRPr="00191607">
        <w:rPr>
          <w:rFonts w:ascii="Book Antiqua" w:hAnsi="Book Antiqua"/>
          <w:color w:val="000000" w:themeColor="text1"/>
          <w:lang w:val="en-US"/>
        </w:rPr>
        <w:t>Fcal</w:t>
      </w:r>
      <w:proofErr w:type="spellEnd"/>
      <w:r w:rsidRPr="00191607">
        <w:rPr>
          <w:rFonts w:ascii="Book Antiqua" w:hAnsi="Book Antiqua"/>
          <w:color w:val="000000" w:themeColor="text1"/>
          <w:lang w:val="en-US"/>
        </w:rPr>
        <w:t xml:space="preserve">: </w:t>
      </w:r>
      <w:proofErr w:type="spellStart"/>
      <w:r w:rsidRPr="00191607">
        <w:rPr>
          <w:rFonts w:ascii="Book Antiqua" w:hAnsi="Book Antiqua"/>
          <w:color w:val="000000" w:themeColor="text1"/>
          <w:lang w:val="en-US"/>
        </w:rPr>
        <w:t>Faecal</w:t>
      </w:r>
      <w:proofErr w:type="spellEnd"/>
      <w:r w:rsidRPr="00191607">
        <w:rPr>
          <w:rFonts w:ascii="Book Antiqua" w:hAnsi="Book Antiqua"/>
          <w:color w:val="000000" w:themeColor="text1"/>
          <w:lang w:val="en-US"/>
        </w:rPr>
        <w:t xml:space="preserve"> calprotectin; PPV: Positive predictive </w:t>
      </w:r>
      <w:proofErr w:type="spellStart"/>
      <w:r w:rsidRPr="00191607">
        <w:rPr>
          <w:rFonts w:ascii="Book Antiqua" w:hAnsi="Book Antiqua"/>
          <w:color w:val="000000" w:themeColor="text1"/>
          <w:lang w:val="en-US"/>
        </w:rPr>
        <w:t>valu</w:t>
      </w:r>
      <w:proofErr w:type="spellEnd"/>
      <w:r w:rsidRPr="00191607">
        <w:rPr>
          <w:rFonts w:ascii="Book Antiqua" w:hAnsi="Book Antiqua"/>
          <w:color w:val="000000" w:themeColor="text1"/>
          <w:lang w:val="en-US"/>
        </w:rPr>
        <w:t>; NPV: Negative positive value</w:t>
      </w:r>
      <w:r w:rsidR="00191607" w:rsidRPr="00191607">
        <w:rPr>
          <w:rFonts w:ascii="Book Antiqua" w:hAnsi="Book Antiqua"/>
          <w:color w:val="000000" w:themeColor="text1"/>
          <w:lang w:val="en-US"/>
        </w:rPr>
        <w:t>;</w:t>
      </w:r>
      <w:r w:rsidRPr="00191607">
        <w:rPr>
          <w:rFonts w:ascii="Book Antiqua" w:hAnsi="Book Antiqua"/>
          <w:color w:val="000000" w:themeColor="text1"/>
          <w:lang w:val="en-US"/>
        </w:rPr>
        <w:t xml:space="preserve"> </w:t>
      </w:r>
      <w:r w:rsidR="00191607" w:rsidRPr="00191607">
        <w:rPr>
          <w:rFonts w:ascii="Book Antiqua" w:hAnsi="Book Antiqua"/>
          <w:color w:val="000000" w:themeColor="text1"/>
          <w:lang w:val="en-US"/>
        </w:rPr>
        <w:t>LR+: P</w:t>
      </w:r>
      <w:r w:rsidRPr="00191607">
        <w:rPr>
          <w:rFonts w:ascii="Book Antiqua" w:hAnsi="Book Antiqua"/>
          <w:color w:val="000000" w:themeColor="text1"/>
          <w:lang w:val="en-US"/>
        </w:rPr>
        <w:t>ositive likelihood ratio</w:t>
      </w:r>
      <w:r w:rsidR="00191607" w:rsidRPr="00191607">
        <w:rPr>
          <w:rFonts w:ascii="Book Antiqua" w:hAnsi="Book Antiqua"/>
          <w:color w:val="000000" w:themeColor="text1"/>
          <w:lang w:val="en-US"/>
        </w:rPr>
        <w:t>;</w:t>
      </w:r>
      <w:r w:rsidRPr="00191607">
        <w:rPr>
          <w:rFonts w:ascii="Book Antiqua" w:hAnsi="Book Antiqua"/>
          <w:color w:val="000000" w:themeColor="text1"/>
          <w:lang w:val="en-US"/>
        </w:rPr>
        <w:t xml:space="preserve"> </w:t>
      </w:r>
      <w:r w:rsidR="00191607" w:rsidRPr="00191607">
        <w:rPr>
          <w:rFonts w:ascii="Book Antiqua" w:hAnsi="Book Antiqua"/>
          <w:color w:val="000000" w:themeColor="text1"/>
          <w:lang w:val="en-US"/>
        </w:rPr>
        <w:t>LR-: N</w:t>
      </w:r>
      <w:r w:rsidRPr="00191607">
        <w:rPr>
          <w:rFonts w:ascii="Book Antiqua" w:hAnsi="Book Antiqua"/>
          <w:color w:val="000000" w:themeColor="text1"/>
          <w:lang w:val="en-US"/>
        </w:rPr>
        <w:t>egative likelihood ratio</w:t>
      </w:r>
      <w:r w:rsidR="00191607" w:rsidRPr="00191607">
        <w:rPr>
          <w:rFonts w:ascii="Book Antiqua" w:hAnsi="Book Antiqua"/>
          <w:color w:val="000000" w:themeColor="text1"/>
          <w:lang w:val="en-US"/>
        </w:rPr>
        <w:t>.</w:t>
      </w:r>
    </w:p>
    <w:p w14:paraId="0B8D0A9F" w14:textId="77777777" w:rsidR="00191607" w:rsidRDefault="00191607">
      <w:pPr>
        <w:spacing w:after="160" w:line="259" w:lineRule="auto"/>
        <w:rPr>
          <w:rFonts w:ascii="Book Antiqua" w:hAnsi="Book Antiqua"/>
          <w:color w:val="000000" w:themeColor="text1"/>
          <w:lang w:val="en-US"/>
        </w:rPr>
      </w:pPr>
      <w:r>
        <w:rPr>
          <w:rFonts w:ascii="Book Antiqua" w:hAnsi="Book Antiqua"/>
          <w:color w:val="000000" w:themeColor="text1"/>
          <w:lang w:val="en-US"/>
        </w:rPr>
        <w:br w:type="page"/>
      </w:r>
    </w:p>
    <w:p w14:paraId="0C8AF4FC" w14:textId="22B6E556" w:rsidR="00E12B8C" w:rsidRPr="008A5994" w:rsidRDefault="0066621B" w:rsidP="008A5994">
      <w:pPr>
        <w:adjustRightInd w:val="0"/>
        <w:snapToGrid w:val="0"/>
        <w:spacing w:line="360" w:lineRule="auto"/>
        <w:jc w:val="both"/>
        <w:rPr>
          <w:rFonts w:ascii="Book Antiqua" w:hAnsi="Book Antiqua"/>
          <w:color w:val="000000" w:themeColor="text1"/>
          <w:lang w:val="en-US"/>
        </w:rPr>
      </w:pPr>
      <w:r w:rsidRPr="008A5994">
        <w:rPr>
          <w:rFonts w:ascii="Book Antiqua" w:hAnsi="Book Antiqua"/>
          <w:noProof/>
          <w:color w:val="000000" w:themeColor="text1"/>
          <w:lang w:val="en-US" w:eastAsia="zh-CN"/>
        </w:rPr>
        <w:lastRenderedPageBreak/>
        <w:drawing>
          <wp:inline distT="0" distB="0" distL="0" distR="0" wp14:anchorId="10A5997A" wp14:editId="262BE07B">
            <wp:extent cx="5760720" cy="32086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208655"/>
                    </a:xfrm>
                    <a:prstGeom prst="rect">
                      <a:avLst/>
                    </a:prstGeom>
                    <a:noFill/>
                    <a:ln>
                      <a:noFill/>
                    </a:ln>
                  </pic:spPr>
                </pic:pic>
              </a:graphicData>
            </a:graphic>
          </wp:inline>
        </w:drawing>
      </w:r>
    </w:p>
    <w:p w14:paraId="49E51ADF" w14:textId="012CFA97" w:rsidR="00E12B8C" w:rsidRPr="008A5994" w:rsidRDefault="00E12B8C" w:rsidP="008A5994">
      <w:pPr>
        <w:adjustRightInd w:val="0"/>
        <w:snapToGrid w:val="0"/>
        <w:spacing w:line="360" w:lineRule="auto"/>
        <w:jc w:val="both"/>
        <w:rPr>
          <w:rFonts w:ascii="Book Antiqua" w:hAnsi="Book Antiqua"/>
          <w:color w:val="000000" w:themeColor="text1"/>
          <w:lang w:val="en-US"/>
        </w:rPr>
      </w:pPr>
      <w:r w:rsidRPr="00402DF5">
        <w:rPr>
          <w:rFonts w:ascii="Book Antiqua" w:hAnsi="Book Antiqua"/>
          <w:b/>
          <w:color w:val="000000" w:themeColor="text1"/>
          <w:lang w:val="en-US"/>
        </w:rPr>
        <w:t>Figure 1</w:t>
      </w:r>
      <w:r w:rsidRPr="008A5994">
        <w:rPr>
          <w:rFonts w:ascii="Book Antiqua" w:hAnsi="Book Antiqua"/>
          <w:color w:val="000000" w:themeColor="text1"/>
          <w:lang w:val="en-US"/>
        </w:rPr>
        <w:t xml:space="preserve"> </w:t>
      </w:r>
      <w:r w:rsidRPr="00402DF5">
        <w:rPr>
          <w:rFonts w:ascii="Book Antiqua" w:hAnsi="Book Antiqua"/>
          <w:b/>
          <w:color w:val="000000" w:themeColor="text1"/>
          <w:lang w:val="en-US"/>
        </w:rPr>
        <w:t xml:space="preserve">Rate of patients achieving the different therapeutic endpoints after 12 </w:t>
      </w:r>
      <w:proofErr w:type="spellStart"/>
      <w:r w:rsidRPr="00402DF5">
        <w:rPr>
          <w:rFonts w:ascii="Book Antiqua" w:hAnsi="Book Antiqua"/>
          <w:b/>
          <w:color w:val="000000" w:themeColor="text1"/>
          <w:lang w:val="en-US"/>
        </w:rPr>
        <w:t>w</w:t>
      </w:r>
      <w:r w:rsidR="00402DF5" w:rsidRPr="00402DF5">
        <w:rPr>
          <w:rFonts w:ascii="Book Antiqua" w:hAnsi="Book Antiqua"/>
          <w:b/>
          <w:color w:val="000000" w:themeColor="text1"/>
          <w:lang w:val="en-US"/>
        </w:rPr>
        <w:t>k</w:t>
      </w:r>
      <w:proofErr w:type="spellEnd"/>
      <w:r w:rsidRPr="00402DF5">
        <w:rPr>
          <w:rFonts w:ascii="Book Antiqua" w:hAnsi="Book Antiqua"/>
          <w:b/>
          <w:color w:val="000000" w:themeColor="text1"/>
          <w:lang w:val="en-US"/>
        </w:rPr>
        <w:t xml:space="preserve"> of anti-</w:t>
      </w:r>
      <w:r w:rsidR="00402DF5" w:rsidRPr="00402DF5">
        <w:rPr>
          <w:rFonts w:ascii="Book Antiqua" w:hAnsi="Book Antiqua"/>
          <w:b/>
          <w:color w:val="000000" w:themeColor="text1"/>
          <w:lang w:val="en-US"/>
        </w:rPr>
        <w:t>tumor necrosis factor</w:t>
      </w:r>
      <w:r w:rsidRPr="00402DF5">
        <w:rPr>
          <w:rFonts w:ascii="Book Antiqua" w:hAnsi="Book Antiqua"/>
          <w:b/>
          <w:color w:val="000000" w:themeColor="text1"/>
          <w:lang w:val="en-US"/>
        </w:rPr>
        <w:t xml:space="preserve"> therapy in 40 patients with Crohn</w:t>
      </w:r>
      <w:r w:rsidR="00A555A0" w:rsidRPr="00402DF5">
        <w:rPr>
          <w:rFonts w:ascii="Book Antiqua" w:hAnsi="Book Antiqua"/>
          <w:b/>
          <w:color w:val="000000" w:themeColor="text1"/>
          <w:lang w:val="en-US"/>
        </w:rPr>
        <w:t>’</w:t>
      </w:r>
      <w:r w:rsidRPr="00402DF5">
        <w:rPr>
          <w:rFonts w:ascii="Book Antiqua" w:hAnsi="Book Antiqua"/>
          <w:b/>
          <w:color w:val="000000" w:themeColor="text1"/>
          <w:lang w:val="en-US"/>
        </w:rPr>
        <w:t>s disease.</w:t>
      </w:r>
      <w:r w:rsidR="00402DF5">
        <w:rPr>
          <w:rFonts w:ascii="Book Antiqua" w:hAnsi="Book Antiqua"/>
          <w:color w:val="000000" w:themeColor="text1"/>
          <w:lang w:val="en-US"/>
        </w:rPr>
        <w:t xml:space="preserve"> </w:t>
      </w:r>
      <w:bookmarkStart w:id="248" w:name="OLE_LINK558"/>
      <w:bookmarkStart w:id="249" w:name="OLE_LINK559"/>
      <w:r w:rsidR="00402DF5" w:rsidRPr="00191607">
        <w:rPr>
          <w:rFonts w:ascii="Book Antiqua" w:hAnsi="Book Antiqua"/>
          <w:color w:val="000000" w:themeColor="text1"/>
          <w:lang w:val="en-US"/>
        </w:rPr>
        <w:t xml:space="preserve">CDAI: Crohn’s disease activity index; CRP: C-reactive protein; </w:t>
      </w:r>
      <w:proofErr w:type="spellStart"/>
      <w:r w:rsidR="00402DF5" w:rsidRPr="00191607">
        <w:rPr>
          <w:rFonts w:ascii="Book Antiqua" w:hAnsi="Book Antiqua"/>
          <w:color w:val="000000" w:themeColor="text1"/>
          <w:lang w:val="en-US"/>
        </w:rPr>
        <w:t>Fcal</w:t>
      </w:r>
      <w:proofErr w:type="spellEnd"/>
      <w:r w:rsidR="00402DF5" w:rsidRPr="00191607">
        <w:rPr>
          <w:rFonts w:ascii="Book Antiqua" w:hAnsi="Book Antiqua"/>
          <w:color w:val="000000" w:themeColor="text1"/>
          <w:lang w:val="en-US"/>
        </w:rPr>
        <w:t xml:space="preserve">: </w:t>
      </w:r>
      <w:proofErr w:type="spellStart"/>
      <w:r w:rsidR="00402DF5" w:rsidRPr="00191607">
        <w:rPr>
          <w:rFonts w:ascii="Book Antiqua" w:hAnsi="Book Antiqua"/>
          <w:color w:val="000000" w:themeColor="text1"/>
          <w:lang w:val="en-US"/>
        </w:rPr>
        <w:t>Faecal</w:t>
      </w:r>
      <w:proofErr w:type="spellEnd"/>
      <w:r w:rsidR="00402DF5" w:rsidRPr="00191607">
        <w:rPr>
          <w:rFonts w:ascii="Book Antiqua" w:hAnsi="Book Antiqua"/>
          <w:color w:val="000000" w:themeColor="text1"/>
          <w:lang w:val="en-US"/>
        </w:rPr>
        <w:t xml:space="preserve"> calprotectin</w:t>
      </w:r>
      <w:bookmarkEnd w:id="248"/>
      <w:bookmarkEnd w:id="249"/>
      <w:r w:rsidR="00402DF5" w:rsidRPr="00191607">
        <w:rPr>
          <w:rFonts w:ascii="Book Antiqua" w:hAnsi="Book Antiqua"/>
          <w:color w:val="000000" w:themeColor="text1"/>
          <w:lang w:val="en-US"/>
        </w:rPr>
        <w:t>;</w:t>
      </w:r>
      <w:r w:rsidR="00402DF5">
        <w:rPr>
          <w:rFonts w:ascii="Book Antiqua" w:hAnsi="Book Antiqua"/>
          <w:color w:val="000000" w:themeColor="text1"/>
          <w:lang w:val="en-US"/>
        </w:rPr>
        <w:t xml:space="preserve"> TNF: Tumor necrosis factor.</w:t>
      </w:r>
    </w:p>
    <w:p w14:paraId="62814FAF" w14:textId="2A26502B" w:rsidR="00BD05A5" w:rsidRPr="008A5994" w:rsidRDefault="00BD05A5" w:rsidP="008A5994">
      <w:pPr>
        <w:adjustRightInd w:val="0"/>
        <w:snapToGrid w:val="0"/>
        <w:spacing w:line="360" w:lineRule="auto"/>
        <w:jc w:val="both"/>
        <w:rPr>
          <w:rFonts w:ascii="Book Antiqua" w:hAnsi="Book Antiqua"/>
          <w:b/>
          <w:color w:val="000000" w:themeColor="text1"/>
          <w:lang w:val="en-US"/>
        </w:rPr>
      </w:pPr>
      <w:r w:rsidRPr="008A5994">
        <w:rPr>
          <w:rFonts w:ascii="Book Antiqua" w:hAnsi="Book Antiqua"/>
          <w:b/>
          <w:color w:val="000000" w:themeColor="text1"/>
          <w:lang w:val="en-US"/>
        </w:rPr>
        <w:br w:type="page"/>
      </w:r>
    </w:p>
    <w:p w14:paraId="1ADE5D09" w14:textId="41B91E73" w:rsidR="001C08BF" w:rsidRPr="008A5994" w:rsidRDefault="0071519A" w:rsidP="008A5994">
      <w:pPr>
        <w:adjustRightInd w:val="0"/>
        <w:snapToGrid w:val="0"/>
        <w:spacing w:line="360" w:lineRule="auto"/>
        <w:jc w:val="both"/>
        <w:rPr>
          <w:rFonts w:ascii="Book Antiqua" w:hAnsi="Book Antiqua"/>
          <w:b/>
          <w:color w:val="000000" w:themeColor="text1"/>
          <w:lang w:val="en-US"/>
        </w:rPr>
      </w:pPr>
      <w:r w:rsidRPr="0071519A">
        <w:rPr>
          <w:rFonts w:ascii="Book Antiqua" w:hAnsi="Book Antiqua"/>
          <w:b/>
          <w:noProof/>
          <w:color w:val="000000" w:themeColor="text1"/>
          <w:lang w:val="en-US" w:eastAsia="zh-CN"/>
        </w:rPr>
        <w:lastRenderedPageBreak/>
        <w:drawing>
          <wp:inline distT="0" distB="0" distL="0" distR="0" wp14:anchorId="75D2098D" wp14:editId="309BC753">
            <wp:extent cx="5760720" cy="3240405"/>
            <wp:effectExtent l="0" t="0" r="5080" b="1079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240405"/>
                    </a:xfrm>
                    <a:prstGeom prst="rect">
                      <a:avLst/>
                    </a:prstGeom>
                  </pic:spPr>
                </pic:pic>
              </a:graphicData>
            </a:graphic>
          </wp:inline>
        </w:drawing>
      </w:r>
    </w:p>
    <w:p w14:paraId="3449C157" w14:textId="553D5594" w:rsidR="00E12B8C" w:rsidRPr="008A5994" w:rsidRDefault="001C08BF" w:rsidP="008A5994">
      <w:pPr>
        <w:adjustRightInd w:val="0"/>
        <w:snapToGrid w:val="0"/>
        <w:spacing w:line="360" w:lineRule="auto"/>
        <w:jc w:val="both"/>
        <w:rPr>
          <w:rFonts w:ascii="Book Antiqua" w:hAnsi="Book Antiqua"/>
          <w:color w:val="000000" w:themeColor="text1"/>
          <w:lang w:val="en-US"/>
        </w:rPr>
      </w:pPr>
      <w:r w:rsidRPr="0071519A">
        <w:rPr>
          <w:rFonts w:ascii="Book Antiqua" w:hAnsi="Book Antiqua"/>
          <w:b/>
          <w:color w:val="000000" w:themeColor="text1"/>
          <w:lang w:val="en-US"/>
        </w:rPr>
        <w:t>Figure 2</w:t>
      </w:r>
      <w:r w:rsidR="0071519A" w:rsidRPr="0071519A">
        <w:rPr>
          <w:rFonts w:ascii="Book Antiqua" w:hAnsi="Book Antiqua"/>
          <w:b/>
          <w:color w:val="000000" w:themeColor="text1"/>
          <w:lang w:val="en-US"/>
        </w:rPr>
        <w:t xml:space="preserve"> </w:t>
      </w:r>
      <w:r w:rsidRPr="0071519A">
        <w:rPr>
          <w:rFonts w:ascii="Book Antiqua" w:hAnsi="Book Antiqua"/>
          <w:b/>
          <w:color w:val="000000" w:themeColor="text1"/>
          <w:lang w:val="en-US"/>
        </w:rPr>
        <w:t xml:space="preserve">Level of </w:t>
      </w:r>
      <w:proofErr w:type="spellStart"/>
      <w:r w:rsidRPr="0071519A">
        <w:rPr>
          <w:rFonts w:ascii="Book Antiqua" w:hAnsi="Book Antiqua"/>
          <w:b/>
          <w:color w:val="000000" w:themeColor="text1"/>
          <w:lang w:val="en-US"/>
        </w:rPr>
        <w:t>faecal</w:t>
      </w:r>
      <w:proofErr w:type="spellEnd"/>
      <w:r w:rsidRPr="0071519A">
        <w:rPr>
          <w:rFonts w:ascii="Book Antiqua" w:hAnsi="Book Antiqua"/>
          <w:b/>
          <w:color w:val="000000" w:themeColor="text1"/>
          <w:lang w:val="en-US"/>
        </w:rPr>
        <w:t xml:space="preserve"> calprotectin at baseline and after 12 </w:t>
      </w:r>
      <w:proofErr w:type="spellStart"/>
      <w:r w:rsidRPr="0071519A">
        <w:rPr>
          <w:rFonts w:ascii="Book Antiqua" w:hAnsi="Book Antiqua"/>
          <w:b/>
          <w:color w:val="000000" w:themeColor="text1"/>
          <w:lang w:val="en-US"/>
        </w:rPr>
        <w:t>w</w:t>
      </w:r>
      <w:r w:rsidR="0071519A" w:rsidRPr="0071519A">
        <w:rPr>
          <w:rFonts w:ascii="Book Antiqua" w:hAnsi="Book Antiqua"/>
          <w:b/>
          <w:color w:val="000000" w:themeColor="text1"/>
          <w:lang w:val="en-US"/>
        </w:rPr>
        <w:t>k</w:t>
      </w:r>
      <w:proofErr w:type="spellEnd"/>
      <w:r w:rsidRPr="0071519A">
        <w:rPr>
          <w:rFonts w:ascii="Book Antiqua" w:hAnsi="Book Antiqua"/>
          <w:b/>
          <w:color w:val="000000" w:themeColor="text1"/>
          <w:lang w:val="en-US"/>
        </w:rPr>
        <w:t xml:space="preserve"> of anti-</w:t>
      </w:r>
      <w:r w:rsidR="0071519A" w:rsidRPr="0071519A">
        <w:rPr>
          <w:rFonts w:ascii="Book Antiqua" w:hAnsi="Book Antiqua"/>
          <w:b/>
          <w:color w:val="000000" w:themeColor="text1"/>
          <w:lang w:val="en-US"/>
        </w:rPr>
        <w:t>tumor necrosis factor</w:t>
      </w:r>
      <w:r w:rsidRPr="0071519A">
        <w:rPr>
          <w:rFonts w:ascii="Book Antiqua" w:hAnsi="Book Antiqua"/>
          <w:b/>
          <w:color w:val="000000" w:themeColor="text1"/>
          <w:lang w:val="en-US"/>
        </w:rPr>
        <w:t xml:space="preserve"> therapy in patients with Crohn</w:t>
      </w:r>
      <w:r w:rsidR="00A555A0" w:rsidRPr="0071519A">
        <w:rPr>
          <w:rFonts w:ascii="Book Antiqua" w:hAnsi="Book Antiqua"/>
          <w:b/>
          <w:color w:val="000000" w:themeColor="text1"/>
          <w:lang w:val="en-US"/>
        </w:rPr>
        <w:t>’</w:t>
      </w:r>
      <w:r w:rsidRPr="0071519A">
        <w:rPr>
          <w:rFonts w:ascii="Book Antiqua" w:hAnsi="Book Antiqua"/>
          <w:b/>
          <w:color w:val="000000" w:themeColor="text1"/>
          <w:lang w:val="en-US"/>
        </w:rPr>
        <w:t>s disease achieving steroids-free remission (</w:t>
      </w:r>
      <w:r w:rsidR="0071519A" w:rsidRPr="0071519A">
        <w:rPr>
          <w:rFonts w:ascii="Book Antiqua" w:hAnsi="Book Antiqua"/>
          <w:b/>
          <w:color w:val="000000" w:themeColor="text1"/>
          <w:lang w:val="en-US"/>
        </w:rPr>
        <w:t>Crohn’s disease activity index</w:t>
      </w:r>
      <w:r w:rsidRPr="0071519A">
        <w:rPr>
          <w:rFonts w:ascii="Book Antiqua" w:hAnsi="Book Antiqua"/>
          <w:b/>
          <w:color w:val="000000" w:themeColor="text1"/>
          <w:lang w:val="en-US"/>
        </w:rPr>
        <w:t xml:space="preserve"> &lt; 150 and </w:t>
      </w:r>
      <w:r w:rsidR="0071519A" w:rsidRPr="0071519A">
        <w:rPr>
          <w:rFonts w:ascii="Book Antiqua" w:hAnsi="Book Antiqua"/>
          <w:b/>
          <w:color w:val="000000" w:themeColor="text1"/>
          <w:lang w:val="en-US"/>
        </w:rPr>
        <w:t>C-reactive protein</w:t>
      </w:r>
      <w:r w:rsidRPr="0071519A">
        <w:rPr>
          <w:rFonts w:ascii="Book Antiqua" w:hAnsi="Book Antiqua"/>
          <w:b/>
          <w:color w:val="000000" w:themeColor="text1"/>
          <w:lang w:val="en-US"/>
        </w:rPr>
        <w:t xml:space="preserve"> &lt; 2.9 mg/L and </w:t>
      </w:r>
      <w:proofErr w:type="spellStart"/>
      <w:r w:rsidRPr="0071519A">
        <w:rPr>
          <w:rFonts w:ascii="Book Antiqua" w:hAnsi="Book Antiqua"/>
          <w:b/>
          <w:color w:val="000000" w:themeColor="text1"/>
          <w:lang w:val="en-US"/>
        </w:rPr>
        <w:t>faecal</w:t>
      </w:r>
      <w:proofErr w:type="spellEnd"/>
      <w:r w:rsidRPr="0071519A">
        <w:rPr>
          <w:rFonts w:ascii="Book Antiqua" w:hAnsi="Book Antiqua"/>
          <w:b/>
          <w:color w:val="000000" w:themeColor="text1"/>
          <w:lang w:val="en-US"/>
        </w:rPr>
        <w:t xml:space="preserve"> calprotectin &lt; 250 µg/g with no therapeutic intensification and no surgery) or not at week 52.</w:t>
      </w:r>
      <w:r w:rsidR="0071519A">
        <w:rPr>
          <w:rFonts w:ascii="Book Antiqua" w:hAnsi="Book Antiqua"/>
          <w:color w:val="000000" w:themeColor="text1"/>
          <w:lang w:val="en-US"/>
        </w:rPr>
        <w:t xml:space="preserve"> CFREM: </w:t>
      </w:r>
      <w:bookmarkStart w:id="250" w:name="OLE_LINK554"/>
      <w:bookmarkStart w:id="251" w:name="OLE_LINK555"/>
      <w:r w:rsidR="0071519A">
        <w:rPr>
          <w:rFonts w:ascii="Book Antiqua" w:hAnsi="Book Antiqua"/>
          <w:color w:val="000000" w:themeColor="text1"/>
          <w:lang w:val="en-US"/>
        </w:rPr>
        <w:t>C</w:t>
      </w:r>
      <w:r w:rsidR="0071519A" w:rsidRPr="008A5994">
        <w:rPr>
          <w:rFonts w:ascii="Book Antiqua" w:hAnsi="Book Antiqua"/>
          <w:color w:val="000000" w:themeColor="text1"/>
          <w:lang w:val="en-US"/>
        </w:rPr>
        <w:t>orticosteroids-free remission</w:t>
      </w:r>
      <w:bookmarkEnd w:id="250"/>
      <w:bookmarkEnd w:id="251"/>
      <w:r w:rsidR="0071519A">
        <w:rPr>
          <w:rFonts w:ascii="Book Antiqua" w:hAnsi="Book Antiqua"/>
          <w:color w:val="000000" w:themeColor="text1"/>
          <w:lang w:val="en-US"/>
        </w:rPr>
        <w:t>.</w:t>
      </w:r>
    </w:p>
    <w:p w14:paraId="33177D0F" w14:textId="27256D16" w:rsidR="00BD05A5" w:rsidRPr="008A5994" w:rsidRDefault="00BD05A5" w:rsidP="008A5994">
      <w:pPr>
        <w:adjustRightInd w:val="0"/>
        <w:snapToGrid w:val="0"/>
        <w:spacing w:line="360" w:lineRule="auto"/>
        <w:jc w:val="both"/>
        <w:rPr>
          <w:rFonts w:ascii="Book Antiqua" w:hAnsi="Book Antiqua"/>
          <w:color w:val="000000" w:themeColor="text1"/>
          <w:lang w:val="en-US"/>
        </w:rPr>
      </w:pPr>
      <w:r w:rsidRPr="008A5994">
        <w:rPr>
          <w:rFonts w:ascii="Book Antiqua" w:hAnsi="Book Antiqua"/>
          <w:color w:val="000000" w:themeColor="text1"/>
          <w:lang w:val="en-US"/>
        </w:rPr>
        <w:br w:type="page"/>
      </w:r>
    </w:p>
    <w:p w14:paraId="61D6A727" w14:textId="237807EB" w:rsidR="00BD05A5" w:rsidRPr="008A5994" w:rsidRDefault="00BD05A5" w:rsidP="008A5994">
      <w:pPr>
        <w:adjustRightInd w:val="0"/>
        <w:snapToGrid w:val="0"/>
        <w:spacing w:line="360" w:lineRule="auto"/>
        <w:jc w:val="both"/>
        <w:rPr>
          <w:rFonts w:ascii="Book Antiqua" w:hAnsi="Book Antiqua"/>
          <w:color w:val="000000" w:themeColor="text1"/>
          <w:lang w:val="en-US"/>
        </w:rPr>
      </w:pPr>
      <w:r w:rsidRPr="008A5994">
        <w:rPr>
          <w:rFonts w:ascii="Book Antiqua" w:hAnsi="Book Antiqua"/>
          <w:noProof/>
          <w:color w:val="000000" w:themeColor="text1"/>
          <w:lang w:val="en-US" w:eastAsia="zh-CN"/>
        </w:rPr>
        <w:lastRenderedPageBreak/>
        <w:drawing>
          <wp:inline distT="0" distB="0" distL="0" distR="0" wp14:anchorId="76040BFD" wp14:editId="3ED29A9D">
            <wp:extent cx="5760720" cy="2640965"/>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2640965"/>
                    </a:xfrm>
                    <a:prstGeom prst="rect">
                      <a:avLst/>
                    </a:prstGeom>
                    <a:noFill/>
                    <a:ln>
                      <a:noFill/>
                    </a:ln>
                  </pic:spPr>
                </pic:pic>
              </a:graphicData>
            </a:graphic>
          </wp:inline>
        </w:drawing>
      </w:r>
    </w:p>
    <w:p w14:paraId="7EBB8E33" w14:textId="5961EFA3" w:rsidR="0060577E" w:rsidRPr="008A5994" w:rsidRDefault="0060577E" w:rsidP="008A5994">
      <w:pPr>
        <w:adjustRightInd w:val="0"/>
        <w:snapToGrid w:val="0"/>
        <w:spacing w:line="360" w:lineRule="auto"/>
        <w:jc w:val="both"/>
        <w:rPr>
          <w:rFonts w:ascii="Book Antiqua" w:hAnsi="Book Antiqua"/>
          <w:color w:val="000000" w:themeColor="text1"/>
          <w:lang w:val="en-US"/>
        </w:rPr>
      </w:pPr>
      <w:r w:rsidRPr="0071519A">
        <w:rPr>
          <w:rFonts w:ascii="Book Antiqua" w:hAnsi="Book Antiqua"/>
          <w:b/>
          <w:color w:val="000000" w:themeColor="text1"/>
          <w:lang w:val="en-US"/>
        </w:rPr>
        <w:t>Figure 3</w:t>
      </w:r>
      <w:r w:rsidRPr="008A5994">
        <w:rPr>
          <w:rFonts w:ascii="Book Antiqua" w:hAnsi="Book Antiqua"/>
          <w:color w:val="000000" w:themeColor="text1"/>
          <w:lang w:val="en-US"/>
        </w:rPr>
        <w:t xml:space="preserve"> </w:t>
      </w:r>
      <w:r w:rsidRPr="0071519A">
        <w:rPr>
          <w:rFonts w:ascii="Book Antiqua" w:hAnsi="Book Antiqua"/>
          <w:b/>
          <w:color w:val="000000" w:themeColor="text1"/>
          <w:lang w:val="en-US"/>
        </w:rPr>
        <w:t>Positive and negative predictive values of</w:t>
      </w:r>
      <w:r w:rsidR="0071519A" w:rsidRPr="0071519A">
        <w:rPr>
          <w:rFonts w:ascii="Book Antiqua" w:hAnsi="Book Antiqua"/>
          <w:b/>
          <w:color w:val="000000" w:themeColor="text1"/>
          <w:lang w:val="en-US"/>
        </w:rPr>
        <w:t xml:space="preserve"> Crohn’s disease activity index, C-reactive protein</w:t>
      </w:r>
      <w:r w:rsidRPr="0071519A">
        <w:rPr>
          <w:rFonts w:ascii="Book Antiqua" w:hAnsi="Book Antiqua"/>
          <w:b/>
          <w:color w:val="000000" w:themeColor="text1"/>
          <w:lang w:val="en-US"/>
        </w:rPr>
        <w:t xml:space="preserve"> and </w:t>
      </w:r>
      <w:bookmarkStart w:id="252" w:name="OLE_LINK556"/>
      <w:bookmarkStart w:id="253" w:name="OLE_LINK557"/>
      <w:proofErr w:type="spellStart"/>
      <w:r w:rsidRPr="0071519A">
        <w:rPr>
          <w:rFonts w:ascii="Book Antiqua" w:hAnsi="Book Antiqua"/>
          <w:b/>
          <w:color w:val="000000" w:themeColor="text1"/>
          <w:lang w:val="en-US"/>
        </w:rPr>
        <w:t>faecal</w:t>
      </w:r>
      <w:proofErr w:type="spellEnd"/>
      <w:r w:rsidRPr="0071519A">
        <w:rPr>
          <w:rFonts w:ascii="Book Antiqua" w:hAnsi="Book Antiqua"/>
          <w:b/>
          <w:color w:val="000000" w:themeColor="text1"/>
          <w:lang w:val="en-US"/>
        </w:rPr>
        <w:t xml:space="preserve"> calprotectin</w:t>
      </w:r>
      <w:bookmarkEnd w:id="252"/>
      <w:bookmarkEnd w:id="253"/>
      <w:r w:rsidRPr="0071519A">
        <w:rPr>
          <w:rFonts w:ascii="Book Antiqua" w:hAnsi="Book Antiqua"/>
          <w:b/>
          <w:color w:val="000000" w:themeColor="text1"/>
          <w:lang w:val="en-US"/>
        </w:rPr>
        <w:t xml:space="preserve">, alone or combined, after 12 </w:t>
      </w:r>
      <w:proofErr w:type="spellStart"/>
      <w:r w:rsidRPr="0071519A">
        <w:rPr>
          <w:rFonts w:ascii="Book Antiqua" w:hAnsi="Book Antiqua"/>
          <w:b/>
          <w:color w:val="000000" w:themeColor="text1"/>
          <w:lang w:val="en-US"/>
        </w:rPr>
        <w:t>w</w:t>
      </w:r>
      <w:r w:rsidR="0071519A" w:rsidRPr="0071519A">
        <w:rPr>
          <w:rFonts w:ascii="Book Antiqua" w:hAnsi="Book Antiqua"/>
          <w:b/>
          <w:color w:val="000000" w:themeColor="text1"/>
          <w:lang w:val="en-US"/>
        </w:rPr>
        <w:t>k</w:t>
      </w:r>
      <w:proofErr w:type="spellEnd"/>
      <w:r w:rsidRPr="0071519A">
        <w:rPr>
          <w:rFonts w:ascii="Book Antiqua" w:hAnsi="Book Antiqua"/>
          <w:b/>
          <w:color w:val="000000" w:themeColor="text1"/>
          <w:lang w:val="en-US"/>
        </w:rPr>
        <w:t xml:space="preserve"> of anti-</w:t>
      </w:r>
      <w:r w:rsidR="0071519A" w:rsidRPr="0071519A">
        <w:rPr>
          <w:rFonts w:ascii="Book Antiqua" w:hAnsi="Book Antiqua"/>
          <w:b/>
          <w:color w:val="000000" w:themeColor="text1"/>
          <w:lang w:val="en-US"/>
        </w:rPr>
        <w:t>tumor necrosis factor</w:t>
      </w:r>
      <w:r w:rsidRPr="0071519A">
        <w:rPr>
          <w:rFonts w:ascii="Book Antiqua" w:hAnsi="Book Antiqua"/>
          <w:b/>
          <w:color w:val="000000" w:themeColor="text1"/>
          <w:lang w:val="en-US"/>
        </w:rPr>
        <w:t xml:space="preserve"> to predict </w:t>
      </w:r>
      <w:r w:rsidR="0071519A" w:rsidRPr="0071519A">
        <w:rPr>
          <w:rFonts w:ascii="Book Antiqua" w:hAnsi="Book Antiqua"/>
          <w:b/>
          <w:color w:val="000000" w:themeColor="text1"/>
          <w:lang w:val="en-US"/>
        </w:rPr>
        <w:t>corticosteroids-free remission</w:t>
      </w:r>
      <w:r w:rsidRPr="0071519A">
        <w:rPr>
          <w:rFonts w:ascii="Book Antiqua" w:hAnsi="Book Antiqua"/>
          <w:b/>
          <w:color w:val="000000" w:themeColor="text1"/>
          <w:lang w:val="en-US"/>
        </w:rPr>
        <w:t xml:space="preserve"> at week 52.</w:t>
      </w:r>
      <w:r w:rsidRPr="008A5994">
        <w:rPr>
          <w:rFonts w:ascii="Book Antiqua" w:hAnsi="Book Antiqua"/>
          <w:color w:val="000000" w:themeColor="text1"/>
          <w:lang w:val="en-US"/>
        </w:rPr>
        <w:t xml:space="preserve"> </w:t>
      </w:r>
      <w:proofErr w:type="spellStart"/>
      <w:r w:rsidR="0071519A" w:rsidRPr="0071519A">
        <w:rPr>
          <w:rFonts w:ascii="Book Antiqua" w:hAnsi="Book Antiqua"/>
          <w:color w:val="000000" w:themeColor="text1"/>
          <w:lang w:val="en-US"/>
        </w:rPr>
        <w:t>Faecal</w:t>
      </w:r>
      <w:proofErr w:type="spellEnd"/>
      <w:r w:rsidR="0071519A" w:rsidRPr="0071519A">
        <w:rPr>
          <w:rFonts w:ascii="Book Antiqua" w:hAnsi="Book Antiqua"/>
          <w:color w:val="000000" w:themeColor="text1"/>
          <w:lang w:val="en-US"/>
        </w:rPr>
        <w:t xml:space="preserve"> calprotectin </w:t>
      </w:r>
      <w:r w:rsidR="0071519A">
        <w:rPr>
          <w:rFonts w:ascii="Book Antiqua" w:hAnsi="Book Antiqua"/>
          <w:color w:val="000000" w:themeColor="text1"/>
          <w:lang w:val="en-US"/>
        </w:rPr>
        <w:t>(</w:t>
      </w:r>
      <w:proofErr w:type="spellStart"/>
      <w:r w:rsidRPr="008A5994">
        <w:rPr>
          <w:rFonts w:ascii="Book Antiqua" w:hAnsi="Book Antiqua"/>
          <w:color w:val="000000" w:themeColor="text1"/>
          <w:lang w:val="en-US"/>
        </w:rPr>
        <w:t>Fcal</w:t>
      </w:r>
      <w:proofErr w:type="spellEnd"/>
      <w:r w:rsidR="0071519A">
        <w:rPr>
          <w:rFonts w:ascii="Book Antiqua" w:hAnsi="Book Antiqua"/>
          <w:color w:val="000000" w:themeColor="text1"/>
          <w:lang w:val="en-US"/>
        </w:rPr>
        <w:t>)</w:t>
      </w:r>
      <w:r w:rsidRPr="008A5994">
        <w:rPr>
          <w:rFonts w:ascii="Book Antiqua" w:hAnsi="Book Antiqua"/>
          <w:color w:val="000000" w:themeColor="text1"/>
          <w:lang w:val="en-US"/>
        </w:rPr>
        <w:t xml:space="preserve"> improvement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&lt; 300 </w:t>
      </w:r>
      <w:proofErr w:type="spellStart"/>
      <w:r w:rsidRPr="008A5994">
        <w:rPr>
          <w:rFonts w:ascii="Book Antiqua" w:hAnsi="Book Antiqua"/>
          <w:color w:val="000000" w:themeColor="text1"/>
          <w:lang w:val="en-US"/>
        </w:rPr>
        <w:t>μg</w:t>
      </w:r>
      <w:proofErr w:type="spellEnd"/>
      <w:r w:rsidRPr="008A5994">
        <w:rPr>
          <w:rFonts w:ascii="Book Antiqua" w:hAnsi="Book Antiqua"/>
          <w:color w:val="000000" w:themeColor="text1"/>
          <w:lang w:val="en-US"/>
        </w:rPr>
        <w:t xml:space="preserve">/g at W12; or, for patients with initial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&lt; 300 </w:t>
      </w:r>
      <w:proofErr w:type="spellStart"/>
      <w:r w:rsidRPr="008A5994">
        <w:rPr>
          <w:rFonts w:ascii="Book Antiqua" w:hAnsi="Book Antiqua"/>
          <w:color w:val="000000" w:themeColor="text1"/>
          <w:lang w:val="en-US"/>
        </w:rPr>
        <w:t>μg</w:t>
      </w:r>
      <w:proofErr w:type="spellEnd"/>
      <w:r w:rsidRPr="008A5994">
        <w:rPr>
          <w:rFonts w:ascii="Book Antiqua" w:hAnsi="Book Antiqua"/>
          <w:color w:val="000000" w:themeColor="text1"/>
          <w:lang w:val="en-US"/>
        </w:rPr>
        <w:t xml:space="preserve">/g, at least 50% decrease of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or normalization of </w:t>
      </w:r>
      <w:proofErr w:type="spellStart"/>
      <w:r w:rsidRPr="008A5994">
        <w:rPr>
          <w:rFonts w:ascii="Book Antiqua" w:hAnsi="Book Antiqua"/>
          <w:color w:val="000000" w:themeColor="text1"/>
          <w:lang w:val="en-US"/>
        </w:rPr>
        <w:t>Fcal</w:t>
      </w:r>
      <w:proofErr w:type="spellEnd"/>
      <w:r w:rsidRPr="008A5994">
        <w:rPr>
          <w:rFonts w:ascii="Book Antiqua" w:hAnsi="Book Antiqua"/>
          <w:color w:val="000000" w:themeColor="text1"/>
          <w:lang w:val="en-US"/>
        </w:rPr>
        <w:t xml:space="preserve"> (&lt; 100 </w:t>
      </w:r>
      <w:proofErr w:type="spellStart"/>
      <w:r w:rsidRPr="008A5994">
        <w:rPr>
          <w:rFonts w:ascii="Book Antiqua" w:hAnsi="Book Antiqua"/>
          <w:color w:val="000000" w:themeColor="text1"/>
          <w:lang w:val="en-US"/>
        </w:rPr>
        <w:t>μg</w:t>
      </w:r>
      <w:proofErr w:type="spellEnd"/>
      <w:r w:rsidRPr="008A5994">
        <w:rPr>
          <w:rFonts w:ascii="Book Antiqua" w:hAnsi="Book Antiqua"/>
          <w:color w:val="000000" w:themeColor="text1"/>
          <w:lang w:val="en-US"/>
        </w:rPr>
        <w:t>/g).</w:t>
      </w:r>
      <w:r w:rsidR="0071519A">
        <w:rPr>
          <w:rFonts w:ascii="Book Antiqua" w:hAnsi="Book Antiqua"/>
          <w:color w:val="000000" w:themeColor="text1"/>
          <w:lang w:val="en-US"/>
        </w:rPr>
        <w:t xml:space="preserve"> </w:t>
      </w:r>
      <w:r w:rsidR="0071519A" w:rsidRPr="00191607">
        <w:rPr>
          <w:rFonts w:ascii="Book Antiqua" w:hAnsi="Book Antiqua"/>
          <w:color w:val="000000" w:themeColor="text1"/>
          <w:lang w:val="en-US"/>
        </w:rPr>
        <w:t xml:space="preserve">CDAI: Crohn’s disease activity index; CRP: C-reactive protein; </w:t>
      </w:r>
      <w:proofErr w:type="spellStart"/>
      <w:r w:rsidR="0071519A" w:rsidRPr="00191607">
        <w:rPr>
          <w:rFonts w:ascii="Book Antiqua" w:hAnsi="Book Antiqua"/>
          <w:color w:val="000000" w:themeColor="text1"/>
          <w:lang w:val="en-US"/>
        </w:rPr>
        <w:t>Fcal</w:t>
      </w:r>
      <w:proofErr w:type="spellEnd"/>
      <w:r w:rsidR="0071519A" w:rsidRPr="00191607">
        <w:rPr>
          <w:rFonts w:ascii="Book Antiqua" w:hAnsi="Book Antiqua"/>
          <w:color w:val="000000" w:themeColor="text1"/>
          <w:lang w:val="en-US"/>
        </w:rPr>
        <w:t xml:space="preserve">: </w:t>
      </w:r>
      <w:proofErr w:type="spellStart"/>
      <w:r w:rsidR="0071519A" w:rsidRPr="00191607">
        <w:rPr>
          <w:rFonts w:ascii="Book Antiqua" w:hAnsi="Book Antiqua"/>
          <w:color w:val="000000" w:themeColor="text1"/>
          <w:lang w:val="en-US"/>
        </w:rPr>
        <w:t>Faecal</w:t>
      </w:r>
      <w:proofErr w:type="spellEnd"/>
      <w:r w:rsidR="0071519A" w:rsidRPr="00191607">
        <w:rPr>
          <w:rFonts w:ascii="Book Antiqua" w:hAnsi="Book Antiqua"/>
          <w:color w:val="000000" w:themeColor="text1"/>
          <w:lang w:val="en-US"/>
        </w:rPr>
        <w:t xml:space="preserve"> calprotectin</w:t>
      </w:r>
      <w:r w:rsidR="0071519A">
        <w:rPr>
          <w:rFonts w:ascii="Book Antiqua" w:hAnsi="Book Antiqua"/>
          <w:color w:val="000000" w:themeColor="text1"/>
          <w:lang w:val="en-US"/>
        </w:rPr>
        <w:t>.</w:t>
      </w:r>
    </w:p>
    <w:bookmarkEnd w:id="31"/>
    <w:bookmarkEnd w:id="32"/>
    <w:p w14:paraId="738AE240" w14:textId="2449D4E9" w:rsidR="00471DE1" w:rsidRPr="008A5994" w:rsidRDefault="00471DE1" w:rsidP="008A5994">
      <w:pPr>
        <w:adjustRightInd w:val="0"/>
        <w:snapToGrid w:val="0"/>
        <w:spacing w:line="360" w:lineRule="auto"/>
        <w:jc w:val="both"/>
        <w:rPr>
          <w:rFonts w:ascii="Book Antiqua" w:hAnsi="Book Antiqua"/>
          <w:color w:val="000000" w:themeColor="text1"/>
          <w:lang w:val="en-US"/>
        </w:rPr>
      </w:pPr>
    </w:p>
    <w:sectPr w:rsidR="00471DE1" w:rsidRPr="008A59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734EE" w14:textId="77777777" w:rsidR="00903297" w:rsidRDefault="00903297" w:rsidP="00351CDE">
      <w:r>
        <w:separator/>
      </w:r>
    </w:p>
  </w:endnote>
  <w:endnote w:type="continuationSeparator" w:id="0">
    <w:p w14:paraId="58B239BD" w14:textId="77777777" w:rsidR="00903297" w:rsidRDefault="00903297" w:rsidP="00351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ernhardMod BT">
    <w:altName w:val="Calibri"/>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auto"/>
    <w:pitch w:val="variable"/>
    <w:sig w:usb0="E00002FF" w:usb1="5000785B"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CC334" w14:textId="77777777" w:rsidR="00903297" w:rsidRDefault="00903297" w:rsidP="00351CDE">
      <w:r>
        <w:separator/>
      </w:r>
    </w:p>
  </w:footnote>
  <w:footnote w:type="continuationSeparator" w:id="0">
    <w:p w14:paraId="024E064C" w14:textId="77777777" w:rsidR="00903297" w:rsidRDefault="00903297" w:rsidP="00351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3B5C6B"/>
    <w:multiLevelType w:val="hybridMultilevel"/>
    <w:tmpl w:val="72A22B92"/>
    <w:lvl w:ilvl="0" w:tplc="1D7C9A7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5E7D5B"/>
    <w:multiLevelType w:val="hybridMultilevel"/>
    <w:tmpl w:val="66E2618A"/>
    <w:lvl w:ilvl="0" w:tplc="82D4A3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3876774"/>
    <w:multiLevelType w:val="hybridMultilevel"/>
    <w:tmpl w:val="ED56876A"/>
    <w:lvl w:ilvl="0" w:tplc="EA2EAD1E">
      <w:start w:val="1"/>
      <w:numFmt w:val="decimal"/>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7" w15:restartNumberingAfterBreak="0">
    <w:nsid w:val="18C50154"/>
    <w:multiLevelType w:val="hybridMultilevel"/>
    <w:tmpl w:val="2ED05F50"/>
    <w:lvl w:ilvl="0" w:tplc="0B0E72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28C6F6B"/>
    <w:multiLevelType w:val="hybridMultilevel"/>
    <w:tmpl w:val="2EFCBF5E"/>
    <w:lvl w:ilvl="0" w:tplc="BC4AF3B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2A73014"/>
    <w:multiLevelType w:val="hybridMultilevel"/>
    <w:tmpl w:val="72A22B92"/>
    <w:lvl w:ilvl="0" w:tplc="1D7C9A7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7181F38"/>
    <w:multiLevelType w:val="hybridMultilevel"/>
    <w:tmpl w:val="2544019C"/>
    <w:lvl w:ilvl="0" w:tplc="CACC9A5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42028B"/>
    <w:multiLevelType w:val="hybridMultilevel"/>
    <w:tmpl w:val="365003F8"/>
    <w:lvl w:ilvl="0" w:tplc="6082BBAC">
      <w:start w:val="2"/>
      <w:numFmt w:val="bullet"/>
      <w:lvlText w:val="-"/>
      <w:lvlJc w:val="left"/>
      <w:pPr>
        <w:ind w:left="1060" w:hanging="360"/>
      </w:pPr>
      <w:rPr>
        <w:rFonts w:ascii="Times New Roman" w:eastAsiaTheme="minorHAnsi" w:hAnsi="Times New Roman"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2" w15:restartNumberingAfterBreak="0">
    <w:nsid w:val="47C33CFA"/>
    <w:multiLevelType w:val="hybridMultilevel"/>
    <w:tmpl w:val="581E0356"/>
    <w:lvl w:ilvl="0" w:tplc="56E89F14">
      <w:start w:val="2"/>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637F4BBD"/>
    <w:multiLevelType w:val="hybridMultilevel"/>
    <w:tmpl w:val="E9669290"/>
    <w:lvl w:ilvl="0" w:tplc="2DD82DAC">
      <w:start w:val="1"/>
      <w:numFmt w:val="upperRoman"/>
      <w:lvlText w:val="%1-"/>
      <w:lvlJc w:val="left"/>
      <w:pPr>
        <w:ind w:left="720" w:hanging="720"/>
      </w:pPr>
      <w:rPr>
        <w:rFonts w:hint="default"/>
        <w:color w:val="4472C4" w:themeColor="accent1"/>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75708F8"/>
    <w:multiLevelType w:val="hybridMultilevel"/>
    <w:tmpl w:val="98849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9A6341B"/>
    <w:multiLevelType w:val="hybridMultilevel"/>
    <w:tmpl w:val="8B8A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16570D"/>
    <w:multiLevelType w:val="hybridMultilevel"/>
    <w:tmpl w:val="05A0055C"/>
    <w:lvl w:ilvl="0" w:tplc="B55868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6"/>
  </w:num>
  <w:num w:numId="5">
    <w:abstractNumId w:val="13"/>
  </w:num>
  <w:num w:numId="6">
    <w:abstractNumId w:val="9"/>
  </w:num>
  <w:num w:numId="7">
    <w:abstractNumId w:val="4"/>
  </w:num>
  <w:num w:numId="8">
    <w:abstractNumId w:val="14"/>
  </w:num>
  <w:num w:numId="9">
    <w:abstractNumId w:val="16"/>
  </w:num>
  <w:num w:numId="10">
    <w:abstractNumId w:val="15"/>
  </w:num>
  <w:num w:numId="11">
    <w:abstractNumId w:val="0"/>
  </w:num>
  <w:num w:numId="12">
    <w:abstractNumId w:val="1"/>
  </w:num>
  <w:num w:numId="13">
    <w:abstractNumId w:val="2"/>
  </w:num>
  <w:num w:numId="14">
    <w:abstractNumId w:val="3"/>
  </w:num>
  <w:num w:numId="15">
    <w:abstractNumId w:val="11"/>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7A9"/>
    <w:rsid w:val="00011516"/>
    <w:rsid w:val="0006647F"/>
    <w:rsid w:val="000A3616"/>
    <w:rsid w:val="000B228F"/>
    <w:rsid w:val="000D6D9B"/>
    <w:rsid w:val="00100EF7"/>
    <w:rsid w:val="00122640"/>
    <w:rsid w:val="001559F1"/>
    <w:rsid w:val="00164C8E"/>
    <w:rsid w:val="00174F0F"/>
    <w:rsid w:val="00191607"/>
    <w:rsid w:val="001A0541"/>
    <w:rsid w:val="001C08BF"/>
    <w:rsid w:val="001E3C01"/>
    <w:rsid w:val="0020050E"/>
    <w:rsid w:val="00215CDA"/>
    <w:rsid w:val="00247BE7"/>
    <w:rsid w:val="00272AE4"/>
    <w:rsid w:val="00272D50"/>
    <w:rsid w:val="00274FDC"/>
    <w:rsid w:val="002C38E0"/>
    <w:rsid w:val="002C79E4"/>
    <w:rsid w:val="002F1842"/>
    <w:rsid w:val="002F1FAE"/>
    <w:rsid w:val="00351CDE"/>
    <w:rsid w:val="00376DDF"/>
    <w:rsid w:val="003948B5"/>
    <w:rsid w:val="003B3FB0"/>
    <w:rsid w:val="003E3FE3"/>
    <w:rsid w:val="003F1310"/>
    <w:rsid w:val="00402DF5"/>
    <w:rsid w:val="00471DE1"/>
    <w:rsid w:val="0048191C"/>
    <w:rsid w:val="004B4541"/>
    <w:rsid w:val="004C6DB9"/>
    <w:rsid w:val="004C6EB9"/>
    <w:rsid w:val="00584EAE"/>
    <w:rsid w:val="00591E91"/>
    <w:rsid w:val="005C54B7"/>
    <w:rsid w:val="005E7693"/>
    <w:rsid w:val="005F2794"/>
    <w:rsid w:val="0060577E"/>
    <w:rsid w:val="0061699B"/>
    <w:rsid w:val="0066621B"/>
    <w:rsid w:val="00673803"/>
    <w:rsid w:val="006759B4"/>
    <w:rsid w:val="006B6FE3"/>
    <w:rsid w:val="006C3282"/>
    <w:rsid w:val="006F4066"/>
    <w:rsid w:val="007072EB"/>
    <w:rsid w:val="0071519A"/>
    <w:rsid w:val="007174A0"/>
    <w:rsid w:val="00733CEC"/>
    <w:rsid w:val="00742091"/>
    <w:rsid w:val="00744872"/>
    <w:rsid w:val="00787893"/>
    <w:rsid w:val="007C6A47"/>
    <w:rsid w:val="007E1FD5"/>
    <w:rsid w:val="0080082F"/>
    <w:rsid w:val="0081086E"/>
    <w:rsid w:val="008707A9"/>
    <w:rsid w:val="00897780"/>
    <w:rsid w:val="008A5994"/>
    <w:rsid w:val="008A72B6"/>
    <w:rsid w:val="00903297"/>
    <w:rsid w:val="009068FC"/>
    <w:rsid w:val="00925145"/>
    <w:rsid w:val="0097732B"/>
    <w:rsid w:val="009879C2"/>
    <w:rsid w:val="00993017"/>
    <w:rsid w:val="009B2E0E"/>
    <w:rsid w:val="009D2863"/>
    <w:rsid w:val="009F36F5"/>
    <w:rsid w:val="00A030B2"/>
    <w:rsid w:val="00A30463"/>
    <w:rsid w:val="00A511DE"/>
    <w:rsid w:val="00A555A0"/>
    <w:rsid w:val="00A80418"/>
    <w:rsid w:val="00AB2771"/>
    <w:rsid w:val="00AB38A7"/>
    <w:rsid w:val="00AB4965"/>
    <w:rsid w:val="00AB70E4"/>
    <w:rsid w:val="00AE5DFF"/>
    <w:rsid w:val="00B36817"/>
    <w:rsid w:val="00B6240A"/>
    <w:rsid w:val="00B951C9"/>
    <w:rsid w:val="00BD05A5"/>
    <w:rsid w:val="00C01A75"/>
    <w:rsid w:val="00C332E6"/>
    <w:rsid w:val="00C51631"/>
    <w:rsid w:val="00C76165"/>
    <w:rsid w:val="00C76AAA"/>
    <w:rsid w:val="00C92BC4"/>
    <w:rsid w:val="00C9791C"/>
    <w:rsid w:val="00D03075"/>
    <w:rsid w:val="00D37C54"/>
    <w:rsid w:val="00D52181"/>
    <w:rsid w:val="00D524EF"/>
    <w:rsid w:val="00D55B71"/>
    <w:rsid w:val="00D67B7A"/>
    <w:rsid w:val="00D74B7A"/>
    <w:rsid w:val="00D84B40"/>
    <w:rsid w:val="00D91275"/>
    <w:rsid w:val="00DF25AC"/>
    <w:rsid w:val="00E104F1"/>
    <w:rsid w:val="00E11F1F"/>
    <w:rsid w:val="00E12B8C"/>
    <w:rsid w:val="00E14D4A"/>
    <w:rsid w:val="00E1668E"/>
    <w:rsid w:val="00E536E0"/>
    <w:rsid w:val="00E57B23"/>
    <w:rsid w:val="00E70DED"/>
    <w:rsid w:val="00E96617"/>
    <w:rsid w:val="00EB1AAA"/>
    <w:rsid w:val="00F12797"/>
    <w:rsid w:val="00F67176"/>
    <w:rsid w:val="00FA3782"/>
    <w:rsid w:val="00FC0EF1"/>
    <w:rsid w:val="00FC32BF"/>
    <w:rsid w:val="00FF5C7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4082E"/>
  <w15:chartTrackingRefBased/>
  <w15:docId w15:val="{1DC7793B-26C4-4FAD-9C3E-CEA8E21F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07A9"/>
    <w:pPr>
      <w:spacing w:after="0" w:line="240" w:lineRule="auto"/>
    </w:pPr>
    <w:rPr>
      <w:rFonts w:ascii="Times New Roman" w:hAnsi="Times New Roman" w:cs="Times New Roman"/>
      <w:sz w:val="24"/>
      <w:szCs w:val="24"/>
      <w:lang w:eastAsia="fr-FR"/>
    </w:rPr>
  </w:style>
  <w:style w:type="paragraph" w:styleId="Heading1">
    <w:name w:val="heading 1"/>
    <w:basedOn w:val="Normal"/>
    <w:next w:val="Normal"/>
    <w:link w:val="Heading1Char"/>
    <w:uiPriority w:val="9"/>
    <w:qFormat/>
    <w:rsid w:val="008707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07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707A9"/>
    <w:pPr>
      <w:keepNext/>
      <w:keepLines/>
      <w:spacing w:before="40" w:line="360" w:lineRule="auto"/>
      <w:ind w:firstLine="708"/>
      <w:jc w:val="both"/>
      <w:outlineLvl w:val="2"/>
    </w:pPr>
    <w:rPr>
      <w:rFonts w:eastAsiaTheme="majorEastAsia"/>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7A9"/>
    <w:rPr>
      <w:rFonts w:asciiTheme="majorHAnsi" w:eastAsiaTheme="majorEastAsia" w:hAnsiTheme="majorHAnsi" w:cstheme="majorBidi"/>
      <w:color w:val="2F5496" w:themeColor="accent1" w:themeShade="BF"/>
      <w:sz w:val="32"/>
      <w:szCs w:val="32"/>
      <w:lang w:eastAsia="fr-FR"/>
    </w:rPr>
  </w:style>
  <w:style w:type="character" w:customStyle="1" w:styleId="Heading2Char">
    <w:name w:val="Heading 2 Char"/>
    <w:basedOn w:val="DefaultParagraphFont"/>
    <w:link w:val="Heading2"/>
    <w:uiPriority w:val="9"/>
    <w:rsid w:val="008707A9"/>
    <w:rPr>
      <w:rFonts w:asciiTheme="majorHAnsi" w:eastAsiaTheme="majorEastAsia" w:hAnsiTheme="majorHAnsi" w:cstheme="majorBidi"/>
      <w:color w:val="2F5496" w:themeColor="accent1" w:themeShade="BF"/>
      <w:sz w:val="26"/>
      <w:szCs w:val="26"/>
      <w:lang w:eastAsia="fr-FR"/>
    </w:rPr>
  </w:style>
  <w:style w:type="character" w:customStyle="1" w:styleId="Heading3Char">
    <w:name w:val="Heading 3 Char"/>
    <w:basedOn w:val="DefaultParagraphFont"/>
    <w:link w:val="Heading3"/>
    <w:uiPriority w:val="9"/>
    <w:rsid w:val="008707A9"/>
    <w:rPr>
      <w:rFonts w:ascii="Times New Roman" w:eastAsiaTheme="majorEastAsia" w:hAnsi="Times New Roman" w:cs="Times New Roman"/>
      <w:color w:val="000000"/>
      <w:sz w:val="24"/>
      <w:szCs w:val="24"/>
    </w:rPr>
  </w:style>
  <w:style w:type="paragraph" w:customStyle="1" w:styleId="adresse">
    <w:name w:val="adresse"/>
    <w:basedOn w:val="Normal"/>
    <w:rsid w:val="008707A9"/>
    <w:pPr>
      <w:tabs>
        <w:tab w:val="left" w:pos="567"/>
      </w:tabs>
      <w:overflowPunct w:val="0"/>
      <w:autoSpaceDE w:val="0"/>
      <w:autoSpaceDN w:val="0"/>
      <w:adjustRightInd w:val="0"/>
      <w:spacing w:before="240"/>
      <w:textAlignment w:val="baseline"/>
    </w:pPr>
    <w:rPr>
      <w:rFonts w:ascii="BernhardMod BT" w:eastAsia="Times New Roman" w:hAnsi="BernhardMod BT"/>
      <w:szCs w:val="20"/>
    </w:rPr>
  </w:style>
  <w:style w:type="paragraph" w:styleId="TOCHeading">
    <w:name w:val="TOC Heading"/>
    <w:basedOn w:val="Heading1"/>
    <w:next w:val="Normal"/>
    <w:uiPriority w:val="39"/>
    <w:unhideWhenUsed/>
    <w:qFormat/>
    <w:rsid w:val="008707A9"/>
    <w:pPr>
      <w:spacing w:before="480" w:line="276" w:lineRule="auto"/>
      <w:outlineLvl w:val="9"/>
    </w:pPr>
    <w:rPr>
      <w:b/>
      <w:bCs/>
      <w:sz w:val="28"/>
      <w:szCs w:val="28"/>
    </w:rPr>
  </w:style>
  <w:style w:type="paragraph" w:styleId="TOC1">
    <w:name w:val="toc 1"/>
    <w:basedOn w:val="Normal"/>
    <w:next w:val="Normal"/>
    <w:autoRedefine/>
    <w:uiPriority w:val="39"/>
    <w:unhideWhenUsed/>
    <w:rsid w:val="008707A9"/>
    <w:pPr>
      <w:overflowPunct w:val="0"/>
      <w:autoSpaceDE w:val="0"/>
      <w:autoSpaceDN w:val="0"/>
      <w:adjustRightInd w:val="0"/>
      <w:spacing w:before="120"/>
      <w:textAlignment w:val="baseline"/>
    </w:pPr>
    <w:rPr>
      <w:rFonts w:asciiTheme="majorHAnsi" w:eastAsia="Times New Roman" w:hAnsiTheme="majorHAnsi"/>
      <w:b/>
      <w:bCs/>
      <w:color w:val="548DD4"/>
    </w:rPr>
  </w:style>
  <w:style w:type="paragraph" w:styleId="TOC2">
    <w:name w:val="toc 2"/>
    <w:basedOn w:val="Normal"/>
    <w:next w:val="Normal"/>
    <w:autoRedefine/>
    <w:uiPriority w:val="39"/>
    <w:unhideWhenUsed/>
    <w:rsid w:val="008707A9"/>
    <w:pPr>
      <w:overflowPunct w:val="0"/>
      <w:autoSpaceDE w:val="0"/>
      <w:autoSpaceDN w:val="0"/>
      <w:adjustRightInd w:val="0"/>
      <w:textAlignment w:val="baseline"/>
    </w:pPr>
    <w:rPr>
      <w:rFonts w:asciiTheme="minorHAnsi" w:eastAsia="Times New Roman" w:hAnsiTheme="minorHAnsi"/>
      <w:sz w:val="22"/>
      <w:szCs w:val="22"/>
    </w:rPr>
  </w:style>
  <w:style w:type="paragraph" w:styleId="TOC3">
    <w:name w:val="toc 3"/>
    <w:basedOn w:val="Normal"/>
    <w:next w:val="Normal"/>
    <w:autoRedefine/>
    <w:uiPriority w:val="39"/>
    <w:unhideWhenUsed/>
    <w:rsid w:val="008707A9"/>
    <w:pPr>
      <w:overflowPunct w:val="0"/>
      <w:autoSpaceDE w:val="0"/>
      <w:autoSpaceDN w:val="0"/>
      <w:adjustRightInd w:val="0"/>
      <w:ind w:left="200"/>
      <w:textAlignment w:val="baseline"/>
    </w:pPr>
    <w:rPr>
      <w:rFonts w:asciiTheme="minorHAnsi" w:eastAsia="Times New Roman" w:hAnsiTheme="minorHAnsi"/>
      <w:i/>
      <w:iCs/>
      <w:sz w:val="22"/>
      <w:szCs w:val="22"/>
    </w:rPr>
  </w:style>
  <w:style w:type="character" w:styleId="Hyperlink">
    <w:name w:val="Hyperlink"/>
    <w:basedOn w:val="DefaultParagraphFont"/>
    <w:uiPriority w:val="99"/>
    <w:unhideWhenUsed/>
    <w:rsid w:val="008707A9"/>
    <w:rPr>
      <w:color w:val="0563C1" w:themeColor="hyperlink"/>
      <w:u w:val="single"/>
    </w:rPr>
  </w:style>
  <w:style w:type="paragraph" w:styleId="TOC4">
    <w:name w:val="toc 4"/>
    <w:basedOn w:val="Normal"/>
    <w:next w:val="Normal"/>
    <w:autoRedefine/>
    <w:uiPriority w:val="39"/>
    <w:semiHidden/>
    <w:unhideWhenUsed/>
    <w:rsid w:val="008707A9"/>
    <w:pPr>
      <w:pBdr>
        <w:between w:val="double" w:sz="6" w:space="0" w:color="auto"/>
      </w:pBdr>
      <w:overflowPunct w:val="0"/>
      <w:autoSpaceDE w:val="0"/>
      <w:autoSpaceDN w:val="0"/>
      <w:adjustRightInd w:val="0"/>
      <w:ind w:left="400"/>
      <w:textAlignment w:val="baseline"/>
    </w:pPr>
    <w:rPr>
      <w:rFonts w:asciiTheme="minorHAnsi" w:eastAsia="Times New Roman" w:hAnsiTheme="minorHAnsi"/>
      <w:sz w:val="20"/>
      <w:szCs w:val="20"/>
    </w:rPr>
  </w:style>
  <w:style w:type="paragraph" w:styleId="TOC5">
    <w:name w:val="toc 5"/>
    <w:basedOn w:val="Normal"/>
    <w:next w:val="Normal"/>
    <w:autoRedefine/>
    <w:uiPriority w:val="39"/>
    <w:semiHidden/>
    <w:unhideWhenUsed/>
    <w:rsid w:val="008707A9"/>
    <w:pPr>
      <w:pBdr>
        <w:between w:val="double" w:sz="6" w:space="0" w:color="auto"/>
      </w:pBdr>
      <w:overflowPunct w:val="0"/>
      <w:autoSpaceDE w:val="0"/>
      <w:autoSpaceDN w:val="0"/>
      <w:adjustRightInd w:val="0"/>
      <w:ind w:left="600"/>
      <w:textAlignment w:val="baseline"/>
    </w:pPr>
    <w:rPr>
      <w:rFonts w:asciiTheme="minorHAnsi" w:eastAsia="Times New Roman" w:hAnsiTheme="minorHAnsi"/>
      <w:sz w:val="20"/>
      <w:szCs w:val="20"/>
    </w:rPr>
  </w:style>
  <w:style w:type="paragraph" w:styleId="TOC6">
    <w:name w:val="toc 6"/>
    <w:basedOn w:val="Normal"/>
    <w:next w:val="Normal"/>
    <w:autoRedefine/>
    <w:uiPriority w:val="39"/>
    <w:semiHidden/>
    <w:unhideWhenUsed/>
    <w:rsid w:val="008707A9"/>
    <w:pPr>
      <w:pBdr>
        <w:between w:val="double" w:sz="6" w:space="0" w:color="auto"/>
      </w:pBdr>
      <w:overflowPunct w:val="0"/>
      <w:autoSpaceDE w:val="0"/>
      <w:autoSpaceDN w:val="0"/>
      <w:adjustRightInd w:val="0"/>
      <w:ind w:left="800"/>
      <w:textAlignment w:val="baseline"/>
    </w:pPr>
    <w:rPr>
      <w:rFonts w:asciiTheme="minorHAnsi" w:eastAsia="Times New Roman" w:hAnsiTheme="minorHAnsi"/>
      <w:sz w:val="20"/>
      <w:szCs w:val="20"/>
    </w:rPr>
  </w:style>
  <w:style w:type="paragraph" w:styleId="TOC7">
    <w:name w:val="toc 7"/>
    <w:basedOn w:val="Normal"/>
    <w:next w:val="Normal"/>
    <w:autoRedefine/>
    <w:uiPriority w:val="39"/>
    <w:semiHidden/>
    <w:unhideWhenUsed/>
    <w:rsid w:val="008707A9"/>
    <w:pPr>
      <w:pBdr>
        <w:between w:val="double" w:sz="6" w:space="0" w:color="auto"/>
      </w:pBdr>
      <w:overflowPunct w:val="0"/>
      <w:autoSpaceDE w:val="0"/>
      <w:autoSpaceDN w:val="0"/>
      <w:adjustRightInd w:val="0"/>
      <w:ind w:left="1000"/>
      <w:textAlignment w:val="baseline"/>
    </w:pPr>
    <w:rPr>
      <w:rFonts w:asciiTheme="minorHAnsi" w:eastAsia="Times New Roman" w:hAnsiTheme="minorHAnsi"/>
      <w:sz w:val="20"/>
      <w:szCs w:val="20"/>
    </w:rPr>
  </w:style>
  <w:style w:type="paragraph" w:styleId="TOC8">
    <w:name w:val="toc 8"/>
    <w:basedOn w:val="Normal"/>
    <w:next w:val="Normal"/>
    <w:autoRedefine/>
    <w:uiPriority w:val="39"/>
    <w:semiHidden/>
    <w:unhideWhenUsed/>
    <w:rsid w:val="008707A9"/>
    <w:pPr>
      <w:pBdr>
        <w:between w:val="double" w:sz="6" w:space="0" w:color="auto"/>
      </w:pBdr>
      <w:overflowPunct w:val="0"/>
      <w:autoSpaceDE w:val="0"/>
      <w:autoSpaceDN w:val="0"/>
      <w:adjustRightInd w:val="0"/>
      <w:ind w:left="1200"/>
      <w:textAlignment w:val="baseline"/>
    </w:pPr>
    <w:rPr>
      <w:rFonts w:asciiTheme="minorHAnsi" w:eastAsia="Times New Roman" w:hAnsiTheme="minorHAnsi"/>
      <w:sz w:val="20"/>
      <w:szCs w:val="20"/>
    </w:rPr>
  </w:style>
  <w:style w:type="paragraph" w:styleId="TOC9">
    <w:name w:val="toc 9"/>
    <w:basedOn w:val="Normal"/>
    <w:next w:val="Normal"/>
    <w:autoRedefine/>
    <w:uiPriority w:val="39"/>
    <w:semiHidden/>
    <w:unhideWhenUsed/>
    <w:rsid w:val="008707A9"/>
    <w:pPr>
      <w:pBdr>
        <w:between w:val="double" w:sz="6" w:space="0" w:color="auto"/>
      </w:pBdr>
      <w:overflowPunct w:val="0"/>
      <w:autoSpaceDE w:val="0"/>
      <w:autoSpaceDN w:val="0"/>
      <w:adjustRightInd w:val="0"/>
      <w:ind w:left="1400"/>
      <w:textAlignment w:val="baseline"/>
    </w:pPr>
    <w:rPr>
      <w:rFonts w:asciiTheme="minorHAnsi" w:eastAsia="Times New Roman" w:hAnsiTheme="minorHAnsi"/>
      <w:sz w:val="20"/>
      <w:szCs w:val="20"/>
    </w:rPr>
  </w:style>
  <w:style w:type="paragraph" w:styleId="ListParagraph">
    <w:name w:val="List Paragraph"/>
    <w:basedOn w:val="Normal"/>
    <w:uiPriority w:val="34"/>
    <w:qFormat/>
    <w:rsid w:val="008707A9"/>
    <w:pPr>
      <w:overflowPunct w:val="0"/>
      <w:autoSpaceDE w:val="0"/>
      <w:autoSpaceDN w:val="0"/>
      <w:adjustRightInd w:val="0"/>
      <w:ind w:left="720"/>
      <w:contextualSpacing/>
      <w:textAlignment w:val="baseline"/>
    </w:pPr>
    <w:rPr>
      <w:rFonts w:eastAsia="Times New Roman"/>
      <w:sz w:val="20"/>
      <w:szCs w:val="20"/>
    </w:rPr>
  </w:style>
  <w:style w:type="paragraph" w:styleId="NormalWeb">
    <w:name w:val="Normal (Web)"/>
    <w:basedOn w:val="Normal"/>
    <w:uiPriority w:val="99"/>
    <w:unhideWhenUsed/>
    <w:rsid w:val="008707A9"/>
    <w:pPr>
      <w:spacing w:before="100" w:beforeAutospacing="1" w:after="100" w:afterAutospacing="1"/>
    </w:pPr>
  </w:style>
  <w:style w:type="paragraph" w:customStyle="1" w:styleId="Bibliographie1">
    <w:name w:val="Bibliographie1"/>
    <w:basedOn w:val="Normal"/>
    <w:rsid w:val="008707A9"/>
    <w:pPr>
      <w:widowControl w:val="0"/>
      <w:tabs>
        <w:tab w:val="left" w:pos="380"/>
      </w:tabs>
      <w:autoSpaceDE w:val="0"/>
      <w:autoSpaceDN w:val="0"/>
      <w:adjustRightInd w:val="0"/>
      <w:spacing w:after="240"/>
      <w:ind w:left="384" w:hanging="384"/>
    </w:pPr>
    <w:rPr>
      <w:color w:val="000000"/>
      <w:lang w:eastAsia="en-US"/>
    </w:rPr>
  </w:style>
  <w:style w:type="character" w:customStyle="1" w:styleId="apple-tab-span">
    <w:name w:val="apple-tab-span"/>
    <w:basedOn w:val="DefaultParagraphFont"/>
    <w:rsid w:val="008707A9"/>
  </w:style>
  <w:style w:type="paragraph" w:styleId="BalloonText">
    <w:name w:val="Balloon Text"/>
    <w:basedOn w:val="Normal"/>
    <w:link w:val="BalloonTextChar"/>
    <w:uiPriority w:val="99"/>
    <w:semiHidden/>
    <w:unhideWhenUsed/>
    <w:rsid w:val="008707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7A9"/>
    <w:rPr>
      <w:rFonts w:ascii="Segoe UI" w:hAnsi="Segoe UI" w:cs="Segoe UI"/>
      <w:sz w:val="18"/>
      <w:szCs w:val="18"/>
      <w:lang w:eastAsia="fr-FR"/>
    </w:rPr>
  </w:style>
  <w:style w:type="character" w:styleId="CommentReference">
    <w:name w:val="annotation reference"/>
    <w:basedOn w:val="DefaultParagraphFont"/>
    <w:uiPriority w:val="99"/>
    <w:semiHidden/>
    <w:unhideWhenUsed/>
    <w:rsid w:val="008707A9"/>
    <w:rPr>
      <w:sz w:val="16"/>
      <w:szCs w:val="16"/>
    </w:rPr>
  </w:style>
  <w:style w:type="paragraph" w:styleId="CommentText">
    <w:name w:val="annotation text"/>
    <w:basedOn w:val="Normal"/>
    <w:link w:val="CommentTextChar"/>
    <w:uiPriority w:val="99"/>
    <w:unhideWhenUsed/>
    <w:rsid w:val="008707A9"/>
    <w:rPr>
      <w:sz w:val="20"/>
      <w:szCs w:val="20"/>
    </w:rPr>
  </w:style>
  <w:style w:type="character" w:customStyle="1" w:styleId="CommentTextChar">
    <w:name w:val="Comment Text Char"/>
    <w:basedOn w:val="DefaultParagraphFont"/>
    <w:link w:val="CommentText"/>
    <w:uiPriority w:val="99"/>
    <w:rsid w:val="008707A9"/>
    <w:rPr>
      <w:rFonts w:ascii="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8707A9"/>
    <w:rPr>
      <w:b/>
      <w:bCs/>
    </w:rPr>
  </w:style>
  <w:style w:type="character" w:customStyle="1" w:styleId="CommentSubjectChar">
    <w:name w:val="Comment Subject Char"/>
    <w:basedOn w:val="CommentTextChar"/>
    <w:link w:val="CommentSubject"/>
    <w:uiPriority w:val="99"/>
    <w:semiHidden/>
    <w:rsid w:val="008707A9"/>
    <w:rPr>
      <w:rFonts w:ascii="Times New Roman" w:hAnsi="Times New Roman" w:cs="Times New Roman"/>
      <w:b/>
      <w:bCs/>
      <w:sz w:val="20"/>
      <w:szCs w:val="20"/>
      <w:lang w:eastAsia="fr-FR"/>
    </w:rPr>
  </w:style>
  <w:style w:type="paragraph" w:styleId="Revision">
    <w:name w:val="Revision"/>
    <w:hidden/>
    <w:uiPriority w:val="99"/>
    <w:semiHidden/>
    <w:rsid w:val="008707A9"/>
    <w:pPr>
      <w:spacing w:after="0" w:line="240" w:lineRule="auto"/>
    </w:pPr>
    <w:rPr>
      <w:rFonts w:ascii="Times New Roman" w:hAnsi="Times New Roman" w:cs="Times New Roman"/>
      <w:sz w:val="24"/>
      <w:szCs w:val="24"/>
      <w:lang w:eastAsia="fr-FR"/>
    </w:rPr>
  </w:style>
  <w:style w:type="paragraph" w:styleId="Bibliography">
    <w:name w:val="Bibliography"/>
    <w:basedOn w:val="Normal"/>
    <w:next w:val="Normal"/>
    <w:uiPriority w:val="37"/>
    <w:unhideWhenUsed/>
    <w:rsid w:val="008707A9"/>
    <w:pPr>
      <w:tabs>
        <w:tab w:val="left" w:pos="504"/>
      </w:tabs>
      <w:spacing w:after="240"/>
      <w:ind w:left="504" w:hanging="504"/>
    </w:pPr>
  </w:style>
  <w:style w:type="character" w:styleId="PlaceholderText">
    <w:name w:val="Placeholder Text"/>
    <w:basedOn w:val="DefaultParagraphFont"/>
    <w:uiPriority w:val="99"/>
    <w:semiHidden/>
    <w:rsid w:val="008707A9"/>
    <w:rPr>
      <w:color w:val="808080"/>
    </w:rPr>
  </w:style>
  <w:style w:type="table" w:styleId="TableGrid">
    <w:name w:val="Table Grid"/>
    <w:basedOn w:val="TableNormal"/>
    <w:uiPriority w:val="39"/>
    <w:rsid w:val="008707A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707A9"/>
    <w:rPr>
      <w:b/>
      <w:bCs/>
    </w:rPr>
  </w:style>
  <w:style w:type="paragraph" w:customStyle="1" w:styleId="ecxmsonormal">
    <w:name w:val="ecxmsonormal"/>
    <w:basedOn w:val="Normal"/>
    <w:rsid w:val="008707A9"/>
    <w:pPr>
      <w:suppressAutoHyphens/>
      <w:autoSpaceDN w:val="0"/>
      <w:spacing w:before="100" w:after="100"/>
      <w:textAlignment w:val="baseline"/>
    </w:pPr>
    <w:rPr>
      <w:rFonts w:eastAsia="Times New Roman"/>
      <w:kern w:val="3"/>
    </w:rPr>
  </w:style>
  <w:style w:type="paragraph" w:styleId="Header">
    <w:name w:val="header"/>
    <w:basedOn w:val="Normal"/>
    <w:link w:val="HeaderChar"/>
    <w:uiPriority w:val="99"/>
    <w:unhideWhenUsed/>
    <w:rsid w:val="008707A9"/>
    <w:pPr>
      <w:tabs>
        <w:tab w:val="center" w:pos="4536"/>
        <w:tab w:val="right" w:pos="9072"/>
      </w:tabs>
    </w:pPr>
  </w:style>
  <w:style w:type="character" w:customStyle="1" w:styleId="HeaderChar">
    <w:name w:val="Header Char"/>
    <w:basedOn w:val="DefaultParagraphFont"/>
    <w:link w:val="Header"/>
    <w:uiPriority w:val="99"/>
    <w:rsid w:val="008707A9"/>
    <w:rPr>
      <w:rFonts w:ascii="Times New Roman" w:hAnsi="Times New Roman" w:cs="Times New Roman"/>
      <w:sz w:val="24"/>
      <w:szCs w:val="24"/>
      <w:lang w:eastAsia="fr-FR"/>
    </w:rPr>
  </w:style>
  <w:style w:type="paragraph" w:styleId="Footer">
    <w:name w:val="footer"/>
    <w:basedOn w:val="Normal"/>
    <w:link w:val="FooterChar"/>
    <w:uiPriority w:val="99"/>
    <w:unhideWhenUsed/>
    <w:rsid w:val="008707A9"/>
    <w:pPr>
      <w:tabs>
        <w:tab w:val="center" w:pos="4536"/>
        <w:tab w:val="right" w:pos="9072"/>
      </w:tabs>
    </w:pPr>
  </w:style>
  <w:style w:type="character" w:customStyle="1" w:styleId="FooterChar">
    <w:name w:val="Footer Char"/>
    <w:basedOn w:val="DefaultParagraphFont"/>
    <w:link w:val="Footer"/>
    <w:uiPriority w:val="99"/>
    <w:rsid w:val="008707A9"/>
    <w:rPr>
      <w:rFonts w:ascii="Times New Roman" w:hAnsi="Times New Roman" w:cs="Times New Roman"/>
      <w:sz w:val="24"/>
      <w:szCs w:val="24"/>
      <w:lang w:eastAsia="fr-FR"/>
    </w:rPr>
  </w:style>
  <w:style w:type="table" w:styleId="PlainTable5">
    <w:name w:val="Plain Table 5"/>
    <w:basedOn w:val="TableNormal"/>
    <w:uiPriority w:val="45"/>
    <w:rsid w:val="00591E9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Header">
    <w:name w:val="TableHeader"/>
    <w:basedOn w:val="Normal"/>
    <w:rsid w:val="00471DE1"/>
    <w:pPr>
      <w:spacing w:before="120"/>
    </w:pPr>
    <w:rPr>
      <w:rFonts w:eastAsia="Times New Roman"/>
      <w:b/>
      <w:szCs w:val="20"/>
      <w:lang w:val="en-GB" w:eastAsia="en-US"/>
    </w:rPr>
  </w:style>
  <w:style w:type="paragraph" w:customStyle="1" w:styleId="TableSubHead">
    <w:name w:val="TableSubHead"/>
    <w:basedOn w:val="TableHeader"/>
    <w:rsid w:val="00471DE1"/>
  </w:style>
  <w:style w:type="paragraph" w:customStyle="1" w:styleId="TableTitle">
    <w:name w:val="TableTitle"/>
    <w:basedOn w:val="Normal"/>
    <w:rsid w:val="00471DE1"/>
    <w:pPr>
      <w:spacing w:line="300" w:lineRule="exact"/>
    </w:pPr>
    <w:rPr>
      <w:rFonts w:eastAsia="Times New Roman"/>
      <w:szCs w:val="20"/>
      <w:lang w:val="en-GB" w:eastAsia="en-US"/>
    </w:rPr>
  </w:style>
  <w:style w:type="paragraph" w:customStyle="1" w:styleId="Standard">
    <w:name w:val="Standard"/>
    <w:rsid w:val="002C38E0"/>
    <w:pPr>
      <w:suppressAutoHyphens/>
      <w:autoSpaceDN w:val="0"/>
      <w:spacing w:after="200" w:line="276" w:lineRule="auto"/>
      <w:textAlignment w:val="baseline"/>
    </w:pPr>
    <w:rPr>
      <w:rFonts w:ascii="Calibri" w:eastAsia="SimSun" w:hAnsi="Calibri" w:cs="F"/>
      <w:kern w:val="3"/>
    </w:rPr>
  </w:style>
  <w:style w:type="paragraph" w:customStyle="1" w:styleId="1">
    <w:name w:val="正文1"/>
    <w:uiPriority w:val="99"/>
    <w:rsid w:val="00AB2771"/>
    <w:pPr>
      <w:spacing w:after="0" w:line="276" w:lineRule="auto"/>
    </w:pPr>
    <w:rPr>
      <w:rFonts w:ascii="Arial" w:eastAsia="SimSun" w:hAnsi="Arial" w:cs="Arial"/>
      <w:color w:val="000000"/>
      <w:szCs w:val="20"/>
      <w:lang w:val="pl-PL" w:eastAsia="pl-PL"/>
    </w:rPr>
  </w:style>
  <w:style w:type="paragraph" w:customStyle="1" w:styleId="p1">
    <w:name w:val="p1"/>
    <w:basedOn w:val="Normal"/>
    <w:rsid w:val="00AB2771"/>
    <w:rPr>
      <w:rFonts w:ascii="Helvetica" w:hAnsi="Helvetica"/>
      <w:sz w:val="18"/>
      <w:szCs w:val="18"/>
      <w:lang w:val="en-US" w:eastAsia="zh-CN"/>
    </w:rPr>
  </w:style>
  <w:style w:type="character" w:customStyle="1" w:styleId="10">
    <w:name w:val="未处理的提及1"/>
    <w:basedOn w:val="DefaultParagraphFont"/>
    <w:uiPriority w:val="99"/>
    <w:rsid w:val="00F12797"/>
    <w:rPr>
      <w:color w:val="605E5C"/>
      <w:shd w:val="clear" w:color="auto" w:fill="E1DFDD"/>
    </w:rPr>
  </w:style>
  <w:style w:type="paragraph" w:styleId="DocumentMap">
    <w:name w:val="Document Map"/>
    <w:basedOn w:val="Normal"/>
    <w:link w:val="DocumentMapChar"/>
    <w:uiPriority w:val="99"/>
    <w:semiHidden/>
    <w:unhideWhenUsed/>
    <w:rsid w:val="00A555A0"/>
    <w:rPr>
      <w:rFonts w:ascii="SimSun" w:eastAsia="SimSun"/>
    </w:rPr>
  </w:style>
  <w:style w:type="character" w:customStyle="1" w:styleId="DocumentMapChar">
    <w:name w:val="Document Map Char"/>
    <w:basedOn w:val="DefaultParagraphFont"/>
    <w:link w:val="DocumentMap"/>
    <w:uiPriority w:val="99"/>
    <w:semiHidden/>
    <w:rsid w:val="00A555A0"/>
    <w:rPr>
      <w:rFonts w:ascii="SimSun" w:eastAsia="SimSu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3088">
      <w:bodyDiv w:val="1"/>
      <w:marLeft w:val="0"/>
      <w:marRight w:val="0"/>
      <w:marTop w:val="0"/>
      <w:marBottom w:val="0"/>
      <w:divBdr>
        <w:top w:val="none" w:sz="0" w:space="0" w:color="auto"/>
        <w:left w:val="none" w:sz="0" w:space="0" w:color="auto"/>
        <w:bottom w:val="none" w:sz="0" w:space="0" w:color="auto"/>
        <w:right w:val="none" w:sz="0" w:space="0" w:color="auto"/>
      </w:divBdr>
      <w:divsChild>
        <w:div w:id="198400085">
          <w:marLeft w:val="0"/>
          <w:marRight w:val="0"/>
          <w:marTop w:val="0"/>
          <w:marBottom w:val="0"/>
          <w:divBdr>
            <w:top w:val="none" w:sz="0" w:space="0" w:color="auto"/>
            <w:left w:val="none" w:sz="0" w:space="0" w:color="auto"/>
            <w:bottom w:val="none" w:sz="0" w:space="0" w:color="auto"/>
            <w:right w:val="none" w:sz="0" w:space="0" w:color="auto"/>
          </w:divBdr>
          <w:divsChild>
            <w:div w:id="391464251">
              <w:marLeft w:val="0"/>
              <w:marRight w:val="0"/>
              <w:marTop w:val="0"/>
              <w:marBottom w:val="0"/>
              <w:divBdr>
                <w:top w:val="none" w:sz="0" w:space="0" w:color="auto"/>
                <w:left w:val="none" w:sz="0" w:space="0" w:color="auto"/>
                <w:bottom w:val="none" w:sz="0" w:space="0" w:color="auto"/>
                <w:right w:val="none" w:sz="0" w:space="0" w:color="auto"/>
              </w:divBdr>
              <w:divsChild>
                <w:div w:id="2083258831">
                  <w:marLeft w:val="0"/>
                  <w:marRight w:val="0"/>
                  <w:marTop w:val="0"/>
                  <w:marBottom w:val="0"/>
                  <w:divBdr>
                    <w:top w:val="none" w:sz="0" w:space="0" w:color="auto"/>
                    <w:left w:val="none" w:sz="0" w:space="0" w:color="auto"/>
                    <w:bottom w:val="none" w:sz="0" w:space="0" w:color="auto"/>
                    <w:right w:val="none" w:sz="0" w:space="0" w:color="auto"/>
                  </w:divBdr>
                  <w:divsChild>
                    <w:div w:id="1718773140">
                      <w:marLeft w:val="0"/>
                      <w:marRight w:val="0"/>
                      <w:marTop w:val="0"/>
                      <w:marBottom w:val="0"/>
                      <w:divBdr>
                        <w:top w:val="none" w:sz="0" w:space="0" w:color="auto"/>
                        <w:left w:val="none" w:sz="0" w:space="0" w:color="auto"/>
                        <w:bottom w:val="none" w:sz="0" w:space="0" w:color="auto"/>
                        <w:right w:val="none" w:sz="0" w:space="0" w:color="auto"/>
                      </w:divBdr>
                    </w:div>
                  </w:divsChild>
                </w:div>
                <w:div w:id="313679692">
                  <w:marLeft w:val="0"/>
                  <w:marRight w:val="0"/>
                  <w:marTop w:val="0"/>
                  <w:marBottom w:val="0"/>
                  <w:divBdr>
                    <w:top w:val="none" w:sz="0" w:space="0" w:color="auto"/>
                    <w:left w:val="none" w:sz="0" w:space="0" w:color="auto"/>
                    <w:bottom w:val="none" w:sz="0" w:space="0" w:color="auto"/>
                    <w:right w:val="none" w:sz="0" w:space="0" w:color="auto"/>
                  </w:divBdr>
                  <w:divsChild>
                    <w:div w:id="944575019">
                      <w:marLeft w:val="0"/>
                      <w:marRight w:val="0"/>
                      <w:marTop w:val="0"/>
                      <w:marBottom w:val="0"/>
                      <w:divBdr>
                        <w:top w:val="none" w:sz="0" w:space="0" w:color="auto"/>
                        <w:left w:val="none" w:sz="0" w:space="0" w:color="auto"/>
                        <w:bottom w:val="none" w:sz="0" w:space="0" w:color="auto"/>
                        <w:right w:val="none" w:sz="0" w:space="0" w:color="auto"/>
                      </w:divBdr>
                      <w:divsChild>
                        <w:div w:id="234168140">
                          <w:marLeft w:val="0"/>
                          <w:marRight w:val="0"/>
                          <w:marTop w:val="0"/>
                          <w:marBottom w:val="0"/>
                          <w:divBdr>
                            <w:top w:val="none" w:sz="0" w:space="0" w:color="auto"/>
                            <w:left w:val="none" w:sz="0" w:space="0" w:color="auto"/>
                            <w:bottom w:val="none" w:sz="0" w:space="0" w:color="auto"/>
                            <w:right w:val="none" w:sz="0" w:space="0" w:color="auto"/>
                          </w:divBdr>
                          <w:divsChild>
                            <w:div w:id="478545454">
                              <w:marLeft w:val="0"/>
                              <w:marRight w:val="0"/>
                              <w:marTop w:val="0"/>
                              <w:marBottom w:val="0"/>
                              <w:divBdr>
                                <w:top w:val="none" w:sz="0" w:space="0" w:color="auto"/>
                                <w:left w:val="none" w:sz="0" w:space="0" w:color="auto"/>
                                <w:bottom w:val="none" w:sz="0" w:space="0" w:color="auto"/>
                                <w:right w:val="none" w:sz="0" w:space="0" w:color="auto"/>
                              </w:divBdr>
                              <w:divsChild>
                                <w:div w:id="239680567">
                                  <w:marLeft w:val="0"/>
                                  <w:marRight w:val="0"/>
                                  <w:marTop w:val="0"/>
                                  <w:marBottom w:val="0"/>
                                  <w:divBdr>
                                    <w:top w:val="none" w:sz="0" w:space="0" w:color="auto"/>
                                    <w:left w:val="none" w:sz="0" w:space="0" w:color="auto"/>
                                    <w:bottom w:val="none" w:sz="0" w:space="0" w:color="auto"/>
                                    <w:right w:val="none" w:sz="0" w:space="0" w:color="auto"/>
                                  </w:divBdr>
                                  <w:divsChild>
                                    <w:div w:id="997686891">
                                      <w:marLeft w:val="0"/>
                                      <w:marRight w:val="0"/>
                                      <w:marTop w:val="0"/>
                                      <w:marBottom w:val="0"/>
                                      <w:divBdr>
                                        <w:top w:val="none" w:sz="0" w:space="0" w:color="auto"/>
                                        <w:left w:val="none" w:sz="0" w:space="0" w:color="auto"/>
                                        <w:bottom w:val="none" w:sz="0" w:space="0" w:color="auto"/>
                                        <w:right w:val="none" w:sz="0" w:space="0" w:color="auto"/>
                                      </w:divBdr>
                                    </w:div>
                                    <w:div w:id="1932275772">
                                      <w:marLeft w:val="0"/>
                                      <w:marRight w:val="0"/>
                                      <w:marTop w:val="0"/>
                                      <w:marBottom w:val="0"/>
                                      <w:divBdr>
                                        <w:top w:val="none" w:sz="0" w:space="0" w:color="auto"/>
                                        <w:left w:val="none" w:sz="0" w:space="0" w:color="auto"/>
                                        <w:bottom w:val="none" w:sz="0" w:space="0" w:color="auto"/>
                                        <w:right w:val="none" w:sz="0" w:space="0" w:color="auto"/>
                                      </w:divBdr>
                                    </w:div>
                                    <w:div w:id="320740459">
                                      <w:marLeft w:val="0"/>
                                      <w:marRight w:val="0"/>
                                      <w:marTop w:val="0"/>
                                      <w:marBottom w:val="0"/>
                                      <w:divBdr>
                                        <w:top w:val="none" w:sz="0" w:space="0" w:color="auto"/>
                                        <w:left w:val="none" w:sz="0" w:space="0" w:color="auto"/>
                                        <w:bottom w:val="none" w:sz="0" w:space="0" w:color="auto"/>
                                        <w:right w:val="none" w:sz="0" w:space="0" w:color="auto"/>
                                      </w:divBdr>
                                    </w:div>
                                    <w:div w:id="1475101221">
                                      <w:marLeft w:val="0"/>
                                      <w:marRight w:val="0"/>
                                      <w:marTop w:val="0"/>
                                      <w:marBottom w:val="0"/>
                                      <w:divBdr>
                                        <w:top w:val="none" w:sz="0" w:space="0" w:color="auto"/>
                                        <w:left w:val="none" w:sz="0" w:space="0" w:color="auto"/>
                                        <w:bottom w:val="none" w:sz="0" w:space="0" w:color="auto"/>
                                        <w:right w:val="none" w:sz="0" w:space="0" w:color="auto"/>
                                      </w:divBdr>
                                      <w:divsChild>
                                        <w:div w:id="13313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116250">
          <w:marLeft w:val="0"/>
          <w:marRight w:val="0"/>
          <w:marTop w:val="0"/>
          <w:marBottom w:val="0"/>
          <w:divBdr>
            <w:top w:val="none" w:sz="0" w:space="0" w:color="auto"/>
            <w:left w:val="none" w:sz="0" w:space="0" w:color="auto"/>
            <w:bottom w:val="none" w:sz="0" w:space="0" w:color="auto"/>
            <w:right w:val="none" w:sz="0" w:space="0" w:color="auto"/>
          </w:divBdr>
        </w:div>
      </w:divsChild>
    </w:div>
    <w:div w:id="474178853">
      <w:bodyDiv w:val="1"/>
      <w:marLeft w:val="0"/>
      <w:marRight w:val="0"/>
      <w:marTop w:val="0"/>
      <w:marBottom w:val="0"/>
      <w:divBdr>
        <w:top w:val="none" w:sz="0" w:space="0" w:color="auto"/>
        <w:left w:val="none" w:sz="0" w:space="0" w:color="auto"/>
        <w:bottom w:val="none" w:sz="0" w:space="0" w:color="auto"/>
        <w:right w:val="none" w:sz="0" w:space="0" w:color="auto"/>
      </w:divBdr>
    </w:div>
    <w:div w:id="544221452">
      <w:bodyDiv w:val="1"/>
      <w:marLeft w:val="0"/>
      <w:marRight w:val="0"/>
      <w:marTop w:val="0"/>
      <w:marBottom w:val="0"/>
      <w:divBdr>
        <w:top w:val="none" w:sz="0" w:space="0" w:color="auto"/>
        <w:left w:val="none" w:sz="0" w:space="0" w:color="auto"/>
        <w:bottom w:val="none" w:sz="0" w:space="0" w:color="auto"/>
        <w:right w:val="none" w:sz="0" w:space="0" w:color="auto"/>
      </w:divBdr>
    </w:div>
    <w:div w:id="1136921210">
      <w:bodyDiv w:val="1"/>
      <w:marLeft w:val="0"/>
      <w:marRight w:val="0"/>
      <w:marTop w:val="0"/>
      <w:marBottom w:val="0"/>
      <w:divBdr>
        <w:top w:val="none" w:sz="0" w:space="0" w:color="auto"/>
        <w:left w:val="none" w:sz="0" w:space="0" w:color="auto"/>
        <w:bottom w:val="none" w:sz="0" w:space="0" w:color="auto"/>
        <w:right w:val="none" w:sz="0" w:space="0" w:color="auto"/>
      </w:divBdr>
      <w:divsChild>
        <w:div w:id="1236621934">
          <w:marLeft w:val="0"/>
          <w:marRight w:val="0"/>
          <w:marTop w:val="0"/>
          <w:marBottom w:val="0"/>
          <w:divBdr>
            <w:top w:val="none" w:sz="0" w:space="0" w:color="auto"/>
            <w:left w:val="none" w:sz="0" w:space="0" w:color="auto"/>
            <w:bottom w:val="none" w:sz="0" w:space="0" w:color="auto"/>
            <w:right w:val="none" w:sz="0" w:space="0" w:color="auto"/>
          </w:divBdr>
          <w:divsChild>
            <w:div w:id="1330669784">
              <w:marLeft w:val="0"/>
              <w:marRight w:val="0"/>
              <w:marTop w:val="0"/>
              <w:marBottom w:val="0"/>
              <w:divBdr>
                <w:top w:val="none" w:sz="0" w:space="0" w:color="auto"/>
                <w:left w:val="none" w:sz="0" w:space="0" w:color="auto"/>
                <w:bottom w:val="none" w:sz="0" w:space="0" w:color="auto"/>
                <w:right w:val="none" w:sz="0" w:space="0" w:color="auto"/>
              </w:divBdr>
              <w:divsChild>
                <w:div w:id="1476291965">
                  <w:marLeft w:val="0"/>
                  <w:marRight w:val="0"/>
                  <w:marTop w:val="0"/>
                  <w:marBottom w:val="0"/>
                  <w:divBdr>
                    <w:top w:val="none" w:sz="0" w:space="0" w:color="auto"/>
                    <w:left w:val="none" w:sz="0" w:space="0" w:color="auto"/>
                    <w:bottom w:val="none" w:sz="0" w:space="0" w:color="auto"/>
                    <w:right w:val="none" w:sz="0" w:space="0" w:color="auto"/>
                  </w:divBdr>
                  <w:divsChild>
                    <w:div w:id="137036946">
                      <w:marLeft w:val="0"/>
                      <w:marRight w:val="0"/>
                      <w:marTop w:val="0"/>
                      <w:marBottom w:val="0"/>
                      <w:divBdr>
                        <w:top w:val="none" w:sz="0" w:space="0" w:color="auto"/>
                        <w:left w:val="none" w:sz="0" w:space="0" w:color="auto"/>
                        <w:bottom w:val="none" w:sz="0" w:space="0" w:color="auto"/>
                        <w:right w:val="none" w:sz="0" w:space="0" w:color="auto"/>
                      </w:divBdr>
                    </w:div>
                  </w:divsChild>
                </w:div>
                <w:div w:id="2131853099">
                  <w:marLeft w:val="0"/>
                  <w:marRight w:val="0"/>
                  <w:marTop w:val="0"/>
                  <w:marBottom w:val="0"/>
                  <w:divBdr>
                    <w:top w:val="none" w:sz="0" w:space="0" w:color="auto"/>
                    <w:left w:val="none" w:sz="0" w:space="0" w:color="auto"/>
                    <w:bottom w:val="none" w:sz="0" w:space="0" w:color="auto"/>
                    <w:right w:val="none" w:sz="0" w:space="0" w:color="auto"/>
                  </w:divBdr>
                  <w:divsChild>
                    <w:div w:id="2102752187">
                      <w:marLeft w:val="0"/>
                      <w:marRight w:val="0"/>
                      <w:marTop w:val="0"/>
                      <w:marBottom w:val="0"/>
                      <w:divBdr>
                        <w:top w:val="none" w:sz="0" w:space="0" w:color="auto"/>
                        <w:left w:val="none" w:sz="0" w:space="0" w:color="auto"/>
                        <w:bottom w:val="none" w:sz="0" w:space="0" w:color="auto"/>
                        <w:right w:val="none" w:sz="0" w:space="0" w:color="auto"/>
                      </w:divBdr>
                      <w:divsChild>
                        <w:div w:id="1707287768">
                          <w:marLeft w:val="0"/>
                          <w:marRight w:val="0"/>
                          <w:marTop w:val="0"/>
                          <w:marBottom w:val="0"/>
                          <w:divBdr>
                            <w:top w:val="none" w:sz="0" w:space="0" w:color="auto"/>
                            <w:left w:val="none" w:sz="0" w:space="0" w:color="auto"/>
                            <w:bottom w:val="none" w:sz="0" w:space="0" w:color="auto"/>
                            <w:right w:val="none" w:sz="0" w:space="0" w:color="auto"/>
                          </w:divBdr>
                          <w:divsChild>
                            <w:div w:id="1187208404">
                              <w:marLeft w:val="0"/>
                              <w:marRight w:val="0"/>
                              <w:marTop w:val="0"/>
                              <w:marBottom w:val="0"/>
                              <w:divBdr>
                                <w:top w:val="none" w:sz="0" w:space="0" w:color="auto"/>
                                <w:left w:val="none" w:sz="0" w:space="0" w:color="auto"/>
                                <w:bottom w:val="none" w:sz="0" w:space="0" w:color="auto"/>
                                <w:right w:val="none" w:sz="0" w:space="0" w:color="auto"/>
                              </w:divBdr>
                              <w:divsChild>
                                <w:div w:id="1777795641">
                                  <w:marLeft w:val="0"/>
                                  <w:marRight w:val="0"/>
                                  <w:marTop w:val="0"/>
                                  <w:marBottom w:val="0"/>
                                  <w:divBdr>
                                    <w:top w:val="none" w:sz="0" w:space="0" w:color="auto"/>
                                    <w:left w:val="none" w:sz="0" w:space="0" w:color="auto"/>
                                    <w:bottom w:val="none" w:sz="0" w:space="0" w:color="auto"/>
                                    <w:right w:val="none" w:sz="0" w:space="0" w:color="auto"/>
                                  </w:divBdr>
                                  <w:divsChild>
                                    <w:div w:id="421799501">
                                      <w:marLeft w:val="0"/>
                                      <w:marRight w:val="0"/>
                                      <w:marTop w:val="0"/>
                                      <w:marBottom w:val="0"/>
                                      <w:divBdr>
                                        <w:top w:val="none" w:sz="0" w:space="0" w:color="auto"/>
                                        <w:left w:val="none" w:sz="0" w:space="0" w:color="auto"/>
                                        <w:bottom w:val="none" w:sz="0" w:space="0" w:color="auto"/>
                                        <w:right w:val="none" w:sz="0" w:space="0" w:color="auto"/>
                                      </w:divBdr>
                                    </w:div>
                                    <w:div w:id="1966539234">
                                      <w:marLeft w:val="0"/>
                                      <w:marRight w:val="0"/>
                                      <w:marTop w:val="0"/>
                                      <w:marBottom w:val="0"/>
                                      <w:divBdr>
                                        <w:top w:val="none" w:sz="0" w:space="0" w:color="auto"/>
                                        <w:left w:val="none" w:sz="0" w:space="0" w:color="auto"/>
                                        <w:bottom w:val="none" w:sz="0" w:space="0" w:color="auto"/>
                                        <w:right w:val="none" w:sz="0" w:space="0" w:color="auto"/>
                                      </w:divBdr>
                                    </w:div>
                                    <w:div w:id="905802808">
                                      <w:marLeft w:val="0"/>
                                      <w:marRight w:val="0"/>
                                      <w:marTop w:val="0"/>
                                      <w:marBottom w:val="0"/>
                                      <w:divBdr>
                                        <w:top w:val="none" w:sz="0" w:space="0" w:color="auto"/>
                                        <w:left w:val="none" w:sz="0" w:space="0" w:color="auto"/>
                                        <w:bottom w:val="none" w:sz="0" w:space="0" w:color="auto"/>
                                        <w:right w:val="none" w:sz="0" w:space="0" w:color="auto"/>
                                      </w:divBdr>
                                    </w:div>
                                    <w:div w:id="187914733">
                                      <w:marLeft w:val="0"/>
                                      <w:marRight w:val="0"/>
                                      <w:marTop w:val="0"/>
                                      <w:marBottom w:val="0"/>
                                      <w:divBdr>
                                        <w:top w:val="none" w:sz="0" w:space="0" w:color="auto"/>
                                        <w:left w:val="none" w:sz="0" w:space="0" w:color="auto"/>
                                        <w:bottom w:val="none" w:sz="0" w:space="0" w:color="auto"/>
                                        <w:right w:val="none" w:sz="0" w:space="0" w:color="auto"/>
                                      </w:divBdr>
                                      <w:divsChild>
                                        <w:div w:id="9973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555086">
          <w:marLeft w:val="0"/>
          <w:marRight w:val="0"/>
          <w:marTop w:val="0"/>
          <w:marBottom w:val="0"/>
          <w:divBdr>
            <w:top w:val="none" w:sz="0" w:space="0" w:color="auto"/>
            <w:left w:val="none" w:sz="0" w:space="0" w:color="auto"/>
            <w:bottom w:val="none" w:sz="0" w:space="0" w:color="auto"/>
            <w:right w:val="none" w:sz="0" w:space="0" w:color="auto"/>
          </w:divBdr>
        </w:div>
      </w:divsChild>
    </w:div>
    <w:div w:id="1173951383">
      <w:bodyDiv w:val="1"/>
      <w:marLeft w:val="0"/>
      <w:marRight w:val="0"/>
      <w:marTop w:val="0"/>
      <w:marBottom w:val="0"/>
      <w:divBdr>
        <w:top w:val="none" w:sz="0" w:space="0" w:color="auto"/>
        <w:left w:val="none" w:sz="0" w:space="0" w:color="auto"/>
        <w:bottom w:val="none" w:sz="0" w:space="0" w:color="auto"/>
        <w:right w:val="none" w:sz="0" w:space="0" w:color="auto"/>
      </w:divBdr>
    </w:div>
    <w:div w:id="1193112693">
      <w:bodyDiv w:val="1"/>
      <w:marLeft w:val="0"/>
      <w:marRight w:val="0"/>
      <w:marTop w:val="0"/>
      <w:marBottom w:val="0"/>
      <w:divBdr>
        <w:top w:val="none" w:sz="0" w:space="0" w:color="auto"/>
        <w:left w:val="none" w:sz="0" w:space="0" w:color="auto"/>
        <w:bottom w:val="none" w:sz="0" w:space="0" w:color="auto"/>
        <w:right w:val="none" w:sz="0" w:space="0" w:color="auto"/>
      </w:divBdr>
    </w:div>
    <w:div w:id="1268852752">
      <w:bodyDiv w:val="1"/>
      <w:marLeft w:val="0"/>
      <w:marRight w:val="0"/>
      <w:marTop w:val="0"/>
      <w:marBottom w:val="0"/>
      <w:divBdr>
        <w:top w:val="none" w:sz="0" w:space="0" w:color="auto"/>
        <w:left w:val="none" w:sz="0" w:space="0" w:color="auto"/>
        <w:bottom w:val="none" w:sz="0" w:space="0" w:color="auto"/>
        <w:right w:val="none" w:sz="0" w:space="0" w:color="auto"/>
      </w:divBdr>
    </w:div>
    <w:div w:id="1639335362">
      <w:bodyDiv w:val="1"/>
      <w:marLeft w:val="0"/>
      <w:marRight w:val="0"/>
      <w:marTop w:val="0"/>
      <w:marBottom w:val="0"/>
      <w:divBdr>
        <w:top w:val="none" w:sz="0" w:space="0" w:color="auto"/>
        <w:left w:val="none" w:sz="0" w:space="0" w:color="auto"/>
        <w:bottom w:val="none" w:sz="0" w:space="0" w:color="auto"/>
        <w:right w:val="none" w:sz="0" w:space="0" w:color="auto"/>
      </w:divBdr>
      <w:divsChild>
        <w:div w:id="1387219402">
          <w:marLeft w:val="0"/>
          <w:marRight w:val="0"/>
          <w:marTop w:val="0"/>
          <w:marBottom w:val="0"/>
          <w:divBdr>
            <w:top w:val="none" w:sz="0" w:space="0" w:color="auto"/>
            <w:left w:val="none" w:sz="0" w:space="0" w:color="auto"/>
            <w:bottom w:val="none" w:sz="0" w:space="0" w:color="auto"/>
            <w:right w:val="none" w:sz="0" w:space="0" w:color="auto"/>
          </w:divBdr>
        </w:div>
      </w:divsChild>
    </w:div>
    <w:div w:id="168428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_buisson@hotmail.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50908-63E2-41E2-A040-39C7A3C8E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18820</Words>
  <Characters>107276</Characters>
  <Application>Microsoft Office Word</Application>
  <DocSecurity>0</DocSecurity>
  <Lines>893</Lines>
  <Paragraphs>251</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125845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buisson</dc:creator>
  <cp:keywords/>
  <dc:description/>
  <cp:lastModifiedBy>Lian-Sheng Ma</cp:lastModifiedBy>
  <cp:revision>2</cp:revision>
  <dcterms:created xsi:type="dcterms:W3CDTF">2019-04-20T00:17:00Z</dcterms:created>
  <dcterms:modified xsi:type="dcterms:W3CDTF">2019-04-20T00:17:00Z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id="9UJ6C9IN"/&gt;&lt;style id="http://www.zotero.org/styles/world-journal-of-gastroenterology"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