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97" w:rsidRPr="0083678C" w:rsidRDefault="000A0C97" w:rsidP="00B43CE7">
      <w:pPr>
        <w:autoSpaceDE w:val="0"/>
        <w:autoSpaceDN w:val="0"/>
        <w:adjustRightInd w:val="0"/>
        <w:snapToGrid w:val="0"/>
        <w:spacing w:after="0" w:line="360" w:lineRule="auto"/>
        <w:jc w:val="both"/>
        <w:rPr>
          <w:rFonts w:ascii="Book Antiqua" w:hAnsi="Book Antiqua" w:cs="Book Antiqua"/>
          <w:b/>
          <w:bCs/>
          <w:i/>
          <w:iCs/>
          <w:color w:val="000000" w:themeColor="text1"/>
          <w:sz w:val="24"/>
          <w:szCs w:val="24"/>
        </w:rPr>
      </w:pPr>
      <w:r w:rsidRPr="0083678C">
        <w:rPr>
          <w:rFonts w:ascii="Book Antiqua" w:hAnsi="Book Antiqua" w:cs="Book Antiqua"/>
          <w:b/>
          <w:color w:val="000000" w:themeColor="text1"/>
          <w:sz w:val="24"/>
          <w:szCs w:val="24"/>
        </w:rPr>
        <w:t>Name of Journal:</w:t>
      </w:r>
      <w:r w:rsidRPr="0083678C">
        <w:rPr>
          <w:rFonts w:ascii="Book Antiqua" w:hAnsi="Book Antiqua" w:cs="Book Antiqua"/>
          <w:color w:val="000000" w:themeColor="text1"/>
          <w:sz w:val="24"/>
          <w:szCs w:val="24"/>
        </w:rPr>
        <w:t xml:space="preserve"> </w:t>
      </w:r>
      <w:r w:rsidRPr="0083678C">
        <w:rPr>
          <w:rFonts w:ascii="Book Antiqua" w:hAnsi="Book Antiqua" w:cs="Book Antiqua"/>
          <w:b/>
          <w:bCs/>
          <w:i/>
          <w:iCs/>
          <w:color w:val="000000" w:themeColor="text1"/>
          <w:sz w:val="24"/>
          <w:szCs w:val="24"/>
        </w:rPr>
        <w:t>World Journal of Gastroenterology</w:t>
      </w:r>
    </w:p>
    <w:p w:rsidR="00CA610C" w:rsidRPr="0083678C" w:rsidRDefault="00CA610C" w:rsidP="00B43CE7">
      <w:pPr>
        <w:autoSpaceDE w:val="0"/>
        <w:autoSpaceDN w:val="0"/>
        <w:adjustRightInd w:val="0"/>
        <w:snapToGrid w:val="0"/>
        <w:spacing w:after="0" w:line="360" w:lineRule="auto"/>
        <w:jc w:val="both"/>
        <w:rPr>
          <w:rFonts w:ascii="Book Antiqua" w:hAnsi="Book Antiqua" w:cs="Book Antiqua"/>
          <w:b/>
          <w:iCs/>
          <w:color w:val="000000" w:themeColor="text1"/>
          <w:sz w:val="24"/>
          <w:szCs w:val="24"/>
        </w:rPr>
      </w:pPr>
      <w:bookmarkStart w:id="0" w:name="OLE_LINK485"/>
      <w:bookmarkStart w:id="1" w:name="OLE_LINK486"/>
      <w:bookmarkStart w:id="2" w:name="OLE_LINK661"/>
      <w:bookmarkStart w:id="3" w:name="OLE_LINK768"/>
      <w:r w:rsidRPr="0083678C">
        <w:rPr>
          <w:rFonts w:ascii="Book Antiqua" w:hAnsi="Book Antiqua" w:cs="Book Antiqua"/>
          <w:b/>
          <w:iCs/>
          <w:color w:val="000000" w:themeColor="text1"/>
          <w:sz w:val="24"/>
          <w:szCs w:val="24"/>
        </w:rPr>
        <w:t>Manuscript NO:</w:t>
      </w:r>
      <w:bookmarkEnd w:id="0"/>
      <w:bookmarkEnd w:id="1"/>
      <w:bookmarkEnd w:id="2"/>
      <w:bookmarkEnd w:id="3"/>
      <w:r w:rsidRPr="0083678C">
        <w:rPr>
          <w:rFonts w:ascii="Book Antiqua" w:hAnsi="Book Antiqua" w:cs="Book Antiqua"/>
          <w:b/>
          <w:iCs/>
          <w:color w:val="000000" w:themeColor="text1"/>
          <w:sz w:val="24"/>
          <w:szCs w:val="24"/>
        </w:rPr>
        <w:t xml:space="preserve"> 47067</w:t>
      </w:r>
    </w:p>
    <w:p w:rsidR="000A0C97" w:rsidRPr="0083678C" w:rsidRDefault="000A0C97" w:rsidP="00B43CE7">
      <w:pPr>
        <w:autoSpaceDE w:val="0"/>
        <w:autoSpaceDN w:val="0"/>
        <w:adjustRightInd w:val="0"/>
        <w:snapToGrid w:val="0"/>
        <w:spacing w:after="0" w:line="360" w:lineRule="auto"/>
        <w:jc w:val="both"/>
        <w:rPr>
          <w:rFonts w:ascii="Book Antiqua" w:hAnsi="Book Antiqua" w:cs="Book Antiqua"/>
          <w:iCs/>
          <w:color w:val="000000" w:themeColor="text1"/>
          <w:sz w:val="24"/>
          <w:szCs w:val="24"/>
        </w:rPr>
      </w:pPr>
      <w:r w:rsidRPr="0083678C">
        <w:rPr>
          <w:rFonts w:ascii="Book Antiqua" w:hAnsi="Book Antiqua" w:cs="Book Antiqua"/>
          <w:b/>
          <w:iCs/>
          <w:color w:val="000000" w:themeColor="text1"/>
          <w:sz w:val="24"/>
          <w:szCs w:val="24"/>
        </w:rPr>
        <w:t>Manuscript Type:</w:t>
      </w:r>
      <w:r w:rsidRPr="0083678C">
        <w:rPr>
          <w:rFonts w:ascii="Book Antiqua" w:hAnsi="Book Antiqua" w:cs="Book Antiqua"/>
          <w:iCs/>
          <w:color w:val="000000" w:themeColor="text1"/>
          <w:sz w:val="24"/>
          <w:szCs w:val="24"/>
        </w:rPr>
        <w:t xml:space="preserve"> </w:t>
      </w:r>
      <w:r w:rsidR="003F2823" w:rsidRPr="0083678C">
        <w:rPr>
          <w:rFonts w:ascii="Book Antiqua" w:hAnsi="Book Antiqua" w:cs="Book Antiqua"/>
          <w:b/>
          <w:bCs/>
          <w:iCs/>
          <w:color w:val="000000" w:themeColor="text1"/>
          <w:sz w:val="24"/>
          <w:szCs w:val="24"/>
        </w:rPr>
        <w:t>MINIREVIEW</w:t>
      </w:r>
      <w:r w:rsidR="00882FBA" w:rsidRPr="0083678C">
        <w:rPr>
          <w:rFonts w:ascii="Book Antiqua" w:hAnsi="Book Antiqua" w:cs="Book Antiqua"/>
          <w:b/>
          <w:bCs/>
          <w:iCs/>
          <w:color w:val="000000" w:themeColor="text1"/>
          <w:sz w:val="24"/>
          <w:szCs w:val="24"/>
        </w:rPr>
        <w:t>S</w:t>
      </w:r>
    </w:p>
    <w:p w:rsidR="000A0C97" w:rsidRPr="0083678C" w:rsidRDefault="000A0C97" w:rsidP="00B43CE7">
      <w:pPr>
        <w:autoSpaceDE w:val="0"/>
        <w:autoSpaceDN w:val="0"/>
        <w:adjustRightInd w:val="0"/>
        <w:snapToGrid w:val="0"/>
        <w:spacing w:after="0" w:line="360" w:lineRule="auto"/>
        <w:jc w:val="both"/>
        <w:rPr>
          <w:rFonts w:ascii="Book Antiqua" w:hAnsi="Book Antiqua" w:cs="Times New Roman"/>
          <w:b/>
          <w:color w:val="000000" w:themeColor="text1"/>
          <w:sz w:val="24"/>
          <w:szCs w:val="24"/>
        </w:rPr>
      </w:pPr>
    </w:p>
    <w:p w:rsidR="000A0C97" w:rsidRPr="0083678C" w:rsidRDefault="000A0C97" w:rsidP="00B43CE7">
      <w:pPr>
        <w:adjustRightInd w:val="0"/>
        <w:snapToGrid w:val="0"/>
        <w:spacing w:after="0" w:line="360" w:lineRule="auto"/>
        <w:jc w:val="both"/>
        <w:rPr>
          <w:rFonts w:ascii="Book Antiqua" w:hAnsi="Book Antiqua" w:cs="Times New Roman"/>
          <w:b/>
          <w:color w:val="000000" w:themeColor="text1"/>
          <w:sz w:val="24"/>
          <w:szCs w:val="24"/>
          <w:shd w:val="clear" w:color="auto" w:fill="FFFFFF"/>
        </w:rPr>
      </w:pPr>
      <w:r w:rsidRPr="0083678C">
        <w:rPr>
          <w:rFonts w:ascii="Book Antiqua" w:hAnsi="Book Antiqua" w:cs="Times New Roman"/>
          <w:b/>
          <w:color w:val="000000" w:themeColor="text1"/>
          <w:sz w:val="24"/>
          <w:szCs w:val="24"/>
          <w:shd w:val="clear" w:color="auto" w:fill="FFFFFF"/>
        </w:rPr>
        <w:t xml:space="preserve">Identifying </w:t>
      </w:r>
      <w:r w:rsidR="00882FBA" w:rsidRPr="0083678C">
        <w:rPr>
          <w:rFonts w:ascii="Book Antiqua" w:hAnsi="Book Antiqua" w:cs="Times New Roman"/>
          <w:b/>
          <w:color w:val="000000" w:themeColor="text1"/>
          <w:sz w:val="24"/>
          <w:szCs w:val="24"/>
          <w:shd w:val="clear" w:color="auto" w:fill="FFFFFF"/>
        </w:rPr>
        <w:t>high-risk individuals for gastric cancer surveillance from western and eastern perspectives:</w:t>
      </w:r>
      <w:r w:rsidRPr="0083678C">
        <w:rPr>
          <w:rFonts w:ascii="Book Antiqua" w:hAnsi="Book Antiqua" w:cs="Times New Roman"/>
          <w:b/>
          <w:color w:val="000000" w:themeColor="text1"/>
          <w:sz w:val="24"/>
          <w:szCs w:val="24"/>
          <w:shd w:val="clear" w:color="auto" w:fill="FFFFFF"/>
        </w:rPr>
        <w:t xml:space="preserve"> Lesso</w:t>
      </w:r>
      <w:r w:rsidR="00882FBA" w:rsidRPr="0083678C">
        <w:rPr>
          <w:rFonts w:ascii="Book Antiqua" w:hAnsi="Book Antiqua" w:cs="Times New Roman"/>
          <w:b/>
          <w:color w:val="000000" w:themeColor="text1"/>
          <w:sz w:val="24"/>
          <w:szCs w:val="24"/>
          <w:shd w:val="clear" w:color="auto" w:fill="FFFFFF"/>
        </w:rPr>
        <w:t>ns to learn and possibility to develop an integrated approach for daily practice</w:t>
      </w:r>
    </w:p>
    <w:p w:rsidR="00882FBA" w:rsidRPr="0083678C" w:rsidRDefault="00882FBA" w:rsidP="00B43CE7">
      <w:pPr>
        <w:adjustRightInd w:val="0"/>
        <w:snapToGrid w:val="0"/>
        <w:spacing w:after="0" w:line="360" w:lineRule="auto"/>
        <w:jc w:val="both"/>
        <w:rPr>
          <w:rFonts w:ascii="Book Antiqua" w:hAnsi="Book Antiqua" w:cs="Times New Roman"/>
          <w:b/>
          <w:color w:val="000000" w:themeColor="text1"/>
          <w:sz w:val="24"/>
          <w:szCs w:val="24"/>
          <w:shd w:val="clear" w:color="auto" w:fill="FFFFFF"/>
        </w:rPr>
      </w:pPr>
    </w:p>
    <w:p w:rsidR="000A0C97" w:rsidRPr="0083678C" w:rsidRDefault="000A0C97" w:rsidP="00B43CE7">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 xml:space="preserve">Quach DT </w:t>
      </w:r>
      <w:r w:rsidRPr="0083678C">
        <w:rPr>
          <w:rFonts w:ascii="Book Antiqua" w:hAnsi="Book Antiqua" w:cs="Times New Roman"/>
          <w:i/>
          <w:color w:val="000000" w:themeColor="text1"/>
          <w:sz w:val="24"/>
          <w:szCs w:val="24"/>
        </w:rPr>
        <w:t xml:space="preserve">et al. </w:t>
      </w:r>
      <w:r w:rsidRPr="0083678C">
        <w:rPr>
          <w:rFonts w:ascii="Book Antiqua" w:hAnsi="Book Antiqua" w:cs="Times New Roman"/>
          <w:color w:val="000000" w:themeColor="text1"/>
          <w:sz w:val="24"/>
          <w:szCs w:val="24"/>
          <w:shd w:val="clear" w:color="auto" w:fill="FFFFFF"/>
        </w:rPr>
        <w:t xml:space="preserve">Identifying </w:t>
      </w:r>
      <w:r w:rsidR="00882FBA" w:rsidRPr="0083678C">
        <w:rPr>
          <w:rFonts w:ascii="Book Antiqua" w:hAnsi="Book Antiqua" w:cs="Times New Roman"/>
          <w:color w:val="000000" w:themeColor="text1"/>
          <w:sz w:val="24"/>
          <w:szCs w:val="24"/>
          <w:shd w:val="clear" w:color="auto" w:fill="FFFFFF"/>
        </w:rPr>
        <w:t xml:space="preserve">high-risk individuals for </w:t>
      </w:r>
      <w:r w:rsidR="009351D7" w:rsidRPr="0083678C">
        <w:rPr>
          <w:rFonts w:ascii="Book Antiqua" w:hAnsi="Book Antiqua" w:cs="Times New Roman"/>
          <w:color w:val="000000" w:themeColor="text1"/>
          <w:sz w:val="24"/>
          <w:szCs w:val="24"/>
          <w:shd w:val="clear" w:color="auto" w:fill="FFFFFF"/>
        </w:rPr>
        <w:t xml:space="preserve">GC </w:t>
      </w:r>
      <w:r w:rsidR="00882FBA" w:rsidRPr="0083678C">
        <w:rPr>
          <w:rFonts w:ascii="Book Antiqua" w:hAnsi="Book Antiqua" w:cs="Times New Roman"/>
          <w:color w:val="000000" w:themeColor="text1"/>
          <w:sz w:val="24"/>
          <w:szCs w:val="24"/>
          <w:shd w:val="clear" w:color="auto" w:fill="FFFFFF"/>
        </w:rPr>
        <w:t>surveillance</w:t>
      </w:r>
      <w:r w:rsidR="00882FBA" w:rsidRPr="0083678C">
        <w:rPr>
          <w:rFonts w:ascii="Book Antiqua" w:hAnsi="Book Antiqua" w:cs="Times New Roman"/>
          <w:color w:val="000000" w:themeColor="text1"/>
          <w:sz w:val="24"/>
          <w:szCs w:val="24"/>
        </w:rPr>
        <w:t xml:space="preserve"> </w:t>
      </w:r>
    </w:p>
    <w:p w:rsidR="000A0C97" w:rsidRPr="0083678C" w:rsidRDefault="000A0C97" w:rsidP="00B43CE7">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rsidR="00882FBA" w:rsidRPr="0083678C" w:rsidRDefault="00882FBA" w:rsidP="00B43CE7">
      <w:pPr>
        <w:autoSpaceDE w:val="0"/>
        <w:autoSpaceDN w:val="0"/>
        <w:adjustRightInd w:val="0"/>
        <w:snapToGrid w:val="0"/>
        <w:spacing w:after="0" w:line="360" w:lineRule="auto"/>
        <w:jc w:val="both"/>
        <w:rPr>
          <w:rFonts w:ascii="Book Antiqua" w:hAnsi="Book Antiqua" w:cs="Times New Roman"/>
          <w:bCs/>
          <w:color w:val="000000" w:themeColor="text1"/>
          <w:sz w:val="24"/>
          <w:szCs w:val="24"/>
        </w:rPr>
      </w:pPr>
      <w:r w:rsidRPr="0083678C">
        <w:rPr>
          <w:rFonts w:ascii="Book Antiqua" w:hAnsi="Book Antiqua" w:cs="Times New Roman"/>
          <w:bCs/>
          <w:color w:val="000000" w:themeColor="text1"/>
          <w:sz w:val="24"/>
          <w:szCs w:val="24"/>
        </w:rPr>
        <w:t>Duc Trong Quach, Toru Hiyama, Takuji Gotoda</w:t>
      </w:r>
    </w:p>
    <w:p w:rsidR="00882FBA" w:rsidRPr="0083678C" w:rsidRDefault="00882FBA" w:rsidP="00B43CE7">
      <w:pPr>
        <w:autoSpaceDE w:val="0"/>
        <w:autoSpaceDN w:val="0"/>
        <w:adjustRightInd w:val="0"/>
        <w:snapToGrid w:val="0"/>
        <w:spacing w:after="0" w:line="360" w:lineRule="auto"/>
        <w:jc w:val="both"/>
        <w:rPr>
          <w:rFonts w:ascii="Book Antiqua" w:hAnsi="Book Antiqua" w:cs="Times New Roman"/>
          <w:bCs/>
          <w:color w:val="000000" w:themeColor="text1"/>
          <w:sz w:val="24"/>
          <w:szCs w:val="24"/>
        </w:rPr>
      </w:pPr>
    </w:p>
    <w:p w:rsidR="000A0C97" w:rsidRPr="0083678C" w:rsidRDefault="000A0C97" w:rsidP="00B43CE7">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b/>
          <w:color w:val="000000" w:themeColor="text1"/>
          <w:sz w:val="24"/>
          <w:szCs w:val="24"/>
        </w:rPr>
        <w:t xml:space="preserve">Duc Trong Quach, </w:t>
      </w:r>
      <w:r w:rsidRPr="0083678C">
        <w:rPr>
          <w:rFonts w:ascii="Book Antiqua" w:hAnsi="Book Antiqua" w:cs="Times New Roman"/>
          <w:color w:val="000000" w:themeColor="text1"/>
          <w:sz w:val="24"/>
          <w:szCs w:val="24"/>
        </w:rPr>
        <w:t xml:space="preserve">Department of Internal Medicine, University of Medicine and Pharmacy at Hochiminh City, </w:t>
      </w:r>
      <w:r w:rsidRPr="0083678C">
        <w:rPr>
          <w:rFonts w:ascii="Book Antiqua" w:hAnsi="Book Antiqua" w:cs=".VnBook-Antiqua"/>
          <w:color w:val="000000" w:themeColor="text1"/>
          <w:sz w:val="24"/>
          <w:szCs w:val="24"/>
        </w:rPr>
        <w:t>Ho Chi Minh</w:t>
      </w:r>
      <w:r w:rsidR="00882FBA" w:rsidRPr="0083678C">
        <w:rPr>
          <w:rFonts w:ascii="Book Antiqua" w:hAnsi="Book Antiqua" w:cs=".VnBook-Antiqua"/>
          <w:color w:val="000000" w:themeColor="text1"/>
          <w:sz w:val="24"/>
          <w:szCs w:val="24"/>
        </w:rPr>
        <w:t xml:space="preserve"> 70000</w:t>
      </w:r>
      <w:r w:rsidRPr="0083678C">
        <w:rPr>
          <w:rFonts w:ascii="Book Antiqua" w:hAnsi="Book Antiqua" w:cs=".VnBook-Antiqua"/>
          <w:color w:val="000000" w:themeColor="text1"/>
          <w:sz w:val="24"/>
          <w:szCs w:val="24"/>
        </w:rPr>
        <w:t>, Vietnam</w:t>
      </w:r>
    </w:p>
    <w:p w:rsidR="0040024D" w:rsidRPr="0083678C" w:rsidRDefault="0040024D" w:rsidP="00B43CE7">
      <w:pPr>
        <w:adjustRightInd w:val="0"/>
        <w:snapToGrid w:val="0"/>
        <w:spacing w:after="0" w:line="360" w:lineRule="auto"/>
        <w:jc w:val="both"/>
        <w:rPr>
          <w:rFonts w:ascii="Book Antiqua" w:hAnsi="Book Antiqua" w:cs="Times New Roman"/>
          <w:b/>
          <w:color w:val="000000" w:themeColor="text1"/>
          <w:sz w:val="24"/>
          <w:szCs w:val="24"/>
        </w:rPr>
      </w:pPr>
    </w:p>
    <w:p w:rsidR="000A0C97" w:rsidRPr="0083678C" w:rsidRDefault="000A0C97" w:rsidP="00B43CE7">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b/>
          <w:color w:val="000000" w:themeColor="text1"/>
          <w:sz w:val="24"/>
          <w:szCs w:val="24"/>
        </w:rPr>
        <w:t>Toru Hiyama</w:t>
      </w:r>
      <w:r w:rsidRPr="0083678C">
        <w:rPr>
          <w:rFonts w:ascii="Book Antiqua" w:hAnsi="Book Antiqua" w:cs="Times New Roman"/>
          <w:b/>
          <w:bCs/>
          <w:color w:val="000000" w:themeColor="text1"/>
          <w:sz w:val="24"/>
          <w:szCs w:val="24"/>
        </w:rPr>
        <w:t>,</w:t>
      </w:r>
      <w:r w:rsidRPr="0083678C">
        <w:rPr>
          <w:rFonts w:ascii="Book Antiqua" w:hAnsi="Book Antiqua" w:cs="Times New Roman"/>
          <w:color w:val="000000" w:themeColor="text1"/>
          <w:sz w:val="24"/>
          <w:szCs w:val="24"/>
        </w:rPr>
        <w:t xml:space="preserve"> Health Service Center, Hiroshima University, Higashihiroshima 739-8514, Japan</w:t>
      </w:r>
    </w:p>
    <w:p w:rsidR="0040024D" w:rsidRPr="0083678C" w:rsidRDefault="0040024D" w:rsidP="00B43CE7">
      <w:pPr>
        <w:adjustRightInd w:val="0"/>
        <w:snapToGrid w:val="0"/>
        <w:spacing w:after="0" w:line="360" w:lineRule="auto"/>
        <w:jc w:val="both"/>
        <w:rPr>
          <w:rFonts w:ascii="Book Antiqua" w:hAnsi="Book Antiqua" w:cs="Times New Roman"/>
          <w:b/>
          <w:color w:val="000000" w:themeColor="text1"/>
          <w:sz w:val="24"/>
          <w:szCs w:val="24"/>
        </w:rPr>
      </w:pPr>
    </w:p>
    <w:p w:rsidR="000A0C97" w:rsidRPr="0083678C" w:rsidRDefault="000A0C97" w:rsidP="00B43CE7">
      <w:pPr>
        <w:adjustRightInd w:val="0"/>
        <w:snapToGrid w:val="0"/>
        <w:spacing w:after="0" w:line="360" w:lineRule="auto"/>
        <w:jc w:val="both"/>
        <w:rPr>
          <w:rFonts w:ascii="Book Antiqua" w:hAnsi="Book Antiqua" w:cs="Times New Roman"/>
          <w:color w:val="000000" w:themeColor="text1"/>
          <w:sz w:val="24"/>
          <w:szCs w:val="24"/>
        </w:rPr>
      </w:pPr>
      <w:bookmarkStart w:id="4" w:name="OLE_LINK683"/>
      <w:bookmarkStart w:id="5" w:name="OLE_LINK684"/>
      <w:r w:rsidRPr="0083678C">
        <w:rPr>
          <w:rFonts w:ascii="Book Antiqua" w:hAnsi="Book Antiqua" w:cs="Times New Roman"/>
          <w:b/>
          <w:color w:val="000000" w:themeColor="text1"/>
          <w:sz w:val="24"/>
          <w:szCs w:val="24"/>
        </w:rPr>
        <w:t>Takuji Gotoda</w:t>
      </w:r>
      <w:bookmarkEnd w:id="4"/>
      <w:bookmarkEnd w:id="5"/>
      <w:r w:rsidRPr="0083678C">
        <w:rPr>
          <w:rFonts w:ascii="Book Antiqua" w:hAnsi="Book Antiqua" w:cs="Times New Roman"/>
          <w:b/>
          <w:bCs/>
          <w:color w:val="000000" w:themeColor="text1"/>
          <w:sz w:val="24"/>
          <w:szCs w:val="24"/>
        </w:rPr>
        <w:t>,</w:t>
      </w:r>
      <w:r w:rsidRPr="0083678C">
        <w:rPr>
          <w:rFonts w:ascii="Book Antiqua" w:hAnsi="Book Antiqua" w:cs="Times New Roman"/>
          <w:color w:val="000000" w:themeColor="text1"/>
          <w:sz w:val="24"/>
          <w:szCs w:val="24"/>
        </w:rPr>
        <w:t xml:space="preserve"> Division of Gastroenterology and Hepatology, Department of Medicine, Nihon University School of Medicine, Tokyo 101-8309, Japan </w:t>
      </w:r>
    </w:p>
    <w:p w:rsidR="000A0C97" w:rsidRPr="0083678C" w:rsidRDefault="000A0C97" w:rsidP="00B43CE7">
      <w:pPr>
        <w:adjustRightInd w:val="0"/>
        <w:snapToGrid w:val="0"/>
        <w:spacing w:after="0" w:line="360" w:lineRule="auto"/>
        <w:jc w:val="both"/>
        <w:rPr>
          <w:rFonts w:ascii="Book Antiqua" w:hAnsi="Book Antiqua" w:cs="Times New Roman"/>
          <w:color w:val="000000" w:themeColor="text1"/>
          <w:sz w:val="24"/>
          <w:szCs w:val="24"/>
        </w:rPr>
      </w:pPr>
    </w:p>
    <w:p w:rsidR="000A0C97" w:rsidRPr="0083678C" w:rsidRDefault="000A0C97" w:rsidP="00B43CE7">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b/>
          <w:color w:val="000000" w:themeColor="text1"/>
          <w:sz w:val="24"/>
          <w:szCs w:val="24"/>
        </w:rPr>
        <w:t>ORCID number</w:t>
      </w:r>
      <w:r w:rsidRPr="0083678C">
        <w:rPr>
          <w:rFonts w:ascii="Book Antiqua" w:hAnsi="Book Antiqua" w:cs="Times New Roman"/>
          <w:b/>
          <w:bCs/>
          <w:color w:val="000000" w:themeColor="text1"/>
          <w:sz w:val="24"/>
          <w:szCs w:val="24"/>
        </w:rPr>
        <w:t xml:space="preserve">: </w:t>
      </w:r>
      <w:r w:rsidRPr="0083678C">
        <w:rPr>
          <w:rFonts w:ascii="Book Antiqua" w:hAnsi="Book Antiqua" w:cs="Times New Roman"/>
          <w:color w:val="000000" w:themeColor="text1"/>
          <w:sz w:val="24"/>
          <w:szCs w:val="24"/>
        </w:rPr>
        <w:t>Duc Trong Quach (0000-0003-0141-921X); Toru Hiyama (0000-0002-5843-232X); Takuji Gotoda (0000-0001-6904-6777).</w:t>
      </w:r>
    </w:p>
    <w:p w:rsidR="000A0C97" w:rsidRPr="0083678C" w:rsidRDefault="000A0C97" w:rsidP="00B43CE7">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rsidR="000A0C97" w:rsidRPr="0083678C" w:rsidRDefault="000A0C97" w:rsidP="00B43CE7">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b/>
          <w:color w:val="000000" w:themeColor="text1"/>
          <w:sz w:val="24"/>
          <w:szCs w:val="24"/>
        </w:rPr>
        <w:t>Author contributions</w:t>
      </w:r>
      <w:r w:rsidRPr="0083678C">
        <w:rPr>
          <w:rFonts w:ascii="Book Antiqua" w:hAnsi="Book Antiqua" w:cs="Times New Roman"/>
          <w:color w:val="000000" w:themeColor="text1"/>
          <w:sz w:val="24"/>
          <w:szCs w:val="24"/>
        </w:rPr>
        <w:t>: Quach DT contributed to study conception and design of the study. All authors contributed to literature review and analysis, drafting</w:t>
      </w:r>
      <w:r w:rsidR="0040024D" w:rsidRPr="0083678C">
        <w:rPr>
          <w:rFonts w:ascii="Book Antiqua" w:hAnsi="Book Antiqua" w:cs="Times New Roman"/>
          <w:color w:val="000000" w:themeColor="text1"/>
          <w:sz w:val="24"/>
          <w:szCs w:val="24"/>
        </w:rPr>
        <w:t xml:space="preserve"> and</w:t>
      </w:r>
      <w:r w:rsidRPr="0083678C">
        <w:rPr>
          <w:rFonts w:ascii="Book Antiqua" w:hAnsi="Book Antiqua" w:cs="Times New Roman"/>
          <w:color w:val="000000" w:themeColor="text1"/>
          <w:sz w:val="24"/>
          <w:szCs w:val="24"/>
        </w:rPr>
        <w:t xml:space="preserve"> critical revision and editing, and final approval of the final version.</w:t>
      </w:r>
    </w:p>
    <w:p w:rsidR="000A0C97" w:rsidRPr="0083678C" w:rsidRDefault="000A0C97" w:rsidP="00B43CE7">
      <w:pPr>
        <w:adjustRightInd w:val="0"/>
        <w:snapToGrid w:val="0"/>
        <w:spacing w:after="0" w:line="360" w:lineRule="auto"/>
        <w:jc w:val="both"/>
        <w:rPr>
          <w:rFonts w:ascii="Book Antiqua" w:hAnsi="Book Antiqua" w:cs="Times New Roman"/>
          <w:b/>
          <w:color w:val="000000" w:themeColor="text1"/>
          <w:sz w:val="24"/>
          <w:szCs w:val="24"/>
        </w:rPr>
      </w:pPr>
    </w:p>
    <w:p w:rsidR="000A0C97" w:rsidRPr="0083678C" w:rsidRDefault="000A0C97" w:rsidP="00B43CE7">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b/>
          <w:color w:val="000000" w:themeColor="text1"/>
          <w:sz w:val="24"/>
          <w:szCs w:val="24"/>
        </w:rPr>
        <w:t xml:space="preserve">Conflict-of-interest statement: </w:t>
      </w:r>
      <w:r w:rsidRPr="0083678C">
        <w:rPr>
          <w:rFonts w:ascii="Book Antiqua" w:hAnsi="Book Antiqua" w:cs="Times New Roman"/>
          <w:color w:val="000000" w:themeColor="text1"/>
          <w:sz w:val="24"/>
          <w:szCs w:val="24"/>
        </w:rPr>
        <w:t>No potential conflicts of interest. No financial support.</w:t>
      </w:r>
    </w:p>
    <w:p w:rsidR="001D2829" w:rsidRPr="0083678C" w:rsidRDefault="001D2829" w:rsidP="00B43CE7">
      <w:pPr>
        <w:adjustRightInd w:val="0"/>
        <w:snapToGrid w:val="0"/>
        <w:spacing w:after="0" w:line="360" w:lineRule="auto"/>
        <w:jc w:val="both"/>
        <w:rPr>
          <w:rFonts w:ascii="Book Antiqua" w:hAnsi="Book Antiqua" w:cs="Times New Roman"/>
          <w:b/>
          <w:color w:val="000000" w:themeColor="text1"/>
          <w:sz w:val="24"/>
          <w:szCs w:val="24"/>
        </w:rPr>
      </w:pPr>
    </w:p>
    <w:p w:rsidR="00882FBA" w:rsidRPr="0083678C" w:rsidRDefault="00882FBA" w:rsidP="00882FBA">
      <w:pPr>
        <w:snapToGrid w:val="0"/>
        <w:spacing w:after="0" w:line="360" w:lineRule="auto"/>
        <w:jc w:val="both"/>
        <w:rPr>
          <w:rFonts w:ascii="Book Antiqua" w:eastAsia="宋体" w:hAnsi="Book Antiqua" w:cs="Times New Roman"/>
          <w:sz w:val="24"/>
          <w:szCs w:val="24"/>
          <w:lang w:eastAsia="zh-CN"/>
        </w:rPr>
      </w:pPr>
      <w:bookmarkStart w:id="6" w:name="OLE_LINK25"/>
      <w:bookmarkStart w:id="7" w:name="OLE_LINK26"/>
      <w:bookmarkStart w:id="8" w:name="OLE_LINK375"/>
      <w:bookmarkStart w:id="9" w:name="OLE_LINK32"/>
      <w:bookmarkStart w:id="10" w:name="OLE_LINK381"/>
      <w:bookmarkStart w:id="11" w:name="OLE_LINK413"/>
      <w:r w:rsidRPr="0083678C">
        <w:rPr>
          <w:rFonts w:ascii="Book Antiqua" w:eastAsia="宋体" w:hAnsi="Book Antiqua" w:cs="Times New Roman"/>
          <w:b/>
          <w:color w:val="000000"/>
          <w:sz w:val="24"/>
          <w:szCs w:val="24"/>
          <w:lang w:eastAsia="zh-CN"/>
        </w:rPr>
        <w:t xml:space="preserve">Open-Access: </w:t>
      </w:r>
      <w:r w:rsidRPr="0083678C">
        <w:rPr>
          <w:rFonts w:ascii="Book Antiqua" w:eastAsia="宋体" w:hAnsi="Book Antiqua" w:cs="Times New Roman"/>
          <w:color w:val="000000"/>
          <w:sz w:val="24"/>
          <w:szCs w:val="24"/>
          <w:lang w:eastAsia="zh-CN"/>
        </w:rPr>
        <w:t xml:space="preserve">This is an </w:t>
      </w:r>
      <w:r w:rsidRPr="0083678C">
        <w:rPr>
          <w:rFonts w:ascii="Book Antiqua" w:eastAsia="宋体" w:hAnsi="Book Antiqua" w:cs="宋体"/>
          <w:sz w:val="24"/>
          <w:szCs w:val="24"/>
          <w:lang w:eastAsia="zh-CN"/>
        </w:rPr>
        <w:t xml:space="preserve">open-access article that was </w:t>
      </w:r>
      <w:r w:rsidRPr="0083678C">
        <w:rPr>
          <w:rFonts w:ascii="Book Antiqua" w:eastAsia="宋体" w:hAnsi="Book Antiqua" w:cs="Times New Roman"/>
          <w:sz w:val="24"/>
          <w:szCs w:val="24"/>
          <w:lang w:eastAsia="zh-CN"/>
        </w:rPr>
        <w:t xml:space="preserve">selected by an in-house editor and fully peer-reviewed by external reviewers. It is </w:t>
      </w:r>
      <w:r w:rsidRPr="0083678C">
        <w:rPr>
          <w:rFonts w:ascii="Book Antiqua" w:eastAsia="宋体" w:hAnsi="Book Antiqua" w:cs="宋体"/>
          <w:sz w:val="24"/>
          <w:szCs w:val="24"/>
          <w:lang w:eastAsia="zh-CN"/>
        </w:rPr>
        <w:t xml:space="preserve">distributed in accordance with </w:t>
      </w:r>
      <w:r w:rsidRPr="0083678C">
        <w:rPr>
          <w:rFonts w:ascii="Book Antiqua" w:eastAsia="宋体"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83678C">
        <w:rPr>
          <w:rFonts w:ascii="Book Antiqua" w:eastAsia="宋体" w:hAnsi="Book Antiqua" w:cs="Times New Roman"/>
          <w:color w:val="0000FF"/>
          <w:sz w:val="24"/>
          <w:szCs w:val="24"/>
          <w:u w:val="single"/>
          <w:lang w:eastAsia="zh-CN"/>
        </w:rPr>
        <w:t>http://creativecommons.org/licenses/by-nc/4.0/</w:t>
      </w:r>
    </w:p>
    <w:p w:rsidR="00882FBA" w:rsidRPr="0083678C" w:rsidRDefault="00882FBA" w:rsidP="00882FBA">
      <w:pPr>
        <w:snapToGrid w:val="0"/>
        <w:spacing w:after="0" w:line="360" w:lineRule="auto"/>
        <w:jc w:val="both"/>
        <w:rPr>
          <w:rFonts w:ascii="Book Antiqua" w:eastAsia="宋体" w:hAnsi="Book Antiqua" w:cs="Times New Roman"/>
          <w:sz w:val="24"/>
          <w:szCs w:val="24"/>
          <w:lang w:eastAsia="zh-CN"/>
        </w:rPr>
      </w:pPr>
    </w:p>
    <w:p w:rsidR="00882FBA" w:rsidRPr="0083678C" w:rsidRDefault="00882FBA" w:rsidP="00882FBA">
      <w:pPr>
        <w:adjustRightInd w:val="0"/>
        <w:snapToGrid w:val="0"/>
        <w:spacing w:after="0" w:line="360" w:lineRule="auto"/>
        <w:jc w:val="both"/>
        <w:rPr>
          <w:rFonts w:ascii="Book Antiqua" w:eastAsia="宋体" w:hAnsi="Book Antiqua" w:cs="Times New Roman"/>
          <w:bCs/>
          <w:sz w:val="24"/>
          <w:szCs w:val="24"/>
          <w:lang w:eastAsia="zh-CN"/>
        </w:rPr>
      </w:pPr>
      <w:bookmarkStart w:id="12" w:name="OLE_LINK11"/>
      <w:r w:rsidRPr="0083678C">
        <w:rPr>
          <w:rFonts w:ascii="Book Antiqua" w:eastAsia="宋体" w:hAnsi="Book Antiqua" w:cs="Times New Roman"/>
          <w:b/>
          <w:bCs/>
          <w:sz w:val="24"/>
          <w:szCs w:val="24"/>
          <w:lang w:eastAsia="zh-CN"/>
        </w:rPr>
        <w:t>Manuscript source:</w:t>
      </w:r>
      <w:r w:rsidRPr="0083678C">
        <w:rPr>
          <w:rFonts w:ascii="Book Antiqua" w:eastAsia="宋体" w:hAnsi="Book Antiqua" w:cs="Times New Roman" w:hint="eastAsia"/>
          <w:b/>
          <w:bCs/>
          <w:sz w:val="24"/>
          <w:szCs w:val="24"/>
          <w:lang w:eastAsia="zh-CN"/>
        </w:rPr>
        <w:t xml:space="preserve"> </w:t>
      </w:r>
      <w:r w:rsidRPr="0083678C">
        <w:rPr>
          <w:rFonts w:ascii="Book Antiqua" w:eastAsia="宋体" w:hAnsi="Book Antiqua" w:cs="Times New Roman"/>
          <w:bCs/>
          <w:sz w:val="24"/>
          <w:szCs w:val="24"/>
          <w:lang w:eastAsia="zh-CN"/>
        </w:rPr>
        <w:t>Invited manuscript</w:t>
      </w:r>
      <w:bookmarkEnd w:id="6"/>
      <w:bookmarkEnd w:id="7"/>
      <w:bookmarkEnd w:id="8"/>
      <w:bookmarkEnd w:id="9"/>
      <w:bookmarkEnd w:id="10"/>
      <w:bookmarkEnd w:id="11"/>
      <w:bookmarkEnd w:id="12"/>
    </w:p>
    <w:p w:rsidR="00882FBA" w:rsidRPr="0083678C" w:rsidRDefault="00882FBA" w:rsidP="00882FBA">
      <w:pPr>
        <w:adjustRightInd w:val="0"/>
        <w:snapToGrid w:val="0"/>
        <w:spacing w:after="0" w:line="360" w:lineRule="auto"/>
        <w:jc w:val="both"/>
        <w:rPr>
          <w:rFonts w:ascii="Book Antiqua" w:hAnsi="Book Antiqua" w:cs="Times New Roman"/>
          <w:b/>
          <w:color w:val="000000" w:themeColor="text1"/>
          <w:sz w:val="24"/>
          <w:szCs w:val="24"/>
        </w:rPr>
      </w:pPr>
    </w:p>
    <w:p w:rsidR="000A0C97" w:rsidRPr="0083678C" w:rsidRDefault="000A0C97" w:rsidP="00882FBA">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b/>
          <w:color w:val="000000" w:themeColor="text1"/>
          <w:sz w:val="24"/>
          <w:szCs w:val="24"/>
        </w:rPr>
        <w:t>Correspond</w:t>
      </w:r>
      <w:r w:rsidR="003476E1" w:rsidRPr="0083678C">
        <w:rPr>
          <w:rFonts w:ascii="Book Antiqua" w:hAnsi="Book Antiqua" w:cs="Times New Roman"/>
          <w:b/>
          <w:color w:val="000000" w:themeColor="text1"/>
          <w:sz w:val="24"/>
          <w:szCs w:val="24"/>
        </w:rPr>
        <w:t>ing</w:t>
      </w:r>
      <w:r w:rsidR="001D2829" w:rsidRPr="0083678C">
        <w:rPr>
          <w:rFonts w:ascii="Book Antiqua" w:hAnsi="Book Antiqua" w:cs="Times New Roman"/>
          <w:b/>
          <w:color w:val="000000" w:themeColor="text1"/>
          <w:sz w:val="24"/>
          <w:szCs w:val="24"/>
        </w:rPr>
        <w:t xml:space="preserve"> author: </w:t>
      </w:r>
      <w:r w:rsidR="00882FBA" w:rsidRPr="0083678C">
        <w:rPr>
          <w:rFonts w:ascii="Book Antiqua" w:hAnsi="Book Antiqua" w:cs=".VnBook-Antiqua"/>
          <w:b/>
          <w:color w:val="000000" w:themeColor="text1"/>
          <w:sz w:val="24"/>
          <w:szCs w:val="24"/>
        </w:rPr>
        <w:t>Duc Trong Quach</w:t>
      </w:r>
      <w:r w:rsidRPr="0083678C">
        <w:rPr>
          <w:rFonts w:ascii="Book Antiqua" w:hAnsi="Book Antiqua" w:cs=".VnBook-Antiqua"/>
          <w:b/>
          <w:color w:val="000000" w:themeColor="text1"/>
          <w:sz w:val="24"/>
          <w:szCs w:val="24"/>
        </w:rPr>
        <w:t>, MD</w:t>
      </w:r>
      <w:r w:rsidR="00882FBA" w:rsidRPr="0083678C">
        <w:rPr>
          <w:rFonts w:ascii="Book Antiqua" w:hAnsi="Book Antiqua" w:cs=".VnBook-Antiqua"/>
          <w:b/>
          <w:color w:val="000000" w:themeColor="text1"/>
          <w:sz w:val="24"/>
          <w:szCs w:val="24"/>
        </w:rPr>
        <w:t>,</w:t>
      </w:r>
      <w:r w:rsidRPr="0083678C">
        <w:rPr>
          <w:rFonts w:ascii="Book Antiqua" w:hAnsi="Book Antiqua" w:cs=".VnBook-Antiqua"/>
          <w:b/>
          <w:color w:val="000000" w:themeColor="text1"/>
          <w:sz w:val="24"/>
          <w:szCs w:val="24"/>
        </w:rPr>
        <w:t xml:space="preserve"> PhD</w:t>
      </w:r>
      <w:r w:rsidR="00882FBA" w:rsidRPr="0083678C">
        <w:rPr>
          <w:rFonts w:ascii="Book Antiqua" w:hAnsi="Book Antiqua" w:cs=".VnBook-Antiqua"/>
          <w:b/>
          <w:color w:val="000000" w:themeColor="text1"/>
          <w:sz w:val="24"/>
          <w:szCs w:val="24"/>
        </w:rPr>
        <w:t xml:space="preserve">, Associate Professor, Attending Doctor, Senior Lecturer, </w:t>
      </w:r>
      <w:r w:rsidRPr="0083678C">
        <w:rPr>
          <w:rFonts w:ascii="Book Antiqua" w:hAnsi="Book Antiqua" w:cs=".VnBook-Antiqua"/>
          <w:color w:val="000000" w:themeColor="text1"/>
          <w:sz w:val="24"/>
          <w:szCs w:val="24"/>
        </w:rPr>
        <w:t>Department of Internal Medicine</w:t>
      </w:r>
      <w:r w:rsidR="00882FBA" w:rsidRPr="0083678C">
        <w:rPr>
          <w:rFonts w:ascii="Book Antiqua" w:hAnsi="Book Antiqua" w:cs="Times New Roman" w:hint="eastAsia"/>
          <w:color w:val="000000" w:themeColor="text1"/>
          <w:sz w:val="24"/>
          <w:szCs w:val="24"/>
        </w:rPr>
        <w:t>,</w:t>
      </w:r>
      <w:r w:rsidR="00882FBA" w:rsidRPr="0083678C">
        <w:rPr>
          <w:rFonts w:ascii="Book Antiqua" w:hAnsi="Book Antiqua" w:cs="Times New Roman"/>
          <w:color w:val="000000" w:themeColor="text1"/>
          <w:sz w:val="24"/>
          <w:szCs w:val="24"/>
        </w:rPr>
        <w:t xml:space="preserve"> </w:t>
      </w:r>
      <w:r w:rsidRPr="0083678C">
        <w:rPr>
          <w:rFonts w:ascii="Book Antiqua" w:hAnsi="Book Antiqua" w:cs=".VnBook-Antiqua"/>
          <w:color w:val="000000" w:themeColor="text1"/>
          <w:sz w:val="24"/>
          <w:szCs w:val="24"/>
        </w:rPr>
        <w:t>University of Medicine and Pharmacy at Hochiminh City</w:t>
      </w:r>
      <w:r w:rsidR="00882FBA" w:rsidRPr="0083678C">
        <w:rPr>
          <w:rFonts w:ascii="Book Antiqua" w:hAnsi="Book Antiqua" w:cs="Times New Roman" w:hint="eastAsia"/>
          <w:color w:val="000000" w:themeColor="text1"/>
          <w:sz w:val="24"/>
          <w:szCs w:val="24"/>
        </w:rPr>
        <w:t>,</w:t>
      </w:r>
      <w:r w:rsidR="00882FBA" w:rsidRPr="0083678C">
        <w:rPr>
          <w:rFonts w:ascii="Book Antiqua" w:hAnsi="Book Antiqua" w:cs="Times New Roman"/>
          <w:color w:val="000000" w:themeColor="text1"/>
          <w:sz w:val="24"/>
          <w:szCs w:val="24"/>
        </w:rPr>
        <w:t xml:space="preserve"> </w:t>
      </w:r>
      <w:r w:rsidRPr="0083678C">
        <w:rPr>
          <w:rFonts w:ascii="Book Antiqua" w:hAnsi="Book Antiqua" w:cs=".VnBook-Antiqua"/>
          <w:color w:val="000000" w:themeColor="text1"/>
          <w:sz w:val="24"/>
          <w:szCs w:val="24"/>
        </w:rPr>
        <w:t>217 Hong Bang Street, District 5, Ho Chi Minh</w:t>
      </w:r>
      <w:r w:rsidR="00882FBA" w:rsidRPr="0083678C">
        <w:rPr>
          <w:rFonts w:ascii="Book Antiqua" w:hAnsi="Book Antiqua" w:cs=".VnBook-Antiqua"/>
          <w:color w:val="000000" w:themeColor="text1"/>
          <w:sz w:val="24"/>
          <w:szCs w:val="24"/>
        </w:rPr>
        <w:t xml:space="preserve"> 70000</w:t>
      </w:r>
      <w:r w:rsidRPr="0083678C">
        <w:rPr>
          <w:rFonts w:ascii="Book Antiqua" w:hAnsi="Book Antiqua" w:cs=".VnBook-Antiqua"/>
          <w:color w:val="000000" w:themeColor="text1"/>
          <w:sz w:val="24"/>
          <w:szCs w:val="24"/>
        </w:rPr>
        <w:t xml:space="preserve">, Vietnam. </w:t>
      </w:r>
      <w:r w:rsidR="00882FBA" w:rsidRPr="0083678C">
        <w:rPr>
          <w:rFonts w:ascii="Book Antiqua" w:hAnsi="Book Antiqua" w:cs=".VnBook-Antiqua"/>
          <w:color w:val="000000" w:themeColor="text1"/>
          <w:sz w:val="24"/>
          <w:szCs w:val="24"/>
        </w:rPr>
        <w:t>drquachtd@ump.edu.vn</w:t>
      </w:r>
    </w:p>
    <w:p w:rsidR="000A0C97" w:rsidRPr="0083678C" w:rsidRDefault="00882FBA" w:rsidP="00B43CE7">
      <w:pPr>
        <w:autoSpaceDE w:val="0"/>
        <w:autoSpaceDN w:val="0"/>
        <w:adjustRightInd w:val="0"/>
        <w:snapToGrid w:val="0"/>
        <w:spacing w:after="0" w:line="360" w:lineRule="auto"/>
        <w:jc w:val="both"/>
        <w:rPr>
          <w:rFonts w:ascii="Book Antiqua" w:hAnsi="Book Antiqua" w:cs=".VnBook-Antiqua"/>
          <w:color w:val="000000" w:themeColor="text1"/>
          <w:sz w:val="24"/>
          <w:szCs w:val="24"/>
        </w:rPr>
      </w:pPr>
      <w:r w:rsidRPr="0083678C">
        <w:rPr>
          <w:rFonts w:ascii="Book Antiqua" w:hAnsi="Book Antiqua" w:cs=".VnBook-Antiqua"/>
          <w:b/>
          <w:bCs/>
          <w:color w:val="000000" w:themeColor="text1"/>
          <w:sz w:val="24"/>
          <w:szCs w:val="24"/>
        </w:rPr>
        <w:t>Telep</w:t>
      </w:r>
      <w:r w:rsidR="000A0C97" w:rsidRPr="0083678C">
        <w:rPr>
          <w:rFonts w:ascii="Book Antiqua" w:hAnsi="Book Antiqua" w:cs=".VnBook-Antiqua"/>
          <w:b/>
          <w:bCs/>
          <w:color w:val="000000" w:themeColor="text1"/>
          <w:sz w:val="24"/>
          <w:szCs w:val="24"/>
        </w:rPr>
        <w:t>hone:</w:t>
      </w:r>
      <w:r w:rsidR="000A0C97" w:rsidRPr="0083678C">
        <w:rPr>
          <w:rFonts w:ascii="Book Antiqua" w:hAnsi="Book Antiqua" w:cs=".VnBook-Antiqua"/>
          <w:color w:val="000000" w:themeColor="text1"/>
          <w:sz w:val="24"/>
          <w:szCs w:val="24"/>
        </w:rPr>
        <w:t xml:space="preserve"> +84-8-38554269</w:t>
      </w:r>
    </w:p>
    <w:p w:rsidR="000A0C97" w:rsidRPr="0083678C" w:rsidRDefault="000A0C97" w:rsidP="00B43CE7">
      <w:pPr>
        <w:autoSpaceDE w:val="0"/>
        <w:autoSpaceDN w:val="0"/>
        <w:adjustRightInd w:val="0"/>
        <w:snapToGrid w:val="0"/>
        <w:spacing w:after="0" w:line="360" w:lineRule="auto"/>
        <w:jc w:val="both"/>
        <w:rPr>
          <w:rFonts w:ascii="Book Antiqua" w:hAnsi="Book Antiqua" w:cs=".VnBook-Antiqua"/>
          <w:color w:val="000000" w:themeColor="text1"/>
          <w:sz w:val="24"/>
          <w:szCs w:val="24"/>
        </w:rPr>
      </w:pPr>
      <w:r w:rsidRPr="0083678C">
        <w:rPr>
          <w:rFonts w:ascii="Book Antiqua" w:hAnsi="Book Antiqua" w:cs=".VnBook-Antiqua"/>
          <w:b/>
          <w:bCs/>
          <w:color w:val="000000" w:themeColor="text1"/>
          <w:sz w:val="24"/>
          <w:szCs w:val="24"/>
        </w:rPr>
        <w:t xml:space="preserve">Fax: </w:t>
      </w:r>
      <w:r w:rsidRPr="0083678C">
        <w:rPr>
          <w:rFonts w:ascii="Book Antiqua" w:hAnsi="Book Antiqua" w:cs=".VnBook-Antiqua"/>
          <w:color w:val="000000" w:themeColor="text1"/>
          <w:sz w:val="24"/>
          <w:szCs w:val="24"/>
        </w:rPr>
        <w:t>+84-8-39506126</w:t>
      </w:r>
    </w:p>
    <w:p w:rsidR="000A0C97" w:rsidRPr="0083678C" w:rsidRDefault="000A0C97" w:rsidP="00B43CE7">
      <w:pPr>
        <w:autoSpaceDE w:val="0"/>
        <w:autoSpaceDN w:val="0"/>
        <w:adjustRightInd w:val="0"/>
        <w:snapToGrid w:val="0"/>
        <w:spacing w:after="0" w:line="360" w:lineRule="auto"/>
        <w:jc w:val="both"/>
        <w:rPr>
          <w:rFonts w:ascii="Book Antiqua" w:hAnsi="Book Antiqua" w:cs=".VnBook-Antiqua"/>
          <w:color w:val="000000" w:themeColor="text1"/>
          <w:sz w:val="24"/>
          <w:szCs w:val="24"/>
        </w:rPr>
      </w:pPr>
    </w:p>
    <w:p w:rsidR="004B2C9A" w:rsidRPr="0083678C" w:rsidRDefault="004B2C9A" w:rsidP="004B2C9A">
      <w:pPr>
        <w:adjustRightInd w:val="0"/>
        <w:snapToGrid w:val="0"/>
        <w:spacing w:after="0" w:line="360" w:lineRule="auto"/>
        <w:jc w:val="both"/>
        <w:rPr>
          <w:rFonts w:ascii="Book Antiqua" w:eastAsia="宋体" w:hAnsi="Book Antiqua" w:cs="Times New Roman"/>
          <w:b/>
          <w:sz w:val="24"/>
          <w:szCs w:val="24"/>
          <w:lang w:eastAsia="zh-CN"/>
        </w:rPr>
      </w:pPr>
      <w:bookmarkStart w:id="13" w:name="OLE_LINK30"/>
      <w:bookmarkStart w:id="14" w:name="OLE_LINK376"/>
      <w:bookmarkStart w:id="15" w:name="OLE_LINK35"/>
      <w:bookmarkStart w:id="16" w:name="OLE_LINK14"/>
      <w:bookmarkStart w:id="17" w:name="OLE_LINK16"/>
      <w:bookmarkStart w:id="18" w:name="OLE_LINK51"/>
      <w:bookmarkStart w:id="19" w:name="OLE_LINK27"/>
      <w:bookmarkStart w:id="20" w:name="OLE_LINK382"/>
      <w:r w:rsidRPr="0083678C">
        <w:rPr>
          <w:rFonts w:ascii="Book Antiqua" w:eastAsia="宋体" w:hAnsi="Book Antiqua" w:cs="Times New Roman"/>
          <w:b/>
          <w:sz w:val="24"/>
          <w:szCs w:val="24"/>
          <w:lang w:eastAsia="zh-CN"/>
        </w:rPr>
        <w:t xml:space="preserve">Received: </w:t>
      </w:r>
      <w:r w:rsidRPr="0083678C">
        <w:rPr>
          <w:rFonts w:ascii="Book Antiqua" w:eastAsia="宋体" w:hAnsi="Book Antiqua" w:cs="Times New Roman"/>
          <w:sz w:val="24"/>
          <w:szCs w:val="24"/>
          <w:lang w:eastAsia="zh-CN"/>
        </w:rPr>
        <w:t>March</w:t>
      </w:r>
      <w:r w:rsidRPr="0083678C">
        <w:rPr>
          <w:rFonts w:ascii="Book Antiqua" w:eastAsia="DengXian" w:hAnsi="Book Antiqua" w:cs="Times New Roman"/>
          <w:sz w:val="24"/>
          <w:szCs w:val="24"/>
          <w:lang w:eastAsia="zh-CN"/>
        </w:rPr>
        <w:t xml:space="preserve"> 11, 2019</w:t>
      </w:r>
    </w:p>
    <w:p w:rsidR="004B2C9A" w:rsidRPr="0083678C" w:rsidRDefault="004B2C9A" w:rsidP="004B2C9A">
      <w:pPr>
        <w:adjustRightInd w:val="0"/>
        <w:snapToGrid w:val="0"/>
        <w:spacing w:after="0" w:line="360" w:lineRule="auto"/>
        <w:jc w:val="both"/>
        <w:rPr>
          <w:rFonts w:ascii="Book Antiqua" w:eastAsia="DengXian" w:hAnsi="Book Antiqua" w:cs="Times New Roman"/>
          <w:b/>
          <w:sz w:val="24"/>
          <w:szCs w:val="24"/>
          <w:lang w:eastAsia="zh-CN"/>
        </w:rPr>
      </w:pPr>
      <w:r w:rsidRPr="0083678C">
        <w:rPr>
          <w:rFonts w:ascii="Book Antiqua" w:eastAsia="宋体" w:hAnsi="Book Antiqua" w:cs="Times New Roman"/>
          <w:b/>
          <w:sz w:val="24"/>
          <w:szCs w:val="24"/>
          <w:lang w:eastAsia="zh-CN"/>
        </w:rPr>
        <w:t>Peer-review started:</w:t>
      </w:r>
      <w:r w:rsidRPr="0083678C">
        <w:rPr>
          <w:rFonts w:ascii="Book Antiqua" w:eastAsia="DengXian" w:hAnsi="Book Antiqua" w:cs="Times New Roman"/>
          <w:b/>
          <w:sz w:val="24"/>
          <w:szCs w:val="24"/>
          <w:lang w:eastAsia="zh-CN"/>
        </w:rPr>
        <w:t xml:space="preserve"> </w:t>
      </w:r>
      <w:r w:rsidRPr="0083678C">
        <w:rPr>
          <w:rFonts w:ascii="Book Antiqua" w:eastAsia="宋体" w:hAnsi="Book Antiqua" w:cs="Times New Roman"/>
          <w:sz w:val="24"/>
          <w:szCs w:val="24"/>
          <w:lang w:eastAsia="zh-CN"/>
        </w:rPr>
        <w:t>March</w:t>
      </w:r>
      <w:r w:rsidRPr="0083678C">
        <w:rPr>
          <w:rFonts w:ascii="Book Antiqua" w:eastAsia="DengXian" w:hAnsi="Book Antiqua" w:cs="Times New Roman"/>
          <w:sz w:val="24"/>
          <w:szCs w:val="24"/>
          <w:lang w:eastAsia="zh-CN"/>
        </w:rPr>
        <w:t xml:space="preserve"> 11, 2019</w:t>
      </w:r>
    </w:p>
    <w:p w:rsidR="004B2C9A" w:rsidRPr="0083678C" w:rsidRDefault="004B2C9A" w:rsidP="004B2C9A">
      <w:pPr>
        <w:adjustRightInd w:val="0"/>
        <w:snapToGrid w:val="0"/>
        <w:spacing w:after="0" w:line="360" w:lineRule="auto"/>
        <w:jc w:val="both"/>
        <w:rPr>
          <w:rFonts w:ascii="Book Antiqua" w:eastAsia="DengXian" w:hAnsi="Book Antiqua" w:cs="Times New Roman"/>
          <w:b/>
          <w:sz w:val="24"/>
          <w:szCs w:val="24"/>
          <w:lang w:eastAsia="zh-CN"/>
        </w:rPr>
      </w:pPr>
      <w:r w:rsidRPr="0083678C">
        <w:rPr>
          <w:rFonts w:ascii="Book Antiqua" w:eastAsia="宋体" w:hAnsi="Book Antiqua" w:cs="Times New Roman"/>
          <w:b/>
          <w:sz w:val="24"/>
          <w:szCs w:val="24"/>
          <w:lang w:eastAsia="zh-CN"/>
        </w:rPr>
        <w:t>First decision:</w:t>
      </w:r>
      <w:r w:rsidRPr="0083678C">
        <w:rPr>
          <w:rFonts w:ascii="Book Antiqua" w:eastAsia="DengXian" w:hAnsi="Book Antiqua" w:cs="Times New Roman"/>
          <w:b/>
          <w:sz w:val="24"/>
          <w:szCs w:val="24"/>
          <w:lang w:eastAsia="zh-CN"/>
        </w:rPr>
        <w:t xml:space="preserve"> </w:t>
      </w:r>
      <w:bookmarkStart w:id="21" w:name="OLE_LINK686"/>
      <w:bookmarkStart w:id="22" w:name="OLE_LINK687"/>
      <w:r w:rsidRPr="0083678C">
        <w:rPr>
          <w:rFonts w:ascii="Book Antiqua" w:eastAsia="宋体" w:hAnsi="Book Antiqua" w:cs="Times New Roman"/>
          <w:sz w:val="24"/>
          <w:szCs w:val="24"/>
          <w:lang w:eastAsia="zh-CN"/>
        </w:rPr>
        <w:t>May</w:t>
      </w:r>
      <w:r w:rsidRPr="0083678C">
        <w:rPr>
          <w:rFonts w:ascii="Book Antiqua" w:eastAsia="DengXian" w:hAnsi="Book Antiqua" w:cs="Times New Roman"/>
          <w:sz w:val="24"/>
          <w:szCs w:val="24"/>
          <w:lang w:eastAsia="zh-CN"/>
        </w:rPr>
        <w:t xml:space="preserve"> 9, 2019</w:t>
      </w:r>
      <w:bookmarkEnd w:id="21"/>
      <w:bookmarkEnd w:id="22"/>
    </w:p>
    <w:p w:rsidR="004B2C9A" w:rsidRPr="0083678C" w:rsidRDefault="004B2C9A" w:rsidP="004B2C9A">
      <w:pPr>
        <w:adjustRightInd w:val="0"/>
        <w:snapToGrid w:val="0"/>
        <w:spacing w:after="0" w:line="360" w:lineRule="auto"/>
        <w:jc w:val="both"/>
        <w:rPr>
          <w:rFonts w:ascii="Book Antiqua" w:eastAsia="宋体" w:hAnsi="Book Antiqua" w:cs="Times New Roman"/>
          <w:b/>
          <w:sz w:val="24"/>
          <w:szCs w:val="24"/>
          <w:lang w:eastAsia="zh-CN"/>
        </w:rPr>
      </w:pPr>
      <w:r w:rsidRPr="0083678C">
        <w:rPr>
          <w:rFonts w:ascii="Book Antiqua" w:eastAsia="宋体" w:hAnsi="Book Antiqua" w:cs="Times New Roman"/>
          <w:b/>
          <w:sz w:val="24"/>
          <w:szCs w:val="24"/>
          <w:lang w:eastAsia="zh-CN"/>
        </w:rPr>
        <w:t xml:space="preserve">Revised: </w:t>
      </w:r>
      <w:r w:rsidRPr="0083678C">
        <w:rPr>
          <w:rFonts w:ascii="Book Antiqua" w:eastAsia="宋体" w:hAnsi="Book Antiqua" w:cs="Times New Roman"/>
          <w:sz w:val="24"/>
          <w:szCs w:val="24"/>
          <w:lang w:eastAsia="zh-CN"/>
        </w:rPr>
        <w:t>May</w:t>
      </w:r>
      <w:r w:rsidRPr="0083678C">
        <w:rPr>
          <w:rFonts w:ascii="Book Antiqua" w:eastAsia="DengXian" w:hAnsi="Book Antiqua" w:cs="Times New Roman"/>
          <w:sz w:val="24"/>
          <w:szCs w:val="24"/>
          <w:lang w:eastAsia="zh-CN"/>
        </w:rPr>
        <w:t xml:space="preserve"> 28, 2019</w:t>
      </w:r>
    </w:p>
    <w:p w:rsidR="004B2C9A" w:rsidRPr="0083678C" w:rsidRDefault="004B2C9A" w:rsidP="004B2C9A">
      <w:pPr>
        <w:adjustRightInd w:val="0"/>
        <w:snapToGrid w:val="0"/>
        <w:spacing w:after="0" w:line="360" w:lineRule="auto"/>
        <w:jc w:val="both"/>
        <w:rPr>
          <w:rFonts w:ascii="Book Antiqua" w:eastAsia="宋体" w:hAnsi="Book Antiqua" w:cs="Times New Roman"/>
          <w:b/>
          <w:sz w:val="24"/>
          <w:szCs w:val="24"/>
          <w:lang w:eastAsia="zh-CN"/>
        </w:rPr>
      </w:pPr>
      <w:r w:rsidRPr="0083678C">
        <w:rPr>
          <w:rFonts w:ascii="Book Antiqua" w:eastAsia="宋体" w:hAnsi="Book Antiqua" w:cs="Times New Roman"/>
          <w:b/>
          <w:sz w:val="24"/>
          <w:szCs w:val="24"/>
          <w:lang w:eastAsia="zh-CN"/>
        </w:rPr>
        <w:t>Accepted:</w:t>
      </w:r>
      <w:r w:rsidR="00535BEB" w:rsidRPr="0083678C">
        <w:t xml:space="preserve"> </w:t>
      </w:r>
      <w:r w:rsidR="00535BEB" w:rsidRPr="0083678C">
        <w:rPr>
          <w:rFonts w:ascii="Book Antiqua" w:eastAsia="宋体" w:hAnsi="Book Antiqua" w:cs="Times New Roman"/>
          <w:bCs/>
          <w:sz w:val="24"/>
          <w:szCs w:val="24"/>
          <w:lang w:eastAsia="zh-CN"/>
        </w:rPr>
        <w:t>June 22, 2019</w:t>
      </w:r>
      <w:r w:rsidRPr="0083678C">
        <w:rPr>
          <w:rFonts w:ascii="Book Antiqua" w:eastAsia="宋体" w:hAnsi="Book Antiqua" w:cs="Times New Roman"/>
          <w:b/>
          <w:sz w:val="24"/>
          <w:szCs w:val="24"/>
          <w:lang w:eastAsia="zh-CN"/>
        </w:rPr>
        <w:t xml:space="preserve"> </w:t>
      </w:r>
    </w:p>
    <w:p w:rsidR="004B2C9A" w:rsidRPr="0083678C" w:rsidRDefault="004B2C9A" w:rsidP="004B2C9A">
      <w:pPr>
        <w:adjustRightInd w:val="0"/>
        <w:snapToGrid w:val="0"/>
        <w:spacing w:after="0" w:line="360" w:lineRule="auto"/>
        <w:jc w:val="both"/>
        <w:rPr>
          <w:rFonts w:ascii="Book Antiqua" w:eastAsia="宋体" w:hAnsi="Book Antiqua" w:cs="Times New Roman"/>
          <w:sz w:val="24"/>
          <w:szCs w:val="24"/>
          <w:lang w:eastAsia="zh-CN"/>
        </w:rPr>
      </w:pPr>
      <w:r w:rsidRPr="0083678C">
        <w:rPr>
          <w:rFonts w:ascii="Book Antiqua" w:eastAsia="宋体" w:hAnsi="Book Antiqua" w:cs="Times New Roman"/>
          <w:b/>
          <w:sz w:val="24"/>
          <w:szCs w:val="24"/>
          <w:lang w:eastAsia="zh-CN"/>
        </w:rPr>
        <w:t>Article in press:</w:t>
      </w:r>
      <w:r w:rsidR="00702C39" w:rsidRPr="0083678C">
        <w:rPr>
          <w:rFonts w:ascii="Book Antiqua" w:eastAsia="宋体" w:hAnsi="Book Antiqua" w:cs="Times New Roman"/>
          <w:b/>
          <w:sz w:val="24"/>
          <w:szCs w:val="24"/>
          <w:lang w:eastAsia="zh-CN"/>
        </w:rPr>
        <w:t xml:space="preserve"> </w:t>
      </w:r>
      <w:r w:rsidR="0083678C" w:rsidRPr="0083678C">
        <w:rPr>
          <w:rFonts w:ascii="Book Antiqua" w:eastAsia="宋体" w:hAnsi="Book Antiqua" w:cs="Times New Roman" w:hint="eastAsia"/>
          <w:sz w:val="24"/>
          <w:szCs w:val="24"/>
          <w:lang w:eastAsia="zh-CN"/>
        </w:rPr>
        <w:t>June23,  2019</w:t>
      </w:r>
    </w:p>
    <w:p w:rsidR="004B2C9A" w:rsidRPr="0083678C" w:rsidRDefault="004B2C9A" w:rsidP="004B2C9A">
      <w:pPr>
        <w:snapToGrid w:val="0"/>
        <w:spacing w:after="0" w:line="360" w:lineRule="auto"/>
        <w:jc w:val="both"/>
        <w:rPr>
          <w:rFonts w:ascii="Book Antiqua" w:eastAsia="宋体" w:hAnsi="Book Antiqua" w:cs="Times New Roman"/>
          <w:color w:val="000000"/>
          <w:sz w:val="24"/>
          <w:szCs w:val="24"/>
          <w:lang w:eastAsia="zh-CN"/>
        </w:rPr>
      </w:pPr>
      <w:r w:rsidRPr="0083678C">
        <w:rPr>
          <w:rFonts w:ascii="Book Antiqua" w:eastAsia="宋体" w:hAnsi="Book Antiqua" w:cs="Times New Roman"/>
          <w:b/>
          <w:sz w:val="24"/>
          <w:szCs w:val="24"/>
          <w:lang w:eastAsia="zh-CN"/>
        </w:rPr>
        <w:t>Published online:</w:t>
      </w:r>
      <w:bookmarkEnd w:id="16"/>
      <w:bookmarkEnd w:id="17"/>
      <w:bookmarkEnd w:id="18"/>
      <w:bookmarkEnd w:id="19"/>
      <w:bookmarkEnd w:id="20"/>
      <w:r w:rsidR="0083678C" w:rsidRPr="0083678C">
        <w:rPr>
          <w:rFonts w:ascii="Book Antiqua" w:eastAsia="宋体" w:hAnsi="Book Antiqua" w:cs="Times New Roman" w:hint="eastAsia"/>
          <w:b/>
          <w:sz w:val="24"/>
          <w:szCs w:val="24"/>
          <w:lang w:eastAsia="zh-CN"/>
        </w:rPr>
        <w:t xml:space="preserve"> </w:t>
      </w:r>
      <w:r w:rsidR="0083678C" w:rsidRPr="0083678C">
        <w:rPr>
          <w:rFonts w:ascii="Book Antiqua" w:eastAsia="宋体" w:hAnsi="Book Antiqua" w:cs="Times New Roman" w:hint="eastAsia"/>
          <w:sz w:val="24"/>
          <w:szCs w:val="24"/>
          <w:lang w:eastAsia="zh-CN"/>
        </w:rPr>
        <w:t>July 21, 2019</w:t>
      </w:r>
    </w:p>
    <w:bookmarkEnd w:id="13"/>
    <w:bookmarkEnd w:id="14"/>
    <w:bookmarkEnd w:id="15"/>
    <w:p w:rsidR="00882FBA" w:rsidRPr="0083678C" w:rsidRDefault="00882FBA" w:rsidP="00B43CE7">
      <w:pPr>
        <w:autoSpaceDE w:val="0"/>
        <w:autoSpaceDN w:val="0"/>
        <w:adjustRightInd w:val="0"/>
        <w:snapToGrid w:val="0"/>
        <w:spacing w:after="0" w:line="360" w:lineRule="auto"/>
        <w:jc w:val="both"/>
        <w:rPr>
          <w:rFonts w:ascii="Book Antiqua" w:hAnsi="Book Antiqua" w:cs=".VnBook-Antiqua"/>
          <w:color w:val="000000" w:themeColor="text1"/>
          <w:sz w:val="24"/>
          <w:szCs w:val="24"/>
        </w:rPr>
      </w:pPr>
    </w:p>
    <w:p w:rsidR="000A0C97" w:rsidRPr="0083678C" w:rsidRDefault="000A0C97" w:rsidP="00B43CE7">
      <w:pPr>
        <w:adjustRightInd w:val="0"/>
        <w:snapToGrid w:val="0"/>
        <w:spacing w:after="0" w:line="360" w:lineRule="auto"/>
        <w:jc w:val="both"/>
        <w:rPr>
          <w:rFonts w:ascii="Book Antiqua" w:hAnsi="Book Antiqua" w:cs="Times New Roman"/>
          <w:b/>
          <w:color w:val="000000" w:themeColor="text1"/>
          <w:sz w:val="24"/>
          <w:szCs w:val="24"/>
        </w:rPr>
      </w:pPr>
      <w:r w:rsidRPr="0083678C">
        <w:rPr>
          <w:rFonts w:ascii="Book Antiqua" w:hAnsi="Book Antiqua" w:cs="Times New Roman"/>
          <w:b/>
          <w:color w:val="000000" w:themeColor="text1"/>
          <w:sz w:val="24"/>
          <w:szCs w:val="24"/>
        </w:rPr>
        <w:br w:type="page"/>
      </w:r>
    </w:p>
    <w:p w:rsidR="003F2823" w:rsidRPr="0083678C" w:rsidRDefault="003F2823" w:rsidP="00B43CE7">
      <w:pPr>
        <w:autoSpaceDE w:val="0"/>
        <w:autoSpaceDN w:val="0"/>
        <w:adjustRightInd w:val="0"/>
        <w:snapToGrid w:val="0"/>
        <w:spacing w:after="0" w:line="360" w:lineRule="auto"/>
        <w:jc w:val="both"/>
        <w:rPr>
          <w:rFonts w:ascii="Book Antiqua" w:hAnsi="Book Antiqua" w:cs="Times New Roman"/>
          <w:b/>
          <w:color w:val="000000" w:themeColor="text1"/>
          <w:sz w:val="24"/>
          <w:szCs w:val="24"/>
        </w:rPr>
      </w:pPr>
      <w:r w:rsidRPr="0083678C">
        <w:rPr>
          <w:rFonts w:ascii="Book Antiqua" w:hAnsi="Book Antiqua" w:cs="Times New Roman"/>
          <w:b/>
          <w:color w:val="000000" w:themeColor="text1"/>
          <w:sz w:val="24"/>
          <w:szCs w:val="24"/>
        </w:rPr>
        <w:lastRenderedPageBreak/>
        <w:t>Abstract</w:t>
      </w:r>
    </w:p>
    <w:p w:rsidR="003F2823" w:rsidRPr="0083678C" w:rsidRDefault="003F2823" w:rsidP="00B43CE7">
      <w:p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 xml:space="preserve">Current evidence shows that individuals with gastric dysplasia, severe and extensive gastric atrophy, extensive gastric intestinal metaplasia and the incomplete subtype of intestinal metaplasia are at high risk for gastric cancer (GC) development. There are several approaches to identifying these subjects, including noninvasive methods, esophagogastroduodenoscopy and histology. The main approach in Western countries is histology-based while that in Eastern countries with a high prevalence of GC is endoscopy-based. Regarding asymptomatic individuals, the key issues in selecting applicable approaches are the ability to reduce GC mortality and the cost-effectiveness of the approach. At present, population-based screening programs have only been applied in a few Asian countries with a high risk of GC. Pre-endoscopic risk assessment based on demographic and clinical features, such as ethnicity, age, gender, smoking and </w:t>
      </w:r>
      <w:r w:rsidRPr="0083678C">
        <w:rPr>
          <w:rFonts w:ascii="Book Antiqua" w:hAnsi="Book Antiqua" w:cs="Times New Roman"/>
          <w:i/>
          <w:color w:val="000000" w:themeColor="text1"/>
          <w:sz w:val="24"/>
          <w:szCs w:val="24"/>
        </w:rPr>
        <w:t>Helicobacter pylori</w:t>
      </w:r>
      <w:r w:rsidRPr="0083678C">
        <w:rPr>
          <w:rFonts w:ascii="Book Antiqua" w:hAnsi="Book Antiqua" w:cs="Times New Roman"/>
          <w:color w:val="000000" w:themeColor="text1"/>
          <w:sz w:val="24"/>
          <w:szCs w:val="24"/>
        </w:rPr>
        <w:t xml:space="preserve"> status, is helpful for identifying subjects with high pre-test probability for a possibly cost-effective approach, especially in intermediate- and low-risk countries. Regarding symptomatic patients with indications for esophagogastroduodenoscopy, the importance of opportunistic screening should be emphasized. The combination of endoscopic and histological approaches should always be considered as endoscopy provides a real-time assessment of the patient’s risk level. In addition, imaging enhanced endoscopy (IEE) has been shown to facilitate targeted biopsies resulting in better correlation between endoscopic and histological findings. Currently, the use of IEE is recommended for endoscopic examinations, and the Operative Link for Gastric Intestinal Metaplasia or Operative Link on Gastritis Assessment grading systems are recommended for histological examinations whenever available. However, resource limitations are an important barrier in many regions worldwide. Thus, for an approach to be applicable in real-life practice, it should be not only evidence-based but also resource-sensitive. In this review, we discuss the current understanding and approaches to identifying high-risk individuals from</w:t>
      </w:r>
      <w:r w:rsidR="00182234" w:rsidRPr="0083678C">
        <w:rPr>
          <w:rFonts w:ascii="Book Antiqua" w:hAnsi="Book Antiqua" w:cs="Times New Roman"/>
          <w:color w:val="000000" w:themeColor="text1"/>
          <w:sz w:val="24"/>
          <w:szCs w:val="24"/>
        </w:rPr>
        <w:t xml:space="preserve"> western and eastern persp</w:t>
      </w:r>
      <w:r w:rsidRPr="0083678C">
        <w:rPr>
          <w:rFonts w:ascii="Book Antiqua" w:hAnsi="Book Antiqua" w:cs="Times New Roman"/>
          <w:color w:val="000000" w:themeColor="text1"/>
          <w:sz w:val="24"/>
          <w:szCs w:val="24"/>
        </w:rPr>
        <w:t>ectives, as well as the possibility of an integrated, resource-sensitive approach.</w:t>
      </w:r>
    </w:p>
    <w:p w:rsidR="003F2823" w:rsidRPr="0083678C" w:rsidRDefault="003F2823" w:rsidP="00B43CE7">
      <w:pPr>
        <w:autoSpaceDE w:val="0"/>
        <w:autoSpaceDN w:val="0"/>
        <w:adjustRightInd w:val="0"/>
        <w:snapToGrid w:val="0"/>
        <w:spacing w:after="0" w:line="360" w:lineRule="auto"/>
        <w:jc w:val="both"/>
        <w:rPr>
          <w:rFonts w:ascii="Book Antiqua" w:hAnsi="Book Antiqua" w:cs="Times New Roman"/>
          <w:b/>
          <w:color w:val="000000" w:themeColor="text1"/>
          <w:sz w:val="24"/>
          <w:szCs w:val="24"/>
        </w:rPr>
      </w:pPr>
    </w:p>
    <w:p w:rsidR="000A0C97" w:rsidRPr="0083678C" w:rsidRDefault="003F2823" w:rsidP="00B43CE7">
      <w:pPr>
        <w:autoSpaceDE w:val="0"/>
        <w:autoSpaceDN w:val="0"/>
        <w:adjustRightInd w:val="0"/>
        <w:snapToGrid w:val="0"/>
        <w:spacing w:after="0" w:line="360" w:lineRule="auto"/>
        <w:jc w:val="both"/>
        <w:rPr>
          <w:rFonts w:ascii="Book Antiqua" w:hAnsi="Book Antiqua" w:cs="Times New Roman"/>
          <w:b/>
          <w:color w:val="000000" w:themeColor="text1"/>
          <w:sz w:val="24"/>
          <w:szCs w:val="24"/>
        </w:rPr>
      </w:pPr>
      <w:r w:rsidRPr="0083678C">
        <w:rPr>
          <w:rFonts w:ascii="Book Antiqua" w:hAnsi="Book Antiqua" w:cs="Times New Roman"/>
          <w:b/>
          <w:color w:val="000000" w:themeColor="text1"/>
          <w:sz w:val="24"/>
          <w:szCs w:val="24"/>
        </w:rPr>
        <w:lastRenderedPageBreak/>
        <w:t>Key words:</w:t>
      </w:r>
      <w:r w:rsidRPr="0083678C">
        <w:rPr>
          <w:rFonts w:ascii="Book Antiqua" w:hAnsi="Book Antiqua" w:cs="Times New Roman"/>
          <w:color w:val="000000" w:themeColor="text1"/>
          <w:sz w:val="24"/>
          <w:szCs w:val="24"/>
        </w:rPr>
        <w:t xml:space="preserve"> Gastric cancer</w:t>
      </w:r>
      <w:r w:rsidR="00182234"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 xml:space="preserve"> </w:t>
      </w:r>
      <w:r w:rsidR="00182234" w:rsidRPr="0083678C">
        <w:rPr>
          <w:rFonts w:ascii="Book Antiqua" w:hAnsi="Book Antiqua" w:cs="Times New Roman"/>
          <w:color w:val="000000" w:themeColor="text1"/>
          <w:sz w:val="24"/>
          <w:szCs w:val="24"/>
        </w:rPr>
        <w:t>P</w:t>
      </w:r>
      <w:r w:rsidRPr="0083678C">
        <w:rPr>
          <w:rFonts w:ascii="Book Antiqua" w:hAnsi="Book Antiqua" w:cs="Times New Roman"/>
          <w:color w:val="000000" w:themeColor="text1"/>
          <w:sz w:val="24"/>
          <w:szCs w:val="24"/>
        </w:rPr>
        <w:t>recancerous gastric lesions</w:t>
      </w:r>
      <w:r w:rsidR="00182234"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 xml:space="preserve"> </w:t>
      </w:r>
      <w:r w:rsidR="00182234" w:rsidRPr="0083678C">
        <w:rPr>
          <w:rFonts w:ascii="Book Antiqua" w:hAnsi="Book Antiqua" w:cs="Times New Roman"/>
          <w:color w:val="000000" w:themeColor="text1"/>
          <w:sz w:val="24"/>
          <w:szCs w:val="24"/>
        </w:rPr>
        <w:t>D</w:t>
      </w:r>
      <w:r w:rsidRPr="0083678C">
        <w:rPr>
          <w:rFonts w:ascii="Book Antiqua" w:hAnsi="Book Antiqua" w:cs="Times New Roman"/>
          <w:color w:val="000000" w:themeColor="text1"/>
          <w:sz w:val="24"/>
          <w:szCs w:val="24"/>
        </w:rPr>
        <w:t>ysplasia</w:t>
      </w:r>
      <w:r w:rsidR="00182234"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 xml:space="preserve"> </w:t>
      </w:r>
      <w:r w:rsidR="00182234" w:rsidRPr="0083678C">
        <w:rPr>
          <w:rFonts w:ascii="Book Antiqua" w:hAnsi="Book Antiqua" w:cs="Times New Roman"/>
          <w:color w:val="000000" w:themeColor="text1"/>
          <w:sz w:val="24"/>
          <w:szCs w:val="24"/>
        </w:rPr>
        <w:t>G</w:t>
      </w:r>
      <w:r w:rsidRPr="0083678C">
        <w:rPr>
          <w:rFonts w:ascii="Book Antiqua" w:hAnsi="Book Antiqua" w:cs="Times New Roman"/>
          <w:color w:val="000000" w:themeColor="text1"/>
          <w:sz w:val="24"/>
          <w:szCs w:val="24"/>
        </w:rPr>
        <w:t>astric atrophy</w:t>
      </w:r>
      <w:r w:rsidR="00182234"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 xml:space="preserve"> </w:t>
      </w:r>
      <w:r w:rsidR="00182234" w:rsidRPr="0083678C">
        <w:rPr>
          <w:rFonts w:ascii="Book Antiqua" w:hAnsi="Book Antiqua" w:cs="Times New Roman"/>
          <w:color w:val="000000" w:themeColor="text1"/>
          <w:sz w:val="24"/>
          <w:szCs w:val="24"/>
        </w:rPr>
        <w:t>C</w:t>
      </w:r>
      <w:r w:rsidRPr="0083678C">
        <w:rPr>
          <w:rFonts w:ascii="Book Antiqua" w:hAnsi="Book Antiqua" w:cs="Times New Roman"/>
          <w:color w:val="000000" w:themeColor="text1"/>
          <w:sz w:val="24"/>
          <w:szCs w:val="24"/>
        </w:rPr>
        <w:t>hronic atrophic gastritis</w:t>
      </w:r>
      <w:r w:rsidR="00182234"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 xml:space="preserve"> </w:t>
      </w:r>
      <w:r w:rsidR="00182234" w:rsidRPr="0083678C">
        <w:rPr>
          <w:rFonts w:ascii="Book Antiqua" w:hAnsi="Book Antiqua" w:cs="Times New Roman"/>
          <w:color w:val="000000" w:themeColor="text1"/>
          <w:sz w:val="24"/>
          <w:szCs w:val="24"/>
        </w:rPr>
        <w:t>I</w:t>
      </w:r>
      <w:r w:rsidRPr="0083678C">
        <w:rPr>
          <w:rFonts w:ascii="Book Antiqua" w:hAnsi="Book Antiqua" w:cs="Times New Roman"/>
          <w:color w:val="000000" w:themeColor="text1"/>
          <w:sz w:val="24"/>
          <w:szCs w:val="24"/>
        </w:rPr>
        <w:t>ntestinal metaplasia</w:t>
      </w:r>
      <w:r w:rsidR="00182234"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 xml:space="preserve"> </w:t>
      </w:r>
      <w:r w:rsidR="00182234" w:rsidRPr="0083678C">
        <w:rPr>
          <w:rFonts w:ascii="Book Antiqua" w:hAnsi="Book Antiqua" w:cs="Times New Roman"/>
          <w:color w:val="000000" w:themeColor="text1"/>
          <w:sz w:val="24"/>
          <w:szCs w:val="24"/>
        </w:rPr>
        <w:t>D</w:t>
      </w:r>
      <w:r w:rsidRPr="0083678C">
        <w:rPr>
          <w:rFonts w:ascii="Book Antiqua" w:hAnsi="Book Antiqua" w:cs="Times New Roman"/>
          <w:color w:val="000000" w:themeColor="text1"/>
          <w:sz w:val="24"/>
          <w:szCs w:val="24"/>
        </w:rPr>
        <w:t>ysplasia</w:t>
      </w:r>
      <w:r w:rsidR="00182234"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 xml:space="preserve"> </w:t>
      </w:r>
      <w:r w:rsidR="00182234" w:rsidRPr="0083678C">
        <w:rPr>
          <w:rFonts w:ascii="Book Antiqua" w:hAnsi="Book Antiqua" w:cs="Times New Roman"/>
          <w:color w:val="000000" w:themeColor="text1"/>
          <w:sz w:val="24"/>
          <w:szCs w:val="24"/>
        </w:rPr>
        <w:t>S</w:t>
      </w:r>
      <w:r w:rsidRPr="0083678C">
        <w:rPr>
          <w:rFonts w:ascii="Book Antiqua" w:hAnsi="Book Antiqua" w:cs="Times New Roman"/>
          <w:color w:val="000000" w:themeColor="text1"/>
          <w:sz w:val="24"/>
          <w:szCs w:val="24"/>
        </w:rPr>
        <w:t>urveillance</w:t>
      </w:r>
      <w:r w:rsidR="00182234"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 xml:space="preserve"> </w:t>
      </w:r>
      <w:r w:rsidR="00182234" w:rsidRPr="0083678C">
        <w:rPr>
          <w:rFonts w:ascii="Book Antiqua" w:hAnsi="Book Antiqua" w:cs="Times New Roman"/>
          <w:color w:val="000000" w:themeColor="text1"/>
          <w:sz w:val="24"/>
          <w:szCs w:val="24"/>
        </w:rPr>
        <w:t>S</w:t>
      </w:r>
      <w:r w:rsidRPr="0083678C">
        <w:rPr>
          <w:rFonts w:ascii="Book Antiqua" w:hAnsi="Book Antiqua" w:cs="Times New Roman"/>
          <w:color w:val="000000" w:themeColor="text1"/>
          <w:sz w:val="24"/>
          <w:szCs w:val="24"/>
        </w:rPr>
        <w:t>creening</w:t>
      </w:r>
      <w:r w:rsidR="00182234"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 xml:space="preserve"> </w:t>
      </w:r>
      <w:r w:rsidR="00182234" w:rsidRPr="0083678C">
        <w:rPr>
          <w:rFonts w:ascii="Book Antiqua" w:hAnsi="Book Antiqua" w:cs="Times New Roman"/>
          <w:color w:val="000000" w:themeColor="text1"/>
          <w:sz w:val="24"/>
          <w:szCs w:val="24"/>
        </w:rPr>
        <w:t>C</w:t>
      </w:r>
      <w:r w:rsidRPr="0083678C">
        <w:rPr>
          <w:rFonts w:ascii="Book Antiqua" w:hAnsi="Book Antiqua" w:cs="Times New Roman"/>
          <w:color w:val="000000" w:themeColor="text1"/>
          <w:sz w:val="24"/>
          <w:szCs w:val="24"/>
        </w:rPr>
        <w:t>ost-effective</w:t>
      </w:r>
    </w:p>
    <w:p w:rsidR="000A0C97" w:rsidRPr="0083678C" w:rsidRDefault="000A0C97" w:rsidP="00B43CE7">
      <w:pPr>
        <w:autoSpaceDE w:val="0"/>
        <w:autoSpaceDN w:val="0"/>
        <w:adjustRightInd w:val="0"/>
        <w:snapToGrid w:val="0"/>
        <w:spacing w:after="0" w:line="360" w:lineRule="auto"/>
        <w:jc w:val="both"/>
        <w:rPr>
          <w:rFonts w:ascii="Book Antiqua" w:hAnsi="Book Antiqua" w:cs="Times New Roman"/>
          <w:b/>
          <w:color w:val="000000" w:themeColor="text1"/>
          <w:sz w:val="24"/>
          <w:szCs w:val="24"/>
        </w:rPr>
      </w:pPr>
    </w:p>
    <w:p w:rsidR="00182234" w:rsidRPr="0083678C" w:rsidRDefault="00182234" w:rsidP="00B43CE7">
      <w:pPr>
        <w:autoSpaceDE w:val="0"/>
        <w:autoSpaceDN w:val="0"/>
        <w:adjustRightInd w:val="0"/>
        <w:snapToGrid w:val="0"/>
        <w:spacing w:after="0" w:line="360" w:lineRule="auto"/>
        <w:jc w:val="both"/>
        <w:rPr>
          <w:rFonts w:ascii="Book Antiqua" w:eastAsia="宋体" w:hAnsi="Book Antiqua" w:cs="Times New Roman"/>
          <w:sz w:val="24"/>
          <w:szCs w:val="24"/>
          <w:lang w:eastAsia="zh-CN"/>
        </w:rPr>
      </w:pPr>
      <w:bookmarkStart w:id="23" w:name="OLE_LINK43"/>
      <w:bookmarkStart w:id="24" w:name="OLE_LINK44"/>
      <w:r w:rsidRPr="0083678C">
        <w:rPr>
          <w:rFonts w:ascii="Book Antiqua" w:eastAsia="宋体" w:hAnsi="Book Antiqua" w:cs="Times New Roman"/>
          <w:b/>
          <w:sz w:val="24"/>
          <w:szCs w:val="24"/>
          <w:lang w:eastAsia="zh-CN"/>
        </w:rPr>
        <w:t>© The Author(s) 201</w:t>
      </w:r>
      <w:r w:rsidRPr="0083678C">
        <w:rPr>
          <w:rFonts w:ascii="Book Antiqua" w:eastAsia="宋体" w:hAnsi="Book Antiqua" w:cs="Times New Roman" w:hint="eastAsia"/>
          <w:b/>
          <w:sz w:val="24"/>
          <w:szCs w:val="24"/>
          <w:lang w:eastAsia="zh-CN"/>
        </w:rPr>
        <w:t>9</w:t>
      </w:r>
      <w:r w:rsidRPr="0083678C">
        <w:rPr>
          <w:rFonts w:ascii="Book Antiqua" w:eastAsia="宋体" w:hAnsi="Book Antiqua" w:cs="Times New Roman"/>
          <w:b/>
          <w:sz w:val="24"/>
          <w:szCs w:val="24"/>
          <w:lang w:eastAsia="zh-CN"/>
        </w:rPr>
        <w:t xml:space="preserve">. </w:t>
      </w:r>
      <w:r w:rsidRPr="0083678C">
        <w:rPr>
          <w:rFonts w:ascii="Book Antiqua" w:eastAsia="宋体" w:hAnsi="Book Antiqua" w:cs="Times New Roman"/>
          <w:sz w:val="24"/>
          <w:szCs w:val="24"/>
          <w:lang w:eastAsia="zh-CN"/>
        </w:rPr>
        <w:t>Published by Baishideng Publishing Group Inc. All rights reserved.</w:t>
      </w:r>
      <w:bookmarkEnd w:id="23"/>
      <w:bookmarkEnd w:id="24"/>
    </w:p>
    <w:p w:rsidR="00182234" w:rsidRPr="0083678C" w:rsidRDefault="00182234" w:rsidP="00B43CE7">
      <w:pPr>
        <w:autoSpaceDE w:val="0"/>
        <w:autoSpaceDN w:val="0"/>
        <w:adjustRightInd w:val="0"/>
        <w:snapToGrid w:val="0"/>
        <w:spacing w:after="0" w:line="360" w:lineRule="auto"/>
        <w:jc w:val="both"/>
        <w:rPr>
          <w:rFonts w:ascii="Book Antiqua" w:hAnsi="Book Antiqua" w:cs="Times New Roman"/>
          <w:b/>
          <w:color w:val="000000" w:themeColor="text1"/>
          <w:sz w:val="24"/>
          <w:szCs w:val="24"/>
        </w:rPr>
      </w:pPr>
    </w:p>
    <w:p w:rsidR="000A0C97" w:rsidRPr="0083678C" w:rsidRDefault="003F2823" w:rsidP="00182234">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b/>
          <w:color w:val="000000" w:themeColor="text1"/>
          <w:sz w:val="24"/>
          <w:szCs w:val="24"/>
        </w:rPr>
        <w:t>Core tip</w:t>
      </w:r>
      <w:r w:rsidR="00182234" w:rsidRPr="0083678C">
        <w:rPr>
          <w:rFonts w:ascii="Book Antiqua" w:hAnsi="Book Antiqua" w:cs="Times New Roman"/>
          <w:b/>
          <w:color w:val="000000" w:themeColor="text1"/>
          <w:sz w:val="24"/>
          <w:szCs w:val="24"/>
        </w:rPr>
        <w:t xml:space="preserve">: </w:t>
      </w:r>
      <w:r w:rsidRPr="0083678C">
        <w:rPr>
          <w:rFonts w:ascii="Book Antiqua" w:hAnsi="Book Antiqua" w:cs="Times New Roman"/>
          <w:color w:val="000000" w:themeColor="text1"/>
          <w:sz w:val="24"/>
          <w:szCs w:val="24"/>
        </w:rPr>
        <w:t xml:space="preserve">Current evidence shows that patients with gastric dysplasia, severe and extensive gastric atrophy, extensive gastric intestinal metaplasia and the incomplete subtype of intestinal metaplasia are at high risk for gastric cancer development. Key issues in selecting approaches to identifying these subjects are the ability to reduce gastric cancer mortality and cost-effectiveness of the approach. Resource limitations are an important barrier in many regions worldwide. Thus, an applicable approach in real-life practice should be not only evidence-based but also resource-sensitive. In this review, we discuss the current understanding from </w:t>
      </w:r>
      <w:r w:rsidR="00182234" w:rsidRPr="0083678C">
        <w:rPr>
          <w:rFonts w:ascii="Book Antiqua" w:hAnsi="Book Antiqua" w:cs="Times New Roman"/>
          <w:color w:val="000000" w:themeColor="text1"/>
          <w:sz w:val="24"/>
          <w:szCs w:val="24"/>
        </w:rPr>
        <w:t>western and eastern perspectives, and</w:t>
      </w:r>
      <w:r w:rsidRPr="0083678C">
        <w:rPr>
          <w:rFonts w:ascii="Book Antiqua" w:hAnsi="Book Antiqua" w:cs="Times New Roman"/>
          <w:color w:val="000000" w:themeColor="text1"/>
          <w:sz w:val="24"/>
          <w:szCs w:val="24"/>
        </w:rPr>
        <w:t xml:space="preserve"> the possibility of an integrated, resource-sensitive approach.</w:t>
      </w:r>
    </w:p>
    <w:p w:rsidR="003F2823" w:rsidRPr="0083678C" w:rsidRDefault="003F2823" w:rsidP="00B43CE7">
      <w:pPr>
        <w:adjustRightInd w:val="0"/>
        <w:snapToGrid w:val="0"/>
        <w:spacing w:after="0" w:line="360" w:lineRule="auto"/>
        <w:jc w:val="both"/>
        <w:rPr>
          <w:rFonts w:ascii="Book Antiqua" w:hAnsi="Book Antiqua" w:cs="Times New Roman"/>
          <w:color w:val="000000" w:themeColor="text1"/>
          <w:sz w:val="24"/>
          <w:szCs w:val="24"/>
          <w:shd w:val="clear" w:color="auto" w:fill="FFFFFF"/>
        </w:rPr>
      </w:pPr>
    </w:p>
    <w:p w:rsidR="0083678C" w:rsidRPr="0083678C" w:rsidRDefault="0083678C" w:rsidP="0083678C">
      <w:pPr>
        <w:adjustRightInd w:val="0"/>
        <w:snapToGrid w:val="0"/>
        <w:spacing w:line="360" w:lineRule="auto"/>
        <w:rPr>
          <w:rFonts w:ascii="Book Antiqua" w:hAnsi="Book Antiqua" w:hint="eastAsia"/>
          <w:lang w:eastAsia="zh-CN"/>
        </w:rPr>
      </w:pPr>
      <w:r w:rsidRPr="0083678C">
        <w:rPr>
          <w:rFonts w:ascii="Book Antiqua" w:hAnsi="Book Antiqua" w:hint="eastAsia"/>
          <w:b/>
          <w:bCs/>
          <w:color w:val="000000"/>
          <w:sz w:val="24"/>
          <w:szCs w:val="24"/>
          <w:lang w:eastAsia="zh-CN"/>
        </w:rPr>
        <w:t>Citation</w:t>
      </w:r>
      <w:r w:rsidRPr="0083678C">
        <w:rPr>
          <w:rFonts w:ascii="Book Antiqua" w:hAnsi="Book Antiqua" w:hint="eastAsia"/>
          <w:bCs/>
          <w:color w:val="000000"/>
          <w:sz w:val="24"/>
          <w:szCs w:val="24"/>
          <w:lang w:eastAsia="zh-CN"/>
        </w:rPr>
        <w:t xml:space="preserve">: </w:t>
      </w:r>
      <w:r w:rsidRPr="0083678C">
        <w:rPr>
          <w:rFonts w:ascii="Book Antiqua" w:hAnsi="Book Antiqua"/>
          <w:bCs/>
          <w:color w:val="000000"/>
          <w:sz w:val="24"/>
          <w:szCs w:val="24"/>
        </w:rPr>
        <w:t xml:space="preserve">Quach DT, Hiyama T, Gotoda T. Identifying high-risk individuals for gastric cancer surveillance from western and eastern perspectives: Lessons to learn and possibility to develop an integrated approach for daily practice. </w:t>
      </w:r>
      <w:bookmarkStart w:id="25" w:name="OLE_LINK1105"/>
      <w:bookmarkStart w:id="26" w:name="OLE_LINK1107"/>
      <w:bookmarkStart w:id="27" w:name="OLE_LINK380"/>
      <w:r w:rsidRPr="0083678C">
        <w:rPr>
          <w:rFonts w:ascii="Book Antiqua" w:hAnsi="Book Antiqua"/>
          <w:i/>
          <w:color w:val="000000"/>
          <w:sz w:val="24"/>
          <w:szCs w:val="24"/>
        </w:rPr>
        <w:t xml:space="preserve">World J Gastroenterol </w:t>
      </w:r>
      <w:bookmarkEnd w:id="25"/>
      <w:bookmarkEnd w:id="26"/>
      <w:bookmarkEnd w:id="27"/>
      <w:r w:rsidRPr="0083678C">
        <w:rPr>
          <w:rFonts w:ascii="Book Antiqua" w:hAnsi="Book Antiqua"/>
        </w:rPr>
        <w:t>2019; 25(</w:t>
      </w:r>
      <w:r w:rsidRPr="0083678C">
        <w:rPr>
          <w:rFonts w:ascii="Book Antiqua" w:hAnsi="Book Antiqua"/>
          <w:lang w:eastAsia="ja-JP"/>
        </w:rPr>
        <w:t>2</w:t>
      </w:r>
      <w:r w:rsidRPr="0083678C">
        <w:rPr>
          <w:rFonts w:ascii="Book Antiqua" w:eastAsia="等线" w:hAnsi="Book Antiqua" w:hint="eastAsia"/>
        </w:rPr>
        <w:t>7</w:t>
      </w:r>
      <w:r w:rsidRPr="0083678C">
        <w:rPr>
          <w:rFonts w:ascii="Book Antiqua" w:hAnsi="Book Antiqua"/>
        </w:rPr>
        <w:t xml:space="preserve">): </w:t>
      </w:r>
      <w:r w:rsidRPr="0083678C">
        <w:rPr>
          <w:rFonts w:ascii="Book Antiqua" w:hAnsi="Book Antiqua" w:hint="eastAsia"/>
        </w:rPr>
        <w:t>3546</w:t>
      </w:r>
      <w:r w:rsidRPr="0083678C">
        <w:rPr>
          <w:rFonts w:ascii="Book Antiqua" w:hAnsi="Book Antiqua"/>
        </w:rPr>
        <w:t>-</w:t>
      </w:r>
      <w:r w:rsidRPr="0083678C">
        <w:rPr>
          <w:rFonts w:ascii="Book Antiqua" w:hAnsi="Book Antiqua" w:hint="eastAsia"/>
        </w:rPr>
        <w:t>3562</w:t>
      </w:r>
      <w:r w:rsidRPr="0083678C">
        <w:rPr>
          <w:rFonts w:ascii="Book Antiqua" w:hAnsi="Book Antiqua"/>
        </w:rPr>
        <w:t xml:space="preserve"> </w:t>
      </w:r>
    </w:p>
    <w:p w:rsidR="0083678C" w:rsidRPr="0083678C" w:rsidRDefault="0083678C" w:rsidP="0083678C">
      <w:pPr>
        <w:adjustRightInd w:val="0"/>
        <w:snapToGrid w:val="0"/>
        <w:spacing w:line="360" w:lineRule="auto"/>
        <w:rPr>
          <w:rFonts w:ascii="Book Antiqua" w:hAnsi="Book Antiqua" w:hint="eastAsia"/>
          <w:lang w:eastAsia="zh-CN"/>
        </w:rPr>
      </w:pPr>
      <w:r w:rsidRPr="0083678C">
        <w:rPr>
          <w:rFonts w:ascii="Book Antiqua" w:hAnsi="Book Antiqua"/>
          <w:b/>
        </w:rPr>
        <w:t>URL</w:t>
      </w:r>
      <w:r w:rsidRPr="0083678C">
        <w:rPr>
          <w:rFonts w:ascii="Book Antiqua" w:hAnsi="Book Antiqua"/>
        </w:rPr>
        <w:t>: https://www.wjgnet.com/1007-9327/full/v25/i</w:t>
      </w:r>
      <w:r w:rsidRPr="0083678C">
        <w:rPr>
          <w:rFonts w:ascii="Book Antiqua" w:hAnsi="Book Antiqua"/>
          <w:lang w:eastAsia="ja-JP"/>
        </w:rPr>
        <w:t>2</w:t>
      </w:r>
      <w:r w:rsidRPr="0083678C">
        <w:rPr>
          <w:rFonts w:ascii="Book Antiqua" w:eastAsia="等线" w:hAnsi="Book Antiqua" w:hint="eastAsia"/>
        </w:rPr>
        <w:t>7</w:t>
      </w:r>
      <w:r w:rsidRPr="0083678C">
        <w:rPr>
          <w:rFonts w:ascii="Book Antiqua" w:hAnsi="Book Antiqua"/>
        </w:rPr>
        <w:t>/</w:t>
      </w:r>
      <w:r w:rsidRPr="0083678C">
        <w:rPr>
          <w:rFonts w:ascii="Book Antiqua" w:hAnsi="Book Antiqua" w:hint="eastAsia"/>
        </w:rPr>
        <w:t>3546</w:t>
      </w:r>
      <w:r w:rsidRPr="0083678C">
        <w:rPr>
          <w:rFonts w:ascii="Book Antiqua" w:hAnsi="Book Antiqua"/>
        </w:rPr>
        <w:t xml:space="preserve">.htm  </w:t>
      </w:r>
    </w:p>
    <w:p w:rsidR="0083678C" w:rsidRPr="0083678C" w:rsidRDefault="0083678C" w:rsidP="0083678C">
      <w:pPr>
        <w:adjustRightInd w:val="0"/>
        <w:snapToGrid w:val="0"/>
        <w:spacing w:line="360" w:lineRule="auto"/>
        <w:rPr>
          <w:rFonts w:ascii="Book Antiqua" w:hAnsi="Book Antiqua"/>
          <w:color w:val="000000"/>
          <w:sz w:val="24"/>
          <w:szCs w:val="24"/>
          <w:shd w:val="clear" w:color="auto" w:fill="FFFFFF"/>
        </w:rPr>
      </w:pPr>
      <w:r w:rsidRPr="0083678C">
        <w:rPr>
          <w:rFonts w:ascii="Book Antiqua" w:hAnsi="Book Antiqua"/>
          <w:b/>
        </w:rPr>
        <w:t>DOI</w:t>
      </w:r>
      <w:r w:rsidRPr="0083678C">
        <w:rPr>
          <w:rFonts w:ascii="Book Antiqua" w:hAnsi="Book Antiqua"/>
        </w:rPr>
        <w:t>: https://dx.doi.org/10.3748/wjg.v25.i</w:t>
      </w:r>
      <w:r w:rsidRPr="0083678C">
        <w:rPr>
          <w:rFonts w:ascii="Book Antiqua" w:hAnsi="Book Antiqua"/>
          <w:lang w:eastAsia="ja-JP"/>
        </w:rPr>
        <w:t>2</w:t>
      </w:r>
      <w:r w:rsidRPr="0083678C">
        <w:rPr>
          <w:rFonts w:ascii="Book Antiqua" w:eastAsia="等线" w:hAnsi="Book Antiqua" w:hint="eastAsia"/>
        </w:rPr>
        <w:t>7</w:t>
      </w:r>
      <w:r w:rsidRPr="0083678C">
        <w:rPr>
          <w:rFonts w:ascii="Book Antiqua" w:hAnsi="Book Antiqua"/>
        </w:rPr>
        <w:t>.</w:t>
      </w:r>
      <w:r w:rsidRPr="0083678C">
        <w:rPr>
          <w:rFonts w:ascii="Book Antiqua" w:hAnsi="Book Antiqua" w:hint="eastAsia"/>
        </w:rPr>
        <w:t>3546</w:t>
      </w:r>
    </w:p>
    <w:p w:rsidR="00182234" w:rsidRPr="0083678C" w:rsidRDefault="00182234">
      <w:pPr>
        <w:rPr>
          <w:rFonts w:ascii="Book Antiqua" w:hAnsi="Book Antiqua" w:cs="Times New Roman"/>
          <w:b/>
          <w:color w:val="000000" w:themeColor="text1"/>
          <w:sz w:val="24"/>
          <w:szCs w:val="24"/>
        </w:rPr>
      </w:pPr>
      <w:r w:rsidRPr="0083678C">
        <w:rPr>
          <w:rFonts w:ascii="Book Antiqua" w:hAnsi="Book Antiqua" w:cs="Times New Roman"/>
          <w:b/>
          <w:color w:val="000000" w:themeColor="text1"/>
          <w:sz w:val="24"/>
          <w:szCs w:val="24"/>
        </w:rPr>
        <w:br w:type="page"/>
      </w:r>
    </w:p>
    <w:p w:rsidR="000B417F" w:rsidRPr="0083678C" w:rsidRDefault="006B5398" w:rsidP="00B43CE7">
      <w:pPr>
        <w:adjustRightInd w:val="0"/>
        <w:snapToGrid w:val="0"/>
        <w:spacing w:after="0" w:line="360" w:lineRule="auto"/>
        <w:jc w:val="both"/>
        <w:rPr>
          <w:rFonts w:ascii="Book Antiqua" w:hAnsi="Book Antiqua" w:cs="Times New Roman"/>
          <w:b/>
          <w:color w:val="000000" w:themeColor="text1"/>
          <w:sz w:val="24"/>
          <w:szCs w:val="24"/>
        </w:rPr>
      </w:pPr>
      <w:r w:rsidRPr="0083678C">
        <w:rPr>
          <w:rFonts w:ascii="Book Antiqua" w:hAnsi="Book Antiqua" w:cs="Times New Roman"/>
          <w:b/>
          <w:color w:val="000000" w:themeColor="text1"/>
          <w:sz w:val="24"/>
          <w:szCs w:val="24"/>
        </w:rPr>
        <w:lastRenderedPageBreak/>
        <w:t>INTRODUCTION</w:t>
      </w:r>
    </w:p>
    <w:p w:rsidR="00E85F9D" w:rsidRPr="0083678C" w:rsidRDefault="003F2823" w:rsidP="00B43CE7">
      <w:p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color w:val="000000" w:themeColor="text1"/>
          <w:sz w:val="24"/>
          <w:szCs w:val="24"/>
        </w:rPr>
      </w:pPr>
      <w:r w:rsidRPr="0083678C">
        <w:rPr>
          <w:rFonts w:ascii="Book Antiqua" w:eastAsia="Times New Roman" w:hAnsi="Book Antiqua" w:cs="Times New Roman"/>
          <w:color w:val="000000" w:themeColor="text1"/>
          <w:sz w:val="24"/>
          <w:szCs w:val="24"/>
        </w:rPr>
        <w:t>With approximately 1.0 million new cases diagnosed in 2018, gastric cancer (GC) is currently the 5</w:t>
      </w:r>
      <w:r w:rsidRPr="0083678C">
        <w:rPr>
          <w:rFonts w:ascii="Book Antiqua" w:eastAsia="Times New Roman" w:hAnsi="Book Antiqua" w:cs="Times New Roman"/>
          <w:color w:val="000000" w:themeColor="text1"/>
          <w:sz w:val="24"/>
          <w:szCs w:val="24"/>
          <w:vertAlign w:val="superscript"/>
        </w:rPr>
        <w:t>th</w:t>
      </w:r>
      <w:r w:rsidRPr="0083678C">
        <w:rPr>
          <w:rFonts w:ascii="Book Antiqua" w:eastAsia="Times New Roman" w:hAnsi="Book Antiqua" w:cs="Times New Roman"/>
          <w:color w:val="000000" w:themeColor="text1"/>
          <w:sz w:val="24"/>
          <w:szCs w:val="24"/>
        </w:rPr>
        <w:t xml:space="preserve"> most common cancer worldwide</w:t>
      </w:r>
      <w:r w:rsidR="00DD508B" w:rsidRPr="0083678C">
        <w:rPr>
          <w:rFonts w:ascii="Book Antiqua" w:eastAsia="Times New Roman" w:hAnsi="Book Antiqua" w:cs="Times New Roman"/>
          <w:color w:val="000000" w:themeColor="text1"/>
          <w:sz w:val="24"/>
          <w:szCs w:val="24"/>
          <w:vertAlign w:val="superscript"/>
        </w:rPr>
        <w:t>[</w:t>
      </w:r>
      <w:r w:rsidR="0042791D" w:rsidRPr="0083678C">
        <w:rPr>
          <w:rFonts w:ascii="Book Antiqua" w:eastAsia="Times New Roman" w:hAnsi="Book Antiqua" w:cs="Times New Roman"/>
          <w:color w:val="000000" w:themeColor="text1"/>
          <w:sz w:val="24"/>
          <w:szCs w:val="24"/>
          <w:vertAlign w:val="superscript"/>
        </w:rPr>
        <w:t>1</w:t>
      </w:r>
      <w:r w:rsidR="00DD508B" w:rsidRPr="0083678C">
        <w:rPr>
          <w:rFonts w:ascii="Book Antiqua" w:eastAsia="Times New Roman" w:hAnsi="Book Antiqua" w:cs="Times New Roman"/>
          <w:color w:val="000000" w:themeColor="text1"/>
          <w:sz w:val="24"/>
          <w:szCs w:val="24"/>
          <w:vertAlign w:val="superscript"/>
        </w:rPr>
        <w:t>]</w:t>
      </w:r>
      <w:r w:rsidR="004A2128" w:rsidRPr="0083678C">
        <w:rPr>
          <w:rFonts w:ascii="Book Antiqua" w:eastAsia="Times New Roman" w:hAnsi="Book Antiqua" w:cs="Times New Roman"/>
          <w:color w:val="000000" w:themeColor="text1"/>
          <w:sz w:val="24"/>
          <w:szCs w:val="24"/>
        </w:rPr>
        <w:t>.</w:t>
      </w:r>
      <w:r w:rsidR="001E4E5A" w:rsidRPr="0083678C">
        <w:rPr>
          <w:rFonts w:ascii="Book Antiqua" w:eastAsia="Times New Roman" w:hAnsi="Book Antiqua" w:cs="Times New Roman"/>
          <w:color w:val="000000" w:themeColor="text1"/>
          <w:sz w:val="24"/>
          <w:szCs w:val="24"/>
        </w:rPr>
        <w:t xml:space="preserve"> </w:t>
      </w:r>
      <w:r w:rsidRPr="0083678C">
        <w:rPr>
          <w:rFonts w:ascii="Book Antiqua" w:eastAsia="Times New Roman" w:hAnsi="Book Antiqua" w:cs="Times New Roman"/>
          <w:color w:val="000000" w:themeColor="text1"/>
          <w:sz w:val="24"/>
          <w:szCs w:val="24"/>
        </w:rPr>
        <w:t xml:space="preserve">However, it </w:t>
      </w:r>
      <w:r w:rsidRPr="0083678C">
        <w:rPr>
          <w:rFonts w:ascii="Book Antiqua" w:hAnsi="Book Antiqua" w:cs="Times New Roman"/>
          <w:color w:val="000000" w:themeColor="text1"/>
          <w:sz w:val="24"/>
          <w:szCs w:val="24"/>
        </w:rPr>
        <w:t xml:space="preserve">is the third leading cause of cancer-related death as the majority of patients are diagnosed at an advanced stage. The </w:t>
      </w:r>
      <w:r w:rsidRPr="0083678C">
        <w:rPr>
          <w:rFonts w:ascii="Book Antiqua" w:eastAsia="Times New Roman" w:hAnsi="Book Antiqua" w:cs="Times New Roman"/>
          <w:color w:val="000000" w:themeColor="text1"/>
          <w:sz w:val="24"/>
          <w:szCs w:val="24"/>
        </w:rPr>
        <w:t>detection of GC at an early stage is crucial, as the 5-year survival rate of GC patients is significantly better when it is managed in the early stages</w:t>
      </w:r>
      <w:r w:rsidR="00DD508B" w:rsidRPr="0083678C">
        <w:rPr>
          <w:rFonts w:ascii="Book Antiqua" w:eastAsia="Times New Roman" w:hAnsi="Book Antiqua" w:cs="Times New Roman"/>
          <w:color w:val="000000" w:themeColor="text1"/>
          <w:sz w:val="24"/>
          <w:szCs w:val="24"/>
          <w:vertAlign w:val="superscript"/>
        </w:rPr>
        <w:t>[</w:t>
      </w:r>
      <w:r w:rsidR="0042791D" w:rsidRPr="0083678C">
        <w:rPr>
          <w:rFonts w:ascii="Book Antiqua" w:eastAsia="Times New Roman" w:hAnsi="Book Antiqua" w:cs="Times New Roman"/>
          <w:color w:val="000000" w:themeColor="text1"/>
          <w:sz w:val="24"/>
          <w:szCs w:val="24"/>
          <w:vertAlign w:val="superscript"/>
        </w:rPr>
        <w:t>2</w:t>
      </w:r>
      <w:r w:rsidR="00DD508B" w:rsidRPr="0083678C">
        <w:rPr>
          <w:rFonts w:ascii="Book Antiqua" w:eastAsia="Times New Roman" w:hAnsi="Book Antiqua" w:cs="Times New Roman"/>
          <w:color w:val="000000" w:themeColor="text1"/>
          <w:sz w:val="24"/>
          <w:szCs w:val="24"/>
          <w:vertAlign w:val="superscript"/>
        </w:rPr>
        <w:t>]</w:t>
      </w:r>
      <w:r w:rsidR="004A2128" w:rsidRPr="0083678C">
        <w:rPr>
          <w:rFonts w:ascii="Book Antiqua" w:eastAsia="Times New Roman" w:hAnsi="Book Antiqua" w:cs="Times New Roman"/>
          <w:color w:val="000000" w:themeColor="text1"/>
          <w:sz w:val="24"/>
          <w:szCs w:val="24"/>
        </w:rPr>
        <w:t>.</w:t>
      </w:r>
      <w:r w:rsidR="00E85F9D" w:rsidRPr="0083678C">
        <w:rPr>
          <w:rFonts w:ascii="Book Antiqua" w:eastAsia="Times New Roman" w:hAnsi="Book Antiqua" w:cs="Times New Roman"/>
          <w:color w:val="000000" w:themeColor="text1"/>
          <w:sz w:val="24"/>
          <w:szCs w:val="24"/>
        </w:rPr>
        <w:t xml:space="preserve"> </w:t>
      </w:r>
      <w:r w:rsidRPr="0083678C">
        <w:rPr>
          <w:rFonts w:ascii="Book Antiqua" w:eastAsia="Times New Roman" w:hAnsi="Book Antiqua" w:cs="Times New Roman"/>
          <w:color w:val="000000" w:themeColor="text1"/>
          <w:sz w:val="24"/>
          <w:szCs w:val="24"/>
        </w:rPr>
        <w:t>Furthermore, therapeutic endoscopy techniques, such as endoscopic mucosal resection and endoscopic submucosal dissection have been successfully applied to cure patients suffering from early GC, thereby allowing the patients to avoid the risks associated with surgery.</w:t>
      </w:r>
    </w:p>
    <w:p w:rsidR="002A5457" w:rsidRPr="0083678C" w:rsidRDefault="00DA5946" w:rsidP="0005081A">
      <w:p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83678C">
        <w:rPr>
          <w:rFonts w:ascii="Book Antiqua" w:hAnsi="Book Antiqua" w:cs="Times New Roman"/>
          <w:color w:val="000000" w:themeColor="text1"/>
          <w:sz w:val="24"/>
          <w:szCs w:val="24"/>
        </w:rPr>
        <w:t>Diagnosing the disease at an early stage is challenging, as many GC patients are asymptomatic in the early stages and in some cases patients with advanced-stage disease may have no alarming features</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3-5</w:t>
      </w:r>
      <w:r w:rsidR="00DD508B" w:rsidRPr="0083678C">
        <w:rPr>
          <w:rFonts w:ascii="Book Antiqua" w:hAnsi="Book Antiqua" w:cs="Times New Roman"/>
          <w:color w:val="000000" w:themeColor="text1"/>
          <w:sz w:val="24"/>
          <w:szCs w:val="24"/>
          <w:vertAlign w:val="superscript"/>
        </w:rPr>
        <w:t>]</w:t>
      </w:r>
      <w:r w:rsidR="001E4E5A" w:rsidRPr="0083678C">
        <w:rPr>
          <w:rFonts w:ascii="Book Antiqua" w:hAnsi="Book Antiqua" w:cs="Times New Roman"/>
          <w:color w:val="000000" w:themeColor="text1"/>
          <w:sz w:val="24"/>
          <w:szCs w:val="24"/>
        </w:rPr>
        <w:t>.</w:t>
      </w:r>
      <w:r w:rsidR="001825BB"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As</w:t>
      </w:r>
      <w:r w:rsidRPr="0083678C">
        <w:rPr>
          <w:rFonts w:ascii="Book Antiqua" w:eastAsia="Times New Roman" w:hAnsi="Book Antiqua" w:cs="Times New Roman"/>
          <w:color w:val="000000" w:themeColor="text1"/>
          <w:sz w:val="24"/>
          <w:szCs w:val="24"/>
        </w:rPr>
        <w:t xml:space="preserve"> the development of GC is usually preceded by the </w:t>
      </w:r>
      <w:r w:rsidRPr="0083678C">
        <w:rPr>
          <w:rFonts w:ascii="Book Antiqua" w:hAnsi="Book Antiqua" w:cs="Times New Roman"/>
          <w:color w:val="000000" w:themeColor="text1"/>
          <w:sz w:val="24"/>
          <w:szCs w:val="24"/>
        </w:rPr>
        <w:t xml:space="preserve">decades-long progression </w:t>
      </w:r>
      <w:r w:rsidRPr="0083678C">
        <w:rPr>
          <w:rFonts w:ascii="Book Antiqua" w:eastAsia="Times New Roman" w:hAnsi="Book Antiqua" w:cs="Times New Roman"/>
          <w:color w:val="000000" w:themeColor="text1"/>
          <w:sz w:val="24"/>
          <w:szCs w:val="24"/>
        </w:rPr>
        <w:t>of a precancerous lesion</w:t>
      </w:r>
      <w:r w:rsidR="00DD508B" w:rsidRPr="0083678C">
        <w:rPr>
          <w:rFonts w:ascii="Book Antiqua" w:eastAsia="Times New Roman" w:hAnsi="Book Antiqua" w:cs="Times New Roman"/>
          <w:color w:val="000000" w:themeColor="text1"/>
          <w:sz w:val="24"/>
          <w:szCs w:val="24"/>
          <w:vertAlign w:val="superscript"/>
        </w:rPr>
        <w:t>[</w:t>
      </w:r>
      <w:r w:rsidR="0042791D" w:rsidRPr="0083678C">
        <w:rPr>
          <w:rFonts w:ascii="Book Antiqua" w:eastAsia="Times New Roman" w:hAnsi="Book Antiqua" w:cs="Times New Roman"/>
          <w:color w:val="000000" w:themeColor="text1"/>
          <w:sz w:val="24"/>
          <w:szCs w:val="24"/>
          <w:vertAlign w:val="superscript"/>
        </w:rPr>
        <w:t>6</w:t>
      </w:r>
      <w:r w:rsidR="00DD508B" w:rsidRPr="0083678C">
        <w:rPr>
          <w:rFonts w:ascii="Book Antiqua" w:eastAsia="Times New Roman" w:hAnsi="Book Antiqua" w:cs="Times New Roman"/>
          <w:color w:val="000000" w:themeColor="text1"/>
          <w:sz w:val="24"/>
          <w:szCs w:val="24"/>
          <w:vertAlign w:val="superscript"/>
        </w:rPr>
        <w:t>]</w:t>
      </w:r>
      <w:r w:rsidR="001825BB" w:rsidRPr="0083678C">
        <w:rPr>
          <w:rFonts w:ascii="Book Antiqua" w:eastAsia="Times New Roman" w:hAnsi="Book Antiqua" w:cs="Times New Roman"/>
          <w:color w:val="000000" w:themeColor="text1"/>
          <w:sz w:val="24"/>
          <w:szCs w:val="24"/>
        </w:rPr>
        <w:t xml:space="preserve"> </w:t>
      </w:r>
      <w:r w:rsidRPr="0083678C">
        <w:rPr>
          <w:rFonts w:ascii="Book Antiqua" w:eastAsia="Times New Roman" w:hAnsi="Book Antiqua" w:cs="Times New Roman"/>
          <w:color w:val="000000" w:themeColor="text1"/>
          <w:sz w:val="24"/>
          <w:szCs w:val="24"/>
        </w:rPr>
        <w:t>and the progression of GC from the early to advanced stages takes an average of 44 mo</w:t>
      </w:r>
      <w:r w:rsidR="00DD508B" w:rsidRPr="0083678C">
        <w:rPr>
          <w:rFonts w:ascii="Book Antiqua" w:eastAsia="Times New Roman" w:hAnsi="Book Antiqua" w:cs="Times New Roman"/>
          <w:color w:val="000000" w:themeColor="text1"/>
          <w:sz w:val="24"/>
          <w:szCs w:val="24"/>
          <w:vertAlign w:val="superscript"/>
        </w:rPr>
        <w:t>[</w:t>
      </w:r>
      <w:r w:rsidR="0042791D" w:rsidRPr="0083678C">
        <w:rPr>
          <w:rFonts w:ascii="Book Antiqua" w:eastAsia="Times New Roman" w:hAnsi="Book Antiqua" w:cs="Times New Roman"/>
          <w:color w:val="000000" w:themeColor="text1"/>
          <w:sz w:val="24"/>
          <w:szCs w:val="24"/>
          <w:vertAlign w:val="superscript"/>
        </w:rPr>
        <w:t>7</w:t>
      </w:r>
      <w:r w:rsidR="00DD508B" w:rsidRPr="0083678C">
        <w:rPr>
          <w:rFonts w:ascii="Book Antiqua" w:eastAsia="Times New Roman" w:hAnsi="Book Antiqua" w:cs="Times New Roman"/>
          <w:color w:val="000000" w:themeColor="text1"/>
          <w:sz w:val="24"/>
          <w:szCs w:val="24"/>
          <w:vertAlign w:val="superscript"/>
        </w:rPr>
        <w:t>]</w:t>
      </w:r>
      <w:r w:rsidR="001825BB" w:rsidRPr="0083678C">
        <w:rPr>
          <w:rFonts w:ascii="Book Antiqua" w:eastAsia="Times New Roman" w:hAnsi="Book Antiqua" w:cs="Times New Roman"/>
          <w:color w:val="000000" w:themeColor="text1"/>
          <w:sz w:val="24"/>
          <w:szCs w:val="24"/>
        </w:rPr>
        <w:t xml:space="preserve">, </w:t>
      </w:r>
      <w:r w:rsidRPr="0083678C">
        <w:rPr>
          <w:rFonts w:ascii="Book Antiqua" w:eastAsia="Times New Roman" w:hAnsi="Book Antiqua" w:cs="Times New Roman"/>
          <w:color w:val="000000" w:themeColor="text1"/>
          <w:sz w:val="24"/>
          <w:szCs w:val="24"/>
        </w:rPr>
        <w:t>it is important to identify high-risk individuals and to offer them a proper surveillance program.</w:t>
      </w:r>
    </w:p>
    <w:p w:rsidR="00AD1BC5" w:rsidRPr="0083678C" w:rsidRDefault="00DA5946" w:rsidP="003F5776">
      <w:p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83678C">
        <w:rPr>
          <w:rFonts w:ascii="Book Antiqua" w:eastAsia="Times New Roman" w:hAnsi="Book Antiqua" w:cs="Times New Roman"/>
          <w:color w:val="000000" w:themeColor="text1"/>
          <w:sz w:val="24"/>
          <w:szCs w:val="24"/>
        </w:rPr>
        <w:t xml:space="preserve">Current evidence shows that individuals with gastric dysplasia, high-stage gastritis </w:t>
      </w:r>
      <w:r w:rsidR="003F5776" w:rsidRPr="0083678C">
        <w:rPr>
          <w:rFonts w:ascii="Book Antiqua" w:eastAsia="Times New Roman" w:hAnsi="Book Antiqua" w:cs="Times New Roman"/>
          <w:color w:val="000000" w:themeColor="text1"/>
          <w:sz w:val="24"/>
          <w:szCs w:val="24"/>
        </w:rPr>
        <w:t>[</w:t>
      </w:r>
      <w:r w:rsidRPr="0083678C">
        <w:rPr>
          <w:rFonts w:ascii="Book Antiqua" w:eastAsia="Times New Roman" w:hAnsi="Book Antiqua" w:cs="Times New Roman"/>
          <w:color w:val="000000" w:themeColor="text1"/>
          <w:sz w:val="24"/>
          <w:szCs w:val="24"/>
        </w:rPr>
        <w:t xml:space="preserve">according to the </w:t>
      </w:r>
      <w:r w:rsidRPr="0083678C">
        <w:rPr>
          <w:rFonts w:ascii="Book Antiqua" w:hAnsi="Book Antiqua" w:cs="Times New Roman"/>
          <w:color w:val="000000" w:themeColor="text1"/>
          <w:sz w:val="24"/>
          <w:szCs w:val="24"/>
          <w:shd w:val="clear" w:color="auto" w:fill="FFFFFF"/>
        </w:rPr>
        <w:t xml:space="preserve">Operative Link on Gastritis Assessment </w:t>
      </w:r>
      <w:r w:rsidR="003F5776" w:rsidRPr="0083678C">
        <w:rPr>
          <w:rFonts w:ascii="Book Antiqua" w:hAnsi="Book Antiqua" w:cs="Times New Roman"/>
          <w:color w:val="000000" w:themeColor="text1"/>
          <w:sz w:val="24"/>
          <w:szCs w:val="24"/>
          <w:shd w:val="clear" w:color="auto" w:fill="FFFFFF"/>
        </w:rPr>
        <w:t>(</w:t>
      </w:r>
      <w:r w:rsidRPr="0083678C">
        <w:rPr>
          <w:rFonts w:ascii="Book Antiqua" w:eastAsia="Times New Roman" w:hAnsi="Book Antiqua" w:cs="Times New Roman"/>
          <w:color w:val="000000" w:themeColor="text1"/>
          <w:sz w:val="24"/>
          <w:szCs w:val="24"/>
        </w:rPr>
        <w:t>OLGA</w:t>
      </w:r>
      <w:r w:rsidR="003F5776" w:rsidRPr="0083678C">
        <w:rPr>
          <w:rFonts w:ascii="Book Antiqua" w:hAnsi="Book Antiqua" w:cs="Times New Roman"/>
          <w:color w:val="000000" w:themeColor="text1"/>
          <w:sz w:val="24"/>
          <w:szCs w:val="24"/>
          <w:shd w:val="clear" w:color="auto" w:fill="FFFFFF"/>
        </w:rPr>
        <w:t>)</w:t>
      </w:r>
      <w:r w:rsidRPr="0083678C">
        <w:rPr>
          <w:rFonts w:ascii="Book Antiqua" w:hAnsi="Book Antiqua" w:cs="Times New Roman"/>
          <w:color w:val="000000" w:themeColor="text1"/>
          <w:sz w:val="24"/>
          <w:szCs w:val="24"/>
          <w:shd w:val="clear" w:color="auto" w:fill="FFFFFF"/>
        </w:rPr>
        <w:t xml:space="preserve"> or</w:t>
      </w:r>
      <w:r w:rsidRPr="0083678C">
        <w:rPr>
          <w:rFonts w:ascii="Book Antiqua" w:eastAsia="Times New Roman"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 xml:space="preserve">Operative Link for Gastric Intestinal Metaplasia </w:t>
      </w:r>
      <w:r w:rsidR="003F5776" w:rsidRPr="0083678C">
        <w:rPr>
          <w:rFonts w:ascii="Book Antiqua" w:hAnsi="Book Antiqua" w:cs="Times New Roman"/>
          <w:color w:val="000000" w:themeColor="text1"/>
          <w:sz w:val="24"/>
          <w:szCs w:val="24"/>
        </w:rPr>
        <w:t>(</w:t>
      </w:r>
      <w:r w:rsidRPr="0083678C">
        <w:rPr>
          <w:rFonts w:ascii="Book Antiqua" w:eastAsia="Times New Roman" w:hAnsi="Book Antiqua" w:cs="Times New Roman"/>
          <w:color w:val="000000" w:themeColor="text1"/>
          <w:sz w:val="24"/>
          <w:szCs w:val="24"/>
        </w:rPr>
        <w:t>OLGIM</w:t>
      </w:r>
      <w:r w:rsidR="003F5776" w:rsidRPr="0083678C">
        <w:rPr>
          <w:rFonts w:ascii="Book Antiqua" w:eastAsia="Times New Roman" w:hAnsi="Book Antiqua" w:cs="Times New Roman"/>
          <w:color w:val="000000" w:themeColor="text1"/>
          <w:sz w:val="24"/>
          <w:szCs w:val="24"/>
        </w:rPr>
        <w:t>)]</w:t>
      </w:r>
      <w:r w:rsidRPr="0083678C">
        <w:rPr>
          <w:rFonts w:ascii="Book Antiqua" w:eastAsia="Times New Roman" w:hAnsi="Book Antiqua" w:cs="Times New Roman"/>
          <w:color w:val="000000" w:themeColor="text1"/>
          <w:sz w:val="24"/>
          <w:szCs w:val="24"/>
        </w:rPr>
        <w:t>, severe endoscopic gastric atrophy (EGA), extensive gastric intestinal metaplasia (GIM) and the incomplete subtype of GIM are at increased risk for GC development</w:t>
      </w:r>
      <w:r w:rsidR="00DD508B" w:rsidRPr="0083678C">
        <w:rPr>
          <w:rFonts w:ascii="Book Antiqua" w:eastAsia="Times New Roman" w:hAnsi="Book Antiqua" w:cs="Times New Roman"/>
          <w:color w:val="000000" w:themeColor="text1"/>
          <w:sz w:val="24"/>
          <w:szCs w:val="24"/>
          <w:vertAlign w:val="superscript"/>
        </w:rPr>
        <w:t>[</w:t>
      </w:r>
      <w:r w:rsidR="0042791D" w:rsidRPr="0083678C">
        <w:rPr>
          <w:rFonts w:ascii="Book Antiqua" w:eastAsia="Times New Roman" w:hAnsi="Book Antiqua" w:cs="Times New Roman"/>
          <w:color w:val="000000" w:themeColor="text1"/>
          <w:sz w:val="24"/>
          <w:szCs w:val="24"/>
          <w:vertAlign w:val="superscript"/>
        </w:rPr>
        <w:t>8-12</w:t>
      </w:r>
      <w:r w:rsidR="00DD508B" w:rsidRPr="0083678C">
        <w:rPr>
          <w:rFonts w:ascii="Book Antiqua" w:eastAsia="Times New Roman" w:hAnsi="Book Antiqua" w:cs="Times New Roman"/>
          <w:color w:val="000000" w:themeColor="text1"/>
          <w:sz w:val="24"/>
          <w:szCs w:val="24"/>
          <w:vertAlign w:val="superscript"/>
        </w:rPr>
        <w:t>]</w:t>
      </w:r>
      <w:r w:rsidR="00F052DD" w:rsidRPr="0083678C">
        <w:rPr>
          <w:rFonts w:ascii="Book Antiqua" w:eastAsia="Times New Roman" w:hAnsi="Book Antiqua" w:cs="Times New Roman"/>
          <w:color w:val="000000" w:themeColor="text1"/>
          <w:sz w:val="24"/>
          <w:szCs w:val="24"/>
        </w:rPr>
        <w:t xml:space="preserve">. </w:t>
      </w:r>
      <w:r w:rsidRPr="0083678C">
        <w:rPr>
          <w:rFonts w:ascii="Book Antiqua" w:eastAsia="Times New Roman" w:hAnsi="Book Antiqua" w:cs="Times New Roman"/>
          <w:color w:val="000000" w:themeColor="text1"/>
          <w:sz w:val="24"/>
          <w:szCs w:val="24"/>
        </w:rPr>
        <w:t xml:space="preserve">In addition, it is reported that </w:t>
      </w:r>
      <w:r w:rsidRPr="0083678C">
        <w:rPr>
          <w:rFonts w:ascii="Book Antiqua" w:eastAsia="Times New Roman" w:hAnsi="Book Antiqua" w:cs="Times New Roman"/>
          <w:i/>
          <w:color w:val="000000" w:themeColor="text1"/>
          <w:sz w:val="24"/>
          <w:szCs w:val="24"/>
        </w:rPr>
        <w:t xml:space="preserve">Helicobacter pylori </w:t>
      </w:r>
      <w:r w:rsidRPr="0083678C">
        <w:rPr>
          <w:rFonts w:ascii="Book Antiqua" w:eastAsia="Times New Roman" w:hAnsi="Book Antiqua" w:cs="Times New Roman"/>
          <w:color w:val="000000" w:themeColor="text1"/>
          <w:sz w:val="24"/>
          <w:szCs w:val="24"/>
        </w:rPr>
        <w:t>(</w:t>
      </w:r>
      <w:r w:rsidRPr="0083678C">
        <w:rPr>
          <w:rFonts w:ascii="Book Antiqua" w:eastAsia="Times New Roman" w:hAnsi="Book Antiqua" w:cs="Times New Roman"/>
          <w:i/>
          <w:color w:val="000000" w:themeColor="text1"/>
          <w:sz w:val="24"/>
          <w:szCs w:val="24"/>
        </w:rPr>
        <w:t>H. pylori</w:t>
      </w:r>
      <w:r w:rsidRPr="0083678C">
        <w:rPr>
          <w:rFonts w:ascii="Book Antiqua" w:eastAsia="Times New Roman" w:hAnsi="Book Antiqua" w:cs="Times New Roman"/>
          <w:color w:val="000000" w:themeColor="text1"/>
          <w:sz w:val="24"/>
          <w:szCs w:val="24"/>
        </w:rPr>
        <w:t>) eradication does not reduce the GC risk of these individuals</w:t>
      </w:r>
      <w:r w:rsidR="00DD508B" w:rsidRPr="0083678C">
        <w:rPr>
          <w:rFonts w:ascii="Book Antiqua" w:eastAsia="Times New Roman" w:hAnsi="Book Antiqua" w:cs="Times New Roman"/>
          <w:color w:val="000000" w:themeColor="text1"/>
          <w:sz w:val="24"/>
          <w:szCs w:val="24"/>
          <w:vertAlign w:val="superscript"/>
        </w:rPr>
        <w:t>[</w:t>
      </w:r>
      <w:r w:rsidR="0042791D" w:rsidRPr="0083678C">
        <w:rPr>
          <w:rFonts w:ascii="Book Antiqua" w:eastAsia="Times New Roman" w:hAnsi="Book Antiqua" w:cs="Times New Roman"/>
          <w:color w:val="000000" w:themeColor="text1"/>
          <w:sz w:val="24"/>
          <w:szCs w:val="24"/>
          <w:vertAlign w:val="superscript"/>
        </w:rPr>
        <w:t>13</w:t>
      </w:r>
      <w:r w:rsidR="00DD508B" w:rsidRPr="0083678C">
        <w:rPr>
          <w:rFonts w:ascii="Book Antiqua" w:eastAsia="Times New Roman" w:hAnsi="Book Antiqua" w:cs="Times New Roman"/>
          <w:color w:val="000000" w:themeColor="text1"/>
          <w:sz w:val="24"/>
          <w:szCs w:val="24"/>
          <w:vertAlign w:val="superscript"/>
        </w:rPr>
        <w:t>]</w:t>
      </w:r>
      <w:r w:rsidR="005A378B" w:rsidRPr="0083678C">
        <w:rPr>
          <w:rFonts w:ascii="Book Antiqua" w:eastAsia="Times New Roman" w:hAnsi="Book Antiqua" w:cs="Times New Roman"/>
          <w:color w:val="000000" w:themeColor="text1"/>
          <w:sz w:val="24"/>
          <w:szCs w:val="24"/>
        </w:rPr>
        <w:t xml:space="preserve">. </w:t>
      </w:r>
      <w:r w:rsidRPr="0083678C">
        <w:rPr>
          <w:rFonts w:ascii="Book Antiqua" w:eastAsia="Times New Roman" w:hAnsi="Book Antiqua" w:cs="Times New Roman"/>
          <w:color w:val="000000" w:themeColor="text1"/>
          <w:sz w:val="24"/>
          <w:szCs w:val="24"/>
        </w:rPr>
        <w:t>Thus, individuals with these conditions are at high risk for developing gastric cancer and should be identified and offered proper surveillance.</w:t>
      </w:r>
    </w:p>
    <w:p w:rsidR="00D06BDB" w:rsidRPr="0083678C" w:rsidRDefault="00FD4141" w:rsidP="003F5776">
      <w:p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3678C">
        <w:rPr>
          <w:rFonts w:ascii="Book Antiqua" w:eastAsia="Times New Roman" w:hAnsi="Book Antiqua" w:cs="Times New Roman"/>
          <w:color w:val="000000" w:themeColor="text1"/>
          <w:sz w:val="24"/>
          <w:szCs w:val="24"/>
        </w:rPr>
        <w:t xml:space="preserve">There are several approaches to identifying high-risk individuals, including noninvasive methods, esophagogastroduodenoscopy (EGD) and histology. </w:t>
      </w:r>
      <w:r w:rsidRPr="0083678C">
        <w:rPr>
          <w:rFonts w:ascii="Book Antiqua" w:hAnsi="Book Antiqua" w:cs="Times New Roman"/>
          <w:color w:val="000000" w:themeColor="text1"/>
          <w:sz w:val="24"/>
          <w:szCs w:val="24"/>
        </w:rPr>
        <w:t xml:space="preserve">The main approach in </w:t>
      </w:r>
      <w:r w:rsidR="003F5776" w:rsidRPr="0083678C">
        <w:rPr>
          <w:rFonts w:ascii="Book Antiqua" w:hAnsi="Book Antiqua" w:cs="Times New Roman"/>
          <w:color w:val="000000" w:themeColor="text1"/>
          <w:sz w:val="24"/>
          <w:szCs w:val="24"/>
        </w:rPr>
        <w:t>w</w:t>
      </w:r>
      <w:r w:rsidRPr="0083678C">
        <w:rPr>
          <w:rFonts w:ascii="Book Antiqua" w:hAnsi="Book Antiqua" w:cs="Times New Roman"/>
          <w:color w:val="000000" w:themeColor="text1"/>
          <w:sz w:val="24"/>
          <w:szCs w:val="24"/>
        </w:rPr>
        <w:t xml:space="preserve">estern countries is histology-based while that in Eastern countries with high prevalence of GC is endoscopy-based. One important issue that affects these </w:t>
      </w:r>
      <w:r w:rsidRPr="0083678C">
        <w:rPr>
          <w:rFonts w:ascii="Book Antiqua" w:hAnsi="Book Antiqua" w:cs="Times New Roman"/>
          <w:color w:val="000000" w:themeColor="text1"/>
          <w:sz w:val="24"/>
          <w:szCs w:val="24"/>
        </w:rPr>
        <w:lastRenderedPageBreak/>
        <w:t xml:space="preserve">approaches is cost-effectiveness. Another important and challenging issue, which has not received much attention in current literature, is local resources, as there are some regions with in which the risk of GC is high but resources are limited (Figure 1). In this review, we discuss the current understanding and approaches </w:t>
      </w:r>
      <w:r w:rsidR="003F5776" w:rsidRPr="0083678C">
        <w:rPr>
          <w:rFonts w:ascii="Book Antiqua" w:hAnsi="Book Antiqua" w:cs="Times New Roman"/>
          <w:color w:val="000000" w:themeColor="text1"/>
          <w:sz w:val="24"/>
          <w:szCs w:val="24"/>
        </w:rPr>
        <w:t xml:space="preserve">from western and eastern </w:t>
      </w:r>
      <w:r w:rsidRPr="0083678C">
        <w:rPr>
          <w:rFonts w:ascii="Book Antiqua" w:hAnsi="Book Antiqua" w:cs="Times New Roman"/>
          <w:color w:val="000000" w:themeColor="text1"/>
          <w:sz w:val="24"/>
          <w:szCs w:val="24"/>
        </w:rPr>
        <w:t>perspectives and the possibility of implementing an integrated, resource-sensitive approach.</w:t>
      </w:r>
    </w:p>
    <w:p w:rsidR="003F5776" w:rsidRPr="0083678C" w:rsidRDefault="003F5776" w:rsidP="003F5776">
      <w:p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100" w:firstLine="240"/>
        <w:jc w:val="both"/>
        <w:rPr>
          <w:rFonts w:ascii="Book Antiqua" w:hAnsi="Book Antiqua" w:cs="Times New Roman"/>
          <w:color w:val="000000" w:themeColor="text1"/>
          <w:sz w:val="24"/>
          <w:szCs w:val="24"/>
        </w:rPr>
      </w:pPr>
    </w:p>
    <w:p w:rsidR="007361BC" w:rsidRPr="0083678C" w:rsidRDefault="006B5398" w:rsidP="00B43CE7">
      <w:pPr>
        <w:adjustRightInd w:val="0"/>
        <w:snapToGrid w:val="0"/>
        <w:spacing w:after="0" w:line="360" w:lineRule="auto"/>
        <w:jc w:val="both"/>
        <w:rPr>
          <w:rFonts w:ascii="Book Antiqua" w:hAnsi="Book Antiqua" w:cs="Times New Roman"/>
          <w:b/>
          <w:color w:val="000000" w:themeColor="text1"/>
          <w:sz w:val="24"/>
          <w:szCs w:val="24"/>
        </w:rPr>
      </w:pPr>
      <w:r w:rsidRPr="0083678C">
        <w:rPr>
          <w:rFonts w:ascii="Book Antiqua" w:hAnsi="Book Antiqua" w:cs="Times New Roman"/>
          <w:b/>
          <w:color w:val="000000" w:themeColor="text1"/>
          <w:sz w:val="24"/>
          <w:szCs w:val="24"/>
        </w:rPr>
        <w:t>IDENTIFY</w:t>
      </w:r>
      <w:r w:rsidR="009E40F9" w:rsidRPr="0083678C">
        <w:rPr>
          <w:rFonts w:ascii="Book Antiqua" w:hAnsi="Book Antiqua" w:cs="Times New Roman"/>
          <w:b/>
          <w:color w:val="000000" w:themeColor="text1"/>
          <w:sz w:val="24"/>
          <w:szCs w:val="24"/>
        </w:rPr>
        <w:t xml:space="preserve">ING HIGH-RISK INDIVIDUALS FOR GASTRIC CANCER </w:t>
      </w:r>
      <w:r w:rsidRPr="0083678C">
        <w:rPr>
          <w:rFonts w:ascii="Book Antiqua" w:hAnsi="Book Antiqua" w:cs="Times New Roman"/>
          <w:b/>
          <w:color w:val="000000" w:themeColor="text1"/>
          <w:sz w:val="24"/>
          <w:szCs w:val="24"/>
        </w:rPr>
        <w:t>DEVELOPMENT</w:t>
      </w:r>
    </w:p>
    <w:p w:rsidR="00FD4141" w:rsidRPr="0083678C" w:rsidRDefault="00FD4141" w:rsidP="00B43CE7">
      <w:pPr>
        <w:pStyle w:val="a7"/>
        <w:adjustRightInd w:val="0"/>
        <w:snapToGrid w:val="0"/>
        <w:spacing w:before="0" w:beforeAutospacing="0" w:after="0" w:afterAutospacing="0" w:line="360" w:lineRule="auto"/>
        <w:jc w:val="both"/>
        <w:rPr>
          <w:rFonts w:ascii="Book Antiqua" w:hAnsi="Book Antiqua"/>
          <w:color w:val="000000" w:themeColor="text1"/>
        </w:rPr>
      </w:pPr>
      <w:r w:rsidRPr="0083678C">
        <w:rPr>
          <w:rFonts w:ascii="Book Antiqua" w:hAnsi="Book Antiqua"/>
          <w:color w:val="000000" w:themeColor="text1"/>
        </w:rPr>
        <w:t>There are several approaches to identifying subjects at high risk for gastric cancer development, including noninvasive methods, EGD and histology. A histological examination is traditionally required for the diagnosis of precancerous gastric lesions. However, endoscopy, especially with modern endoscopic technologies, and biomarkers have been reported to have acceptable accuracy in the histological diagnosis of precancerous gastric lesions. Currently, the main approach in Western countries is histology-based while that in Eastern countries with a high prevalence of GC is endoscopy-based.</w:t>
      </w:r>
    </w:p>
    <w:p w:rsidR="003F5776" w:rsidRPr="0083678C" w:rsidRDefault="003F5776" w:rsidP="00B43CE7">
      <w:pPr>
        <w:pStyle w:val="a7"/>
        <w:adjustRightInd w:val="0"/>
        <w:snapToGrid w:val="0"/>
        <w:spacing w:before="0" w:beforeAutospacing="0" w:after="0" w:afterAutospacing="0" w:line="360" w:lineRule="auto"/>
        <w:jc w:val="both"/>
        <w:rPr>
          <w:rFonts w:ascii="Book Antiqua" w:hAnsi="Book Antiqua"/>
          <w:color w:val="000000" w:themeColor="text1"/>
        </w:rPr>
      </w:pPr>
    </w:p>
    <w:p w:rsidR="006B5398" w:rsidRPr="0083678C" w:rsidRDefault="00105622" w:rsidP="00B43CE7">
      <w:pPr>
        <w:pStyle w:val="a7"/>
        <w:adjustRightInd w:val="0"/>
        <w:snapToGrid w:val="0"/>
        <w:spacing w:before="0" w:beforeAutospacing="0" w:after="0" w:afterAutospacing="0" w:line="360" w:lineRule="auto"/>
        <w:jc w:val="both"/>
        <w:rPr>
          <w:rFonts w:ascii="Book Antiqua" w:hAnsi="Book Antiqua"/>
          <w:b/>
          <w:i/>
          <w:color w:val="000000" w:themeColor="text1"/>
        </w:rPr>
      </w:pPr>
      <w:r w:rsidRPr="0083678C">
        <w:rPr>
          <w:rFonts w:ascii="Book Antiqua" w:hAnsi="Book Antiqua"/>
          <w:b/>
          <w:i/>
          <w:color w:val="000000" w:themeColor="text1"/>
        </w:rPr>
        <w:t>The h</w:t>
      </w:r>
      <w:r w:rsidR="00F42FF8" w:rsidRPr="0083678C">
        <w:rPr>
          <w:rFonts w:ascii="Book Antiqua" w:hAnsi="Book Antiqua"/>
          <w:b/>
          <w:i/>
          <w:color w:val="000000" w:themeColor="text1"/>
        </w:rPr>
        <w:t>istological approach</w:t>
      </w:r>
    </w:p>
    <w:p w:rsidR="006B5398" w:rsidRPr="0083678C" w:rsidRDefault="00105622" w:rsidP="00B43CE7">
      <w:pPr>
        <w:autoSpaceDE w:val="0"/>
        <w:autoSpaceDN w:val="0"/>
        <w:adjustRightInd w:val="0"/>
        <w:snapToGrid w:val="0"/>
        <w:spacing w:after="0" w:line="360" w:lineRule="auto"/>
        <w:jc w:val="both"/>
        <w:rPr>
          <w:rFonts w:ascii="Book Antiqua" w:hAnsi="Book Antiqua" w:cs="Times New Roman"/>
          <w:b/>
          <w:color w:val="000000" w:themeColor="text1"/>
          <w:sz w:val="24"/>
          <w:szCs w:val="24"/>
        </w:rPr>
      </w:pPr>
      <w:r w:rsidRPr="0083678C">
        <w:rPr>
          <w:rFonts w:ascii="Book Antiqua" w:hAnsi="Book Antiqua" w:cs="Times New Roman"/>
          <w:b/>
          <w:color w:val="000000" w:themeColor="text1"/>
          <w:sz w:val="24"/>
          <w:szCs w:val="24"/>
        </w:rPr>
        <w:t xml:space="preserve">Gastric atrophy and the risk of </w:t>
      </w:r>
      <w:r w:rsidR="003F5776" w:rsidRPr="0083678C">
        <w:rPr>
          <w:rFonts w:ascii="Book Antiqua" w:hAnsi="Book Antiqua" w:cs="Times New Roman"/>
          <w:b/>
          <w:color w:val="000000" w:themeColor="text1"/>
          <w:sz w:val="24"/>
          <w:szCs w:val="24"/>
        </w:rPr>
        <w:t>GC</w:t>
      </w:r>
      <w:r w:rsidRPr="0083678C">
        <w:rPr>
          <w:rFonts w:ascii="Book Antiqua" w:hAnsi="Book Antiqua" w:cs="Times New Roman"/>
          <w:b/>
          <w:color w:val="000000" w:themeColor="text1"/>
          <w:sz w:val="24"/>
          <w:szCs w:val="24"/>
        </w:rPr>
        <w:t xml:space="preserve"> development</w:t>
      </w:r>
      <w:r w:rsidR="003F5776" w:rsidRPr="0083678C">
        <w:rPr>
          <w:rFonts w:ascii="Book Antiqua" w:hAnsi="Book Antiqua" w:cs="Times New Roman"/>
          <w:b/>
          <w:color w:val="000000" w:themeColor="text1"/>
          <w:sz w:val="24"/>
          <w:szCs w:val="24"/>
        </w:rPr>
        <w:t xml:space="preserve">: </w:t>
      </w:r>
      <w:r w:rsidR="00A21AC4" w:rsidRPr="0083678C">
        <w:rPr>
          <w:rFonts w:ascii="Book Antiqua" w:hAnsi="Book Antiqua" w:cs="Times New Roman"/>
          <w:color w:val="000000" w:themeColor="text1"/>
          <w:sz w:val="24"/>
          <w:szCs w:val="24"/>
        </w:rPr>
        <w:t>One of the first systematic reviews to describe the risk of GC in patients with histologically diagnosed gastric atrophy was recently published</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14</w:t>
      </w:r>
      <w:r w:rsidR="00DD508B" w:rsidRPr="0083678C">
        <w:rPr>
          <w:rFonts w:ascii="Book Antiqua" w:hAnsi="Book Antiqua" w:cs="Times New Roman"/>
          <w:color w:val="000000" w:themeColor="text1"/>
          <w:sz w:val="24"/>
          <w:szCs w:val="24"/>
          <w:vertAlign w:val="superscript"/>
        </w:rPr>
        <w:t>]</w:t>
      </w:r>
      <w:r w:rsidR="009E40F9" w:rsidRPr="0083678C">
        <w:rPr>
          <w:rFonts w:ascii="Book Antiqua" w:hAnsi="Book Antiqua" w:cs="Times New Roman"/>
          <w:color w:val="000000" w:themeColor="text1"/>
          <w:sz w:val="24"/>
          <w:szCs w:val="24"/>
        </w:rPr>
        <w:t>.</w:t>
      </w:r>
      <w:r w:rsidR="00A21AC4" w:rsidRPr="0083678C">
        <w:rPr>
          <w:rFonts w:ascii="Book Antiqua" w:hAnsi="Book Antiqua" w:cs="Times New Roman"/>
          <w:color w:val="000000" w:themeColor="text1"/>
          <w:sz w:val="24"/>
          <w:szCs w:val="24"/>
        </w:rPr>
        <w:t xml:space="preserve"> This study, which consisted of 5 studies from Europe and three studies from Asia, found that the annual incidence of GC among patients with gastric atrophy ranged from 0.1% to 0.5%. In addition, it found that patients with gastric atrophy in Asia had a higher risk of GC in comparison to those in Europe.</w:t>
      </w:r>
      <w:r w:rsidR="006B5398" w:rsidRPr="0083678C">
        <w:rPr>
          <w:rFonts w:ascii="Book Antiqua" w:hAnsi="Book Antiqua" w:cs="Times New Roman"/>
          <w:color w:val="000000" w:themeColor="text1"/>
          <w:sz w:val="24"/>
          <w:szCs w:val="24"/>
        </w:rPr>
        <w:t xml:space="preserve"> </w:t>
      </w:r>
    </w:p>
    <w:p w:rsidR="006B5398" w:rsidRPr="0083678C" w:rsidRDefault="00A21AC4" w:rsidP="003F5776">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83678C">
        <w:rPr>
          <w:rFonts w:ascii="Book Antiqua" w:hAnsi="Book Antiqua" w:cs="Times New Roman"/>
          <w:color w:val="000000" w:themeColor="text1"/>
          <w:sz w:val="24"/>
          <w:szCs w:val="24"/>
          <w:shd w:val="clear" w:color="auto" w:fill="FFFFFF"/>
        </w:rPr>
        <w:t>Atrophy of the gastric mucosa was traditionally deﬁned as the loss of glands</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15</w:t>
      </w:r>
      <w:r w:rsidR="00DD508B" w:rsidRPr="0083678C">
        <w:rPr>
          <w:rFonts w:ascii="Book Antiqua" w:hAnsi="Book Antiqua" w:cs="Times New Roman"/>
          <w:color w:val="000000" w:themeColor="text1"/>
          <w:sz w:val="24"/>
          <w:szCs w:val="24"/>
          <w:shd w:val="clear" w:color="auto" w:fill="FFFFFF"/>
          <w:vertAlign w:val="superscript"/>
        </w:rPr>
        <w:t>]</w:t>
      </w:r>
      <w:r w:rsidR="006B5398" w:rsidRPr="0083678C">
        <w:rPr>
          <w:rFonts w:ascii="Book Antiqua" w:hAnsi="Book Antiqua" w:cs="Times New Roman"/>
          <w:color w:val="000000" w:themeColor="text1"/>
          <w:sz w:val="24"/>
          <w:szCs w:val="24"/>
          <w:shd w:val="clear" w:color="auto" w:fill="FFFFFF"/>
        </w:rPr>
        <w:t xml:space="preserve">. </w:t>
      </w:r>
      <w:r w:rsidRPr="0083678C">
        <w:rPr>
          <w:rFonts w:ascii="Book Antiqua" w:hAnsi="Book Antiqua" w:cs="Times New Roman"/>
          <w:color w:val="000000" w:themeColor="text1"/>
          <w:sz w:val="24"/>
          <w:szCs w:val="24"/>
          <w:shd w:val="clear" w:color="auto" w:fill="FFFFFF"/>
        </w:rPr>
        <w:t>However, agreement among pathologists on the recognition and grading of gastric atrophy has remained elusive when using this definition</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16</w:t>
      </w:r>
      <w:r w:rsidR="00DD508B" w:rsidRPr="0083678C">
        <w:rPr>
          <w:rFonts w:ascii="Book Antiqua" w:hAnsi="Book Antiqua" w:cs="Times New Roman"/>
          <w:color w:val="000000" w:themeColor="text1"/>
          <w:sz w:val="24"/>
          <w:szCs w:val="24"/>
          <w:shd w:val="clear" w:color="auto" w:fill="FFFFFF"/>
          <w:vertAlign w:val="superscript"/>
        </w:rPr>
        <w:t>]</w:t>
      </w:r>
      <w:r w:rsidR="006B5398" w:rsidRPr="0083678C">
        <w:rPr>
          <w:rFonts w:ascii="Book Antiqua" w:hAnsi="Book Antiqua" w:cs="Times New Roman"/>
          <w:color w:val="000000" w:themeColor="text1"/>
          <w:sz w:val="24"/>
          <w:szCs w:val="24"/>
          <w:shd w:val="clear" w:color="auto" w:fill="FFFFFF"/>
        </w:rPr>
        <w:t xml:space="preserve">. </w:t>
      </w:r>
      <w:r w:rsidRPr="0083678C">
        <w:rPr>
          <w:rFonts w:ascii="Book Antiqua" w:hAnsi="Book Antiqua" w:cs="Times New Roman"/>
          <w:color w:val="000000" w:themeColor="text1"/>
          <w:sz w:val="24"/>
          <w:szCs w:val="24"/>
          <w:shd w:val="clear" w:color="auto" w:fill="FFFFFF"/>
        </w:rPr>
        <w:t xml:space="preserve">Subsequently, it was re-defined as the loss of appropriate glands, which led to a high level of agreement among </w:t>
      </w:r>
      <w:r w:rsidRPr="0083678C">
        <w:rPr>
          <w:rFonts w:ascii="Book Antiqua" w:hAnsi="Book Antiqua" w:cs="Times New Roman"/>
          <w:color w:val="000000" w:themeColor="text1"/>
          <w:sz w:val="24"/>
          <w:szCs w:val="24"/>
          <w:shd w:val="clear" w:color="auto" w:fill="FFFFFF"/>
        </w:rPr>
        <w:lastRenderedPageBreak/>
        <w:t>gastrointestinal pathologists trained in different cultural contexts</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17</w:t>
      </w:r>
      <w:r w:rsidR="00DD508B" w:rsidRPr="0083678C">
        <w:rPr>
          <w:rFonts w:ascii="Book Antiqua" w:hAnsi="Book Antiqua" w:cs="Times New Roman"/>
          <w:color w:val="000000" w:themeColor="text1"/>
          <w:sz w:val="24"/>
          <w:szCs w:val="24"/>
          <w:shd w:val="clear" w:color="auto" w:fill="FFFFFF"/>
          <w:vertAlign w:val="superscript"/>
        </w:rPr>
        <w:t>]</w:t>
      </w:r>
      <w:r w:rsidR="006B5398" w:rsidRPr="0083678C">
        <w:rPr>
          <w:rFonts w:ascii="Book Antiqua" w:hAnsi="Book Antiqua" w:cs="Times New Roman"/>
          <w:color w:val="000000" w:themeColor="text1"/>
          <w:sz w:val="24"/>
          <w:szCs w:val="24"/>
          <w:shd w:val="clear" w:color="auto" w:fill="FFFFFF"/>
        </w:rPr>
        <w:t xml:space="preserve">. </w:t>
      </w:r>
      <w:r w:rsidR="00AE2E92" w:rsidRPr="0083678C">
        <w:rPr>
          <w:rFonts w:ascii="Book Antiqua" w:hAnsi="Book Antiqua" w:cs="Times New Roman"/>
          <w:color w:val="000000" w:themeColor="text1"/>
          <w:sz w:val="24"/>
          <w:szCs w:val="24"/>
          <w:shd w:val="clear" w:color="auto" w:fill="FFFFFF"/>
        </w:rPr>
        <w:t>In addition, although the updated Sydney system of gastritis classification has been accepted worldwide, it lacks prognostic information. Consequently, the OLGA gastritis staging system, which is based on the understanding that the risk levels of GC are directly related to the extent and severity of gastric atrophy, was proposed</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18</w:t>
      </w:r>
      <w:r w:rsidR="00DD508B" w:rsidRPr="0083678C">
        <w:rPr>
          <w:rFonts w:ascii="Book Antiqua" w:hAnsi="Book Antiqua" w:cs="Times New Roman"/>
          <w:color w:val="000000" w:themeColor="text1"/>
          <w:sz w:val="24"/>
          <w:szCs w:val="24"/>
          <w:shd w:val="clear" w:color="auto" w:fill="FFFFFF"/>
          <w:vertAlign w:val="superscript"/>
        </w:rPr>
        <w:t>]</w:t>
      </w:r>
      <w:r w:rsidR="006B5398" w:rsidRPr="0083678C">
        <w:rPr>
          <w:rFonts w:ascii="Book Antiqua" w:hAnsi="Book Antiqua" w:cs="Times New Roman"/>
          <w:color w:val="000000" w:themeColor="text1"/>
          <w:sz w:val="24"/>
          <w:szCs w:val="24"/>
          <w:shd w:val="clear" w:color="auto" w:fill="FFFFFF"/>
        </w:rPr>
        <w:t xml:space="preserve">. </w:t>
      </w:r>
      <w:r w:rsidR="008676DF" w:rsidRPr="0083678C">
        <w:rPr>
          <w:rFonts w:ascii="Book Antiqua" w:hAnsi="Book Antiqua" w:cs="Times New Roman"/>
          <w:color w:val="000000" w:themeColor="text1"/>
          <w:sz w:val="24"/>
          <w:szCs w:val="24"/>
          <w:shd w:val="clear" w:color="auto" w:fill="FFFFFF"/>
        </w:rPr>
        <w:t>This atrophy-based staging system combines the antral and oxyntic mucosal atrophy scores using the updated Sydney system visual analog scales with the aim of offering clinicians information about the risk of GC</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19</w:t>
      </w:r>
      <w:r w:rsidR="00DD508B" w:rsidRPr="0083678C">
        <w:rPr>
          <w:rFonts w:ascii="Book Antiqua" w:hAnsi="Book Antiqua" w:cs="Times New Roman"/>
          <w:color w:val="000000" w:themeColor="text1"/>
          <w:sz w:val="24"/>
          <w:szCs w:val="24"/>
          <w:shd w:val="clear" w:color="auto" w:fill="FFFFFF"/>
          <w:vertAlign w:val="superscript"/>
        </w:rPr>
        <w:t>]</w:t>
      </w:r>
      <w:r w:rsidR="006B5398" w:rsidRPr="0083678C">
        <w:rPr>
          <w:rFonts w:ascii="Book Antiqua" w:hAnsi="Book Antiqua" w:cs="Times New Roman"/>
          <w:color w:val="000000" w:themeColor="text1"/>
          <w:sz w:val="24"/>
          <w:szCs w:val="24"/>
          <w:shd w:val="clear" w:color="auto" w:fill="FFFFFF"/>
        </w:rPr>
        <w:t>.</w:t>
      </w:r>
      <w:r w:rsidR="007D4A61" w:rsidRPr="0083678C">
        <w:rPr>
          <w:rFonts w:ascii="Book Antiqua" w:hAnsi="Book Antiqua" w:cs="Times New Roman"/>
          <w:color w:val="000000" w:themeColor="text1"/>
          <w:sz w:val="24"/>
          <w:szCs w:val="24"/>
          <w:shd w:val="clear" w:color="auto" w:fill="FFFFFF"/>
        </w:rPr>
        <w:t xml:space="preserve"> </w:t>
      </w:r>
      <w:r w:rsidR="008676DF" w:rsidRPr="0083678C">
        <w:rPr>
          <w:rFonts w:ascii="Book Antiqua" w:hAnsi="Book Antiqua" w:cs="Times New Roman"/>
          <w:color w:val="000000" w:themeColor="text1"/>
          <w:sz w:val="24"/>
          <w:szCs w:val="24"/>
          <w:shd w:val="clear" w:color="auto" w:fill="FFFFFF"/>
        </w:rPr>
        <w:t>A multi-center study has been conducted to test the correlation between the stages of gastritis, classified according to this staging system, with the risk of GC in different populations</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20</w:t>
      </w:r>
      <w:r w:rsidR="00DD508B" w:rsidRPr="0083678C">
        <w:rPr>
          <w:rFonts w:ascii="Book Antiqua" w:hAnsi="Book Antiqua" w:cs="Times New Roman"/>
          <w:color w:val="000000" w:themeColor="text1"/>
          <w:sz w:val="24"/>
          <w:szCs w:val="24"/>
          <w:shd w:val="clear" w:color="auto" w:fill="FFFFFF"/>
          <w:vertAlign w:val="superscript"/>
        </w:rPr>
        <w:t>]</w:t>
      </w:r>
      <w:r w:rsidR="0072652A" w:rsidRPr="0083678C">
        <w:rPr>
          <w:rFonts w:ascii="Book Antiqua" w:hAnsi="Book Antiqua" w:cs="Times New Roman"/>
          <w:color w:val="000000" w:themeColor="text1"/>
          <w:sz w:val="24"/>
          <w:szCs w:val="24"/>
          <w:shd w:val="clear" w:color="auto" w:fill="FFFFFF"/>
        </w:rPr>
        <w:t xml:space="preserve">. </w:t>
      </w:r>
      <w:r w:rsidR="00645033" w:rsidRPr="0083678C">
        <w:rPr>
          <w:rFonts w:ascii="Book Antiqua" w:hAnsi="Book Antiqua" w:cs="Times New Roman"/>
          <w:color w:val="000000" w:themeColor="text1"/>
          <w:sz w:val="24"/>
          <w:szCs w:val="24"/>
          <w:shd w:val="clear" w:color="auto" w:fill="FFFFFF"/>
        </w:rPr>
        <w:t>This study showed that the OLGA stage of gastritis mirrored the incidence of GC in populations with different levels of GC risk. Observational studies from populations with different levels of GC risk also consistently showed that neoplastic gastric lesions clustered in high stages (</w:t>
      </w:r>
      <w:r w:rsidR="00645033" w:rsidRPr="0083678C">
        <w:rPr>
          <w:rFonts w:ascii="Book Antiqua" w:hAnsi="Book Antiqua" w:cs="Times New Roman"/>
          <w:i/>
          <w:color w:val="000000" w:themeColor="text1"/>
          <w:sz w:val="24"/>
          <w:szCs w:val="24"/>
          <w:shd w:val="clear" w:color="auto" w:fill="FFFFFF"/>
        </w:rPr>
        <w:t>i.e.</w:t>
      </w:r>
      <w:r w:rsidR="00645033" w:rsidRPr="0083678C">
        <w:rPr>
          <w:rFonts w:ascii="Book Antiqua" w:hAnsi="Book Antiqua" w:cs="Times New Roman"/>
          <w:color w:val="000000" w:themeColor="text1"/>
          <w:sz w:val="24"/>
          <w:szCs w:val="24"/>
          <w:shd w:val="clear" w:color="auto" w:fill="FFFFFF"/>
        </w:rPr>
        <w:t>,</w:t>
      </w:r>
      <w:r w:rsidR="00645033" w:rsidRPr="0083678C">
        <w:rPr>
          <w:rFonts w:ascii="Book Antiqua" w:hAnsi="Book Antiqua" w:cs="Times New Roman"/>
          <w:i/>
          <w:color w:val="000000" w:themeColor="text1"/>
          <w:sz w:val="24"/>
          <w:szCs w:val="24"/>
          <w:shd w:val="clear" w:color="auto" w:fill="FFFFFF"/>
        </w:rPr>
        <w:t xml:space="preserve"> </w:t>
      </w:r>
      <w:r w:rsidR="00645033" w:rsidRPr="0083678C">
        <w:rPr>
          <w:rFonts w:ascii="Book Antiqua" w:hAnsi="Book Antiqua" w:cs="Times New Roman"/>
          <w:color w:val="000000" w:themeColor="text1"/>
          <w:sz w:val="24"/>
          <w:szCs w:val="24"/>
          <w:shd w:val="clear" w:color="auto" w:fill="FFFFFF"/>
        </w:rPr>
        <w:t>stage III and IV) OLGA gastritis, supporting the potentially useful application of the system in clinical practice</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21</w:t>
      </w:r>
      <w:r w:rsidR="00DD508B" w:rsidRPr="0083678C">
        <w:rPr>
          <w:rFonts w:ascii="Book Antiqua" w:hAnsi="Book Antiqua" w:cs="Times New Roman"/>
          <w:color w:val="000000" w:themeColor="text1"/>
          <w:sz w:val="24"/>
          <w:szCs w:val="24"/>
          <w:shd w:val="clear" w:color="auto" w:fill="FFFFFF"/>
          <w:vertAlign w:val="superscript"/>
        </w:rPr>
        <w:t xml:space="preserve">, </w:t>
      </w:r>
      <w:r w:rsidR="0042791D" w:rsidRPr="0083678C">
        <w:rPr>
          <w:rFonts w:ascii="Book Antiqua" w:hAnsi="Book Antiqua" w:cs="Times New Roman"/>
          <w:color w:val="000000" w:themeColor="text1"/>
          <w:sz w:val="24"/>
          <w:szCs w:val="24"/>
          <w:shd w:val="clear" w:color="auto" w:fill="FFFFFF"/>
          <w:vertAlign w:val="superscript"/>
        </w:rPr>
        <w:t>22</w:t>
      </w:r>
      <w:r w:rsidR="00DD508B" w:rsidRPr="0083678C">
        <w:rPr>
          <w:rFonts w:ascii="Book Antiqua" w:hAnsi="Book Antiqua" w:cs="Times New Roman"/>
          <w:color w:val="000000" w:themeColor="text1"/>
          <w:sz w:val="24"/>
          <w:szCs w:val="24"/>
          <w:shd w:val="clear" w:color="auto" w:fill="FFFFFF"/>
          <w:vertAlign w:val="superscript"/>
        </w:rPr>
        <w:t>]</w:t>
      </w:r>
      <w:r w:rsidR="006B5398" w:rsidRPr="0083678C">
        <w:rPr>
          <w:rFonts w:ascii="Book Antiqua" w:hAnsi="Book Antiqua" w:cs="Times New Roman"/>
          <w:color w:val="000000" w:themeColor="text1"/>
          <w:sz w:val="24"/>
          <w:szCs w:val="24"/>
          <w:shd w:val="clear" w:color="auto" w:fill="FFFFFF"/>
        </w:rPr>
        <w:t xml:space="preserve">. </w:t>
      </w:r>
      <w:r w:rsidR="00645033" w:rsidRPr="0083678C">
        <w:rPr>
          <w:rFonts w:ascii="Book Antiqua" w:hAnsi="Book Antiqua" w:cs="Times New Roman"/>
          <w:color w:val="000000" w:themeColor="text1"/>
          <w:sz w:val="24"/>
          <w:szCs w:val="24"/>
          <w:shd w:val="clear" w:color="auto" w:fill="FFFFFF"/>
        </w:rPr>
        <w:t xml:space="preserve">In </w:t>
      </w:r>
      <w:r w:rsidR="00645033" w:rsidRPr="0083678C">
        <w:rPr>
          <w:rFonts w:ascii="Book Antiqua" w:hAnsi="Book Antiqua" w:cs="Times New Roman"/>
          <w:color w:val="000000" w:themeColor="text1"/>
          <w:sz w:val="24"/>
          <w:szCs w:val="24"/>
        </w:rPr>
        <w:t>a prospective cross-sectional study of 439 consecutive dyspeptic outpatients in Italy who underwent endoscopy with standardized biopsy sampling, benign conditions were consistently clustered in OLGA stages 0</w:t>
      </w:r>
      <w:r w:rsidR="003F5776" w:rsidRPr="0083678C">
        <w:rPr>
          <w:rFonts w:ascii="Book Antiqua" w:hAnsi="Book Antiqua" w:cs="Times New Roman"/>
          <w:color w:val="000000" w:themeColor="text1"/>
          <w:sz w:val="24"/>
          <w:szCs w:val="24"/>
        </w:rPr>
        <w:t>-</w:t>
      </w:r>
      <w:r w:rsidR="00645033" w:rsidRPr="0083678C">
        <w:rPr>
          <w:rFonts w:ascii="Book Antiqua" w:hAnsi="Book Antiqua" w:cs="Times New Roman"/>
          <w:color w:val="000000" w:themeColor="text1"/>
          <w:sz w:val="24"/>
          <w:szCs w:val="24"/>
        </w:rPr>
        <w:t>II, whereas all neoplastic gastric lesions were clustered in OLGA stages III</w:t>
      </w:r>
      <w:r w:rsidR="003F5776" w:rsidRPr="0083678C">
        <w:rPr>
          <w:rFonts w:ascii="Book Antiqua" w:hAnsi="Book Antiqua" w:cs="Times New Roman"/>
          <w:color w:val="000000" w:themeColor="text1"/>
          <w:sz w:val="24"/>
          <w:szCs w:val="24"/>
        </w:rPr>
        <w:t>-</w:t>
      </w:r>
      <w:r w:rsidR="00645033" w:rsidRPr="0083678C">
        <w:rPr>
          <w:rFonts w:ascii="Book Antiqua" w:hAnsi="Book Antiqua" w:cs="Times New Roman"/>
          <w:color w:val="000000" w:themeColor="text1"/>
          <w:sz w:val="24"/>
          <w:szCs w:val="24"/>
        </w:rPr>
        <w:t>IV</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21</w:t>
      </w:r>
      <w:r w:rsidR="00DD508B" w:rsidRPr="0083678C">
        <w:rPr>
          <w:rFonts w:ascii="Book Antiqua" w:hAnsi="Book Antiqua" w:cs="Times New Roman"/>
          <w:color w:val="000000" w:themeColor="text1"/>
          <w:sz w:val="24"/>
          <w:szCs w:val="24"/>
          <w:vertAlign w:val="superscript"/>
        </w:rPr>
        <w:t>]</w:t>
      </w:r>
      <w:r w:rsidR="00645033" w:rsidRPr="0083678C">
        <w:rPr>
          <w:rFonts w:ascii="Book Antiqua" w:hAnsi="Book Antiqua" w:cs="Times New Roman"/>
          <w:color w:val="000000" w:themeColor="text1"/>
          <w:sz w:val="24"/>
          <w:szCs w:val="24"/>
        </w:rPr>
        <w:t>. In another cross-sectional study to assess the distribution of the OLGA gastritis stages of 280 non-ulcer dyspeptic patients in Vietnam, neoplastic lesions were found to cluster in patients with OLGA stages III</w:t>
      </w:r>
      <w:r w:rsidR="003F5776" w:rsidRPr="0083678C">
        <w:rPr>
          <w:rFonts w:ascii="Book Antiqua" w:hAnsi="Book Antiqua" w:cs="Times New Roman"/>
          <w:color w:val="000000" w:themeColor="text1"/>
          <w:sz w:val="24"/>
          <w:szCs w:val="24"/>
        </w:rPr>
        <w:t>-</w:t>
      </w:r>
      <w:r w:rsidR="00645033" w:rsidRPr="0083678C">
        <w:rPr>
          <w:rFonts w:ascii="Book Antiqua" w:hAnsi="Book Antiqua" w:cs="Times New Roman"/>
          <w:color w:val="000000" w:themeColor="text1"/>
          <w:sz w:val="24"/>
          <w:szCs w:val="24"/>
        </w:rPr>
        <w:t>IV as opposed to OLGA stages 0</w:t>
      </w:r>
      <w:r w:rsidR="003F5776" w:rsidRPr="0083678C">
        <w:rPr>
          <w:rFonts w:ascii="Book Antiqua" w:hAnsi="Book Antiqua" w:cs="Times New Roman"/>
          <w:color w:val="000000" w:themeColor="text1"/>
          <w:sz w:val="24"/>
          <w:szCs w:val="24"/>
        </w:rPr>
        <w:t>-</w:t>
      </w:r>
      <w:r w:rsidR="00645033" w:rsidRPr="0083678C">
        <w:rPr>
          <w:rFonts w:ascii="Book Antiqua" w:hAnsi="Book Antiqua" w:cs="Times New Roman"/>
          <w:color w:val="000000" w:themeColor="text1"/>
          <w:sz w:val="24"/>
          <w:szCs w:val="24"/>
        </w:rPr>
        <w:t>II</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22</w:t>
      </w:r>
      <w:r w:rsidR="00DD508B" w:rsidRPr="0083678C">
        <w:rPr>
          <w:rFonts w:ascii="Book Antiqua" w:hAnsi="Book Antiqua" w:cs="Times New Roman"/>
          <w:color w:val="000000" w:themeColor="text1"/>
          <w:sz w:val="24"/>
          <w:szCs w:val="24"/>
          <w:vertAlign w:val="superscript"/>
        </w:rPr>
        <w:t>]</w:t>
      </w:r>
      <w:r w:rsidR="00D91946" w:rsidRPr="0083678C">
        <w:rPr>
          <w:rFonts w:ascii="Book Antiqua" w:hAnsi="Book Antiqua" w:cs="Times New Roman"/>
          <w:color w:val="000000" w:themeColor="text1"/>
          <w:sz w:val="24"/>
          <w:szCs w:val="24"/>
        </w:rPr>
        <w:t>.</w:t>
      </w:r>
      <w:r w:rsidR="004537ED" w:rsidRPr="0083678C">
        <w:rPr>
          <w:rFonts w:ascii="Book Antiqua" w:hAnsi="Book Antiqua" w:cs="Times New Roman"/>
          <w:color w:val="000000" w:themeColor="text1"/>
          <w:sz w:val="24"/>
          <w:szCs w:val="24"/>
        </w:rPr>
        <w:t xml:space="preserve"> </w:t>
      </w:r>
      <w:r w:rsidR="00645033" w:rsidRPr="0083678C">
        <w:rPr>
          <w:rFonts w:ascii="Book Antiqua" w:hAnsi="Book Antiqua" w:cs="Times New Roman"/>
          <w:color w:val="000000" w:themeColor="text1"/>
          <w:sz w:val="24"/>
          <w:szCs w:val="24"/>
        </w:rPr>
        <w:t>A</w:t>
      </w:r>
      <w:r w:rsidR="00645033" w:rsidRPr="0083678C">
        <w:rPr>
          <w:rFonts w:ascii="Book Antiqua" w:hAnsi="Book Antiqua" w:cs="Times New Roman"/>
          <w:color w:val="000000" w:themeColor="text1"/>
          <w:sz w:val="24"/>
          <w:szCs w:val="24"/>
          <w:shd w:val="clear" w:color="auto" w:fill="FFFFFF"/>
        </w:rPr>
        <w:t xml:space="preserve"> meta-analysis of 6 case-control studies and 2 cohort studies from Europe and Asia also showed that there was a significant association between OLGA stages III</w:t>
      </w:r>
      <w:r w:rsidR="003F5776" w:rsidRPr="0083678C">
        <w:rPr>
          <w:rFonts w:ascii="Book Antiqua" w:hAnsi="Book Antiqua" w:cs="Times New Roman"/>
          <w:color w:val="000000" w:themeColor="text1"/>
          <w:sz w:val="24"/>
          <w:szCs w:val="24"/>
          <w:shd w:val="clear" w:color="auto" w:fill="FFFFFF"/>
        </w:rPr>
        <w:t>-</w:t>
      </w:r>
      <w:r w:rsidR="00645033" w:rsidRPr="0083678C">
        <w:rPr>
          <w:rFonts w:ascii="Book Antiqua" w:hAnsi="Book Antiqua" w:cs="Times New Roman"/>
          <w:color w:val="000000" w:themeColor="text1"/>
          <w:sz w:val="24"/>
          <w:szCs w:val="24"/>
          <w:shd w:val="clear" w:color="auto" w:fill="FFFFFF"/>
        </w:rPr>
        <w:t>IV and GC</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12</w:t>
      </w:r>
      <w:r w:rsidR="00DD508B" w:rsidRPr="0083678C">
        <w:rPr>
          <w:rFonts w:ascii="Book Antiqua" w:hAnsi="Book Antiqua" w:cs="Times New Roman"/>
          <w:color w:val="000000" w:themeColor="text1"/>
          <w:sz w:val="24"/>
          <w:szCs w:val="24"/>
          <w:shd w:val="clear" w:color="auto" w:fill="FFFFFF"/>
          <w:vertAlign w:val="superscript"/>
        </w:rPr>
        <w:t>]</w:t>
      </w:r>
      <w:r w:rsidR="006B5398" w:rsidRPr="0083678C">
        <w:rPr>
          <w:rFonts w:ascii="Book Antiqua" w:hAnsi="Book Antiqua" w:cs="Times New Roman"/>
          <w:color w:val="000000" w:themeColor="text1"/>
          <w:sz w:val="24"/>
          <w:szCs w:val="24"/>
          <w:shd w:val="clear" w:color="auto" w:fill="FFFFFF"/>
        </w:rPr>
        <w:t xml:space="preserve">. </w:t>
      </w:r>
      <w:r w:rsidR="00645033" w:rsidRPr="0083678C">
        <w:rPr>
          <w:rFonts w:ascii="Book Antiqua" w:hAnsi="Book Antiqua" w:cs="Times New Roman"/>
          <w:color w:val="000000" w:themeColor="text1"/>
          <w:sz w:val="24"/>
          <w:szCs w:val="24"/>
          <w:shd w:val="clear" w:color="auto" w:fill="FFFFFF"/>
        </w:rPr>
        <w:t xml:space="preserve">Recently, two </w:t>
      </w:r>
      <w:r w:rsidR="00645033" w:rsidRPr="0083678C">
        <w:rPr>
          <w:rFonts w:ascii="Book Antiqua" w:hAnsi="Book Antiqua" w:cs="Times New Roman"/>
          <w:color w:val="000000" w:themeColor="text1"/>
          <w:sz w:val="24"/>
          <w:szCs w:val="24"/>
        </w:rPr>
        <w:t>large</w:t>
      </w:r>
      <w:r w:rsidR="00645033" w:rsidRPr="0083678C">
        <w:rPr>
          <w:rFonts w:ascii="Book Antiqua" w:hAnsi="Book Antiqua" w:cs="Times New Roman"/>
          <w:color w:val="000000" w:themeColor="text1"/>
          <w:sz w:val="24"/>
          <w:szCs w:val="24"/>
          <w:shd w:val="clear" w:color="auto" w:fill="FFFFFF"/>
        </w:rPr>
        <w:t xml:space="preserve"> and long-term follow-up Italian studies confirmed that this staging system reliably predicts the risk of GC development</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23</w:t>
      </w:r>
      <w:r w:rsidR="00DD508B" w:rsidRPr="0083678C">
        <w:rPr>
          <w:rFonts w:ascii="Book Antiqua" w:hAnsi="Book Antiqua" w:cs="Times New Roman"/>
          <w:color w:val="000000" w:themeColor="text1"/>
          <w:sz w:val="24"/>
          <w:szCs w:val="24"/>
          <w:shd w:val="clear" w:color="auto" w:fill="FFFFFF"/>
          <w:vertAlign w:val="superscript"/>
        </w:rPr>
        <w:t xml:space="preserve">, </w:t>
      </w:r>
      <w:r w:rsidR="0042791D" w:rsidRPr="0083678C">
        <w:rPr>
          <w:rFonts w:ascii="Book Antiqua" w:hAnsi="Book Antiqua" w:cs="Times New Roman"/>
          <w:color w:val="000000" w:themeColor="text1"/>
          <w:sz w:val="24"/>
          <w:szCs w:val="24"/>
          <w:shd w:val="clear" w:color="auto" w:fill="FFFFFF"/>
          <w:vertAlign w:val="superscript"/>
        </w:rPr>
        <w:t>24</w:t>
      </w:r>
      <w:r w:rsidR="00DD508B" w:rsidRPr="0083678C">
        <w:rPr>
          <w:rFonts w:ascii="Book Antiqua" w:hAnsi="Book Antiqua" w:cs="Times New Roman"/>
          <w:color w:val="000000" w:themeColor="text1"/>
          <w:sz w:val="24"/>
          <w:szCs w:val="24"/>
          <w:shd w:val="clear" w:color="auto" w:fill="FFFFFF"/>
          <w:vertAlign w:val="superscript"/>
        </w:rPr>
        <w:t>]</w:t>
      </w:r>
      <w:r w:rsidR="00D91946" w:rsidRPr="0083678C">
        <w:rPr>
          <w:rFonts w:ascii="Book Antiqua" w:hAnsi="Book Antiqua" w:cs="Times New Roman"/>
          <w:color w:val="000000" w:themeColor="text1"/>
          <w:sz w:val="24"/>
          <w:szCs w:val="24"/>
          <w:shd w:val="clear" w:color="auto" w:fill="FFFFFF"/>
        </w:rPr>
        <w:t>.</w:t>
      </w:r>
      <w:r w:rsidR="006B5398" w:rsidRPr="0083678C">
        <w:rPr>
          <w:rFonts w:ascii="Book Antiqua" w:hAnsi="Book Antiqua" w:cs="Times New Roman"/>
          <w:color w:val="000000" w:themeColor="text1"/>
          <w:sz w:val="24"/>
          <w:szCs w:val="24"/>
          <w:shd w:val="clear" w:color="auto" w:fill="FFFFFF"/>
        </w:rPr>
        <w:t xml:space="preserve"> </w:t>
      </w:r>
      <w:r w:rsidR="00D03489" w:rsidRPr="0083678C">
        <w:rPr>
          <w:rFonts w:ascii="Book Antiqua" w:hAnsi="Book Antiqua" w:cs="Times New Roman"/>
          <w:color w:val="000000" w:themeColor="text1"/>
          <w:sz w:val="24"/>
          <w:szCs w:val="24"/>
          <w:shd w:val="clear" w:color="auto" w:fill="FFFFFF"/>
        </w:rPr>
        <w:t xml:space="preserve">The Kyoto global consensus on </w:t>
      </w:r>
      <w:r w:rsidR="00D03489" w:rsidRPr="0083678C">
        <w:rPr>
          <w:rFonts w:ascii="Book Antiqua" w:hAnsi="Book Antiqua" w:cs="Times New Roman"/>
          <w:i/>
          <w:color w:val="000000" w:themeColor="text1"/>
          <w:sz w:val="24"/>
          <w:szCs w:val="24"/>
          <w:shd w:val="clear" w:color="auto" w:fill="FFFFFF"/>
        </w:rPr>
        <w:t xml:space="preserve">H. pylori </w:t>
      </w:r>
      <w:r w:rsidR="00D03489" w:rsidRPr="0083678C">
        <w:rPr>
          <w:rFonts w:ascii="Book Antiqua" w:hAnsi="Book Antiqua" w:cs="Times New Roman"/>
          <w:color w:val="000000" w:themeColor="text1"/>
          <w:sz w:val="24"/>
          <w:szCs w:val="24"/>
          <w:shd w:val="clear" w:color="auto" w:fill="FFFFFF"/>
        </w:rPr>
        <w:t>gastritis strongly recommends the use of the OLGA and OLGIM grading systems for GC risk stratification</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10</w:t>
      </w:r>
      <w:r w:rsidR="00DD508B" w:rsidRPr="0083678C">
        <w:rPr>
          <w:rFonts w:ascii="Book Antiqua" w:hAnsi="Book Antiqua" w:cs="Times New Roman"/>
          <w:color w:val="000000" w:themeColor="text1"/>
          <w:sz w:val="24"/>
          <w:szCs w:val="24"/>
          <w:shd w:val="clear" w:color="auto" w:fill="FFFFFF"/>
          <w:vertAlign w:val="superscript"/>
        </w:rPr>
        <w:t>]</w:t>
      </w:r>
      <w:r w:rsidR="00CA2CB5" w:rsidRPr="0083678C">
        <w:rPr>
          <w:rFonts w:ascii="Book Antiqua" w:hAnsi="Book Antiqua" w:cs="Times New Roman"/>
          <w:color w:val="000000" w:themeColor="text1"/>
          <w:sz w:val="24"/>
          <w:szCs w:val="24"/>
          <w:shd w:val="clear" w:color="auto" w:fill="FFFFFF"/>
        </w:rPr>
        <w:t>.</w:t>
      </w:r>
    </w:p>
    <w:p w:rsidR="006B5398" w:rsidRPr="0083678C" w:rsidRDefault="00D03489" w:rsidP="003F5776">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83678C">
        <w:rPr>
          <w:rFonts w:ascii="Book Antiqua" w:hAnsi="Book Antiqua" w:cs="Times New Roman"/>
          <w:color w:val="000000" w:themeColor="text1"/>
          <w:sz w:val="24"/>
          <w:szCs w:val="24"/>
          <w:shd w:val="clear" w:color="auto" w:fill="FFFFFF"/>
        </w:rPr>
        <w:t xml:space="preserve">In summary, the application of the new definition of gastric atrophy as the loss of inappropriate glands has led to have a higher agreement in the assessment of gastric </w:t>
      </w:r>
      <w:r w:rsidRPr="0083678C">
        <w:rPr>
          <w:rFonts w:ascii="Book Antiqua" w:hAnsi="Book Antiqua" w:cs="Times New Roman"/>
          <w:color w:val="000000" w:themeColor="text1"/>
          <w:sz w:val="24"/>
          <w:szCs w:val="24"/>
          <w:shd w:val="clear" w:color="auto" w:fill="FFFFFF"/>
        </w:rPr>
        <w:lastRenderedPageBreak/>
        <w:t>atrophy. The risk of GC is significantly associated with the extent and severity of gastric atrophy, and the OLGA staging system has been shown to be correlated with risk of GC in long-term cohort studies.</w:t>
      </w:r>
    </w:p>
    <w:p w:rsidR="003F5776" w:rsidRPr="0083678C" w:rsidRDefault="003F5776" w:rsidP="003F5776">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rPr>
      </w:pPr>
    </w:p>
    <w:p w:rsidR="006B5398" w:rsidRPr="0083678C" w:rsidRDefault="006B5398" w:rsidP="00B43CE7">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b/>
          <w:color w:val="000000" w:themeColor="text1"/>
          <w:sz w:val="24"/>
          <w:szCs w:val="24"/>
        </w:rPr>
        <w:t>GIM and the risk</w:t>
      </w:r>
      <w:r w:rsidR="00B61D20" w:rsidRPr="0083678C">
        <w:rPr>
          <w:rFonts w:ascii="Book Antiqua" w:hAnsi="Book Antiqua" w:cs="Times New Roman"/>
          <w:b/>
          <w:color w:val="000000" w:themeColor="text1"/>
          <w:sz w:val="24"/>
          <w:szCs w:val="24"/>
        </w:rPr>
        <w:t xml:space="preserve"> of</w:t>
      </w:r>
      <w:r w:rsidRPr="0083678C">
        <w:rPr>
          <w:rFonts w:ascii="Book Antiqua" w:hAnsi="Book Antiqua" w:cs="Times New Roman"/>
          <w:b/>
          <w:color w:val="000000" w:themeColor="text1"/>
          <w:sz w:val="24"/>
          <w:szCs w:val="24"/>
        </w:rPr>
        <w:t xml:space="preserve"> </w:t>
      </w:r>
      <w:r w:rsidR="003F5776" w:rsidRPr="0083678C">
        <w:rPr>
          <w:rFonts w:ascii="Book Antiqua" w:hAnsi="Book Antiqua" w:cs="Times New Roman"/>
          <w:b/>
          <w:color w:val="000000" w:themeColor="text1"/>
          <w:sz w:val="24"/>
          <w:szCs w:val="24"/>
        </w:rPr>
        <w:t>GC</w:t>
      </w:r>
      <w:r w:rsidRPr="0083678C">
        <w:rPr>
          <w:rFonts w:ascii="Book Antiqua" w:hAnsi="Book Antiqua" w:cs="Times New Roman"/>
          <w:b/>
          <w:color w:val="000000" w:themeColor="text1"/>
          <w:sz w:val="24"/>
          <w:szCs w:val="24"/>
        </w:rPr>
        <w:t xml:space="preserve"> development</w:t>
      </w:r>
      <w:r w:rsidR="003F5776" w:rsidRPr="0083678C">
        <w:rPr>
          <w:rFonts w:ascii="Book Antiqua" w:hAnsi="Book Antiqua" w:cs="Times New Roman"/>
          <w:b/>
          <w:color w:val="000000" w:themeColor="text1"/>
          <w:sz w:val="24"/>
          <w:szCs w:val="24"/>
        </w:rPr>
        <w:t xml:space="preserve">: </w:t>
      </w:r>
      <w:r w:rsidR="00973F0A" w:rsidRPr="0083678C">
        <w:rPr>
          <w:rFonts w:ascii="Book Antiqua" w:hAnsi="Book Antiqua" w:cs="Times New Roman"/>
          <w:color w:val="000000" w:themeColor="text1"/>
          <w:sz w:val="24"/>
          <w:szCs w:val="24"/>
        </w:rPr>
        <w:t>A nationwide cohort study in the Netherlands reported that the overall annual incidence of GC development in patients with GIM was 0.25% at 5 years</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25</w:t>
      </w:r>
      <w:r w:rsidR="00DD508B" w:rsidRPr="0083678C">
        <w:rPr>
          <w:rFonts w:ascii="Book Antiqua" w:hAnsi="Book Antiqua" w:cs="Times New Roman"/>
          <w:color w:val="000000" w:themeColor="text1"/>
          <w:sz w:val="24"/>
          <w:szCs w:val="24"/>
          <w:vertAlign w:val="superscript"/>
        </w:rPr>
        <w:t>]</w:t>
      </w:r>
      <w:r w:rsidRPr="0083678C">
        <w:rPr>
          <w:rFonts w:ascii="Book Antiqua" w:hAnsi="Book Antiqua" w:cs="Times New Roman"/>
          <w:color w:val="000000" w:themeColor="text1"/>
          <w:sz w:val="24"/>
          <w:szCs w:val="24"/>
        </w:rPr>
        <w:t xml:space="preserve">. </w:t>
      </w:r>
      <w:r w:rsidR="00973F0A" w:rsidRPr="0083678C">
        <w:rPr>
          <w:rFonts w:ascii="Book Antiqua" w:hAnsi="Book Antiqua" w:cs="Times New Roman"/>
          <w:color w:val="000000" w:themeColor="text1"/>
          <w:sz w:val="24"/>
          <w:szCs w:val="24"/>
        </w:rPr>
        <w:t>A population-based cohort study in Sweden reported that approximately 1 in 39 patients with GIM who underwent EGD with gastric biopsy for non-malignant indications developed GC within 20 years</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26</w:t>
      </w:r>
      <w:r w:rsidR="00DD508B" w:rsidRPr="0083678C">
        <w:rPr>
          <w:rFonts w:ascii="Book Antiqua" w:hAnsi="Book Antiqua" w:cs="Times New Roman"/>
          <w:color w:val="000000" w:themeColor="text1"/>
          <w:sz w:val="24"/>
          <w:szCs w:val="24"/>
          <w:vertAlign w:val="superscript"/>
        </w:rPr>
        <w:t>]</w:t>
      </w:r>
      <w:r w:rsidR="00514532" w:rsidRPr="0083678C">
        <w:rPr>
          <w:rFonts w:ascii="Book Antiqua" w:hAnsi="Book Antiqua" w:cs="Times New Roman"/>
          <w:color w:val="000000" w:themeColor="text1"/>
          <w:sz w:val="24"/>
          <w:szCs w:val="24"/>
        </w:rPr>
        <w:t xml:space="preserve">. </w:t>
      </w:r>
      <w:r w:rsidR="00973F0A" w:rsidRPr="0083678C">
        <w:rPr>
          <w:rFonts w:ascii="Book Antiqua" w:hAnsi="Book Antiqua" w:cs="Times New Roman"/>
          <w:color w:val="000000" w:themeColor="text1"/>
          <w:sz w:val="24"/>
          <w:szCs w:val="24"/>
        </w:rPr>
        <w:t xml:space="preserve">In a recent systematic review consisting of 9 cohorts (4 from the United States, 4 from Western European countries and 1 from </w:t>
      </w:r>
      <w:r w:rsidR="003F5776" w:rsidRPr="0083678C">
        <w:rPr>
          <w:rFonts w:ascii="Book Antiqua" w:hAnsi="Book Antiqua" w:cs="Times New Roman"/>
          <w:color w:val="000000" w:themeColor="text1"/>
          <w:sz w:val="24"/>
          <w:szCs w:val="24"/>
        </w:rPr>
        <w:t xml:space="preserve">South </w:t>
      </w:r>
      <w:r w:rsidR="00973F0A" w:rsidRPr="0083678C">
        <w:rPr>
          <w:rFonts w:ascii="Book Antiqua" w:hAnsi="Book Antiqua" w:cs="Times New Roman"/>
          <w:color w:val="000000" w:themeColor="text1"/>
          <w:sz w:val="24"/>
          <w:szCs w:val="24"/>
        </w:rPr>
        <w:t>Korea), the incidence of GC among patients with GIM ranged from 0.38 to 17.08 per 1000 person-years</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14</w:t>
      </w:r>
      <w:r w:rsidR="00DD508B" w:rsidRPr="0083678C">
        <w:rPr>
          <w:rFonts w:ascii="Book Antiqua" w:hAnsi="Book Antiqua" w:cs="Times New Roman"/>
          <w:color w:val="000000" w:themeColor="text1"/>
          <w:sz w:val="24"/>
          <w:szCs w:val="24"/>
          <w:vertAlign w:val="superscript"/>
        </w:rPr>
        <w:t>]</w:t>
      </w:r>
      <w:r w:rsidR="00514532" w:rsidRPr="0083678C">
        <w:rPr>
          <w:rFonts w:ascii="Book Antiqua" w:hAnsi="Book Antiqua" w:cs="Times New Roman"/>
          <w:color w:val="000000" w:themeColor="text1"/>
          <w:sz w:val="24"/>
          <w:szCs w:val="24"/>
        </w:rPr>
        <w:t xml:space="preserve">. </w:t>
      </w:r>
      <w:r w:rsidR="00973F0A" w:rsidRPr="0083678C">
        <w:rPr>
          <w:rFonts w:ascii="Book Antiqua" w:hAnsi="Book Antiqua" w:cs="Times New Roman"/>
          <w:color w:val="000000" w:themeColor="text1"/>
          <w:sz w:val="24"/>
          <w:szCs w:val="24"/>
        </w:rPr>
        <w:t>However, the majority of the included cohorts reported incidence rates between 1.26 and 4.10 per 1000 person-years.</w:t>
      </w:r>
    </w:p>
    <w:p w:rsidR="003F5776" w:rsidRPr="0083678C" w:rsidRDefault="003F5776" w:rsidP="00B43CE7">
      <w:pPr>
        <w:adjustRightInd w:val="0"/>
        <w:snapToGrid w:val="0"/>
        <w:spacing w:after="0" w:line="360" w:lineRule="auto"/>
        <w:jc w:val="both"/>
        <w:rPr>
          <w:rFonts w:ascii="Book Antiqua" w:hAnsi="Book Antiqua" w:cs="Times New Roman"/>
          <w:b/>
          <w:color w:val="000000" w:themeColor="text1"/>
          <w:sz w:val="24"/>
          <w:szCs w:val="24"/>
        </w:rPr>
      </w:pPr>
    </w:p>
    <w:p w:rsidR="006B5398" w:rsidRPr="0083678C" w:rsidRDefault="006B5398" w:rsidP="00B43CE7">
      <w:pPr>
        <w:adjustRightInd w:val="0"/>
        <w:snapToGrid w:val="0"/>
        <w:spacing w:after="0" w:line="360" w:lineRule="auto"/>
        <w:jc w:val="both"/>
        <w:rPr>
          <w:rFonts w:ascii="Book Antiqua" w:hAnsi="Book Antiqua" w:cs="Times New Roman"/>
          <w:b/>
          <w:color w:val="000000" w:themeColor="text1"/>
          <w:sz w:val="24"/>
          <w:szCs w:val="24"/>
        </w:rPr>
      </w:pPr>
      <w:r w:rsidRPr="0083678C">
        <w:rPr>
          <w:rFonts w:ascii="Book Antiqua" w:hAnsi="Book Antiqua" w:cs="Times New Roman"/>
          <w:b/>
          <w:color w:val="000000" w:themeColor="text1"/>
          <w:sz w:val="24"/>
          <w:szCs w:val="24"/>
        </w:rPr>
        <w:t xml:space="preserve">GIM subtypes </w:t>
      </w:r>
      <w:r w:rsidR="00B61D20" w:rsidRPr="0083678C">
        <w:rPr>
          <w:rFonts w:ascii="Book Antiqua" w:hAnsi="Book Antiqua" w:cs="Times New Roman"/>
          <w:b/>
          <w:color w:val="000000" w:themeColor="text1"/>
          <w:sz w:val="24"/>
          <w:szCs w:val="24"/>
        </w:rPr>
        <w:t xml:space="preserve">and the risk of </w:t>
      </w:r>
      <w:r w:rsidR="003F5776" w:rsidRPr="0083678C">
        <w:rPr>
          <w:rFonts w:ascii="Book Antiqua" w:hAnsi="Book Antiqua" w:cs="Times New Roman"/>
          <w:b/>
          <w:color w:val="000000" w:themeColor="text1"/>
          <w:sz w:val="24"/>
          <w:szCs w:val="24"/>
        </w:rPr>
        <w:t>GC</w:t>
      </w:r>
      <w:r w:rsidR="00B61D20" w:rsidRPr="0083678C">
        <w:rPr>
          <w:rFonts w:ascii="Book Antiqua" w:hAnsi="Book Antiqua" w:cs="Times New Roman"/>
          <w:b/>
          <w:color w:val="000000" w:themeColor="text1"/>
          <w:sz w:val="24"/>
          <w:szCs w:val="24"/>
        </w:rPr>
        <w:t xml:space="preserve"> development</w:t>
      </w:r>
      <w:r w:rsidR="003F5776" w:rsidRPr="0083678C">
        <w:rPr>
          <w:rFonts w:ascii="Book Antiqua" w:hAnsi="Book Antiqua" w:cs="Times New Roman"/>
          <w:b/>
          <w:color w:val="000000" w:themeColor="text1"/>
          <w:sz w:val="24"/>
          <w:szCs w:val="24"/>
        </w:rPr>
        <w:t xml:space="preserve">: </w:t>
      </w:r>
      <w:r w:rsidR="00460931" w:rsidRPr="0083678C">
        <w:rPr>
          <w:rFonts w:ascii="Book Antiqua" w:hAnsi="Book Antiqua" w:cs="Times New Roman"/>
          <w:color w:val="000000" w:themeColor="text1"/>
          <w:sz w:val="24"/>
          <w:szCs w:val="24"/>
        </w:rPr>
        <w:t>GIM can be classified into complete and incomplete subtypes. The complete subtype (type I) is characterized by goblet cells scattered among columnar absorptive cells. The incomplete subtype is characterized by goblet cells interspersed among mucin-secreting columnar cells, which can be further divided into type II (sialomucin-secreting cells; presence of Paneth cells) and type III (sulphomucin-secreting columnar cells; absence of Paneth cells) by high-iron diamine staining</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27</w:t>
      </w:r>
      <w:r w:rsidR="00DD508B" w:rsidRPr="0083678C">
        <w:rPr>
          <w:rFonts w:ascii="Book Antiqua" w:hAnsi="Book Antiqua" w:cs="Times New Roman"/>
          <w:color w:val="000000" w:themeColor="text1"/>
          <w:sz w:val="24"/>
          <w:szCs w:val="24"/>
          <w:vertAlign w:val="superscript"/>
        </w:rPr>
        <w:t>]</w:t>
      </w:r>
      <w:r w:rsidRPr="0083678C">
        <w:rPr>
          <w:rFonts w:ascii="Book Antiqua" w:hAnsi="Book Antiqua" w:cs="Times New Roman"/>
          <w:color w:val="000000" w:themeColor="text1"/>
          <w:sz w:val="24"/>
          <w:szCs w:val="24"/>
        </w:rPr>
        <w:t>.</w:t>
      </w:r>
    </w:p>
    <w:p w:rsidR="006B5398" w:rsidRPr="0083678C" w:rsidRDefault="00CA41C1" w:rsidP="003F577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A cancer registry-based study in Slovenia reported that the cumulative incidence of</w:t>
      </w:r>
      <w:r w:rsidR="007B164B"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GC in patients previously diagnosed with GIM was 1.3% in complete GIM type I, 2.8% in incomplete GIM type II and 9.8% in incomplete GIM type III</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27</w:t>
      </w:r>
      <w:r w:rsidR="00DD508B" w:rsidRPr="0083678C">
        <w:rPr>
          <w:rFonts w:ascii="Book Antiqua" w:hAnsi="Book Antiqua" w:cs="Times New Roman"/>
          <w:color w:val="000000" w:themeColor="text1"/>
          <w:sz w:val="24"/>
          <w:szCs w:val="24"/>
          <w:vertAlign w:val="superscript"/>
        </w:rPr>
        <w:t>]</w:t>
      </w:r>
      <w:r w:rsidR="006B5398"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A Spanish study reported that GC developed in 18.2% of patients with incomplete GIM and in only 0.9% of patients with complete GIM after a mean follow-up period of 12.8 years</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28</w:t>
      </w:r>
      <w:r w:rsidR="00DD508B" w:rsidRPr="0083678C">
        <w:rPr>
          <w:rFonts w:ascii="Book Antiqua" w:hAnsi="Book Antiqua" w:cs="Times New Roman"/>
          <w:color w:val="000000" w:themeColor="text1"/>
          <w:sz w:val="24"/>
          <w:szCs w:val="24"/>
          <w:vertAlign w:val="superscript"/>
        </w:rPr>
        <w:t>]</w:t>
      </w:r>
      <w:r w:rsidR="003271B7" w:rsidRPr="0083678C">
        <w:rPr>
          <w:rFonts w:ascii="Book Antiqua" w:hAnsi="Book Antiqua" w:cs="Times New Roman"/>
          <w:color w:val="000000" w:themeColor="text1"/>
          <w:sz w:val="24"/>
          <w:szCs w:val="24"/>
        </w:rPr>
        <w:t xml:space="preserve">. </w:t>
      </w:r>
      <w:r w:rsidR="00912744" w:rsidRPr="0083678C">
        <w:rPr>
          <w:rFonts w:ascii="Book Antiqua" w:hAnsi="Book Antiqua" w:cs="Times New Roman"/>
          <w:color w:val="000000" w:themeColor="text1"/>
          <w:sz w:val="24"/>
          <w:szCs w:val="24"/>
        </w:rPr>
        <w:t xml:space="preserve">This study showed—based on a multivariate analysis—that incomplete GIM was associated with the highest risk of developing GC (Hazard ratio 11.3, 95%CI: 3.8-33.9). In </w:t>
      </w:r>
      <w:r w:rsidR="003F5776" w:rsidRPr="0083678C">
        <w:rPr>
          <w:rFonts w:ascii="Book Antiqua" w:hAnsi="Book Antiqua" w:cs="Times New Roman"/>
          <w:color w:val="000000" w:themeColor="text1"/>
          <w:sz w:val="24"/>
          <w:szCs w:val="24"/>
        </w:rPr>
        <w:t xml:space="preserve">South </w:t>
      </w:r>
      <w:r w:rsidR="00912744" w:rsidRPr="0083678C">
        <w:rPr>
          <w:rFonts w:ascii="Book Antiqua" w:hAnsi="Book Antiqua" w:cs="Times New Roman"/>
          <w:color w:val="000000" w:themeColor="text1"/>
          <w:sz w:val="24"/>
          <w:szCs w:val="24"/>
        </w:rPr>
        <w:t xml:space="preserve">Korea, GIM subtyping was not been found to play a major role in the prediction of GC </w:t>
      </w:r>
      <w:r w:rsidR="00912744" w:rsidRPr="0083678C">
        <w:rPr>
          <w:rFonts w:ascii="Book Antiqua" w:hAnsi="Book Antiqua" w:cs="Times New Roman"/>
          <w:color w:val="000000" w:themeColor="text1"/>
          <w:sz w:val="24"/>
          <w:szCs w:val="24"/>
        </w:rPr>
        <w:lastRenderedPageBreak/>
        <w:t>development</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29</w:t>
      </w:r>
      <w:r w:rsidR="00DD508B" w:rsidRPr="0083678C">
        <w:rPr>
          <w:rFonts w:ascii="Book Antiqua" w:hAnsi="Book Antiqua" w:cs="Times New Roman"/>
          <w:color w:val="000000" w:themeColor="text1"/>
          <w:sz w:val="24"/>
          <w:szCs w:val="24"/>
          <w:vertAlign w:val="superscript"/>
        </w:rPr>
        <w:t>]</w:t>
      </w:r>
      <w:r w:rsidR="00833156" w:rsidRPr="0083678C">
        <w:rPr>
          <w:rFonts w:ascii="Book Antiqua" w:hAnsi="Book Antiqua" w:cs="Times New Roman"/>
          <w:color w:val="000000" w:themeColor="text1"/>
          <w:sz w:val="24"/>
          <w:szCs w:val="24"/>
        </w:rPr>
        <w:t>.</w:t>
      </w:r>
      <w:r w:rsidR="006B5398" w:rsidRPr="0083678C">
        <w:rPr>
          <w:rFonts w:ascii="Book Antiqua" w:hAnsi="Book Antiqua" w:cs="Times New Roman"/>
          <w:color w:val="000000" w:themeColor="text1"/>
          <w:sz w:val="24"/>
          <w:szCs w:val="24"/>
        </w:rPr>
        <w:t xml:space="preserve"> </w:t>
      </w:r>
      <w:r w:rsidR="00912744" w:rsidRPr="0083678C">
        <w:rPr>
          <w:rFonts w:ascii="Book Antiqua" w:hAnsi="Book Antiqua" w:cs="Times New Roman"/>
          <w:color w:val="000000" w:themeColor="text1"/>
          <w:sz w:val="24"/>
          <w:szCs w:val="24"/>
        </w:rPr>
        <w:t>However, these observations were derived from cross-sectional studies and results from follow-up studies are awaited.</w:t>
      </w:r>
    </w:p>
    <w:p w:rsidR="006B5398" w:rsidRPr="0083678C" w:rsidRDefault="00A75E51" w:rsidP="0083678C">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In a literature review on the association between incomplete GIM and GC in studies published between 1980 and 2010, 13 of the 14 cross-sectional studies and 6 of the ten follow-up studies found a statistically significant association between incomplete GIM and the risk of GC</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30</w:t>
      </w:r>
      <w:r w:rsidR="00DD508B" w:rsidRPr="0083678C">
        <w:rPr>
          <w:rFonts w:ascii="Book Antiqua" w:hAnsi="Book Antiqua" w:cs="Times New Roman"/>
          <w:color w:val="000000" w:themeColor="text1"/>
          <w:sz w:val="24"/>
          <w:szCs w:val="24"/>
          <w:vertAlign w:val="superscript"/>
        </w:rPr>
        <w:t>]</w:t>
      </w:r>
      <w:r w:rsidR="00A21438" w:rsidRPr="0083678C">
        <w:rPr>
          <w:rFonts w:ascii="Book Antiqua" w:hAnsi="Book Antiqua" w:cs="Times New Roman"/>
          <w:color w:val="000000" w:themeColor="text1"/>
          <w:sz w:val="24"/>
          <w:szCs w:val="24"/>
        </w:rPr>
        <w:t xml:space="preserve">. </w:t>
      </w:r>
      <w:r w:rsidR="0096637D" w:rsidRPr="0083678C">
        <w:rPr>
          <w:rFonts w:ascii="Book Antiqua" w:hAnsi="Book Antiqua" w:cs="Times New Roman"/>
          <w:color w:val="000000" w:themeColor="text1"/>
          <w:sz w:val="24"/>
          <w:szCs w:val="24"/>
        </w:rPr>
        <w:t>Among the studies that reported the magnitude of the risk, the relative risk (RR) of GC in patients with incomplete GIM was 4- to 11-fold higher than that in patients with complete GIM or without incomplete-type GIM.</w:t>
      </w:r>
      <w:r w:rsidR="006B5398" w:rsidRPr="0083678C">
        <w:rPr>
          <w:rFonts w:ascii="Book Antiqua" w:hAnsi="Book Antiqua" w:cs="Times New Roman"/>
          <w:color w:val="000000" w:themeColor="text1"/>
          <w:sz w:val="24"/>
          <w:szCs w:val="24"/>
        </w:rPr>
        <w:t xml:space="preserve"> </w:t>
      </w:r>
    </w:p>
    <w:p w:rsidR="006B5398" w:rsidRPr="0083678C" w:rsidRDefault="006923D4" w:rsidP="003F577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In a recent retrospective cohort study in Thailand, 91 patients with GIM were recruited for surveillance EGD every 6</w:t>
      </w:r>
      <w:r w:rsidR="003F5776"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12 mo until a diagnosis of GC was made or the planned 5</w:t>
      </w:r>
      <w:r w:rsidRPr="0083678C">
        <w:rPr>
          <w:rFonts w:ascii="Cambria Math" w:hAnsi="Cambria Math" w:cs="Cambria Math"/>
          <w:color w:val="000000" w:themeColor="text1"/>
          <w:sz w:val="24"/>
          <w:szCs w:val="24"/>
        </w:rPr>
        <w:t>‐</w:t>
      </w:r>
      <w:r w:rsidRPr="0083678C">
        <w:rPr>
          <w:rFonts w:ascii="Book Antiqua" w:hAnsi="Book Antiqua" w:cs="Times New Roman"/>
          <w:color w:val="000000" w:themeColor="text1"/>
          <w:sz w:val="24"/>
          <w:szCs w:val="24"/>
        </w:rPr>
        <w:t>year follow-up period was completed</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31</w:t>
      </w:r>
      <w:r w:rsidR="00DD508B" w:rsidRPr="0083678C">
        <w:rPr>
          <w:rFonts w:ascii="Book Antiqua" w:hAnsi="Book Antiqua" w:cs="Times New Roman"/>
          <w:color w:val="000000" w:themeColor="text1"/>
          <w:sz w:val="24"/>
          <w:szCs w:val="24"/>
          <w:vertAlign w:val="superscript"/>
        </w:rPr>
        <w:t>]</w:t>
      </w:r>
      <w:r w:rsidR="006B5398"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By the end of the study, incomplete GIM and male sex were found to be significantly associated with the development of gastric neoplasia. None of the 81 patients with complete GIM at the time of recruitment developed GC. In contrast, 5 of the 10 patients exhibiting incomplete GIM progressed to high-grade dysplasia (HGD) and GC</w:t>
      </w:r>
      <w:r w:rsidR="006B5398" w:rsidRPr="0083678C">
        <w:rPr>
          <w:rFonts w:ascii="Book Antiqua" w:hAnsi="Book Antiqua" w:cs="Times New Roman"/>
          <w:color w:val="000000" w:themeColor="text1"/>
          <w:sz w:val="24"/>
          <w:szCs w:val="24"/>
        </w:rPr>
        <w:t xml:space="preserve">. </w:t>
      </w:r>
    </w:p>
    <w:p w:rsidR="006B5398" w:rsidRPr="0083678C" w:rsidRDefault="007B6123" w:rsidP="003F577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In summary, most of the scientific evidence supports that incomplete GIM is a risk factor for GC</w:t>
      </w:r>
      <w:r w:rsidR="006B5398" w:rsidRPr="0083678C">
        <w:rPr>
          <w:rFonts w:ascii="Book Antiqua" w:hAnsi="Book Antiqua" w:cs="Times New Roman"/>
          <w:color w:val="000000" w:themeColor="text1"/>
          <w:sz w:val="24"/>
          <w:szCs w:val="24"/>
        </w:rPr>
        <w:t>. </w:t>
      </w:r>
    </w:p>
    <w:p w:rsidR="003F5776" w:rsidRPr="0083678C" w:rsidRDefault="003F5776" w:rsidP="003F5776">
      <w:pPr>
        <w:adjustRightInd w:val="0"/>
        <w:snapToGrid w:val="0"/>
        <w:spacing w:after="0" w:line="360" w:lineRule="auto"/>
        <w:ind w:firstLineChars="100" w:firstLine="240"/>
        <w:jc w:val="both"/>
        <w:rPr>
          <w:rFonts w:ascii="Book Antiqua" w:hAnsi="Book Antiqua" w:cs="Times New Roman"/>
          <w:color w:val="000000" w:themeColor="text1"/>
          <w:sz w:val="24"/>
          <w:szCs w:val="24"/>
        </w:rPr>
      </w:pPr>
    </w:p>
    <w:p w:rsidR="006B5398" w:rsidRPr="0083678C" w:rsidRDefault="006B5398" w:rsidP="00B43CE7">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b/>
          <w:color w:val="000000" w:themeColor="text1"/>
          <w:sz w:val="24"/>
          <w:szCs w:val="24"/>
        </w:rPr>
        <w:t xml:space="preserve">The extent of GIM and the risk of </w:t>
      </w:r>
      <w:r w:rsidR="003F5776" w:rsidRPr="0083678C">
        <w:rPr>
          <w:rFonts w:ascii="Book Antiqua" w:hAnsi="Book Antiqua" w:cs="Times New Roman"/>
          <w:b/>
          <w:color w:val="000000" w:themeColor="text1"/>
          <w:sz w:val="24"/>
          <w:szCs w:val="24"/>
        </w:rPr>
        <w:t>GC</w:t>
      </w:r>
      <w:r w:rsidR="00B61D20" w:rsidRPr="0083678C">
        <w:rPr>
          <w:rFonts w:ascii="Book Antiqua" w:hAnsi="Book Antiqua" w:cs="Times New Roman"/>
          <w:b/>
          <w:color w:val="000000" w:themeColor="text1"/>
          <w:sz w:val="24"/>
          <w:szCs w:val="24"/>
        </w:rPr>
        <w:t xml:space="preserve"> development</w:t>
      </w:r>
      <w:r w:rsidR="003F5776" w:rsidRPr="0083678C">
        <w:rPr>
          <w:rFonts w:ascii="Book Antiqua" w:hAnsi="Book Antiqua" w:cs="Times New Roman"/>
          <w:b/>
          <w:color w:val="000000" w:themeColor="text1"/>
          <w:sz w:val="24"/>
          <w:szCs w:val="24"/>
        </w:rPr>
        <w:t xml:space="preserve">: </w:t>
      </w:r>
      <w:r w:rsidR="007B6123" w:rsidRPr="0083678C">
        <w:rPr>
          <w:rFonts w:ascii="Book Antiqua" w:hAnsi="Book Antiqua" w:cs="Times New Roman"/>
          <w:color w:val="000000" w:themeColor="text1"/>
          <w:sz w:val="24"/>
          <w:szCs w:val="24"/>
        </w:rPr>
        <w:t>The extent of GIM is a very important risk factor for the development of GC. There are four patterns of GIM distribution</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32</w:t>
      </w:r>
      <w:r w:rsidR="00DD508B" w:rsidRPr="0083678C">
        <w:rPr>
          <w:rFonts w:ascii="Book Antiqua" w:hAnsi="Book Antiqua" w:cs="Times New Roman"/>
          <w:color w:val="000000" w:themeColor="text1"/>
          <w:sz w:val="24"/>
          <w:szCs w:val="24"/>
          <w:vertAlign w:val="superscript"/>
        </w:rPr>
        <w:t>]</w:t>
      </w:r>
      <w:r w:rsidRPr="0083678C">
        <w:rPr>
          <w:rFonts w:ascii="Book Antiqua" w:hAnsi="Book Antiqua" w:cs="Times New Roman"/>
          <w:color w:val="000000" w:themeColor="text1"/>
          <w:sz w:val="24"/>
          <w:szCs w:val="24"/>
        </w:rPr>
        <w:t xml:space="preserve">. </w:t>
      </w:r>
      <w:r w:rsidR="007B6123" w:rsidRPr="0083678C">
        <w:rPr>
          <w:rFonts w:ascii="Book Antiqua" w:hAnsi="Book Antiqua" w:cs="Times New Roman"/>
          <w:color w:val="000000" w:themeColor="text1"/>
          <w:sz w:val="24"/>
          <w:szCs w:val="24"/>
        </w:rPr>
        <w:t xml:space="preserve">The “focal” GIM pattern consists of scattered foci, mostly in the lesser curvature and incisura. The “antrum-predominant” GIM pattern involves most of the antrum and incisura angularis. The “magenstraße” GIM pattern spreads throughout the lesser curvature from the cardia to the pylorus, also involving the greater curvature of the pre-pyloric antrum. Finally, the “diffuse” GIM pattern involves the entire gastric mucosa, with the exception of the fundic areas. In comparison to the focal or antral-predominant GIM patterns, the magenstraße GIM and diffuse GIM patterns are associated with a 5.7-fold and 12.2-fold increase in the risk of GC development, respectively. An Italian study also reported that the extension of GIM was associated </w:t>
      </w:r>
      <w:r w:rsidR="007B6123" w:rsidRPr="0083678C">
        <w:rPr>
          <w:rFonts w:ascii="Book Antiqua" w:hAnsi="Book Antiqua" w:cs="Times New Roman"/>
          <w:color w:val="000000" w:themeColor="text1"/>
          <w:sz w:val="24"/>
          <w:szCs w:val="24"/>
        </w:rPr>
        <w:lastRenderedPageBreak/>
        <w:t>with the risk of GC, and that ≥ 20% baseline GIM extension was a sensitive first screening parameter for identifying subjects with a higher risk of GC</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33</w:t>
      </w:r>
      <w:r w:rsidR="00DD508B" w:rsidRPr="0083678C">
        <w:rPr>
          <w:rFonts w:ascii="Book Antiqua" w:hAnsi="Book Antiqua" w:cs="Times New Roman"/>
          <w:color w:val="000000" w:themeColor="text1"/>
          <w:sz w:val="24"/>
          <w:szCs w:val="24"/>
          <w:vertAlign w:val="superscript"/>
        </w:rPr>
        <w:t>]</w:t>
      </w:r>
      <w:r w:rsidRPr="0083678C">
        <w:rPr>
          <w:rFonts w:ascii="Book Antiqua" w:hAnsi="Book Antiqua" w:cs="Times New Roman"/>
          <w:color w:val="000000" w:themeColor="text1"/>
          <w:sz w:val="24"/>
          <w:szCs w:val="24"/>
        </w:rPr>
        <w:t xml:space="preserve">. </w:t>
      </w:r>
      <w:r w:rsidR="007B6123" w:rsidRPr="0083678C">
        <w:rPr>
          <w:rFonts w:ascii="Book Antiqua" w:hAnsi="Book Antiqua" w:cs="Times New Roman"/>
          <w:color w:val="000000" w:themeColor="text1"/>
          <w:sz w:val="24"/>
          <w:szCs w:val="24"/>
        </w:rPr>
        <w:t>Recently, a Japanese cohort study followed 573 patients for 6.2 years and found that GC developed in 21 patients</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34</w:t>
      </w:r>
      <w:r w:rsidR="00DD508B" w:rsidRPr="0083678C">
        <w:rPr>
          <w:rFonts w:ascii="Book Antiqua" w:hAnsi="Book Antiqua" w:cs="Times New Roman"/>
          <w:color w:val="000000" w:themeColor="text1"/>
          <w:sz w:val="24"/>
          <w:szCs w:val="24"/>
          <w:vertAlign w:val="superscript"/>
        </w:rPr>
        <w:t>]</w:t>
      </w:r>
      <w:r w:rsidRPr="0083678C">
        <w:rPr>
          <w:rFonts w:ascii="Book Antiqua" w:hAnsi="Book Antiqua" w:cs="Times New Roman"/>
          <w:color w:val="000000" w:themeColor="text1"/>
          <w:sz w:val="24"/>
          <w:szCs w:val="24"/>
        </w:rPr>
        <w:t xml:space="preserve">. </w:t>
      </w:r>
      <w:r w:rsidR="007B6123" w:rsidRPr="0083678C">
        <w:rPr>
          <w:rFonts w:ascii="Book Antiqua" w:hAnsi="Book Antiqua" w:cs="Times New Roman"/>
          <w:color w:val="000000" w:themeColor="text1"/>
          <w:sz w:val="24"/>
          <w:szCs w:val="24"/>
        </w:rPr>
        <w:t>The cumulative 5-year incidence of GC was 1.5% in patients without GIM, 5.3% in those with GIM limited to the antrum and 9.8% in those with GIM in the corpus.</w:t>
      </w:r>
      <w:r w:rsidRPr="0083678C">
        <w:rPr>
          <w:rFonts w:ascii="Book Antiqua" w:hAnsi="Book Antiqua" w:cs="Times New Roman"/>
          <w:color w:val="000000" w:themeColor="text1"/>
          <w:sz w:val="24"/>
          <w:szCs w:val="24"/>
        </w:rPr>
        <w:t xml:space="preserve"> </w:t>
      </w:r>
    </w:p>
    <w:p w:rsidR="003F5776" w:rsidRPr="0083678C" w:rsidRDefault="003F5776" w:rsidP="00B43CE7">
      <w:pPr>
        <w:adjustRightInd w:val="0"/>
        <w:snapToGrid w:val="0"/>
        <w:spacing w:after="0" w:line="360" w:lineRule="auto"/>
        <w:jc w:val="both"/>
        <w:rPr>
          <w:rFonts w:ascii="Book Antiqua" w:hAnsi="Book Antiqua" w:cs="Times New Roman"/>
          <w:b/>
          <w:color w:val="000000" w:themeColor="text1"/>
          <w:sz w:val="24"/>
          <w:szCs w:val="24"/>
        </w:rPr>
      </w:pPr>
    </w:p>
    <w:p w:rsidR="006B5398" w:rsidRPr="0083678C" w:rsidRDefault="00427ADA" w:rsidP="00B43CE7">
      <w:pPr>
        <w:adjustRightInd w:val="0"/>
        <w:snapToGrid w:val="0"/>
        <w:spacing w:after="0" w:line="360" w:lineRule="auto"/>
        <w:jc w:val="both"/>
        <w:rPr>
          <w:rFonts w:ascii="Book Antiqua" w:hAnsi="Book Antiqua" w:cs="Times New Roman"/>
          <w:b/>
          <w:color w:val="000000" w:themeColor="text1"/>
          <w:sz w:val="24"/>
          <w:szCs w:val="24"/>
        </w:rPr>
      </w:pPr>
      <w:r w:rsidRPr="0083678C">
        <w:rPr>
          <w:rFonts w:ascii="Book Antiqua" w:hAnsi="Book Antiqua" w:cs="Times New Roman"/>
          <w:b/>
          <w:color w:val="000000" w:themeColor="text1"/>
          <w:sz w:val="24"/>
          <w:szCs w:val="24"/>
        </w:rPr>
        <w:t>The OLGIM staging system</w:t>
      </w:r>
      <w:r w:rsidR="003F5776" w:rsidRPr="0083678C">
        <w:rPr>
          <w:rFonts w:ascii="Book Antiqua" w:hAnsi="Book Antiqua" w:cs="Times New Roman"/>
          <w:b/>
          <w:color w:val="000000" w:themeColor="text1"/>
          <w:sz w:val="24"/>
          <w:szCs w:val="24"/>
        </w:rPr>
        <w:t xml:space="preserve">: </w:t>
      </w:r>
      <w:r w:rsidRPr="0083678C">
        <w:rPr>
          <w:rFonts w:ascii="Book Antiqua" w:hAnsi="Book Antiqua" w:cs="Times New Roman"/>
          <w:color w:val="000000" w:themeColor="text1"/>
          <w:sz w:val="24"/>
          <w:szCs w:val="24"/>
        </w:rPr>
        <w:t>The proposed OLGIM staging system is based on the OLGA staging system, which provides clinically relevant information</w:t>
      </w:r>
      <w:r w:rsidRPr="0083678C" w:rsidDel="007421C9">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about gastric intestinal metaplasia</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35</w:t>
      </w:r>
      <w:r w:rsidR="00DD508B" w:rsidRPr="0083678C">
        <w:rPr>
          <w:rFonts w:ascii="Book Antiqua" w:hAnsi="Book Antiqua" w:cs="Times New Roman"/>
          <w:color w:val="000000" w:themeColor="text1"/>
          <w:sz w:val="24"/>
          <w:szCs w:val="24"/>
          <w:vertAlign w:val="superscript"/>
        </w:rPr>
        <w:t>]</w:t>
      </w:r>
      <w:r w:rsidR="006B5398"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The main parameter of this system is the severity and extent of GIM, rather than gastric atrophy. The rationale for this system is that previous studies reported that the degree of interobserver agreement in the assessment of gastric atrophy was lower in comparison that for the assessment of GIM</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36</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37</w:t>
      </w:r>
      <w:r w:rsidR="00DD508B" w:rsidRPr="0083678C">
        <w:rPr>
          <w:rFonts w:ascii="Book Antiqua" w:hAnsi="Book Antiqua" w:cs="Times New Roman"/>
          <w:color w:val="000000" w:themeColor="text1"/>
          <w:sz w:val="24"/>
          <w:szCs w:val="24"/>
          <w:vertAlign w:val="superscript"/>
        </w:rPr>
        <w:t>]</w:t>
      </w:r>
      <w:r w:rsidR="006B5398" w:rsidRPr="0083678C">
        <w:rPr>
          <w:rFonts w:ascii="Book Antiqua" w:hAnsi="Book Antiqua" w:cs="Times New Roman"/>
          <w:color w:val="000000" w:themeColor="text1"/>
          <w:sz w:val="24"/>
          <w:szCs w:val="24"/>
        </w:rPr>
        <w:t>.</w:t>
      </w:r>
    </w:p>
    <w:p w:rsidR="006B5398" w:rsidRPr="0083678C" w:rsidRDefault="003A44D6" w:rsidP="003F577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A prospective multicenter study conducted in Netherlands found that replacement of gastric atrophy by GIM in the staging of gastritis considerably increased interobserver agreement while the correlation with the severity of gastritis remained at least as strong</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35</w:t>
      </w:r>
      <w:r w:rsidR="00DD508B" w:rsidRPr="0083678C">
        <w:rPr>
          <w:rFonts w:ascii="Book Antiqua" w:hAnsi="Book Antiqua" w:cs="Times New Roman"/>
          <w:color w:val="000000" w:themeColor="text1"/>
          <w:sz w:val="24"/>
          <w:szCs w:val="24"/>
          <w:vertAlign w:val="superscript"/>
        </w:rPr>
        <w:t>]</w:t>
      </w:r>
      <w:r w:rsidR="006B5398"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A systematic review and meta-analysis on the association between the OLGIM gastritis stage and the GC risk has been recently published</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12</w:t>
      </w:r>
      <w:r w:rsidR="00DD508B" w:rsidRPr="0083678C">
        <w:rPr>
          <w:rFonts w:ascii="Book Antiqua" w:hAnsi="Book Antiqua" w:cs="Times New Roman"/>
          <w:color w:val="000000" w:themeColor="text1"/>
          <w:sz w:val="24"/>
          <w:szCs w:val="24"/>
          <w:vertAlign w:val="superscript"/>
        </w:rPr>
        <w:t>]</w:t>
      </w:r>
      <w:r w:rsidR="00DC6378"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The meta-analysis, which was based on three case-control studies from Eastern countries, showed that the GC risk was significantly higher among patients with OLGIM stage III</w:t>
      </w:r>
      <w:r w:rsidR="003F5776"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 xml:space="preserve">IV </w:t>
      </w:r>
      <w:r w:rsidR="00590380"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 xml:space="preserve">Odds ratio </w:t>
      </w:r>
      <w:r w:rsidR="00590380"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OR</w:t>
      </w:r>
      <w:r w:rsidR="00590380" w:rsidRPr="0083678C">
        <w:rPr>
          <w:rFonts w:ascii="Book Antiqua" w:hAnsi="Book Antiqua" w:cs="Times New Roman"/>
          <w:color w:val="000000" w:themeColor="text1"/>
          <w:sz w:val="24"/>
          <w:szCs w:val="24"/>
        </w:rPr>
        <w:t>) =</w:t>
      </w:r>
      <w:r w:rsidRPr="0083678C">
        <w:rPr>
          <w:rFonts w:ascii="Book Antiqua" w:hAnsi="Book Antiqua" w:cs="Times New Roman"/>
          <w:color w:val="000000" w:themeColor="text1"/>
          <w:sz w:val="24"/>
          <w:szCs w:val="24"/>
        </w:rPr>
        <w:t xml:space="preserve"> 3.99; </w:t>
      </w:r>
      <w:r w:rsidR="00590380" w:rsidRPr="0083678C">
        <w:rPr>
          <w:rFonts w:ascii="Book Antiqua" w:hAnsi="Book Antiqua" w:cs="Times New Roman"/>
          <w:color w:val="000000" w:themeColor="text1"/>
          <w:sz w:val="24"/>
          <w:szCs w:val="24"/>
        </w:rPr>
        <w:t>95%CI:</w:t>
      </w:r>
      <w:r w:rsidRPr="0083678C">
        <w:rPr>
          <w:rFonts w:ascii="Book Antiqua" w:hAnsi="Book Antiqua" w:cs="Times New Roman"/>
          <w:color w:val="000000" w:themeColor="text1"/>
          <w:sz w:val="24"/>
          <w:szCs w:val="24"/>
        </w:rPr>
        <w:t xml:space="preserve"> 3.05</w:t>
      </w:r>
      <w:r w:rsidR="00590380"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 xml:space="preserve">5.21: </w:t>
      </w:r>
      <w:r w:rsidR="003F5776" w:rsidRPr="0083678C">
        <w:rPr>
          <w:rFonts w:ascii="Book Antiqua" w:hAnsi="Book Antiqua" w:cs="Times New Roman"/>
          <w:i/>
          <w:iCs/>
          <w:color w:val="000000" w:themeColor="text1"/>
          <w:sz w:val="24"/>
          <w:szCs w:val="24"/>
        </w:rPr>
        <w:t>P</w:t>
      </w:r>
      <w:r w:rsidR="003F5776" w:rsidRPr="0083678C">
        <w:rPr>
          <w:rFonts w:ascii="Book Antiqua" w:hAnsi="Book Antiqua" w:cs="Times New Roman"/>
          <w:color w:val="000000" w:themeColor="text1"/>
          <w:sz w:val="24"/>
          <w:szCs w:val="24"/>
        </w:rPr>
        <w:t xml:space="preserve"> &lt; </w:t>
      </w:r>
      <w:r w:rsidRPr="0083678C">
        <w:rPr>
          <w:rFonts w:ascii="Book Antiqua" w:hAnsi="Book Antiqua" w:cs="Times New Roman"/>
          <w:color w:val="000000" w:themeColor="text1"/>
          <w:sz w:val="24"/>
          <w:szCs w:val="24"/>
        </w:rPr>
        <w:t>0.001</w:t>
      </w:r>
      <w:r w:rsidR="00590380"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 The only prospective cohort study, which was conducted in the Netherlands, found that patients with OLGIM stage III</w:t>
      </w:r>
      <w:r w:rsidR="003F5776"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 xml:space="preserve">IV were more likely to develop HGD (RR </w:t>
      </w:r>
      <w:r w:rsidR="00590380"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 xml:space="preserve">16.67; </w:t>
      </w:r>
      <w:r w:rsidR="00590380" w:rsidRPr="0083678C">
        <w:rPr>
          <w:rFonts w:ascii="Book Antiqua" w:hAnsi="Book Antiqua" w:cs="Times New Roman"/>
          <w:color w:val="000000" w:themeColor="text1"/>
          <w:sz w:val="24"/>
          <w:szCs w:val="24"/>
        </w:rPr>
        <w:t>95%CI:</w:t>
      </w:r>
      <w:r w:rsidRPr="0083678C">
        <w:rPr>
          <w:rFonts w:ascii="Book Antiqua" w:hAnsi="Book Antiqua" w:cs="Times New Roman"/>
          <w:color w:val="000000" w:themeColor="text1"/>
          <w:sz w:val="24"/>
          <w:szCs w:val="24"/>
        </w:rPr>
        <w:t xml:space="preserve"> 0.8</w:t>
      </w:r>
      <w:r w:rsidR="00590380"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327.53).</w:t>
      </w:r>
    </w:p>
    <w:p w:rsidR="00590380" w:rsidRPr="0083678C" w:rsidRDefault="00590380" w:rsidP="003F5776">
      <w:pPr>
        <w:adjustRightInd w:val="0"/>
        <w:snapToGrid w:val="0"/>
        <w:spacing w:after="0" w:line="360" w:lineRule="auto"/>
        <w:ind w:firstLineChars="100" w:firstLine="240"/>
        <w:jc w:val="both"/>
        <w:rPr>
          <w:rFonts w:ascii="Book Antiqua" w:hAnsi="Book Antiqua" w:cs="Times New Roman"/>
          <w:color w:val="000000" w:themeColor="text1"/>
          <w:sz w:val="24"/>
          <w:szCs w:val="24"/>
        </w:rPr>
      </w:pPr>
    </w:p>
    <w:p w:rsidR="00B61D20" w:rsidRPr="0083678C" w:rsidRDefault="00663DBE" w:rsidP="00B43CE7">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b/>
          <w:color w:val="000000" w:themeColor="text1"/>
          <w:sz w:val="24"/>
          <w:szCs w:val="24"/>
        </w:rPr>
        <w:t xml:space="preserve">Gastric dysplasia and the risk of </w:t>
      </w:r>
      <w:r w:rsidR="00590380" w:rsidRPr="0083678C">
        <w:rPr>
          <w:rFonts w:ascii="Book Antiqua" w:hAnsi="Book Antiqua" w:cs="Times New Roman"/>
          <w:b/>
          <w:color w:val="000000" w:themeColor="text1"/>
          <w:sz w:val="24"/>
          <w:szCs w:val="24"/>
        </w:rPr>
        <w:t>GC</w:t>
      </w:r>
      <w:r w:rsidRPr="0083678C">
        <w:rPr>
          <w:rFonts w:ascii="Book Antiqua" w:hAnsi="Book Antiqua" w:cs="Times New Roman"/>
          <w:b/>
          <w:color w:val="000000" w:themeColor="text1"/>
          <w:sz w:val="24"/>
          <w:szCs w:val="24"/>
        </w:rPr>
        <w:t xml:space="preserve"> development</w:t>
      </w:r>
      <w:r w:rsidR="00590380" w:rsidRPr="0083678C">
        <w:rPr>
          <w:rFonts w:ascii="Book Antiqua" w:hAnsi="Book Antiqua" w:cs="Times New Roman"/>
          <w:b/>
          <w:color w:val="000000" w:themeColor="text1"/>
          <w:sz w:val="24"/>
          <w:szCs w:val="24"/>
        </w:rPr>
        <w:t xml:space="preserve">: </w:t>
      </w:r>
      <w:r w:rsidR="00423141" w:rsidRPr="0083678C">
        <w:rPr>
          <w:rFonts w:ascii="Book Antiqua" w:hAnsi="Book Antiqua" w:cs="Times New Roman"/>
          <w:color w:val="000000" w:themeColor="text1"/>
          <w:sz w:val="24"/>
          <w:szCs w:val="24"/>
        </w:rPr>
        <w:t>Gastric dysplasia is usually classified as low or high grade</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38</w:t>
      </w:r>
      <w:r w:rsidR="00DD508B" w:rsidRPr="0083678C">
        <w:rPr>
          <w:rFonts w:ascii="Book Antiqua" w:hAnsi="Book Antiqua" w:cs="Times New Roman"/>
          <w:color w:val="000000" w:themeColor="text1"/>
          <w:sz w:val="24"/>
          <w:szCs w:val="24"/>
          <w:vertAlign w:val="superscript"/>
        </w:rPr>
        <w:t>]</w:t>
      </w:r>
      <w:r w:rsidR="00B61D20" w:rsidRPr="0083678C">
        <w:rPr>
          <w:rFonts w:ascii="Book Antiqua" w:hAnsi="Book Antiqua" w:cs="Times New Roman"/>
          <w:color w:val="000000" w:themeColor="text1"/>
          <w:sz w:val="24"/>
          <w:szCs w:val="24"/>
        </w:rPr>
        <w:t xml:space="preserve">. </w:t>
      </w:r>
      <w:r w:rsidR="00423141" w:rsidRPr="0083678C">
        <w:rPr>
          <w:rFonts w:ascii="Book Antiqua" w:hAnsi="Book Antiqua" w:cs="Times New Roman"/>
          <w:color w:val="000000" w:themeColor="text1"/>
          <w:sz w:val="24"/>
          <w:szCs w:val="24"/>
        </w:rPr>
        <w:t>A nationwide cohort study in the Netherlands reported that the annual incidence of GC in patients with LGD and HGD within 5 years after the diagnosis was 0.6% and 6%, respectively</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39</w:t>
      </w:r>
      <w:r w:rsidR="00DD508B" w:rsidRPr="0083678C">
        <w:rPr>
          <w:rFonts w:ascii="Book Antiqua" w:hAnsi="Book Antiqua" w:cs="Times New Roman"/>
          <w:color w:val="000000" w:themeColor="text1"/>
          <w:sz w:val="24"/>
          <w:szCs w:val="24"/>
          <w:vertAlign w:val="superscript"/>
        </w:rPr>
        <w:t>]</w:t>
      </w:r>
      <w:r w:rsidR="007D43A4" w:rsidRPr="0083678C">
        <w:rPr>
          <w:rFonts w:ascii="Book Antiqua" w:hAnsi="Book Antiqua" w:cs="Times New Roman"/>
          <w:color w:val="000000" w:themeColor="text1"/>
          <w:sz w:val="24"/>
          <w:szCs w:val="24"/>
        </w:rPr>
        <w:t xml:space="preserve">. </w:t>
      </w:r>
      <w:r w:rsidR="00DE6A0B" w:rsidRPr="0083678C">
        <w:rPr>
          <w:rFonts w:ascii="Book Antiqua" w:hAnsi="Book Antiqua" w:cs="Times New Roman"/>
          <w:color w:val="000000" w:themeColor="text1"/>
          <w:sz w:val="24"/>
          <w:szCs w:val="24"/>
        </w:rPr>
        <w:t>A recent population based cohort study in Sweden reported that 1 in 19 patients with dysplasia progressed to GC</w:t>
      </w:r>
      <w:r w:rsidR="00DE6A0B" w:rsidRPr="0083678C" w:rsidDel="000A57AA">
        <w:rPr>
          <w:rFonts w:ascii="Book Antiqua" w:hAnsi="Book Antiqua" w:cs="Times New Roman"/>
          <w:color w:val="000000" w:themeColor="text1"/>
          <w:sz w:val="24"/>
          <w:szCs w:val="24"/>
        </w:rPr>
        <w:t xml:space="preserve"> </w:t>
      </w:r>
      <w:r w:rsidR="00DE6A0B" w:rsidRPr="0083678C">
        <w:rPr>
          <w:rFonts w:ascii="Book Antiqua" w:hAnsi="Book Antiqua" w:cs="Times New Roman"/>
          <w:color w:val="000000" w:themeColor="text1"/>
          <w:sz w:val="24"/>
          <w:szCs w:val="24"/>
        </w:rPr>
        <w:t xml:space="preserve">within </w:t>
      </w:r>
      <w:r w:rsidR="00DE6A0B" w:rsidRPr="0083678C">
        <w:rPr>
          <w:rFonts w:ascii="Book Antiqua" w:hAnsi="Book Antiqua" w:cs="Times New Roman"/>
          <w:color w:val="000000" w:themeColor="text1"/>
          <w:sz w:val="24"/>
          <w:szCs w:val="24"/>
        </w:rPr>
        <w:lastRenderedPageBreak/>
        <w:t>20 years, although no differentiation was made between those with low-grade dysplasia (LGD) or high-grade dysplasia (HGD)</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26</w:t>
      </w:r>
      <w:r w:rsidR="00DD508B" w:rsidRPr="0083678C">
        <w:rPr>
          <w:rFonts w:ascii="Book Antiqua" w:hAnsi="Book Antiqua" w:cs="Times New Roman"/>
          <w:color w:val="000000" w:themeColor="text1"/>
          <w:sz w:val="24"/>
          <w:szCs w:val="24"/>
          <w:vertAlign w:val="superscript"/>
        </w:rPr>
        <w:t>]</w:t>
      </w:r>
      <w:r w:rsidR="00B61D20" w:rsidRPr="0083678C">
        <w:rPr>
          <w:rFonts w:ascii="Book Antiqua" w:hAnsi="Book Antiqua" w:cs="Times New Roman"/>
          <w:color w:val="000000" w:themeColor="text1"/>
          <w:sz w:val="24"/>
          <w:szCs w:val="24"/>
        </w:rPr>
        <w:t xml:space="preserve">. </w:t>
      </w:r>
      <w:r w:rsidR="002D23C5" w:rsidRPr="0083678C">
        <w:rPr>
          <w:rFonts w:ascii="Book Antiqua" w:hAnsi="Book Antiqua" w:cs="Times New Roman"/>
          <w:color w:val="000000" w:themeColor="text1"/>
          <w:sz w:val="24"/>
          <w:szCs w:val="24"/>
        </w:rPr>
        <w:t>Notably, there is a remarkably histological discrepancy between biopsy specimens and material obtained from endoscopic resection. A recent study from Japan found that a substantial proportion of biopsy-proven gastric LGD specimens were diagnosed as GC after endoscopic resection</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40</w:t>
      </w:r>
      <w:r w:rsidR="00DD508B" w:rsidRPr="0083678C">
        <w:rPr>
          <w:rFonts w:ascii="Book Antiqua" w:hAnsi="Book Antiqua" w:cs="Times New Roman"/>
          <w:color w:val="000000" w:themeColor="text1"/>
          <w:sz w:val="24"/>
          <w:szCs w:val="24"/>
          <w:vertAlign w:val="superscript"/>
        </w:rPr>
        <w:t>]</w:t>
      </w:r>
      <w:r w:rsidR="009A7DCB" w:rsidRPr="0083678C">
        <w:rPr>
          <w:rFonts w:ascii="Book Antiqua" w:hAnsi="Book Antiqua" w:cs="Times New Roman"/>
          <w:color w:val="000000" w:themeColor="text1"/>
          <w:sz w:val="24"/>
          <w:szCs w:val="24"/>
        </w:rPr>
        <w:t>.</w:t>
      </w:r>
      <w:r w:rsidR="00DD508B" w:rsidRPr="0083678C">
        <w:rPr>
          <w:rFonts w:ascii="Book Antiqua" w:hAnsi="Book Antiqua" w:cs="Times New Roman"/>
          <w:color w:val="000000" w:themeColor="text1"/>
          <w:sz w:val="24"/>
          <w:szCs w:val="24"/>
        </w:rPr>
        <w:t xml:space="preserve"> </w:t>
      </w:r>
      <w:r w:rsidR="002D23C5" w:rsidRPr="0083678C">
        <w:rPr>
          <w:rFonts w:ascii="Book Antiqua" w:hAnsi="Book Antiqua" w:cs="Times New Roman"/>
          <w:color w:val="000000" w:themeColor="text1"/>
          <w:sz w:val="24"/>
          <w:szCs w:val="24"/>
        </w:rPr>
        <w:t>The strategy for managing patients with gastric dysplasia is therefore more straightforward in comparison to that for gastric atrophy and GIM. The resection of endoscopically visible dysplastic lesions is now recommended worldwide, regardless of the grade of dysplasia</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9</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11</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41</w:t>
      </w:r>
      <w:r w:rsidR="00DD508B" w:rsidRPr="0083678C">
        <w:rPr>
          <w:rFonts w:ascii="Book Antiqua" w:hAnsi="Book Antiqua" w:cs="Times New Roman"/>
          <w:color w:val="000000" w:themeColor="text1"/>
          <w:sz w:val="24"/>
          <w:szCs w:val="24"/>
          <w:vertAlign w:val="superscript"/>
        </w:rPr>
        <w:t>]</w:t>
      </w:r>
      <w:r w:rsidR="00412FA4" w:rsidRPr="0083678C">
        <w:rPr>
          <w:rFonts w:ascii="Book Antiqua" w:hAnsi="Book Antiqua" w:cs="Times New Roman"/>
          <w:color w:val="000000" w:themeColor="text1"/>
          <w:sz w:val="24"/>
          <w:szCs w:val="24"/>
        </w:rPr>
        <w:t>.</w:t>
      </w:r>
      <w:r w:rsidR="00DB6499" w:rsidRPr="0083678C">
        <w:rPr>
          <w:rFonts w:ascii="Book Antiqua" w:hAnsi="Book Antiqua" w:cs="Times New Roman"/>
          <w:color w:val="000000" w:themeColor="text1"/>
          <w:sz w:val="24"/>
          <w:szCs w:val="24"/>
        </w:rPr>
        <w:t xml:space="preserve"> </w:t>
      </w:r>
      <w:r w:rsidR="002D23C5" w:rsidRPr="0083678C">
        <w:rPr>
          <w:rFonts w:ascii="Book Antiqua" w:hAnsi="Book Antiqua" w:cs="Times New Roman"/>
          <w:color w:val="000000" w:themeColor="text1"/>
          <w:sz w:val="24"/>
          <w:szCs w:val="24"/>
        </w:rPr>
        <w:t>However, a considerable number of patients have endoscopically invisible gastric dysplasia. These patients are still at high risk and need to be strictly followed up</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22</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42</w:t>
      </w:r>
      <w:r w:rsidR="00DD508B" w:rsidRPr="0083678C">
        <w:rPr>
          <w:rFonts w:ascii="Book Antiqua" w:hAnsi="Book Antiqua" w:cs="Times New Roman"/>
          <w:color w:val="000000" w:themeColor="text1"/>
          <w:sz w:val="24"/>
          <w:szCs w:val="24"/>
          <w:vertAlign w:val="superscript"/>
        </w:rPr>
        <w:t>]</w:t>
      </w:r>
      <w:r w:rsidR="006A58E2" w:rsidRPr="0083678C">
        <w:rPr>
          <w:rFonts w:ascii="Book Antiqua" w:hAnsi="Book Antiqua" w:cs="Times New Roman"/>
          <w:color w:val="000000" w:themeColor="text1"/>
          <w:sz w:val="24"/>
          <w:szCs w:val="24"/>
        </w:rPr>
        <w:t>.</w:t>
      </w:r>
      <w:r w:rsidR="00B61D20" w:rsidRPr="0083678C">
        <w:rPr>
          <w:rFonts w:ascii="Book Antiqua" w:hAnsi="Book Antiqua" w:cs="Times New Roman"/>
          <w:color w:val="000000" w:themeColor="text1"/>
          <w:sz w:val="24"/>
          <w:szCs w:val="24"/>
        </w:rPr>
        <w:t xml:space="preserve"> </w:t>
      </w:r>
      <w:r w:rsidR="002D23C5" w:rsidRPr="0083678C">
        <w:rPr>
          <w:rFonts w:ascii="Book Antiqua" w:hAnsi="Book Antiqua" w:cs="Times New Roman"/>
          <w:color w:val="000000" w:themeColor="text1"/>
          <w:sz w:val="24"/>
          <w:szCs w:val="24"/>
        </w:rPr>
        <w:t>A recent literature review reported that LGD persisted in 19</w:t>
      </w:r>
      <w:r w:rsidR="00590380" w:rsidRPr="0083678C">
        <w:rPr>
          <w:rFonts w:ascii="Book Antiqua" w:hAnsi="Book Antiqua" w:cs="Times New Roman"/>
          <w:color w:val="000000" w:themeColor="text1"/>
          <w:sz w:val="24"/>
          <w:szCs w:val="24"/>
        </w:rPr>
        <w:t>%</w:t>
      </w:r>
      <w:r w:rsidR="003F5776" w:rsidRPr="0083678C">
        <w:rPr>
          <w:rFonts w:ascii="Book Antiqua" w:hAnsi="Book Antiqua" w:cs="Times New Roman"/>
          <w:color w:val="000000" w:themeColor="text1"/>
          <w:sz w:val="24"/>
          <w:szCs w:val="24"/>
        </w:rPr>
        <w:t>-</w:t>
      </w:r>
      <w:r w:rsidR="002D23C5" w:rsidRPr="0083678C">
        <w:rPr>
          <w:rFonts w:ascii="Book Antiqua" w:hAnsi="Book Antiqua" w:cs="Times New Roman"/>
          <w:color w:val="000000" w:themeColor="text1"/>
          <w:sz w:val="24"/>
          <w:szCs w:val="24"/>
        </w:rPr>
        <w:t>50% of patients and that the risk of GC development in these patients ranged from 0% to 23% over 10</w:t>
      </w:r>
      <w:r w:rsidR="003F5776" w:rsidRPr="0083678C">
        <w:rPr>
          <w:rFonts w:ascii="Book Antiqua" w:hAnsi="Book Antiqua" w:cs="Times New Roman"/>
          <w:color w:val="000000" w:themeColor="text1"/>
          <w:sz w:val="24"/>
          <w:szCs w:val="24"/>
        </w:rPr>
        <w:t>-</w:t>
      </w:r>
      <w:r w:rsidR="002D23C5" w:rsidRPr="0083678C">
        <w:rPr>
          <w:rFonts w:ascii="Book Antiqua" w:hAnsi="Book Antiqua" w:cs="Times New Roman"/>
          <w:color w:val="000000" w:themeColor="text1"/>
          <w:sz w:val="24"/>
          <w:szCs w:val="24"/>
        </w:rPr>
        <w:t>48 mo</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11</w:t>
      </w:r>
      <w:r w:rsidR="00DD508B" w:rsidRPr="0083678C">
        <w:rPr>
          <w:rFonts w:ascii="Book Antiqua" w:hAnsi="Book Antiqua" w:cs="Times New Roman"/>
          <w:color w:val="000000" w:themeColor="text1"/>
          <w:sz w:val="24"/>
          <w:szCs w:val="24"/>
          <w:vertAlign w:val="superscript"/>
        </w:rPr>
        <w:t>]</w:t>
      </w:r>
      <w:r w:rsidR="00B61D20" w:rsidRPr="0083678C">
        <w:rPr>
          <w:rFonts w:ascii="Book Antiqua" w:hAnsi="Book Antiqua" w:cs="Times New Roman"/>
          <w:color w:val="000000" w:themeColor="text1"/>
          <w:sz w:val="24"/>
          <w:szCs w:val="24"/>
        </w:rPr>
        <w:t xml:space="preserve">. </w:t>
      </w:r>
      <w:r w:rsidR="002D23C5" w:rsidRPr="0083678C">
        <w:rPr>
          <w:rFonts w:ascii="Book Antiqua" w:hAnsi="Book Antiqua" w:cs="Times New Roman"/>
          <w:color w:val="000000" w:themeColor="text1"/>
          <w:sz w:val="24"/>
          <w:szCs w:val="24"/>
        </w:rPr>
        <w:t>Regarding endoscopically invisible HGD, immediate endoscopic reassessment with extensive biopsy sampling and surveillance at 6- to 12-mo intervals is mandatory. Furthermore, the disappearance or assumed disappearance of dysplastic lesions, as assessed by follow-up endoscopic biopsy, does not rule out possible progression to invasive GC</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9</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41</w:t>
      </w:r>
      <w:r w:rsidR="00DD508B" w:rsidRPr="0083678C">
        <w:rPr>
          <w:rFonts w:ascii="Book Antiqua" w:hAnsi="Book Antiqua" w:cs="Times New Roman"/>
          <w:color w:val="000000" w:themeColor="text1"/>
          <w:sz w:val="24"/>
          <w:szCs w:val="24"/>
          <w:vertAlign w:val="superscript"/>
        </w:rPr>
        <w:t>]</w:t>
      </w:r>
      <w:r w:rsidR="005F0AFD" w:rsidRPr="0083678C">
        <w:rPr>
          <w:rFonts w:ascii="Book Antiqua" w:hAnsi="Book Antiqua" w:cs="Times New Roman"/>
          <w:color w:val="000000" w:themeColor="text1"/>
          <w:sz w:val="24"/>
          <w:szCs w:val="24"/>
        </w:rPr>
        <w:t xml:space="preserve">. </w:t>
      </w:r>
    </w:p>
    <w:p w:rsidR="00590380" w:rsidRPr="0083678C" w:rsidRDefault="00590380" w:rsidP="00B43CE7">
      <w:pPr>
        <w:adjustRightInd w:val="0"/>
        <w:snapToGrid w:val="0"/>
        <w:spacing w:after="0" w:line="360" w:lineRule="auto"/>
        <w:jc w:val="both"/>
        <w:rPr>
          <w:rFonts w:ascii="Book Antiqua" w:hAnsi="Book Antiqua" w:cs="Times New Roman"/>
          <w:b/>
          <w:color w:val="000000" w:themeColor="text1"/>
          <w:sz w:val="24"/>
          <w:szCs w:val="24"/>
        </w:rPr>
      </w:pPr>
    </w:p>
    <w:p w:rsidR="0078420E" w:rsidRPr="0083678C" w:rsidRDefault="00F42FF8" w:rsidP="00B43CE7">
      <w:pPr>
        <w:pStyle w:val="a7"/>
        <w:adjustRightInd w:val="0"/>
        <w:snapToGrid w:val="0"/>
        <w:spacing w:before="0" w:beforeAutospacing="0" w:after="0" w:afterAutospacing="0" w:line="360" w:lineRule="auto"/>
        <w:jc w:val="both"/>
        <w:rPr>
          <w:rFonts w:ascii="Book Antiqua" w:hAnsi="Book Antiqua"/>
          <w:b/>
          <w:i/>
          <w:color w:val="000000" w:themeColor="text1"/>
        </w:rPr>
      </w:pPr>
      <w:r w:rsidRPr="0083678C">
        <w:rPr>
          <w:rFonts w:ascii="Book Antiqua" w:hAnsi="Book Antiqua"/>
          <w:b/>
          <w:i/>
          <w:color w:val="000000" w:themeColor="text1"/>
        </w:rPr>
        <w:t>Endoscopic approach</w:t>
      </w:r>
      <w:r w:rsidR="002D23C5" w:rsidRPr="0083678C">
        <w:rPr>
          <w:rFonts w:ascii="Book Antiqua" w:hAnsi="Book Antiqua"/>
          <w:b/>
          <w:i/>
          <w:color w:val="000000" w:themeColor="text1"/>
        </w:rPr>
        <w:t>es</w:t>
      </w:r>
    </w:p>
    <w:p w:rsidR="0078420E" w:rsidRPr="0083678C" w:rsidRDefault="0078420E" w:rsidP="00B43CE7">
      <w:pPr>
        <w:adjustRightInd w:val="0"/>
        <w:snapToGrid w:val="0"/>
        <w:spacing w:after="0" w:line="360" w:lineRule="auto"/>
        <w:jc w:val="both"/>
        <w:rPr>
          <w:rFonts w:ascii="Book Antiqua" w:hAnsi="Book Antiqua" w:cs="Times New Roman"/>
          <w:b/>
          <w:color w:val="000000" w:themeColor="text1"/>
          <w:sz w:val="24"/>
          <w:szCs w:val="24"/>
        </w:rPr>
      </w:pPr>
      <w:r w:rsidRPr="0083678C">
        <w:rPr>
          <w:rFonts w:ascii="Book Antiqua" w:hAnsi="Book Antiqua" w:cs="Times New Roman"/>
          <w:b/>
          <w:color w:val="000000" w:themeColor="text1"/>
          <w:sz w:val="24"/>
          <w:szCs w:val="24"/>
          <w:shd w:val="clear" w:color="auto" w:fill="FFFFFF"/>
        </w:rPr>
        <w:t>White light endoscopy</w:t>
      </w:r>
      <w:r w:rsidR="00590380" w:rsidRPr="0083678C">
        <w:rPr>
          <w:rFonts w:ascii="Book Antiqua" w:hAnsi="Book Antiqua" w:cs="Times New Roman"/>
          <w:b/>
          <w:color w:val="000000" w:themeColor="text1"/>
          <w:sz w:val="24"/>
          <w:szCs w:val="24"/>
          <w:shd w:val="clear" w:color="auto" w:fill="FFFFFF"/>
        </w:rPr>
        <w:t xml:space="preserve">: </w:t>
      </w:r>
      <w:r w:rsidR="00A91047" w:rsidRPr="0083678C">
        <w:rPr>
          <w:rFonts w:ascii="Book Antiqua" w:hAnsi="Book Antiqua" w:cs="Times New Roman"/>
          <w:color w:val="000000" w:themeColor="text1"/>
          <w:sz w:val="24"/>
          <w:szCs w:val="24"/>
        </w:rPr>
        <w:t>Gastric atrophy: The endoscopic diagnosis of gastric atrophy based on the good visualization of the submucosal vessels, even in the hands of experienced endoscopists, is not reliable</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43</w:t>
      </w:r>
      <w:r w:rsidR="00DD508B" w:rsidRPr="0083678C">
        <w:rPr>
          <w:rFonts w:ascii="Book Antiqua" w:hAnsi="Book Antiqua" w:cs="Times New Roman"/>
          <w:color w:val="000000" w:themeColor="text1"/>
          <w:sz w:val="24"/>
          <w:szCs w:val="24"/>
          <w:vertAlign w:val="superscript"/>
        </w:rPr>
        <w:t>]</w:t>
      </w:r>
      <w:r w:rsidRPr="0083678C">
        <w:rPr>
          <w:rFonts w:ascii="Book Antiqua" w:hAnsi="Book Antiqua" w:cs="Times New Roman"/>
          <w:color w:val="000000" w:themeColor="text1"/>
          <w:sz w:val="24"/>
          <w:szCs w:val="24"/>
        </w:rPr>
        <w:t xml:space="preserve">. </w:t>
      </w:r>
      <w:r w:rsidR="00A91047" w:rsidRPr="0083678C">
        <w:rPr>
          <w:rFonts w:ascii="Book Antiqua" w:hAnsi="Book Antiqua" w:cs="Times New Roman"/>
          <w:color w:val="000000" w:themeColor="text1"/>
          <w:sz w:val="24"/>
          <w:szCs w:val="24"/>
        </w:rPr>
        <w:t>The sensitivity and specificity were only 61.5% and 57.7%, respectively in the antrum; and 46.8% and 76.4%, respectively in the corpus. However, the assessment of EGA according to the Kimura-Takemoto classification has been consistently confirmed to have a good correlation with histological gastric atrophy</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22</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44</w:t>
      </w:r>
      <w:r w:rsidR="00DD508B" w:rsidRPr="0083678C">
        <w:rPr>
          <w:rFonts w:ascii="Book Antiqua" w:hAnsi="Book Antiqua" w:cs="Times New Roman"/>
          <w:color w:val="000000" w:themeColor="text1"/>
          <w:sz w:val="24"/>
          <w:szCs w:val="24"/>
          <w:vertAlign w:val="superscript"/>
        </w:rPr>
        <w:t>]</w:t>
      </w:r>
      <w:r w:rsidRPr="0083678C">
        <w:rPr>
          <w:rFonts w:ascii="Book Antiqua" w:hAnsi="Book Antiqua" w:cs="Times New Roman"/>
          <w:color w:val="000000" w:themeColor="text1"/>
          <w:sz w:val="24"/>
          <w:szCs w:val="24"/>
        </w:rPr>
        <w:t xml:space="preserve">. </w:t>
      </w:r>
      <w:r w:rsidR="00A91047" w:rsidRPr="0083678C">
        <w:rPr>
          <w:rFonts w:ascii="Book Antiqua" w:hAnsi="Book Antiqua" w:cs="Times New Roman"/>
          <w:color w:val="000000" w:themeColor="text1"/>
          <w:sz w:val="24"/>
          <w:szCs w:val="24"/>
        </w:rPr>
        <w:t xml:space="preserve">In addition, several long-term cohort studies confirmed its value in predicting the risk of GC development in subjects with and without </w:t>
      </w:r>
      <w:r w:rsidR="00A91047" w:rsidRPr="0083678C">
        <w:rPr>
          <w:rFonts w:ascii="Book Antiqua" w:hAnsi="Book Antiqua" w:cs="Times New Roman"/>
          <w:i/>
          <w:color w:val="000000" w:themeColor="text1"/>
          <w:sz w:val="24"/>
          <w:szCs w:val="24"/>
        </w:rPr>
        <w:t xml:space="preserve">H. pylori </w:t>
      </w:r>
      <w:r w:rsidR="00A91047" w:rsidRPr="0083678C">
        <w:rPr>
          <w:rFonts w:ascii="Book Antiqua" w:hAnsi="Book Antiqua" w:cs="Times New Roman"/>
          <w:color w:val="000000" w:themeColor="text1"/>
          <w:sz w:val="24"/>
          <w:szCs w:val="24"/>
        </w:rPr>
        <w:t>infection, as well as after the</w:t>
      </w:r>
      <w:r w:rsidR="00A91047" w:rsidRPr="0083678C">
        <w:rPr>
          <w:rFonts w:ascii="Book Antiqua" w:hAnsi="Book Antiqua" w:cs="Times New Roman"/>
          <w:i/>
          <w:color w:val="000000" w:themeColor="text1"/>
          <w:sz w:val="24"/>
          <w:szCs w:val="24"/>
        </w:rPr>
        <w:t xml:space="preserve"> </w:t>
      </w:r>
      <w:r w:rsidR="00A91047" w:rsidRPr="0083678C">
        <w:rPr>
          <w:rFonts w:ascii="Book Antiqua" w:hAnsi="Book Antiqua" w:cs="Times New Roman"/>
          <w:color w:val="000000" w:themeColor="text1"/>
          <w:sz w:val="24"/>
          <w:szCs w:val="24"/>
        </w:rPr>
        <w:t xml:space="preserve">successful eradication of </w:t>
      </w:r>
      <w:r w:rsidR="00A91047" w:rsidRPr="0083678C">
        <w:rPr>
          <w:rFonts w:ascii="Book Antiqua" w:hAnsi="Book Antiqua" w:cs="Times New Roman"/>
          <w:i/>
          <w:color w:val="000000" w:themeColor="text1"/>
          <w:sz w:val="24"/>
          <w:szCs w:val="24"/>
        </w:rPr>
        <w:t>H. pylori</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8</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34</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45</w:t>
      </w:r>
      <w:r w:rsidR="00DD508B" w:rsidRPr="0083678C">
        <w:rPr>
          <w:rFonts w:ascii="Book Antiqua" w:hAnsi="Book Antiqua" w:cs="Times New Roman"/>
          <w:color w:val="000000" w:themeColor="text1"/>
          <w:sz w:val="24"/>
          <w:szCs w:val="24"/>
          <w:vertAlign w:val="superscript"/>
        </w:rPr>
        <w:t>]</w:t>
      </w:r>
      <w:r w:rsidR="00412FA4" w:rsidRPr="0083678C">
        <w:rPr>
          <w:rFonts w:ascii="Book Antiqua" w:hAnsi="Book Antiqua" w:cs="Times New Roman"/>
          <w:color w:val="000000" w:themeColor="text1"/>
          <w:sz w:val="24"/>
          <w:szCs w:val="24"/>
        </w:rPr>
        <w:t>.</w:t>
      </w:r>
      <w:r w:rsidR="007B164B" w:rsidRPr="0083678C">
        <w:rPr>
          <w:rFonts w:ascii="Book Antiqua" w:hAnsi="Book Antiqua" w:cs="Times New Roman"/>
          <w:color w:val="000000" w:themeColor="text1"/>
          <w:sz w:val="24"/>
          <w:szCs w:val="24"/>
        </w:rPr>
        <w:t xml:space="preserve"> </w:t>
      </w:r>
    </w:p>
    <w:p w:rsidR="00785EB1" w:rsidRPr="0083678C" w:rsidRDefault="00A91047" w:rsidP="00590380">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shd w:val="clear" w:color="auto" w:fill="FFFFFF"/>
        </w:rPr>
        <w:lastRenderedPageBreak/>
        <w:t xml:space="preserve">The key point in assessing EGA according to </w:t>
      </w:r>
      <w:r w:rsidRPr="0083678C">
        <w:rPr>
          <w:rFonts w:ascii="Book Antiqua" w:hAnsi="Book Antiqua" w:cs="Times New Roman"/>
          <w:color w:val="000000" w:themeColor="text1"/>
          <w:sz w:val="24"/>
          <w:szCs w:val="24"/>
        </w:rPr>
        <w:t xml:space="preserve">the Kimura-Takemoto classification </w:t>
      </w:r>
      <w:r w:rsidRPr="0083678C">
        <w:rPr>
          <w:rFonts w:ascii="Book Antiqua" w:hAnsi="Book Antiqua" w:cs="Times New Roman"/>
          <w:color w:val="000000" w:themeColor="text1"/>
          <w:sz w:val="24"/>
          <w:szCs w:val="24"/>
          <w:shd w:val="clear" w:color="auto" w:fill="FFFFFF"/>
        </w:rPr>
        <w:t>is to identify the location of the so-called endoscopic atrophic border of the stomach</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46</w:t>
      </w:r>
      <w:r w:rsidR="00DD508B" w:rsidRPr="0083678C">
        <w:rPr>
          <w:rFonts w:ascii="Book Antiqua" w:hAnsi="Book Antiqua" w:cs="Times New Roman"/>
          <w:color w:val="000000" w:themeColor="text1"/>
          <w:sz w:val="24"/>
          <w:szCs w:val="24"/>
          <w:shd w:val="clear" w:color="auto" w:fill="FFFFFF"/>
          <w:vertAlign w:val="superscript"/>
        </w:rPr>
        <w:t>]</w:t>
      </w:r>
      <w:r w:rsidR="00412FA4" w:rsidRPr="0083678C">
        <w:rPr>
          <w:rFonts w:ascii="Book Antiqua" w:hAnsi="Book Antiqua" w:cs="Times New Roman"/>
          <w:color w:val="000000" w:themeColor="text1"/>
          <w:sz w:val="24"/>
          <w:szCs w:val="24"/>
          <w:shd w:val="clear" w:color="auto" w:fill="FFFFFF"/>
        </w:rPr>
        <w:t xml:space="preserve">. </w:t>
      </w:r>
      <w:r w:rsidRPr="0083678C">
        <w:rPr>
          <w:rFonts w:ascii="Book Antiqua" w:hAnsi="Book Antiqua" w:cs="Times New Roman"/>
          <w:color w:val="000000" w:themeColor="text1"/>
          <w:sz w:val="24"/>
          <w:szCs w:val="24"/>
          <w:shd w:val="clear" w:color="auto" w:fill="FFFFFF"/>
        </w:rPr>
        <w:t>Based on the location of the endoscopic atrophic border, an endoscopic classification of gastric atrophy pattern was proposed which consists of two main types: closed type (C type) and open type (O type). These two types are further subdivided in into three C-types (C-1, C-2 and C-3) and three O-types (O-1, O-2 and O-3). The severity of endoscopic gastric atrophy (EGA) is often classified into three grades: mild (C-1, C-2), moderate (C-3, O-1) and severe (O-2, O-3)</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8</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22</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34</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45</w:t>
      </w:r>
      <w:r w:rsidR="00DD508B" w:rsidRPr="0083678C">
        <w:rPr>
          <w:rFonts w:ascii="Book Antiqua" w:hAnsi="Book Antiqua" w:cs="Times New Roman"/>
          <w:color w:val="000000" w:themeColor="text1"/>
          <w:sz w:val="24"/>
          <w:szCs w:val="24"/>
          <w:shd w:val="clear" w:color="auto" w:fill="FFFFFF"/>
          <w:vertAlign w:val="superscript"/>
        </w:rPr>
        <w:t>]</w:t>
      </w:r>
      <w:r w:rsidR="00412FA4" w:rsidRPr="0083678C">
        <w:rPr>
          <w:rFonts w:ascii="Book Antiqua" w:hAnsi="Book Antiqua" w:cs="Times New Roman"/>
          <w:color w:val="000000" w:themeColor="text1"/>
          <w:sz w:val="24"/>
          <w:szCs w:val="24"/>
          <w:shd w:val="clear" w:color="auto" w:fill="FFFFFF"/>
        </w:rPr>
        <w:t>.</w:t>
      </w:r>
      <w:r w:rsidR="0078420E"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shd w:val="clear" w:color="auto" w:fill="FFFFFF"/>
        </w:rPr>
        <w:t>Our previous study in Vietnam showed that the severity of EGA was signiﬁcantly correlated with the OLGA gastritis stage</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22</w:t>
      </w:r>
      <w:r w:rsidR="00DD508B" w:rsidRPr="0083678C">
        <w:rPr>
          <w:rFonts w:ascii="Book Antiqua" w:hAnsi="Book Antiqua" w:cs="Times New Roman"/>
          <w:color w:val="000000" w:themeColor="text1"/>
          <w:sz w:val="24"/>
          <w:szCs w:val="24"/>
          <w:shd w:val="clear" w:color="auto" w:fill="FFFFFF"/>
          <w:vertAlign w:val="superscript"/>
        </w:rPr>
        <w:t>]</w:t>
      </w:r>
      <w:r w:rsidR="0078420E" w:rsidRPr="0083678C">
        <w:rPr>
          <w:rFonts w:ascii="Book Antiqua" w:hAnsi="Book Antiqua" w:cs="Times New Roman"/>
          <w:color w:val="000000" w:themeColor="text1"/>
          <w:sz w:val="24"/>
          <w:szCs w:val="24"/>
          <w:shd w:val="clear" w:color="auto" w:fill="FFFFFF"/>
        </w:rPr>
        <w:t>.</w:t>
      </w:r>
      <w:r w:rsidR="00D00A03"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shd w:val="clear" w:color="auto" w:fill="FFFFFF"/>
        </w:rPr>
        <w:t>As EGA assessment has not been widely applied in Western countries and it was unclear whether the EGA findings are correlated with histological atrophy in Western patients, another study was conducted in the United Kingdom</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44</w:t>
      </w:r>
      <w:r w:rsidR="00DD508B" w:rsidRPr="0083678C">
        <w:rPr>
          <w:rFonts w:ascii="Book Antiqua" w:hAnsi="Book Antiqua" w:cs="Times New Roman"/>
          <w:color w:val="000000" w:themeColor="text1"/>
          <w:sz w:val="24"/>
          <w:szCs w:val="24"/>
          <w:shd w:val="clear" w:color="auto" w:fill="FFFFFF"/>
          <w:vertAlign w:val="superscript"/>
        </w:rPr>
        <w:t>]</w:t>
      </w:r>
      <w:r w:rsidR="00964E76" w:rsidRPr="0083678C">
        <w:rPr>
          <w:rFonts w:ascii="Book Antiqua" w:hAnsi="Book Antiqua" w:cs="Times New Roman"/>
          <w:color w:val="000000" w:themeColor="text1"/>
          <w:sz w:val="24"/>
          <w:szCs w:val="24"/>
          <w:shd w:val="clear" w:color="auto" w:fill="FFFFFF"/>
        </w:rPr>
        <w:t xml:space="preserve">. </w:t>
      </w:r>
      <w:r w:rsidR="00785EB1" w:rsidRPr="0083678C">
        <w:rPr>
          <w:rFonts w:ascii="Book Antiqua" w:hAnsi="Book Antiqua" w:cs="Times New Roman"/>
          <w:color w:val="000000" w:themeColor="text1"/>
          <w:sz w:val="24"/>
          <w:szCs w:val="24"/>
          <w:shd w:val="clear" w:color="auto" w:fill="FFFFFF"/>
        </w:rPr>
        <w:t>In this study, EGA was compared with histological atrophy using the updated Sydney classification system. The strength of agreement on the extent of atrophy between the endoscopic and histological findings was good, with a weighted kappa value of 0.76. In addition, the strength of agreement between endoscopic and histological atrophy, as assessed by cancer risk-oriented grading (</w:t>
      </w:r>
      <w:r w:rsidR="00785EB1" w:rsidRPr="0083678C">
        <w:rPr>
          <w:rFonts w:ascii="Book Antiqua" w:hAnsi="Book Antiqua" w:cs="Times New Roman"/>
          <w:i/>
          <w:color w:val="000000" w:themeColor="text1"/>
          <w:sz w:val="24"/>
          <w:szCs w:val="24"/>
          <w:shd w:val="clear" w:color="auto" w:fill="FFFFFF"/>
        </w:rPr>
        <w:t xml:space="preserve">i.e., </w:t>
      </w:r>
      <w:r w:rsidR="00785EB1" w:rsidRPr="0083678C">
        <w:rPr>
          <w:rFonts w:ascii="Book Antiqua" w:hAnsi="Book Antiqua" w:cs="Times New Roman"/>
          <w:color w:val="000000" w:themeColor="text1"/>
          <w:sz w:val="24"/>
          <w:szCs w:val="24"/>
          <w:shd w:val="clear" w:color="auto" w:fill="FFFFFF"/>
        </w:rPr>
        <w:t xml:space="preserve">none, limited atrophy in antrum and angulus or pan-atrophy) was good, with a kappa value of 0.81. </w:t>
      </w:r>
    </w:p>
    <w:p w:rsidR="0078420E" w:rsidRPr="0083678C" w:rsidRDefault="00785EB1" w:rsidP="00590380">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83678C">
        <w:rPr>
          <w:rFonts w:ascii="Book Antiqua" w:hAnsi="Book Antiqua" w:cs="Times New Roman"/>
          <w:color w:val="000000" w:themeColor="text1"/>
          <w:sz w:val="24"/>
          <w:szCs w:val="24"/>
          <w:shd w:val="clear" w:color="auto" w:fill="FFFFFF"/>
        </w:rPr>
        <w:t xml:space="preserve">Several studies have consistently confirmed that the severity of EGA at baseline is associated the risk of GC development. A prospective cohort study that followed 1,603 consecutive Japanese patients with benign gastroduodenal diseases for an average of 8 years found that GC only developed in patients with </w:t>
      </w:r>
      <w:r w:rsidRPr="0083678C">
        <w:rPr>
          <w:rFonts w:ascii="Book Antiqua" w:hAnsi="Book Antiqua" w:cs="Times New Roman"/>
          <w:i/>
          <w:color w:val="000000" w:themeColor="text1"/>
          <w:sz w:val="24"/>
          <w:szCs w:val="24"/>
          <w:shd w:val="clear" w:color="auto" w:fill="FFFFFF"/>
        </w:rPr>
        <w:t xml:space="preserve">H. pylori </w:t>
      </w:r>
      <w:r w:rsidRPr="0083678C">
        <w:rPr>
          <w:rFonts w:ascii="Book Antiqua" w:hAnsi="Book Antiqua" w:cs="Times New Roman"/>
          <w:color w:val="000000" w:themeColor="text1"/>
          <w:sz w:val="24"/>
          <w:szCs w:val="24"/>
          <w:shd w:val="clear" w:color="auto" w:fill="FFFFFF"/>
        </w:rPr>
        <w:t>infection, and the RR of GC in patients with severe EGA at baseline was 4.9 times higher than that of those with no or mild EGA at baseline</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8</w:t>
      </w:r>
      <w:r w:rsidR="00DD508B" w:rsidRPr="0083678C">
        <w:rPr>
          <w:rFonts w:ascii="Book Antiqua" w:hAnsi="Book Antiqua" w:cs="Times New Roman"/>
          <w:color w:val="000000" w:themeColor="text1"/>
          <w:sz w:val="24"/>
          <w:szCs w:val="24"/>
          <w:shd w:val="clear" w:color="auto" w:fill="FFFFFF"/>
          <w:vertAlign w:val="superscript"/>
        </w:rPr>
        <w:t>]</w:t>
      </w:r>
      <w:r w:rsidR="00964E76" w:rsidRPr="0083678C">
        <w:rPr>
          <w:rFonts w:ascii="Book Antiqua" w:hAnsi="Book Antiqua" w:cs="Times New Roman"/>
          <w:color w:val="000000" w:themeColor="text1"/>
          <w:sz w:val="24"/>
          <w:szCs w:val="24"/>
          <w:shd w:val="clear" w:color="auto" w:fill="FFFFFF"/>
        </w:rPr>
        <w:t>.</w:t>
      </w:r>
      <w:r w:rsidR="0078420E" w:rsidRPr="0083678C">
        <w:rPr>
          <w:rFonts w:ascii="Book Antiqua" w:hAnsi="Book Antiqua" w:cs="Times New Roman"/>
          <w:color w:val="000000" w:themeColor="text1"/>
          <w:sz w:val="24"/>
          <w:szCs w:val="24"/>
          <w:shd w:val="clear" w:color="auto" w:fill="FFFFFF"/>
        </w:rPr>
        <w:t xml:space="preserve"> </w:t>
      </w:r>
      <w:r w:rsidR="00850B83" w:rsidRPr="0083678C">
        <w:rPr>
          <w:rFonts w:ascii="Book Antiqua" w:hAnsi="Book Antiqua" w:cs="Times New Roman"/>
          <w:color w:val="000000" w:themeColor="text1"/>
          <w:sz w:val="24"/>
          <w:szCs w:val="24"/>
        </w:rPr>
        <w:t xml:space="preserve">A recent cohort study that included 573 Japanese patients who underwent follow-up endoscopy after successful </w:t>
      </w:r>
      <w:r w:rsidR="00850B83" w:rsidRPr="0083678C">
        <w:rPr>
          <w:rFonts w:ascii="Book Antiqua" w:hAnsi="Book Antiqua" w:cs="Times New Roman"/>
          <w:i/>
          <w:color w:val="000000" w:themeColor="text1"/>
          <w:sz w:val="24"/>
          <w:szCs w:val="24"/>
        </w:rPr>
        <w:t>H. pylori</w:t>
      </w:r>
      <w:r w:rsidR="00850B83" w:rsidRPr="0083678C">
        <w:rPr>
          <w:rFonts w:ascii="Book Antiqua" w:hAnsi="Book Antiqua" w:cs="Times New Roman"/>
          <w:color w:val="000000" w:themeColor="text1"/>
          <w:sz w:val="24"/>
          <w:szCs w:val="24"/>
        </w:rPr>
        <w:t xml:space="preserve"> eradication therapy found that the cumulative 5-year incidence of GC was 0.7%, 1.9%, and 10% in patients with the no/mild, moderate, and severe EGA, respectively</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34</w:t>
      </w:r>
      <w:r w:rsidR="00DD508B" w:rsidRPr="0083678C">
        <w:rPr>
          <w:rFonts w:ascii="Book Antiqua" w:hAnsi="Book Antiqua" w:cs="Times New Roman"/>
          <w:color w:val="000000" w:themeColor="text1"/>
          <w:sz w:val="24"/>
          <w:szCs w:val="24"/>
          <w:vertAlign w:val="superscript"/>
        </w:rPr>
        <w:t>]</w:t>
      </w:r>
      <w:r w:rsidR="00964E76" w:rsidRPr="0083678C">
        <w:rPr>
          <w:rFonts w:ascii="Book Antiqua" w:hAnsi="Book Antiqua" w:cs="Times New Roman"/>
          <w:color w:val="000000" w:themeColor="text1"/>
          <w:sz w:val="24"/>
          <w:szCs w:val="24"/>
        </w:rPr>
        <w:t>.</w:t>
      </w:r>
      <w:r w:rsidR="00820B49" w:rsidRPr="0083678C">
        <w:rPr>
          <w:rFonts w:ascii="Book Antiqua" w:hAnsi="Book Antiqua" w:cs="Times New Roman"/>
          <w:color w:val="000000" w:themeColor="text1"/>
          <w:sz w:val="24"/>
          <w:szCs w:val="24"/>
        </w:rPr>
        <w:t xml:space="preserve"> </w:t>
      </w:r>
      <w:r w:rsidR="00850B83" w:rsidRPr="0083678C">
        <w:rPr>
          <w:rFonts w:ascii="Book Antiqua" w:hAnsi="Book Antiqua" w:cs="Times New Roman"/>
          <w:color w:val="000000" w:themeColor="text1"/>
          <w:sz w:val="24"/>
          <w:szCs w:val="24"/>
        </w:rPr>
        <w:t xml:space="preserve">Based on the current evidence, the Kyoto global consensus on gastritis suggested that EGA assessment can </w:t>
      </w:r>
      <w:r w:rsidR="00850B83" w:rsidRPr="0083678C">
        <w:rPr>
          <w:rFonts w:ascii="Book Antiqua" w:hAnsi="Book Antiqua" w:cs="Times New Roman"/>
          <w:color w:val="000000" w:themeColor="text1"/>
          <w:sz w:val="24"/>
          <w:szCs w:val="24"/>
        </w:rPr>
        <w:lastRenderedPageBreak/>
        <w:t>be used initially in regions with proven expertise in EGA assessment; however, histological conﬁrmation is still recommended</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10</w:t>
      </w:r>
      <w:r w:rsidR="00DD508B" w:rsidRPr="0083678C">
        <w:rPr>
          <w:rFonts w:ascii="Book Antiqua" w:hAnsi="Book Antiqua" w:cs="Times New Roman"/>
          <w:color w:val="000000" w:themeColor="text1"/>
          <w:sz w:val="24"/>
          <w:szCs w:val="24"/>
          <w:vertAlign w:val="superscript"/>
        </w:rPr>
        <w:t>]</w:t>
      </w:r>
      <w:r w:rsidR="00964E76" w:rsidRPr="0083678C">
        <w:rPr>
          <w:rFonts w:ascii="Book Antiqua" w:hAnsi="Book Antiqua" w:cs="Times New Roman"/>
          <w:color w:val="000000" w:themeColor="text1"/>
          <w:sz w:val="24"/>
          <w:szCs w:val="24"/>
        </w:rPr>
        <w:t>.</w:t>
      </w:r>
    </w:p>
    <w:p w:rsidR="0078420E" w:rsidRPr="0083678C" w:rsidRDefault="00A471EC" w:rsidP="00590380">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GIM: The endoscopic diagnosis of GIM by standard endoscopy is also unreliable even in the hands of experienced endoscopists. A study in Korea reported that the sensitivity and specificity of endoscopy for the diagnosis of GIM were 24.0% and 91.9%, respectively for the antrum; 24.2% and 88.0%, respectively for the body</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47</w:t>
      </w:r>
      <w:r w:rsidR="00DD508B" w:rsidRPr="0083678C">
        <w:rPr>
          <w:rFonts w:ascii="Book Antiqua" w:hAnsi="Book Antiqua" w:cs="Times New Roman"/>
          <w:color w:val="000000" w:themeColor="text1"/>
          <w:sz w:val="24"/>
          <w:szCs w:val="24"/>
          <w:vertAlign w:val="superscript"/>
        </w:rPr>
        <w:t>]</w:t>
      </w:r>
      <w:r w:rsidR="00964E76" w:rsidRPr="0083678C">
        <w:rPr>
          <w:rFonts w:ascii="Book Antiqua" w:hAnsi="Book Antiqua" w:cs="Times New Roman"/>
          <w:color w:val="000000" w:themeColor="text1"/>
          <w:sz w:val="24"/>
          <w:szCs w:val="24"/>
        </w:rPr>
        <w:t>.</w:t>
      </w:r>
      <w:r w:rsidR="0078420E"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A another study in Greece reported that the sensitivity and specificity of endoscopy for the diagnosis of GIM and LGD were 74.6% and 94%, respectively</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48</w:t>
      </w:r>
      <w:r w:rsidR="00DD508B" w:rsidRPr="0083678C">
        <w:rPr>
          <w:rFonts w:ascii="Book Antiqua" w:hAnsi="Book Antiqua" w:cs="Times New Roman"/>
          <w:color w:val="000000" w:themeColor="text1"/>
          <w:sz w:val="24"/>
          <w:szCs w:val="24"/>
          <w:vertAlign w:val="superscript"/>
        </w:rPr>
        <w:t>]</w:t>
      </w:r>
      <w:r w:rsidR="00964E76" w:rsidRPr="0083678C">
        <w:rPr>
          <w:rFonts w:ascii="Book Antiqua" w:hAnsi="Book Antiqua" w:cs="Times New Roman"/>
          <w:color w:val="000000" w:themeColor="text1"/>
          <w:sz w:val="24"/>
          <w:szCs w:val="24"/>
        </w:rPr>
        <w:t>.</w:t>
      </w:r>
    </w:p>
    <w:p w:rsidR="0078420E" w:rsidRPr="0083678C" w:rsidRDefault="00B93253" w:rsidP="00590380">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shd w:val="clear" w:color="auto" w:fill="FFFFFF"/>
        </w:rPr>
        <w:t xml:space="preserve">Gastric dysplasia: </w:t>
      </w:r>
      <w:r w:rsidRPr="0083678C">
        <w:rPr>
          <w:rFonts w:ascii="Book Antiqua" w:hAnsi="Book Antiqua" w:cs="Times New Roman"/>
          <w:color w:val="000000" w:themeColor="text1"/>
          <w:sz w:val="24"/>
          <w:szCs w:val="24"/>
        </w:rPr>
        <w:t>The endoscopic diagnosis of gastric dysplasia by endoscopy is even more unreliable, especially for LGD. In a Finnish study that included a series of 101 patients with histologically diagnosed gastric dysplasia graded into three categories (mild, moderate, or severe), all severe dysplastic lesions were detected in visible lesions but three (22%) moderate dysplastic lesions and 57 (68%) mild dysplastic lesions were endoscopically invisible and were only detected in random biopsy specimens</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42</w:t>
      </w:r>
      <w:r w:rsidR="00DD508B" w:rsidRPr="0083678C">
        <w:rPr>
          <w:rFonts w:ascii="Book Antiqua" w:hAnsi="Book Antiqua" w:cs="Times New Roman"/>
          <w:color w:val="000000" w:themeColor="text1"/>
          <w:sz w:val="24"/>
          <w:szCs w:val="24"/>
          <w:vertAlign w:val="superscript"/>
        </w:rPr>
        <w:t>]</w:t>
      </w:r>
      <w:r w:rsidR="00964E76" w:rsidRPr="0083678C">
        <w:rPr>
          <w:rFonts w:ascii="Book Antiqua" w:hAnsi="Book Antiqua" w:cs="Times New Roman"/>
          <w:color w:val="000000" w:themeColor="text1"/>
          <w:sz w:val="24"/>
          <w:szCs w:val="24"/>
        </w:rPr>
        <w:t>.</w:t>
      </w:r>
      <w:r w:rsidR="00535DBB"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Our previous study of 280 dyspeptic patients in Vietnam identified LGD in 7 (2.5%) patients and all of cases, these lesions were endoscopically invisible</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22</w:t>
      </w:r>
      <w:r w:rsidR="00DD508B" w:rsidRPr="0083678C">
        <w:rPr>
          <w:rFonts w:ascii="Book Antiqua" w:hAnsi="Book Antiqua" w:cs="Times New Roman"/>
          <w:color w:val="000000" w:themeColor="text1"/>
          <w:sz w:val="24"/>
          <w:szCs w:val="24"/>
          <w:vertAlign w:val="superscript"/>
        </w:rPr>
        <w:t>]</w:t>
      </w:r>
      <w:r w:rsidR="00575B9F" w:rsidRPr="0083678C">
        <w:rPr>
          <w:rFonts w:ascii="Book Antiqua" w:hAnsi="Book Antiqua" w:cs="Times New Roman"/>
          <w:color w:val="000000" w:themeColor="text1"/>
          <w:sz w:val="24"/>
          <w:szCs w:val="24"/>
        </w:rPr>
        <w:t>.</w:t>
      </w:r>
    </w:p>
    <w:p w:rsidR="00590380" w:rsidRPr="0083678C" w:rsidRDefault="00590380" w:rsidP="00590380">
      <w:pPr>
        <w:adjustRightInd w:val="0"/>
        <w:snapToGrid w:val="0"/>
        <w:spacing w:after="0" w:line="360" w:lineRule="auto"/>
        <w:ind w:firstLineChars="100" w:firstLine="240"/>
        <w:jc w:val="both"/>
        <w:rPr>
          <w:rFonts w:ascii="Book Antiqua" w:hAnsi="Book Antiqua" w:cs="Times New Roman"/>
          <w:color w:val="000000" w:themeColor="text1"/>
          <w:sz w:val="24"/>
          <w:szCs w:val="24"/>
        </w:rPr>
      </w:pPr>
    </w:p>
    <w:p w:rsidR="00F83E4B" w:rsidRPr="0083678C" w:rsidRDefault="00590380" w:rsidP="00590380">
      <w:pPr>
        <w:adjustRightInd w:val="0"/>
        <w:snapToGrid w:val="0"/>
        <w:spacing w:after="0" w:line="360" w:lineRule="auto"/>
        <w:jc w:val="both"/>
        <w:rPr>
          <w:rFonts w:ascii="Book Antiqua" w:hAnsi="Book Antiqua" w:cs="Times New Roman"/>
          <w:b/>
          <w:color w:val="000000" w:themeColor="text1"/>
          <w:sz w:val="24"/>
          <w:szCs w:val="24"/>
          <w:shd w:val="clear" w:color="auto" w:fill="FFFFFF"/>
        </w:rPr>
      </w:pPr>
      <w:r w:rsidRPr="0083678C">
        <w:rPr>
          <w:rFonts w:ascii="Book Antiqua" w:hAnsi="Book Antiqua" w:cs="Times New Roman"/>
          <w:b/>
          <w:color w:val="000000" w:themeColor="text1"/>
          <w:sz w:val="24"/>
          <w:szCs w:val="24"/>
          <w:shd w:val="clear" w:color="auto" w:fill="FFFFFF"/>
        </w:rPr>
        <w:t>IEE</w:t>
      </w:r>
      <w:r w:rsidR="00F83E4B" w:rsidRPr="0083678C">
        <w:rPr>
          <w:rFonts w:ascii="Book Antiqua" w:hAnsi="Book Antiqua" w:cs="Times New Roman"/>
          <w:b/>
          <w:color w:val="000000" w:themeColor="text1"/>
          <w:sz w:val="24"/>
          <w:szCs w:val="24"/>
          <w:shd w:val="clear" w:color="auto" w:fill="FFFFFF"/>
        </w:rPr>
        <w:t xml:space="preserve"> and magnifying </w:t>
      </w:r>
      <w:r w:rsidR="0072652A" w:rsidRPr="0083678C">
        <w:rPr>
          <w:rFonts w:ascii="Book Antiqua" w:hAnsi="Book Antiqua" w:cs="Times New Roman"/>
          <w:b/>
          <w:color w:val="000000" w:themeColor="text1"/>
          <w:sz w:val="24"/>
          <w:szCs w:val="24"/>
          <w:shd w:val="clear" w:color="auto" w:fill="FFFFFF"/>
        </w:rPr>
        <w:t>endoscopy</w:t>
      </w:r>
      <w:r w:rsidRPr="0083678C">
        <w:rPr>
          <w:rFonts w:ascii="Book Antiqua" w:hAnsi="Book Antiqua" w:cs="Times New Roman"/>
          <w:b/>
          <w:color w:val="000000" w:themeColor="text1"/>
          <w:sz w:val="24"/>
          <w:szCs w:val="24"/>
          <w:shd w:val="clear" w:color="auto" w:fill="FFFFFF"/>
        </w:rPr>
        <w:t xml:space="preserve">: </w:t>
      </w:r>
      <w:r w:rsidR="00954CF1" w:rsidRPr="0083678C">
        <w:rPr>
          <w:rFonts w:ascii="Book Antiqua" w:hAnsi="Book Antiqua" w:cs="Times New Roman"/>
          <w:color w:val="000000" w:themeColor="text1"/>
          <w:sz w:val="24"/>
          <w:szCs w:val="24"/>
        </w:rPr>
        <w:t>Several studies have shown the significantly higher accuracy of IEE and magnification endoscopy in the diagnosis of gastric atrophy, GIM, dysplasia and GC in comparison to WLE. A multicenter prospective randomized study in the Asia-Paciﬁc region was conducted to compare the narrow-band imaging (NBI) and high-definition WLE (HD-WLE) in the detection of GIM</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49</w:t>
      </w:r>
      <w:r w:rsidR="00DD508B" w:rsidRPr="0083678C">
        <w:rPr>
          <w:rFonts w:ascii="Book Antiqua" w:hAnsi="Book Antiqua" w:cs="Times New Roman"/>
          <w:color w:val="000000" w:themeColor="text1"/>
          <w:sz w:val="24"/>
          <w:szCs w:val="24"/>
          <w:vertAlign w:val="superscript"/>
        </w:rPr>
        <w:t>]</w:t>
      </w:r>
      <w:r w:rsidR="0078420E" w:rsidRPr="0083678C">
        <w:rPr>
          <w:rFonts w:ascii="Book Antiqua" w:hAnsi="Book Antiqua" w:cs="Times New Roman"/>
          <w:color w:val="000000" w:themeColor="text1"/>
          <w:sz w:val="24"/>
          <w:szCs w:val="24"/>
        </w:rPr>
        <w:t>. This study found that a significantly higher proportion of patients with GIM was detected by NBI compared w</w:t>
      </w:r>
      <w:r w:rsidR="00C11D56" w:rsidRPr="0083678C">
        <w:rPr>
          <w:rFonts w:ascii="Book Antiqua" w:hAnsi="Book Antiqua" w:cs="Times New Roman"/>
          <w:color w:val="000000" w:themeColor="text1"/>
          <w:sz w:val="24"/>
          <w:szCs w:val="24"/>
        </w:rPr>
        <w:t xml:space="preserve">ith HD-WLE (17.7% </w:t>
      </w:r>
      <w:r w:rsidRPr="0083678C">
        <w:rPr>
          <w:rFonts w:ascii="Book Antiqua" w:hAnsi="Book Antiqua" w:cs="Times New Roman"/>
          <w:i/>
          <w:iCs/>
          <w:color w:val="000000" w:themeColor="text1"/>
          <w:sz w:val="24"/>
          <w:szCs w:val="24"/>
        </w:rPr>
        <w:t>vs</w:t>
      </w:r>
      <w:r w:rsidR="00C11D56" w:rsidRPr="0083678C">
        <w:rPr>
          <w:rFonts w:ascii="Book Antiqua" w:hAnsi="Book Antiqua" w:cs="Times New Roman"/>
          <w:color w:val="000000" w:themeColor="text1"/>
          <w:sz w:val="24"/>
          <w:szCs w:val="24"/>
        </w:rPr>
        <w:t xml:space="preserve"> 7.7%, </w:t>
      </w:r>
      <w:r w:rsidR="003F5776" w:rsidRPr="0083678C">
        <w:rPr>
          <w:rFonts w:ascii="Book Antiqua" w:hAnsi="Book Antiqua" w:cs="Times New Roman"/>
          <w:i/>
          <w:iCs/>
          <w:color w:val="000000" w:themeColor="text1"/>
          <w:sz w:val="24"/>
          <w:szCs w:val="24"/>
        </w:rPr>
        <w:t>P</w:t>
      </w:r>
      <w:r w:rsidR="003F5776" w:rsidRPr="0083678C">
        <w:rPr>
          <w:rFonts w:ascii="Book Antiqua" w:hAnsi="Book Antiqua" w:cs="Times New Roman"/>
          <w:color w:val="000000" w:themeColor="text1"/>
          <w:sz w:val="24"/>
          <w:szCs w:val="24"/>
        </w:rPr>
        <w:t xml:space="preserve"> &lt; </w:t>
      </w:r>
      <w:r w:rsidR="0078420E" w:rsidRPr="0083678C">
        <w:rPr>
          <w:rFonts w:ascii="Book Antiqua" w:hAnsi="Book Antiqua" w:cs="Times New Roman"/>
          <w:color w:val="000000" w:themeColor="text1"/>
          <w:sz w:val="24"/>
          <w:szCs w:val="24"/>
        </w:rPr>
        <w:t>0.001)</w:t>
      </w:r>
      <w:r w:rsidR="00F83E4B" w:rsidRPr="0083678C">
        <w:rPr>
          <w:rFonts w:ascii="Book Antiqua" w:hAnsi="Book Antiqua" w:cs="Times New Roman"/>
          <w:color w:val="000000" w:themeColor="text1"/>
          <w:sz w:val="24"/>
          <w:szCs w:val="24"/>
        </w:rPr>
        <w:t xml:space="preserve">. </w:t>
      </w:r>
      <w:r w:rsidR="0078420E" w:rsidRPr="0083678C">
        <w:rPr>
          <w:rFonts w:ascii="Book Antiqua" w:hAnsi="Book Antiqua" w:cs="Times New Roman"/>
          <w:color w:val="000000" w:themeColor="text1"/>
          <w:sz w:val="24"/>
          <w:szCs w:val="24"/>
        </w:rPr>
        <w:t>Similarly, a recent prospective bli</w:t>
      </w:r>
      <w:r w:rsidR="006A5E24" w:rsidRPr="0083678C">
        <w:rPr>
          <w:rFonts w:ascii="Book Antiqua" w:hAnsi="Book Antiqua" w:cs="Times New Roman"/>
          <w:color w:val="000000" w:themeColor="text1"/>
          <w:sz w:val="24"/>
          <w:szCs w:val="24"/>
        </w:rPr>
        <w:t xml:space="preserve">nded trial in the United States </w:t>
      </w:r>
      <w:r w:rsidR="0078420E" w:rsidRPr="0083678C">
        <w:rPr>
          <w:rFonts w:ascii="Book Antiqua" w:hAnsi="Book Antiqua" w:cs="Times New Roman"/>
          <w:color w:val="000000" w:themeColor="text1"/>
          <w:sz w:val="24"/>
          <w:szCs w:val="24"/>
        </w:rPr>
        <w:t>reported higher proportions of patients with GIM were detected by NBI (</w:t>
      </w:r>
      <w:r w:rsidR="008B7564" w:rsidRPr="0083678C">
        <w:rPr>
          <w:rFonts w:ascii="Book Antiqua" w:hAnsi="Book Antiqua" w:cs="Times New Roman"/>
          <w:color w:val="000000" w:themeColor="text1"/>
          <w:sz w:val="24"/>
          <w:szCs w:val="24"/>
        </w:rPr>
        <w:t>65%) and mapping (76%)</w:t>
      </w:r>
      <w:r w:rsidR="008B7564" w:rsidRPr="0083678C">
        <w:rPr>
          <w:rFonts w:ascii="Book Antiqua" w:hAnsi="Book Antiqua" w:cs="Times New Roman"/>
          <w:i/>
          <w:iCs/>
          <w:color w:val="000000" w:themeColor="text1"/>
          <w:sz w:val="24"/>
          <w:szCs w:val="24"/>
        </w:rPr>
        <w:t xml:space="preserve"> </w:t>
      </w:r>
      <w:r w:rsidRPr="0083678C">
        <w:rPr>
          <w:rFonts w:ascii="Book Antiqua" w:hAnsi="Book Antiqua" w:cs="Times New Roman"/>
          <w:i/>
          <w:iCs/>
          <w:color w:val="000000" w:themeColor="text1"/>
          <w:sz w:val="24"/>
          <w:szCs w:val="24"/>
        </w:rPr>
        <w:t>vs</w:t>
      </w:r>
      <w:r w:rsidR="008B7564" w:rsidRPr="0083678C">
        <w:rPr>
          <w:rFonts w:ascii="Book Antiqua" w:hAnsi="Book Antiqua" w:cs="Times New Roman"/>
          <w:i/>
          <w:iCs/>
          <w:color w:val="000000" w:themeColor="text1"/>
          <w:sz w:val="24"/>
          <w:szCs w:val="24"/>
        </w:rPr>
        <w:t xml:space="preserve"> </w:t>
      </w:r>
      <w:r w:rsidR="008B7564" w:rsidRPr="0083678C">
        <w:rPr>
          <w:rFonts w:ascii="Book Antiqua" w:hAnsi="Book Antiqua" w:cs="Times New Roman"/>
          <w:color w:val="000000" w:themeColor="text1"/>
          <w:sz w:val="24"/>
          <w:szCs w:val="24"/>
        </w:rPr>
        <w:t>HD-WL (29%</w:t>
      </w:r>
      <w:r w:rsidR="006A5E24" w:rsidRPr="0083678C">
        <w:rPr>
          <w:rFonts w:ascii="Book Antiqua" w:hAnsi="Book Antiqua" w:cs="Times New Roman"/>
          <w:color w:val="000000" w:themeColor="text1"/>
          <w:sz w:val="24"/>
          <w:szCs w:val="24"/>
        </w:rPr>
        <w:t>) (</w:t>
      </w:r>
      <w:r w:rsidR="003F5776" w:rsidRPr="0083678C">
        <w:rPr>
          <w:rFonts w:ascii="Book Antiqua" w:hAnsi="Book Antiqua" w:cs="Times New Roman"/>
          <w:i/>
          <w:iCs/>
          <w:color w:val="000000" w:themeColor="text1"/>
          <w:sz w:val="24"/>
          <w:szCs w:val="24"/>
        </w:rPr>
        <w:t>P</w:t>
      </w:r>
      <w:r w:rsidR="003F5776" w:rsidRPr="0083678C">
        <w:rPr>
          <w:rFonts w:ascii="Book Antiqua" w:hAnsi="Book Antiqua" w:cs="Times New Roman"/>
          <w:color w:val="000000" w:themeColor="text1"/>
          <w:sz w:val="24"/>
          <w:szCs w:val="24"/>
        </w:rPr>
        <w:t xml:space="preserve"> &lt; </w:t>
      </w:r>
      <w:r w:rsidR="00E309EE" w:rsidRPr="0083678C">
        <w:rPr>
          <w:rFonts w:ascii="Book Antiqua" w:hAnsi="Book Antiqua" w:cs="Times New Roman"/>
          <w:color w:val="000000" w:themeColor="text1"/>
          <w:sz w:val="24"/>
          <w:szCs w:val="24"/>
        </w:rPr>
        <w:t>0</w:t>
      </w:r>
      <w:r w:rsidR="0078420E" w:rsidRPr="0083678C">
        <w:rPr>
          <w:rFonts w:ascii="Book Antiqua" w:hAnsi="Book Antiqua" w:cs="Times New Roman"/>
          <w:color w:val="000000" w:themeColor="text1"/>
          <w:sz w:val="24"/>
          <w:szCs w:val="24"/>
        </w:rPr>
        <w:t>.005 for both comparisons). In addition, there were also higher proportions of sites wit</w:t>
      </w:r>
      <w:r w:rsidR="008B7564" w:rsidRPr="0083678C">
        <w:rPr>
          <w:rFonts w:ascii="Book Antiqua" w:hAnsi="Book Antiqua" w:cs="Times New Roman"/>
          <w:color w:val="000000" w:themeColor="text1"/>
          <w:sz w:val="24"/>
          <w:szCs w:val="24"/>
        </w:rPr>
        <w:t>h GIM detected with NBI (53%</w:t>
      </w:r>
      <w:r w:rsidR="0078420E" w:rsidRPr="0083678C">
        <w:rPr>
          <w:rFonts w:ascii="Book Antiqua" w:hAnsi="Book Antiqua" w:cs="Times New Roman"/>
          <w:color w:val="000000" w:themeColor="text1"/>
          <w:sz w:val="24"/>
          <w:szCs w:val="24"/>
        </w:rPr>
        <w:t>) and mapping biopsies (</w:t>
      </w:r>
      <w:r w:rsidR="008B7564" w:rsidRPr="0083678C">
        <w:rPr>
          <w:rFonts w:ascii="Book Antiqua" w:hAnsi="Book Antiqua" w:cs="Times New Roman"/>
          <w:color w:val="000000" w:themeColor="text1"/>
          <w:sz w:val="24"/>
          <w:szCs w:val="24"/>
        </w:rPr>
        <w:t>67%) than HD-WL (28%</w:t>
      </w:r>
      <w:r w:rsidR="00474BF8" w:rsidRPr="0083678C">
        <w:rPr>
          <w:rFonts w:ascii="Book Antiqua" w:hAnsi="Book Antiqua" w:cs="Times New Roman"/>
          <w:color w:val="000000" w:themeColor="text1"/>
          <w:sz w:val="24"/>
          <w:szCs w:val="24"/>
        </w:rPr>
        <w:t>) (</w:t>
      </w:r>
      <w:r w:rsidR="003F5776" w:rsidRPr="0083678C">
        <w:rPr>
          <w:rFonts w:ascii="Book Antiqua" w:hAnsi="Book Antiqua" w:cs="Times New Roman"/>
          <w:i/>
          <w:iCs/>
          <w:color w:val="000000" w:themeColor="text1"/>
          <w:sz w:val="24"/>
          <w:szCs w:val="24"/>
        </w:rPr>
        <w:t>P</w:t>
      </w:r>
      <w:r w:rsidR="003F5776" w:rsidRPr="0083678C">
        <w:rPr>
          <w:rFonts w:ascii="Book Antiqua" w:hAnsi="Book Antiqua" w:cs="Times New Roman"/>
          <w:color w:val="000000" w:themeColor="text1"/>
          <w:sz w:val="24"/>
          <w:szCs w:val="24"/>
        </w:rPr>
        <w:t xml:space="preserve"> &lt; </w:t>
      </w:r>
      <w:r w:rsidR="00E309EE" w:rsidRPr="0083678C">
        <w:rPr>
          <w:rFonts w:ascii="Book Antiqua" w:hAnsi="Book Antiqua" w:cs="Times New Roman"/>
          <w:color w:val="000000" w:themeColor="text1"/>
          <w:sz w:val="24"/>
          <w:szCs w:val="24"/>
        </w:rPr>
        <w:t>0</w:t>
      </w:r>
      <w:r w:rsidR="0078420E" w:rsidRPr="0083678C">
        <w:rPr>
          <w:rFonts w:ascii="Book Antiqua" w:hAnsi="Book Antiqua" w:cs="Times New Roman"/>
          <w:color w:val="000000" w:themeColor="text1"/>
          <w:sz w:val="24"/>
          <w:szCs w:val="24"/>
        </w:rPr>
        <w:t>.005 for both comparisons).</w:t>
      </w:r>
      <w:r w:rsidR="00F83E4B" w:rsidRPr="0083678C">
        <w:rPr>
          <w:rFonts w:ascii="Book Antiqua" w:hAnsi="Book Antiqua" w:cs="Times New Roman"/>
          <w:color w:val="000000" w:themeColor="text1"/>
          <w:sz w:val="24"/>
          <w:szCs w:val="24"/>
        </w:rPr>
        <w:t xml:space="preserve"> A </w:t>
      </w:r>
      <w:r w:rsidR="00F83E4B" w:rsidRPr="0083678C">
        <w:rPr>
          <w:rFonts w:ascii="Book Antiqua" w:hAnsi="Book Antiqua" w:cs="Times New Roman"/>
          <w:color w:val="000000" w:themeColor="text1"/>
          <w:sz w:val="24"/>
          <w:szCs w:val="24"/>
        </w:rPr>
        <w:lastRenderedPageBreak/>
        <w:t>r</w:t>
      </w:r>
      <w:r w:rsidR="0078420E" w:rsidRPr="0083678C">
        <w:rPr>
          <w:rFonts w:ascii="Book Antiqua" w:hAnsi="Book Antiqua" w:cs="Times New Roman"/>
          <w:color w:val="000000" w:themeColor="text1"/>
          <w:sz w:val="24"/>
          <w:szCs w:val="24"/>
        </w:rPr>
        <w:t xml:space="preserve">ecent consensus </w:t>
      </w:r>
      <w:r w:rsidR="00F83E4B" w:rsidRPr="0083678C">
        <w:rPr>
          <w:rFonts w:ascii="Book Antiqua" w:hAnsi="Book Antiqua" w:cs="Times New Roman"/>
          <w:color w:val="000000" w:themeColor="text1"/>
          <w:sz w:val="24"/>
          <w:szCs w:val="24"/>
        </w:rPr>
        <w:t xml:space="preserve">developed by expert endoscopists in Asia </w:t>
      </w:r>
      <w:r w:rsidR="0078420E" w:rsidRPr="0083678C">
        <w:rPr>
          <w:rFonts w:ascii="Book Antiqua" w:hAnsi="Book Antiqua" w:cs="Times New Roman"/>
          <w:color w:val="000000" w:themeColor="text1"/>
          <w:sz w:val="24"/>
          <w:szCs w:val="24"/>
        </w:rPr>
        <w:t xml:space="preserve">strongly recommends to use IEE in addition to WLE to improve the detection rate of </w:t>
      </w:r>
      <w:r w:rsidR="00474BF8" w:rsidRPr="0083678C">
        <w:rPr>
          <w:rFonts w:ascii="Book Antiqua" w:hAnsi="Book Antiqua" w:cs="Times New Roman"/>
          <w:color w:val="000000" w:themeColor="text1"/>
          <w:sz w:val="24"/>
          <w:szCs w:val="24"/>
        </w:rPr>
        <w:t>precancerous gastric lesions</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50</w:t>
      </w:r>
      <w:r w:rsidR="00DD508B" w:rsidRPr="0083678C">
        <w:rPr>
          <w:rFonts w:ascii="Book Antiqua" w:hAnsi="Book Antiqua" w:cs="Times New Roman"/>
          <w:color w:val="000000" w:themeColor="text1"/>
          <w:sz w:val="24"/>
          <w:szCs w:val="24"/>
          <w:vertAlign w:val="superscript"/>
        </w:rPr>
        <w:t>]</w:t>
      </w:r>
      <w:r w:rsidR="00964E76" w:rsidRPr="0083678C">
        <w:rPr>
          <w:rFonts w:ascii="Book Antiqua" w:hAnsi="Book Antiqua" w:cs="Times New Roman"/>
          <w:color w:val="000000" w:themeColor="text1"/>
          <w:sz w:val="24"/>
          <w:szCs w:val="24"/>
        </w:rPr>
        <w:t>.</w:t>
      </w:r>
    </w:p>
    <w:p w:rsidR="0078420E" w:rsidRPr="0083678C" w:rsidRDefault="0078420E" w:rsidP="00590380">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The development of NBI magnifying endoscopy (NBI-ME) has helped endoscopist</w:t>
      </w:r>
      <w:r w:rsidR="0072652A" w:rsidRPr="0083678C">
        <w:rPr>
          <w:rFonts w:ascii="Book Antiqua" w:hAnsi="Book Antiqua" w:cs="Times New Roman"/>
          <w:color w:val="000000" w:themeColor="text1"/>
          <w:sz w:val="24"/>
          <w:szCs w:val="24"/>
        </w:rPr>
        <w:t>s</w:t>
      </w:r>
      <w:r w:rsidRPr="0083678C">
        <w:rPr>
          <w:rFonts w:ascii="Book Antiqua" w:hAnsi="Book Antiqua" w:cs="Times New Roman"/>
          <w:color w:val="000000" w:themeColor="text1"/>
          <w:sz w:val="24"/>
          <w:szCs w:val="24"/>
        </w:rPr>
        <w:t xml:space="preserve"> to better observe </w:t>
      </w:r>
      <w:r w:rsidR="00474BF8" w:rsidRPr="0083678C">
        <w:rPr>
          <w:rFonts w:ascii="Book Antiqua" w:hAnsi="Book Antiqua" w:cs="Times New Roman"/>
          <w:color w:val="000000" w:themeColor="text1"/>
          <w:sz w:val="24"/>
          <w:szCs w:val="24"/>
        </w:rPr>
        <w:t xml:space="preserve">the </w:t>
      </w:r>
      <w:r w:rsidRPr="0083678C">
        <w:rPr>
          <w:rFonts w:ascii="Book Antiqua" w:hAnsi="Book Antiqua" w:cs="Times New Roman"/>
          <w:color w:val="000000" w:themeColor="text1"/>
          <w:sz w:val="24"/>
          <w:szCs w:val="24"/>
        </w:rPr>
        <w:t>gastric mucosa endoscopically. The Light Blue Crest (LBC) sign, defined as a fine, blue-white line on the crests of the epithelial surface/gyri, was found to correlate wi</w:t>
      </w:r>
      <w:r w:rsidR="0048090A" w:rsidRPr="0083678C">
        <w:rPr>
          <w:rFonts w:ascii="Book Antiqua" w:hAnsi="Book Antiqua" w:cs="Times New Roman"/>
          <w:color w:val="000000" w:themeColor="text1"/>
          <w:sz w:val="24"/>
          <w:szCs w:val="24"/>
        </w:rPr>
        <w:t>th histological evidence of GIM</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51</w:t>
      </w:r>
      <w:r w:rsidR="00DD508B" w:rsidRPr="0083678C">
        <w:rPr>
          <w:rFonts w:ascii="Book Antiqua" w:hAnsi="Book Antiqua" w:cs="Times New Roman"/>
          <w:color w:val="000000" w:themeColor="text1"/>
          <w:sz w:val="24"/>
          <w:szCs w:val="24"/>
          <w:vertAlign w:val="superscript"/>
        </w:rPr>
        <w:t>]</w:t>
      </w:r>
      <w:r w:rsidR="0048090A"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 xml:space="preserve"> A recent meta-analysis on the diagnostic yield of LBC in GIM reported </w:t>
      </w:r>
      <w:r w:rsidR="0072652A" w:rsidRPr="0083678C">
        <w:rPr>
          <w:rFonts w:ascii="Book Antiqua" w:hAnsi="Book Antiqua" w:cs="Times New Roman"/>
          <w:color w:val="000000" w:themeColor="text1"/>
          <w:sz w:val="24"/>
          <w:szCs w:val="24"/>
        </w:rPr>
        <w:t xml:space="preserve">that the </w:t>
      </w:r>
      <w:r w:rsidRPr="0083678C">
        <w:rPr>
          <w:rFonts w:ascii="Book Antiqua" w:hAnsi="Book Antiqua" w:cs="Times New Roman"/>
          <w:color w:val="000000" w:themeColor="text1"/>
          <w:sz w:val="24"/>
          <w:szCs w:val="24"/>
        </w:rPr>
        <w:t xml:space="preserve">sensitivity and specificity value of </w:t>
      </w:r>
      <w:r w:rsidR="0072652A" w:rsidRPr="0083678C">
        <w:rPr>
          <w:rFonts w:ascii="Book Antiqua" w:hAnsi="Book Antiqua" w:cs="Times New Roman"/>
          <w:color w:val="000000" w:themeColor="text1"/>
          <w:sz w:val="24"/>
          <w:szCs w:val="24"/>
        </w:rPr>
        <w:t xml:space="preserve">this finding were </w:t>
      </w:r>
      <w:r w:rsidRPr="0083678C">
        <w:rPr>
          <w:rFonts w:ascii="Book Antiqua" w:hAnsi="Book Antiqua" w:cs="Times New Roman"/>
          <w:color w:val="000000" w:themeColor="text1"/>
          <w:sz w:val="24"/>
          <w:szCs w:val="24"/>
        </w:rPr>
        <w:t>0.90 (</w:t>
      </w:r>
      <w:r w:rsidR="00590380" w:rsidRPr="0083678C">
        <w:rPr>
          <w:rFonts w:ascii="Book Antiqua" w:hAnsi="Book Antiqua" w:cs="Times New Roman"/>
          <w:color w:val="000000" w:themeColor="text1"/>
          <w:sz w:val="24"/>
          <w:szCs w:val="24"/>
        </w:rPr>
        <w:t>95%CI:</w:t>
      </w:r>
      <w:r w:rsidRPr="0083678C">
        <w:rPr>
          <w:rFonts w:ascii="Book Antiqua" w:hAnsi="Book Antiqua" w:cs="Times New Roman"/>
          <w:color w:val="000000" w:themeColor="text1"/>
          <w:sz w:val="24"/>
          <w:szCs w:val="24"/>
        </w:rPr>
        <w:t xml:space="preserve"> 0.86</w:t>
      </w:r>
      <w:r w:rsidR="003F5776"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0.92) and 0.90 (</w:t>
      </w:r>
      <w:r w:rsidR="00590380" w:rsidRPr="0083678C">
        <w:rPr>
          <w:rFonts w:ascii="Book Antiqua" w:hAnsi="Book Antiqua" w:cs="Times New Roman"/>
          <w:color w:val="000000" w:themeColor="text1"/>
          <w:sz w:val="24"/>
          <w:szCs w:val="24"/>
        </w:rPr>
        <w:t>95%CI:</w:t>
      </w:r>
      <w:r w:rsidRPr="0083678C">
        <w:rPr>
          <w:rFonts w:ascii="Book Antiqua" w:hAnsi="Book Antiqua" w:cs="Times New Roman"/>
          <w:color w:val="000000" w:themeColor="text1"/>
          <w:sz w:val="24"/>
          <w:szCs w:val="24"/>
        </w:rPr>
        <w:t xml:space="preserve"> 0.86</w:t>
      </w:r>
      <w:r w:rsidR="003F5776"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0.93), respectively</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52</w:t>
      </w:r>
      <w:r w:rsidR="00DD508B" w:rsidRPr="0083678C">
        <w:rPr>
          <w:rFonts w:ascii="Book Antiqua" w:hAnsi="Book Antiqua" w:cs="Times New Roman"/>
          <w:color w:val="000000" w:themeColor="text1"/>
          <w:sz w:val="24"/>
          <w:szCs w:val="24"/>
          <w:vertAlign w:val="superscript"/>
        </w:rPr>
        <w:t>]</w:t>
      </w:r>
      <w:r w:rsidRPr="0083678C">
        <w:rPr>
          <w:rFonts w:ascii="Book Antiqua" w:hAnsi="Book Antiqua" w:cs="Times New Roman"/>
          <w:color w:val="000000" w:themeColor="text1"/>
          <w:sz w:val="24"/>
          <w:szCs w:val="24"/>
        </w:rPr>
        <w:t xml:space="preserve">. </w:t>
      </w:r>
      <w:r w:rsidR="006C2769" w:rsidRPr="0083678C">
        <w:rPr>
          <w:rFonts w:ascii="Book Antiqua" w:hAnsi="Book Antiqua" w:cs="Times New Roman"/>
          <w:color w:val="000000" w:themeColor="text1"/>
          <w:sz w:val="24"/>
          <w:szCs w:val="24"/>
        </w:rPr>
        <w:t>T</w:t>
      </w:r>
      <w:r w:rsidRPr="0083678C">
        <w:rPr>
          <w:rFonts w:ascii="Book Antiqua" w:hAnsi="Book Antiqua" w:cs="Times New Roman"/>
          <w:color w:val="000000" w:themeColor="text1"/>
          <w:sz w:val="24"/>
          <w:szCs w:val="24"/>
        </w:rPr>
        <w:t>he practicality of NBI-ME for gastritis staging</w:t>
      </w:r>
      <w:r w:rsidR="006C2769" w:rsidRPr="0083678C">
        <w:rPr>
          <w:rFonts w:ascii="Book Antiqua" w:hAnsi="Book Antiqua" w:cs="Times New Roman"/>
          <w:color w:val="000000" w:themeColor="text1"/>
          <w:sz w:val="24"/>
          <w:szCs w:val="24"/>
        </w:rPr>
        <w:t xml:space="preserve"> has been reported in Japan</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53</w:t>
      </w:r>
      <w:r w:rsidR="00DD508B" w:rsidRPr="0083678C">
        <w:rPr>
          <w:rFonts w:ascii="Book Antiqua" w:hAnsi="Book Antiqua" w:cs="Times New Roman"/>
          <w:color w:val="000000" w:themeColor="text1"/>
          <w:sz w:val="24"/>
          <w:szCs w:val="24"/>
          <w:vertAlign w:val="superscript"/>
        </w:rPr>
        <w:t>]</w:t>
      </w:r>
      <w:r w:rsidRPr="0083678C">
        <w:rPr>
          <w:rFonts w:ascii="Book Antiqua" w:hAnsi="Book Antiqua" w:cs="Times New Roman"/>
          <w:color w:val="000000" w:themeColor="text1"/>
          <w:sz w:val="24"/>
          <w:szCs w:val="24"/>
        </w:rPr>
        <w:t xml:space="preserve">. </w:t>
      </w:r>
      <w:r w:rsidR="006C2769" w:rsidRPr="0083678C">
        <w:rPr>
          <w:rFonts w:ascii="Book Antiqua" w:hAnsi="Book Antiqua" w:cs="Times New Roman"/>
          <w:color w:val="000000" w:themeColor="text1"/>
          <w:sz w:val="24"/>
          <w:szCs w:val="24"/>
        </w:rPr>
        <w:t>In this study, t</w:t>
      </w:r>
      <w:r w:rsidRPr="0083678C">
        <w:rPr>
          <w:rFonts w:ascii="Book Antiqua" w:hAnsi="Book Antiqua" w:cs="Times New Roman"/>
          <w:color w:val="000000" w:themeColor="text1"/>
          <w:sz w:val="24"/>
          <w:szCs w:val="24"/>
        </w:rPr>
        <w:t>he NBI-ME score classification was established from images obtained beforehand, and then biopsy specimens taken from the observed areas were scored according to histological findings. The NBI-ME and histolo</w:t>
      </w:r>
      <w:r w:rsidR="007A3036" w:rsidRPr="0083678C">
        <w:rPr>
          <w:rFonts w:ascii="Book Antiqua" w:hAnsi="Book Antiqua" w:cs="Times New Roman"/>
          <w:color w:val="000000" w:themeColor="text1"/>
          <w:sz w:val="24"/>
          <w:szCs w:val="24"/>
        </w:rPr>
        <w:t xml:space="preserve">gical </w:t>
      </w:r>
      <w:r w:rsidRPr="0083678C">
        <w:rPr>
          <w:rFonts w:ascii="Book Antiqua" w:hAnsi="Book Antiqua" w:cs="Times New Roman"/>
          <w:color w:val="000000" w:themeColor="text1"/>
          <w:sz w:val="24"/>
          <w:szCs w:val="24"/>
        </w:rPr>
        <w:t xml:space="preserve">stages were </w:t>
      </w:r>
      <w:r w:rsidR="0072652A" w:rsidRPr="0083678C">
        <w:rPr>
          <w:rFonts w:ascii="Book Antiqua" w:hAnsi="Book Antiqua" w:cs="Times New Roman"/>
          <w:color w:val="000000" w:themeColor="text1"/>
          <w:sz w:val="24"/>
          <w:szCs w:val="24"/>
        </w:rPr>
        <w:t>assessed</w:t>
      </w:r>
      <w:r w:rsidRPr="0083678C">
        <w:rPr>
          <w:rFonts w:ascii="Book Antiqua" w:hAnsi="Book Antiqua" w:cs="Times New Roman"/>
          <w:color w:val="000000" w:themeColor="text1"/>
          <w:sz w:val="24"/>
          <w:szCs w:val="24"/>
        </w:rPr>
        <w:t xml:space="preserve"> using a combination of scores for the antrum and corpus, and were divided into low-risk and high-risk groups. This study found that the </w:t>
      </w:r>
      <w:r w:rsidR="006C2769" w:rsidRPr="0083678C">
        <w:rPr>
          <w:rFonts w:ascii="Book Antiqua" w:hAnsi="Book Antiqua" w:cs="Times New Roman"/>
          <w:color w:val="000000" w:themeColor="text1"/>
          <w:sz w:val="24"/>
          <w:szCs w:val="24"/>
        </w:rPr>
        <w:t xml:space="preserve">agreement </w:t>
      </w:r>
      <w:r w:rsidRPr="0083678C">
        <w:rPr>
          <w:rFonts w:ascii="Book Antiqua" w:hAnsi="Book Antiqua" w:cs="Times New Roman"/>
          <w:color w:val="000000" w:themeColor="text1"/>
          <w:sz w:val="24"/>
          <w:szCs w:val="24"/>
        </w:rPr>
        <w:t xml:space="preserve">between NBI-ME and </w:t>
      </w:r>
      <w:r w:rsidR="007A3036" w:rsidRPr="0083678C">
        <w:rPr>
          <w:rFonts w:ascii="Book Antiqua" w:hAnsi="Book Antiqua" w:cs="Times New Roman"/>
          <w:color w:val="000000" w:themeColor="text1"/>
          <w:sz w:val="24"/>
          <w:szCs w:val="24"/>
        </w:rPr>
        <w:t xml:space="preserve">histological </w:t>
      </w:r>
      <w:r w:rsidRPr="0083678C">
        <w:rPr>
          <w:rFonts w:ascii="Book Antiqua" w:hAnsi="Book Antiqua" w:cs="Times New Roman"/>
          <w:color w:val="000000" w:themeColor="text1"/>
          <w:sz w:val="24"/>
          <w:szCs w:val="24"/>
        </w:rPr>
        <w:t>scores was 69.1% for the antrum and 72.7% for the corpus, and that between the high- and low-risk gro</w:t>
      </w:r>
      <w:r w:rsidR="006A5E24" w:rsidRPr="0083678C">
        <w:rPr>
          <w:rFonts w:ascii="Book Antiqua" w:hAnsi="Book Antiqua" w:cs="Times New Roman"/>
          <w:color w:val="000000" w:themeColor="text1"/>
          <w:sz w:val="24"/>
          <w:szCs w:val="24"/>
        </w:rPr>
        <w:t>ups was 89.1%. NBI-ME procedures</w:t>
      </w:r>
      <w:r w:rsidRPr="0083678C">
        <w:rPr>
          <w:rFonts w:ascii="Book Antiqua" w:hAnsi="Book Antiqua" w:cs="Times New Roman"/>
          <w:color w:val="000000" w:themeColor="text1"/>
          <w:sz w:val="24"/>
          <w:szCs w:val="24"/>
        </w:rPr>
        <w:t xml:space="preserve">, however, </w:t>
      </w:r>
      <w:r w:rsidR="006A5E24" w:rsidRPr="0083678C">
        <w:rPr>
          <w:rFonts w:ascii="Book Antiqua" w:hAnsi="Book Antiqua" w:cs="Times New Roman"/>
          <w:color w:val="000000" w:themeColor="text1"/>
          <w:sz w:val="24"/>
          <w:szCs w:val="24"/>
        </w:rPr>
        <w:t xml:space="preserve">are </w:t>
      </w:r>
      <w:r w:rsidR="00273816" w:rsidRPr="0083678C">
        <w:rPr>
          <w:rFonts w:ascii="Book Antiqua" w:hAnsi="Book Antiqua" w:cs="Times New Roman"/>
          <w:color w:val="000000" w:themeColor="text1"/>
          <w:sz w:val="24"/>
          <w:szCs w:val="24"/>
        </w:rPr>
        <w:t>generally time-consuming and</w:t>
      </w:r>
      <w:r w:rsidR="006A5E24" w:rsidRPr="0083678C">
        <w:rPr>
          <w:rFonts w:ascii="Book Antiqua" w:hAnsi="Book Antiqua" w:cs="Times New Roman"/>
          <w:color w:val="000000" w:themeColor="text1"/>
          <w:sz w:val="24"/>
          <w:szCs w:val="24"/>
        </w:rPr>
        <w:t xml:space="preserve"> require </w:t>
      </w:r>
      <w:r w:rsidRPr="0083678C">
        <w:rPr>
          <w:rFonts w:ascii="Book Antiqua" w:hAnsi="Book Antiqua" w:cs="Times New Roman"/>
          <w:color w:val="000000" w:themeColor="text1"/>
          <w:sz w:val="24"/>
          <w:szCs w:val="24"/>
        </w:rPr>
        <w:t>appropriate tr</w:t>
      </w:r>
      <w:r w:rsidR="008249BF" w:rsidRPr="0083678C">
        <w:rPr>
          <w:rFonts w:ascii="Book Antiqua" w:hAnsi="Book Antiqua" w:cs="Times New Roman"/>
          <w:color w:val="000000" w:themeColor="text1"/>
          <w:sz w:val="24"/>
          <w:szCs w:val="24"/>
        </w:rPr>
        <w:t>aining and gastroscope</w:t>
      </w:r>
      <w:r w:rsidR="006A5E24" w:rsidRPr="0083678C">
        <w:rPr>
          <w:rFonts w:ascii="Book Antiqua" w:hAnsi="Book Antiqua" w:cs="Times New Roman"/>
          <w:color w:val="000000" w:themeColor="text1"/>
          <w:sz w:val="24"/>
          <w:szCs w:val="24"/>
        </w:rPr>
        <w:t>. T</w:t>
      </w:r>
      <w:r w:rsidR="008249BF" w:rsidRPr="0083678C">
        <w:rPr>
          <w:rFonts w:ascii="Book Antiqua" w:hAnsi="Book Antiqua" w:cs="Times New Roman"/>
          <w:color w:val="000000" w:themeColor="text1"/>
          <w:sz w:val="24"/>
          <w:szCs w:val="24"/>
        </w:rPr>
        <w:t xml:space="preserve">herefore, </w:t>
      </w:r>
      <w:r w:rsidR="006A5E24" w:rsidRPr="0083678C">
        <w:rPr>
          <w:rFonts w:ascii="Book Antiqua" w:hAnsi="Book Antiqua" w:cs="Times New Roman"/>
          <w:color w:val="000000" w:themeColor="text1"/>
          <w:sz w:val="24"/>
          <w:szCs w:val="24"/>
        </w:rPr>
        <w:t xml:space="preserve">it </w:t>
      </w:r>
      <w:r w:rsidR="008249BF" w:rsidRPr="0083678C">
        <w:rPr>
          <w:rFonts w:ascii="Book Antiqua" w:hAnsi="Book Antiqua" w:cs="Times New Roman"/>
          <w:color w:val="000000" w:themeColor="text1"/>
          <w:sz w:val="24"/>
          <w:szCs w:val="24"/>
        </w:rPr>
        <w:t xml:space="preserve">could not be widely used in daily practice. </w:t>
      </w:r>
    </w:p>
    <w:p w:rsidR="0078420E" w:rsidRPr="0083678C" w:rsidRDefault="00335D5B" w:rsidP="00590380">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A simplified classification system using NBI without magnification has been proposed and validated in Western countries, and its accuracy and reliability in the diagnosis of GIM and dysplasia have been demonstrated</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54</w:t>
      </w:r>
      <w:r w:rsidR="00DD508B" w:rsidRPr="0083678C">
        <w:rPr>
          <w:rFonts w:ascii="Book Antiqua" w:hAnsi="Book Antiqua" w:cs="Times New Roman"/>
          <w:color w:val="000000" w:themeColor="text1"/>
          <w:sz w:val="24"/>
          <w:szCs w:val="24"/>
          <w:vertAlign w:val="superscript"/>
        </w:rPr>
        <w:t>]</w:t>
      </w:r>
      <w:r w:rsidR="0078420E"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 xml:space="preserve">According to the simplified classification, pattern A (regular vessels with circular mucosa) was associated with normal histology (accuracy 83%; </w:t>
      </w:r>
      <w:r w:rsidR="00590380" w:rsidRPr="0083678C">
        <w:rPr>
          <w:rFonts w:ascii="Book Antiqua" w:hAnsi="Book Antiqua" w:cs="Times New Roman"/>
          <w:color w:val="000000" w:themeColor="text1"/>
          <w:sz w:val="24"/>
          <w:szCs w:val="24"/>
        </w:rPr>
        <w:t>95%CI:</w:t>
      </w:r>
      <w:r w:rsidRPr="0083678C">
        <w:rPr>
          <w:rFonts w:ascii="Book Antiqua" w:hAnsi="Book Antiqua" w:cs="Times New Roman"/>
          <w:color w:val="000000" w:themeColor="text1"/>
          <w:sz w:val="24"/>
          <w:szCs w:val="24"/>
        </w:rPr>
        <w:t xml:space="preserve"> 75</w:t>
      </w:r>
      <w:r w:rsidR="00590380" w:rsidRPr="0083678C">
        <w:rPr>
          <w:rFonts w:ascii="Book Antiqua" w:hAnsi="Book Antiqua" w:cs="Times New Roman"/>
          <w:color w:val="000000" w:themeColor="text1"/>
          <w:sz w:val="24"/>
          <w:szCs w:val="24"/>
        </w:rPr>
        <w:t>%</w:t>
      </w:r>
      <w:r w:rsidR="003F5776"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90%), pattern B (tubulo-villous mucosa) was associated with GIM (accuracy 84%; 95</w:t>
      </w:r>
      <w:r w:rsidR="00590380"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CI</w:t>
      </w:r>
      <w:r w:rsidR="00590380"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 xml:space="preserve"> 77</w:t>
      </w:r>
      <w:r w:rsidR="00590380" w:rsidRPr="0083678C">
        <w:rPr>
          <w:rFonts w:ascii="Book Antiqua" w:hAnsi="Book Antiqua" w:cs="Times New Roman"/>
          <w:color w:val="000000" w:themeColor="text1"/>
          <w:sz w:val="24"/>
          <w:szCs w:val="24"/>
        </w:rPr>
        <w:t>%</w:t>
      </w:r>
      <w:r w:rsidR="003F5776"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91%); and pattern C (irregular vessels and mucosa) was associated with dysplasia (accuracy 95%; 95</w:t>
      </w:r>
      <w:r w:rsidR="00590380"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CI</w:t>
      </w:r>
      <w:r w:rsidR="00590380"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 xml:space="preserve"> 90</w:t>
      </w:r>
      <w:r w:rsidR="00590380" w:rsidRPr="0083678C">
        <w:rPr>
          <w:rFonts w:ascii="Book Antiqua" w:hAnsi="Book Antiqua" w:cs="Times New Roman"/>
          <w:color w:val="000000" w:themeColor="text1"/>
          <w:sz w:val="24"/>
          <w:szCs w:val="24"/>
        </w:rPr>
        <w:t>%</w:t>
      </w:r>
      <w:r w:rsidR="003F5776"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99%). The reproducibility of these patterns was high (k</w:t>
      </w:r>
      <w:r w:rsidR="00590380"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w:t>
      </w:r>
      <w:r w:rsidR="00590380"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0.62). Non-experienced endoscopists showed lower agreement (k</w:t>
      </w:r>
      <w:r w:rsidR="00590380"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w:t>
      </w:r>
      <w:r w:rsidR="00590380"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 xml:space="preserve">0.6 </w:t>
      </w:r>
      <w:r w:rsidR="00590380" w:rsidRPr="0083678C">
        <w:rPr>
          <w:rFonts w:ascii="Book Antiqua" w:hAnsi="Book Antiqua" w:cs="Times New Roman"/>
          <w:i/>
          <w:iCs/>
          <w:color w:val="000000" w:themeColor="text1"/>
          <w:sz w:val="24"/>
          <w:szCs w:val="24"/>
        </w:rPr>
        <w:t>vs</w:t>
      </w:r>
      <w:r w:rsidRPr="0083678C">
        <w:rPr>
          <w:rFonts w:ascii="Book Antiqua" w:hAnsi="Book Antiqua" w:cs="Times New Roman"/>
          <w:color w:val="000000" w:themeColor="text1"/>
          <w:sz w:val="24"/>
          <w:szCs w:val="24"/>
        </w:rPr>
        <w:t xml:space="preserve"> k</w:t>
      </w:r>
      <w:r w:rsidR="00590380"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 xml:space="preserve">= 0.75) and accuracy (74 % </w:t>
      </w:r>
      <w:r w:rsidR="00590380" w:rsidRPr="0083678C">
        <w:rPr>
          <w:rFonts w:ascii="Book Antiqua" w:hAnsi="Book Antiqua" w:cs="Times New Roman"/>
          <w:i/>
          <w:iCs/>
          <w:color w:val="000000" w:themeColor="text1"/>
          <w:sz w:val="24"/>
          <w:szCs w:val="24"/>
        </w:rPr>
        <w:t>vs</w:t>
      </w:r>
      <w:r w:rsidRPr="0083678C">
        <w:rPr>
          <w:rFonts w:ascii="Book Antiqua" w:hAnsi="Book Antiqua" w:cs="Times New Roman"/>
          <w:i/>
          <w:iCs/>
          <w:color w:val="000000" w:themeColor="text1"/>
          <w:sz w:val="24"/>
          <w:szCs w:val="24"/>
        </w:rPr>
        <w:t xml:space="preserve"> </w:t>
      </w:r>
      <w:r w:rsidRPr="0083678C">
        <w:rPr>
          <w:rFonts w:ascii="Book Antiqua" w:hAnsi="Book Antiqua" w:cs="Times New Roman"/>
          <w:color w:val="000000" w:themeColor="text1"/>
          <w:sz w:val="24"/>
          <w:szCs w:val="24"/>
        </w:rPr>
        <w:t xml:space="preserve">86%) than experienced endoscopists, suggesting that appropriate training is required. The real-time validity of HD-WLE with and without NBI in the diagnosis of precancerous gastric </w:t>
      </w:r>
      <w:r w:rsidRPr="0083678C">
        <w:rPr>
          <w:rFonts w:ascii="Book Antiqua" w:hAnsi="Book Antiqua" w:cs="Times New Roman"/>
          <w:color w:val="000000" w:themeColor="text1"/>
          <w:sz w:val="24"/>
          <w:szCs w:val="24"/>
        </w:rPr>
        <w:lastRenderedPageBreak/>
        <w:t>lesions and the possibility of deriving a classification for the endoscopic grading of GIM (EGGIM), a score (0-10) resulting from the sum of endoscopic assessments of GIM, have been reported</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55</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56</w:t>
      </w:r>
      <w:r w:rsidR="00DD508B" w:rsidRPr="0083678C">
        <w:rPr>
          <w:rFonts w:ascii="Book Antiqua" w:hAnsi="Book Antiqua" w:cs="Times New Roman"/>
          <w:color w:val="000000" w:themeColor="text1"/>
          <w:sz w:val="24"/>
          <w:szCs w:val="24"/>
          <w:vertAlign w:val="superscript"/>
        </w:rPr>
        <w:t>]</w:t>
      </w:r>
      <w:r w:rsidR="0048090A" w:rsidRPr="0083678C">
        <w:rPr>
          <w:rFonts w:ascii="Book Antiqua" w:hAnsi="Book Antiqua" w:cs="Times New Roman"/>
          <w:color w:val="000000" w:themeColor="text1"/>
          <w:sz w:val="24"/>
          <w:szCs w:val="24"/>
        </w:rPr>
        <w:t>.</w:t>
      </w:r>
      <w:r w:rsidR="0078420E" w:rsidRPr="0083678C">
        <w:rPr>
          <w:rFonts w:ascii="Book Antiqua" w:hAnsi="Book Antiqua" w:cs="Times New Roman"/>
          <w:color w:val="000000" w:themeColor="text1"/>
          <w:sz w:val="24"/>
          <w:szCs w:val="24"/>
        </w:rPr>
        <w:t xml:space="preserve"> </w:t>
      </w:r>
      <w:r w:rsidR="00403EB2" w:rsidRPr="0083678C">
        <w:rPr>
          <w:rFonts w:ascii="Book Antiqua" w:hAnsi="Book Antiqua" w:cs="Times New Roman"/>
          <w:color w:val="000000" w:themeColor="text1"/>
          <w:sz w:val="24"/>
          <w:szCs w:val="24"/>
        </w:rPr>
        <w:t>In a later multicenter prospective study, NBI based on the simplified classification was found to significantly increase sensitivity in the diagnosis of GIM and gastric dysplasia (87%</w:t>
      </w:r>
      <w:r w:rsidR="00403EB2" w:rsidRPr="0083678C">
        <w:rPr>
          <w:rFonts w:ascii="Book Antiqua" w:hAnsi="Book Antiqua" w:cs="Times New Roman"/>
          <w:i/>
          <w:iCs/>
          <w:color w:val="000000" w:themeColor="text1"/>
          <w:sz w:val="24"/>
          <w:szCs w:val="24"/>
        </w:rPr>
        <w:t xml:space="preserve"> </w:t>
      </w:r>
      <w:r w:rsidR="00590380" w:rsidRPr="0083678C">
        <w:rPr>
          <w:rFonts w:ascii="Book Antiqua" w:hAnsi="Book Antiqua" w:cs="Times New Roman"/>
          <w:i/>
          <w:iCs/>
          <w:color w:val="000000" w:themeColor="text1"/>
          <w:sz w:val="24"/>
          <w:szCs w:val="24"/>
        </w:rPr>
        <w:t>vs</w:t>
      </w:r>
      <w:r w:rsidR="00403EB2" w:rsidRPr="0083678C">
        <w:rPr>
          <w:rFonts w:ascii="Book Antiqua" w:hAnsi="Book Antiqua" w:cs="Times New Roman"/>
          <w:color w:val="000000" w:themeColor="text1"/>
          <w:sz w:val="24"/>
          <w:szCs w:val="24"/>
        </w:rPr>
        <w:t xml:space="preserve"> 53% and 92% </w:t>
      </w:r>
      <w:r w:rsidR="00590380" w:rsidRPr="0083678C">
        <w:rPr>
          <w:rFonts w:ascii="Book Antiqua" w:hAnsi="Book Antiqua" w:cs="Times New Roman"/>
          <w:i/>
          <w:iCs/>
          <w:color w:val="000000" w:themeColor="text1"/>
          <w:sz w:val="24"/>
          <w:szCs w:val="24"/>
        </w:rPr>
        <w:t>vs</w:t>
      </w:r>
      <w:r w:rsidR="00403EB2" w:rsidRPr="0083678C">
        <w:rPr>
          <w:rFonts w:ascii="Book Antiqua" w:hAnsi="Book Antiqua" w:cs="Times New Roman"/>
          <w:i/>
          <w:iCs/>
          <w:color w:val="000000" w:themeColor="text1"/>
          <w:sz w:val="24"/>
          <w:szCs w:val="24"/>
        </w:rPr>
        <w:t xml:space="preserve"> </w:t>
      </w:r>
      <w:r w:rsidR="00403EB2" w:rsidRPr="0083678C">
        <w:rPr>
          <w:rFonts w:ascii="Book Antiqua" w:hAnsi="Book Antiqua" w:cs="Times New Roman"/>
          <w:color w:val="000000" w:themeColor="text1"/>
          <w:sz w:val="24"/>
          <w:szCs w:val="24"/>
        </w:rPr>
        <w:t>74%, respectively). The area under the curve (AUC) of the receiver operating characteristic curve for EGGIM in the diagnosis of extensive GIM was 0.98</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55</w:t>
      </w:r>
      <w:r w:rsidR="00DD508B" w:rsidRPr="0083678C">
        <w:rPr>
          <w:rFonts w:ascii="Book Antiqua" w:hAnsi="Book Antiqua" w:cs="Times New Roman"/>
          <w:color w:val="000000" w:themeColor="text1"/>
          <w:sz w:val="24"/>
          <w:szCs w:val="24"/>
          <w:vertAlign w:val="superscript"/>
        </w:rPr>
        <w:t>]</w:t>
      </w:r>
      <w:r w:rsidR="0048090A" w:rsidRPr="0083678C">
        <w:rPr>
          <w:rFonts w:ascii="Book Antiqua" w:hAnsi="Book Antiqua" w:cs="Times New Roman"/>
          <w:color w:val="000000" w:themeColor="text1"/>
          <w:sz w:val="24"/>
          <w:szCs w:val="24"/>
        </w:rPr>
        <w:t>.</w:t>
      </w:r>
      <w:r w:rsidR="0078420E" w:rsidRPr="0083678C">
        <w:rPr>
          <w:rFonts w:ascii="Book Antiqua" w:hAnsi="Book Antiqua" w:cs="Times New Roman"/>
          <w:color w:val="000000" w:themeColor="text1"/>
          <w:sz w:val="24"/>
          <w:szCs w:val="24"/>
        </w:rPr>
        <w:t xml:space="preserve"> </w:t>
      </w:r>
      <w:r w:rsidR="00CD637E" w:rsidRPr="0083678C">
        <w:rPr>
          <w:rFonts w:ascii="Book Antiqua" w:hAnsi="Book Antiqua" w:cs="Times New Roman"/>
          <w:color w:val="000000" w:themeColor="text1"/>
          <w:sz w:val="24"/>
          <w:szCs w:val="24"/>
        </w:rPr>
        <w:t>Another study was conducted by the same group to externally validate the EGGIM classification</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56</w:t>
      </w:r>
      <w:r w:rsidR="00DD508B" w:rsidRPr="0083678C">
        <w:rPr>
          <w:rFonts w:ascii="Book Antiqua" w:hAnsi="Book Antiqua" w:cs="Times New Roman"/>
          <w:color w:val="000000" w:themeColor="text1"/>
          <w:sz w:val="24"/>
          <w:szCs w:val="24"/>
          <w:vertAlign w:val="superscript"/>
        </w:rPr>
        <w:t>]</w:t>
      </w:r>
      <w:r w:rsidR="0078420E" w:rsidRPr="0083678C">
        <w:rPr>
          <w:rFonts w:ascii="Book Antiqua" w:hAnsi="Book Antiqua" w:cs="Times New Roman"/>
          <w:color w:val="000000" w:themeColor="text1"/>
          <w:sz w:val="24"/>
          <w:szCs w:val="24"/>
        </w:rPr>
        <w:t xml:space="preserve">. </w:t>
      </w:r>
      <w:r w:rsidR="00CD637E" w:rsidRPr="0083678C">
        <w:rPr>
          <w:rFonts w:ascii="Book Antiqua" w:hAnsi="Book Antiqua" w:cs="Times New Roman"/>
          <w:color w:val="000000" w:themeColor="text1"/>
          <w:sz w:val="24"/>
          <w:szCs w:val="24"/>
        </w:rPr>
        <w:t>Consecutive patients underwent HD-WLE followed by NBI to estimate the EGGIM classification. The score was 0, 1, or 2 for no GIM, ≤</w:t>
      </w:r>
      <w:r w:rsidR="00590380" w:rsidRPr="0083678C">
        <w:rPr>
          <w:rFonts w:ascii="Book Antiqua" w:hAnsi="Book Antiqua" w:cs="Times New Roman"/>
          <w:color w:val="000000" w:themeColor="text1"/>
          <w:sz w:val="24"/>
          <w:szCs w:val="24"/>
        </w:rPr>
        <w:t xml:space="preserve"> </w:t>
      </w:r>
      <w:r w:rsidR="00CD637E" w:rsidRPr="0083678C">
        <w:rPr>
          <w:rFonts w:ascii="Book Antiqua" w:hAnsi="Book Antiqua" w:cs="Times New Roman"/>
          <w:color w:val="000000" w:themeColor="text1"/>
          <w:sz w:val="24"/>
          <w:szCs w:val="24"/>
        </w:rPr>
        <w:t>30%, or &gt;</w:t>
      </w:r>
      <w:r w:rsidR="00590380" w:rsidRPr="0083678C">
        <w:rPr>
          <w:rFonts w:ascii="Book Antiqua" w:hAnsi="Book Antiqua" w:cs="Times New Roman"/>
          <w:color w:val="000000" w:themeColor="text1"/>
          <w:sz w:val="24"/>
          <w:szCs w:val="24"/>
        </w:rPr>
        <w:t xml:space="preserve"> </w:t>
      </w:r>
      <w:r w:rsidR="00CD637E" w:rsidRPr="0083678C">
        <w:rPr>
          <w:rFonts w:ascii="Book Antiqua" w:hAnsi="Book Antiqua" w:cs="Times New Roman"/>
          <w:color w:val="000000" w:themeColor="text1"/>
          <w:sz w:val="24"/>
          <w:szCs w:val="24"/>
        </w:rPr>
        <w:t>30% of the mucosa, respectively, in five areas (lesser and greater curvature of both the antrum and corpus, and incisura). If GIM was endoscopically suspected, targeted biopsies were performed. If GIM was not noticeable, random biopsies were performed according to the Sydney system to estimate the OLGIM stage. For the diagnosis of high-stage OLGIM gastritis, the AUC was 0.96 (</w:t>
      </w:r>
      <w:r w:rsidR="00590380" w:rsidRPr="0083678C">
        <w:rPr>
          <w:rFonts w:ascii="Book Antiqua" w:hAnsi="Book Antiqua" w:cs="Times New Roman"/>
          <w:color w:val="000000" w:themeColor="text1"/>
          <w:sz w:val="24"/>
          <w:szCs w:val="24"/>
        </w:rPr>
        <w:t>95%CI:</w:t>
      </w:r>
      <w:r w:rsidR="00CD637E" w:rsidRPr="0083678C">
        <w:rPr>
          <w:rFonts w:ascii="Book Antiqua" w:hAnsi="Book Antiqua" w:cs="Times New Roman"/>
          <w:color w:val="000000" w:themeColor="text1"/>
          <w:sz w:val="24"/>
          <w:szCs w:val="24"/>
        </w:rPr>
        <w:t xml:space="preserve"> 0.93</w:t>
      </w:r>
      <w:r w:rsidR="003F5776" w:rsidRPr="0083678C">
        <w:rPr>
          <w:rFonts w:ascii="Book Antiqua" w:hAnsi="Book Antiqua" w:cs="Times New Roman"/>
          <w:color w:val="000000" w:themeColor="text1"/>
          <w:sz w:val="24"/>
          <w:szCs w:val="24"/>
        </w:rPr>
        <w:t>-</w:t>
      </w:r>
      <w:r w:rsidR="00CD637E" w:rsidRPr="0083678C">
        <w:rPr>
          <w:rFonts w:ascii="Book Antiqua" w:hAnsi="Book Antiqua" w:cs="Times New Roman"/>
          <w:color w:val="000000" w:themeColor="text1"/>
          <w:sz w:val="24"/>
          <w:szCs w:val="24"/>
        </w:rPr>
        <w:t>0.98) and the sensitivity and specificity using a cutoff of &gt;</w:t>
      </w:r>
      <w:r w:rsidR="00590380" w:rsidRPr="0083678C">
        <w:rPr>
          <w:rFonts w:ascii="Book Antiqua" w:hAnsi="Book Antiqua" w:cs="Times New Roman"/>
          <w:color w:val="000000" w:themeColor="text1"/>
          <w:sz w:val="24"/>
          <w:szCs w:val="24"/>
        </w:rPr>
        <w:t xml:space="preserve"> </w:t>
      </w:r>
      <w:r w:rsidR="00CD637E" w:rsidRPr="0083678C">
        <w:rPr>
          <w:rFonts w:ascii="Book Antiqua" w:hAnsi="Book Antiqua" w:cs="Times New Roman"/>
          <w:color w:val="000000" w:themeColor="text1"/>
          <w:sz w:val="24"/>
          <w:szCs w:val="24"/>
        </w:rPr>
        <w:t>4 were 89% and 95%, respectively. This study shows the promise of the endoscopic approach in determining the risk of GC development without the need for biopsies. Further studies in other populations should be performed to validate the results</w:t>
      </w:r>
      <w:r w:rsidR="0078420E" w:rsidRPr="0083678C">
        <w:rPr>
          <w:rFonts w:ascii="Book Antiqua" w:hAnsi="Book Antiqua" w:cs="Times New Roman"/>
          <w:color w:val="000000" w:themeColor="text1"/>
          <w:sz w:val="24"/>
          <w:szCs w:val="24"/>
        </w:rPr>
        <w:t>.</w:t>
      </w:r>
    </w:p>
    <w:p w:rsidR="00590380" w:rsidRPr="0083678C" w:rsidRDefault="00590380" w:rsidP="00590380">
      <w:pPr>
        <w:adjustRightInd w:val="0"/>
        <w:snapToGrid w:val="0"/>
        <w:spacing w:after="0" w:line="360" w:lineRule="auto"/>
        <w:ind w:firstLineChars="100" w:firstLine="240"/>
        <w:jc w:val="both"/>
        <w:rPr>
          <w:rFonts w:ascii="Book Antiqua" w:hAnsi="Book Antiqua" w:cs="Times New Roman"/>
          <w:color w:val="000000" w:themeColor="text1"/>
          <w:sz w:val="24"/>
          <w:szCs w:val="24"/>
        </w:rPr>
      </w:pPr>
    </w:p>
    <w:p w:rsidR="00F12E48" w:rsidRPr="0083678C" w:rsidRDefault="00F42FF8" w:rsidP="00B43CE7">
      <w:pPr>
        <w:adjustRightInd w:val="0"/>
        <w:snapToGrid w:val="0"/>
        <w:spacing w:after="0" w:line="360" w:lineRule="auto"/>
        <w:jc w:val="both"/>
        <w:rPr>
          <w:rFonts w:ascii="Book Antiqua" w:hAnsi="Book Antiqua" w:cs="Times New Roman"/>
          <w:b/>
          <w:i/>
          <w:color w:val="000000" w:themeColor="text1"/>
          <w:sz w:val="24"/>
          <w:szCs w:val="24"/>
        </w:rPr>
      </w:pPr>
      <w:r w:rsidRPr="0083678C">
        <w:rPr>
          <w:rFonts w:ascii="Book Antiqua" w:hAnsi="Book Antiqua" w:cs="Times New Roman"/>
          <w:b/>
          <w:i/>
          <w:color w:val="000000" w:themeColor="text1"/>
          <w:sz w:val="24"/>
          <w:szCs w:val="24"/>
        </w:rPr>
        <w:t>Non-invasive approach</w:t>
      </w:r>
      <w:r w:rsidR="00184D5D" w:rsidRPr="0083678C">
        <w:rPr>
          <w:rFonts w:ascii="Book Antiqua" w:hAnsi="Book Antiqua" w:cs="Times New Roman"/>
          <w:b/>
          <w:i/>
          <w:color w:val="000000" w:themeColor="text1"/>
          <w:sz w:val="24"/>
          <w:szCs w:val="24"/>
        </w:rPr>
        <w:t>es</w:t>
      </w:r>
    </w:p>
    <w:p w:rsidR="00F12E48" w:rsidRPr="0083678C" w:rsidRDefault="00F12E48" w:rsidP="00B43CE7">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Serum pepsinogen (PG) is the most intensively investigated biomarker for precancerous gastric lesions and GC. Serum PG consists of two distinct types, namely, pepsinogen I (PGI) and pepsinogen II (PGII). PG I is exclusively produced by chief and mucous neck cells in the fundic glands, while PG II is secreted by these cells as well as by cells in the pyloric glands and Brunner’s glands. Both of serum PGI and PGII levels initially increase on the progression of gastritis. However, as the fundic gland mucosa is reduced, PGI levels gradually decrease while PGII levels remain fairly constant. Consequently, the serum PG I/II ratio (sPGr) decreases in a stepwise manner which is closely correlated with the progression of atrophic gastritis</w:t>
      </w:r>
      <w:r w:rsidR="00DD508B"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57</w:t>
      </w:r>
      <w:r w:rsidR="00DD508B" w:rsidRPr="0083678C">
        <w:rPr>
          <w:rFonts w:ascii="Book Antiqua" w:hAnsi="Book Antiqua" w:cs="Times New Roman"/>
          <w:color w:val="000000" w:themeColor="text1"/>
          <w:sz w:val="24"/>
          <w:szCs w:val="24"/>
          <w:vertAlign w:val="superscript"/>
        </w:rPr>
        <w:t>]</w:t>
      </w:r>
      <w:r w:rsidR="0048090A" w:rsidRPr="0083678C">
        <w:rPr>
          <w:rFonts w:ascii="Book Antiqua" w:hAnsi="Book Antiqua" w:cs="Times New Roman"/>
          <w:color w:val="000000" w:themeColor="text1"/>
          <w:sz w:val="24"/>
          <w:szCs w:val="24"/>
        </w:rPr>
        <w:t xml:space="preserve">. </w:t>
      </w:r>
      <w:r w:rsidR="0062256E" w:rsidRPr="0083678C">
        <w:rPr>
          <w:rFonts w:ascii="Book Antiqua" w:hAnsi="Book Antiqua" w:cs="Times New Roman"/>
          <w:color w:val="000000" w:themeColor="text1"/>
          <w:sz w:val="24"/>
          <w:szCs w:val="24"/>
        </w:rPr>
        <w:t>T</w:t>
      </w:r>
      <w:r w:rsidRPr="0083678C">
        <w:rPr>
          <w:rFonts w:ascii="Book Antiqua" w:hAnsi="Book Antiqua" w:cs="Times New Roman"/>
          <w:color w:val="000000" w:themeColor="text1"/>
          <w:sz w:val="24"/>
          <w:szCs w:val="24"/>
        </w:rPr>
        <w:t>h</w:t>
      </w:r>
      <w:r w:rsidR="0062256E" w:rsidRPr="0083678C">
        <w:rPr>
          <w:rFonts w:ascii="Book Antiqua" w:hAnsi="Book Antiqua" w:cs="Times New Roman"/>
          <w:color w:val="000000" w:themeColor="text1"/>
          <w:sz w:val="24"/>
          <w:szCs w:val="24"/>
        </w:rPr>
        <w:t xml:space="preserve">e low serum PG I level </w:t>
      </w:r>
      <w:r w:rsidR="0062256E" w:rsidRPr="0083678C">
        <w:rPr>
          <w:rFonts w:ascii="Book Antiqua" w:hAnsi="Book Antiqua" w:cs="Times New Roman"/>
          <w:color w:val="000000" w:themeColor="text1"/>
          <w:sz w:val="24"/>
          <w:szCs w:val="24"/>
        </w:rPr>
        <w:lastRenderedPageBreak/>
        <w:t xml:space="preserve">and sPGr, therefore, </w:t>
      </w:r>
      <w:r w:rsidRPr="0083678C">
        <w:rPr>
          <w:rFonts w:ascii="Book Antiqua" w:hAnsi="Book Antiqua" w:cs="Times New Roman"/>
          <w:color w:val="000000" w:themeColor="text1"/>
          <w:sz w:val="24"/>
          <w:szCs w:val="24"/>
        </w:rPr>
        <w:t>reflect the severity of gastric atrophy. The measurement of serum PG I and sPGr alone or in combination with</w:t>
      </w:r>
      <w:r w:rsidR="008E1D0C" w:rsidRPr="0083678C">
        <w:rPr>
          <w:rFonts w:ascii="Book Antiqua" w:hAnsi="Book Antiqua" w:cs="Times New Roman"/>
          <w:color w:val="000000" w:themeColor="text1"/>
          <w:sz w:val="24"/>
          <w:szCs w:val="24"/>
        </w:rPr>
        <w:t xml:space="preserve"> </w:t>
      </w:r>
      <w:r w:rsidR="008E1D0C" w:rsidRPr="0083678C">
        <w:rPr>
          <w:rFonts w:ascii="Book Antiqua" w:hAnsi="Book Antiqua" w:cs="Times New Roman"/>
          <w:i/>
          <w:color w:val="000000" w:themeColor="text1"/>
          <w:sz w:val="24"/>
          <w:szCs w:val="24"/>
        </w:rPr>
        <w:t>H. pylori</w:t>
      </w:r>
      <w:r w:rsidR="008E1D0C" w:rsidRPr="0083678C">
        <w:rPr>
          <w:rFonts w:ascii="Book Antiqua" w:hAnsi="Book Antiqua" w:cs="Times New Roman"/>
          <w:color w:val="000000" w:themeColor="text1"/>
          <w:sz w:val="24"/>
          <w:szCs w:val="24"/>
        </w:rPr>
        <w:t xml:space="preserve"> serum antibody</w:t>
      </w:r>
      <w:r w:rsidRPr="0083678C">
        <w:rPr>
          <w:rFonts w:ascii="Book Antiqua" w:hAnsi="Book Antiqua" w:cs="Times New Roman"/>
          <w:color w:val="000000" w:themeColor="text1"/>
          <w:sz w:val="24"/>
          <w:szCs w:val="24"/>
        </w:rPr>
        <w:t xml:space="preserve"> </w:t>
      </w:r>
      <w:r w:rsidR="008E1D0C" w:rsidRPr="0083678C">
        <w:rPr>
          <w:rFonts w:ascii="Book Antiqua" w:hAnsi="Book Antiqua" w:cs="Times New Roman"/>
          <w:color w:val="000000" w:themeColor="text1"/>
          <w:sz w:val="24"/>
          <w:szCs w:val="24"/>
        </w:rPr>
        <w:t>(</w:t>
      </w:r>
      <w:r w:rsidR="00B47690" w:rsidRPr="0083678C">
        <w:rPr>
          <w:rFonts w:ascii="Book Antiqua" w:hAnsi="Book Antiqua" w:cs="Times New Roman"/>
          <w:color w:val="000000" w:themeColor="text1"/>
          <w:sz w:val="24"/>
          <w:szCs w:val="24"/>
        </w:rPr>
        <w:t>HpAb</w:t>
      </w:r>
      <w:r w:rsidR="008E1D0C" w:rsidRPr="0083678C">
        <w:rPr>
          <w:rFonts w:ascii="Book Antiqua" w:hAnsi="Book Antiqua" w:cs="Times New Roman"/>
          <w:color w:val="000000" w:themeColor="text1"/>
          <w:sz w:val="24"/>
          <w:szCs w:val="24"/>
        </w:rPr>
        <w:t>)</w:t>
      </w:r>
      <w:r w:rsidR="00B47690" w:rsidRPr="0083678C">
        <w:rPr>
          <w:rFonts w:ascii="Book Antiqua" w:hAnsi="Book Antiqua" w:cs="Times New Roman"/>
          <w:color w:val="000000" w:themeColor="text1"/>
          <w:sz w:val="24"/>
          <w:szCs w:val="24"/>
        </w:rPr>
        <w:t xml:space="preserve"> test</w:t>
      </w:r>
      <w:r w:rsidRPr="0083678C">
        <w:rPr>
          <w:rFonts w:ascii="Book Antiqua" w:hAnsi="Book Antiqua" w:cs="Times New Roman"/>
          <w:color w:val="000000" w:themeColor="text1"/>
          <w:sz w:val="24"/>
          <w:szCs w:val="24"/>
        </w:rPr>
        <w:t>, and/or Gastrin-17 has been investigated to identify high-risk individuals</w:t>
      </w:r>
      <w:r w:rsidR="00782E51" w:rsidRPr="0083678C">
        <w:rPr>
          <w:rFonts w:ascii="Book Antiqua" w:hAnsi="Book Antiqua" w:cs="Times New Roman"/>
          <w:color w:val="000000" w:themeColor="text1"/>
          <w:sz w:val="24"/>
          <w:szCs w:val="24"/>
          <w:vertAlign w:val="superscript"/>
        </w:rPr>
        <w:t>[</w:t>
      </w:r>
      <w:r w:rsidR="0042791D" w:rsidRPr="0083678C">
        <w:rPr>
          <w:rFonts w:ascii="Book Antiqua" w:hAnsi="Book Antiqua" w:cs="Times New Roman"/>
          <w:color w:val="000000" w:themeColor="text1"/>
          <w:sz w:val="24"/>
          <w:szCs w:val="24"/>
          <w:vertAlign w:val="superscript"/>
        </w:rPr>
        <w:t>58</w:t>
      </w:r>
      <w:r w:rsidR="00782E51" w:rsidRPr="0083678C">
        <w:rPr>
          <w:rFonts w:ascii="Book Antiqua" w:hAnsi="Book Antiqua" w:cs="Times New Roman"/>
          <w:color w:val="000000" w:themeColor="text1"/>
          <w:sz w:val="24"/>
          <w:szCs w:val="24"/>
          <w:vertAlign w:val="superscript"/>
        </w:rPr>
        <w:t>]</w:t>
      </w:r>
      <w:r w:rsidRPr="0083678C">
        <w:rPr>
          <w:rFonts w:ascii="Book Antiqua" w:hAnsi="Book Antiqua" w:cs="Times New Roman"/>
          <w:color w:val="000000" w:themeColor="text1"/>
          <w:sz w:val="24"/>
          <w:szCs w:val="24"/>
        </w:rPr>
        <w:t>.</w:t>
      </w:r>
    </w:p>
    <w:p w:rsidR="00590380" w:rsidRPr="0083678C" w:rsidRDefault="00590380" w:rsidP="00B43CE7">
      <w:pPr>
        <w:adjustRightInd w:val="0"/>
        <w:snapToGrid w:val="0"/>
        <w:spacing w:after="0" w:line="360" w:lineRule="auto"/>
        <w:jc w:val="both"/>
        <w:rPr>
          <w:rFonts w:ascii="Book Antiqua" w:hAnsi="Book Antiqua" w:cs="Times New Roman"/>
          <w:color w:val="000000" w:themeColor="text1"/>
          <w:sz w:val="24"/>
          <w:szCs w:val="24"/>
        </w:rPr>
      </w:pPr>
    </w:p>
    <w:p w:rsidR="00F12E48" w:rsidRPr="0083678C" w:rsidRDefault="00F42FF8" w:rsidP="00B43CE7">
      <w:pPr>
        <w:adjustRightInd w:val="0"/>
        <w:snapToGrid w:val="0"/>
        <w:spacing w:after="0" w:line="360" w:lineRule="auto"/>
        <w:jc w:val="both"/>
        <w:rPr>
          <w:rFonts w:ascii="Book Antiqua" w:hAnsi="Book Antiqua"/>
          <w:color w:val="000000" w:themeColor="text1"/>
          <w:sz w:val="24"/>
          <w:szCs w:val="24"/>
        </w:rPr>
      </w:pPr>
      <w:r w:rsidRPr="0083678C">
        <w:rPr>
          <w:rFonts w:ascii="Book Antiqua" w:hAnsi="Book Antiqua" w:cs="Times New Roman"/>
          <w:b/>
          <w:color w:val="000000" w:themeColor="text1"/>
          <w:sz w:val="24"/>
          <w:szCs w:val="24"/>
        </w:rPr>
        <w:t>Non-invasive approach</w:t>
      </w:r>
      <w:r w:rsidR="00C34D5E" w:rsidRPr="0083678C">
        <w:rPr>
          <w:rFonts w:ascii="Book Antiqua" w:hAnsi="Book Antiqua" w:cs="Times New Roman"/>
          <w:b/>
          <w:color w:val="000000" w:themeColor="text1"/>
          <w:sz w:val="24"/>
          <w:szCs w:val="24"/>
        </w:rPr>
        <w:t>es</w:t>
      </w:r>
      <w:r w:rsidRPr="0083678C">
        <w:rPr>
          <w:rFonts w:ascii="Book Antiqua" w:hAnsi="Book Antiqua" w:cs="Times New Roman"/>
          <w:b/>
          <w:color w:val="000000" w:themeColor="text1"/>
          <w:sz w:val="24"/>
          <w:szCs w:val="24"/>
        </w:rPr>
        <w:t xml:space="preserve"> i</w:t>
      </w:r>
      <w:r w:rsidR="00F12E48" w:rsidRPr="0083678C">
        <w:rPr>
          <w:rFonts w:ascii="Book Antiqua" w:hAnsi="Book Antiqua" w:cs="Times New Roman"/>
          <w:b/>
          <w:color w:val="000000" w:themeColor="text1"/>
          <w:sz w:val="24"/>
          <w:szCs w:val="24"/>
        </w:rPr>
        <w:t xml:space="preserve">n </w:t>
      </w:r>
      <w:r w:rsidR="00590380" w:rsidRPr="0083678C">
        <w:rPr>
          <w:rFonts w:ascii="Book Antiqua" w:hAnsi="Book Antiqua" w:cs="Times New Roman"/>
          <w:b/>
          <w:color w:val="000000" w:themeColor="text1"/>
          <w:sz w:val="24"/>
          <w:szCs w:val="24"/>
        </w:rPr>
        <w:t>w</w:t>
      </w:r>
      <w:r w:rsidR="006F7859" w:rsidRPr="0083678C">
        <w:rPr>
          <w:rFonts w:ascii="Book Antiqua" w:hAnsi="Book Antiqua" w:cs="Times New Roman"/>
          <w:b/>
          <w:color w:val="000000" w:themeColor="text1"/>
          <w:sz w:val="24"/>
          <w:szCs w:val="24"/>
        </w:rPr>
        <w:t>estern countries</w:t>
      </w:r>
      <w:r w:rsidR="00590380" w:rsidRPr="0083678C">
        <w:rPr>
          <w:rFonts w:ascii="Book Antiqua" w:hAnsi="Book Antiqua" w:cs="Times New Roman"/>
          <w:b/>
          <w:color w:val="000000" w:themeColor="text1"/>
          <w:sz w:val="24"/>
          <w:szCs w:val="24"/>
        </w:rPr>
        <w:t xml:space="preserve">: </w:t>
      </w:r>
      <w:r w:rsidR="00C34D5E" w:rsidRPr="0083678C">
        <w:rPr>
          <w:rFonts w:ascii="Book Antiqua" w:hAnsi="Book Antiqua" w:cs="Times New Roman"/>
          <w:color w:val="000000" w:themeColor="text1"/>
          <w:sz w:val="24"/>
          <w:szCs w:val="24"/>
        </w:rPr>
        <w:t>A study was conducted in 284 dyspeptic patients from 14 European countries to evaluate the role of sPGr as a screening test for moderate-to-severe and multifocal atrophic gastritis</w:t>
      </w:r>
      <w:r w:rsidR="00782E51"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59</w:t>
      </w:r>
      <w:r w:rsidR="00782E51" w:rsidRPr="0083678C">
        <w:rPr>
          <w:rFonts w:ascii="Book Antiqua" w:hAnsi="Book Antiqua"/>
          <w:color w:val="000000" w:themeColor="text1"/>
          <w:sz w:val="24"/>
          <w:szCs w:val="24"/>
          <w:vertAlign w:val="superscript"/>
        </w:rPr>
        <w:t>]</w:t>
      </w:r>
      <w:r w:rsidR="0048090A" w:rsidRPr="0083678C">
        <w:rPr>
          <w:rFonts w:ascii="Book Antiqua" w:hAnsi="Book Antiqua"/>
          <w:color w:val="000000" w:themeColor="text1"/>
          <w:sz w:val="24"/>
          <w:szCs w:val="24"/>
        </w:rPr>
        <w:t>.</w:t>
      </w:r>
      <w:r w:rsidR="00F12E48" w:rsidRPr="0083678C">
        <w:rPr>
          <w:rFonts w:ascii="Book Antiqua" w:hAnsi="Book Antiqua"/>
          <w:color w:val="000000" w:themeColor="text1"/>
          <w:sz w:val="24"/>
          <w:szCs w:val="24"/>
        </w:rPr>
        <w:t xml:space="preserve"> </w:t>
      </w:r>
      <w:r w:rsidR="00C34D5E" w:rsidRPr="0083678C">
        <w:rPr>
          <w:rFonts w:ascii="Book Antiqua" w:hAnsi="Book Antiqua" w:cs="Times New Roman"/>
          <w:color w:val="000000" w:themeColor="text1"/>
          <w:sz w:val="24"/>
          <w:szCs w:val="24"/>
        </w:rPr>
        <w:t>The best cut-off point of sPGr was 5.6, which showed 65.0% sensitivity and 77.9% specificity. Another study, which was one of a few population-based studies in Western countries, was conducted to investigate the serum levels of PGI and sPGr in asymptomatic individuals in northern Portugal, a region with high incidence of GC</w:t>
      </w:r>
      <w:r w:rsidR="00782E51"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60</w:t>
      </w:r>
      <w:r w:rsidR="00782E51" w:rsidRPr="0083678C">
        <w:rPr>
          <w:rFonts w:ascii="Book Antiqua" w:hAnsi="Book Antiqua"/>
          <w:color w:val="000000" w:themeColor="text1"/>
          <w:sz w:val="24"/>
          <w:szCs w:val="24"/>
          <w:vertAlign w:val="superscript"/>
        </w:rPr>
        <w:t>]</w:t>
      </w:r>
      <w:r w:rsidR="0048090A" w:rsidRPr="0083678C">
        <w:rPr>
          <w:rFonts w:ascii="Book Antiqua" w:hAnsi="Book Antiqua"/>
          <w:color w:val="000000" w:themeColor="text1"/>
          <w:sz w:val="24"/>
          <w:szCs w:val="24"/>
        </w:rPr>
        <w:t>.</w:t>
      </w:r>
      <w:r w:rsidR="00F12E48" w:rsidRPr="0083678C">
        <w:rPr>
          <w:rFonts w:ascii="Book Antiqua" w:hAnsi="Book Antiqua"/>
          <w:color w:val="000000" w:themeColor="text1"/>
          <w:sz w:val="24"/>
          <w:szCs w:val="24"/>
        </w:rPr>
        <w:t xml:space="preserve"> </w:t>
      </w:r>
      <w:r w:rsidR="00C34D5E" w:rsidRPr="0083678C">
        <w:rPr>
          <w:rFonts w:ascii="Book Antiqua" w:hAnsi="Book Antiqua" w:cs="Times New Roman"/>
          <w:color w:val="000000" w:themeColor="text1"/>
          <w:sz w:val="24"/>
          <w:szCs w:val="24"/>
        </w:rPr>
        <w:t>The participants, whose ages ranged from 40 to 79 years, were classified into a positive test group (PG I ≤</w:t>
      </w:r>
      <w:r w:rsidR="00590380" w:rsidRPr="0083678C">
        <w:rPr>
          <w:rFonts w:ascii="Book Antiqua" w:hAnsi="Book Antiqua" w:cs="Times New Roman"/>
          <w:color w:val="000000" w:themeColor="text1"/>
          <w:sz w:val="24"/>
          <w:szCs w:val="24"/>
        </w:rPr>
        <w:t xml:space="preserve"> </w:t>
      </w:r>
      <w:r w:rsidR="00C34D5E" w:rsidRPr="0083678C">
        <w:rPr>
          <w:rFonts w:ascii="Book Antiqua" w:hAnsi="Book Antiqua" w:cs="Times New Roman"/>
          <w:color w:val="000000" w:themeColor="text1"/>
          <w:sz w:val="24"/>
          <w:szCs w:val="24"/>
        </w:rPr>
        <w:t xml:space="preserve">70 </w:t>
      </w:r>
      <w:r w:rsidR="00590380" w:rsidRPr="0083678C">
        <w:rPr>
          <w:rFonts w:ascii="Book Antiqua" w:hAnsi="Book Antiqua" w:cs="Times New Roman"/>
          <w:color w:val="000000" w:themeColor="text1"/>
          <w:sz w:val="24"/>
          <w:szCs w:val="24"/>
        </w:rPr>
        <w:t>ng/mL</w:t>
      </w:r>
      <w:r w:rsidR="00C34D5E" w:rsidRPr="0083678C">
        <w:rPr>
          <w:rFonts w:ascii="Book Antiqua" w:hAnsi="Book Antiqua" w:cs="Times New Roman"/>
          <w:color w:val="000000" w:themeColor="text1"/>
          <w:sz w:val="24"/>
          <w:szCs w:val="24"/>
        </w:rPr>
        <w:t xml:space="preserve"> and sPGr ≤ 3) and a negative test group (all others). All participants with a positive test result and a consecutive random sample of participants with negative test results underwent EGD and were followed up in 5 years. In the detection of GC development during the follow-up period, this test showed 67% sensitivity, 47% specificity, a positive predictive value of 2% and a negative predictive value of 99%. Recently, a study investigating the cost-effectiveness of population screening strategies based on biomarkers and endoscopy was conducted in the United States</w:t>
      </w:r>
      <w:r w:rsidR="00782E51"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61</w:t>
      </w:r>
      <w:r w:rsidR="00782E51" w:rsidRPr="0083678C">
        <w:rPr>
          <w:rFonts w:ascii="Book Antiqua" w:hAnsi="Book Antiqua"/>
          <w:color w:val="000000" w:themeColor="text1"/>
          <w:sz w:val="24"/>
          <w:szCs w:val="24"/>
          <w:vertAlign w:val="superscript"/>
        </w:rPr>
        <w:t>]</w:t>
      </w:r>
      <w:r w:rsidR="00133BED" w:rsidRPr="0083678C">
        <w:rPr>
          <w:rFonts w:ascii="Book Antiqua" w:hAnsi="Book Antiqua"/>
          <w:color w:val="000000" w:themeColor="text1"/>
          <w:sz w:val="24"/>
          <w:szCs w:val="24"/>
        </w:rPr>
        <w:t xml:space="preserve">. </w:t>
      </w:r>
      <w:r w:rsidR="00C34D5E" w:rsidRPr="0083678C">
        <w:rPr>
          <w:rFonts w:ascii="Book Antiqua" w:hAnsi="Book Antiqua" w:cs="Times New Roman"/>
          <w:color w:val="000000" w:themeColor="text1"/>
          <w:sz w:val="24"/>
          <w:szCs w:val="24"/>
        </w:rPr>
        <w:t>This study found that although one-time serum PG testing at 50 years of age could prevent one in four cases of GC among men, it was not of high value in improving the outcomes of GC. However, targeting the high-risk group (</w:t>
      </w:r>
      <w:r w:rsidR="00C34D5E" w:rsidRPr="0083678C">
        <w:rPr>
          <w:rFonts w:ascii="Book Antiqua" w:hAnsi="Book Antiqua" w:cs="Times New Roman"/>
          <w:i/>
          <w:color w:val="000000" w:themeColor="text1"/>
          <w:sz w:val="24"/>
          <w:szCs w:val="24"/>
        </w:rPr>
        <w:t xml:space="preserve">i.e., </w:t>
      </w:r>
      <w:r w:rsidR="00C34D5E" w:rsidRPr="0083678C">
        <w:rPr>
          <w:rFonts w:ascii="Book Antiqua" w:hAnsi="Book Antiqua" w:cs="Times New Roman"/>
          <w:color w:val="000000" w:themeColor="text1"/>
          <w:sz w:val="24"/>
          <w:szCs w:val="24"/>
        </w:rPr>
        <w:t>male, smokers of &gt;</w:t>
      </w:r>
      <w:r w:rsidR="00590380" w:rsidRPr="0083678C">
        <w:rPr>
          <w:rFonts w:ascii="Book Antiqua" w:hAnsi="Book Antiqua" w:cs="Times New Roman"/>
          <w:color w:val="000000" w:themeColor="text1"/>
          <w:sz w:val="24"/>
          <w:szCs w:val="24"/>
        </w:rPr>
        <w:t xml:space="preserve"> </w:t>
      </w:r>
      <w:r w:rsidR="00C34D5E" w:rsidRPr="0083678C">
        <w:rPr>
          <w:rFonts w:ascii="Book Antiqua" w:hAnsi="Book Antiqua" w:cs="Times New Roman"/>
          <w:color w:val="000000" w:themeColor="text1"/>
          <w:sz w:val="24"/>
          <w:szCs w:val="24"/>
        </w:rPr>
        <w:t>50 years of age) could be a cost-effective approach for reducing GC-related mortality</w:t>
      </w:r>
      <w:r w:rsidR="0062256E" w:rsidRPr="0083678C">
        <w:rPr>
          <w:rFonts w:ascii="Book Antiqua" w:hAnsi="Book Antiqua"/>
          <w:color w:val="000000" w:themeColor="text1"/>
          <w:sz w:val="24"/>
          <w:szCs w:val="24"/>
        </w:rPr>
        <w:t>.</w:t>
      </w:r>
    </w:p>
    <w:p w:rsidR="00590380" w:rsidRPr="0083678C" w:rsidRDefault="00590380" w:rsidP="00B43CE7">
      <w:pPr>
        <w:adjustRightInd w:val="0"/>
        <w:snapToGrid w:val="0"/>
        <w:spacing w:after="0" w:line="360" w:lineRule="auto"/>
        <w:jc w:val="both"/>
        <w:rPr>
          <w:rFonts w:ascii="Book Antiqua" w:hAnsi="Book Antiqua" w:cs="Times New Roman"/>
          <w:b/>
          <w:color w:val="000000" w:themeColor="text1"/>
          <w:sz w:val="24"/>
          <w:szCs w:val="24"/>
        </w:rPr>
      </w:pPr>
    </w:p>
    <w:p w:rsidR="00F12E48" w:rsidRPr="0083678C" w:rsidRDefault="00F42FF8" w:rsidP="00B43CE7">
      <w:pPr>
        <w:adjustRightInd w:val="0"/>
        <w:snapToGrid w:val="0"/>
        <w:spacing w:after="0" w:line="360" w:lineRule="auto"/>
        <w:jc w:val="both"/>
        <w:rPr>
          <w:rFonts w:ascii="Book Antiqua" w:hAnsi="Book Antiqua" w:cs="Times New Roman"/>
          <w:b/>
          <w:color w:val="000000" w:themeColor="text1"/>
          <w:sz w:val="24"/>
          <w:szCs w:val="24"/>
        </w:rPr>
      </w:pPr>
      <w:r w:rsidRPr="0083678C">
        <w:rPr>
          <w:rFonts w:ascii="Book Antiqua" w:hAnsi="Book Antiqua" w:cs="Times New Roman"/>
          <w:b/>
          <w:color w:val="000000" w:themeColor="text1"/>
          <w:sz w:val="24"/>
          <w:szCs w:val="24"/>
        </w:rPr>
        <w:t>Non-invasive approach</w:t>
      </w:r>
      <w:r w:rsidR="00B40B91" w:rsidRPr="0083678C">
        <w:rPr>
          <w:rFonts w:ascii="Book Antiqua" w:hAnsi="Book Antiqua" w:cs="Times New Roman"/>
          <w:b/>
          <w:color w:val="000000" w:themeColor="text1"/>
          <w:sz w:val="24"/>
          <w:szCs w:val="24"/>
        </w:rPr>
        <w:t>es</w:t>
      </w:r>
      <w:r w:rsidRPr="0083678C">
        <w:rPr>
          <w:rFonts w:ascii="Book Antiqua" w:hAnsi="Book Antiqua" w:cs="Times New Roman"/>
          <w:b/>
          <w:color w:val="000000" w:themeColor="text1"/>
          <w:sz w:val="24"/>
          <w:szCs w:val="24"/>
        </w:rPr>
        <w:t xml:space="preserve"> in </w:t>
      </w:r>
      <w:r w:rsidR="00590380" w:rsidRPr="0083678C">
        <w:rPr>
          <w:rFonts w:ascii="Book Antiqua" w:hAnsi="Book Antiqua" w:cs="Times New Roman"/>
          <w:b/>
          <w:color w:val="000000" w:themeColor="text1"/>
          <w:sz w:val="24"/>
          <w:szCs w:val="24"/>
        </w:rPr>
        <w:t>e</w:t>
      </w:r>
      <w:r w:rsidR="006F7859" w:rsidRPr="0083678C">
        <w:rPr>
          <w:rFonts w:ascii="Book Antiqua" w:hAnsi="Book Antiqua" w:cs="Times New Roman"/>
          <w:b/>
          <w:color w:val="000000" w:themeColor="text1"/>
          <w:sz w:val="24"/>
          <w:szCs w:val="24"/>
        </w:rPr>
        <w:t>astern countries</w:t>
      </w:r>
      <w:r w:rsidR="00590380" w:rsidRPr="0083678C">
        <w:rPr>
          <w:rFonts w:ascii="Book Antiqua" w:hAnsi="Book Antiqua" w:cs="Times New Roman"/>
          <w:b/>
          <w:color w:val="000000" w:themeColor="text1"/>
          <w:sz w:val="24"/>
          <w:szCs w:val="24"/>
        </w:rPr>
        <w:t xml:space="preserve">: </w:t>
      </w:r>
      <w:r w:rsidR="00B40B91" w:rsidRPr="0083678C">
        <w:rPr>
          <w:rFonts w:ascii="Book Antiqua" w:hAnsi="Book Antiqua" w:cs="Times New Roman"/>
          <w:color w:val="000000" w:themeColor="text1"/>
          <w:sz w:val="24"/>
          <w:szCs w:val="24"/>
        </w:rPr>
        <w:t>A meta-analysis was conducted to evaluate the prediction of GC development by sPGr, HpAb tests, and a risk-prediction model based on these two tests</w:t>
      </w:r>
      <w:r w:rsidR="00782E51"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62</w:t>
      </w:r>
      <w:r w:rsidR="00782E51" w:rsidRPr="0083678C">
        <w:rPr>
          <w:rFonts w:ascii="Book Antiqua" w:hAnsi="Book Antiqua"/>
          <w:color w:val="000000" w:themeColor="text1"/>
          <w:sz w:val="24"/>
          <w:szCs w:val="24"/>
          <w:vertAlign w:val="superscript"/>
        </w:rPr>
        <w:t>]</w:t>
      </w:r>
      <w:r w:rsidR="00133BED" w:rsidRPr="0083678C">
        <w:rPr>
          <w:rFonts w:ascii="Book Antiqua" w:hAnsi="Book Antiqua"/>
          <w:color w:val="000000" w:themeColor="text1"/>
          <w:sz w:val="24"/>
          <w:szCs w:val="24"/>
        </w:rPr>
        <w:t>.</w:t>
      </w:r>
      <w:r w:rsidR="00F12E48" w:rsidRPr="0083678C">
        <w:rPr>
          <w:rFonts w:ascii="Book Antiqua" w:hAnsi="Book Antiqua"/>
          <w:color w:val="000000" w:themeColor="text1"/>
          <w:sz w:val="24"/>
          <w:szCs w:val="24"/>
        </w:rPr>
        <w:t xml:space="preserve"> </w:t>
      </w:r>
      <w:r w:rsidR="00B40B91" w:rsidRPr="0083678C">
        <w:rPr>
          <w:rFonts w:ascii="Book Antiqua" w:hAnsi="Book Antiqua" w:cs="Times New Roman"/>
          <w:color w:val="000000" w:themeColor="text1"/>
          <w:sz w:val="24"/>
          <w:szCs w:val="24"/>
        </w:rPr>
        <w:t xml:space="preserve">This model categorized patients into four groups: low risk (A: HpAb -, sPGr-), moderate risk (B: HpAb+ and sPGr-), and high risk (C: </w:t>
      </w:r>
      <w:r w:rsidR="00B40B91" w:rsidRPr="0083678C">
        <w:rPr>
          <w:rFonts w:ascii="Book Antiqua" w:hAnsi="Book Antiqua" w:cs="Times New Roman"/>
          <w:color w:val="000000" w:themeColor="text1"/>
          <w:sz w:val="24"/>
          <w:szCs w:val="24"/>
        </w:rPr>
        <w:lastRenderedPageBreak/>
        <w:t>HpAb+ and sPGr+; D: HpAb</w:t>
      </w:r>
      <w:r w:rsidR="00590380" w:rsidRPr="0083678C">
        <w:rPr>
          <w:rFonts w:ascii="Book Antiqua" w:hAnsi="Book Antiqua" w:cs="Times New Roman"/>
          <w:color w:val="000000" w:themeColor="text1"/>
          <w:sz w:val="24"/>
          <w:szCs w:val="24"/>
        </w:rPr>
        <w:t>-</w:t>
      </w:r>
      <w:r w:rsidR="00B40B91" w:rsidRPr="0083678C">
        <w:rPr>
          <w:rFonts w:ascii="Book Antiqua" w:hAnsi="Book Antiqua" w:cs="Times New Roman"/>
          <w:color w:val="000000" w:themeColor="text1"/>
          <w:sz w:val="24"/>
          <w:szCs w:val="24"/>
        </w:rPr>
        <w:t>and sPGr+). This study included 9 prospective cohorts from Eastern Asian countries with a total of 33741 asymptomatic participants in GC screening programs. The mean ages of the participants at enrollment ranged from 45 to 57 years, while the mean follow-up ranged from 3.9 to 14 years. This study found that adults with a positive sPGr test had an approximately four-fold higher risk of developing GC than those with a negative test. In addition, the four-risk-group prediction model had the potential to stratify middle-aged presumptively healthy adults according to the risk of GC development</w:t>
      </w:r>
      <w:r w:rsidR="00F12E48" w:rsidRPr="0083678C">
        <w:rPr>
          <w:rFonts w:ascii="Book Antiqua" w:hAnsi="Book Antiqua"/>
          <w:color w:val="000000" w:themeColor="text1"/>
          <w:sz w:val="24"/>
          <w:szCs w:val="24"/>
        </w:rPr>
        <w:t xml:space="preserve">. </w:t>
      </w:r>
    </w:p>
    <w:p w:rsidR="007C156F" w:rsidRPr="0083678C" w:rsidRDefault="001F53D9" w:rsidP="00590380">
      <w:pPr>
        <w:adjustRightInd w:val="0"/>
        <w:snapToGrid w:val="0"/>
        <w:spacing w:after="0" w:line="360" w:lineRule="auto"/>
        <w:ind w:firstLineChars="100" w:firstLine="240"/>
        <w:jc w:val="both"/>
        <w:rPr>
          <w:rFonts w:ascii="Book Antiqua" w:hAnsi="Book Antiqua"/>
          <w:color w:val="000000" w:themeColor="text1"/>
          <w:sz w:val="24"/>
          <w:szCs w:val="24"/>
        </w:rPr>
      </w:pPr>
      <w:r w:rsidRPr="0083678C">
        <w:rPr>
          <w:rFonts w:ascii="Book Antiqua" w:hAnsi="Book Antiqua" w:cs="Times New Roman"/>
          <w:color w:val="000000" w:themeColor="text1"/>
          <w:sz w:val="24"/>
          <w:szCs w:val="24"/>
        </w:rPr>
        <w:t xml:space="preserve">Another meta-analysis, which consisted of over 30000 individuals across 13 different </w:t>
      </w:r>
      <w:r w:rsidR="00590380" w:rsidRPr="0083678C">
        <w:rPr>
          <w:rFonts w:ascii="Book Antiqua" w:hAnsi="Book Antiqua" w:cs="Times New Roman"/>
          <w:color w:val="000000" w:themeColor="text1"/>
          <w:sz w:val="24"/>
          <w:szCs w:val="24"/>
        </w:rPr>
        <w:t>western and eastern co</w:t>
      </w:r>
      <w:r w:rsidRPr="0083678C">
        <w:rPr>
          <w:rFonts w:ascii="Book Antiqua" w:hAnsi="Book Antiqua" w:cs="Times New Roman"/>
          <w:color w:val="000000" w:themeColor="text1"/>
          <w:sz w:val="24"/>
          <w:szCs w:val="24"/>
        </w:rPr>
        <w:t>untries, was conducted to assess the accuracy of serum PG testing in the diagnosis of GC and chronic atrophic gastritis (CAG)</w:t>
      </w:r>
      <w:r w:rsidR="00782E51"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63</w:t>
      </w:r>
      <w:r w:rsidR="00782E51" w:rsidRPr="0083678C">
        <w:rPr>
          <w:rFonts w:ascii="Book Antiqua" w:hAnsi="Book Antiqua"/>
          <w:color w:val="000000" w:themeColor="text1"/>
          <w:sz w:val="24"/>
          <w:szCs w:val="24"/>
          <w:vertAlign w:val="superscript"/>
        </w:rPr>
        <w:t>]</w:t>
      </w:r>
      <w:r w:rsidR="006A58E2" w:rsidRPr="0083678C">
        <w:rPr>
          <w:rFonts w:ascii="Book Antiqua" w:hAnsi="Book Antiqua"/>
          <w:color w:val="000000" w:themeColor="text1"/>
          <w:sz w:val="24"/>
          <w:szCs w:val="24"/>
        </w:rPr>
        <w:t>.</w:t>
      </w:r>
      <w:r w:rsidR="001557FC" w:rsidRPr="0083678C">
        <w:rPr>
          <w:rFonts w:ascii="Book Antiqua" w:hAnsi="Book Antiqua"/>
          <w:color w:val="000000" w:themeColor="text1"/>
          <w:sz w:val="24"/>
          <w:szCs w:val="24"/>
        </w:rPr>
        <w:t xml:space="preserve"> </w:t>
      </w:r>
      <w:r w:rsidRPr="0083678C">
        <w:rPr>
          <w:rFonts w:ascii="Book Antiqua" w:hAnsi="Book Antiqua" w:cs="Times New Roman"/>
          <w:color w:val="000000" w:themeColor="text1"/>
          <w:sz w:val="24"/>
          <w:szCs w:val="24"/>
        </w:rPr>
        <w:t>This study showed that serum PG testing had 69% sensitivity and 73% specificity in the diagnosis of GC, and 69% sensitivity and 88% specificity in the diagnosis of CAG. However, there were significant variations in serum PG measurement methods and cut-off values of PGI and sPGr among the included studies</w:t>
      </w:r>
      <w:r w:rsidR="00497B95" w:rsidRPr="0083678C">
        <w:rPr>
          <w:rFonts w:ascii="Book Antiqua" w:hAnsi="Book Antiqua"/>
          <w:color w:val="000000" w:themeColor="text1"/>
          <w:sz w:val="24"/>
          <w:szCs w:val="24"/>
        </w:rPr>
        <w:t>.</w:t>
      </w:r>
    </w:p>
    <w:p w:rsidR="00F12E48" w:rsidRPr="0083678C" w:rsidRDefault="004A3F86" w:rsidP="00590380">
      <w:pPr>
        <w:adjustRightInd w:val="0"/>
        <w:snapToGrid w:val="0"/>
        <w:spacing w:after="0" w:line="360" w:lineRule="auto"/>
        <w:ind w:firstLineChars="100" w:firstLine="240"/>
        <w:jc w:val="both"/>
        <w:rPr>
          <w:rFonts w:ascii="Book Antiqua" w:hAnsi="Book Antiqua"/>
          <w:color w:val="000000" w:themeColor="text1"/>
          <w:sz w:val="24"/>
          <w:szCs w:val="24"/>
        </w:rPr>
      </w:pPr>
      <w:r w:rsidRPr="0083678C">
        <w:rPr>
          <w:rFonts w:ascii="Book Antiqua" w:hAnsi="Book Antiqua" w:cs="Times New Roman"/>
          <w:color w:val="000000" w:themeColor="text1"/>
          <w:sz w:val="24"/>
          <w:szCs w:val="24"/>
        </w:rPr>
        <w:t>One other meta-analysis was conducted to assess the combination of sPGr, gastrin-17 and HpAb tests in the diagnosis of CAG. As Gastrin-17 is only secreted by the G cells of the antral mucosa, a low serum Gastrin-17 level in combination with a positive HpAb test would indicate the presence of antral CAG; and a combination of sPGr, Gastrin-17 and HpAb tests would help to detect the presence and site of CAG</w:t>
      </w:r>
      <w:r w:rsidR="00782E51"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64</w:t>
      </w:r>
      <w:r w:rsidR="00782E51" w:rsidRPr="0083678C">
        <w:rPr>
          <w:rFonts w:ascii="Book Antiqua" w:hAnsi="Book Antiqua"/>
          <w:color w:val="000000" w:themeColor="text1"/>
          <w:sz w:val="24"/>
          <w:szCs w:val="24"/>
          <w:vertAlign w:val="superscript"/>
        </w:rPr>
        <w:t>]</w:t>
      </w:r>
      <w:r w:rsidR="00F12E48" w:rsidRPr="0083678C">
        <w:rPr>
          <w:rFonts w:ascii="Book Antiqua" w:hAnsi="Book Antiqua"/>
          <w:color w:val="000000" w:themeColor="text1"/>
          <w:sz w:val="24"/>
          <w:szCs w:val="24"/>
        </w:rPr>
        <w:t xml:space="preserve">. </w:t>
      </w:r>
      <w:r w:rsidRPr="0083678C">
        <w:rPr>
          <w:rFonts w:ascii="Book Antiqua" w:hAnsi="Book Antiqua" w:cs="Times New Roman"/>
          <w:color w:val="000000" w:themeColor="text1"/>
          <w:sz w:val="24"/>
          <w:szCs w:val="24"/>
        </w:rPr>
        <w:t>This meta-analysis included 20 eligible studies with a total of 4241 subjects. The median prevalence of CAG across the included studies was 27%. The test sensitivity, specificity, negative predictive value and positive predictive value for the diagnosis of CAG were 74.7%, 95.6%, 91% and 86%, respectively. However, that only six of the 20 included studies considered moderate-to-severe gastric atrophy as a gold standard might have adversely affected the practical usefulness of the study results</w:t>
      </w:r>
      <w:r w:rsidR="00F6638A" w:rsidRPr="0083678C">
        <w:rPr>
          <w:rFonts w:ascii="Book Antiqua" w:hAnsi="Book Antiqua"/>
          <w:color w:val="000000" w:themeColor="text1"/>
          <w:sz w:val="24"/>
          <w:szCs w:val="24"/>
        </w:rPr>
        <w:t>.</w:t>
      </w:r>
      <w:r w:rsidR="00876815" w:rsidRPr="0083678C">
        <w:rPr>
          <w:rFonts w:ascii="Book Antiqua" w:hAnsi="Book Antiqua"/>
          <w:color w:val="000000" w:themeColor="text1"/>
          <w:sz w:val="24"/>
          <w:szCs w:val="24"/>
        </w:rPr>
        <w:t xml:space="preserve"> </w:t>
      </w:r>
    </w:p>
    <w:p w:rsidR="005F4B2A" w:rsidRPr="0083678C" w:rsidRDefault="0005072A" w:rsidP="00590380">
      <w:pPr>
        <w:adjustRightInd w:val="0"/>
        <w:snapToGrid w:val="0"/>
        <w:spacing w:after="0" w:line="360" w:lineRule="auto"/>
        <w:ind w:firstLineChars="100" w:firstLine="240"/>
        <w:jc w:val="both"/>
        <w:rPr>
          <w:rFonts w:ascii="Book Antiqua" w:hAnsi="Book Antiqua"/>
          <w:color w:val="000000" w:themeColor="text1"/>
          <w:sz w:val="24"/>
          <w:szCs w:val="24"/>
        </w:rPr>
      </w:pPr>
      <w:r w:rsidRPr="0083678C">
        <w:rPr>
          <w:rFonts w:ascii="Book Antiqua" w:hAnsi="Book Antiqua" w:cs="Times New Roman"/>
          <w:color w:val="000000" w:themeColor="text1"/>
          <w:sz w:val="24"/>
          <w:szCs w:val="24"/>
        </w:rPr>
        <w:t xml:space="preserve">There may be some exceptions regarding the use of the serum PG test in predicting the development of GC in different populations. Notably, a study from Singapore was conducted to examine whether racial differences in the prevalence of </w:t>
      </w:r>
      <w:r w:rsidRPr="0083678C">
        <w:rPr>
          <w:rFonts w:ascii="Book Antiqua" w:hAnsi="Book Antiqua" w:cs="Times New Roman"/>
          <w:i/>
          <w:iCs/>
          <w:color w:val="000000" w:themeColor="text1"/>
          <w:sz w:val="24"/>
          <w:szCs w:val="24"/>
        </w:rPr>
        <w:t xml:space="preserve">H. pylori </w:t>
      </w:r>
      <w:r w:rsidRPr="0083678C">
        <w:rPr>
          <w:rFonts w:ascii="Book Antiqua" w:hAnsi="Book Antiqua" w:cs="Times New Roman"/>
          <w:iCs/>
          <w:color w:val="000000" w:themeColor="text1"/>
          <w:sz w:val="24"/>
          <w:szCs w:val="24"/>
        </w:rPr>
        <w:t xml:space="preserve">infection </w:t>
      </w:r>
      <w:r w:rsidRPr="0083678C">
        <w:rPr>
          <w:rFonts w:ascii="Book Antiqua" w:hAnsi="Book Antiqua" w:cs="Times New Roman"/>
          <w:color w:val="000000" w:themeColor="text1"/>
          <w:sz w:val="24"/>
          <w:szCs w:val="24"/>
        </w:rPr>
        <w:lastRenderedPageBreak/>
        <w:t>and serum PG level could account for racial differences in the incidence of GC</w:t>
      </w:r>
      <w:r w:rsidR="00782E51"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65</w:t>
      </w:r>
      <w:r w:rsidR="00782E51" w:rsidRPr="0083678C">
        <w:rPr>
          <w:rFonts w:ascii="Book Antiqua" w:hAnsi="Book Antiqua"/>
          <w:color w:val="000000" w:themeColor="text1"/>
          <w:sz w:val="24"/>
          <w:szCs w:val="24"/>
          <w:vertAlign w:val="superscript"/>
        </w:rPr>
        <w:t>]</w:t>
      </w:r>
      <w:r w:rsidR="00F12E48" w:rsidRPr="0083678C">
        <w:rPr>
          <w:rFonts w:ascii="Book Antiqua" w:hAnsi="Book Antiqua"/>
          <w:color w:val="000000" w:themeColor="text1"/>
          <w:sz w:val="24"/>
          <w:szCs w:val="24"/>
        </w:rPr>
        <w:t xml:space="preserve">. </w:t>
      </w:r>
      <w:r w:rsidRPr="0083678C">
        <w:rPr>
          <w:rFonts w:ascii="Book Antiqua" w:hAnsi="Book Antiqua" w:cs="Times New Roman"/>
          <w:color w:val="000000" w:themeColor="text1"/>
          <w:sz w:val="24"/>
          <w:szCs w:val="24"/>
        </w:rPr>
        <w:t xml:space="preserve">This study found that Indian subjects had a lower incidence of GC but a significantly higher prevalence of low PG in comparison to Chinese and Malay subjects. </w:t>
      </w:r>
      <w:r w:rsidR="00E5736D" w:rsidRPr="0083678C">
        <w:rPr>
          <w:rFonts w:ascii="Book Antiqua" w:hAnsi="Book Antiqua" w:cs="Times New Roman"/>
          <w:color w:val="000000" w:themeColor="text1"/>
          <w:sz w:val="24"/>
          <w:szCs w:val="24"/>
        </w:rPr>
        <w:t xml:space="preserve">The </w:t>
      </w:r>
      <w:r w:rsidRPr="0083678C">
        <w:rPr>
          <w:rFonts w:ascii="Book Antiqua" w:hAnsi="Book Antiqua" w:cs="Times New Roman"/>
          <w:color w:val="000000" w:themeColor="text1"/>
          <w:sz w:val="24"/>
          <w:szCs w:val="24"/>
        </w:rPr>
        <w:t xml:space="preserve">study highlighted the limited usefulness of serum PG testing in the Indian population. In addition, the rPGr level has been recently reported to return to the normal range in Japanese patients after successful </w:t>
      </w:r>
      <w:r w:rsidRPr="0083678C">
        <w:rPr>
          <w:rFonts w:ascii="Book Antiqua" w:hAnsi="Book Antiqua" w:cs="Times New Roman"/>
          <w:i/>
          <w:color w:val="000000" w:themeColor="text1"/>
          <w:sz w:val="24"/>
          <w:szCs w:val="24"/>
        </w:rPr>
        <w:t>H. pylori</w:t>
      </w:r>
      <w:r w:rsidRPr="0083678C">
        <w:rPr>
          <w:rFonts w:ascii="Book Antiqua" w:hAnsi="Book Antiqua" w:cs="Times New Roman"/>
          <w:color w:val="000000" w:themeColor="text1"/>
          <w:sz w:val="24"/>
          <w:szCs w:val="24"/>
        </w:rPr>
        <w:t xml:space="preserve"> eradication</w:t>
      </w:r>
      <w:r w:rsidR="00782E51"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66</w:t>
      </w:r>
      <w:r w:rsidR="00782E51" w:rsidRPr="0083678C">
        <w:rPr>
          <w:rFonts w:ascii="Book Antiqua" w:hAnsi="Book Antiqua"/>
          <w:color w:val="000000" w:themeColor="text1"/>
          <w:sz w:val="24"/>
          <w:szCs w:val="24"/>
          <w:vertAlign w:val="superscript"/>
        </w:rPr>
        <w:t>]</w:t>
      </w:r>
      <w:r w:rsidR="00AE0E84" w:rsidRPr="0083678C">
        <w:rPr>
          <w:rFonts w:ascii="Book Antiqua" w:hAnsi="Book Antiqua"/>
          <w:color w:val="000000" w:themeColor="text1"/>
          <w:sz w:val="24"/>
          <w:szCs w:val="24"/>
        </w:rPr>
        <w:t xml:space="preserve">. </w:t>
      </w:r>
      <w:r w:rsidRPr="0083678C">
        <w:rPr>
          <w:rFonts w:ascii="Book Antiqua" w:hAnsi="Book Antiqua" w:cs="Times New Roman"/>
          <w:color w:val="000000" w:themeColor="text1"/>
          <w:sz w:val="24"/>
          <w:szCs w:val="24"/>
        </w:rPr>
        <w:t xml:space="preserve">Thus, test results may be misleading in populations in which a large percentage of participants have undergone </w:t>
      </w:r>
      <w:r w:rsidRPr="0083678C">
        <w:rPr>
          <w:rFonts w:ascii="Book Antiqua" w:hAnsi="Book Antiqua" w:cs="Times New Roman"/>
          <w:i/>
          <w:color w:val="000000" w:themeColor="text1"/>
          <w:sz w:val="24"/>
          <w:szCs w:val="24"/>
        </w:rPr>
        <w:t xml:space="preserve">H. pylori </w:t>
      </w:r>
      <w:r w:rsidRPr="0083678C">
        <w:rPr>
          <w:rFonts w:ascii="Book Antiqua" w:hAnsi="Book Antiqua" w:cs="Times New Roman"/>
          <w:color w:val="000000" w:themeColor="text1"/>
          <w:sz w:val="24"/>
          <w:szCs w:val="24"/>
        </w:rPr>
        <w:t>eradication (intended and unintended)</w:t>
      </w:r>
      <w:r w:rsidR="00AE0E84" w:rsidRPr="0083678C">
        <w:rPr>
          <w:rFonts w:ascii="Book Antiqua" w:hAnsi="Book Antiqua"/>
          <w:color w:val="000000" w:themeColor="text1"/>
          <w:sz w:val="24"/>
          <w:szCs w:val="24"/>
        </w:rPr>
        <w:t>.</w:t>
      </w:r>
    </w:p>
    <w:p w:rsidR="00590380" w:rsidRPr="0083678C" w:rsidRDefault="00590380" w:rsidP="00590380">
      <w:pPr>
        <w:adjustRightInd w:val="0"/>
        <w:snapToGrid w:val="0"/>
        <w:spacing w:after="0" w:line="360" w:lineRule="auto"/>
        <w:ind w:firstLineChars="100" w:firstLine="240"/>
        <w:jc w:val="both"/>
        <w:rPr>
          <w:rFonts w:ascii="Book Antiqua" w:hAnsi="Book Antiqua"/>
          <w:color w:val="000000" w:themeColor="text1"/>
          <w:sz w:val="24"/>
          <w:szCs w:val="24"/>
        </w:rPr>
      </w:pPr>
    </w:p>
    <w:p w:rsidR="008F3392" w:rsidRPr="0083678C" w:rsidRDefault="008F3392" w:rsidP="00B43CE7">
      <w:pPr>
        <w:adjustRightInd w:val="0"/>
        <w:snapToGrid w:val="0"/>
        <w:spacing w:after="0" w:line="360" w:lineRule="auto"/>
        <w:jc w:val="both"/>
        <w:rPr>
          <w:rFonts w:ascii="Book Antiqua" w:hAnsi="Book Antiqua" w:cs="Times New Roman"/>
          <w:b/>
          <w:color w:val="000000" w:themeColor="text1"/>
          <w:sz w:val="24"/>
          <w:szCs w:val="24"/>
        </w:rPr>
      </w:pPr>
      <w:r w:rsidRPr="0083678C">
        <w:rPr>
          <w:rFonts w:ascii="Book Antiqua" w:hAnsi="Book Antiqua" w:cs="Times New Roman"/>
          <w:b/>
          <w:color w:val="000000" w:themeColor="text1"/>
          <w:sz w:val="24"/>
          <w:szCs w:val="24"/>
        </w:rPr>
        <w:t>LESSONS FROM WESTERN AND EASTERN PERSPECTIVES AND THE POSSIBILITY OF DEVELOPING AN INTEGRATED RESOURCE-SENSITIVE APPROACH TO IDENTIFY HIGH-RISK INDIVIDUALS</w:t>
      </w:r>
    </w:p>
    <w:p w:rsidR="00C13C34" w:rsidRPr="0083678C" w:rsidRDefault="00C13C34" w:rsidP="00B43CE7">
      <w:pPr>
        <w:adjustRightInd w:val="0"/>
        <w:snapToGrid w:val="0"/>
        <w:spacing w:after="0" w:line="360" w:lineRule="auto"/>
        <w:jc w:val="both"/>
        <w:rPr>
          <w:rFonts w:ascii="Book Antiqua" w:hAnsi="Book Antiqua" w:cs="Times New Roman"/>
          <w:b/>
          <w:i/>
          <w:color w:val="000000" w:themeColor="text1"/>
          <w:sz w:val="24"/>
          <w:szCs w:val="24"/>
        </w:rPr>
      </w:pPr>
      <w:r w:rsidRPr="0083678C">
        <w:rPr>
          <w:rFonts w:ascii="Book Antiqua" w:hAnsi="Book Antiqua" w:cs="Times New Roman"/>
          <w:b/>
          <w:i/>
          <w:color w:val="000000" w:themeColor="text1"/>
          <w:sz w:val="24"/>
          <w:szCs w:val="24"/>
        </w:rPr>
        <w:t>Pre-endoscopic risk assessment</w:t>
      </w:r>
    </w:p>
    <w:p w:rsidR="005F2243" w:rsidRPr="0083678C" w:rsidRDefault="008F3392" w:rsidP="00B43CE7">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The detection of high-risk precancerous gastric lesions generally requires endoscopy with biopsy. However, t</w:t>
      </w:r>
      <w:r w:rsidRPr="0083678C">
        <w:rPr>
          <w:rFonts w:ascii="Book Antiqua" w:hAnsi="Book Antiqua" w:cs="Times New Roman"/>
          <w:color w:val="000000" w:themeColor="text1"/>
          <w:sz w:val="24"/>
          <w:szCs w:val="24"/>
          <w:shd w:val="clear" w:color="auto" w:fill="FFFFFF"/>
        </w:rPr>
        <w:t xml:space="preserve">here are demographic and clinical features that are helpful for predicting the presence of these lesions, including ethnicity, gender, age, family history of GC, </w:t>
      </w:r>
      <w:r w:rsidRPr="0083678C">
        <w:rPr>
          <w:rFonts w:ascii="Book Antiqua" w:hAnsi="Book Antiqua" w:cs="Times New Roman"/>
          <w:i/>
          <w:color w:val="000000" w:themeColor="text1"/>
          <w:sz w:val="24"/>
          <w:szCs w:val="24"/>
          <w:shd w:val="clear" w:color="auto" w:fill="FFFFFF"/>
        </w:rPr>
        <w:t>H. pylori</w:t>
      </w:r>
      <w:r w:rsidRPr="0083678C">
        <w:rPr>
          <w:rFonts w:ascii="Book Antiqua" w:hAnsi="Book Antiqua" w:cs="Times New Roman"/>
          <w:color w:val="000000" w:themeColor="text1"/>
          <w:sz w:val="24"/>
          <w:szCs w:val="24"/>
          <w:shd w:val="clear" w:color="auto" w:fill="FFFFFF"/>
        </w:rPr>
        <w:t xml:space="preserve"> status and serum PG level</w:t>
      </w:r>
      <w:r w:rsidR="00782E51"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4</w:t>
      </w:r>
      <w:r w:rsidR="00782E51"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50</w:t>
      </w:r>
      <w:r w:rsidR="00782E51"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67</w:t>
      </w:r>
      <w:r w:rsidR="00782E51"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68</w:t>
      </w:r>
      <w:r w:rsidR="00782E51" w:rsidRPr="0083678C">
        <w:rPr>
          <w:rFonts w:ascii="Book Antiqua" w:hAnsi="Book Antiqua" w:cs="Times New Roman"/>
          <w:color w:val="000000" w:themeColor="text1"/>
          <w:sz w:val="24"/>
          <w:szCs w:val="24"/>
          <w:shd w:val="clear" w:color="auto" w:fill="FFFFFF"/>
          <w:vertAlign w:val="superscript"/>
        </w:rPr>
        <w:t>]</w:t>
      </w:r>
      <w:r w:rsidR="005F2243" w:rsidRPr="0083678C">
        <w:rPr>
          <w:rFonts w:ascii="Book Antiqua" w:hAnsi="Book Antiqua" w:cs="Times New Roman"/>
          <w:color w:val="000000" w:themeColor="text1"/>
          <w:sz w:val="24"/>
          <w:szCs w:val="24"/>
          <w:shd w:val="clear" w:color="auto" w:fill="FFFFFF"/>
        </w:rPr>
        <w:t>.</w:t>
      </w:r>
    </w:p>
    <w:p w:rsidR="00C87FA2" w:rsidRPr="0083678C" w:rsidRDefault="00DA7203" w:rsidP="00590380">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83678C">
        <w:rPr>
          <w:rFonts w:ascii="Book Antiqua" w:hAnsi="Book Antiqua" w:cs="Times New Roman"/>
          <w:color w:val="000000" w:themeColor="text1"/>
          <w:sz w:val="24"/>
          <w:szCs w:val="24"/>
          <w:shd w:val="clear" w:color="auto" w:fill="FFFFFF"/>
        </w:rPr>
        <w:t>A recent review found that individuals in the United States who are immigrants from high-risk regions (East Asia, Russia, or South America) had a higher risk of GC development in comparison to other Americans</w:t>
      </w:r>
      <w:r w:rsidR="00782E51"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68</w:t>
      </w:r>
      <w:r w:rsidR="00782E51" w:rsidRPr="0083678C">
        <w:rPr>
          <w:rFonts w:ascii="Book Antiqua" w:hAnsi="Book Antiqua" w:cs="Times New Roman"/>
          <w:color w:val="000000" w:themeColor="text1"/>
          <w:sz w:val="24"/>
          <w:szCs w:val="24"/>
          <w:shd w:val="clear" w:color="auto" w:fill="FFFFFF"/>
          <w:vertAlign w:val="superscript"/>
        </w:rPr>
        <w:t>]</w:t>
      </w:r>
      <w:r w:rsidR="00C87FA2" w:rsidRPr="0083678C">
        <w:rPr>
          <w:rFonts w:ascii="Book Antiqua" w:hAnsi="Book Antiqua" w:cs="Times New Roman"/>
          <w:color w:val="000000" w:themeColor="text1"/>
          <w:sz w:val="24"/>
          <w:szCs w:val="24"/>
          <w:shd w:val="clear" w:color="auto" w:fill="FFFFFF"/>
        </w:rPr>
        <w:t>.</w:t>
      </w:r>
      <w:r w:rsidR="00C13C34" w:rsidRPr="0083678C">
        <w:rPr>
          <w:rFonts w:ascii="Book Antiqua" w:hAnsi="Book Antiqua" w:cs="Times New Roman"/>
          <w:color w:val="000000" w:themeColor="text1"/>
          <w:sz w:val="24"/>
          <w:szCs w:val="24"/>
          <w:shd w:val="clear" w:color="auto" w:fill="FFFFFF"/>
        </w:rPr>
        <w:t xml:space="preserve"> </w:t>
      </w:r>
      <w:r w:rsidRPr="0083678C">
        <w:rPr>
          <w:rFonts w:ascii="Book Antiqua" w:hAnsi="Book Antiqua" w:cs="Times New Roman"/>
          <w:color w:val="000000" w:themeColor="text1"/>
          <w:sz w:val="24"/>
          <w:szCs w:val="24"/>
          <w:shd w:val="clear" w:color="auto" w:fill="FFFFFF"/>
        </w:rPr>
        <w:t>In multi-ethnic Southeast Asia countries, it was reported that some ethnic groups, including Chinese, Batak and Minahasanese, had higher risk in comparison to the other ethnic groups</w:t>
      </w:r>
      <w:r w:rsidR="00DD508B"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4</w:t>
      </w:r>
      <w:r w:rsidR="00DD508B" w:rsidRPr="0083678C">
        <w:rPr>
          <w:rFonts w:ascii="Book Antiqua" w:hAnsi="Book Antiqua" w:cs="Times New Roman"/>
          <w:color w:val="000000" w:themeColor="text1"/>
          <w:sz w:val="24"/>
          <w:szCs w:val="24"/>
          <w:shd w:val="clear" w:color="auto" w:fill="FFFFFF"/>
          <w:vertAlign w:val="superscript"/>
        </w:rPr>
        <w:t>]</w:t>
      </w:r>
      <w:r w:rsidR="00C13C34" w:rsidRPr="0083678C">
        <w:rPr>
          <w:rFonts w:ascii="Book Antiqua" w:hAnsi="Book Antiqua" w:cs="Times New Roman"/>
          <w:color w:val="000000" w:themeColor="text1"/>
          <w:sz w:val="24"/>
          <w:szCs w:val="24"/>
          <w:shd w:val="clear" w:color="auto" w:fill="FFFFFF"/>
        </w:rPr>
        <w:t>.</w:t>
      </w:r>
      <w:r w:rsidR="00C87FA2" w:rsidRPr="0083678C">
        <w:rPr>
          <w:rFonts w:ascii="Book Antiqua" w:hAnsi="Book Antiqua" w:cs="Times New Roman"/>
          <w:i/>
          <w:color w:val="000000" w:themeColor="text1"/>
          <w:sz w:val="24"/>
          <w:szCs w:val="24"/>
          <w:shd w:val="clear" w:color="auto" w:fill="FFFFFF"/>
        </w:rPr>
        <w:t xml:space="preserve"> </w:t>
      </w:r>
      <w:r w:rsidRPr="0083678C">
        <w:rPr>
          <w:rFonts w:ascii="Book Antiqua" w:hAnsi="Book Antiqua" w:cs="Times New Roman"/>
          <w:i/>
          <w:color w:val="000000" w:themeColor="text1"/>
          <w:sz w:val="24"/>
          <w:szCs w:val="24"/>
          <w:shd w:val="clear" w:color="auto" w:fill="FFFFFF"/>
        </w:rPr>
        <w:t xml:space="preserve">H. pylori </w:t>
      </w:r>
      <w:r w:rsidRPr="0083678C">
        <w:rPr>
          <w:rFonts w:ascii="Book Antiqua" w:hAnsi="Book Antiqua" w:cs="Times New Roman"/>
          <w:color w:val="000000" w:themeColor="text1"/>
          <w:sz w:val="24"/>
          <w:szCs w:val="24"/>
          <w:shd w:val="clear" w:color="auto" w:fill="FFFFFF"/>
        </w:rPr>
        <w:t>infection and having first-degree relatives diagnosed with GC have been reported as important risk factors for GC development worldwide</w:t>
      </w:r>
      <w:r w:rsidR="00782E51"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8</w:t>
      </w:r>
      <w:r w:rsidR="00782E51"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67</w:t>
      </w:r>
      <w:r w:rsidR="00782E51"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68</w:t>
      </w:r>
      <w:r w:rsidR="00782E51" w:rsidRPr="0083678C">
        <w:rPr>
          <w:rFonts w:ascii="Book Antiqua" w:hAnsi="Book Antiqua" w:cs="Times New Roman"/>
          <w:color w:val="000000" w:themeColor="text1"/>
          <w:sz w:val="24"/>
          <w:szCs w:val="24"/>
          <w:shd w:val="clear" w:color="auto" w:fill="FFFFFF"/>
          <w:vertAlign w:val="superscript"/>
        </w:rPr>
        <w:t>]</w:t>
      </w:r>
      <w:r w:rsidR="00C13C34" w:rsidRPr="0083678C">
        <w:rPr>
          <w:rFonts w:ascii="Book Antiqua" w:hAnsi="Book Antiqua" w:cs="Times New Roman"/>
          <w:color w:val="000000" w:themeColor="text1"/>
          <w:sz w:val="24"/>
          <w:szCs w:val="24"/>
          <w:shd w:val="clear" w:color="auto" w:fill="FFFFFF"/>
        </w:rPr>
        <w:t xml:space="preserve">. </w:t>
      </w:r>
      <w:r w:rsidRPr="0083678C">
        <w:rPr>
          <w:rFonts w:ascii="Book Antiqua" w:hAnsi="Book Antiqua" w:cs="Times New Roman"/>
          <w:color w:val="000000" w:themeColor="text1"/>
          <w:sz w:val="24"/>
          <w:szCs w:val="24"/>
          <w:shd w:val="clear" w:color="auto" w:fill="FFFFFF"/>
        </w:rPr>
        <w:t>In addition, male sex, smoking and advanced age are also associated with a higher risk of developing GC</w:t>
      </w:r>
      <w:r w:rsidR="00782E51"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61</w:t>
      </w:r>
      <w:r w:rsidR="00782E51"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69</w:t>
      </w:r>
      <w:r w:rsidR="00782E51"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70</w:t>
      </w:r>
      <w:r w:rsidR="00782E51" w:rsidRPr="0083678C">
        <w:rPr>
          <w:rFonts w:ascii="Book Antiqua" w:hAnsi="Book Antiqua" w:cs="Times New Roman"/>
          <w:color w:val="000000" w:themeColor="text1"/>
          <w:sz w:val="24"/>
          <w:szCs w:val="24"/>
          <w:shd w:val="clear" w:color="auto" w:fill="FFFFFF"/>
          <w:vertAlign w:val="superscript"/>
        </w:rPr>
        <w:t>]</w:t>
      </w:r>
      <w:r w:rsidR="00C13C34" w:rsidRPr="0083678C">
        <w:rPr>
          <w:rFonts w:ascii="Book Antiqua" w:hAnsi="Book Antiqua" w:cs="Times New Roman"/>
          <w:color w:val="000000" w:themeColor="text1"/>
          <w:sz w:val="24"/>
          <w:szCs w:val="24"/>
          <w:shd w:val="clear" w:color="auto" w:fill="FFFFFF"/>
        </w:rPr>
        <w:t xml:space="preserve">. </w:t>
      </w:r>
      <w:r w:rsidRPr="0083678C">
        <w:rPr>
          <w:rFonts w:ascii="Book Antiqua" w:hAnsi="Book Antiqua" w:cs="Times New Roman"/>
          <w:color w:val="000000" w:themeColor="text1"/>
          <w:sz w:val="24"/>
          <w:szCs w:val="24"/>
          <w:shd w:val="clear" w:color="auto" w:fill="FFFFFF"/>
        </w:rPr>
        <w:t>The age threshold may differ depending on the GC risk level in each region: it is approximately 40 years in high-risk regions and approximately 50 years in low-risk regions</w:t>
      </w:r>
      <w:r w:rsidR="00782E51"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67-69</w:t>
      </w:r>
      <w:r w:rsidR="00782E51" w:rsidRPr="0083678C">
        <w:rPr>
          <w:rFonts w:ascii="Book Antiqua" w:hAnsi="Book Antiqua" w:cs="Times New Roman"/>
          <w:color w:val="000000" w:themeColor="text1"/>
          <w:sz w:val="24"/>
          <w:szCs w:val="24"/>
          <w:shd w:val="clear" w:color="auto" w:fill="FFFFFF"/>
          <w:vertAlign w:val="superscript"/>
        </w:rPr>
        <w:t>]</w:t>
      </w:r>
      <w:r w:rsidR="00C13C34" w:rsidRPr="0083678C">
        <w:rPr>
          <w:rFonts w:ascii="Book Antiqua" w:hAnsi="Book Antiqua" w:cs="Times New Roman"/>
          <w:color w:val="000000" w:themeColor="text1"/>
          <w:sz w:val="24"/>
          <w:szCs w:val="24"/>
          <w:shd w:val="clear" w:color="auto" w:fill="FFFFFF"/>
        </w:rPr>
        <w:t xml:space="preserve">. </w:t>
      </w:r>
      <w:r w:rsidR="00AE0C3C" w:rsidRPr="0083678C">
        <w:rPr>
          <w:rFonts w:ascii="Book Antiqua" w:hAnsi="Book Antiqua" w:cs="Times New Roman"/>
          <w:color w:val="000000" w:themeColor="text1"/>
          <w:sz w:val="24"/>
          <w:szCs w:val="24"/>
          <w:shd w:val="clear" w:color="auto" w:fill="FFFFFF"/>
        </w:rPr>
        <w:t xml:space="preserve">In subjects with family history of GC, the age threshold is approximately 10 years younger than the age of the ﬁrst-degree relative at the diagnosis or 50 years of </w:t>
      </w:r>
      <w:r w:rsidR="00AE0C3C" w:rsidRPr="0083678C">
        <w:rPr>
          <w:rFonts w:ascii="Book Antiqua" w:hAnsi="Book Antiqua" w:cs="Times New Roman"/>
          <w:color w:val="000000" w:themeColor="text1"/>
          <w:sz w:val="24"/>
          <w:szCs w:val="24"/>
          <w:shd w:val="clear" w:color="auto" w:fill="FFFFFF"/>
        </w:rPr>
        <w:lastRenderedPageBreak/>
        <w:t>age (whichever is earlier)</w:t>
      </w:r>
      <w:r w:rsidR="00782E51" w:rsidRPr="0083678C">
        <w:rPr>
          <w:rFonts w:ascii="Book Antiqua" w:hAnsi="Book Antiqua" w:cs="Times New Roman"/>
          <w:color w:val="000000" w:themeColor="text1"/>
          <w:sz w:val="24"/>
          <w:szCs w:val="24"/>
          <w:shd w:val="clear" w:color="auto" w:fill="FFFFFF"/>
          <w:vertAlign w:val="superscript"/>
        </w:rPr>
        <w:t>[</w:t>
      </w:r>
      <w:r w:rsidR="0042791D" w:rsidRPr="0083678C">
        <w:rPr>
          <w:rFonts w:ascii="Book Antiqua" w:hAnsi="Book Antiqua" w:cs="Times New Roman"/>
          <w:color w:val="000000" w:themeColor="text1"/>
          <w:sz w:val="24"/>
          <w:szCs w:val="24"/>
          <w:shd w:val="clear" w:color="auto" w:fill="FFFFFF"/>
          <w:vertAlign w:val="superscript"/>
        </w:rPr>
        <w:t>68</w:t>
      </w:r>
      <w:r w:rsidR="00782E51" w:rsidRPr="0083678C">
        <w:rPr>
          <w:rFonts w:ascii="Book Antiqua" w:hAnsi="Book Antiqua" w:cs="Times New Roman"/>
          <w:color w:val="000000" w:themeColor="text1"/>
          <w:sz w:val="24"/>
          <w:szCs w:val="24"/>
          <w:shd w:val="clear" w:color="auto" w:fill="FFFFFF"/>
          <w:vertAlign w:val="superscript"/>
        </w:rPr>
        <w:t>]</w:t>
      </w:r>
      <w:r w:rsidR="00C87FA2" w:rsidRPr="0083678C">
        <w:rPr>
          <w:rFonts w:ascii="Book Antiqua" w:hAnsi="Book Antiqua" w:cs="Times New Roman"/>
          <w:color w:val="000000" w:themeColor="text1"/>
          <w:sz w:val="24"/>
          <w:szCs w:val="24"/>
          <w:shd w:val="clear" w:color="auto" w:fill="FFFFFF"/>
        </w:rPr>
        <w:t xml:space="preserve">. </w:t>
      </w:r>
      <w:r w:rsidR="00AE0C3C" w:rsidRPr="0083678C">
        <w:rPr>
          <w:rFonts w:ascii="Book Antiqua" w:hAnsi="Book Antiqua" w:cs="Times New Roman"/>
          <w:color w:val="000000" w:themeColor="text1"/>
          <w:sz w:val="24"/>
          <w:szCs w:val="24"/>
          <w:shd w:val="clear" w:color="auto" w:fill="FFFFFF"/>
        </w:rPr>
        <w:t>The application of the PG test in subjects with clinical high-risk characteristics has been shown to be promising but, as mentioned above, should be locally validated</w:t>
      </w:r>
      <w:r w:rsidR="00C87FA2" w:rsidRPr="0083678C">
        <w:rPr>
          <w:rFonts w:ascii="Book Antiqua" w:hAnsi="Book Antiqua" w:cs="Times New Roman"/>
          <w:color w:val="000000" w:themeColor="text1"/>
          <w:sz w:val="24"/>
          <w:szCs w:val="24"/>
          <w:shd w:val="clear" w:color="auto" w:fill="FFFFFF"/>
        </w:rPr>
        <w:t>.</w:t>
      </w:r>
    </w:p>
    <w:p w:rsidR="00C13C34" w:rsidRPr="0083678C" w:rsidRDefault="00495A09" w:rsidP="00590380">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83678C">
        <w:rPr>
          <w:rFonts w:ascii="Book Antiqua" w:hAnsi="Book Antiqua" w:cs="Times New Roman"/>
          <w:color w:val="000000" w:themeColor="text1"/>
          <w:sz w:val="24"/>
          <w:szCs w:val="24"/>
          <w:shd w:val="clear" w:color="auto" w:fill="FFFFFF"/>
        </w:rPr>
        <w:t>In summary, pre-endoscopic risk assessment is possible and it is helpful for selecting subjects with a high pre-test probability for a possibly cost-effective approach, especially in intermediate- and low-risk regions</w:t>
      </w:r>
      <w:r w:rsidR="00C13C34" w:rsidRPr="0083678C">
        <w:rPr>
          <w:rFonts w:ascii="Book Antiqua" w:hAnsi="Book Antiqua" w:cs="Times New Roman"/>
          <w:color w:val="000000" w:themeColor="text1"/>
          <w:sz w:val="24"/>
          <w:szCs w:val="24"/>
          <w:shd w:val="clear" w:color="auto" w:fill="FFFFFF"/>
        </w:rPr>
        <w:t>.</w:t>
      </w:r>
    </w:p>
    <w:p w:rsidR="00590380" w:rsidRPr="0083678C" w:rsidRDefault="00590380" w:rsidP="00590380">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rPr>
      </w:pPr>
    </w:p>
    <w:p w:rsidR="00333070" w:rsidRPr="0083678C" w:rsidRDefault="00333070" w:rsidP="00B43CE7">
      <w:pPr>
        <w:adjustRightInd w:val="0"/>
        <w:snapToGrid w:val="0"/>
        <w:spacing w:after="0" w:line="360" w:lineRule="auto"/>
        <w:jc w:val="both"/>
        <w:rPr>
          <w:rFonts w:ascii="Book Antiqua" w:hAnsi="Book Antiqua" w:cs="Times New Roman"/>
          <w:b/>
          <w:i/>
          <w:color w:val="000000" w:themeColor="text1"/>
          <w:sz w:val="24"/>
          <w:szCs w:val="24"/>
        </w:rPr>
      </w:pPr>
      <w:r w:rsidRPr="0083678C">
        <w:rPr>
          <w:rFonts w:ascii="Book Antiqua" w:hAnsi="Book Antiqua" w:cs="Times New Roman"/>
          <w:b/>
          <w:i/>
          <w:color w:val="000000" w:themeColor="text1"/>
          <w:sz w:val="24"/>
          <w:szCs w:val="24"/>
        </w:rPr>
        <w:t>Approaches for asymptomatic individuals</w:t>
      </w:r>
    </w:p>
    <w:p w:rsidR="005F4B2A" w:rsidRPr="0083678C" w:rsidRDefault="00333070" w:rsidP="00B43CE7">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The two key issues in selecting applicable approaches for asymptomatic individuals are the ability to reduce GC mortality, especially in high-risk regions, and the cost-effectiveness of the approach, especially in low- and intermediate-risk regions. The possibly applicable approaches, based on current evidence worldwide are summarized in Figure 2</w:t>
      </w:r>
      <w:r w:rsidR="005F4B2A" w:rsidRPr="0083678C">
        <w:rPr>
          <w:rFonts w:ascii="Book Antiqua" w:hAnsi="Book Antiqua" w:cs="Times New Roman"/>
          <w:color w:val="000000" w:themeColor="text1"/>
          <w:sz w:val="24"/>
          <w:szCs w:val="24"/>
        </w:rPr>
        <w:t xml:space="preserve">. </w:t>
      </w:r>
    </w:p>
    <w:p w:rsidR="00590380" w:rsidRPr="0083678C" w:rsidRDefault="00590380" w:rsidP="00B43CE7">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rsidR="005F4B2A" w:rsidRPr="0083678C" w:rsidRDefault="00473211" w:rsidP="00590380">
      <w:pPr>
        <w:adjustRightInd w:val="0"/>
        <w:snapToGrid w:val="0"/>
        <w:spacing w:after="0" w:line="360" w:lineRule="auto"/>
        <w:jc w:val="both"/>
        <w:textAlignment w:val="baseline"/>
        <w:rPr>
          <w:rFonts w:ascii="Book Antiqua" w:hAnsi="Book Antiqua" w:cs="Times New Roman"/>
          <w:b/>
          <w:color w:val="000000" w:themeColor="text1"/>
          <w:sz w:val="24"/>
          <w:szCs w:val="24"/>
        </w:rPr>
      </w:pPr>
      <w:r w:rsidRPr="0083678C">
        <w:rPr>
          <w:rFonts w:ascii="Book Antiqua" w:hAnsi="Book Antiqua" w:cs="Times New Roman"/>
          <w:b/>
          <w:color w:val="000000" w:themeColor="text1"/>
          <w:sz w:val="24"/>
          <w:szCs w:val="24"/>
        </w:rPr>
        <w:t xml:space="preserve">Approaches for asymptomatic individuals in </w:t>
      </w:r>
      <w:r w:rsidR="00590380" w:rsidRPr="0083678C">
        <w:rPr>
          <w:rFonts w:ascii="Book Antiqua" w:hAnsi="Book Antiqua" w:cs="Times New Roman"/>
          <w:b/>
          <w:color w:val="000000" w:themeColor="text1"/>
          <w:sz w:val="24"/>
          <w:szCs w:val="24"/>
        </w:rPr>
        <w:t>e</w:t>
      </w:r>
      <w:r w:rsidRPr="0083678C">
        <w:rPr>
          <w:rFonts w:ascii="Book Antiqua" w:hAnsi="Book Antiqua" w:cs="Times New Roman"/>
          <w:b/>
          <w:color w:val="000000" w:themeColor="text1"/>
          <w:sz w:val="24"/>
          <w:szCs w:val="24"/>
        </w:rPr>
        <w:t>astern countries</w:t>
      </w:r>
      <w:r w:rsidR="00590380" w:rsidRPr="0083678C">
        <w:rPr>
          <w:rFonts w:ascii="Book Antiqua" w:hAnsi="Book Antiqua" w:cs="Times New Roman"/>
          <w:b/>
          <w:color w:val="000000" w:themeColor="text1"/>
          <w:sz w:val="24"/>
          <w:szCs w:val="24"/>
        </w:rPr>
        <w:t xml:space="preserve">: </w:t>
      </w:r>
      <w:r w:rsidRPr="0083678C">
        <w:rPr>
          <w:rFonts w:ascii="Book Antiqua" w:hAnsi="Book Antiqua" w:cs="Times New Roman"/>
          <w:color w:val="000000" w:themeColor="text1"/>
          <w:sz w:val="24"/>
          <w:szCs w:val="24"/>
        </w:rPr>
        <w:t xml:space="preserve">At present, population-based screening programs have only been applied in some Asian countries with a high incidence of GC. In </w:t>
      </w:r>
      <w:r w:rsidR="00590380" w:rsidRPr="0083678C">
        <w:rPr>
          <w:rFonts w:ascii="Book Antiqua" w:hAnsi="Book Antiqua" w:cs="Times New Roman"/>
          <w:color w:val="000000" w:themeColor="text1"/>
          <w:sz w:val="24"/>
          <w:szCs w:val="24"/>
        </w:rPr>
        <w:t xml:space="preserve">South </w:t>
      </w:r>
      <w:r w:rsidRPr="0083678C">
        <w:rPr>
          <w:rFonts w:ascii="Book Antiqua" w:hAnsi="Book Antiqua" w:cs="Times New Roman"/>
          <w:color w:val="000000" w:themeColor="text1"/>
          <w:sz w:val="24"/>
          <w:szCs w:val="24"/>
        </w:rPr>
        <w:t>Korea, the national cancer screening program for GC by EGD or upper gastrointestinal series (UGS) was launched in 1999 as a Medicaid program, but it has since expanded to all subjects of ≥ 40 years of age since 2005</w:t>
      </w:r>
      <w:r w:rsidR="00782E51"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71</w:t>
      </w:r>
      <w:r w:rsidR="00782E51" w:rsidRPr="0083678C">
        <w:rPr>
          <w:rFonts w:ascii="Book Antiqua" w:hAnsi="Book Antiqua"/>
          <w:color w:val="000000" w:themeColor="text1"/>
          <w:sz w:val="24"/>
          <w:szCs w:val="24"/>
          <w:vertAlign w:val="superscript"/>
        </w:rPr>
        <w:t>]</w:t>
      </w:r>
      <w:r w:rsidR="005F4B2A" w:rsidRPr="0083678C">
        <w:rPr>
          <w:rFonts w:ascii="Book Antiqua" w:hAnsi="Book Antiqua"/>
          <w:color w:val="000000" w:themeColor="text1"/>
          <w:sz w:val="24"/>
          <w:szCs w:val="24"/>
        </w:rPr>
        <w:t xml:space="preserve">. </w:t>
      </w:r>
      <w:r w:rsidRPr="0083678C">
        <w:rPr>
          <w:rFonts w:ascii="Book Antiqua" w:hAnsi="Book Antiqua" w:cs="Times New Roman"/>
          <w:color w:val="000000" w:themeColor="text1"/>
          <w:sz w:val="24"/>
          <w:szCs w:val="24"/>
        </w:rPr>
        <w:t>A recent nested case-control study was conducted to assess the effectiveness of this program in reducing GC mortality. The study used data from 16584283 subjects who participated in the screening program since 2002, and found that the subjects who received EGD were less likely to die from GC in comparison to those who received UGS</w:t>
      </w:r>
      <w:r w:rsidR="00782E51"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72</w:t>
      </w:r>
      <w:r w:rsidR="00782E51" w:rsidRPr="0083678C">
        <w:rPr>
          <w:rFonts w:ascii="Book Antiqua" w:hAnsi="Book Antiqua"/>
          <w:color w:val="000000" w:themeColor="text1"/>
          <w:sz w:val="24"/>
          <w:szCs w:val="24"/>
          <w:vertAlign w:val="superscript"/>
        </w:rPr>
        <w:t>]</w:t>
      </w:r>
      <w:r w:rsidR="00133BED" w:rsidRPr="0083678C">
        <w:rPr>
          <w:rFonts w:ascii="Book Antiqua" w:hAnsi="Book Antiqua"/>
          <w:color w:val="000000" w:themeColor="text1"/>
          <w:sz w:val="24"/>
          <w:szCs w:val="24"/>
        </w:rPr>
        <w:t>.</w:t>
      </w:r>
      <w:r w:rsidR="003C44CF" w:rsidRPr="0083678C">
        <w:rPr>
          <w:rFonts w:ascii="Book Antiqua" w:hAnsi="Book Antiqua"/>
          <w:color w:val="000000" w:themeColor="text1"/>
          <w:sz w:val="24"/>
          <w:szCs w:val="24"/>
        </w:rPr>
        <w:t xml:space="preserve"> </w:t>
      </w:r>
      <w:r w:rsidRPr="0083678C">
        <w:rPr>
          <w:rFonts w:ascii="Book Antiqua" w:hAnsi="Book Antiqua" w:cs="Times New Roman"/>
          <w:color w:val="000000" w:themeColor="text1"/>
          <w:sz w:val="24"/>
          <w:szCs w:val="24"/>
        </w:rPr>
        <w:t>In Japan, a recent cohort study reported that the survival rate and GC mortality among Japanese patients with screening-detected GC were not significantly different from those with interval GC in the annual endoscopic screening program, which also suggested the benefit of endoscopic screening in reducing GC mortality</w:t>
      </w:r>
      <w:r w:rsidR="00782E51"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73</w:t>
      </w:r>
      <w:r w:rsidR="00782E51" w:rsidRPr="0083678C">
        <w:rPr>
          <w:rFonts w:ascii="Book Antiqua" w:hAnsi="Book Antiqua"/>
          <w:color w:val="000000" w:themeColor="text1"/>
          <w:sz w:val="24"/>
          <w:szCs w:val="24"/>
          <w:vertAlign w:val="superscript"/>
        </w:rPr>
        <w:t>]</w:t>
      </w:r>
      <w:r w:rsidR="00133BED" w:rsidRPr="0083678C">
        <w:rPr>
          <w:rFonts w:ascii="Book Antiqua" w:hAnsi="Book Antiqua"/>
          <w:color w:val="000000" w:themeColor="text1"/>
          <w:sz w:val="24"/>
          <w:szCs w:val="24"/>
        </w:rPr>
        <w:t>.</w:t>
      </w:r>
      <w:r w:rsidR="005F4B2A" w:rsidRPr="0083678C">
        <w:rPr>
          <w:rFonts w:ascii="Book Antiqua" w:hAnsi="Book Antiqua"/>
          <w:color w:val="000000" w:themeColor="text1"/>
          <w:sz w:val="24"/>
          <w:szCs w:val="24"/>
        </w:rPr>
        <w:t xml:space="preserve"> </w:t>
      </w:r>
      <w:r w:rsidR="00FE278F" w:rsidRPr="0083678C">
        <w:rPr>
          <w:rFonts w:ascii="Book Antiqua" w:hAnsi="Book Antiqua" w:cs="Times New Roman"/>
          <w:color w:val="000000" w:themeColor="text1"/>
          <w:sz w:val="24"/>
          <w:szCs w:val="24"/>
        </w:rPr>
        <w:t xml:space="preserve">The current Japanese guidelines for GC screening recommend the use of EGD or UGS for population-based and opportunistic screenings, but emphasize that the former method </w:t>
      </w:r>
      <w:r w:rsidR="00FE278F" w:rsidRPr="0083678C">
        <w:rPr>
          <w:rFonts w:ascii="Book Antiqua" w:hAnsi="Book Antiqua" w:cs="Times New Roman"/>
          <w:color w:val="000000" w:themeColor="text1"/>
          <w:sz w:val="24"/>
          <w:szCs w:val="24"/>
        </w:rPr>
        <w:lastRenderedPageBreak/>
        <w:t>is more sensitive than the later</w:t>
      </w:r>
      <w:r w:rsidR="00782E51"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74</w:t>
      </w:r>
      <w:r w:rsidR="00782E51" w:rsidRPr="0083678C">
        <w:rPr>
          <w:rFonts w:ascii="Book Antiqua" w:hAnsi="Book Antiqua"/>
          <w:color w:val="000000" w:themeColor="text1"/>
          <w:sz w:val="24"/>
          <w:szCs w:val="24"/>
          <w:vertAlign w:val="superscript"/>
        </w:rPr>
        <w:t>]</w:t>
      </w:r>
      <w:r w:rsidR="005F4B2A" w:rsidRPr="0083678C">
        <w:rPr>
          <w:rFonts w:ascii="Book Antiqua" w:hAnsi="Book Antiqua"/>
          <w:color w:val="000000" w:themeColor="text1"/>
          <w:sz w:val="24"/>
          <w:szCs w:val="24"/>
        </w:rPr>
        <w:t xml:space="preserve">. </w:t>
      </w:r>
      <w:r w:rsidR="00FE278F" w:rsidRPr="0083678C">
        <w:rPr>
          <w:rFonts w:ascii="Book Antiqua" w:hAnsi="Book Antiqua" w:cs="Times New Roman"/>
          <w:color w:val="000000" w:themeColor="text1"/>
          <w:sz w:val="24"/>
          <w:szCs w:val="24"/>
        </w:rPr>
        <w:t>Serum PG and HpAb tests are currently not recommended for population-based screening in Japan due to insufficient evidence on the reduction of GC mortality. In China, there have been no national screening programs for GC but some screening programs have been applied in high-risk regions of the country. Among these programs, the so-called two-step examination (</w:t>
      </w:r>
      <w:r w:rsidR="00FE278F" w:rsidRPr="0083678C">
        <w:rPr>
          <w:rFonts w:ascii="Book Antiqua" w:hAnsi="Book Antiqua" w:cs="Times New Roman"/>
          <w:i/>
          <w:color w:val="000000" w:themeColor="text1"/>
          <w:sz w:val="24"/>
          <w:szCs w:val="24"/>
        </w:rPr>
        <w:t xml:space="preserve">i.e., </w:t>
      </w:r>
      <w:r w:rsidR="00FE278F" w:rsidRPr="0083678C">
        <w:rPr>
          <w:rFonts w:ascii="Book Antiqua" w:hAnsi="Book Antiqua" w:cs="Times New Roman"/>
          <w:color w:val="000000" w:themeColor="text1"/>
          <w:sz w:val="24"/>
          <w:szCs w:val="24"/>
        </w:rPr>
        <w:t>the sequential sPGr-EGD screening method) has been reported to have reasonable cost-effectiveness and good participant compliance</w:t>
      </w:r>
      <w:r w:rsidR="00DD508B"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5</w:t>
      </w:r>
      <w:r w:rsidR="00DD508B" w:rsidRPr="0083678C">
        <w:rPr>
          <w:rFonts w:ascii="Book Antiqua" w:hAnsi="Book Antiqua"/>
          <w:color w:val="000000" w:themeColor="text1"/>
          <w:sz w:val="24"/>
          <w:szCs w:val="24"/>
          <w:vertAlign w:val="superscript"/>
        </w:rPr>
        <w:t>]</w:t>
      </w:r>
      <w:r w:rsidR="003B6B6F" w:rsidRPr="0083678C">
        <w:rPr>
          <w:rFonts w:ascii="Book Antiqua" w:hAnsi="Book Antiqua"/>
          <w:color w:val="000000" w:themeColor="text1"/>
          <w:sz w:val="24"/>
          <w:szCs w:val="24"/>
        </w:rPr>
        <w:t>.</w:t>
      </w:r>
      <w:r w:rsidR="00925704" w:rsidRPr="0083678C">
        <w:rPr>
          <w:rFonts w:ascii="Book Antiqua" w:hAnsi="Book Antiqua"/>
          <w:color w:val="000000" w:themeColor="text1"/>
          <w:sz w:val="24"/>
          <w:szCs w:val="24"/>
        </w:rPr>
        <w:t xml:space="preserve"> </w:t>
      </w:r>
      <w:r w:rsidR="00FE278F" w:rsidRPr="0083678C">
        <w:rPr>
          <w:rFonts w:ascii="Book Antiqua" w:hAnsi="Book Antiqua" w:cs="Times New Roman"/>
          <w:color w:val="000000" w:themeColor="text1"/>
          <w:sz w:val="24"/>
          <w:szCs w:val="24"/>
        </w:rPr>
        <w:t xml:space="preserve">A recent meta-analysis and systematic review, which included 6 cohort studies and 4 nested case-control studies from high-risk Asian countries (2 from </w:t>
      </w:r>
      <w:r w:rsidR="00590380" w:rsidRPr="0083678C">
        <w:rPr>
          <w:rFonts w:ascii="Book Antiqua" w:hAnsi="Book Antiqua" w:cs="Times New Roman"/>
          <w:color w:val="000000" w:themeColor="text1"/>
          <w:sz w:val="24"/>
          <w:szCs w:val="24"/>
        </w:rPr>
        <w:t xml:space="preserve">South </w:t>
      </w:r>
      <w:r w:rsidR="00FE278F" w:rsidRPr="0083678C">
        <w:rPr>
          <w:rFonts w:ascii="Book Antiqua" w:hAnsi="Book Antiqua" w:cs="Times New Roman"/>
          <w:color w:val="000000" w:themeColor="text1"/>
          <w:sz w:val="24"/>
          <w:szCs w:val="24"/>
        </w:rPr>
        <w:t>Korea, 2 from China, and 6 from Japan) with 342013 individuals, has been conducted to investigate how endoscopic screening affected the incidence of GC or GC mortality. This study found that endoscopic screening may reduce GC mortality, regardless of the incidence of GC in the included populations. The subgroup analysis showed signiﬁcant reductions in GC mortality after endoscopic screening in comparison to no screening</w:t>
      </w:r>
      <w:r w:rsidR="00782E51"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75</w:t>
      </w:r>
      <w:r w:rsidR="00782E51" w:rsidRPr="0083678C">
        <w:rPr>
          <w:rFonts w:ascii="Book Antiqua" w:hAnsi="Book Antiqua"/>
          <w:color w:val="000000" w:themeColor="text1"/>
          <w:sz w:val="24"/>
          <w:szCs w:val="24"/>
          <w:vertAlign w:val="superscript"/>
        </w:rPr>
        <w:t>]</w:t>
      </w:r>
      <w:r w:rsidR="005F4B2A" w:rsidRPr="0083678C">
        <w:rPr>
          <w:rFonts w:ascii="Book Antiqua" w:hAnsi="Book Antiqua"/>
          <w:color w:val="000000" w:themeColor="text1"/>
          <w:sz w:val="24"/>
          <w:szCs w:val="24"/>
        </w:rPr>
        <w:t>.</w:t>
      </w:r>
    </w:p>
    <w:p w:rsidR="00925704" w:rsidRPr="0083678C" w:rsidRDefault="001D5910" w:rsidP="00590380">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rPr>
      </w:pPr>
      <w:r w:rsidRPr="0083678C">
        <w:rPr>
          <w:rFonts w:ascii="Book Antiqua" w:hAnsi="Book Antiqua" w:cs="Times New Roman"/>
          <w:color w:val="000000" w:themeColor="text1"/>
          <w:sz w:val="24"/>
          <w:szCs w:val="24"/>
        </w:rPr>
        <w:t xml:space="preserve">In other Asian countries, there have been no national screening programs. We recently conducted a survey about the management of </w:t>
      </w:r>
      <w:r w:rsidRPr="0083678C">
        <w:rPr>
          <w:rFonts w:ascii="Book Antiqua" w:hAnsi="Book Antiqua" w:cs="Times New Roman"/>
          <w:i/>
          <w:color w:val="000000" w:themeColor="text1"/>
          <w:sz w:val="24"/>
          <w:szCs w:val="24"/>
        </w:rPr>
        <w:t xml:space="preserve">H. pylori </w:t>
      </w:r>
      <w:r w:rsidRPr="0083678C">
        <w:rPr>
          <w:rFonts w:ascii="Book Antiqua" w:hAnsi="Book Antiqua" w:cs="Times New Roman"/>
          <w:color w:val="000000" w:themeColor="text1"/>
          <w:sz w:val="24"/>
          <w:szCs w:val="24"/>
        </w:rPr>
        <w:t>and GC across 9 South-East Asian countries</w:t>
      </w:r>
      <w:r w:rsidR="00DD508B"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4</w:t>
      </w:r>
      <w:r w:rsidR="00DD508B" w:rsidRPr="0083678C">
        <w:rPr>
          <w:rFonts w:ascii="Book Antiqua" w:hAnsi="Book Antiqua"/>
          <w:color w:val="000000" w:themeColor="text1"/>
          <w:sz w:val="24"/>
          <w:szCs w:val="24"/>
          <w:vertAlign w:val="superscript"/>
        </w:rPr>
        <w:t>]</w:t>
      </w:r>
      <w:r w:rsidRPr="0083678C">
        <w:rPr>
          <w:rFonts w:ascii="Book Antiqua" w:hAnsi="Book Antiqua"/>
          <w:color w:val="000000" w:themeColor="text1"/>
          <w:sz w:val="24"/>
          <w:szCs w:val="24"/>
        </w:rPr>
        <w:t xml:space="preserve">, </w:t>
      </w:r>
      <w:r w:rsidRPr="0083678C">
        <w:rPr>
          <w:rFonts w:ascii="Book Antiqua" w:hAnsi="Book Antiqua" w:cs="Times New Roman"/>
          <w:color w:val="000000" w:themeColor="text1"/>
          <w:sz w:val="24"/>
          <w:szCs w:val="24"/>
        </w:rPr>
        <w:t>and found that most lesions were diagnosed in an advanced stage and that the prognosis of GC patients was very poor. Resource limitations are among the most challenging issues for countries with limited resources but a high prevalence of GC. In Singapore’s multi-ethnic population, the risk in Chinese is higher in comparison to Malaysians and Indians. A cost utility analysis was conducted to determine whether endoscopic screening for GC would be cost-effective and to better define the high-risk group</w:t>
      </w:r>
      <w:r w:rsidR="00782E51"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69</w:t>
      </w:r>
      <w:r w:rsidR="00782E51" w:rsidRPr="0083678C">
        <w:rPr>
          <w:rFonts w:ascii="Book Antiqua" w:hAnsi="Book Antiqua"/>
          <w:color w:val="000000" w:themeColor="text1"/>
          <w:sz w:val="24"/>
          <w:szCs w:val="24"/>
          <w:vertAlign w:val="superscript"/>
        </w:rPr>
        <w:t>]</w:t>
      </w:r>
      <w:r w:rsidR="00925704" w:rsidRPr="0083678C">
        <w:rPr>
          <w:rFonts w:ascii="Book Antiqua" w:hAnsi="Book Antiqua"/>
          <w:color w:val="000000" w:themeColor="text1"/>
          <w:sz w:val="24"/>
          <w:szCs w:val="24"/>
        </w:rPr>
        <w:t xml:space="preserve">. </w:t>
      </w:r>
      <w:r w:rsidR="00F238D7" w:rsidRPr="0083678C">
        <w:rPr>
          <w:rFonts w:ascii="Book Antiqua" w:hAnsi="Book Antiqua" w:cs="Times New Roman"/>
          <w:color w:val="000000" w:themeColor="text1"/>
          <w:sz w:val="24"/>
          <w:szCs w:val="24"/>
        </w:rPr>
        <w:t>This study found that screening of the high-risk group of Chinese men (age-standardized rate, 25.9/100000) from 50-70 years of age is highly cost-effective</w:t>
      </w:r>
      <w:r w:rsidR="00925704" w:rsidRPr="0083678C">
        <w:rPr>
          <w:rFonts w:ascii="Book Antiqua" w:hAnsi="Book Antiqua"/>
          <w:color w:val="000000" w:themeColor="text1"/>
          <w:sz w:val="24"/>
          <w:szCs w:val="24"/>
        </w:rPr>
        <w:t>.</w:t>
      </w:r>
    </w:p>
    <w:p w:rsidR="00590380" w:rsidRPr="0083678C" w:rsidRDefault="00590380" w:rsidP="00590380">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rPr>
      </w:pPr>
    </w:p>
    <w:p w:rsidR="007C156F" w:rsidRPr="0083678C" w:rsidRDefault="00D954B4" w:rsidP="00590380">
      <w:pPr>
        <w:adjustRightInd w:val="0"/>
        <w:snapToGrid w:val="0"/>
        <w:spacing w:after="0" w:line="360" w:lineRule="auto"/>
        <w:jc w:val="both"/>
        <w:textAlignment w:val="baseline"/>
        <w:rPr>
          <w:rFonts w:ascii="Book Antiqua" w:hAnsi="Book Antiqua" w:cs="Times New Roman"/>
          <w:b/>
          <w:color w:val="000000" w:themeColor="text1"/>
          <w:sz w:val="24"/>
          <w:szCs w:val="24"/>
        </w:rPr>
      </w:pPr>
      <w:r w:rsidRPr="0083678C">
        <w:rPr>
          <w:rFonts w:ascii="Book Antiqua" w:hAnsi="Book Antiqua" w:cs="Times New Roman"/>
          <w:b/>
          <w:color w:val="000000" w:themeColor="text1"/>
          <w:sz w:val="24"/>
          <w:szCs w:val="24"/>
        </w:rPr>
        <w:t xml:space="preserve">Approaches for asymptomatic individuals in </w:t>
      </w:r>
      <w:r w:rsidR="00590380" w:rsidRPr="0083678C">
        <w:rPr>
          <w:rFonts w:ascii="Book Antiqua" w:hAnsi="Book Antiqua" w:cs="Times New Roman"/>
          <w:b/>
          <w:color w:val="000000" w:themeColor="text1"/>
          <w:sz w:val="24"/>
          <w:szCs w:val="24"/>
        </w:rPr>
        <w:t>w</w:t>
      </w:r>
      <w:r w:rsidRPr="0083678C">
        <w:rPr>
          <w:rFonts w:ascii="Book Antiqua" w:hAnsi="Book Antiqua" w:cs="Times New Roman"/>
          <w:b/>
          <w:color w:val="000000" w:themeColor="text1"/>
          <w:sz w:val="24"/>
          <w:szCs w:val="24"/>
        </w:rPr>
        <w:t>estern countries</w:t>
      </w:r>
      <w:r w:rsidR="00590380" w:rsidRPr="0083678C">
        <w:rPr>
          <w:rFonts w:ascii="Book Antiqua" w:hAnsi="Book Antiqua" w:cs="Times New Roman"/>
          <w:b/>
          <w:color w:val="000000" w:themeColor="text1"/>
          <w:sz w:val="24"/>
          <w:szCs w:val="24"/>
        </w:rPr>
        <w:t xml:space="preserve">: </w:t>
      </w:r>
      <w:r w:rsidRPr="0083678C">
        <w:rPr>
          <w:rFonts w:ascii="Book Antiqua" w:hAnsi="Book Antiqua" w:cs="Times New Roman"/>
          <w:color w:val="000000" w:themeColor="text1"/>
          <w:sz w:val="24"/>
          <w:szCs w:val="24"/>
        </w:rPr>
        <w:t xml:space="preserve">Most </w:t>
      </w:r>
      <w:r w:rsidR="00590380" w:rsidRPr="0083678C">
        <w:rPr>
          <w:rFonts w:ascii="Book Antiqua" w:hAnsi="Book Antiqua" w:cs="Times New Roman"/>
          <w:color w:val="000000" w:themeColor="text1"/>
          <w:sz w:val="24"/>
          <w:szCs w:val="24"/>
        </w:rPr>
        <w:t>w</w:t>
      </w:r>
      <w:r w:rsidRPr="0083678C">
        <w:rPr>
          <w:rFonts w:ascii="Book Antiqua" w:hAnsi="Book Antiqua" w:cs="Times New Roman"/>
          <w:color w:val="000000" w:themeColor="text1"/>
          <w:sz w:val="24"/>
          <w:szCs w:val="24"/>
        </w:rPr>
        <w:t>estern countries have low or intermediate GC risk (Figure 3). Thus, cost-effectiveness is the main issue concerning the selection of a suitable approach</w:t>
      </w:r>
      <w:r w:rsidR="005F4B2A" w:rsidRPr="0083678C">
        <w:rPr>
          <w:rFonts w:ascii="Book Antiqua" w:hAnsi="Book Antiqua"/>
          <w:color w:val="000000" w:themeColor="text1"/>
          <w:sz w:val="24"/>
          <w:szCs w:val="24"/>
        </w:rPr>
        <w:t xml:space="preserve">. </w:t>
      </w:r>
    </w:p>
    <w:p w:rsidR="005F4B2A" w:rsidRPr="0083678C" w:rsidRDefault="007D4534" w:rsidP="00590380">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rPr>
      </w:pPr>
      <w:r w:rsidRPr="0083678C">
        <w:rPr>
          <w:rFonts w:ascii="Book Antiqua" w:hAnsi="Book Antiqua" w:cs="Times New Roman"/>
          <w:color w:val="000000" w:themeColor="text1"/>
          <w:sz w:val="24"/>
          <w:szCs w:val="24"/>
        </w:rPr>
        <w:lastRenderedPageBreak/>
        <w:t>The longest follow-up study using serum PG screening tests for GC detection in the West was conducted in the northern part of Portugal, the area with the highest incidence of GC in Western Europe</w:t>
      </w:r>
      <w:r w:rsidR="00782E51"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76</w:t>
      </w:r>
      <w:r w:rsidR="00782E51" w:rsidRPr="0083678C">
        <w:rPr>
          <w:rFonts w:ascii="Book Antiqua" w:hAnsi="Book Antiqua"/>
          <w:color w:val="000000" w:themeColor="text1"/>
          <w:sz w:val="24"/>
          <w:szCs w:val="24"/>
          <w:vertAlign w:val="superscript"/>
        </w:rPr>
        <w:t>]</w:t>
      </w:r>
      <w:r w:rsidR="00316496" w:rsidRPr="0083678C">
        <w:rPr>
          <w:rFonts w:ascii="Book Antiqua" w:hAnsi="Book Antiqua"/>
          <w:color w:val="000000" w:themeColor="text1"/>
          <w:sz w:val="24"/>
          <w:szCs w:val="24"/>
        </w:rPr>
        <w:t xml:space="preserve">. </w:t>
      </w:r>
      <w:r w:rsidRPr="0083678C">
        <w:rPr>
          <w:rFonts w:ascii="Book Antiqua" w:hAnsi="Book Antiqua" w:cs="Times New Roman"/>
          <w:color w:val="000000" w:themeColor="text1"/>
          <w:sz w:val="24"/>
          <w:szCs w:val="24"/>
        </w:rPr>
        <w:t>This cohort included 5913 individuals, of 40</w:t>
      </w:r>
      <w:r w:rsidR="003F5776" w:rsidRPr="0083678C">
        <w:rPr>
          <w:rFonts w:ascii="Book Antiqua" w:hAnsi="Book Antiqua" w:cs="Times New Roman"/>
          <w:color w:val="000000" w:themeColor="text1"/>
          <w:sz w:val="24"/>
          <w:szCs w:val="24"/>
        </w:rPr>
        <w:t>-</w:t>
      </w:r>
      <w:r w:rsidRPr="0083678C">
        <w:rPr>
          <w:rFonts w:ascii="Book Antiqua" w:hAnsi="Book Antiqua" w:cs="Times New Roman"/>
          <w:color w:val="000000" w:themeColor="text1"/>
          <w:sz w:val="24"/>
          <w:szCs w:val="24"/>
        </w:rPr>
        <w:t>74 years of age, who were subjected to the PG test (PGI =</w:t>
      </w:r>
      <w:r w:rsidR="00590380"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 xml:space="preserve">70 </w:t>
      </w:r>
      <w:r w:rsidR="00590380" w:rsidRPr="0083678C">
        <w:rPr>
          <w:rFonts w:ascii="Book Antiqua" w:hAnsi="Book Antiqua" w:cs="Times New Roman"/>
          <w:color w:val="000000" w:themeColor="text1"/>
          <w:sz w:val="24"/>
          <w:szCs w:val="24"/>
        </w:rPr>
        <w:t>ng/mL</w:t>
      </w:r>
      <w:r w:rsidRPr="0083678C">
        <w:rPr>
          <w:rFonts w:ascii="Book Antiqua" w:hAnsi="Book Antiqua" w:cs="Times New Roman"/>
          <w:color w:val="000000" w:themeColor="text1"/>
          <w:sz w:val="24"/>
          <w:szCs w:val="24"/>
        </w:rPr>
        <w:t xml:space="preserve"> and sPGr ≥ 3). This study found that the PG test was suboptimal as a screening test for GC as its sensitivity was only 35% at the initial stage and 58% after 3 years of follow-up</w:t>
      </w:r>
      <w:r w:rsidR="005F4B2A" w:rsidRPr="0083678C">
        <w:rPr>
          <w:rFonts w:ascii="Book Antiqua" w:hAnsi="Book Antiqua"/>
          <w:color w:val="000000" w:themeColor="text1"/>
          <w:sz w:val="24"/>
          <w:szCs w:val="24"/>
        </w:rPr>
        <w:t xml:space="preserve">. </w:t>
      </w:r>
    </w:p>
    <w:p w:rsidR="005F4B2A" w:rsidRPr="0083678C" w:rsidRDefault="00B97F04" w:rsidP="00590380">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rPr>
      </w:pPr>
      <w:r w:rsidRPr="0083678C">
        <w:rPr>
          <w:rFonts w:ascii="Book Antiqua" w:hAnsi="Book Antiqua" w:cs="Times New Roman"/>
          <w:color w:val="000000" w:themeColor="text1"/>
          <w:sz w:val="24"/>
          <w:szCs w:val="24"/>
        </w:rPr>
        <w:t xml:space="preserve">National screening programs for colon cancer have been well-developed in many </w:t>
      </w:r>
      <w:r w:rsidR="00590380" w:rsidRPr="0083678C">
        <w:rPr>
          <w:rFonts w:ascii="Book Antiqua" w:hAnsi="Book Antiqua" w:cs="Times New Roman"/>
          <w:color w:val="000000" w:themeColor="text1"/>
          <w:sz w:val="24"/>
          <w:szCs w:val="24"/>
        </w:rPr>
        <w:t>w</w:t>
      </w:r>
      <w:r w:rsidRPr="0083678C">
        <w:rPr>
          <w:rFonts w:ascii="Book Antiqua" w:hAnsi="Book Antiqua" w:cs="Times New Roman"/>
          <w:color w:val="000000" w:themeColor="text1"/>
          <w:sz w:val="24"/>
          <w:szCs w:val="24"/>
        </w:rPr>
        <w:t>estern countries. Thus, in this region, there have been intensive investigations to determine a reasonable approach for combining gastric and colorectal cancer screening</w:t>
      </w:r>
      <w:r w:rsidR="005F4B2A" w:rsidRPr="0083678C">
        <w:rPr>
          <w:rFonts w:ascii="Book Antiqua" w:hAnsi="Book Antiqua"/>
          <w:color w:val="000000" w:themeColor="text1"/>
          <w:sz w:val="24"/>
          <w:szCs w:val="24"/>
        </w:rPr>
        <w:t xml:space="preserve">. </w:t>
      </w:r>
    </w:p>
    <w:p w:rsidR="005F4B2A" w:rsidRPr="0083678C" w:rsidRDefault="00CB3DC8" w:rsidP="00590380">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rPr>
      </w:pPr>
      <w:r w:rsidRPr="0083678C">
        <w:rPr>
          <w:rFonts w:ascii="Book Antiqua" w:hAnsi="Book Antiqua" w:cs="Times New Roman"/>
          <w:color w:val="000000" w:themeColor="text1"/>
          <w:sz w:val="24"/>
          <w:szCs w:val="24"/>
        </w:rPr>
        <w:t>An analysis using a Markov model to determine the cost-utility of screening strategies for GC in Portugal was recently reported</w:t>
      </w:r>
      <w:r w:rsidR="00782E51"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77</w:t>
      </w:r>
      <w:r w:rsidR="00782E51" w:rsidRPr="0083678C">
        <w:rPr>
          <w:rFonts w:ascii="Book Antiqua" w:hAnsi="Book Antiqua"/>
          <w:color w:val="000000" w:themeColor="text1"/>
          <w:sz w:val="24"/>
          <w:szCs w:val="24"/>
          <w:vertAlign w:val="superscript"/>
        </w:rPr>
        <w:t>]</w:t>
      </w:r>
      <w:r w:rsidR="00F34B04" w:rsidRPr="0083678C">
        <w:rPr>
          <w:rFonts w:ascii="Book Antiqua" w:hAnsi="Book Antiqua"/>
          <w:color w:val="000000" w:themeColor="text1"/>
          <w:sz w:val="24"/>
          <w:szCs w:val="24"/>
        </w:rPr>
        <w:t xml:space="preserve">. </w:t>
      </w:r>
      <w:r w:rsidRPr="0083678C">
        <w:rPr>
          <w:rFonts w:ascii="Book Antiqua" w:hAnsi="Book Antiqua" w:cs="Times New Roman"/>
          <w:color w:val="000000" w:themeColor="text1"/>
          <w:sz w:val="24"/>
          <w:szCs w:val="24"/>
        </w:rPr>
        <w:t xml:space="preserve">The three following screening strategies were compared </w:t>
      </w:r>
      <w:r w:rsidR="00590380" w:rsidRPr="0083678C">
        <w:rPr>
          <w:rFonts w:ascii="Book Antiqua" w:hAnsi="Book Antiqua" w:cs="Times New Roman"/>
          <w:color w:val="000000" w:themeColor="text1"/>
          <w:sz w:val="24"/>
          <w:szCs w:val="24"/>
        </w:rPr>
        <w:t>vs</w:t>
      </w:r>
      <w:r w:rsidRPr="0083678C">
        <w:rPr>
          <w:rFonts w:ascii="Book Antiqua" w:hAnsi="Book Antiqua" w:cs="Times New Roman"/>
          <w:color w:val="000000" w:themeColor="text1"/>
          <w:sz w:val="24"/>
          <w:szCs w:val="24"/>
        </w:rPr>
        <w:t xml:space="preserve"> no screening: stand-alone EGD, EGD combined with a colorectal cancer screening colonoscopy after a positive fecal occult blood test or a positive serum PG test. This study found that endoscopic GC screening in Europe could be cost-effective if combined with screening colonoscopy in countries with an </w:t>
      </w:r>
      <w:bookmarkStart w:id="28" w:name="OLE_LINK705"/>
      <w:bookmarkStart w:id="29" w:name="OLE_LINK706"/>
      <w:r w:rsidRPr="0083678C">
        <w:rPr>
          <w:rFonts w:ascii="Book Antiqua" w:hAnsi="Book Antiqua" w:cs="Times New Roman"/>
          <w:color w:val="000000" w:themeColor="text1"/>
          <w:sz w:val="24"/>
          <w:szCs w:val="24"/>
        </w:rPr>
        <w:t>age-standardized rate</w:t>
      </w:r>
      <w:bookmarkEnd w:id="28"/>
      <w:bookmarkEnd w:id="29"/>
      <w:r w:rsidRPr="0083678C">
        <w:rPr>
          <w:rFonts w:ascii="Book Antiqua" w:hAnsi="Book Antiqua" w:cs="Times New Roman"/>
          <w:color w:val="000000" w:themeColor="text1"/>
          <w:sz w:val="24"/>
          <w:szCs w:val="24"/>
        </w:rPr>
        <w:t xml:space="preserve"> (ASR) of ≥ 10 per 100000. Based on the cost of EGD alone (&lt; €75), the provision of only three EGDs per patient or an ASR &gt;</w:t>
      </w:r>
      <w:r w:rsidR="00590380" w:rsidRPr="0083678C">
        <w:rPr>
          <w:rFonts w:ascii="Book Antiqua" w:hAnsi="Book Antiqua" w:cs="Times New Roman"/>
          <w:color w:val="000000" w:themeColor="text1"/>
          <w:sz w:val="24"/>
          <w:szCs w:val="24"/>
        </w:rPr>
        <w:t xml:space="preserve"> </w:t>
      </w:r>
      <w:r w:rsidRPr="0083678C">
        <w:rPr>
          <w:rFonts w:ascii="Book Antiqua" w:hAnsi="Book Antiqua" w:cs="Times New Roman"/>
          <w:color w:val="000000" w:themeColor="text1"/>
          <w:sz w:val="24"/>
          <w:szCs w:val="24"/>
        </w:rPr>
        <w:t xml:space="preserve">25/100000 would make stand-alone endoscopic screening cost-effective. Interestingly, this analysis of cost efficacy also supports the national endoscopic screening programs that are currently running in Japan and </w:t>
      </w:r>
      <w:r w:rsidR="00590380" w:rsidRPr="0083678C">
        <w:rPr>
          <w:rFonts w:ascii="Book Antiqua" w:hAnsi="Book Antiqua" w:cs="Times New Roman"/>
          <w:color w:val="000000" w:themeColor="text1"/>
          <w:sz w:val="24"/>
          <w:szCs w:val="24"/>
        </w:rPr>
        <w:t xml:space="preserve">South </w:t>
      </w:r>
      <w:r w:rsidRPr="0083678C">
        <w:rPr>
          <w:rFonts w:ascii="Book Antiqua" w:hAnsi="Book Antiqua" w:cs="Times New Roman"/>
          <w:color w:val="000000" w:themeColor="text1"/>
          <w:sz w:val="24"/>
          <w:szCs w:val="24"/>
        </w:rPr>
        <w:t>Korea (ASR 27.5 and 39.6 per 100.000, respectively)</w:t>
      </w:r>
      <w:r w:rsidR="00DD508B"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1</w:t>
      </w:r>
      <w:r w:rsidR="00DD508B" w:rsidRPr="0083678C">
        <w:rPr>
          <w:rFonts w:ascii="Book Antiqua" w:hAnsi="Book Antiqua"/>
          <w:color w:val="000000" w:themeColor="text1"/>
          <w:sz w:val="24"/>
          <w:szCs w:val="24"/>
          <w:vertAlign w:val="superscript"/>
        </w:rPr>
        <w:t>]</w:t>
      </w:r>
      <w:r w:rsidR="005F4B2A" w:rsidRPr="0083678C">
        <w:rPr>
          <w:rFonts w:ascii="Book Antiqua" w:hAnsi="Book Antiqua"/>
          <w:color w:val="000000" w:themeColor="text1"/>
          <w:sz w:val="24"/>
          <w:szCs w:val="24"/>
        </w:rPr>
        <w:t xml:space="preserve">. </w:t>
      </w:r>
    </w:p>
    <w:p w:rsidR="00B86800" w:rsidRPr="0083678C" w:rsidRDefault="008C3A35" w:rsidP="00590380">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rPr>
      </w:pPr>
      <w:r w:rsidRPr="0083678C">
        <w:rPr>
          <w:rFonts w:ascii="Book Antiqua" w:hAnsi="Book Antiqua" w:cs="Times New Roman"/>
          <w:color w:val="000000" w:themeColor="text1"/>
          <w:sz w:val="24"/>
          <w:szCs w:val="24"/>
        </w:rPr>
        <w:t>The marked differences in the prevalence of GC among different ethnic groups in multi-ethnic countries may also affect the cost-effectiveness of the approach. In the United States, a recent study investigated whether selected non-cardia GC screening for members of high-risk ethnic groups was cost-effective</w:t>
      </w:r>
      <w:r w:rsidR="00782E51"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70</w:t>
      </w:r>
      <w:r w:rsidR="00782E51" w:rsidRPr="0083678C">
        <w:rPr>
          <w:rFonts w:ascii="Book Antiqua" w:hAnsi="Book Antiqua"/>
          <w:color w:val="000000" w:themeColor="text1"/>
          <w:sz w:val="24"/>
          <w:szCs w:val="24"/>
          <w:vertAlign w:val="superscript"/>
        </w:rPr>
        <w:t>]</w:t>
      </w:r>
      <w:r w:rsidR="002E14B3" w:rsidRPr="0083678C">
        <w:rPr>
          <w:rFonts w:ascii="Book Antiqua" w:hAnsi="Book Antiqua"/>
          <w:color w:val="000000" w:themeColor="text1"/>
          <w:sz w:val="24"/>
          <w:szCs w:val="24"/>
        </w:rPr>
        <w:t>.</w:t>
      </w:r>
      <w:r w:rsidR="005F4B2A" w:rsidRPr="0083678C">
        <w:rPr>
          <w:rFonts w:ascii="Book Antiqua" w:hAnsi="Book Antiqua"/>
          <w:color w:val="000000" w:themeColor="text1"/>
          <w:sz w:val="24"/>
          <w:szCs w:val="24"/>
        </w:rPr>
        <w:t xml:space="preserve"> </w:t>
      </w:r>
      <w:r w:rsidRPr="0083678C">
        <w:rPr>
          <w:rFonts w:ascii="Book Antiqua" w:hAnsi="Book Antiqua" w:cs="Times New Roman"/>
          <w:color w:val="000000" w:themeColor="text1"/>
          <w:sz w:val="24"/>
          <w:szCs w:val="24"/>
        </w:rPr>
        <w:t xml:space="preserve">A decision analytic Markov model was developed with the base case of a 50-year-old person of non-Hispanic white, non-Hispanic black, Hispanic, or Asian ethnicity. The cost effectiveness of a no-screening strategy (current standard) for non-cardia GC was compared with that of two endoscopic screening modalities initiated at the time of screening colonoscopy for colorectal cancer: EGD with biopsy examinations and continued surveillance, only if </w:t>
      </w:r>
      <w:r w:rsidRPr="0083678C">
        <w:rPr>
          <w:rFonts w:ascii="Book Antiqua" w:hAnsi="Book Antiqua" w:cs="Times New Roman"/>
          <w:color w:val="000000" w:themeColor="text1"/>
          <w:sz w:val="24"/>
          <w:szCs w:val="24"/>
        </w:rPr>
        <w:lastRenderedPageBreak/>
        <w:t>GIM or more severe histological findings are identiﬁed, or EGD with biopsy examinations continued every 2 years even in the absence of these histological findings. Compared with biennial and no screening, EGD screening with continued surveillance only when indicated was cost effective for non-Hispanic blacks, Hispanics, and Asians, but not for non-Hispanic whites. The cost-effectiveness was highest for Asians. A selective screening approach based on ethnicity, family history of GC and the age threshold has also been recently proposed in the United States</w:t>
      </w:r>
      <w:r w:rsidR="00891C0D" w:rsidRPr="0083678C">
        <w:rPr>
          <w:rFonts w:ascii="Book Antiqua" w:hAnsi="Book Antiqua"/>
          <w:color w:val="000000" w:themeColor="text1"/>
          <w:sz w:val="24"/>
          <w:szCs w:val="24"/>
          <w:vertAlign w:val="superscript"/>
        </w:rPr>
        <w:t>[</w:t>
      </w:r>
      <w:r w:rsidR="0042791D" w:rsidRPr="0083678C">
        <w:rPr>
          <w:rFonts w:ascii="Book Antiqua" w:hAnsi="Book Antiqua"/>
          <w:color w:val="000000" w:themeColor="text1"/>
          <w:sz w:val="24"/>
          <w:szCs w:val="24"/>
          <w:vertAlign w:val="superscript"/>
        </w:rPr>
        <w:t>68</w:t>
      </w:r>
      <w:r w:rsidR="00891C0D" w:rsidRPr="0083678C">
        <w:rPr>
          <w:rFonts w:ascii="Book Antiqua" w:hAnsi="Book Antiqua"/>
          <w:color w:val="000000" w:themeColor="text1"/>
          <w:sz w:val="24"/>
          <w:szCs w:val="24"/>
          <w:vertAlign w:val="superscript"/>
        </w:rPr>
        <w:t>]</w:t>
      </w:r>
      <w:r w:rsidR="00515B35" w:rsidRPr="0083678C">
        <w:rPr>
          <w:rFonts w:ascii="Book Antiqua" w:hAnsi="Book Antiqua"/>
          <w:color w:val="000000" w:themeColor="text1"/>
          <w:sz w:val="24"/>
          <w:szCs w:val="24"/>
        </w:rPr>
        <w:t>.</w:t>
      </w:r>
    </w:p>
    <w:p w:rsidR="00590380" w:rsidRPr="0083678C" w:rsidRDefault="00590380" w:rsidP="00590380">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rPr>
      </w:pPr>
    </w:p>
    <w:p w:rsidR="001E4442" w:rsidRPr="0083678C" w:rsidRDefault="001E4442" w:rsidP="00B43CE7">
      <w:pPr>
        <w:adjustRightInd w:val="0"/>
        <w:snapToGrid w:val="0"/>
        <w:spacing w:after="0" w:line="360" w:lineRule="auto"/>
        <w:jc w:val="both"/>
        <w:rPr>
          <w:rFonts w:ascii="Book Antiqua" w:hAnsi="Book Antiqua" w:cs="Times New Roman"/>
          <w:b/>
          <w:i/>
          <w:color w:val="000000" w:themeColor="text1"/>
          <w:sz w:val="24"/>
          <w:szCs w:val="24"/>
        </w:rPr>
      </w:pPr>
      <w:r w:rsidRPr="0083678C">
        <w:rPr>
          <w:rFonts w:ascii="Book Antiqua" w:hAnsi="Book Antiqua" w:cs="Times New Roman"/>
          <w:b/>
          <w:i/>
          <w:color w:val="000000" w:themeColor="text1"/>
          <w:sz w:val="24"/>
          <w:szCs w:val="24"/>
        </w:rPr>
        <w:t>Approaches for patients who have indications for EGD according to the current guidelines</w:t>
      </w:r>
    </w:p>
    <w:p w:rsidR="00B86800" w:rsidRPr="0083678C" w:rsidRDefault="00795D71" w:rsidP="00B43CE7">
      <w:pPr>
        <w:pStyle w:val="a7"/>
        <w:adjustRightInd w:val="0"/>
        <w:snapToGrid w:val="0"/>
        <w:spacing w:before="0" w:beforeAutospacing="0" w:after="0" w:afterAutospacing="0" w:line="360" w:lineRule="auto"/>
        <w:jc w:val="both"/>
        <w:textAlignment w:val="baseline"/>
        <w:rPr>
          <w:rFonts w:ascii="Book Antiqua" w:hAnsi="Book Antiqua"/>
          <w:color w:val="000000" w:themeColor="text1"/>
        </w:rPr>
      </w:pPr>
      <w:r w:rsidRPr="0083678C">
        <w:rPr>
          <w:rFonts w:ascii="Book Antiqua" w:hAnsi="Book Antiqua"/>
          <w:color w:val="000000" w:themeColor="text1"/>
        </w:rPr>
        <w:t>Definitely, symptomatic patients who have indications for EGD according to the current guidelines for upper gastrointestinal symptoms are the subjects who benefit the most from opportunistic screening, regardless of the GC risk levels in their countries. However, we believe that the importance of opportunistic screening should be further emphasized in guidelines for dyspepsia and gastroesophageal reflux disease management and should always be considered whenever EGD is performed</w:t>
      </w:r>
      <w:r w:rsidR="00B86800" w:rsidRPr="0083678C">
        <w:rPr>
          <w:rFonts w:ascii="Book Antiqua" w:hAnsi="Book Antiqua"/>
          <w:color w:val="000000" w:themeColor="text1"/>
        </w:rPr>
        <w:t>.</w:t>
      </w:r>
    </w:p>
    <w:p w:rsidR="00B86800" w:rsidRPr="0083678C" w:rsidRDefault="006C0D4E" w:rsidP="00590380">
      <w:pPr>
        <w:pStyle w:val="a7"/>
        <w:adjustRightInd w:val="0"/>
        <w:snapToGrid w:val="0"/>
        <w:spacing w:before="0" w:beforeAutospacing="0" w:after="0" w:afterAutospacing="0" w:line="360" w:lineRule="auto"/>
        <w:ind w:firstLineChars="100" w:firstLine="240"/>
        <w:jc w:val="both"/>
        <w:textAlignment w:val="baseline"/>
        <w:rPr>
          <w:rFonts w:ascii="Book Antiqua" w:hAnsi="Book Antiqua"/>
          <w:color w:val="000000" w:themeColor="text1"/>
        </w:rPr>
      </w:pPr>
      <w:r w:rsidRPr="0083678C">
        <w:rPr>
          <w:rFonts w:ascii="Book Antiqua" w:hAnsi="Book Antiqua"/>
          <w:color w:val="000000" w:themeColor="text1"/>
        </w:rPr>
        <w:t>The combination of endoscopic and histological approaches should always be considered as it has several advantages. First, endoscopy provides a real-time assessment of the patient’s risk of GC development. As endoscopists tend to focus on endoscopic findings that explain patient symptoms, it is important to be cautious that precancerous gastric lesions and even early GCs may already exist. These subtle lesions are often not the causes of the symptom(s) and are very easy to miss</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5</w:t>
      </w:r>
      <w:r w:rsidR="00DD508B" w:rsidRPr="0083678C">
        <w:rPr>
          <w:rFonts w:ascii="Book Antiqua" w:hAnsi="Book Antiqua"/>
          <w:color w:val="000000" w:themeColor="text1"/>
          <w:vertAlign w:val="superscript"/>
        </w:rPr>
        <w:t>]</w:t>
      </w:r>
      <w:r w:rsidR="00B86800" w:rsidRPr="0083678C">
        <w:rPr>
          <w:rFonts w:ascii="Book Antiqua" w:hAnsi="Book Antiqua"/>
          <w:color w:val="000000" w:themeColor="text1"/>
        </w:rPr>
        <w:t xml:space="preserve">. </w:t>
      </w:r>
      <w:r w:rsidRPr="0083678C">
        <w:rPr>
          <w:rFonts w:ascii="Book Antiqua" w:hAnsi="Book Antiqua"/>
          <w:color w:val="000000" w:themeColor="text1"/>
        </w:rPr>
        <w:t>Second, the results of histological examination greatly depend on the location from which the specimens are taken. New endoscopic technologies have helped to improve the endoscopist’s ability to identify subtle changes in the gastric mucosa and facilitate targeted biopsies instead of mapping biopsies, which results in a better correlation between endoscopic and histological findings</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50</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52</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55</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56</w:t>
      </w:r>
      <w:r w:rsidR="00DD508B" w:rsidRPr="0083678C">
        <w:rPr>
          <w:rFonts w:ascii="Book Antiqua" w:hAnsi="Book Antiqua"/>
          <w:color w:val="000000" w:themeColor="text1"/>
          <w:vertAlign w:val="superscript"/>
        </w:rPr>
        <w:t>]</w:t>
      </w:r>
      <w:r w:rsidR="00B86800" w:rsidRPr="0083678C">
        <w:rPr>
          <w:rFonts w:ascii="Book Antiqua" w:hAnsi="Book Antiqua"/>
          <w:color w:val="000000" w:themeColor="text1"/>
        </w:rPr>
        <w:t xml:space="preserve">. </w:t>
      </w:r>
    </w:p>
    <w:p w:rsidR="00B86800" w:rsidRPr="0083678C" w:rsidRDefault="00632AB1" w:rsidP="00590380">
      <w:pPr>
        <w:pStyle w:val="a7"/>
        <w:adjustRightInd w:val="0"/>
        <w:snapToGrid w:val="0"/>
        <w:spacing w:before="0" w:beforeAutospacing="0" w:after="0" w:afterAutospacing="0" w:line="360" w:lineRule="auto"/>
        <w:ind w:firstLineChars="100" w:firstLine="240"/>
        <w:jc w:val="both"/>
        <w:textAlignment w:val="baseline"/>
        <w:rPr>
          <w:rFonts w:ascii="Book Antiqua" w:hAnsi="Book Antiqua"/>
          <w:color w:val="000000" w:themeColor="text1"/>
        </w:rPr>
      </w:pPr>
      <w:r w:rsidRPr="0083678C">
        <w:rPr>
          <w:rFonts w:ascii="Book Antiqua" w:hAnsi="Book Antiqua"/>
          <w:color w:val="000000" w:themeColor="text1"/>
        </w:rPr>
        <w:t xml:space="preserve">How to make this combined approach widely applicable in daily practice is a crucial issue. Obviously, an ideal approach should be accurate as well as feasible; it should not </w:t>
      </w:r>
      <w:r w:rsidRPr="0083678C">
        <w:rPr>
          <w:rFonts w:ascii="Book Antiqua" w:hAnsi="Book Antiqua"/>
          <w:color w:val="000000" w:themeColor="text1"/>
        </w:rPr>
        <w:lastRenderedPageBreak/>
        <w:t>be time-consuming or require special expertise or equipment. Currently, the best evidence supports the use of IEE for endoscopy and OLGIM/OLGA grading systems for histological examination whenever applicable. However, resource limitations are an important barrier in many regions worldwide. Notably, there are several countries with a high risk of GC but limited resources, including Mongolia and Vietnam</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1</w:t>
      </w:r>
      <w:r w:rsidR="00DD508B" w:rsidRPr="0083678C">
        <w:rPr>
          <w:rFonts w:ascii="Book Antiqua" w:hAnsi="Book Antiqua"/>
          <w:color w:val="000000" w:themeColor="text1"/>
          <w:vertAlign w:val="superscript"/>
        </w:rPr>
        <w:t>]</w:t>
      </w:r>
      <w:r w:rsidR="002E14B3" w:rsidRPr="0083678C">
        <w:rPr>
          <w:rFonts w:ascii="Book Antiqua" w:hAnsi="Book Antiqua"/>
          <w:color w:val="000000" w:themeColor="text1"/>
        </w:rPr>
        <w:t xml:space="preserve">. </w:t>
      </w:r>
      <w:r w:rsidR="00486FDD" w:rsidRPr="0083678C">
        <w:rPr>
          <w:rFonts w:ascii="Book Antiqua" w:hAnsi="Book Antiqua"/>
          <w:color w:val="000000" w:themeColor="text1"/>
        </w:rPr>
        <w:t>Resources may also be quite different within the same country, was as reported in our recent survey of 9 Southeast Asian countries</w:t>
      </w:r>
      <w:r w:rsidR="00782E51"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78</w:t>
      </w:r>
      <w:r w:rsidR="00782E51" w:rsidRPr="0083678C">
        <w:rPr>
          <w:rFonts w:ascii="Book Antiqua" w:hAnsi="Book Antiqua"/>
          <w:color w:val="000000" w:themeColor="text1"/>
          <w:vertAlign w:val="superscript"/>
        </w:rPr>
        <w:t>]</w:t>
      </w:r>
      <w:r w:rsidR="00B86800" w:rsidRPr="0083678C">
        <w:rPr>
          <w:rFonts w:ascii="Book Antiqua" w:hAnsi="Book Antiqua"/>
          <w:color w:val="000000" w:themeColor="text1"/>
        </w:rPr>
        <w:t xml:space="preserve">. </w:t>
      </w:r>
      <w:r w:rsidR="00652216" w:rsidRPr="0083678C">
        <w:rPr>
          <w:rFonts w:ascii="Book Antiqua" w:hAnsi="Book Antiqua"/>
          <w:color w:val="000000" w:themeColor="text1"/>
        </w:rPr>
        <w:t>Thus, a suitable approach should not only be evidence-based but also resource-sensitive (Figure 4).</w:t>
      </w:r>
      <w:r w:rsidR="00B86800" w:rsidRPr="0083678C">
        <w:rPr>
          <w:rFonts w:ascii="Book Antiqua" w:hAnsi="Book Antiqua"/>
          <w:color w:val="000000" w:themeColor="text1"/>
        </w:rPr>
        <w:t xml:space="preserve"> </w:t>
      </w:r>
    </w:p>
    <w:p w:rsidR="00590380" w:rsidRPr="0083678C" w:rsidRDefault="00590380" w:rsidP="00590380">
      <w:pPr>
        <w:pStyle w:val="a7"/>
        <w:adjustRightInd w:val="0"/>
        <w:snapToGrid w:val="0"/>
        <w:spacing w:before="0" w:beforeAutospacing="0" w:after="0" w:afterAutospacing="0" w:line="360" w:lineRule="auto"/>
        <w:ind w:firstLineChars="100" w:firstLine="240"/>
        <w:jc w:val="both"/>
        <w:textAlignment w:val="baseline"/>
        <w:rPr>
          <w:rFonts w:ascii="Book Antiqua" w:hAnsi="Book Antiqua"/>
          <w:color w:val="000000" w:themeColor="text1"/>
        </w:rPr>
      </w:pPr>
    </w:p>
    <w:p w:rsidR="00B86800" w:rsidRPr="0083678C" w:rsidRDefault="00B86800" w:rsidP="00B43CE7">
      <w:pPr>
        <w:pStyle w:val="a7"/>
        <w:adjustRightInd w:val="0"/>
        <w:snapToGrid w:val="0"/>
        <w:spacing w:before="0" w:beforeAutospacing="0" w:after="0" w:afterAutospacing="0" w:line="360" w:lineRule="auto"/>
        <w:jc w:val="both"/>
        <w:textAlignment w:val="baseline"/>
        <w:rPr>
          <w:rFonts w:ascii="Book Antiqua" w:hAnsi="Book Antiqua"/>
          <w:b/>
          <w:color w:val="000000" w:themeColor="text1"/>
        </w:rPr>
      </w:pPr>
      <w:r w:rsidRPr="0083678C">
        <w:rPr>
          <w:rFonts w:ascii="Book Antiqua" w:hAnsi="Book Antiqua"/>
          <w:b/>
          <w:color w:val="000000" w:themeColor="text1"/>
        </w:rPr>
        <w:t xml:space="preserve">Endoscopic </w:t>
      </w:r>
      <w:r w:rsidR="00A65BB3" w:rsidRPr="0083678C">
        <w:rPr>
          <w:rFonts w:ascii="Book Antiqua" w:hAnsi="Book Antiqua"/>
          <w:b/>
          <w:color w:val="000000" w:themeColor="text1"/>
        </w:rPr>
        <w:t>strategy</w:t>
      </w:r>
      <w:r w:rsidR="00590380" w:rsidRPr="0083678C">
        <w:rPr>
          <w:rFonts w:ascii="Book Antiqua" w:hAnsi="Book Antiqua"/>
          <w:b/>
          <w:color w:val="000000" w:themeColor="text1"/>
        </w:rPr>
        <w:t xml:space="preserve">: </w:t>
      </w:r>
      <w:r w:rsidR="00652216" w:rsidRPr="0083678C">
        <w:rPr>
          <w:rFonts w:ascii="Book Antiqua" w:hAnsi="Book Antiqua"/>
          <w:color w:val="000000" w:themeColor="text1"/>
        </w:rPr>
        <w:t xml:space="preserve">Regions with high resources: Start with WLE and escalate to IEE if necessary. Recent studies from the </w:t>
      </w:r>
      <w:r w:rsidR="00590380" w:rsidRPr="0083678C">
        <w:rPr>
          <w:rFonts w:ascii="Book Antiqua" w:hAnsi="Book Antiqua"/>
          <w:color w:val="000000" w:themeColor="text1"/>
        </w:rPr>
        <w:t>east and west</w:t>
      </w:r>
      <w:r w:rsidR="00652216" w:rsidRPr="0083678C">
        <w:rPr>
          <w:rFonts w:ascii="Book Antiqua" w:hAnsi="Book Antiqua"/>
          <w:color w:val="000000" w:themeColor="text1"/>
        </w:rPr>
        <w:t xml:space="preserve"> strongly support that </w:t>
      </w:r>
      <w:r w:rsidR="00652216" w:rsidRPr="0083678C">
        <w:rPr>
          <w:rFonts w:ascii="Book Antiqua" w:hAnsi="Book Antiqua"/>
          <w:color w:val="000000" w:themeColor="text1"/>
          <w:shd w:val="clear" w:color="auto" w:fill="FFFFFF"/>
        </w:rPr>
        <w:t xml:space="preserve">IEE, in addition to WLE, improves the rate at which gastric premalignant mucosal changes such as gastric atrophy and GIM are </w:t>
      </w:r>
      <w:r w:rsidR="00652216" w:rsidRPr="0083678C">
        <w:rPr>
          <w:rFonts w:ascii="Book Antiqua" w:hAnsi="Book Antiqua"/>
          <w:color w:val="000000" w:themeColor="text1"/>
        </w:rPr>
        <w:t>endoscopically</w:t>
      </w:r>
      <w:r w:rsidR="00652216" w:rsidRPr="0083678C">
        <w:rPr>
          <w:rFonts w:ascii="Book Antiqua" w:hAnsi="Book Antiqua"/>
          <w:color w:val="000000" w:themeColor="text1"/>
          <w:shd w:val="clear" w:color="auto" w:fill="FFFFFF"/>
        </w:rPr>
        <w:t xml:space="preserve"> detected</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50</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55</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56</w:t>
      </w:r>
      <w:r w:rsidR="00DD508B" w:rsidRPr="0083678C">
        <w:rPr>
          <w:rFonts w:ascii="Book Antiqua" w:hAnsi="Book Antiqua"/>
          <w:color w:val="000000" w:themeColor="text1"/>
          <w:vertAlign w:val="superscript"/>
        </w:rPr>
        <w:t>]</w:t>
      </w:r>
      <w:r w:rsidR="00BE06B3" w:rsidRPr="0083678C">
        <w:rPr>
          <w:rFonts w:ascii="Book Antiqua" w:hAnsi="Book Antiqua"/>
          <w:color w:val="000000" w:themeColor="text1"/>
        </w:rPr>
        <w:t>.</w:t>
      </w:r>
    </w:p>
    <w:p w:rsidR="00B86800" w:rsidRPr="0083678C" w:rsidRDefault="004D6068" w:rsidP="00590380">
      <w:pPr>
        <w:pStyle w:val="a7"/>
        <w:adjustRightInd w:val="0"/>
        <w:snapToGrid w:val="0"/>
        <w:spacing w:before="0" w:beforeAutospacing="0" w:after="0" w:afterAutospacing="0" w:line="360" w:lineRule="auto"/>
        <w:ind w:firstLineChars="100" w:firstLine="240"/>
        <w:jc w:val="both"/>
        <w:textAlignment w:val="baseline"/>
        <w:rPr>
          <w:rFonts w:ascii="Book Antiqua" w:hAnsi="Book Antiqua"/>
          <w:color w:val="000000" w:themeColor="text1"/>
        </w:rPr>
      </w:pPr>
      <w:r w:rsidRPr="0083678C">
        <w:rPr>
          <w:rFonts w:ascii="Book Antiqua" w:hAnsi="Book Antiqua"/>
          <w:color w:val="000000" w:themeColor="text1"/>
        </w:rPr>
        <w:t>Regions with limited resources (IEE is unavailable): Start with WLE and evaluate the severity of EGA. Recently, several cohort studies in Asia have shown that EAG assessment can help to effectively identify high-risk individuals with a higher risk of GC development among patients with moderate-to-severe EGA</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8</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34</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45</w:t>
      </w:r>
      <w:r w:rsidR="00DD508B" w:rsidRPr="0083678C">
        <w:rPr>
          <w:rFonts w:ascii="Book Antiqua" w:hAnsi="Book Antiqua"/>
          <w:color w:val="000000" w:themeColor="text1"/>
          <w:vertAlign w:val="superscript"/>
        </w:rPr>
        <w:t>]</w:t>
      </w:r>
      <w:r w:rsidR="00BE06B3" w:rsidRPr="0083678C">
        <w:rPr>
          <w:rFonts w:ascii="Book Antiqua" w:hAnsi="Book Antiqua"/>
          <w:color w:val="000000" w:themeColor="text1"/>
        </w:rPr>
        <w:t xml:space="preserve">. </w:t>
      </w:r>
      <w:r w:rsidR="00E2645C" w:rsidRPr="0083678C">
        <w:rPr>
          <w:rFonts w:ascii="Book Antiqua" w:hAnsi="Book Antiqua"/>
          <w:color w:val="000000" w:themeColor="text1"/>
        </w:rPr>
        <w:t>A recent global consensus on gastritis recommends that EGA be used if expert endoscopists are available</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10</w:t>
      </w:r>
      <w:r w:rsidR="00DD508B" w:rsidRPr="0083678C">
        <w:rPr>
          <w:rFonts w:ascii="Book Antiqua" w:hAnsi="Book Antiqua"/>
          <w:color w:val="000000" w:themeColor="text1"/>
          <w:vertAlign w:val="superscript"/>
        </w:rPr>
        <w:t>]</w:t>
      </w:r>
      <w:r w:rsidR="00B86800" w:rsidRPr="0083678C">
        <w:rPr>
          <w:rFonts w:ascii="Book Antiqua" w:hAnsi="Book Antiqua"/>
          <w:color w:val="000000" w:themeColor="text1"/>
        </w:rPr>
        <w:t xml:space="preserve">. </w:t>
      </w:r>
      <w:r w:rsidR="00E2645C" w:rsidRPr="0083678C">
        <w:rPr>
          <w:rFonts w:ascii="Book Antiqua" w:hAnsi="Book Antiqua"/>
          <w:color w:val="000000" w:themeColor="text1"/>
        </w:rPr>
        <w:t>We previously reported good to excellent intraobserver agreement and a moderate interobserver agreement among experienced endoscopists in the assessment of the severity of EGA</w:t>
      </w:r>
      <w:r w:rsidR="00782E51"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79</w:t>
      </w:r>
      <w:r w:rsidR="00782E51" w:rsidRPr="0083678C">
        <w:rPr>
          <w:rFonts w:ascii="Book Antiqua" w:hAnsi="Book Antiqua"/>
          <w:color w:val="000000" w:themeColor="text1"/>
          <w:vertAlign w:val="superscript"/>
        </w:rPr>
        <w:t>]</w:t>
      </w:r>
      <w:r w:rsidR="00B86800" w:rsidRPr="0083678C">
        <w:rPr>
          <w:rFonts w:ascii="Book Antiqua" w:hAnsi="Book Antiqua"/>
          <w:color w:val="000000" w:themeColor="text1"/>
        </w:rPr>
        <w:t xml:space="preserve">. </w:t>
      </w:r>
      <w:r w:rsidR="008C388E" w:rsidRPr="0083678C">
        <w:rPr>
          <w:rFonts w:ascii="Book Antiqua" w:hAnsi="Book Antiqua"/>
          <w:color w:val="000000" w:themeColor="text1"/>
        </w:rPr>
        <w:t>A recent study reported that the interobserver agreement for the diagnosis and grading of EGA significantly improved after proper training and that it remained stable after intervention, irrespective of the endoscopist’s experience level</w:t>
      </w:r>
      <w:r w:rsidR="00782E51"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80</w:t>
      </w:r>
      <w:r w:rsidR="00782E51" w:rsidRPr="0083678C">
        <w:rPr>
          <w:rFonts w:ascii="Book Antiqua" w:hAnsi="Book Antiqua"/>
          <w:color w:val="000000" w:themeColor="text1"/>
          <w:vertAlign w:val="superscript"/>
        </w:rPr>
        <w:t>]</w:t>
      </w:r>
      <w:r w:rsidR="00B86800" w:rsidRPr="0083678C">
        <w:rPr>
          <w:rFonts w:ascii="Book Antiqua" w:hAnsi="Book Antiqua"/>
          <w:color w:val="000000" w:themeColor="text1"/>
        </w:rPr>
        <w:t xml:space="preserve">. </w:t>
      </w:r>
      <w:r w:rsidR="001246CD" w:rsidRPr="0083678C">
        <w:rPr>
          <w:rFonts w:ascii="Book Antiqua" w:hAnsi="Book Antiqua"/>
          <w:color w:val="000000" w:themeColor="text1"/>
        </w:rPr>
        <w:t xml:space="preserve">Thus, this endoscopic assessment, which requires no additional equipment, is potentially useful in regions with limited resources. One limitation of EGA assessment that should be kept in mind is that the improvement of the severity of EGA may not be parallel with histological gastric atrophy after successful </w:t>
      </w:r>
      <w:r w:rsidR="001246CD" w:rsidRPr="0083678C">
        <w:rPr>
          <w:rFonts w:ascii="Book Antiqua" w:hAnsi="Book Antiqua"/>
          <w:i/>
          <w:color w:val="000000" w:themeColor="text1"/>
        </w:rPr>
        <w:t>H. pylori</w:t>
      </w:r>
      <w:r w:rsidR="001246CD" w:rsidRPr="0083678C">
        <w:rPr>
          <w:rFonts w:ascii="Book Antiqua" w:hAnsi="Book Antiqua"/>
          <w:color w:val="000000" w:themeColor="text1"/>
        </w:rPr>
        <w:t xml:space="preserve"> eradication</w:t>
      </w:r>
      <w:r w:rsidR="00782E51"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81</w:t>
      </w:r>
      <w:r w:rsidR="00782E51" w:rsidRPr="0083678C">
        <w:rPr>
          <w:rFonts w:ascii="Book Antiqua" w:hAnsi="Book Antiqua"/>
          <w:color w:val="000000" w:themeColor="text1"/>
          <w:vertAlign w:val="superscript"/>
        </w:rPr>
        <w:t>]</w:t>
      </w:r>
      <w:r w:rsidR="00B86800" w:rsidRPr="0083678C">
        <w:rPr>
          <w:rFonts w:ascii="Book Antiqua" w:hAnsi="Book Antiqua"/>
          <w:color w:val="000000" w:themeColor="text1"/>
        </w:rPr>
        <w:t xml:space="preserve">. </w:t>
      </w:r>
      <w:r w:rsidR="001246CD" w:rsidRPr="0083678C">
        <w:rPr>
          <w:rFonts w:ascii="Book Antiqua" w:hAnsi="Book Antiqua"/>
          <w:color w:val="000000" w:themeColor="text1"/>
        </w:rPr>
        <w:t>In such situations, it is necessary to obtain biopsy specimens for histological examination, especially if the baseline histological results are not available.</w:t>
      </w:r>
      <w:r w:rsidR="00B86800" w:rsidRPr="0083678C">
        <w:rPr>
          <w:rFonts w:ascii="Book Antiqua" w:hAnsi="Book Antiqua"/>
          <w:color w:val="000000" w:themeColor="text1"/>
        </w:rPr>
        <w:t xml:space="preserve"> </w:t>
      </w:r>
    </w:p>
    <w:p w:rsidR="00590380" w:rsidRPr="0083678C" w:rsidRDefault="00590380" w:rsidP="00590380">
      <w:pPr>
        <w:pStyle w:val="a7"/>
        <w:adjustRightInd w:val="0"/>
        <w:snapToGrid w:val="0"/>
        <w:spacing w:before="0" w:beforeAutospacing="0" w:after="0" w:afterAutospacing="0" w:line="360" w:lineRule="auto"/>
        <w:ind w:firstLineChars="100" w:firstLine="240"/>
        <w:jc w:val="both"/>
        <w:textAlignment w:val="baseline"/>
        <w:rPr>
          <w:rFonts w:ascii="Book Antiqua" w:hAnsi="Book Antiqua"/>
          <w:color w:val="000000" w:themeColor="text1"/>
        </w:rPr>
      </w:pPr>
    </w:p>
    <w:p w:rsidR="00B86800" w:rsidRPr="0083678C" w:rsidRDefault="00F674E4" w:rsidP="00B43CE7">
      <w:pPr>
        <w:pStyle w:val="a7"/>
        <w:adjustRightInd w:val="0"/>
        <w:snapToGrid w:val="0"/>
        <w:spacing w:before="0" w:beforeAutospacing="0" w:after="0" w:afterAutospacing="0" w:line="360" w:lineRule="auto"/>
        <w:jc w:val="both"/>
        <w:textAlignment w:val="baseline"/>
        <w:rPr>
          <w:rFonts w:ascii="Book Antiqua" w:hAnsi="Book Antiqua"/>
          <w:color w:val="000000" w:themeColor="text1"/>
        </w:rPr>
      </w:pPr>
      <w:r w:rsidRPr="0083678C">
        <w:rPr>
          <w:rFonts w:ascii="Book Antiqua" w:hAnsi="Book Antiqua"/>
          <w:b/>
          <w:color w:val="000000" w:themeColor="text1"/>
        </w:rPr>
        <w:t xml:space="preserve">Biopsy strategy: </w:t>
      </w:r>
      <w:r w:rsidRPr="0083678C">
        <w:rPr>
          <w:rFonts w:ascii="Book Antiqua" w:hAnsi="Book Antiqua"/>
          <w:color w:val="000000" w:themeColor="text1"/>
        </w:rPr>
        <w:t>Obviously, endoscopically visible gastric lesions that are suspected to represent precancerous gastric lesions and GC should be biopsied. However, the strategy of taking mapping biopsies may differ depending on the local resources (Figure 4).</w:t>
      </w:r>
      <w:r w:rsidR="00B86800" w:rsidRPr="0083678C">
        <w:rPr>
          <w:rFonts w:ascii="Book Antiqua" w:hAnsi="Book Antiqua"/>
          <w:color w:val="000000" w:themeColor="text1"/>
        </w:rPr>
        <w:t xml:space="preserve"> </w:t>
      </w:r>
    </w:p>
    <w:p w:rsidR="00B86800" w:rsidRPr="0083678C" w:rsidRDefault="00F674E4" w:rsidP="00590380">
      <w:pPr>
        <w:pStyle w:val="a7"/>
        <w:adjustRightInd w:val="0"/>
        <w:snapToGrid w:val="0"/>
        <w:spacing w:before="0" w:beforeAutospacing="0" w:after="0" w:afterAutospacing="0" w:line="360" w:lineRule="auto"/>
        <w:ind w:firstLineChars="100" w:firstLine="240"/>
        <w:jc w:val="both"/>
        <w:textAlignment w:val="baseline"/>
        <w:rPr>
          <w:rFonts w:ascii="Book Antiqua" w:hAnsi="Book Antiqua"/>
          <w:color w:val="000000" w:themeColor="text1"/>
        </w:rPr>
      </w:pPr>
      <w:r w:rsidRPr="0083678C">
        <w:rPr>
          <w:rFonts w:ascii="Book Antiqua" w:hAnsi="Book Antiqua"/>
          <w:color w:val="000000" w:themeColor="text1"/>
        </w:rPr>
        <w:t>In regions with high resources, the performance of a mapping biopsy at mucosal sites is recommended, according to the Sydney protocol, for patients with endoscopic findings suggestive of chronic gastritis</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10</w:t>
      </w:r>
      <w:r w:rsidR="00DD508B" w:rsidRPr="0083678C">
        <w:rPr>
          <w:rFonts w:ascii="Book Antiqua" w:hAnsi="Book Antiqua"/>
          <w:color w:val="000000" w:themeColor="text1"/>
          <w:vertAlign w:val="superscript"/>
        </w:rPr>
        <w:t>]</w:t>
      </w:r>
      <w:r w:rsidR="00B86800" w:rsidRPr="0083678C">
        <w:rPr>
          <w:rFonts w:ascii="Book Antiqua" w:hAnsi="Book Antiqua"/>
          <w:color w:val="000000" w:themeColor="text1"/>
        </w:rPr>
        <w:t xml:space="preserve">. </w:t>
      </w:r>
      <w:r w:rsidRPr="0083678C">
        <w:rPr>
          <w:rFonts w:ascii="Book Antiqua" w:hAnsi="Book Antiqua"/>
          <w:color w:val="000000" w:themeColor="text1"/>
        </w:rPr>
        <w:t>A biopsy specimen from the angularis angular is essential in order not to downgrade the OLGA and OLGIM gastritis stage and miss high-risk individuals</w:t>
      </w:r>
      <w:r w:rsidR="00782E51"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82</w:t>
      </w:r>
      <w:r w:rsidR="00782E51" w:rsidRPr="0083678C">
        <w:rPr>
          <w:rFonts w:ascii="Book Antiqua" w:hAnsi="Book Antiqua"/>
          <w:color w:val="000000" w:themeColor="text1"/>
          <w:vertAlign w:val="superscript"/>
        </w:rPr>
        <w:t>]</w:t>
      </w:r>
      <w:r w:rsidR="00185B36" w:rsidRPr="0083678C">
        <w:rPr>
          <w:rFonts w:ascii="Book Antiqua" w:hAnsi="Book Antiqua"/>
          <w:color w:val="000000" w:themeColor="text1"/>
        </w:rPr>
        <w:t xml:space="preserve">. </w:t>
      </w:r>
      <w:r w:rsidRPr="0083678C">
        <w:rPr>
          <w:rFonts w:ascii="Book Antiqua" w:hAnsi="Book Antiqua"/>
          <w:color w:val="000000" w:themeColor="text1"/>
        </w:rPr>
        <w:t>Specimens from each site should be put into separate container. Whenever available, IEE should be used for detection and obtaining targeted biopsy specimens</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50</w:t>
      </w:r>
      <w:r w:rsidR="00DD508B" w:rsidRPr="0083678C">
        <w:rPr>
          <w:rFonts w:ascii="Book Antiqua" w:hAnsi="Book Antiqua"/>
          <w:color w:val="000000" w:themeColor="text1"/>
          <w:vertAlign w:val="superscript"/>
        </w:rPr>
        <w:t>]</w:t>
      </w:r>
      <w:r w:rsidR="00E86179" w:rsidRPr="0083678C">
        <w:rPr>
          <w:rFonts w:ascii="Book Antiqua" w:hAnsi="Book Antiqua"/>
          <w:color w:val="000000" w:themeColor="text1"/>
        </w:rPr>
        <w:t xml:space="preserve">. </w:t>
      </w:r>
      <w:r w:rsidRPr="0083678C">
        <w:rPr>
          <w:rFonts w:ascii="Book Antiqua" w:hAnsi="Book Antiqua"/>
          <w:color w:val="000000" w:themeColor="text1"/>
        </w:rPr>
        <w:t>Regarding histological assessment, the OLGIM and OLGA staging systems should be applied</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9</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10</w:t>
      </w:r>
      <w:r w:rsidR="00DD508B" w:rsidRPr="0083678C">
        <w:rPr>
          <w:rFonts w:ascii="Book Antiqua" w:hAnsi="Book Antiqua"/>
          <w:color w:val="000000" w:themeColor="text1"/>
          <w:vertAlign w:val="superscript"/>
        </w:rPr>
        <w:t>]</w:t>
      </w:r>
      <w:r w:rsidR="00BE06B3" w:rsidRPr="0083678C">
        <w:rPr>
          <w:rFonts w:ascii="Book Antiqua" w:hAnsi="Book Antiqua"/>
          <w:color w:val="000000" w:themeColor="text1"/>
        </w:rPr>
        <w:t>.</w:t>
      </w:r>
      <w:r w:rsidR="00B86800" w:rsidRPr="0083678C">
        <w:rPr>
          <w:rFonts w:ascii="Book Antiqua" w:hAnsi="Book Antiqua"/>
          <w:color w:val="000000" w:themeColor="text1"/>
        </w:rPr>
        <w:t xml:space="preserve"> </w:t>
      </w:r>
      <w:r w:rsidRPr="0083678C">
        <w:rPr>
          <w:rFonts w:ascii="Book Antiqua" w:hAnsi="Book Antiqua"/>
          <w:color w:val="000000" w:themeColor="text1"/>
        </w:rPr>
        <w:t xml:space="preserve">However, a recent </w:t>
      </w:r>
      <w:r w:rsidR="00590380" w:rsidRPr="0083678C">
        <w:rPr>
          <w:rFonts w:ascii="Book Antiqua" w:hAnsi="Book Antiqua"/>
          <w:color w:val="000000" w:themeColor="text1"/>
        </w:rPr>
        <w:t xml:space="preserve">South </w:t>
      </w:r>
      <w:r w:rsidRPr="0083678C">
        <w:rPr>
          <w:rFonts w:ascii="Book Antiqua" w:hAnsi="Book Antiqua"/>
          <w:color w:val="000000" w:themeColor="text1"/>
        </w:rPr>
        <w:t xml:space="preserve">Korean study found that only about one quarter of GC patients in this high-risk population had high-stage OLGA and OLGIM gastritis. Thus, the sensitivity of these staging systems as indicators for GC in Asians, may be lower in comparison to the sensitivity reported in </w:t>
      </w:r>
      <w:r w:rsidR="00590380" w:rsidRPr="0083678C">
        <w:rPr>
          <w:rFonts w:ascii="Book Antiqua" w:hAnsi="Book Antiqua"/>
          <w:color w:val="000000" w:themeColor="text1"/>
        </w:rPr>
        <w:t>w</w:t>
      </w:r>
      <w:r w:rsidRPr="0083678C">
        <w:rPr>
          <w:rFonts w:ascii="Book Antiqua" w:hAnsi="Book Antiqua"/>
          <w:color w:val="000000" w:themeColor="text1"/>
        </w:rPr>
        <w:t>estern populations, and local validation is required</w:t>
      </w:r>
      <w:r w:rsidR="00782E51"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83</w:t>
      </w:r>
      <w:r w:rsidR="00782E51" w:rsidRPr="0083678C">
        <w:rPr>
          <w:rFonts w:ascii="Book Antiqua" w:hAnsi="Book Antiqua"/>
          <w:color w:val="000000" w:themeColor="text1"/>
          <w:vertAlign w:val="superscript"/>
        </w:rPr>
        <w:t>]</w:t>
      </w:r>
      <w:r w:rsidR="00F25067" w:rsidRPr="0083678C">
        <w:rPr>
          <w:rFonts w:ascii="Book Antiqua" w:hAnsi="Book Antiqua"/>
          <w:color w:val="000000" w:themeColor="text1"/>
        </w:rPr>
        <w:t>.</w:t>
      </w:r>
      <w:r w:rsidR="00B37D7C" w:rsidRPr="0083678C">
        <w:rPr>
          <w:rFonts w:ascii="Book Antiqua" w:hAnsi="Book Antiqua"/>
          <w:color w:val="000000" w:themeColor="text1"/>
        </w:rPr>
        <w:t xml:space="preserve"> </w:t>
      </w:r>
      <w:r w:rsidRPr="0083678C">
        <w:rPr>
          <w:rFonts w:ascii="Book Antiqua" w:hAnsi="Book Antiqua"/>
          <w:color w:val="000000" w:themeColor="text1"/>
        </w:rPr>
        <w:t>A GIM subtype analysis may be considered but is not a necessity, as the presence of incomplete GIM is significantly associated with extensive GIM, which is a documented marker that is easier to evaluate</w:t>
      </w:r>
      <w:r w:rsidR="00782E51"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32</w:t>
      </w:r>
      <w:r w:rsidR="00782E51"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33</w:t>
      </w:r>
      <w:r w:rsidR="00782E51"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84</w:t>
      </w:r>
      <w:r w:rsidR="00782E51" w:rsidRPr="0083678C">
        <w:rPr>
          <w:rFonts w:ascii="Book Antiqua" w:hAnsi="Book Antiqua"/>
          <w:color w:val="000000" w:themeColor="text1"/>
          <w:vertAlign w:val="superscript"/>
        </w:rPr>
        <w:t>]</w:t>
      </w:r>
      <w:r w:rsidR="00B37D7C" w:rsidRPr="0083678C">
        <w:rPr>
          <w:rFonts w:ascii="Book Antiqua" w:hAnsi="Book Antiqua"/>
          <w:color w:val="000000" w:themeColor="text1"/>
        </w:rPr>
        <w:t>.</w:t>
      </w:r>
    </w:p>
    <w:p w:rsidR="00B86800" w:rsidRPr="0083678C" w:rsidRDefault="00F674E4" w:rsidP="00590380">
      <w:pPr>
        <w:pStyle w:val="a7"/>
        <w:adjustRightInd w:val="0"/>
        <w:snapToGrid w:val="0"/>
        <w:spacing w:before="0" w:beforeAutospacing="0" w:after="0" w:afterAutospacing="0" w:line="360" w:lineRule="auto"/>
        <w:ind w:firstLineChars="100" w:firstLine="240"/>
        <w:jc w:val="both"/>
        <w:textAlignment w:val="baseline"/>
        <w:rPr>
          <w:rFonts w:ascii="Book Antiqua" w:hAnsi="Book Antiqua"/>
          <w:color w:val="000000" w:themeColor="text1"/>
        </w:rPr>
      </w:pPr>
      <w:r w:rsidRPr="0083678C">
        <w:rPr>
          <w:rFonts w:ascii="Book Antiqua" w:hAnsi="Book Antiqua"/>
          <w:color w:val="000000" w:themeColor="text1"/>
        </w:rPr>
        <w:t>In regions with limited resources, mapping biopsy is also recommended and specimens from each site should be put into separate containers as mentioned above. In some developing countries, the cost of histological examinations is not currently reimbursed and the cost increment of additional containers may not be affordable for many self-paid patients</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4</w:t>
      </w:r>
      <w:r w:rsidR="00DD508B" w:rsidRPr="0083678C">
        <w:rPr>
          <w:rFonts w:ascii="Book Antiqua" w:hAnsi="Book Antiqua"/>
          <w:color w:val="000000" w:themeColor="text1"/>
          <w:vertAlign w:val="superscript"/>
        </w:rPr>
        <w:t>]</w:t>
      </w:r>
      <w:r w:rsidR="00B86800" w:rsidRPr="0083678C">
        <w:rPr>
          <w:rFonts w:ascii="Book Antiqua" w:hAnsi="Book Antiqua"/>
          <w:color w:val="000000" w:themeColor="text1"/>
        </w:rPr>
        <w:t xml:space="preserve">. </w:t>
      </w:r>
      <w:r w:rsidRPr="0083678C">
        <w:rPr>
          <w:rFonts w:ascii="Book Antiqua" w:hAnsi="Book Antiqua"/>
          <w:color w:val="000000" w:themeColor="text1"/>
        </w:rPr>
        <w:t>As patients with extensive gastric atrophy and/or GIM have a higher risk of GC development</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32</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34</w:t>
      </w:r>
      <w:r w:rsidR="00DD508B" w:rsidRPr="0083678C">
        <w:rPr>
          <w:rFonts w:ascii="Book Antiqua" w:hAnsi="Book Antiqua"/>
          <w:color w:val="000000" w:themeColor="text1"/>
          <w:vertAlign w:val="superscript"/>
        </w:rPr>
        <w:t>,</w:t>
      </w:r>
      <w:r w:rsidR="0042791D" w:rsidRPr="0083678C">
        <w:rPr>
          <w:rFonts w:ascii="Book Antiqua" w:hAnsi="Book Antiqua"/>
          <w:color w:val="000000" w:themeColor="text1"/>
          <w:vertAlign w:val="superscript"/>
        </w:rPr>
        <w:t>35</w:t>
      </w:r>
      <w:r w:rsidR="00DD508B" w:rsidRPr="0083678C">
        <w:rPr>
          <w:rFonts w:ascii="Book Antiqua" w:hAnsi="Book Antiqua"/>
          <w:color w:val="000000" w:themeColor="text1"/>
          <w:vertAlign w:val="superscript"/>
        </w:rPr>
        <w:t>]</w:t>
      </w:r>
      <w:r w:rsidR="00B56AD4" w:rsidRPr="0083678C">
        <w:rPr>
          <w:rFonts w:ascii="Book Antiqua" w:hAnsi="Book Antiqua"/>
          <w:color w:val="000000" w:themeColor="text1"/>
        </w:rPr>
        <w:t xml:space="preserve">, </w:t>
      </w:r>
      <w:r w:rsidRPr="0083678C">
        <w:rPr>
          <w:rFonts w:ascii="Book Antiqua" w:hAnsi="Book Antiqua"/>
          <w:color w:val="000000" w:themeColor="text1"/>
        </w:rPr>
        <w:t>a reasonable option is to take 5 biopsies at mucosal sites according to the Sydney protocol and put them into 2 separate containers for the antrum and the corpus. Another option is to define high-risk patients based on EGA severity alone, if well-trained endoscopists are available.</w:t>
      </w:r>
    </w:p>
    <w:p w:rsidR="00590380" w:rsidRPr="0083678C" w:rsidRDefault="00590380" w:rsidP="00590380">
      <w:pPr>
        <w:pStyle w:val="a7"/>
        <w:adjustRightInd w:val="0"/>
        <w:snapToGrid w:val="0"/>
        <w:spacing w:before="0" w:beforeAutospacing="0" w:after="0" w:afterAutospacing="0" w:line="360" w:lineRule="auto"/>
        <w:ind w:firstLineChars="100" w:firstLine="240"/>
        <w:jc w:val="both"/>
        <w:textAlignment w:val="baseline"/>
        <w:rPr>
          <w:rFonts w:ascii="Book Antiqua" w:hAnsi="Book Antiqua"/>
          <w:color w:val="000000" w:themeColor="text1"/>
        </w:rPr>
      </w:pPr>
    </w:p>
    <w:p w:rsidR="00F674E4" w:rsidRPr="0083678C" w:rsidRDefault="00F674E4" w:rsidP="00B43CE7">
      <w:pPr>
        <w:adjustRightInd w:val="0"/>
        <w:snapToGrid w:val="0"/>
        <w:spacing w:after="0" w:line="360" w:lineRule="auto"/>
        <w:jc w:val="both"/>
        <w:rPr>
          <w:rFonts w:ascii="Book Antiqua" w:hAnsi="Book Antiqua" w:cs="Times New Roman"/>
          <w:b/>
          <w:i/>
          <w:color w:val="000000" w:themeColor="text1"/>
          <w:sz w:val="24"/>
          <w:szCs w:val="24"/>
        </w:rPr>
      </w:pPr>
      <w:r w:rsidRPr="0083678C">
        <w:rPr>
          <w:rFonts w:ascii="Book Antiqua" w:hAnsi="Book Antiqua" w:cs="Times New Roman"/>
          <w:b/>
          <w:i/>
          <w:color w:val="000000" w:themeColor="text1"/>
          <w:sz w:val="24"/>
          <w:szCs w:val="24"/>
        </w:rPr>
        <w:lastRenderedPageBreak/>
        <w:t>Approach for patients with upper gastrointestinal symptoms who do not yet have indications for EGD according to the current guidelines</w:t>
      </w:r>
    </w:p>
    <w:p w:rsidR="00B86800" w:rsidRPr="0083678C" w:rsidRDefault="00073575" w:rsidP="00B43CE7">
      <w:pPr>
        <w:pStyle w:val="a7"/>
        <w:adjustRightInd w:val="0"/>
        <w:snapToGrid w:val="0"/>
        <w:spacing w:before="0" w:beforeAutospacing="0" w:after="0" w:afterAutospacing="0" w:line="360" w:lineRule="auto"/>
        <w:jc w:val="both"/>
        <w:textAlignment w:val="baseline"/>
        <w:rPr>
          <w:rFonts w:ascii="Book Antiqua" w:hAnsi="Book Antiqua"/>
          <w:color w:val="000000" w:themeColor="text1"/>
        </w:rPr>
      </w:pPr>
      <w:r w:rsidRPr="0083678C">
        <w:rPr>
          <w:rFonts w:ascii="Book Antiqua" w:hAnsi="Book Antiqua"/>
          <w:color w:val="000000" w:themeColor="text1"/>
        </w:rPr>
        <w:t>The indications for EGD according to the current guidelines on dyspepsia or gastroesophageal reflux disease are mainly to detect organic diseases that cause the patient’s symptoms, especially to rule out upper gastrointestinal malignancies. For a long time, the role of EGD as an opportunistic screening tool for these malignancies, including GC, has not been sufficiently emphasized. In our opinion, the benefits from opportunistic screening by EGD should also be considered whenever we decide whether patients with upper gastrointestinal symptoms should undergo EGD. There is currently no evidence on this topic and it represents an important and interesting direction for future research</w:t>
      </w:r>
      <w:r w:rsidR="00B86800" w:rsidRPr="0083678C">
        <w:rPr>
          <w:rFonts w:ascii="Book Antiqua" w:hAnsi="Book Antiqua"/>
          <w:color w:val="000000" w:themeColor="text1"/>
        </w:rPr>
        <w:t xml:space="preserve">. </w:t>
      </w:r>
    </w:p>
    <w:p w:rsidR="00590380" w:rsidRPr="0083678C" w:rsidRDefault="00590380" w:rsidP="00B43CE7">
      <w:pPr>
        <w:pStyle w:val="a7"/>
        <w:adjustRightInd w:val="0"/>
        <w:snapToGrid w:val="0"/>
        <w:spacing w:before="0" w:beforeAutospacing="0" w:after="0" w:afterAutospacing="0" w:line="360" w:lineRule="auto"/>
        <w:jc w:val="both"/>
        <w:textAlignment w:val="baseline"/>
        <w:rPr>
          <w:rFonts w:ascii="Book Antiqua" w:hAnsi="Book Antiqua"/>
          <w:color w:val="000000" w:themeColor="text1"/>
        </w:rPr>
      </w:pPr>
    </w:p>
    <w:p w:rsidR="00FD12C5" w:rsidRPr="0083678C" w:rsidRDefault="00FD12C5" w:rsidP="00B43CE7">
      <w:pPr>
        <w:pStyle w:val="a7"/>
        <w:adjustRightInd w:val="0"/>
        <w:snapToGrid w:val="0"/>
        <w:spacing w:before="0" w:beforeAutospacing="0" w:after="0" w:afterAutospacing="0" w:line="360" w:lineRule="auto"/>
        <w:jc w:val="both"/>
        <w:textAlignment w:val="baseline"/>
        <w:rPr>
          <w:rFonts w:ascii="Book Antiqua" w:hAnsi="Book Antiqua"/>
          <w:b/>
          <w:color w:val="000000" w:themeColor="text1"/>
        </w:rPr>
      </w:pPr>
      <w:r w:rsidRPr="0083678C">
        <w:rPr>
          <w:rFonts w:ascii="Book Antiqua" w:hAnsi="Book Antiqua"/>
          <w:b/>
          <w:color w:val="000000" w:themeColor="text1"/>
        </w:rPr>
        <w:t>CONCLUSION</w:t>
      </w:r>
    </w:p>
    <w:p w:rsidR="00A60A3E" w:rsidRPr="0083678C" w:rsidRDefault="00FD12C5" w:rsidP="00B43CE7">
      <w:pPr>
        <w:pStyle w:val="a7"/>
        <w:adjustRightInd w:val="0"/>
        <w:snapToGrid w:val="0"/>
        <w:spacing w:before="0" w:beforeAutospacing="0" w:after="0" w:afterAutospacing="0" w:line="360" w:lineRule="auto"/>
        <w:jc w:val="both"/>
        <w:textAlignment w:val="baseline"/>
        <w:rPr>
          <w:rFonts w:ascii="Book Antiqua" w:hAnsi="Book Antiqua"/>
          <w:b/>
          <w:color w:val="000000" w:themeColor="text1"/>
        </w:rPr>
      </w:pPr>
      <w:r w:rsidRPr="0083678C">
        <w:rPr>
          <w:rFonts w:ascii="Book Antiqua" w:hAnsi="Book Antiqua"/>
          <w:color w:val="000000" w:themeColor="text1"/>
        </w:rPr>
        <w:t>The characteristics of individuals with high risk for GC development are well recognized.</w:t>
      </w:r>
      <w:r w:rsidR="007B164B" w:rsidRPr="0083678C">
        <w:rPr>
          <w:rFonts w:ascii="Book Antiqua" w:hAnsi="Book Antiqua"/>
          <w:color w:val="000000" w:themeColor="text1"/>
        </w:rPr>
        <w:t xml:space="preserve"> </w:t>
      </w:r>
      <w:r w:rsidRPr="0083678C">
        <w:rPr>
          <w:rFonts w:ascii="Book Antiqua" w:hAnsi="Book Antiqua"/>
          <w:color w:val="000000" w:themeColor="text1"/>
        </w:rPr>
        <w:t xml:space="preserve">There are several strategies that employ non-invasive, endoscopic, histological or combined approaches in order to attempt to identify these individuals. The main approach in </w:t>
      </w:r>
      <w:r w:rsidR="00590380" w:rsidRPr="0083678C">
        <w:rPr>
          <w:rFonts w:ascii="Book Antiqua" w:hAnsi="Book Antiqua"/>
          <w:color w:val="000000" w:themeColor="text1"/>
        </w:rPr>
        <w:t>w</w:t>
      </w:r>
      <w:r w:rsidRPr="0083678C">
        <w:rPr>
          <w:rFonts w:ascii="Book Antiqua" w:hAnsi="Book Antiqua"/>
          <w:color w:val="000000" w:themeColor="text1"/>
        </w:rPr>
        <w:t xml:space="preserve">estern countries is histology-based while that in </w:t>
      </w:r>
      <w:r w:rsidR="00590380" w:rsidRPr="0083678C">
        <w:rPr>
          <w:rFonts w:ascii="Book Antiqua" w:hAnsi="Book Antiqua"/>
          <w:color w:val="000000" w:themeColor="text1"/>
        </w:rPr>
        <w:t>e</w:t>
      </w:r>
      <w:r w:rsidRPr="0083678C">
        <w:rPr>
          <w:rFonts w:ascii="Book Antiqua" w:hAnsi="Book Antiqua"/>
          <w:color w:val="000000" w:themeColor="text1"/>
        </w:rPr>
        <w:t xml:space="preserve">astern countries with high prevalence of GC is endoscopy-based. Although some approaches have demonstrated their cost effectiveness and their ability to reduce GC mortality, these cannot be widely applied in many regions due to resource limitations. Based on the current evidence from both </w:t>
      </w:r>
      <w:r w:rsidR="00590380" w:rsidRPr="0083678C">
        <w:rPr>
          <w:rFonts w:ascii="Book Antiqua" w:hAnsi="Book Antiqua"/>
          <w:color w:val="000000" w:themeColor="text1"/>
        </w:rPr>
        <w:t>western and eastern perspectives, a</w:t>
      </w:r>
      <w:r w:rsidRPr="0083678C">
        <w:rPr>
          <w:rFonts w:ascii="Book Antiqua" w:hAnsi="Book Antiqua"/>
          <w:color w:val="000000" w:themeColor="text1"/>
        </w:rPr>
        <w:t>n integrated and resource-sensitive approach could be developed for real-life practice</w:t>
      </w:r>
      <w:r w:rsidR="00A60A3E" w:rsidRPr="0083678C">
        <w:rPr>
          <w:rFonts w:ascii="Book Antiqua" w:hAnsi="Book Antiqua"/>
          <w:color w:val="000000" w:themeColor="text1"/>
        </w:rPr>
        <w:t>.</w:t>
      </w:r>
    </w:p>
    <w:p w:rsidR="00B86800" w:rsidRPr="0083678C" w:rsidRDefault="00B86800" w:rsidP="00B43CE7">
      <w:pPr>
        <w:adjustRightInd w:val="0"/>
        <w:snapToGrid w:val="0"/>
        <w:spacing w:after="0" w:line="360" w:lineRule="auto"/>
        <w:jc w:val="both"/>
        <w:rPr>
          <w:rFonts w:ascii="Book Antiqua" w:eastAsia="Times New Roman" w:hAnsi="Book Antiqua" w:cs="Times New Roman"/>
          <w:color w:val="000000" w:themeColor="text1"/>
          <w:sz w:val="24"/>
          <w:szCs w:val="24"/>
        </w:rPr>
      </w:pPr>
      <w:r w:rsidRPr="0083678C">
        <w:rPr>
          <w:rFonts w:ascii="Book Antiqua" w:hAnsi="Book Antiqua" w:cs="Times New Roman"/>
          <w:color w:val="000000" w:themeColor="text1"/>
          <w:sz w:val="24"/>
          <w:szCs w:val="24"/>
        </w:rPr>
        <w:br w:type="page"/>
      </w:r>
    </w:p>
    <w:p w:rsidR="003977F7" w:rsidRPr="0083678C" w:rsidRDefault="00CD0051" w:rsidP="00B43CE7">
      <w:pPr>
        <w:adjustRightInd w:val="0"/>
        <w:snapToGrid w:val="0"/>
        <w:spacing w:after="0" w:line="360" w:lineRule="auto"/>
        <w:jc w:val="both"/>
        <w:rPr>
          <w:rFonts w:ascii="Book Antiqua" w:hAnsi="Book Antiqua" w:cs="Times New Roman"/>
          <w:b/>
          <w:color w:val="000000" w:themeColor="text1"/>
          <w:sz w:val="24"/>
          <w:szCs w:val="24"/>
        </w:rPr>
      </w:pPr>
      <w:r w:rsidRPr="0083678C">
        <w:rPr>
          <w:rFonts w:ascii="Book Antiqua" w:hAnsi="Book Antiqua" w:cs="Times New Roman"/>
          <w:b/>
          <w:color w:val="000000" w:themeColor="text1"/>
          <w:sz w:val="24"/>
          <w:szCs w:val="24"/>
        </w:rPr>
        <w:lastRenderedPageBreak/>
        <w:t>REFERENCES</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1 Globocan. Available from: https://gco.iarc.fr/.2018</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2 </w:t>
      </w:r>
      <w:r w:rsidRPr="0083678C">
        <w:rPr>
          <w:rFonts w:ascii="Book Antiqua" w:hAnsi="Book Antiqua" w:cs="Times New Roman"/>
          <w:b/>
          <w:bCs/>
          <w:color w:val="000000" w:themeColor="text1"/>
          <w:sz w:val="24"/>
          <w:szCs w:val="24"/>
        </w:rPr>
        <w:t>Fuchs CS</w:t>
      </w:r>
      <w:r w:rsidRPr="0083678C">
        <w:rPr>
          <w:rFonts w:ascii="Book Antiqua" w:hAnsi="Book Antiqua" w:cs="Times New Roman"/>
          <w:color w:val="000000" w:themeColor="text1"/>
          <w:sz w:val="24"/>
          <w:szCs w:val="24"/>
        </w:rPr>
        <w:t>, Mayer RJ. Gastric carcinoma. </w:t>
      </w:r>
      <w:r w:rsidRPr="0083678C">
        <w:rPr>
          <w:rFonts w:ascii="Book Antiqua" w:hAnsi="Book Antiqua" w:cs="Times New Roman"/>
          <w:i/>
          <w:iCs/>
          <w:color w:val="000000" w:themeColor="text1"/>
          <w:sz w:val="24"/>
          <w:szCs w:val="24"/>
        </w:rPr>
        <w:t>N Engl J Med</w:t>
      </w:r>
      <w:r w:rsidRPr="0083678C">
        <w:rPr>
          <w:rFonts w:ascii="Book Antiqua" w:hAnsi="Book Antiqua" w:cs="Times New Roman"/>
          <w:color w:val="000000" w:themeColor="text1"/>
          <w:sz w:val="24"/>
          <w:szCs w:val="24"/>
        </w:rPr>
        <w:t> 1995; </w:t>
      </w:r>
      <w:r w:rsidRPr="0083678C">
        <w:rPr>
          <w:rFonts w:ascii="Book Antiqua" w:hAnsi="Book Antiqua" w:cs="Times New Roman"/>
          <w:b/>
          <w:bCs/>
          <w:color w:val="000000" w:themeColor="text1"/>
          <w:sz w:val="24"/>
          <w:szCs w:val="24"/>
        </w:rPr>
        <w:t>333</w:t>
      </w:r>
      <w:r w:rsidRPr="0083678C">
        <w:rPr>
          <w:rFonts w:ascii="Book Antiqua" w:hAnsi="Book Antiqua" w:cs="Times New Roman"/>
          <w:color w:val="000000" w:themeColor="text1"/>
          <w:sz w:val="24"/>
          <w:szCs w:val="24"/>
        </w:rPr>
        <w:t>: 32-41 [PMID: 7776992 DOI: 10.1056/NEJM199507063330107]</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3 </w:t>
      </w:r>
      <w:r w:rsidRPr="0083678C">
        <w:rPr>
          <w:rFonts w:ascii="Book Antiqua" w:hAnsi="Book Antiqua" w:cs="Times New Roman"/>
          <w:b/>
          <w:bCs/>
          <w:color w:val="000000" w:themeColor="text1"/>
          <w:sz w:val="24"/>
          <w:szCs w:val="24"/>
        </w:rPr>
        <w:t>Bai Y</w:t>
      </w:r>
      <w:r w:rsidRPr="0083678C">
        <w:rPr>
          <w:rFonts w:ascii="Book Antiqua" w:hAnsi="Book Antiqua" w:cs="Times New Roman"/>
          <w:color w:val="000000" w:themeColor="text1"/>
          <w:sz w:val="24"/>
          <w:szCs w:val="24"/>
        </w:rPr>
        <w:t>, Li ZS, Zou DW, Wu RP, Yao YZ, Jin ZD, Ye P, Li SD, Zhang WJ, Du YQ, Zhan XB, Liu F, Gao J, Xu GM. Alarm features and age for predicting upper gastrointestinal malignancy in Chinese patients with dyspepsia with high background prevalence of Helicobacter pylori infection and upper gastrointestinal malignancy: an endoscopic database review of 102,665 patients from 1996 to 2006. </w:t>
      </w:r>
      <w:r w:rsidRPr="0083678C">
        <w:rPr>
          <w:rFonts w:ascii="Book Antiqua" w:hAnsi="Book Antiqua" w:cs="Times New Roman"/>
          <w:i/>
          <w:iCs/>
          <w:color w:val="000000" w:themeColor="text1"/>
          <w:sz w:val="24"/>
          <w:szCs w:val="24"/>
        </w:rPr>
        <w:t>Gut</w:t>
      </w:r>
      <w:r w:rsidRPr="0083678C">
        <w:rPr>
          <w:rFonts w:ascii="Book Antiqua" w:hAnsi="Book Antiqua" w:cs="Times New Roman"/>
          <w:color w:val="000000" w:themeColor="text1"/>
          <w:sz w:val="24"/>
          <w:szCs w:val="24"/>
        </w:rPr>
        <w:t> 2010; </w:t>
      </w:r>
      <w:r w:rsidRPr="0083678C">
        <w:rPr>
          <w:rFonts w:ascii="Book Antiqua" w:hAnsi="Book Antiqua" w:cs="Times New Roman"/>
          <w:b/>
          <w:bCs/>
          <w:color w:val="000000" w:themeColor="text1"/>
          <w:sz w:val="24"/>
          <w:szCs w:val="24"/>
        </w:rPr>
        <w:t>59</w:t>
      </w:r>
      <w:r w:rsidRPr="0083678C">
        <w:rPr>
          <w:rFonts w:ascii="Book Antiqua" w:hAnsi="Book Antiqua" w:cs="Times New Roman"/>
          <w:color w:val="000000" w:themeColor="text1"/>
          <w:sz w:val="24"/>
          <w:szCs w:val="24"/>
        </w:rPr>
        <w:t>: 722-728 [PMID: 20551455 DOI: 10.1136/gut.2009.192401]</w:t>
      </w:r>
    </w:p>
    <w:p w:rsidR="00E12493" w:rsidRPr="0083678C" w:rsidRDefault="003B4D3E" w:rsidP="00E12493">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4 </w:t>
      </w:r>
      <w:r w:rsidR="00E12493" w:rsidRPr="0083678C">
        <w:rPr>
          <w:rFonts w:ascii="Book Antiqua" w:hAnsi="Book Antiqua" w:cs="Times New Roman"/>
          <w:b/>
          <w:bCs/>
          <w:color w:val="000000" w:themeColor="text1"/>
          <w:sz w:val="24"/>
          <w:szCs w:val="24"/>
        </w:rPr>
        <w:t>Quach DT</w:t>
      </w:r>
      <w:r w:rsidR="00E12493" w:rsidRPr="0083678C">
        <w:rPr>
          <w:rFonts w:ascii="Book Antiqua" w:hAnsi="Book Antiqua" w:cs="Times New Roman"/>
          <w:color w:val="000000" w:themeColor="text1"/>
          <w:sz w:val="24"/>
          <w:szCs w:val="24"/>
        </w:rPr>
        <w:t>, Vilaichone RK, Vu KV, Yamaoka Y, Sugano K, Mahachai V. Helicobacter pylori Infection and Related Gastrointestinal Diseases in Southeast Asian Countries: An Expert Opinion Survey </w:t>
      </w:r>
      <w:r w:rsidR="00E12493" w:rsidRPr="0083678C">
        <w:rPr>
          <w:rFonts w:ascii="Book Antiqua" w:hAnsi="Book Antiqua" w:cs="Times New Roman"/>
          <w:i/>
          <w:iCs/>
          <w:color w:val="000000" w:themeColor="text1"/>
          <w:sz w:val="24"/>
          <w:szCs w:val="24"/>
        </w:rPr>
        <w:t>Asian Pac J Cancer Prev</w:t>
      </w:r>
      <w:r w:rsidR="00E12493" w:rsidRPr="0083678C">
        <w:rPr>
          <w:rFonts w:ascii="Book Antiqua" w:hAnsi="Book Antiqua" w:cs="Times New Roman"/>
          <w:color w:val="000000" w:themeColor="text1"/>
          <w:sz w:val="24"/>
          <w:szCs w:val="24"/>
        </w:rPr>
        <w:t> 2018; </w:t>
      </w:r>
      <w:r w:rsidR="00E12493" w:rsidRPr="0083678C">
        <w:rPr>
          <w:rFonts w:ascii="Book Antiqua" w:hAnsi="Book Antiqua" w:cs="Times New Roman"/>
          <w:b/>
          <w:bCs/>
          <w:color w:val="000000" w:themeColor="text1"/>
          <w:sz w:val="24"/>
          <w:szCs w:val="24"/>
        </w:rPr>
        <w:t>19</w:t>
      </w:r>
      <w:r w:rsidR="00E12493" w:rsidRPr="0083678C">
        <w:rPr>
          <w:rFonts w:ascii="Book Antiqua" w:hAnsi="Book Antiqua" w:cs="Times New Roman"/>
          <w:color w:val="000000" w:themeColor="text1"/>
          <w:sz w:val="24"/>
          <w:szCs w:val="24"/>
        </w:rPr>
        <w:t>: 3565-3569 [PMID: 30583684 DOI: 10.31557/APJCP.2018.19.12.3565]</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5 </w:t>
      </w:r>
      <w:r w:rsidRPr="0083678C">
        <w:rPr>
          <w:rFonts w:ascii="Book Antiqua" w:hAnsi="Book Antiqua" w:cs="Times New Roman"/>
          <w:b/>
          <w:bCs/>
          <w:color w:val="000000" w:themeColor="text1"/>
          <w:sz w:val="24"/>
          <w:szCs w:val="24"/>
        </w:rPr>
        <w:t>Yuan Y</w:t>
      </w:r>
      <w:r w:rsidRPr="0083678C">
        <w:rPr>
          <w:rFonts w:ascii="Book Antiqua" w:hAnsi="Book Antiqua" w:cs="Times New Roman"/>
          <w:color w:val="000000" w:themeColor="text1"/>
          <w:sz w:val="24"/>
          <w:szCs w:val="24"/>
        </w:rPr>
        <w:t>. A survey and evaluation of population-based screening for gastric cancer. </w:t>
      </w:r>
      <w:r w:rsidRPr="0083678C">
        <w:rPr>
          <w:rFonts w:ascii="Book Antiqua" w:hAnsi="Book Antiqua" w:cs="Times New Roman"/>
          <w:i/>
          <w:iCs/>
          <w:color w:val="000000" w:themeColor="text1"/>
          <w:sz w:val="24"/>
          <w:szCs w:val="24"/>
        </w:rPr>
        <w:t>Cancer Biol Med</w:t>
      </w:r>
      <w:r w:rsidRPr="0083678C">
        <w:rPr>
          <w:rFonts w:ascii="Book Antiqua" w:hAnsi="Book Antiqua" w:cs="Times New Roman"/>
          <w:color w:val="000000" w:themeColor="text1"/>
          <w:sz w:val="24"/>
          <w:szCs w:val="24"/>
        </w:rPr>
        <w:t> 2013; </w:t>
      </w:r>
      <w:r w:rsidRPr="0083678C">
        <w:rPr>
          <w:rFonts w:ascii="Book Antiqua" w:hAnsi="Book Antiqua" w:cs="Times New Roman"/>
          <w:b/>
          <w:bCs/>
          <w:color w:val="000000" w:themeColor="text1"/>
          <w:sz w:val="24"/>
          <w:szCs w:val="24"/>
        </w:rPr>
        <w:t>10</w:t>
      </w:r>
      <w:r w:rsidRPr="0083678C">
        <w:rPr>
          <w:rFonts w:ascii="Book Antiqua" w:hAnsi="Book Antiqua" w:cs="Times New Roman"/>
          <w:color w:val="000000" w:themeColor="text1"/>
          <w:sz w:val="24"/>
          <w:szCs w:val="24"/>
        </w:rPr>
        <w:t>: 72-80 [PMID: 23882421 DOI: 10.7497/j.issn.2095-3941.2013.02.002]</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6 </w:t>
      </w:r>
      <w:r w:rsidRPr="0083678C">
        <w:rPr>
          <w:rFonts w:ascii="Book Antiqua" w:hAnsi="Book Antiqua" w:cs="Times New Roman"/>
          <w:b/>
          <w:bCs/>
          <w:color w:val="000000" w:themeColor="text1"/>
          <w:sz w:val="24"/>
          <w:szCs w:val="24"/>
        </w:rPr>
        <w:t>Correa P</w:t>
      </w:r>
      <w:r w:rsidRPr="0083678C">
        <w:rPr>
          <w:rFonts w:ascii="Book Antiqua" w:hAnsi="Book Antiqua" w:cs="Times New Roman"/>
          <w:color w:val="000000" w:themeColor="text1"/>
          <w:sz w:val="24"/>
          <w:szCs w:val="24"/>
        </w:rPr>
        <w:t>, Piazuelo MB. The gastric precancerous cascade. </w:t>
      </w:r>
      <w:r w:rsidRPr="0083678C">
        <w:rPr>
          <w:rFonts w:ascii="Book Antiqua" w:hAnsi="Book Antiqua" w:cs="Times New Roman"/>
          <w:i/>
          <w:iCs/>
          <w:color w:val="000000" w:themeColor="text1"/>
          <w:sz w:val="24"/>
          <w:szCs w:val="24"/>
        </w:rPr>
        <w:t>J Dig Dis</w:t>
      </w:r>
      <w:r w:rsidRPr="0083678C">
        <w:rPr>
          <w:rFonts w:ascii="Book Antiqua" w:hAnsi="Book Antiqua" w:cs="Times New Roman"/>
          <w:color w:val="000000" w:themeColor="text1"/>
          <w:sz w:val="24"/>
          <w:szCs w:val="24"/>
        </w:rPr>
        <w:t> 2012; </w:t>
      </w:r>
      <w:r w:rsidRPr="0083678C">
        <w:rPr>
          <w:rFonts w:ascii="Book Antiqua" w:hAnsi="Book Antiqua" w:cs="Times New Roman"/>
          <w:b/>
          <w:bCs/>
          <w:color w:val="000000" w:themeColor="text1"/>
          <w:sz w:val="24"/>
          <w:szCs w:val="24"/>
        </w:rPr>
        <w:t>13</w:t>
      </w:r>
      <w:r w:rsidRPr="0083678C">
        <w:rPr>
          <w:rFonts w:ascii="Book Antiqua" w:hAnsi="Book Antiqua" w:cs="Times New Roman"/>
          <w:color w:val="000000" w:themeColor="text1"/>
          <w:sz w:val="24"/>
          <w:szCs w:val="24"/>
        </w:rPr>
        <w:t>: 2-9 [PMID: 22188910 DOI: 10.1111/j.1751-2980.2011.00550.x]</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7 </w:t>
      </w:r>
      <w:r w:rsidRPr="0083678C">
        <w:rPr>
          <w:rFonts w:ascii="Book Antiqua" w:hAnsi="Book Antiqua" w:cs="Times New Roman"/>
          <w:b/>
          <w:bCs/>
          <w:color w:val="000000" w:themeColor="text1"/>
          <w:sz w:val="24"/>
          <w:szCs w:val="24"/>
        </w:rPr>
        <w:t>Tsukuma H</w:t>
      </w:r>
      <w:r w:rsidRPr="0083678C">
        <w:rPr>
          <w:rFonts w:ascii="Book Antiqua" w:hAnsi="Book Antiqua" w:cs="Times New Roman"/>
          <w:color w:val="000000" w:themeColor="text1"/>
          <w:sz w:val="24"/>
          <w:szCs w:val="24"/>
        </w:rPr>
        <w:t>, Oshima A, Narahara H, Morii T. Natural history of early gastric cancer: a non-concurrent, long term, follow up study. </w:t>
      </w:r>
      <w:r w:rsidRPr="0083678C">
        <w:rPr>
          <w:rFonts w:ascii="Book Antiqua" w:hAnsi="Book Antiqua" w:cs="Times New Roman"/>
          <w:i/>
          <w:iCs/>
          <w:color w:val="000000" w:themeColor="text1"/>
          <w:sz w:val="24"/>
          <w:szCs w:val="24"/>
        </w:rPr>
        <w:t>Gut</w:t>
      </w:r>
      <w:r w:rsidRPr="0083678C">
        <w:rPr>
          <w:rFonts w:ascii="Book Antiqua" w:hAnsi="Book Antiqua" w:cs="Times New Roman"/>
          <w:color w:val="000000" w:themeColor="text1"/>
          <w:sz w:val="24"/>
          <w:szCs w:val="24"/>
        </w:rPr>
        <w:t> 2000; </w:t>
      </w:r>
      <w:r w:rsidRPr="0083678C">
        <w:rPr>
          <w:rFonts w:ascii="Book Antiqua" w:hAnsi="Book Antiqua" w:cs="Times New Roman"/>
          <w:b/>
          <w:bCs/>
          <w:color w:val="000000" w:themeColor="text1"/>
          <w:sz w:val="24"/>
          <w:szCs w:val="24"/>
        </w:rPr>
        <w:t>47</w:t>
      </w:r>
      <w:r w:rsidRPr="0083678C">
        <w:rPr>
          <w:rFonts w:ascii="Book Antiqua" w:hAnsi="Book Antiqua" w:cs="Times New Roman"/>
          <w:color w:val="000000" w:themeColor="text1"/>
          <w:sz w:val="24"/>
          <w:szCs w:val="24"/>
        </w:rPr>
        <w:t>: 618-621 [PMID: 11034575]</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8 </w:t>
      </w:r>
      <w:r w:rsidRPr="0083678C">
        <w:rPr>
          <w:rFonts w:ascii="Book Antiqua" w:hAnsi="Book Antiqua" w:cs="Times New Roman"/>
          <w:b/>
          <w:bCs/>
          <w:color w:val="000000" w:themeColor="text1"/>
          <w:sz w:val="24"/>
          <w:szCs w:val="24"/>
        </w:rPr>
        <w:t>Uemura N</w:t>
      </w:r>
      <w:r w:rsidRPr="0083678C">
        <w:rPr>
          <w:rFonts w:ascii="Book Antiqua" w:hAnsi="Book Antiqua" w:cs="Times New Roman"/>
          <w:color w:val="000000" w:themeColor="text1"/>
          <w:sz w:val="24"/>
          <w:szCs w:val="24"/>
        </w:rPr>
        <w:t>, Okamoto S, Yamamoto S, Matsumura N, Yamaguchi S, Yamakido M, Taniyama K, Sasaki N, Schlemper RJ. Helicobacter pylori infection and the development of gastric cancer. </w:t>
      </w:r>
      <w:r w:rsidRPr="0083678C">
        <w:rPr>
          <w:rFonts w:ascii="Book Antiqua" w:hAnsi="Book Antiqua" w:cs="Times New Roman"/>
          <w:i/>
          <w:iCs/>
          <w:color w:val="000000" w:themeColor="text1"/>
          <w:sz w:val="24"/>
          <w:szCs w:val="24"/>
        </w:rPr>
        <w:t>N Engl J Med</w:t>
      </w:r>
      <w:r w:rsidRPr="0083678C">
        <w:rPr>
          <w:rFonts w:ascii="Book Antiqua" w:hAnsi="Book Antiqua" w:cs="Times New Roman"/>
          <w:color w:val="000000" w:themeColor="text1"/>
          <w:sz w:val="24"/>
          <w:szCs w:val="24"/>
        </w:rPr>
        <w:t> 2001; </w:t>
      </w:r>
      <w:r w:rsidRPr="0083678C">
        <w:rPr>
          <w:rFonts w:ascii="Book Antiqua" w:hAnsi="Book Antiqua" w:cs="Times New Roman"/>
          <w:b/>
          <w:bCs/>
          <w:color w:val="000000" w:themeColor="text1"/>
          <w:sz w:val="24"/>
          <w:szCs w:val="24"/>
        </w:rPr>
        <w:t>345</w:t>
      </w:r>
      <w:r w:rsidRPr="0083678C">
        <w:rPr>
          <w:rFonts w:ascii="Book Antiqua" w:hAnsi="Book Antiqua" w:cs="Times New Roman"/>
          <w:color w:val="000000" w:themeColor="text1"/>
          <w:sz w:val="24"/>
          <w:szCs w:val="24"/>
        </w:rPr>
        <w:t>: 784-789 [PMID: 11556297 DOI: 10.1056/NEJMoa001999]</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9 </w:t>
      </w:r>
      <w:r w:rsidRPr="0083678C">
        <w:rPr>
          <w:rFonts w:ascii="Book Antiqua" w:hAnsi="Book Antiqua" w:cs="Times New Roman"/>
          <w:b/>
          <w:bCs/>
          <w:color w:val="000000" w:themeColor="text1"/>
          <w:sz w:val="24"/>
          <w:szCs w:val="24"/>
        </w:rPr>
        <w:t>Dinis-Ribeiro M</w:t>
      </w:r>
      <w:r w:rsidRPr="0083678C">
        <w:rPr>
          <w:rFonts w:ascii="Book Antiqua" w:hAnsi="Book Antiqua" w:cs="Times New Roman"/>
          <w:color w:val="000000" w:themeColor="text1"/>
          <w:sz w:val="24"/>
          <w:szCs w:val="24"/>
        </w:rPr>
        <w:t xml:space="preserve">, Areia M, de Vries AC, Marcos-Pinto R, Monteiro-Soares M, O'Connor A, Pereira C, Pimentel-Nunes P, Correia R, Ensari A, Dumonceau JM, Machado JC, Macedo G, Malfertheiner P, Matysiak-Budnik T, Megraud F, Miki K, O'Morain C, Peek RM, Ponchon T, Ristimaki A, Rembacken B, Carneiro F, Kuipers EJ; </w:t>
      </w:r>
      <w:r w:rsidRPr="0083678C">
        <w:rPr>
          <w:rFonts w:ascii="Book Antiqua" w:hAnsi="Book Antiqua" w:cs="Times New Roman"/>
          <w:color w:val="000000" w:themeColor="text1"/>
          <w:sz w:val="24"/>
          <w:szCs w:val="24"/>
        </w:rPr>
        <w:lastRenderedPageBreak/>
        <w:t>European Society of Gastrointestinal Endoscopy; European Helicobacter Study Group; European Society of Pathology; Sociedade Portuguesa de Endoscopia Digestiva. Management of precancerous conditions and lesions in the stomach (MAPS): guideline from the European Society of Gastrointestinal Endoscopy (ESGE), European Helicobacter Study Group (EHSG), European Society of Pathology (ESP), and the Sociedade Portuguesa de Endoscopia Digestiva (SPED). </w:t>
      </w:r>
      <w:r w:rsidRPr="0083678C">
        <w:rPr>
          <w:rFonts w:ascii="Book Antiqua" w:hAnsi="Book Antiqua" w:cs="Times New Roman"/>
          <w:i/>
          <w:iCs/>
          <w:color w:val="000000" w:themeColor="text1"/>
          <w:sz w:val="24"/>
          <w:szCs w:val="24"/>
        </w:rPr>
        <w:t>Endoscopy</w:t>
      </w:r>
      <w:r w:rsidRPr="0083678C">
        <w:rPr>
          <w:rFonts w:ascii="Book Antiqua" w:hAnsi="Book Antiqua" w:cs="Times New Roman"/>
          <w:color w:val="000000" w:themeColor="text1"/>
          <w:sz w:val="24"/>
          <w:szCs w:val="24"/>
        </w:rPr>
        <w:t> 2012; </w:t>
      </w:r>
      <w:r w:rsidRPr="0083678C">
        <w:rPr>
          <w:rFonts w:ascii="Book Antiqua" w:hAnsi="Book Antiqua" w:cs="Times New Roman"/>
          <w:b/>
          <w:bCs/>
          <w:color w:val="000000" w:themeColor="text1"/>
          <w:sz w:val="24"/>
          <w:szCs w:val="24"/>
        </w:rPr>
        <w:t>44</w:t>
      </w:r>
      <w:r w:rsidRPr="0083678C">
        <w:rPr>
          <w:rFonts w:ascii="Book Antiqua" w:hAnsi="Book Antiqua" w:cs="Times New Roman"/>
          <w:color w:val="000000" w:themeColor="text1"/>
          <w:sz w:val="24"/>
          <w:szCs w:val="24"/>
        </w:rPr>
        <w:t>: 74-94 [PMID: 22198778 DOI: 10.1055/s-0031-1291491]</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10 </w:t>
      </w:r>
      <w:r w:rsidRPr="0083678C">
        <w:rPr>
          <w:rFonts w:ascii="Book Antiqua" w:hAnsi="Book Antiqua" w:cs="Times New Roman"/>
          <w:b/>
          <w:bCs/>
          <w:color w:val="000000" w:themeColor="text1"/>
          <w:sz w:val="24"/>
          <w:szCs w:val="24"/>
        </w:rPr>
        <w:t>Sugano K</w:t>
      </w:r>
      <w:r w:rsidRPr="0083678C">
        <w:rPr>
          <w:rFonts w:ascii="Book Antiqua" w:hAnsi="Book Antiqua" w:cs="Times New Roman"/>
          <w:color w:val="000000" w:themeColor="text1"/>
          <w:sz w:val="24"/>
          <w:szCs w:val="24"/>
        </w:rPr>
        <w:t>, Tack J, Kuipers EJ, Graham DY, El-Omar EM, Miura S, Haruma K, Asaka M, Uemura N, Malfertheiner P; faculty members of Kyoto Global Consensus Conference. Kyoto global consensus report on Helicobacter pylori gastritis. </w:t>
      </w:r>
      <w:r w:rsidRPr="0083678C">
        <w:rPr>
          <w:rFonts w:ascii="Book Antiqua" w:hAnsi="Book Antiqua" w:cs="Times New Roman"/>
          <w:i/>
          <w:iCs/>
          <w:color w:val="000000" w:themeColor="text1"/>
          <w:sz w:val="24"/>
          <w:szCs w:val="24"/>
        </w:rPr>
        <w:t>Gut</w:t>
      </w:r>
      <w:r w:rsidRPr="0083678C">
        <w:rPr>
          <w:rFonts w:ascii="Book Antiqua" w:hAnsi="Book Antiqua" w:cs="Times New Roman"/>
          <w:color w:val="000000" w:themeColor="text1"/>
          <w:sz w:val="24"/>
          <w:szCs w:val="24"/>
        </w:rPr>
        <w:t> 2015; </w:t>
      </w:r>
      <w:r w:rsidRPr="0083678C">
        <w:rPr>
          <w:rFonts w:ascii="Book Antiqua" w:hAnsi="Book Antiqua" w:cs="Times New Roman"/>
          <w:b/>
          <w:bCs/>
          <w:color w:val="000000" w:themeColor="text1"/>
          <w:sz w:val="24"/>
          <w:szCs w:val="24"/>
        </w:rPr>
        <w:t>64</w:t>
      </w:r>
      <w:r w:rsidRPr="0083678C">
        <w:rPr>
          <w:rFonts w:ascii="Book Antiqua" w:hAnsi="Book Antiqua" w:cs="Times New Roman"/>
          <w:color w:val="000000" w:themeColor="text1"/>
          <w:sz w:val="24"/>
          <w:szCs w:val="24"/>
        </w:rPr>
        <w:t>: 1353-1367 [PMID: 26187502 DOI: 10.1136/gutjnl-2015-309252]</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11 </w:t>
      </w:r>
      <w:r w:rsidRPr="0083678C">
        <w:rPr>
          <w:rFonts w:ascii="Book Antiqua" w:hAnsi="Book Antiqua" w:cs="Times New Roman"/>
          <w:b/>
          <w:bCs/>
          <w:color w:val="000000" w:themeColor="text1"/>
          <w:sz w:val="24"/>
          <w:szCs w:val="24"/>
        </w:rPr>
        <w:t>Sung JK</w:t>
      </w:r>
      <w:r w:rsidRPr="0083678C">
        <w:rPr>
          <w:rFonts w:ascii="Book Antiqua" w:hAnsi="Book Antiqua" w:cs="Times New Roman"/>
          <w:color w:val="000000" w:themeColor="text1"/>
          <w:sz w:val="24"/>
          <w:szCs w:val="24"/>
        </w:rPr>
        <w:t>. Diagnosis and management of gastric dysplasia. </w:t>
      </w:r>
      <w:r w:rsidRPr="0083678C">
        <w:rPr>
          <w:rFonts w:ascii="Book Antiqua" w:hAnsi="Book Antiqua" w:cs="Times New Roman"/>
          <w:i/>
          <w:iCs/>
          <w:color w:val="000000" w:themeColor="text1"/>
          <w:sz w:val="24"/>
          <w:szCs w:val="24"/>
        </w:rPr>
        <w:t>Korean J Intern Med</w:t>
      </w:r>
      <w:r w:rsidRPr="0083678C">
        <w:rPr>
          <w:rFonts w:ascii="Book Antiqua" w:hAnsi="Book Antiqua" w:cs="Times New Roman"/>
          <w:color w:val="000000" w:themeColor="text1"/>
          <w:sz w:val="24"/>
          <w:szCs w:val="24"/>
        </w:rPr>
        <w:t> 2016; </w:t>
      </w:r>
      <w:r w:rsidRPr="0083678C">
        <w:rPr>
          <w:rFonts w:ascii="Book Antiqua" w:hAnsi="Book Antiqua" w:cs="Times New Roman"/>
          <w:b/>
          <w:bCs/>
          <w:color w:val="000000" w:themeColor="text1"/>
          <w:sz w:val="24"/>
          <w:szCs w:val="24"/>
        </w:rPr>
        <w:t>31</w:t>
      </w:r>
      <w:r w:rsidRPr="0083678C">
        <w:rPr>
          <w:rFonts w:ascii="Book Antiqua" w:hAnsi="Book Antiqua" w:cs="Times New Roman"/>
          <w:color w:val="000000" w:themeColor="text1"/>
          <w:sz w:val="24"/>
          <w:szCs w:val="24"/>
        </w:rPr>
        <w:t>: 201-209 [PMID: 26932397 DOI: 10.3904/kjim.2016.021]</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12 </w:t>
      </w:r>
      <w:r w:rsidRPr="0083678C">
        <w:rPr>
          <w:rFonts w:ascii="Book Antiqua" w:hAnsi="Book Antiqua" w:cs="Times New Roman"/>
          <w:b/>
          <w:bCs/>
          <w:color w:val="000000" w:themeColor="text1"/>
          <w:sz w:val="24"/>
          <w:szCs w:val="24"/>
        </w:rPr>
        <w:t>Yue H</w:t>
      </w:r>
      <w:r w:rsidRPr="0083678C">
        <w:rPr>
          <w:rFonts w:ascii="Book Antiqua" w:hAnsi="Book Antiqua" w:cs="Times New Roman"/>
          <w:color w:val="000000" w:themeColor="text1"/>
          <w:sz w:val="24"/>
          <w:szCs w:val="24"/>
        </w:rPr>
        <w:t>, Shan L, Bin L. The significance of OLGA and OLGIM staging systems in the risk assessment of gastric cancer: a systematic review and meta-analysis. </w:t>
      </w:r>
      <w:r w:rsidRPr="0083678C">
        <w:rPr>
          <w:rFonts w:ascii="Book Antiqua" w:hAnsi="Book Antiqua" w:cs="Times New Roman"/>
          <w:i/>
          <w:iCs/>
          <w:color w:val="000000" w:themeColor="text1"/>
          <w:sz w:val="24"/>
          <w:szCs w:val="24"/>
        </w:rPr>
        <w:t>Gastric Cancer</w:t>
      </w:r>
      <w:r w:rsidRPr="0083678C">
        <w:rPr>
          <w:rFonts w:ascii="Book Antiqua" w:hAnsi="Book Antiqua" w:cs="Times New Roman"/>
          <w:color w:val="000000" w:themeColor="text1"/>
          <w:sz w:val="24"/>
          <w:szCs w:val="24"/>
        </w:rPr>
        <w:t> 2018; </w:t>
      </w:r>
      <w:r w:rsidRPr="0083678C">
        <w:rPr>
          <w:rFonts w:ascii="Book Antiqua" w:hAnsi="Book Antiqua" w:cs="Times New Roman"/>
          <w:b/>
          <w:bCs/>
          <w:color w:val="000000" w:themeColor="text1"/>
          <w:sz w:val="24"/>
          <w:szCs w:val="24"/>
        </w:rPr>
        <w:t>21</w:t>
      </w:r>
      <w:r w:rsidRPr="0083678C">
        <w:rPr>
          <w:rFonts w:ascii="Book Antiqua" w:hAnsi="Book Antiqua" w:cs="Times New Roman"/>
          <w:color w:val="000000" w:themeColor="text1"/>
          <w:sz w:val="24"/>
          <w:szCs w:val="24"/>
        </w:rPr>
        <w:t>: 579-587 [PMID: 29460004 DOI: 10.1007/s10120-018-0812-3]</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13 </w:t>
      </w:r>
      <w:r w:rsidRPr="0083678C">
        <w:rPr>
          <w:rFonts w:ascii="Book Antiqua" w:hAnsi="Book Antiqua" w:cs="Times New Roman"/>
          <w:b/>
          <w:bCs/>
          <w:color w:val="000000" w:themeColor="text1"/>
          <w:sz w:val="24"/>
          <w:szCs w:val="24"/>
        </w:rPr>
        <w:t>Chen HN</w:t>
      </w:r>
      <w:r w:rsidRPr="0083678C">
        <w:rPr>
          <w:rFonts w:ascii="Book Antiqua" w:hAnsi="Book Antiqua" w:cs="Times New Roman"/>
          <w:color w:val="000000" w:themeColor="text1"/>
          <w:sz w:val="24"/>
          <w:szCs w:val="24"/>
        </w:rPr>
        <w:t>, Wang Z, Li X, Zhou ZG. Helicobacter pylori eradication cannot reduce the risk of gastric cancer in patients with intestinal metaplasia and dysplasia: evidence from a meta-analysis. </w:t>
      </w:r>
      <w:r w:rsidRPr="0083678C">
        <w:rPr>
          <w:rFonts w:ascii="Book Antiqua" w:hAnsi="Book Antiqua" w:cs="Times New Roman"/>
          <w:i/>
          <w:iCs/>
          <w:color w:val="000000" w:themeColor="text1"/>
          <w:sz w:val="24"/>
          <w:szCs w:val="24"/>
        </w:rPr>
        <w:t>Gastric Cancer</w:t>
      </w:r>
      <w:r w:rsidRPr="0083678C">
        <w:rPr>
          <w:rFonts w:ascii="Book Antiqua" w:hAnsi="Book Antiqua" w:cs="Times New Roman"/>
          <w:color w:val="000000" w:themeColor="text1"/>
          <w:sz w:val="24"/>
          <w:szCs w:val="24"/>
        </w:rPr>
        <w:t> 2016; </w:t>
      </w:r>
      <w:r w:rsidRPr="0083678C">
        <w:rPr>
          <w:rFonts w:ascii="Book Antiqua" w:hAnsi="Book Antiqua" w:cs="Times New Roman"/>
          <w:b/>
          <w:bCs/>
          <w:color w:val="000000" w:themeColor="text1"/>
          <w:sz w:val="24"/>
          <w:szCs w:val="24"/>
        </w:rPr>
        <w:t>19</w:t>
      </w:r>
      <w:r w:rsidRPr="0083678C">
        <w:rPr>
          <w:rFonts w:ascii="Book Antiqua" w:hAnsi="Book Antiqua" w:cs="Times New Roman"/>
          <w:color w:val="000000" w:themeColor="text1"/>
          <w:sz w:val="24"/>
          <w:szCs w:val="24"/>
        </w:rPr>
        <w:t>: 166-175 [PMID: 25609452 DOI: 10.1007/s10120-015-0462-7]</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14 </w:t>
      </w:r>
      <w:r w:rsidRPr="0083678C">
        <w:rPr>
          <w:rFonts w:ascii="Book Antiqua" w:hAnsi="Book Antiqua" w:cs="Times New Roman"/>
          <w:b/>
          <w:bCs/>
          <w:color w:val="000000" w:themeColor="text1"/>
          <w:sz w:val="24"/>
          <w:szCs w:val="24"/>
        </w:rPr>
        <w:t>Spence AD</w:t>
      </w:r>
      <w:r w:rsidRPr="0083678C">
        <w:rPr>
          <w:rFonts w:ascii="Book Antiqua" w:hAnsi="Book Antiqua" w:cs="Times New Roman"/>
          <w:color w:val="000000" w:themeColor="text1"/>
          <w:sz w:val="24"/>
          <w:szCs w:val="24"/>
        </w:rPr>
        <w:t>, Cardwell CR, McMenamin ÚC, Hicks BM, Johnston BT, Murray LJ, Coleman HG. Adenocarcinoma risk in gastric atrophy and intestinal metaplasia: a systematic review. </w:t>
      </w:r>
      <w:r w:rsidRPr="0083678C">
        <w:rPr>
          <w:rFonts w:ascii="Book Antiqua" w:hAnsi="Book Antiqua" w:cs="Times New Roman"/>
          <w:i/>
          <w:iCs/>
          <w:color w:val="000000" w:themeColor="text1"/>
          <w:sz w:val="24"/>
          <w:szCs w:val="24"/>
        </w:rPr>
        <w:t>BMC Gastroenterol</w:t>
      </w:r>
      <w:r w:rsidRPr="0083678C">
        <w:rPr>
          <w:rFonts w:ascii="Book Antiqua" w:hAnsi="Book Antiqua" w:cs="Times New Roman"/>
          <w:color w:val="000000" w:themeColor="text1"/>
          <w:sz w:val="24"/>
          <w:szCs w:val="24"/>
        </w:rPr>
        <w:t> 2017; </w:t>
      </w:r>
      <w:r w:rsidRPr="0083678C">
        <w:rPr>
          <w:rFonts w:ascii="Book Antiqua" w:hAnsi="Book Antiqua" w:cs="Times New Roman"/>
          <w:b/>
          <w:bCs/>
          <w:color w:val="000000" w:themeColor="text1"/>
          <w:sz w:val="24"/>
          <w:szCs w:val="24"/>
        </w:rPr>
        <w:t>17</w:t>
      </w:r>
      <w:r w:rsidRPr="0083678C">
        <w:rPr>
          <w:rFonts w:ascii="Book Antiqua" w:hAnsi="Book Antiqua" w:cs="Times New Roman"/>
          <w:color w:val="000000" w:themeColor="text1"/>
          <w:sz w:val="24"/>
          <w:szCs w:val="24"/>
        </w:rPr>
        <w:t>: 157 [PMID: 29228909 DOI: 10.1186/s12876-017-0708-4]</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15 </w:t>
      </w:r>
      <w:r w:rsidRPr="0083678C">
        <w:rPr>
          <w:rFonts w:ascii="Book Antiqua" w:hAnsi="Book Antiqua" w:cs="Times New Roman"/>
          <w:b/>
          <w:bCs/>
          <w:color w:val="000000" w:themeColor="text1"/>
          <w:sz w:val="24"/>
          <w:szCs w:val="24"/>
        </w:rPr>
        <w:t>Correa P</w:t>
      </w:r>
      <w:r w:rsidRPr="0083678C">
        <w:rPr>
          <w:rFonts w:ascii="Book Antiqua" w:hAnsi="Book Antiqua" w:cs="Times New Roman"/>
          <w:color w:val="000000" w:themeColor="text1"/>
          <w:sz w:val="24"/>
          <w:szCs w:val="24"/>
        </w:rPr>
        <w:t>. Chronic gastritis: a clinico-pathological classification. </w:t>
      </w:r>
      <w:r w:rsidRPr="0083678C">
        <w:rPr>
          <w:rFonts w:ascii="Book Antiqua" w:hAnsi="Book Antiqua" w:cs="Times New Roman"/>
          <w:i/>
          <w:iCs/>
          <w:color w:val="000000" w:themeColor="text1"/>
          <w:sz w:val="24"/>
          <w:szCs w:val="24"/>
        </w:rPr>
        <w:t>Am J Gastroenterol</w:t>
      </w:r>
      <w:r w:rsidRPr="0083678C">
        <w:rPr>
          <w:rFonts w:ascii="Book Antiqua" w:hAnsi="Book Antiqua" w:cs="Times New Roman"/>
          <w:color w:val="000000" w:themeColor="text1"/>
          <w:sz w:val="24"/>
          <w:szCs w:val="24"/>
        </w:rPr>
        <w:t> 1988; </w:t>
      </w:r>
      <w:r w:rsidRPr="0083678C">
        <w:rPr>
          <w:rFonts w:ascii="Book Antiqua" w:hAnsi="Book Antiqua" w:cs="Times New Roman"/>
          <w:b/>
          <w:bCs/>
          <w:color w:val="000000" w:themeColor="text1"/>
          <w:sz w:val="24"/>
          <w:szCs w:val="24"/>
        </w:rPr>
        <w:t>83</w:t>
      </w:r>
      <w:r w:rsidRPr="0083678C">
        <w:rPr>
          <w:rFonts w:ascii="Book Antiqua" w:hAnsi="Book Antiqua" w:cs="Times New Roman"/>
          <w:color w:val="000000" w:themeColor="text1"/>
          <w:sz w:val="24"/>
          <w:szCs w:val="24"/>
        </w:rPr>
        <w:t>: 504-509 [PMID: 3364410]</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16 </w:t>
      </w:r>
      <w:r w:rsidRPr="0083678C">
        <w:rPr>
          <w:rFonts w:ascii="Book Antiqua" w:hAnsi="Book Antiqua" w:cs="Times New Roman"/>
          <w:b/>
          <w:bCs/>
          <w:color w:val="000000" w:themeColor="text1"/>
          <w:sz w:val="24"/>
          <w:szCs w:val="24"/>
        </w:rPr>
        <w:t>Andrew A</w:t>
      </w:r>
      <w:r w:rsidRPr="0083678C">
        <w:rPr>
          <w:rFonts w:ascii="Book Antiqua" w:hAnsi="Book Antiqua" w:cs="Times New Roman"/>
          <w:color w:val="000000" w:themeColor="text1"/>
          <w:sz w:val="24"/>
          <w:szCs w:val="24"/>
        </w:rPr>
        <w:t>, Wyatt JI, Dixon MF. Observer variation in the assessment of chronic gastritis according to the Sydney system. </w:t>
      </w:r>
      <w:r w:rsidRPr="0083678C">
        <w:rPr>
          <w:rFonts w:ascii="Book Antiqua" w:hAnsi="Book Antiqua" w:cs="Times New Roman"/>
          <w:i/>
          <w:iCs/>
          <w:color w:val="000000" w:themeColor="text1"/>
          <w:sz w:val="24"/>
          <w:szCs w:val="24"/>
        </w:rPr>
        <w:t>Histopathology</w:t>
      </w:r>
      <w:r w:rsidRPr="0083678C">
        <w:rPr>
          <w:rFonts w:ascii="Book Antiqua" w:hAnsi="Book Antiqua" w:cs="Times New Roman"/>
          <w:color w:val="000000" w:themeColor="text1"/>
          <w:sz w:val="24"/>
          <w:szCs w:val="24"/>
        </w:rPr>
        <w:t> 1994; </w:t>
      </w:r>
      <w:r w:rsidRPr="0083678C">
        <w:rPr>
          <w:rFonts w:ascii="Book Antiqua" w:hAnsi="Book Antiqua" w:cs="Times New Roman"/>
          <w:b/>
          <w:bCs/>
          <w:color w:val="000000" w:themeColor="text1"/>
          <w:sz w:val="24"/>
          <w:szCs w:val="24"/>
        </w:rPr>
        <w:t>25</w:t>
      </w:r>
      <w:r w:rsidRPr="0083678C">
        <w:rPr>
          <w:rFonts w:ascii="Book Antiqua" w:hAnsi="Book Antiqua" w:cs="Times New Roman"/>
          <w:color w:val="000000" w:themeColor="text1"/>
          <w:sz w:val="24"/>
          <w:szCs w:val="24"/>
        </w:rPr>
        <w:t>: 317-322 [PMID: 7835836]</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lastRenderedPageBreak/>
        <w:t>17 </w:t>
      </w:r>
      <w:r w:rsidRPr="0083678C">
        <w:rPr>
          <w:rFonts w:ascii="Book Antiqua" w:hAnsi="Book Antiqua" w:cs="Times New Roman"/>
          <w:b/>
          <w:bCs/>
          <w:color w:val="000000" w:themeColor="text1"/>
          <w:sz w:val="24"/>
          <w:szCs w:val="24"/>
        </w:rPr>
        <w:t>Rugge M</w:t>
      </w:r>
      <w:r w:rsidRPr="0083678C">
        <w:rPr>
          <w:rFonts w:ascii="Book Antiqua" w:hAnsi="Book Antiqua" w:cs="Times New Roman"/>
          <w:color w:val="000000" w:themeColor="text1"/>
          <w:sz w:val="24"/>
          <w:szCs w:val="24"/>
        </w:rPr>
        <w:t>, Correa P, Dixon MF, Fiocca R, Hattori T, Lechago J, Leandro G, Price AB, Sipponen P, Solcia E, Watanabe H, Genta RM. Gastric mucosal atrophy: interobserver consistency using new criteria for classification and grading. </w:t>
      </w:r>
      <w:r w:rsidRPr="0083678C">
        <w:rPr>
          <w:rFonts w:ascii="Book Antiqua" w:hAnsi="Book Antiqua" w:cs="Times New Roman"/>
          <w:i/>
          <w:iCs/>
          <w:color w:val="000000" w:themeColor="text1"/>
          <w:sz w:val="24"/>
          <w:szCs w:val="24"/>
        </w:rPr>
        <w:t>Aliment Pharmacol Ther</w:t>
      </w:r>
      <w:r w:rsidRPr="0083678C">
        <w:rPr>
          <w:rFonts w:ascii="Book Antiqua" w:hAnsi="Book Antiqua" w:cs="Times New Roman"/>
          <w:color w:val="000000" w:themeColor="text1"/>
          <w:sz w:val="24"/>
          <w:szCs w:val="24"/>
        </w:rPr>
        <w:t> 2002; </w:t>
      </w:r>
      <w:r w:rsidRPr="0083678C">
        <w:rPr>
          <w:rFonts w:ascii="Book Antiqua" w:hAnsi="Book Antiqua" w:cs="Times New Roman"/>
          <w:b/>
          <w:bCs/>
          <w:color w:val="000000" w:themeColor="text1"/>
          <w:sz w:val="24"/>
          <w:szCs w:val="24"/>
        </w:rPr>
        <w:t>16</w:t>
      </w:r>
      <w:r w:rsidRPr="0083678C">
        <w:rPr>
          <w:rFonts w:ascii="Book Antiqua" w:hAnsi="Book Antiqua" w:cs="Times New Roman"/>
          <w:color w:val="000000" w:themeColor="text1"/>
          <w:sz w:val="24"/>
          <w:szCs w:val="24"/>
        </w:rPr>
        <w:t>: 1249-1259 [PMID: 12144574]</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18 </w:t>
      </w:r>
      <w:r w:rsidRPr="0083678C">
        <w:rPr>
          <w:rFonts w:ascii="Book Antiqua" w:hAnsi="Book Antiqua" w:cs="Times New Roman"/>
          <w:b/>
          <w:bCs/>
          <w:color w:val="000000" w:themeColor="text1"/>
          <w:sz w:val="24"/>
          <w:szCs w:val="24"/>
        </w:rPr>
        <w:t>Rugge M</w:t>
      </w:r>
      <w:r w:rsidRPr="0083678C">
        <w:rPr>
          <w:rFonts w:ascii="Book Antiqua" w:hAnsi="Book Antiqua" w:cs="Times New Roman"/>
          <w:color w:val="000000" w:themeColor="text1"/>
          <w:sz w:val="24"/>
          <w:szCs w:val="24"/>
        </w:rPr>
        <w:t>, Genta RM; OLGA Group. Staging gastritis: an international proposal. </w:t>
      </w:r>
      <w:r w:rsidRPr="0083678C">
        <w:rPr>
          <w:rFonts w:ascii="Book Antiqua" w:hAnsi="Book Antiqua" w:cs="Times New Roman"/>
          <w:i/>
          <w:iCs/>
          <w:color w:val="000000" w:themeColor="text1"/>
          <w:sz w:val="24"/>
          <w:szCs w:val="24"/>
        </w:rPr>
        <w:t>Gastroenterology</w:t>
      </w:r>
      <w:r w:rsidRPr="0083678C">
        <w:rPr>
          <w:rFonts w:ascii="Book Antiqua" w:hAnsi="Book Antiqua" w:cs="Times New Roman"/>
          <w:color w:val="000000" w:themeColor="text1"/>
          <w:sz w:val="24"/>
          <w:szCs w:val="24"/>
        </w:rPr>
        <w:t> 2005; </w:t>
      </w:r>
      <w:r w:rsidRPr="0083678C">
        <w:rPr>
          <w:rFonts w:ascii="Book Antiqua" w:hAnsi="Book Antiqua" w:cs="Times New Roman"/>
          <w:b/>
          <w:bCs/>
          <w:color w:val="000000" w:themeColor="text1"/>
          <w:sz w:val="24"/>
          <w:szCs w:val="24"/>
        </w:rPr>
        <w:t>129</w:t>
      </w:r>
      <w:r w:rsidRPr="0083678C">
        <w:rPr>
          <w:rFonts w:ascii="Book Antiqua" w:hAnsi="Book Antiqua" w:cs="Times New Roman"/>
          <w:color w:val="000000" w:themeColor="text1"/>
          <w:sz w:val="24"/>
          <w:szCs w:val="24"/>
        </w:rPr>
        <w:t>: 1807-1808 [PMID: 16285989 DOI: 10.1053/j.gastro.2005.09.056]</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19 </w:t>
      </w:r>
      <w:r w:rsidRPr="0083678C">
        <w:rPr>
          <w:rFonts w:ascii="Book Antiqua" w:hAnsi="Book Antiqua" w:cs="Times New Roman"/>
          <w:b/>
          <w:bCs/>
          <w:color w:val="000000" w:themeColor="text1"/>
          <w:sz w:val="24"/>
          <w:szCs w:val="24"/>
        </w:rPr>
        <w:t>Rugge M</w:t>
      </w:r>
      <w:r w:rsidRPr="0083678C">
        <w:rPr>
          <w:rFonts w:ascii="Book Antiqua" w:hAnsi="Book Antiqua" w:cs="Times New Roman"/>
          <w:color w:val="000000" w:themeColor="text1"/>
          <w:sz w:val="24"/>
          <w:szCs w:val="24"/>
        </w:rPr>
        <w:t>, Correa P, Di Mario F, El-Omar E, Fiocca R, Geboes K, Genta RM, Graham DY, Hattori T, Malfertheiner P, Nakajima S, Sipponen P, Sung J, Weinstein W, Vieth M. OLGA staging for gastritis: a tutorial. </w:t>
      </w:r>
      <w:r w:rsidRPr="0083678C">
        <w:rPr>
          <w:rFonts w:ascii="Book Antiqua" w:hAnsi="Book Antiqua" w:cs="Times New Roman"/>
          <w:i/>
          <w:iCs/>
          <w:color w:val="000000" w:themeColor="text1"/>
          <w:sz w:val="24"/>
          <w:szCs w:val="24"/>
        </w:rPr>
        <w:t>Dig Liver Dis</w:t>
      </w:r>
      <w:r w:rsidRPr="0083678C">
        <w:rPr>
          <w:rFonts w:ascii="Book Antiqua" w:hAnsi="Book Antiqua" w:cs="Times New Roman"/>
          <w:color w:val="000000" w:themeColor="text1"/>
          <w:sz w:val="24"/>
          <w:szCs w:val="24"/>
        </w:rPr>
        <w:t> 2008; </w:t>
      </w:r>
      <w:r w:rsidRPr="0083678C">
        <w:rPr>
          <w:rFonts w:ascii="Book Antiqua" w:hAnsi="Book Antiqua" w:cs="Times New Roman"/>
          <w:b/>
          <w:bCs/>
          <w:color w:val="000000" w:themeColor="text1"/>
          <w:sz w:val="24"/>
          <w:szCs w:val="24"/>
        </w:rPr>
        <w:t>40</w:t>
      </w:r>
      <w:r w:rsidRPr="0083678C">
        <w:rPr>
          <w:rFonts w:ascii="Book Antiqua" w:hAnsi="Book Antiqua" w:cs="Times New Roman"/>
          <w:color w:val="000000" w:themeColor="text1"/>
          <w:sz w:val="24"/>
          <w:szCs w:val="24"/>
        </w:rPr>
        <w:t>: 650-658 [PMID: 18424244 DOI: 10.1016/j.dld.2008.02.030]</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20 </w:t>
      </w:r>
      <w:r w:rsidRPr="0083678C">
        <w:rPr>
          <w:rFonts w:ascii="Book Antiqua" w:hAnsi="Book Antiqua" w:cs="Times New Roman"/>
          <w:b/>
          <w:bCs/>
          <w:color w:val="000000" w:themeColor="text1"/>
          <w:sz w:val="24"/>
          <w:szCs w:val="24"/>
        </w:rPr>
        <w:t>Rugge M</w:t>
      </w:r>
      <w:r w:rsidRPr="0083678C">
        <w:rPr>
          <w:rFonts w:ascii="Book Antiqua" w:hAnsi="Book Antiqua" w:cs="Times New Roman"/>
          <w:color w:val="000000" w:themeColor="text1"/>
          <w:sz w:val="24"/>
          <w:szCs w:val="24"/>
        </w:rPr>
        <w:t>, Kim JG, Mahachai V, Miehlke S, Pennelli G, Russo VM, Perng CL, Chang FY, Tandon RK, Singal DK, Sung JJ, Valenzuela JE, Realdi G, Dore MP, Graham DY. OLGA gastritis staging in young adults and country-specific gastric cancer risk. </w:t>
      </w:r>
      <w:r w:rsidRPr="0083678C">
        <w:rPr>
          <w:rFonts w:ascii="Book Antiqua" w:hAnsi="Book Antiqua" w:cs="Times New Roman"/>
          <w:i/>
          <w:iCs/>
          <w:color w:val="000000" w:themeColor="text1"/>
          <w:sz w:val="24"/>
          <w:szCs w:val="24"/>
        </w:rPr>
        <w:t>Int J Surg Pathol</w:t>
      </w:r>
      <w:r w:rsidRPr="0083678C">
        <w:rPr>
          <w:rFonts w:ascii="Book Antiqua" w:hAnsi="Book Antiqua" w:cs="Times New Roman"/>
          <w:color w:val="000000" w:themeColor="text1"/>
          <w:sz w:val="24"/>
          <w:szCs w:val="24"/>
        </w:rPr>
        <w:t> 2008; </w:t>
      </w:r>
      <w:r w:rsidRPr="0083678C">
        <w:rPr>
          <w:rFonts w:ascii="Book Antiqua" w:hAnsi="Book Antiqua" w:cs="Times New Roman"/>
          <w:b/>
          <w:bCs/>
          <w:color w:val="000000" w:themeColor="text1"/>
          <w:sz w:val="24"/>
          <w:szCs w:val="24"/>
        </w:rPr>
        <w:t>16</w:t>
      </w:r>
      <w:r w:rsidRPr="0083678C">
        <w:rPr>
          <w:rFonts w:ascii="Book Antiqua" w:hAnsi="Book Antiqua" w:cs="Times New Roman"/>
          <w:color w:val="000000" w:themeColor="text1"/>
          <w:sz w:val="24"/>
          <w:szCs w:val="24"/>
        </w:rPr>
        <w:t>: 150-154 [PMID: 18417671 DOI: 10.1177/1066896907307238]</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21 </w:t>
      </w:r>
      <w:r w:rsidRPr="0083678C">
        <w:rPr>
          <w:rFonts w:ascii="Book Antiqua" w:hAnsi="Book Antiqua" w:cs="Times New Roman"/>
          <w:b/>
          <w:bCs/>
          <w:color w:val="000000" w:themeColor="text1"/>
          <w:sz w:val="24"/>
          <w:szCs w:val="24"/>
        </w:rPr>
        <w:t>Rugge M</w:t>
      </w:r>
      <w:r w:rsidRPr="0083678C">
        <w:rPr>
          <w:rFonts w:ascii="Book Antiqua" w:hAnsi="Book Antiqua" w:cs="Times New Roman"/>
          <w:color w:val="000000" w:themeColor="text1"/>
          <w:sz w:val="24"/>
          <w:szCs w:val="24"/>
        </w:rPr>
        <w:t>, Meggio A, Pennelli G, Piscioli F, Giacomelli L, De Pretis G, Graham DY. Gastritis staging in clinical practice: the OLGA staging system. </w:t>
      </w:r>
      <w:r w:rsidRPr="0083678C">
        <w:rPr>
          <w:rFonts w:ascii="Book Antiqua" w:hAnsi="Book Antiqua" w:cs="Times New Roman"/>
          <w:i/>
          <w:iCs/>
          <w:color w:val="000000" w:themeColor="text1"/>
          <w:sz w:val="24"/>
          <w:szCs w:val="24"/>
        </w:rPr>
        <w:t>Gut</w:t>
      </w:r>
      <w:r w:rsidRPr="0083678C">
        <w:rPr>
          <w:rFonts w:ascii="Book Antiqua" w:hAnsi="Book Antiqua" w:cs="Times New Roman"/>
          <w:color w:val="000000" w:themeColor="text1"/>
          <w:sz w:val="24"/>
          <w:szCs w:val="24"/>
        </w:rPr>
        <w:t> 2007; </w:t>
      </w:r>
      <w:r w:rsidRPr="0083678C">
        <w:rPr>
          <w:rFonts w:ascii="Book Antiqua" w:hAnsi="Book Antiqua" w:cs="Times New Roman"/>
          <w:b/>
          <w:bCs/>
          <w:color w:val="000000" w:themeColor="text1"/>
          <w:sz w:val="24"/>
          <w:szCs w:val="24"/>
        </w:rPr>
        <w:t>56</w:t>
      </w:r>
      <w:r w:rsidRPr="0083678C">
        <w:rPr>
          <w:rFonts w:ascii="Book Antiqua" w:hAnsi="Book Antiqua" w:cs="Times New Roman"/>
          <w:color w:val="000000" w:themeColor="text1"/>
          <w:sz w:val="24"/>
          <w:szCs w:val="24"/>
        </w:rPr>
        <w:t>: 631-636 [PMID: 17142647 DOI: 10.1136/gut.2006.106666]</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22 </w:t>
      </w:r>
      <w:r w:rsidRPr="0083678C">
        <w:rPr>
          <w:rFonts w:ascii="Book Antiqua" w:hAnsi="Book Antiqua" w:cs="Times New Roman"/>
          <w:b/>
          <w:bCs/>
          <w:color w:val="000000" w:themeColor="text1"/>
          <w:sz w:val="24"/>
          <w:szCs w:val="24"/>
        </w:rPr>
        <w:t>Quach DT</w:t>
      </w:r>
      <w:r w:rsidRPr="0083678C">
        <w:rPr>
          <w:rFonts w:ascii="Book Antiqua" w:hAnsi="Book Antiqua" w:cs="Times New Roman"/>
          <w:color w:val="000000" w:themeColor="text1"/>
          <w:sz w:val="24"/>
          <w:szCs w:val="24"/>
        </w:rPr>
        <w:t>, Le HM, Nguyen OT, Nguyen TS, Uemura N. The severity of endoscopic gastric atrophy could help to predict Operative Link on Gastritis Assessment gastritis stage. </w:t>
      </w:r>
      <w:r w:rsidRPr="0083678C">
        <w:rPr>
          <w:rFonts w:ascii="Book Antiqua" w:hAnsi="Book Antiqua" w:cs="Times New Roman"/>
          <w:i/>
          <w:iCs/>
          <w:color w:val="000000" w:themeColor="text1"/>
          <w:sz w:val="24"/>
          <w:szCs w:val="24"/>
        </w:rPr>
        <w:t>J Gastroenterol Hepatol</w:t>
      </w:r>
      <w:r w:rsidRPr="0083678C">
        <w:rPr>
          <w:rFonts w:ascii="Book Antiqua" w:hAnsi="Book Antiqua" w:cs="Times New Roman"/>
          <w:color w:val="000000" w:themeColor="text1"/>
          <w:sz w:val="24"/>
          <w:szCs w:val="24"/>
        </w:rPr>
        <w:t> 2011; </w:t>
      </w:r>
      <w:r w:rsidRPr="0083678C">
        <w:rPr>
          <w:rFonts w:ascii="Book Antiqua" w:hAnsi="Book Antiqua" w:cs="Times New Roman"/>
          <w:b/>
          <w:bCs/>
          <w:color w:val="000000" w:themeColor="text1"/>
          <w:sz w:val="24"/>
          <w:szCs w:val="24"/>
        </w:rPr>
        <w:t>26</w:t>
      </w:r>
      <w:r w:rsidRPr="0083678C">
        <w:rPr>
          <w:rFonts w:ascii="Book Antiqua" w:hAnsi="Book Antiqua" w:cs="Times New Roman"/>
          <w:color w:val="000000" w:themeColor="text1"/>
          <w:sz w:val="24"/>
          <w:szCs w:val="24"/>
        </w:rPr>
        <w:t>: 281-285 [PMID: 21261717 DOI: 10.1111/j.1440-1746.2010.06474.x]</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23 </w:t>
      </w:r>
      <w:r w:rsidRPr="0083678C">
        <w:rPr>
          <w:rFonts w:ascii="Book Antiqua" w:hAnsi="Book Antiqua" w:cs="Times New Roman"/>
          <w:b/>
          <w:bCs/>
          <w:color w:val="000000" w:themeColor="text1"/>
          <w:sz w:val="24"/>
          <w:szCs w:val="24"/>
        </w:rPr>
        <w:t>Rugge M</w:t>
      </w:r>
      <w:r w:rsidRPr="0083678C">
        <w:rPr>
          <w:rFonts w:ascii="Book Antiqua" w:hAnsi="Book Antiqua" w:cs="Times New Roman"/>
          <w:color w:val="000000" w:themeColor="text1"/>
          <w:sz w:val="24"/>
          <w:szCs w:val="24"/>
        </w:rPr>
        <w:t>, Genta RM, Fassan M, Valentini E, Coati I, Guzzinati S, Savarino E, Zorzi M, Farinati F, Malfertheiner P. OLGA Gastritis Staging for the Prediction of Gastric Cancer Risk: A Long-term Follow-up Study of 7436 Patients. </w:t>
      </w:r>
      <w:r w:rsidRPr="0083678C">
        <w:rPr>
          <w:rFonts w:ascii="Book Antiqua" w:hAnsi="Book Antiqua" w:cs="Times New Roman"/>
          <w:i/>
          <w:iCs/>
          <w:color w:val="000000" w:themeColor="text1"/>
          <w:sz w:val="24"/>
          <w:szCs w:val="24"/>
        </w:rPr>
        <w:t>Am J Gastroenterol</w:t>
      </w:r>
      <w:r w:rsidRPr="0083678C">
        <w:rPr>
          <w:rFonts w:ascii="Book Antiqua" w:hAnsi="Book Antiqua" w:cs="Times New Roman"/>
          <w:color w:val="000000" w:themeColor="text1"/>
          <w:sz w:val="24"/>
          <w:szCs w:val="24"/>
        </w:rPr>
        <w:t> 2018; </w:t>
      </w:r>
      <w:r w:rsidRPr="0083678C">
        <w:rPr>
          <w:rFonts w:ascii="Book Antiqua" w:hAnsi="Book Antiqua" w:cs="Times New Roman"/>
          <w:b/>
          <w:bCs/>
          <w:color w:val="000000" w:themeColor="text1"/>
          <w:sz w:val="24"/>
          <w:szCs w:val="24"/>
        </w:rPr>
        <w:t>113</w:t>
      </w:r>
      <w:r w:rsidRPr="0083678C">
        <w:rPr>
          <w:rFonts w:ascii="Book Antiqua" w:hAnsi="Book Antiqua" w:cs="Times New Roman"/>
          <w:color w:val="000000" w:themeColor="text1"/>
          <w:sz w:val="24"/>
          <w:szCs w:val="24"/>
        </w:rPr>
        <w:t>: 1621-1628 [PMID: 30333540 DOI: 10.1038/s41395-018-0353-8]</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24 </w:t>
      </w:r>
      <w:r w:rsidRPr="0083678C">
        <w:rPr>
          <w:rFonts w:ascii="Book Antiqua" w:hAnsi="Book Antiqua" w:cs="Times New Roman"/>
          <w:b/>
          <w:bCs/>
          <w:color w:val="000000" w:themeColor="text1"/>
          <w:sz w:val="24"/>
          <w:szCs w:val="24"/>
        </w:rPr>
        <w:t>Rugge M</w:t>
      </w:r>
      <w:r w:rsidRPr="0083678C">
        <w:rPr>
          <w:rFonts w:ascii="Book Antiqua" w:hAnsi="Book Antiqua" w:cs="Times New Roman"/>
          <w:color w:val="000000" w:themeColor="text1"/>
          <w:sz w:val="24"/>
          <w:szCs w:val="24"/>
        </w:rPr>
        <w:t xml:space="preserve">, Meggio A, Pravadelli C, Barbareschi M, Fassan M, Gentilini M, Zorzi M, Pretis G, Graham DY, Genta RM. Gastritis staging in the endoscopic follow-up for the </w:t>
      </w:r>
      <w:r w:rsidRPr="0083678C">
        <w:rPr>
          <w:rFonts w:ascii="Book Antiqua" w:hAnsi="Book Antiqua" w:cs="Times New Roman"/>
          <w:color w:val="000000" w:themeColor="text1"/>
          <w:sz w:val="24"/>
          <w:szCs w:val="24"/>
        </w:rPr>
        <w:lastRenderedPageBreak/>
        <w:t>secondary prevention of gastric cancer: a 5-year prospective study of 1755 patients. </w:t>
      </w:r>
      <w:r w:rsidRPr="0083678C">
        <w:rPr>
          <w:rFonts w:ascii="Book Antiqua" w:hAnsi="Book Antiqua" w:cs="Times New Roman"/>
          <w:i/>
          <w:iCs/>
          <w:color w:val="000000" w:themeColor="text1"/>
          <w:sz w:val="24"/>
          <w:szCs w:val="24"/>
        </w:rPr>
        <w:t>Gut</w:t>
      </w:r>
      <w:r w:rsidRPr="0083678C">
        <w:rPr>
          <w:rFonts w:ascii="Book Antiqua" w:hAnsi="Book Antiqua" w:cs="Times New Roman"/>
          <w:color w:val="000000" w:themeColor="text1"/>
          <w:sz w:val="24"/>
          <w:szCs w:val="24"/>
        </w:rPr>
        <w:t> 2019; </w:t>
      </w:r>
      <w:r w:rsidRPr="0083678C">
        <w:rPr>
          <w:rFonts w:ascii="Book Antiqua" w:hAnsi="Book Antiqua" w:cs="Times New Roman"/>
          <w:b/>
          <w:bCs/>
          <w:color w:val="000000" w:themeColor="text1"/>
          <w:sz w:val="24"/>
          <w:szCs w:val="24"/>
        </w:rPr>
        <w:t>68</w:t>
      </w:r>
      <w:r w:rsidRPr="0083678C">
        <w:rPr>
          <w:rFonts w:ascii="Book Antiqua" w:hAnsi="Book Antiqua" w:cs="Times New Roman"/>
          <w:color w:val="000000" w:themeColor="text1"/>
          <w:sz w:val="24"/>
          <w:szCs w:val="24"/>
        </w:rPr>
        <w:t>: 11-17 [PMID: 29306868 DOI: 10.1136/gutjnl-2017-314600]</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25 </w:t>
      </w:r>
      <w:r w:rsidRPr="0083678C">
        <w:rPr>
          <w:rFonts w:ascii="Book Antiqua" w:hAnsi="Book Antiqua" w:cs="Times New Roman"/>
          <w:b/>
          <w:bCs/>
          <w:color w:val="000000" w:themeColor="text1"/>
          <w:sz w:val="24"/>
          <w:szCs w:val="24"/>
        </w:rPr>
        <w:t>de Vries AC</w:t>
      </w:r>
      <w:r w:rsidRPr="0083678C">
        <w:rPr>
          <w:rFonts w:ascii="Book Antiqua" w:hAnsi="Book Antiqua" w:cs="Times New Roman"/>
          <w:color w:val="000000" w:themeColor="text1"/>
          <w:sz w:val="24"/>
          <w:szCs w:val="24"/>
        </w:rPr>
        <w:t>, Kuipers EJ. Epidemiology of premalignant gastric lesions: implications for the development of screening and surveillance strategies. </w:t>
      </w:r>
      <w:r w:rsidRPr="0083678C">
        <w:rPr>
          <w:rFonts w:ascii="Book Antiqua" w:hAnsi="Book Antiqua" w:cs="Times New Roman"/>
          <w:i/>
          <w:iCs/>
          <w:color w:val="000000" w:themeColor="text1"/>
          <w:sz w:val="24"/>
          <w:szCs w:val="24"/>
        </w:rPr>
        <w:t>Helicobacter</w:t>
      </w:r>
      <w:r w:rsidRPr="0083678C">
        <w:rPr>
          <w:rFonts w:ascii="Book Antiqua" w:hAnsi="Book Antiqua" w:cs="Times New Roman"/>
          <w:color w:val="000000" w:themeColor="text1"/>
          <w:sz w:val="24"/>
          <w:szCs w:val="24"/>
        </w:rPr>
        <w:t> 2007; </w:t>
      </w:r>
      <w:r w:rsidRPr="0083678C">
        <w:rPr>
          <w:rFonts w:ascii="Book Antiqua" w:hAnsi="Book Antiqua" w:cs="Times New Roman"/>
          <w:b/>
          <w:bCs/>
          <w:color w:val="000000" w:themeColor="text1"/>
          <w:sz w:val="24"/>
          <w:szCs w:val="24"/>
        </w:rPr>
        <w:t>12 Suppl 2</w:t>
      </w:r>
      <w:r w:rsidRPr="0083678C">
        <w:rPr>
          <w:rFonts w:ascii="Book Antiqua" w:hAnsi="Book Antiqua" w:cs="Times New Roman"/>
          <w:color w:val="000000" w:themeColor="text1"/>
          <w:sz w:val="24"/>
          <w:szCs w:val="24"/>
        </w:rPr>
        <w:t>: 22-31 [PMID: 17991173 DOI: 10.1111/j.1523-5378.2007.00562.x]</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26 </w:t>
      </w:r>
      <w:r w:rsidRPr="0083678C">
        <w:rPr>
          <w:rFonts w:ascii="Book Antiqua" w:hAnsi="Book Antiqua" w:cs="Times New Roman"/>
          <w:b/>
          <w:bCs/>
          <w:color w:val="000000" w:themeColor="text1"/>
          <w:sz w:val="24"/>
          <w:szCs w:val="24"/>
        </w:rPr>
        <w:t>Song H</w:t>
      </w:r>
      <w:r w:rsidRPr="0083678C">
        <w:rPr>
          <w:rFonts w:ascii="Book Antiqua" w:hAnsi="Book Antiqua" w:cs="Times New Roman"/>
          <w:color w:val="000000" w:themeColor="text1"/>
          <w:sz w:val="24"/>
          <w:szCs w:val="24"/>
        </w:rPr>
        <w:t>, Ekheden IG, Zheng Z, Ericsson J, Nyrén O, Ye W. Incidence of gastric cancer among patients with gastric precancerous lesions: observational cohort study in a low risk Western population. </w:t>
      </w:r>
      <w:r w:rsidRPr="0083678C">
        <w:rPr>
          <w:rFonts w:ascii="Book Antiqua" w:hAnsi="Book Antiqua" w:cs="Times New Roman"/>
          <w:i/>
          <w:iCs/>
          <w:color w:val="000000" w:themeColor="text1"/>
          <w:sz w:val="24"/>
          <w:szCs w:val="24"/>
        </w:rPr>
        <w:t>BMJ</w:t>
      </w:r>
      <w:r w:rsidRPr="0083678C">
        <w:rPr>
          <w:rFonts w:ascii="Book Antiqua" w:hAnsi="Book Antiqua" w:cs="Times New Roman"/>
          <w:color w:val="000000" w:themeColor="text1"/>
          <w:sz w:val="24"/>
          <w:szCs w:val="24"/>
        </w:rPr>
        <w:t> 2015; </w:t>
      </w:r>
      <w:r w:rsidRPr="0083678C">
        <w:rPr>
          <w:rFonts w:ascii="Book Antiqua" w:hAnsi="Book Antiqua" w:cs="Times New Roman"/>
          <w:b/>
          <w:bCs/>
          <w:color w:val="000000" w:themeColor="text1"/>
          <w:sz w:val="24"/>
          <w:szCs w:val="24"/>
        </w:rPr>
        <w:t>351</w:t>
      </w:r>
      <w:r w:rsidRPr="0083678C">
        <w:rPr>
          <w:rFonts w:ascii="Book Antiqua" w:hAnsi="Book Antiqua" w:cs="Times New Roman"/>
          <w:color w:val="000000" w:themeColor="text1"/>
          <w:sz w:val="24"/>
          <w:szCs w:val="24"/>
        </w:rPr>
        <w:t>: h3867 [PMID: 26215280 DOI: 10.1136/bmj.h3867]</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27 </w:t>
      </w:r>
      <w:r w:rsidRPr="0083678C">
        <w:rPr>
          <w:rFonts w:ascii="Book Antiqua" w:hAnsi="Book Antiqua" w:cs="Times New Roman"/>
          <w:b/>
          <w:bCs/>
          <w:color w:val="000000" w:themeColor="text1"/>
          <w:sz w:val="24"/>
          <w:szCs w:val="24"/>
        </w:rPr>
        <w:t>Filipe MI</w:t>
      </w:r>
      <w:r w:rsidRPr="0083678C">
        <w:rPr>
          <w:rFonts w:ascii="Book Antiqua" w:hAnsi="Book Antiqua" w:cs="Times New Roman"/>
          <w:color w:val="000000" w:themeColor="text1"/>
          <w:sz w:val="24"/>
          <w:szCs w:val="24"/>
        </w:rPr>
        <w:t>, Muñoz N, Matko I, Kato I, Pompe-Kirn V, Jutersek A, Teuchmann S, Benz M, Prijon T. Intestinal metaplasia types and the risk of gastric cancer: a cohort study in Slovenia. </w:t>
      </w:r>
      <w:r w:rsidRPr="0083678C">
        <w:rPr>
          <w:rFonts w:ascii="Book Antiqua" w:hAnsi="Book Antiqua" w:cs="Times New Roman"/>
          <w:i/>
          <w:iCs/>
          <w:color w:val="000000" w:themeColor="text1"/>
          <w:sz w:val="24"/>
          <w:szCs w:val="24"/>
        </w:rPr>
        <w:t>Int J Cancer</w:t>
      </w:r>
      <w:r w:rsidRPr="0083678C">
        <w:rPr>
          <w:rFonts w:ascii="Book Antiqua" w:hAnsi="Book Antiqua" w:cs="Times New Roman"/>
          <w:color w:val="000000" w:themeColor="text1"/>
          <w:sz w:val="24"/>
          <w:szCs w:val="24"/>
        </w:rPr>
        <w:t> 1994; </w:t>
      </w:r>
      <w:r w:rsidRPr="0083678C">
        <w:rPr>
          <w:rFonts w:ascii="Book Antiqua" w:hAnsi="Book Antiqua" w:cs="Times New Roman"/>
          <w:b/>
          <w:bCs/>
          <w:color w:val="000000" w:themeColor="text1"/>
          <w:sz w:val="24"/>
          <w:szCs w:val="24"/>
        </w:rPr>
        <w:t>57</w:t>
      </w:r>
      <w:r w:rsidRPr="0083678C">
        <w:rPr>
          <w:rFonts w:ascii="Book Antiqua" w:hAnsi="Book Antiqua" w:cs="Times New Roman"/>
          <w:color w:val="000000" w:themeColor="text1"/>
          <w:sz w:val="24"/>
          <w:szCs w:val="24"/>
        </w:rPr>
        <w:t>: 324-329 [PMID: 8168991]</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28 </w:t>
      </w:r>
      <w:r w:rsidRPr="0083678C">
        <w:rPr>
          <w:rFonts w:ascii="Book Antiqua" w:hAnsi="Book Antiqua" w:cs="Times New Roman"/>
          <w:b/>
          <w:bCs/>
          <w:color w:val="000000" w:themeColor="text1"/>
          <w:sz w:val="24"/>
          <w:szCs w:val="24"/>
        </w:rPr>
        <w:t>González CA</w:t>
      </w:r>
      <w:r w:rsidRPr="0083678C">
        <w:rPr>
          <w:rFonts w:ascii="Book Antiqua" w:hAnsi="Book Antiqua" w:cs="Times New Roman"/>
          <w:color w:val="000000" w:themeColor="text1"/>
          <w:sz w:val="24"/>
          <w:szCs w:val="24"/>
        </w:rPr>
        <w:t>, Pardo ML, Liso JM, Alonso P, Bonet C, Garcia RM, Sala N, Capella G, Sanz-Anquela JM. Gastric cancer occurrence in preneoplastic lesions: a long-term follow-up in a high-risk area in Spain. </w:t>
      </w:r>
      <w:r w:rsidRPr="0083678C">
        <w:rPr>
          <w:rFonts w:ascii="Book Antiqua" w:hAnsi="Book Antiqua" w:cs="Times New Roman"/>
          <w:i/>
          <w:iCs/>
          <w:color w:val="000000" w:themeColor="text1"/>
          <w:sz w:val="24"/>
          <w:szCs w:val="24"/>
        </w:rPr>
        <w:t>Int J Cancer</w:t>
      </w:r>
      <w:r w:rsidRPr="0083678C">
        <w:rPr>
          <w:rFonts w:ascii="Book Antiqua" w:hAnsi="Book Antiqua" w:cs="Times New Roman"/>
          <w:color w:val="000000" w:themeColor="text1"/>
          <w:sz w:val="24"/>
          <w:szCs w:val="24"/>
        </w:rPr>
        <w:t> 2010; </w:t>
      </w:r>
      <w:r w:rsidRPr="0083678C">
        <w:rPr>
          <w:rFonts w:ascii="Book Antiqua" w:hAnsi="Book Antiqua" w:cs="Times New Roman"/>
          <w:b/>
          <w:bCs/>
          <w:color w:val="000000" w:themeColor="text1"/>
          <w:sz w:val="24"/>
          <w:szCs w:val="24"/>
        </w:rPr>
        <w:t>127</w:t>
      </w:r>
      <w:r w:rsidRPr="0083678C">
        <w:rPr>
          <w:rFonts w:ascii="Book Antiqua" w:hAnsi="Book Antiqua" w:cs="Times New Roman"/>
          <w:color w:val="000000" w:themeColor="text1"/>
          <w:sz w:val="24"/>
          <w:szCs w:val="24"/>
        </w:rPr>
        <w:t>: 2654-2660 [PMID: 20178099 DOI: 10.1002/ijc.25273]</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29 </w:t>
      </w:r>
      <w:r w:rsidRPr="0083678C">
        <w:rPr>
          <w:rFonts w:ascii="Book Antiqua" w:hAnsi="Book Antiqua" w:cs="Times New Roman"/>
          <w:b/>
          <w:bCs/>
          <w:color w:val="000000" w:themeColor="text1"/>
          <w:sz w:val="24"/>
          <w:szCs w:val="24"/>
        </w:rPr>
        <w:t>Kang KP</w:t>
      </w:r>
      <w:r w:rsidRPr="0083678C">
        <w:rPr>
          <w:rFonts w:ascii="Book Antiqua" w:hAnsi="Book Antiqua" w:cs="Times New Roman"/>
          <w:color w:val="000000" w:themeColor="text1"/>
          <w:sz w:val="24"/>
          <w:szCs w:val="24"/>
        </w:rPr>
        <w:t>, Lee HS, Kim N, Kang HM, Park YS, Lee DH, Choe G, Kim JS, Jung HC, Song IS. Role of intestinal metaplasia subtyping in the risk of gastric cancer in Korea. </w:t>
      </w:r>
      <w:r w:rsidRPr="0083678C">
        <w:rPr>
          <w:rFonts w:ascii="Book Antiqua" w:hAnsi="Book Antiqua" w:cs="Times New Roman"/>
          <w:i/>
          <w:iCs/>
          <w:color w:val="000000" w:themeColor="text1"/>
          <w:sz w:val="24"/>
          <w:szCs w:val="24"/>
        </w:rPr>
        <w:t>J Gastroenterol Hepatol</w:t>
      </w:r>
      <w:r w:rsidRPr="0083678C">
        <w:rPr>
          <w:rFonts w:ascii="Book Antiqua" w:hAnsi="Book Antiqua" w:cs="Times New Roman"/>
          <w:color w:val="000000" w:themeColor="text1"/>
          <w:sz w:val="24"/>
          <w:szCs w:val="24"/>
        </w:rPr>
        <w:t> 2009; </w:t>
      </w:r>
      <w:r w:rsidRPr="0083678C">
        <w:rPr>
          <w:rFonts w:ascii="Book Antiqua" w:hAnsi="Book Antiqua" w:cs="Times New Roman"/>
          <w:b/>
          <w:bCs/>
          <w:color w:val="000000" w:themeColor="text1"/>
          <w:sz w:val="24"/>
          <w:szCs w:val="24"/>
        </w:rPr>
        <w:t>24</w:t>
      </w:r>
      <w:r w:rsidRPr="0083678C">
        <w:rPr>
          <w:rFonts w:ascii="Book Antiqua" w:hAnsi="Book Antiqua" w:cs="Times New Roman"/>
          <w:color w:val="000000" w:themeColor="text1"/>
          <w:sz w:val="24"/>
          <w:szCs w:val="24"/>
        </w:rPr>
        <w:t>: 140-148 [PMID: 18713298 DOI: 10.1111/j.1440-1746.2008.05546.x]</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30 </w:t>
      </w:r>
      <w:r w:rsidRPr="0083678C">
        <w:rPr>
          <w:rFonts w:ascii="Book Antiqua" w:hAnsi="Book Antiqua" w:cs="Times New Roman"/>
          <w:b/>
          <w:bCs/>
          <w:color w:val="000000" w:themeColor="text1"/>
          <w:sz w:val="24"/>
          <w:szCs w:val="24"/>
        </w:rPr>
        <w:t>González CA</w:t>
      </w:r>
      <w:r w:rsidRPr="0083678C">
        <w:rPr>
          <w:rFonts w:ascii="Book Antiqua" w:hAnsi="Book Antiqua" w:cs="Times New Roman"/>
          <w:color w:val="000000" w:themeColor="text1"/>
          <w:sz w:val="24"/>
          <w:szCs w:val="24"/>
        </w:rPr>
        <w:t>, Sanz-Anquela JM, Gisbert JP, Correa P. Utility of subtyping intestinal metaplasia as marker of gastric cancer risk. A review of the evidence. </w:t>
      </w:r>
      <w:r w:rsidRPr="0083678C">
        <w:rPr>
          <w:rFonts w:ascii="Book Antiqua" w:hAnsi="Book Antiqua" w:cs="Times New Roman"/>
          <w:i/>
          <w:iCs/>
          <w:color w:val="000000" w:themeColor="text1"/>
          <w:sz w:val="24"/>
          <w:szCs w:val="24"/>
        </w:rPr>
        <w:t>Int J Cancer</w:t>
      </w:r>
      <w:r w:rsidRPr="0083678C">
        <w:rPr>
          <w:rFonts w:ascii="Book Antiqua" w:hAnsi="Book Antiqua" w:cs="Times New Roman"/>
          <w:color w:val="000000" w:themeColor="text1"/>
          <w:sz w:val="24"/>
          <w:szCs w:val="24"/>
        </w:rPr>
        <w:t> 2013; </w:t>
      </w:r>
      <w:r w:rsidRPr="0083678C">
        <w:rPr>
          <w:rFonts w:ascii="Book Antiqua" w:hAnsi="Book Antiqua" w:cs="Times New Roman"/>
          <w:b/>
          <w:bCs/>
          <w:color w:val="000000" w:themeColor="text1"/>
          <w:sz w:val="24"/>
          <w:szCs w:val="24"/>
        </w:rPr>
        <w:t>133</w:t>
      </w:r>
      <w:r w:rsidRPr="0083678C">
        <w:rPr>
          <w:rFonts w:ascii="Book Antiqua" w:hAnsi="Book Antiqua" w:cs="Times New Roman"/>
          <w:color w:val="000000" w:themeColor="text1"/>
          <w:sz w:val="24"/>
          <w:szCs w:val="24"/>
        </w:rPr>
        <w:t>: 1023-1032 [PMID: 23280711 DOI: 10.1002/ijc.28003]</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31 </w:t>
      </w:r>
      <w:r w:rsidRPr="0083678C">
        <w:rPr>
          <w:rFonts w:ascii="Book Antiqua" w:hAnsi="Book Antiqua" w:cs="Times New Roman"/>
          <w:b/>
          <w:bCs/>
          <w:color w:val="000000" w:themeColor="text1"/>
          <w:sz w:val="24"/>
          <w:szCs w:val="24"/>
        </w:rPr>
        <w:t>Pittayanon R</w:t>
      </w:r>
      <w:r w:rsidRPr="0083678C">
        <w:rPr>
          <w:rFonts w:ascii="Book Antiqua" w:hAnsi="Book Antiqua" w:cs="Times New Roman"/>
          <w:color w:val="000000" w:themeColor="text1"/>
          <w:sz w:val="24"/>
          <w:szCs w:val="24"/>
        </w:rPr>
        <w:t>, Rerknimitr R, Klaikaew N, Sanpavat A, Chaithongrat S, Mahachai V, Kullavanijaya P, Barkun A. The risk of gastric cancer in patients with gastric intestinal metaplasia in 5-year follow-up. </w:t>
      </w:r>
      <w:r w:rsidRPr="0083678C">
        <w:rPr>
          <w:rFonts w:ascii="Book Antiqua" w:hAnsi="Book Antiqua" w:cs="Times New Roman"/>
          <w:i/>
          <w:iCs/>
          <w:color w:val="000000" w:themeColor="text1"/>
          <w:sz w:val="24"/>
          <w:szCs w:val="24"/>
        </w:rPr>
        <w:t>Aliment Pharmacol Ther</w:t>
      </w:r>
      <w:r w:rsidRPr="0083678C">
        <w:rPr>
          <w:rFonts w:ascii="Book Antiqua" w:hAnsi="Book Antiqua" w:cs="Times New Roman"/>
          <w:color w:val="000000" w:themeColor="text1"/>
          <w:sz w:val="24"/>
          <w:szCs w:val="24"/>
        </w:rPr>
        <w:t> 2017; </w:t>
      </w:r>
      <w:r w:rsidRPr="0083678C">
        <w:rPr>
          <w:rFonts w:ascii="Book Antiqua" w:hAnsi="Book Antiqua" w:cs="Times New Roman"/>
          <w:b/>
          <w:bCs/>
          <w:color w:val="000000" w:themeColor="text1"/>
          <w:sz w:val="24"/>
          <w:szCs w:val="24"/>
        </w:rPr>
        <w:t>46</w:t>
      </w:r>
      <w:r w:rsidRPr="0083678C">
        <w:rPr>
          <w:rFonts w:ascii="Book Antiqua" w:hAnsi="Book Antiqua" w:cs="Times New Roman"/>
          <w:color w:val="000000" w:themeColor="text1"/>
          <w:sz w:val="24"/>
          <w:szCs w:val="24"/>
        </w:rPr>
        <w:t>: 40-45 [PMID: 28449219 DOI: 10.1111/apt.14082]</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lastRenderedPageBreak/>
        <w:t>32 </w:t>
      </w:r>
      <w:r w:rsidRPr="0083678C">
        <w:rPr>
          <w:rFonts w:ascii="Book Antiqua" w:hAnsi="Book Antiqua" w:cs="Times New Roman"/>
          <w:b/>
          <w:bCs/>
          <w:color w:val="000000" w:themeColor="text1"/>
          <w:sz w:val="24"/>
          <w:szCs w:val="24"/>
        </w:rPr>
        <w:t>Cassaro M</w:t>
      </w:r>
      <w:r w:rsidRPr="0083678C">
        <w:rPr>
          <w:rFonts w:ascii="Book Antiqua" w:hAnsi="Book Antiqua" w:cs="Times New Roman"/>
          <w:color w:val="000000" w:themeColor="text1"/>
          <w:sz w:val="24"/>
          <w:szCs w:val="24"/>
        </w:rPr>
        <w:t>, Rugge M, Gutierrez O, Leandro G, Graham DY, Genta RM. Topographic patterns of intestinal metaplasia and gastric cancer. </w:t>
      </w:r>
      <w:r w:rsidRPr="0083678C">
        <w:rPr>
          <w:rFonts w:ascii="Book Antiqua" w:hAnsi="Book Antiqua" w:cs="Times New Roman"/>
          <w:i/>
          <w:iCs/>
          <w:color w:val="000000" w:themeColor="text1"/>
          <w:sz w:val="24"/>
          <w:szCs w:val="24"/>
        </w:rPr>
        <w:t>Am J Gastroenterol</w:t>
      </w:r>
      <w:r w:rsidRPr="0083678C">
        <w:rPr>
          <w:rFonts w:ascii="Book Antiqua" w:hAnsi="Book Antiqua" w:cs="Times New Roman"/>
          <w:color w:val="000000" w:themeColor="text1"/>
          <w:sz w:val="24"/>
          <w:szCs w:val="24"/>
        </w:rPr>
        <w:t> 2000; </w:t>
      </w:r>
      <w:r w:rsidRPr="0083678C">
        <w:rPr>
          <w:rFonts w:ascii="Book Antiqua" w:hAnsi="Book Antiqua" w:cs="Times New Roman"/>
          <w:b/>
          <w:bCs/>
          <w:color w:val="000000" w:themeColor="text1"/>
          <w:sz w:val="24"/>
          <w:szCs w:val="24"/>
        </w:rPr>
        <w:t>95</w:t>
      </w:r>
      <w:r w:rsidRPr="0083678C">
        <w:rPr>
          <w:rFonts w:ascii="Book Antiqua" w:hAnsi="Book Antiqua" w:cs="Times New Roman"/>
          <w:color w:val="000000" w:themeColor="text1"/>
          <w:sz w:val="24"/>
          <w:szCs w:val="24"/>
        </w:rPr>
        <w:t>: 1431-1438 [PMID: 10894575 DOI: 10.1111/j.1572-0241.2000.02074.x]</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33 </w:t>
      </w:r>
      <w:r w:rsidRPr="0083678C">
        <w:rPr>
          <w:rFonts w:ascii="Book Antiqua" w:hAnsi="Book Antiqua" w:cs="Times New Roman"/>
          <w:b/>
          <w:bCs/>
          <w:color w:val="000000" w:themeColor="text1"/>
          <w:sz w:val="24"/>
          <w:szCs w:val="24"/>
        </w:rPr>
        <w:t>Tava F</w:t>
      </w:r>
      <w:r w:rsidRPr="0083678C">
        <w:rPr>
          <w:rFonts w:ascii="Book Antiqua" w:hAnsi="Book Antiqua" w:cs="Times New Roman"/>
          <w:color w:val="000000" w:themeColor="text1"/>
          <w:sz w:val="24"/>
          <w:szCs w:val="24"/>
        </w:rPr>
        <w:t>, Luinetti O, Ghigna MR, Alvisi C, Perego M, Trespi E, Klersy C, Fratti C, Fiocca R, Solcia E. Type or extension of intestinal metaplasia and immature/atypical "indefinite-for-dysplasia" lesions as predictors of gastric neoplasia. </w:t>
      </w:r>
      <w:r w:rsidRPr="0083678C">
        <w:rPr>
          <w:rFonts w:ascii="Book Antiqua" w:hAnsi="Book Antiqua" w:cs="Times New Roman"/>
          <w:i/>
          <w:iCs/>
          <w:color w:val="000000" w:themeColor="text1"/>
          <w:sz w:val="24"/>
          <w:szCs w:val="24"/>
        </w:rPr>
        <w:t>Hum Pathol</w:t>
      </w:r>
      <w:r w:rsidRPr="0083678C">
        <w:rPr>
          <w:rFonts w:ascii="Book Antiqua" w:hAnsi="Book Antiqua" w:cs="Times New Roman"/>
          <w:color w:val="000000" w:themeColor="text1"/>
          <w:sz w:val="24"/>
          <w:szCs w:val="24"/>
        </w:rPr>
        <w:t> 2006; </w:t>
      </w:r>
      <w:r w:rsidRPr="0083678C">
        <w:rPr>
          <w:rFonts w:ascii="Book Antiqua" w:hAnsi="Book Antiqua" w:cs="Times New Roman"/>
          <w:b/>
          <w:bCs/>
          <w:color w:val="000000" w:themeColor="text1"/>
          <w:sz w:val="24"/>
          <w:szCs w:val="24"/>
        </w:rPr>
        <w:t>37</w:t>
      </w:r>
      <w:r w:rsidRPr="0083678C">
        <w:rPr>
          <w:rFonts w:ascii="Book Antiqua" w:hAnsi="Book Antiqua" w:cs="Times New Roman"/>
          <w:color w:val="000000" w:themeColor="text1"/>
          <w:sz w:val="24"/>
          <w:szCs w:val="24"/>
        </w:rPr>
        <w:t>: 1489-1497 [PMID: 16949645 DOI: 10.1016/j.humpath.2006.05.012]</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34 </w:t>
      </w:r>
      <w:r w:rsidRPr="0083678C">
        <w:rPr>
          <w:rFonts w:ascii="Book Antiqua" w:hAnsi="Book Antiqua" w:cs="Times New Roman"/>
          <w:b/>
          <w:bCs/>
          <w:color w:val="000000" w:themeColor="text1"/>
          <w:sz w:val="24"/>
          <w:szCs w:val="24"/>
        </w:rPr>
        <w:t>Shichijo S</w:t>
      </w:r>
      <w:r w:rsidRPr="0083678C">
        <w:rPr>
          <w:rFonts w:ascii="Book Antiqua" w:hAnsi="Book Antiqua" w:cs="Times New Roman"/>
          <w:color w:val="000000" w:themeColor="text1"/>
          <w:sz w:val="24"/>
          <w:szCs w:val="24"/>
        </w:rPr>
        <w:t>, Hirata Y, Niikura R, Hayakawa Y, Yamada A, Ushiku T, Fukayama M, Koike K. Histologic intestinal metaplasia and endoscopic atrophy are predictors of gastric cancer development after Helicobacter pylori eradication. </w:t>
      </w:r>
      <w:r w:rsidRPr="0083678C">
        <w:rPr>
          <w:rFonts w:ascii="Book Antiqua" w:hAnsi="Book Antiqua" w:cs="Times New Roman"/>
          <w:i/>
          <w:iCs/>
          <w:color w:val="000000" w:themeColor="text1"/>
          <w:sz w:val="24"/>
          <w:szCs w:val="24"/>
        </w:rPr>
        <w:t>Gastrointest Endosc</w:t>
      </w:r>
      <w:r w:rsidRPr="0083678C">
        <w:rPr>
          <w:rFonts w:ascii="Book Antiqua" w:hAnsi="Book Antiqua" w:cs="Times New Roman"/>
          <w:color w:val="000000" w:themeColor="text1"/>
          <w:sz w:val="24"/>
          <w:szCs w:val="24"/>
        </w:rPr>
        <w:t> 2016; </w:t>
      </w:r>
      <w:r w:rsidRPr="0083678C">
        <w:rPr>
          <w:rFonts w:ascii="Book Antiqua" w:hAnsi="Book Antiqua" w:cs="Times New Roman"/>
          <w:b/>
          <w:bCs/>
          <w:color w:val="000000" w:themeColor="text1"/>
          <w:sz w:val="24"/>
          <w:szCs w:val="24"/>
        </w:rPr>
        <w:t>84</w:t>
      </w:r>
      <w:r w:rsidRPr="0083678C">
        <w:rPr>
          <w:rFonts w:ascii="Book Antiqua" w:hAnsi="Book Antiqua" w:cs="Times New Roman"/>
          <w:color w:val="000000" w:themeColor="text1"/>
          <w:sz w:val="24"/>
          <w:szCs w:val="24"/>
        </w:rPr>
        <w:t>: 618-624 [PMID: 26995689 DOI: 10.1016/j.gie.2016.03.791]</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35 </w:t>
      </w:r>
      <w:r w:rsidRPr="0083678C">
        <w:rPr>
          <w:rFonts w:ascii="Book Antiqua" w:hAnsi="Book Antiqua" w:cs="Times New Roman"/>
          <w:b/>
          <w:bCs/>
          <w:color w:val="000000" w:themeColor="text1"/>
          <w:sz w:val="24"/>
          <w:szCs w:val="24"/>
        </w:rPr>
        <w:t>Capelle LG</w:t>
      </w:r>
      <w:r w:rsidRPr="0083678C">
        <w:rPr>
          <w:rFonts w:ascii="Book Antiqua" w:hAnsi="Book Antiqua" w:cs="Times New Roman"/>
          <w:color w:val="000000" w:themeColor="text1"/>
          <w:sz w:val="24"/>
          <w:szCs w:val="24"/>
        </w:rPr>
        <w:t>, de Vries AC, Haringsma J, Ter Borg F, de Vries RA, Bruno MJ, van Dekken H, Meijer J, van Grieken NC, Kuipers EJ. The staging of gastritis with the OLGA system by using intestinal metaplasia as an accurate alternative for atrophic gastritis. </w:t>
      </w:r>
      <w:r w:rsidRPr="0083678C">
        <w:rPr>
          <w:rFonts w:ascii="Book Antiqua" w:hAnsi="Book Antiqua" w:cs="Times New Roman"/>
          <w:i/>
          <w:iCs/>
          <w:color w:val="000000" w:themeColor="text1"/>
          <w:sz w:val="24"/>
          <w:szCs w:val="24"/>
        </w:rPr>
        <w:t>Gastrointest Endosc</w:t>
      </w:r>
      <w:r w:rsidRPr="0083678C">
        <w:rPr>
          <w:rFonts w:ascii="Book Antiqua" w:hAnsi="Book Antiqua" w:cs="Times New Roman"/>
          <w:color w:val="000000" w:themeColor="text1"/>
          <w:sz w:val="24"/>
          <w:szCs w:val="24"/>
        </w:rPr>
        <w:t> 2010; </w:t>
      </w:r>
      <w:r w:rsidRPr="0083678C">
        <w:rPr>
          <w:rFonts w:ascii="Book Antiqua" w:hAnsi="Book Antiqua" w:cs="Times New Roman"/>
          <w:b/>
          <w:bCs/>
          <w:color w:val="000000" w:themeColor="text1"/>
          <w:sz w:val="24"/>
          <w:szCs w:val="24"/>
        </w:rPr>
        <w:t>71</w:t>
      </w:r>
      <w:r w:rsidRPr="0083678C">
        <w:rPr>
          <w:rFonts w:ascii="Book Antiqua" w:hAnsi="Book Antiqua" w:cs="Times New Roman"/>
          <w:color w:val="000000" w:themeColor="text1"/>
          <w:sz w:val="24"/>
          <w:szCs w:val="24"/>
        </w:rPr>
        <w:t>: 1150-1158 [PMID: 20381801 DOI: 10.1016/j.gie.2009.12.029]</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36 </w:t>
      </w:r>
      <w:r w:rsidRPr="0083678C">
        <w:rPr>
          <w:rFonts w:ascii="Book Antiqua" w:hAnsi="Book Antiqua" w:cs="Times New Roman"/>
          <w:b/>
          <w:bCs/>
          <w:color w:val="000000" w:themeColor="text1"/>
          <w:sz w:val="24"/>
          <w:szCs w:val="24"/>
        </w:rPr>
        <w:t>el-Zimaity HM</w:t>
      </w:r>
      <w:r w:rsidRPr="0083678C">
        <w:rPr>
          <w:rFonts w:ascii="Book Antiqua" w:hAnsi="Book Antiqua" w:cs="Times New Roman"/>
          <w:color w:val="000000" w:themeColor="text1"/>
          <w:sz w:val="24"/>
          <w:szCs w:val="24"/>
        </w:rPr>
        <w:t>, Graham DY, al-Assi MT, Malaty H, Karttunen TJ, Graham DP, Huberman RM, Genta RM. Interobserver variation in the histopathological assessment of Helicobacter pylori gastritis. </w:t>
      </w:r>
      <w:r w:rsidRPr="0083678C">
        <w:rPr>
          <w:rFonts w:ascii="Book Antiqua" w:hAnsi="Book Antiqua" w:cs="Times New Roman"/>
          <w:i/>
          <w:iCs/>
          <w:color w:val="000000" w:themeColor="text1"/>
          <w:sz w:val="24"/>
          <w:szCs w:val="24"/>
        </w:rPr>
        <w:t>Hum Pathol</w:t>
      </w:r>
      <w:r w:rsidRPr="0083678C">
        <w:rPr>
          <w:rFonts w:ascii="Book Antiqua" w:hAnsi="Book Antiqua" w:cs="Times New Roman"/>
          <w:color w:val="000000" w:themeColor="text1"/>
          <w:sz w:val="24"/>
          <w:szCs w:val="24"/>
        </w:rPr>
        <w:t> 1996; </w:t>
      </w:r>
      <w:r w:rsidRPr="0083678C">
        <w:rPr>
          <w:rFonts w:ascii="Book Antiqua" w:hAnsi="Book Antiqua" w:cs="Times New Roman"/>
          <w:b/>
          <w:bCs/>
          <w:color w:val="000000" w:themeColor="text1"/>
          <w:sz w:val="24"/>
          <w:szCs w:val="24"/>
        </w:rPr>
        <w:t>27</w:t>
      </w:r>
      <w:r w:rsidRPr="0083678C">
        <w:rPr>
          <w:rFonts w:ascii="Book Antiqua" w:hAnsi="Book Antiqua" w:cs="Times New Roman"/>
          <w:color w:val="000000" w:themeColor="text1"/>
          <w:sz w:val="24"/>
          <w:szCs w:val="24"/>
        </w:rPr>
        <w:t>: 35-41 [PMID: 8543308]</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37 </w:t>
      </w:r>
      <w:r w:rsidRPr="0083678C">
        <w:rPr>
          <w:rFonts w:ascii="Book Antiqua" w:hAnsi="Book Antiqua" w:cs="Times New Roman"/>
          <w:b/>
          <w:bCs/>
          <w:color w:val="000000" w:themeColor="text1"/>
          <w:sz w:val="24"/>
          <w:szCs w:val="24"/>
        </w:rPr>
        <w:t>Chen XY</w:t>
      </w:r>
      <w:r w:rsidRPr="0083678C">
        <w:rPr>
          <w:rFonts w:ascii="Book Antiqua" w:hAnsi="Book Antiqua" w:cs="Times New Roman"/>
          <w:color w:val="000000" w:themeColor="text1"/>
          <w:sz w:val="24"/>
          <w:szCs w:val="24"/>
        </w:rPr>
        <w:t>, van der Hulst RW, Bruno MJ, van der Ende A, Xiao SD, Tytgat GN, Ten Kate FJ. Interobserver variation in the histopathological scoring of Helicobacter pylori related gastritis. </w:t>
      </w:r>
      <w:r w:rsidRPr="0083678C">
        <w:rPr>
          <w:rFonts w:ascii="Book Antiqua" w:hAnsi="Book Antiqua" w:cs="Times New Roman"/>
          <w:i/>
          <w:iCs/>
          <w:color w:val="000000" w:themeColor="text1"/>
          <w:sz w:val="24"/>
          <w:szCs w:val="24"/>
        </w:rPr>
        <w:t>J Clin Pathol</w:t>
      </w:r>
      <w:r w:rsidRPr="0083678C">
        <w:rPr>
          <w:rFonts w:ascii="Book Antiqua" w:hAnsi="Book Antiqua" w:cs="Times New Roman"/>
          <w:color w:val="000000" w:themeColor="text1"/>
          <w:sz w:val="24"/>
          <w:szCs w:val="24"/>
        </w:rPr>
        <w:t> 1999; </w:t>
      </w:r>
      <w:r w:rsidRPr="0083678C">
        <w:rPr>
          <w:rFonts w:ascii="Book Antiqua" w:hAnsi="Book Antiqua" w:cs="Times New Roman"/>
          <w:b/>
          <w:bCs/>
          <w:color w:val="000000" w:themeColor="text1"/>
          <w:sz w:val="24"/>
          <w:szCs w:val="24"/>
        </w:rPr>
        <w:t>52</w:t>
      </w:r>
      <w:r w:rsidRPr="0083678C">
        <w:rPr>
          <w:rFonts w:ascii="Book Antiqua" w:hAnsi="Book Antiqua" w:cs="Times New Roman"/>
          <w:color w:val="000000" w:themeColor="text1"/>
          <w:sz w:val="24"/>
          <w:szCs w:val="24"/>
        </w:rPr>
        <w:t>: 612-615 [PMID: 10645232]</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38 </w:t>
      </w:r>
      <w:r w:rsidRPr="0083678C">
        <w:rPr>
          <w:rFonts w:ascii="Book Antiqua" w:hAnsi="Book Antiqua" w:cs="Times New Roman"/>
          <w:b/>
          <w:bCs/>
          <w:color w:val="000000" w:themeColor="text1"/>
          <w:sz w:val="24"/>
          <w:szCs w:val="24"/>
        </w:rPr>
        <w:t>Dixon MF</w:t>
      </w:r>
      <w:r w:rsidRPr="0083678C">
        <w:rPr>
          <w:rFonts w:ascii="Book Antiqua" w:hAnsi="Book Antiqua" w:cs="Times New Roman"/>
          <w:color w:val="000000" w:themeColor="text1"/>
          <w:sz w:val="24"/>
          <w:szCs w:val="24"/>
        </w:rPr>
        <w:t>. Gastrointestinal epithelial neoplasia: Vienna revisited. </w:t>
      </w:r>
      <w:r w:rsidRPr="0083678C">
        <w:rPr>
          <w:rFonts w:ascii="Book Antiqua" w:hAnsi="Book Antiqua" w:cs="Times New Roman"/>
          <w:i/>
          <w:iCs/>
          <w:color w:val="000000" w:themeColor="text1"/>
          <w:sz w:val="24"/>
          <w:szCs w:val="24"/>
        </w:rPr>
        <w:t>Gut</w:t>
      </w:r>
      <w:r w:rsidRPr="0083678C">
        <w:rPr>
          <w:rFonts w:ascii="Book Antiqua" w:hAnsi="Book Antiqua" w:cs="Times New Roman"/>
          <w:color w:val="000000" w:themeColor="text1"/>
          <w:sz w:val="24"/>
          <w:szCs w:val="24"/>
        </w:rPr>
        <w:t> 2002; </w:t>
      </w:r>
      <w:r w:rsidRPr="0083678C">
        <w:rPr>
          <w:rFonts w:ascii="Book Antiqua" w:hAnsi="Book Antiqua" w:cs="Times New Roman"/>
          <w:b/>
          <w:bCs/>
          <w:color w:val="000000" w:themeColor="text1"/>
          <w:sz w:val="24"/>
          <w:szCs w:val="24"/>
        </w:rPr>
        <w:t>51</w:t>
      </w:r>
      <w:r w:rsidRPr="0083678C">
        <w:rPr>
          <w:rFonts w:ascii="Book Antiqua" w:hAnsi="Book Antiqua" w:cs="Times New Roman"/>
          <w:color w:val="000000" w:themeColor="text1"/>
          <w:sz w:val="24"/>
          <w:szCs w:val="24"/>
        </w:rPr>
        <w:t>: 130-131 [PMID: 12077106]</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39 </w:t>
      </w:r>
      <w:r w:rsidRPr="0083678C">
        <w:rPr>
          <w:rFonts w:ascii="Book Antiqua" w:hAnsi="Book Antiqua" w:cs="Times New Roman"/>
          <w:b/>
          <w:bCs/>
          <w:color w:val="000000" w:themeColor="text1"/>
          <w:sz w:val="24"/>
          <w:szCs w:val="24"/>
        </w:rPr>
        <w:t>de Vries AC</w:t>
      </w:r>
      <w:r w:rsidRPr="0083678C">
        <w:rPr>
          <w:rFonts w:ascii="Book Antiqua" w:hAnsi="Book Antiqua" w:cs="Times New Roman"/>
          <w:color w:val="000000" w:themeColor="text1"/>
          <w:sz w:val="24"/>
          <w:szCs w:val="24"/>
        </w:rPr>
        <w:t>, van Grieken NC, Looman CW, Casparie MK, de Vries E, Meijer GA, Kuipers EJ. Gastric cancer risk in patients with premalignant gastric lesions: a nationwide cohort study in the Netherlands. </w:t>
      </w:r>
      <w:r w:rsidRPr="0083678C">
        <w:rPr>
          <w:rFonts w:ascii="Book Antiqua" w:hAnsi="Book Antiqua" w:cs="Times New Roman"/>
          <w:i/>
          <w:iCs/>
          <w:color w:val="000000" w:themeColor="text1"/>
          <w:sz w:val="24"/>
          <w:szCs w:val="24"/>
        </w:rPr>
        <w:t>Gastroenterology</w:t>
      </w:r>
      <w:r w:rsidRPr="0083678C">
        <w:rPr>
          <w:rFonts w:ascii="Book Antiqua" w:hAnsi="Book Antiqua" w:cs="Times New Roman"/>
          <w:color w:val="000000" w:themeColor="text1"/>
          <w:sz w:val="24"/>
          <w:szCs w:val="24"/>
        </w:rPr>
        <w:t> 2008; </w:t>
      </w:r>
      <w:r w:rsidRPr="0083678C">
        <w:rPr>
          <w:rFonts w:ascii="Book Antiqua" w:hAnsi="Book Antiqua" w:cs="Times New Roman"/>
          <w:b/>
          <w:bCs/>
          <w:color w:val="000000" w:themeColor="text1"/>
          <w:sz w:val="24"/>
          <w:szCs w:val="24"/>
        </w:rPr>
        <w:t>134</w:t>
      </w:r>
      <w:r w:rsidRPr="0083678C">
        <w:rPr>
          <w:rFonts w:ascii="Book Antiqua" w:hAnsi="Book Antiqua" w:cs="Times New Roman"/>
          <w:color w:val="000000" w:themeColor="text1"/>
          <w:sz w:val="24"/>
          <w:szCs w:val="24"/>
        </w:rPr>
        <w:t>: 945-952 [PMID: 18395075 DOI: 10.1053/j.gastro.2008.01.071]</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lastRenderedPageBreak/>
        <w:t>40 </w:t>
      </w:r>
      <w:r w:rsidRPr="0083678C">
        <w:rPr>
          <w:rFonts w:ascii="Book Antiqua" w:hAnsi="Book Antiqua" w:cs="Times New Roman"/>
          <w:b/>
          <w:bCs/>
          <w:color w:val="000000" w:themeColor="text1"/>
          <w:sz w:val="24"/>
          <w:szCs w:val="24"/>
        </w:rPr>
        <w:t>Maekawa A</w:t>
      </w:r>
      <w:r w:rsidRPr="0083678C">
        <w:rPr>
          <w:rFonts w:ascii="Book Antiqua" w:hAnsi="Book Antiqua" w:cs="Times New Roman"/>
          <w:color w:val="000000" w:themeColor="text1"/>
          <w:sz w:val="24"/>
          <w:szCs w:val="24"/>
        </w:rPr>
        <w:t>, Kato M, Nakamura T, Komori M, Yamada T, Yamamoto K, Ogiyama H, Nakahara M, Kawai N, Yabuta T, Mukai A, Hayashi Y, Nishida T, Iijima H, Tsujii M, Morii E, Takehara T. Incidence of gastric adenocarcinoma among lesions diagnosed as low-grade adenoma/dysplasia on endoscopic biopsy: A multicenter, prospective, observational study. </w:t>
      </w:r>
      <w:r w:rsidRPr="0083678C">
        <w:rPr>
          <w:rFonts w:ascii="Book Antiqua" w:hAnsi="Book Antiqua" w:cs="Times New Roman"/>
          <w:i/>
          <w:iCs/>
          <w:color w:val="000000" w:themeColor="text1"/>
          <w:sz w:val="24"/>
          <w:szCs w:val="24"/>
        </w:rPr>
        <w:t>Dig Endosc</w:t>
      </w:r>
      <w:r w:rsidRPr="0083678C">
        <w:rPr>
          <w:rFonts w:ascii="Book Antiqua" w:hAnsi="Book Antiqua" w:cs="Times New Roman"/>
          <w:color w:val="000000" w:themeColor="text1"/>
          <w:sz w:val="24"/>
          <w:szCs w:val="24"/>
        </w:rPr>
        <w:t> 2018; </w:t>
      </w:r>
      <w:r w:rsidRPr="0083678C">
        <w:rPr>
          <w:rFonts w:ascii="Book Antiqua" w:hAnsi="Book Antiqua" w:cs="Times New Roman"/>
          <w:b/>
          <w:bCs/>
          <w:color w:val="000000" w:themeColor="text1"/>
          <w:sz w:val="24"/>
          <w:szCs w:val="24"/>
        </w:rPr>
        <w:t>30</w:t>
      </w:r>
      <w:r w:rsidRPr="0083678C">
        <w:rPr>
          <w:rFonts w:ascii="Book Antiqua" w:hAnsi="Book Antiqua" w:cs="Times New Roman"/>
          <w:color w:val="000000" w:themeColor="text1"/>
          <w:sz w:val="24"/>
          <w:szCs w:val="24"/>
        </w:rPr>
        <w:t>: 228-235 [PMID: 29094455 DOI: 10.1111/den.12980]</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41 </w:t>
      </w:r>
      <w:r w:rsidRPr="0083678C">
        <w:rPr>
          <w:rFonts w:ascii="Book Antiqua" w:hAnsi="Book Antiqua" w:cs="Times New Roman"/>
          <w:b/>
          <w:bCs/>
          <w:color w:val="000000" w:themeColor="text1"/>
          <w:sz w:val="24"/>
          <w:szCs w:val="24"/>
        </w:rPr>
        <w:t>ASGE Standards of Practice Committee</w:t>
      </w:r>
      <w:r w:rsidRPr="0083678C">
        <w:rPr>
          <w:rFonts w:ascii="Book Antiqua" w:hAnsi="Book Antiqua" w:cs="Times New Roman"/>
          <w:color w:val="000000" w:themeColor="text1"/>
          <w:sz w:val="24"/>
          <w:szCs w:val="24"/>
        </w:rPr>
        <w:t>, Evans JA, Chandrasekhara V, Chathadi KV, Decker GA, Early DS, Fisher DA, Foley K, Hwang JH, Jue TL, Lightdale JR, Pasha SF, Sharaf R, Shergill AK, Cash BD, DeWitt JM. The role of endoscopy in the management of premalignant and malignant conditions of the stomach. </w:t>
      </w:r>
      <w:r w:rsidRPr="0083678C">
        <w:rPr>
          <w:rFonts w:ascii="Book Antiqua" w:hAnsi="Book Antiqua" w:cs="Times New Roman"/>
          <w:i/>
          <w:iCs/>
          <w:color w:val="000000" w:themeColor="text1"/>
          <w:sz w:val="24"/>
          <w:szCs w:val="24"/>
        </w:rPr>
        <w:t>Gastrointest Endosc</w:t>
      </w:r>
      <w:r w:rsidRPr="0083678C">
        <w:rPr>
          <w:rFonts w:ascii="Book Antiqua" w:hAnsi="Book Antiqua" w:cs="Times New Roman"/>
          <w:color w:val="000000" w:themeColor="text1"/>
          <w:sz w:val="24"/>
          <w:szCs w:val="24"/>
        </w:rPr>
        <w:t> 2015; </w:t>
      </w:r>
      <w:r w:rsidRPr="0083678C">
        <w:rPr>
          <w:rFonts w:ascii="Book Antiqua" w:hAnsi="Book Antiqua" w:cs="Times New Roman"/>
          <w:b/>
          <w:bCs/>
          <w:color w:val="000000" w:themeColor="text1"/>
          <w:sz w:val="24"/>
          <w:szCs w:val="24"/>
        </w:rPr>
        <w:t>82</w:t>
      </w:r>
      <w:r w:rsidRPr="0083678C">
        <w:rPr>
          <w:rFonts w:ascii="Book Antiqua" w:hAnsi="Book Antiqua" w:cs="Times New Roman"/>
          <w:color w:val="000000" w:themeColor="text1"/>
          <w:sz w:val="24"/>
          <w:szCs w:val="24"/>
        </w:rPr>
        <w:t>: 1-8 [PMID: 25935705 DOI: 10.1016/j.gie.2015.03.1967]</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42 </w:t>
      </w:r>
      <w:r w:rsidRPr="0083678C">
        <w:rPr>
          <w:rFonts w:ascii="Book Antiqua" w:hAnsi="Book Antiqua" w:cs="Times New Roman"/>
          <w:b/>
          <w:bCs/>
          <w:color w:val="000000" w:themeColor="text1"/>
          <w:sz w:val="24"/>
          <w:szCs w:val="24"/>
        </w:rPr>
        <w:t>Kokkola A</w:t>
      </w:r>
      <w:r w:rsidRPr="0083678C">
        <w:rPr>
          <w:rFonts w:ascii="Book Antiqua" w:hAnsi="Book Antiqua" w:cs="Times New Roman"/>
          <w:color w:val="000000" w:themeColor="text1"/>
          <w:sz w:val="24"/>
          <w:szCs w:val="24"/>
        </w:rPr>
        <w:t>, Haapiainen R, Laxén F, Puolakkainen P, Kivilaakso E, Virtamo J, Sipponen P. Risk of gastric carcinoma in patients with mucosal dysplasia associated with atrophic gastritis: a follow up study. </w:t>
      </w:r>
      <w:r w:rsidRPr="0083678C">
        <w:rPr>
          <w:rFonts w:ascii="Book Antiqua" w:hAnsi="Book Antiqua" w:cs="Times New Roman"/>
          <w:i/>
          <w:iCs/>
          <w:color w:val="000000" w:themeColor="text1"/>
          <w:sz w:val="24"/>
          <w:szCs w:val="24"/>
        </w:rPr>
        <w:t>J Clin Pathol</w:t>
      </w:r>
      <w:r w:rsidRPr="0083678C">
        <w:rPr>
          <w:rFonts w:ascii="Book Antiqua" w:hAnsi="Book Antiqua" w:cs="Times New Roman"/>
          <w:color w:val="000000" w:themeColor="text1"/>
          <w:sz w:val="24"/>
          <w:szCs w:val="24"/>
        </w:rPr>
        <w:t> 1996; </w:t>
      </w:r>
      <w:r w:rsidRPr="0083678C">
        <w:rPr>
          <w:rFonts w:ascii="Book Antiqua" w:hAnsi="Book Antiqua" w:cs="Times New Roman"/>
          <w:b/>
          <w:bCs/>
          <w:color w:val="000000" w:themeColor="text1"/>
          <w:sz w:val="24"/>
          <w:szCs w:val="24"/>
        </w:rPr>
        <w:t>49</w:t>
      </w:r>
      <w:r w:rsidRPr="0083678C">
        <w:rPr>
          <w:rFonts w:ascii="Book Antiqua" w:hAnsi="Book Antiqua" w:cs="Times New Roman"/>
          <w:color w:val="000000" w:themeColor="text1"/>
          <w:sz w:val="24"/>
          <w:szCs w:val="24"/>
        </w:rPr>
        <w:t>: 979-984 [PMID: 9038734]</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43 </w:t>
      </w:r>
      <w:r w:rsidR="00E12493" w:rsidRPr="0083678C">
        <w:rPr>
          <w:rFonts w:ascii="Book Antiqua" w:hAnsi="Book Antiqua" w:cs="Times New Roman"/>
          <w:b/>
          <w:bCs/>
          <w:color w:val="000000" w:themeColor="text1"/>
          <w:sz w:val="24"/>
          <w:szCs w:val="24"/>
        </w:rPr>
        <w:t>Eshmuratov A</w:t>
      </w:r>
      <w:r w:rsidR="00E12493" w:rsidRPr="0083678C">
        <w:rPr>
          <w:rFonts w:ascii="Book Antiqua" w:hAnsi="Book Antiqua" w:cs="Times New Roman"/>
          <w:color w:val="000000" w:themeColor="text1"/>
          <w:sz w:val="24"/>
          <w:szCs w:val="24"/>
        </w:rPr>
        <w:t>, Nah JC, Kim N, Lee HS, Lee HE, Lee BH, Uhm MS, Park YS, Lee DH, Jung HC, Song IS. The correlation of endoscopic and histological diagnosis of gastric atrophy. </w:t>
      </w:r>
      <w:r w:rsidR="00E12493" w:rsidRPr="0083678C">
        <w:rPr>
          <w:rFonts w:ascii="Book Antiqua" w:hAnsi="Book Antiqua" w:cs="Times New Roman"/>
          <w:i/>
          <w:iCs/>
          <w:color w:val="000000" w:themeColor="text1"/>
          <w:sz w:val="24"/>
          <w:szCs w:val="24"/>
        </w:rPr>
        <w:t>Dig Dis Sci</w:t>
      </w:r>
      <w:r w:rsidR="00E12493" w:rsidRPr="0083678C">
        <w:rPr>
          <w:rFonts w:ascii="Book Antiqua" w:hAnsi="Book Antiqua" w:cs="Times New Roman"/>
          <w:color w:val="000000" w:themeColor="text1"/>
          <w:sz w:val="24"/>
          <w:szCs w:val="24"/>
        </w:rPr>
        <w:t> 2010; </w:t>
      </w:r>
      <w:r w:rsidR="00E12493" w:rsidRPr="0083678C">
        <w:rPr>
          <w:rFonts w:ascii="Book Antiqua" w:hAnsi="Book Antiqua" w:cs="Times New Roman"/>
          <w:b/>
          <w:bCs/>
          <w:color w:val="000000" w:themeColor="text1"/>
          <w:sz w:val="24"/>
          <w:szCs w:val="24"/>
        </w:rPr>
        <w:t>55</w:t>
      </w:r>
      <w:r w:rsidR="00E12493" w:rsidRPr="0083678C">
        <w:rPr>
          <w:rFonts w:ascii="Book Antiqua" w:hAnsi="Book Antiqua" w:cs="Times New Roman"/>
          <w:color w:val="000000" w:themeColor="text1"/>
          <w:sz w:val="24"/>
          <w:szCs w:val="24"/>
        </w:rPr>
        <w:t>: 1364-1375 [PMID: 19629687 DOI: 10.1007/s10620-009-0891-4]</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44 </w:t>
      </w:r>
      <w:r w:rsidRPr="0083678C">
        <w:rPr>
          <w:rFonts w:ascii="Book Antiqua" w:hAnsi="Book Antiqua" w:cs="Times New Roman"/>
          <w:b/>
          <w:bCs/>
          <w:color w:val="000000" w:themeColor="text1"/>
          <w:sz w:val="24"/>
          <w:szCs w:val="24"/>
        </w:rPr>
        <w:t>Kono S</w:t>
      </w:r>
      <w:r w:rsidRPr="0083678C">
        <w:rPr>
          <w:rFonts w:ascii="Book Antiqua" w:hAnsi="Book Antiqua" w:cs="Times New Roman"/>
          <w:color w:val="000000" w:themeColor="text1"/>
          <w:sz w:val="24"/>
          <w:szCs w:val="24"/>
        </w:rPr>
        <w:t>, Gotoda T, Yoshida S, Oda I, Kondo H, Gatta L, Naylor G, Dixon M, Moriyasu F, Axon A. Can endoscopic atrophy predict histological atrophy? Historical study in United Kingdom and Japan. </w:t>
      </w:r>
      <w:r w:rsidRPr="0083678C">
        <w:rPr>
          <w:rFonts w:ascii="Book Antiqua" w:hAnsi="Book Antiqua" w:cs="Times New Roman"/>
          <w:i/>
          <w:iCs/>
          <w:color w:val="000000" w:themeColor="text1"/>
          <w:sz w:val="24"/>
          <w:szCs w:val="24"/>
        </w:rPr>
        <w:t>World J Gastroenterol</w:t>
      </w:r>
      <w:r w:rsidRPr="0083678C">
        <w:rPr>
          <w:rFonts w:ascii="Book Antiqua" w:hAnsi="Book Antiqua" w:cs="Times New Roman"/>
          <w:color w:val="000000" w:themeColor="text1"/>
          <w:sz w:val="24"/>
          <w:szCs w:val="24"/>
        </w:rPr>
        <w:t> 2015; </w:t>
      </w:r>
      <w:r w:rsidRPr="0083678C">
        <w:rPr>
          <w:rFonts w:ascii="Book Antiqua" w:hAnsi="Book Antiqua" w:cs="Times New Roman"/>
          <w:b/>
          <w:bCs/>
          <w:color w:val="000000" w:themeColor="text1"/>
          <w:sz w:val="24"/>
          <w:szCs w:val="24"/>
        </w:rPr>
        <w:t>21</w:t>
      </w:r>
      <w:r w:rsidRPr="0083678C">
        <w:rPr>
          <w:rFonts w:ascii="Book Antiqua" w:hAnsi="Book Antiqua" w:cs="Times New Roman"/>
          <w:color w:val="000000" w:themeColor="text1"/>
          <w:sz w:val="24"/>
          <w:szCs w:val="24"/>
        </w:rPr>
        <w:t>: 13113-13123 [PMID: 26673849 DOI: 10.3748/wjg.v21.i46.13113]</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45 </w:t>
      </w:r>
      <w:r w:rsidRPr="0083678C">
        <w:rPr>
          <w:rFonts w:ascii="Book Antiqua" w:hAnsi="Book Antiqua" w:cs="Times New Roman"/>
          <w:b/>
          <w:bCs/>
          <w:color w:val="000000" w:themeColor="text1"/>
          <w:sz w:val="24"/>
          <w:szCs w:val="24"/>
        </w:rPr>
        <w:t>Take S</w:t>
      </w:r>
      <w:r w:rsidRPr="0083678C">
        <w:rPr>
          <w:rFonts w:ascii="Book Antiqua" w:hAnsi="Book Antiqua" w:cs="Times New Roman"/>
          <w:color w:val="000000" w:themeColor="text1"/>
          <w:sz w:val="24"/>
          <w:szCs w:val="24"/>
        </w:rPr>
        <w:t>, Mizuno M, Ishiki K, Yoshida T, Ohara N, Yokota K, Oguma K, Okada H, Yamamoto K. The long-term risk of gastric cancer after the successful eradication of Helicobacter pylori. </w:t>
      </w:r>
      <w:r w:rsidRPr="0083678C">
        <w:rPr>
          <w:rFonts w:ascii="Book Antiqua" w:hAnsi="Book Antiqua" w:cs="Times New Roman"/>
          <w:i/>
          <w:iCs/>
          <w:color w:val="000000" w:themeColor="text1"/>
          <w:sz w:val="24"/>
          <w:szCs w:val="24"/>
        </w:rPr>
        <w:t>J Gastroenterol</w:t>
      </w:r>
      <w:r w:rsidRPr="0083678C">
        <w:rPr>
          <w:rFonts w:ascii="Book Antiqua" w:hAnsi="Book Antiqua" w:cs="Times New Roman"/>
          <w:color w:val="000000" w:themeColor="text1"/>
          <w:sz w:val="24"/>
          <w:szCs w:val="24"/>
        </w:rPr>
        <w:t> 2011; </w:t>
      </w:r>
      <w:r w:rsidRPr="0083678C">
        <w:rPr>
          <w:rFonts w:ascii="Book Antiqua" w:hAnsi="Book Antiqua" w:cs="Times New Roman"/>
          <w:b/>
          <w:bCs/>
          <w:color w:val="000000" w:themeColor="text1"/>
          <w:sz w:val="24"/>
          <w:szCs w:val="24"/>
        </w:rPr>
        <w:t>46</w:t>
      </w:r>
      <w:r w:rsidRPr="0083678C">
        <w:rPr>
          <w:rFonts w:ascii="Book Antiqua" w:hAnsi="Book Antiqua" w:cs="Times New Roman"/>
          <w:color w:val="000000" w:themeColor="text1"/>
          <w:sz w:val="24"/>
          <w:szCs w:val="24"/>
        </w:rPr>
        <w:t>: 318-324 [PMID: 21103997 DOI: 10.1007/s00535-010-0347-9]</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46 </w:t>
      </w:r>
      <w:r w:rsidRPr="0083678C">
        <w:rPr>
          <w:rFonts w:ascii="Book Antiqua" w:hAnsi="Book Antiqua" w:cs="Times New Roman"/>
          <w:b/>
          <w:bCs/>
          <w:color w:val="000000" w:themeColor="text1"/>
          <w:sz w:val="24"/>
          <w:szCs w:val="24"/>
        </w:rPr>
        <w:t>Kimura K</w:t>
      </w:r>
      <w:r w:rsidRPr="0083678C">
        <w:rPr>
          <w:rFonts w:ascii="Book Antiqua" w:hAnsi="Book Antiqua" w:cs="Times New Roman"/>
          <w:color w:val="000000" w:themeColor="text1"/>
          <w:sz w:val="24"/>
          <w:szCs w:val="24"/>
        </w:rPr>
        <w:t xml:space="preserve">, Takemoto T. An Endoscopic Recognition of the Atrophic Border and its Significance in Chronic Gastritis. </w:t>
      </w:r>
      <w:r w:rsidRPr="0083678C">
        <w:rPr>
          <w:rFonts w:ascii="Book Antiqua" w:hAnsi="Book Antiqua" w:cs="Times New Roman"/>
          <w:i/>
          <w:iCs/>
          <w:color w:val="000000" w:themeColor="text1"/>
          <w:sz w:val="24"/>
          <w:szCs w:val="24"/>
        </w:rPr>
        <w:t xml:space="preserve">Endoscopy </w:t>
      </w:r>
      <w:r w:rsidRPr="0083678C">
        <w:rPr>
          <w:rFonts w:ascii="Book Antiqua" w:hAnsi="Book Antiqua" w:cs="Times New Roman"/>
          <w:color w:val="000000" w:themeColor="text1"/>
          <w:sz w:val="24"/>
          <w:szCs w:val="24"/>
        </w:rPr>
        <w:t xml:space="preserve">2008; </w:t>
      </w:r>
      <w:r w:rsidRPr="0083678C">
        <w:rPr>
          <w:rFonts w:ascii="Book Antiqua" w:hAnsi="Book Antiqua" w:cs="Times New Roman"/>
          <w:b/>
          <w:bCs/>
          <w:color w:val="000000" w:themeColor="text1"/>
          <w:sz w:val="24"/>
          <w:szCs w:val="24"/>
        </w:rPr>
        <w:t>1</w:t>
      </w:r>
      <w:r w:rsidRPr="0083678C">
        <w:rPr>
          <w:rFonts w:ascii="Book Antiqua" w:hAnsi="Book Antiqua" w:cs="Times New Roman"/>
          <w:color w:val="000000" w:themeColor="text1"/>
          <w:sz w:val="24"/>
          <w:szCs w:val="24"/>
        </w:rPr>
        <w:t>: 87-97 [DOI: 10.1055/s-0028-1098086]</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lastRenderedPageBreak/>
        <w:t>47 </w:t>
      </w:r>
      <w:r w:rsidRPr="0083678C">
        <w:rPr>
          <w:rFonts w:ascii="Book Antiqua" w:hAnsi="Book Antiqua" w:cs="Times New Roman"/>
          <w:b/>
          <w:bCs/>
          <w:color w:val="000000" w:themeColor="text1"/>
          <w:sz w:val="24"/>
          <w:szCs w:val="24"/>
        </w:rPr>
        <w:t>Lim JH</w:t>
      </w:r>
      <w:r w:rsidRPr="0083678C">
        <w:rPr>
          <w:rFonts w:ascii="Book Antiqua" w:hAnsi="Book Antiqua" w:cs="Times New Roman"/>
          <w:color w:val="000000" w:themeColor="text1"/>
          <w:sz w:val="24"/>
          <w:szCs w:val="24"/>
        </w:rPr>
        <w:t>, Kim N, Lee HS, Choe G, Jo SY, Chon I, Choi C, Yoon H, Shin CM, Park YS, Lee DH, Jung HC. Correlation between Endoscopic and Histological Diagnoses of Gastric Intestinal Metaplasia. </w:t>
      </w:r>
      <w:r w:rsidRPr="0083678C">
        <w:rPr>
          <w:rFonts w:ascii="Book Antiqua" w:hAnsi="Book Antiqua" w:cs="Times New Roman"/>
          <w:i/>
          <w:iCs/>
          <w:color w:val="000000" w:themeColor="text1"/>
          <w:sz w:val="24"/>
          <w:szCs w:val="24"/>
        </w:rPr>
        <w:t>Gut Liver</w:t>
      </w:r>
      <w:r w:rsidRPr="0083678C">
        <w:rPr>
          <w:rFonts w:ascii="Book Antiqua" w:hAnsi="Book Antiqua" w:cs="Times New Roman"/>
          <w:color w:val="000000" w:themeColor="text1"/>
          <w:sz w:val="24"/>
          <w:szCs w:val="24"/>
        </w:rPr>
        <w:t> 2013; </w:t>
      </w:r>
      <w:r w:rsidRPr="0083678C">
        <w:rPr>
          <w:rFonts w:ascii="Book Antiqua" w:hAnsi="Book Antiqua" w:cs="Times New Roman"/>
          <w:b/>
          <w:bCs/>
          <w:color w:val="000000" w:themeColor="text1"/>
          <w:sz w:val="24"/>
          <w:szCs w:val="24"/>
        </w:rPr>
        <w:t>7</w:t>
      </w:r>
      <w:r w:rsidRPr="0083678C">
        <w:rPr>
          <w:rFonts w:ascii="Book Antiqua" w:hAnsi="Book Antiqua" w:cs="Times New Roman"/>
          <w:color w:val="000000" w:themeColor="text1"/>
          <w:sz w:val="24"/>
          <w:szCs w:val="24"/>
        </w:rPr>
        <w:t>: 41-50 [PMID: 23423616 DOI: 10.5009/gnl.2013.7.1.41]</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48 </w:t>
      </w:r>
      <w:r w:rsidRPr="0083678C">
        <w:rPr>
          <w:rFonts w:ascii="Book Antiqua" w:hAnsi="Book Antiqua" w:cs="Times New Roman"/>
          <w:b/>
          <w:bCs/>
          <w:color w:val="000000" w:themeColor="text1"/>
          <w:sz w:val="24"/>
          <w:szCs w:val="24"/>
        </w:rPr>
        <w:t>Panteris V</w:t>
      </w:r>
      <w:r w:rsidRPr="0083678C">
        <w:rPr>
          <w:rFonts w:ascii="Book Antiqua" w:hAnsi="Book Antiqua" w:cs="Times New Roman"/>
          <w:color w:val="000000" w:themeColor="text1"/>
          <w:sz w:val="24"/>
          <w:szCs w:val="24"/>
        </w:rPr>
        <w:t>, Nikolopoulou S, Lountou A, Triantafillidis JK. Diagnostic capabilities of high-definition white light endoscopy for the diagnosis of gastric intestinal metaplasia and correlation with histologic and clinical data. </w:t>
      </w:r>
      <w:r w:rsidRPr="0083678C">
        <w:rPr>
          <w:rFonts w:ascii="Book Antiqua" w:hAnsi="Book Antiqua" w:cs="Times New Roman"/>
          <w:i/>
          <w:iCs/>
          <w:color w:val="000000" w:themeColor="text1"/>
          <w:sz w:val="24"/>
          <w:szCs w:val="24"/>
        </w:rPr>
        <w:t>Eur J Gastroenterol Hepatol</w:t>
      </w:r>
      <w:r w:rsidRPr="0083678C">
        <w:rPr>
          <w:rFonts w:ascii="Book Antiqua" w:hAnsi="Book Antiqua" w:cs="Times New Roman"/>
          <w:color w:val="000000" w:themeColor="text1"/>
          <w:sz w:val="24"/>
          <w:szCs w:val="24"/>
        </w:rPr>
        <w:t> 2014; </w:t>
      </w:r>
      <w:r w:rsidRPr="0083678C">
        <w:rPr>
          <w:rFonts w:ascii="Book Antiqua" w:hAnsi="Book Antiqua" w:cs="Times New Roman"/>
          <w:b/>
          <w:bCs/>
          <w:color w:val="000000" w:themeColor="text1"/>
          <w:sz w:val="24"/>
          <w:szCs w:val="24"/>
        </w:rPr>
        <w:t>26</w:t>
      </w:r>
      <w:r w:rsidRPr="0083678C">
        <w:rPr>
          <w:rFonts w:ascii="Book Antiqua" w:hAnsi="Book Antiqua" w:cs="Times New Roman"/>
          <w:color w:val="000000" w:themeColor="text1"/>
          <w:sz w:val="24"/>
          <w:szCs w:val="24"/>
        </w:rPr>
        <w:t>: 594-601 [PMID: 24743505 DOI: 10.1097/MEG.0000000000000097]</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49 </w:t>
      </w:r>
      <w:r w:rsidRPr="0083678C">
        <w:rPr>
          <w:rFonts w:ascii="Book Antiqua" w:hAnsi="Book Antiqua" w:cs="Times New Roman"/>
          <w:b/>
          <w:bCs/>
          <w:color w:val="000000" w:themeColor="text1"/>
          <w:sz w:val="24"/>
          <w:szCs w:val="24"/>
        </w:rPr>
        <w:t>Ang TL</w:t>
      </w:r>
      <w:r w:rsidRPr="0083678C">
        <w:rPr>
          <w:rFonts w:ascii="Book Antiqua" w:hAnsi="Book Antiqua" w:cs="Times New Roman"/>
          <w:color w:val="000000" w:themeColor="text1"/>
          <w:sz w:val="24"/>
          <w:szCs w:val="24"/>
        </w:rPr>
        <w:t>, Pittayanon R, Lau JY, Rerknimitr R, Ho SH, Singh R, Kwek AB, Ang DS, Chiu PW, Luk S, Goh KL, Ong JP, Tan JY, Teo EK, Fock KM. A multicenter randomized comparison between high-definition white light endoscopy and narrow band imaging for detection of gastric lesions. </w:t>
      </w:r>
      <w:r w:rsidRPr="0083678C">
        <w:rPr>
          <w:rFonts w:ascii="Book Antiqua" w:hAnsi="Book Antiqua" w:cs="Times New Roman"/>
          <w:i/>
          <w:iCs/>
          <w:color w:val="000000" w:themeColor="text1"/>
          <w:sz w:val="24"/>
          <w:szCs w:val="24"/>
        </w:rPr>
        <w:t>Eur J Gastroenterol Hepatol</w:t>
      </w:r>
      <w:r w:rsidRPr="0083678C">
        <w:rPr>
          <w:rFonts w:ascii="Book Antiqua" w:hAnsi="Book Antiqua" w:cs="Times New Roman"/>
          <w:color w:val="000000" w:themeColor="text1"/>
          <w:sz w:val="24"/>
          <w:szCs w:val="24"/>
        </w:rPr>
        <w:t> 2015; </w:t>
      </w:r>
      <w:r w:rsidRPr="0083678C">
        <w:rPr>
          <w:rFonts w:ascii="Book Antiqua" w:hAnsi="Book Antiqua" w:cs="Times New Roman"/>
          <w:b/>
          <w:bCs/>
          <w:color w:val="000000" w:themeColor="text1"/>
          <w:sz w:val="24"/>
          <w:szCs w:val="24"/>
        </w:rPr>
        <w:t>27</w:t>
      </w:r>
      <w:r w:rsidRPr="0083678C">
        <w:rPr>
          <w:rFonts w:ascii="Book Antiqua" w:hAnsi="Book Antiqua" w:cs="Times New Roman"/>
          <w:color w:val="000000" w:themeColor="text1"/>
          <w:sz w:val="24"/>
          <w:szCs w:val="24"/>
        </w:rPr>
        <w:t>: 1473-1478 [PMID: 26426836 DOI: 10.1097/MEG.0000000000000478]</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50 </w:t>
      </w:r>
      <w:r w:rsidRPr="0083678C">
        <w:rPr>
          <w:rFonts w:ascii="Book Antiqua" w:hAnsi="Book Antiqua" w:cs="Times New Roman"/>
          <w:b/>
          <w:bCs/>
          <w:color w:val="000000" w:themeColor="text1"/>
          <w:sz w:val="24"/>
          <w:szCs w:val="24"/>
        </w:rPr>
        <w:t>Chiu PWY</w:t>
      </w:r>
      <w:r w:rsidRPr="0083678C">
        <w:rPr>
          <w:rFonts w:ascii="Book Antiqua" w:hAnsi="Book Antiqua" w:cs="Times New Roman"/>
          <w:color w:val="000000" w:themeColor="text1"/>
          <w:sz w:val="24"/>
          <w:szCs w:val="24"/>
        </w:rPr>
        <w:t>, Uedo N, Singh R, Gotoda T, Ng EKW, Yao K, Ang TL, Ho SH, Kikuchi D, Yao F, Pittayanon R, Goda K, Lau JYW, Tajiri H, Inoue H. An Asian consensus on standards of diagnostic upper endoscopy for neoplasia. </w:t>
      </w:r>
      <w:r w:rsidRPr="0083678C">
        <w:rPr>
          <w:rFonts w:ascii="Book Antiqua" w:hAnsi="Book Antiqua" w:cs="Times New Roman"/>
          <w:i/>
          <w:iCs/>
          <w:color w:val="000000" w:themeColor="text1"/>
          <w:sz w:val="24"/>
          <w:szCs w:val="24"/>
        </w:rPr>
        <w:t>Gut</w:t>
      </w:r>
      <w:r w:rsidRPr="0083678C">
        <w:rPr>
          <w:rFonts w:ascii="Book Antiqua" w:hAnsi="Book Antiqua" w:cs="Times New Roman"/>
          <w:color w:val="000000" w:themeColor="text1"/>
          <w:sz w:val="24"/>
          <w:szCs w:val="24"/>
        </w:rPr>
        <w:t> 2019; </w:t>
      </w:r>
      <w:r w:rsidRPr="0083678C">
        <w:rPr>
          <w:rFonts w:ascii="Book Antiqua" w:hAnsi="Book Antiqua" w:cs="Times New Roman"/>
          <w:b/>
          <w:bCs/>
          <w:color w:val="000000" w:themeColor="text1"/>
          <w:sz w:val="24"/>
          <w:szCs w:val="24"/>
        </w:rPr>
        <w:t>68</w:t>
      </w:r>
      <w:r w:rsidRPr="0083678C">
        <w:rPr>
          <w:rFonts w:ascii="Book Antiqua" w:hAnsi="Book Antiqua" w:cs="Times New Roman"/>
          <w:color w:val="000000" w:themeColor="text1"/>
          <w:sz w:val="24"/>
          <w:szCs w:val="24"/>
        </w:rPr>
        <w:t>: 186-197 [PMID: 30420400 DOI: 10.1136/gutjnl-2018-317111]</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51 </w:t>
      </w:r>
      <w:r w:rsidR="00E12493" w:rsidRPr="0083678C">
        <w:rPr>
          <w:rFonts w:ascii="Book Antiqua" w:hAnsi="Book Antiqua" w:cs="Times New Roman"/>
          <w:b/>
          <w:bCs/>
          <w:color w:val="000000" w:themeColor="text1"/>
          <w:sz w:val="24"/>
          <w:szCs w:val="24"/>
        </w:rPr>
        <w:t>Uedo N</w:t>
      </w:r>
      <w:r w:rsidR="00E12493" w:rsidRPr="0083678C">
        <w:rPr>
          <w:rFonts w:ascii="Book Antiqua" w:hAnsi="Book Antiqua" w:cs="Times New Roman"/>
          <w:color w:val="000000" w:themeColor="text1"/>
          <w:sz w:val="24"/>
          <w:szCs w:val="24"/>
        </w:rPr>
        <w:t>, Ishihara R, Iishi H, Yamamoto S, Yamamoto S, Yamada T, Imanaka K, Takeuchi Y, Higashino K, Ishiguro S, Tatsuta M. A new method of diagnosing gastric intestinal metaplasia: narrow-band imaging with magnifying endoscopy. </w:t>
      </w:r>
      <w:r w:rsidR="00E12493" w:rsidRPr="0083678C">
        <w:rPr>
          <w:rFonts w:ascii="Book Antiqua" w:hAnsi="Book Antiqua" w:cs="Times New Roman"/>
          <w:i/>
          <w:iCs/>
          <w:color w:val="000000" w:themeColor="text1"/>
          <w:sz w:val="24"/>
          <w:szCs w:val="24"/>
        </w:rPr>
        <w:t>Endoscopy</w:t>
      </w:r>
      <w:r w:rsidR="00E12493" w:rsidRPr="0083678C">
        <w:rPr>
          <w:rFonts w:ascii="Book Antiqua" w:hAnsi="Book Antiqua" w:cs="Times New Roman"/>
          <w:color w:val="000000" w:themeColor="text1"/>
          <w:sz w:val="24"/>
          <w:szCs w:val="24"/>
        </w:rPr>
        <w:t> 2006; </w:t>
      </w:r>
      <w:r w:rsidR="00E12493" w:rsidRPr="0083678C">
        <w:rPr>
          <w:rFonts w:ascii="Book Antiqua" w:hAnsi="Book Antiqua" w:cs="Times New Roman"/>
          <w:b/>
          <w:bCs/>
          <w:color w:val="000000" w:themeColor="text1"/>
          <w:sz w:val="24"/>
          <w:szCs w:val="24"/>
        </w:rPr>
        <w:t>38</w:t>
      </w:r>
      <w:r w:rsidR="00E12493" w:rsidRPr="0083678C">
        <w:rPr>
          <w:rFonts w:ascii="Book Antiqua" w:hAnsi="Book Antiqua" w:cs="Times New Roman"/>
          <w:color w:val="000000" w:themeColor="text1"/>
          <w:sz w:val="24"/>
          <w:szCs w:val="24"/>
        </w:rPr>
        <w:t>: 819-824 [PMID: 17001572 DOI: 10.1055/s-2006-944632]</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52 </w:t>
      </w:r>
      <w:r w:rsidRPr="0083678C">
        <w:rPr>
          <w:rFonts w:ascii="Book Antiqua" w:hAnsi="Book Antiqua" w:cs="Times New Roman"/>
          <w:b/>
          <w:bCs/>
          <w:color w:val="000000" w:themeColor="text1"/>
          <w:sz w:val="24"/>
          <w:szCs w:val="24"/>
        </w:rPr>
        <w:t>Wang L</w:t>
      </w:r>
      <w:r w:rsidRPr="0083678C">
        <w:rPr>
          <w:rFonts w:ascii="Book Antiqua" w:hAnsi="Book Antiqua" w:cs="Times New Roman"/>
          <w:color w:val="000000" w:themeColor="text1"/>
          <w:sz w:val="24"/>
          <w:szCs w:val="24"/>
        </w:rPr>
        <w:t>, Huang W, Du J, Chen Y, Yang J. Diagnostic yield of the light blue crest sign in gastric intestinal metaplasia: a meta-analysis. </w:t>
      </w:r>
      <w:r w:rsidRPr="0083678C">
        <w:rPr>
          <w:rFonts w:ascii="Book Antiqua" w:hAnsi="Book Antiqua" w:cs="Times New Roman"/>
          <w:i/>
          <w:iCs/>
          <w:color w:val="000000" w:themeColor="text1"/>
          <w:sz w:val="24"/>
          <w:szCs w:val="24"/>
        </w:rPr>
        <w:t>PLoS One</w:t>
      </w:r>
      <w:r w:rsidRPr="0083678C">
        <w:rPr>
          <w:rFonts w:ascii="Book Antiqua" w:hAnsi="Book Antiqua" w:cs="Times New Roman"/>
          <w:color w:val="000000" w:themeColor="text1"/>
          <w:sz w:val="24"/>
          <w:szCs w:val="24"/>
        </w:rPr>
        <w:t> 2014; </w:t>
      </w:r>
      <w:r w:rsidRPr="0083678C">
        <w:rPr>
          <w:rFonts w:ascii="Book Antiqua" w:hAnsi="Book Antiqua" w:cs="Times New Roman"/>
          <w:b/>
          <w:bCs/>
          <w:color w:val="000000" w:themeColor="text1"/>
          <w:sz w:val="24"/>
          <w:szCs w:val="24"/>
        </w:rPr>
        <w:t>9</w:t>
      </w:r>
      <w:r w:rsidRPr="0083678C">
        <w:rPr>
          <w:rFonts w:ascii="Book Antiqua" w:hAnsi="Book Antiqua" w:cs="Times New Roman"/>
          <w:color w:val="000000" w:themeColor="text1"/>
          <w:sz w:val="24"/>
          <w:szCs w:val="24"/>
        </w:rPr>
        <w:t>: e92874 [PMID: 24658503 DOI: 10.1371/journal.pone.0092874]</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53 </w:t>
      </w:r>
      <w:r w:rsidRPr="0083678C">
        <w:rPr>
          <w:rFonts w:ascii="Book Antiqua" w:hAnsi="Book Antiqua" w:cs="Times New Roman"/>
          <w:b/>
          <w:bCs/>
          <w:color w:val="000000" w:themeColor="text1"/>
          <w:sz w:val="24"/>
          <w:szCs w:val="24"/>
        </w:rPr>
        <w:t>Saka A</w:t>
      </w:r>
      <w:r w:rsidRPr="0083678C">
        <w:rPr>
          <w:rFonts w:ascii="Book Antiqua" w:hAnsi="Book Antiqua" w:cs="Times New Roman"/>
          <w:color w:val="000000" w:themeColor="text1"/>
          <w:sz w:val="24"/>
          <w:szCs w:val="24"/>
        </w:rPr>
        <w:t>, Yagi K, Nimura S. OLGA- and OLGIM-based staging of gastritis using narrow-band imaging magnifying endoscopy. </w:t>
      </w:r>
      <w:r w:rsidRPr="0083678C">
        <w:rPr>
          <w:rFonts w:ascii="Book Antiqua" w:hAnsi="Book Antiqua" w:cs="Times New Roman"/>
          <w:i/>
          <w:iCs/>
          <w:color w:val="000000" w:themeColor="text1"/>
          <w:sz w:val="24"/>
          <w:szCs w:val="24"/>
        </w:rPr>
        <w:t>Dig Endosc</w:t>
      </w:r>
      <w:r w:rsidRPr="0083678C">
        <w:rPr>
          <w:rFonts w:ascii="Book Antiqua" w:hAnsi="Book Antiqua" w:cs="Times New Roman"/>
          <w:color w:val="000000" w:themeColor="text1"/>
          <w:sz w:val="24"/>
          <w:szCs w:val="24"/>
        </w:rPr>
        <w:t> 2015; </w:t>
      </w:r>
      <w:r w:rsidRPr="0083678C">
        <w:rPr>
          <w:rFonts w:ascii="Book Antiqua" w:hAnsi="Book Antiqua" w:cs="Times New Roman"/>
          <w:b/>
          <w:bCs/>
          <w:color w:val="000000" w:themeColor="text1"/>
          <w:sz w:val="24"/>
          <w:szCs w:val="24"/>
        </w:rPr>
        <w:t>27</w:t>
      </w:r>
      <w:r w:rsidRPr="0083678C">
        <w:rPr>
          <w:rFonts w:ascii="Book Antiqua" w:hAnsi="Book Antiqua" w:cs="Times New Roman"/>
          <w:color w:val="000000" w:themeColor="text1"/>
          <w:sz w:val="24"/>
          <w:szCs w:val="24"/>
        </w:rPr>
        <w:t>: 734-741 [PMID: 25923666 DOI: 10.1111/den.12483]</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54 </w:t>
      </w:r>
      <w:r w:rsidRPr="0083678C">
        <w:rPr>
          <w:rFonts w:ascii="Book Antiqua" w:hAnsi="Book Antiqua" w:cs="Times New Roman"/>
          <w:b/>
          <w:bCs/>
          <w:color w:val="000000" w:themeColor="text1"/>
          <w:sz w:val="24"/>
          <w:szCs w:val="24"/>
        </w:rPr>
        <w:t>Pimentel-Nunes P</w:t>
      </w:r>
      <w:r w:rsidRPr="0083678C">
        <w:rPr>
          <w:rFonts w:ascii="Book Antiqua" w:hAnsi="Book Antiqua" w:cs="Times New Roman"/>
          <w:color w:val="000000" w:themeColor="text1"/>
          <w:sz w:val="24"/>
          <w:szCs w:val="24"/>
        </w:rPr>
        <w:t>, Dinis-Ribeiro M, Soares JB, Marcos-Pinto R, Santos C, Rolanda C, Bastos RP, Areia M, Afonso L, Bergman J, Sharma P, Gotoda T, Henrique R, Moreira-</w:t>
      </w:r>
      <w:r w:rsidRPr="0083678C">
        <w:rPr>
          <w:rFonts w:ascii="Book Antiqua" w:hAnsi="Book Antiqua" w:cs="Times New Roman"/>
          <w:color w:val="000000" w:themeColor="text1"/>
          <w:sz w:val="24"/>
          <w:szCs w:val="24"/>
        </w:rPr>
        <w:lastRenderedPageBreak/>
        <w:t>Dias L. A multicenter validation of an endoscopic classification with narrow band imaging for gastric precancerous and cancerous lesions. </w:t>
      </w:r>
      <w:r w:rsidRPr="0083678C">
        <w:rPr>
          <w:rFonts w:ascii="Book Antiqua" w:hAnsi="Book Antiqua" w:cs="Times New Roman"/>
          <w:i/>
          <w:iCs/>
          <w:color w:val="000000" w:themeColor="text1"/>
          <w:sz w:val="24"/>
          <w:szCs w:val="24"/>
        </w:rPr>
        <w:t>Endoscopy</w:t>
      </w:r>
      <w:r w:rsidRPr="0083678C">
        <w:rPr>
          <w:rFonts w:ascii="Book Antiqua" w:hAnsi="Book Antiqua" w:cs="Times New Roman"/>
          <w:color w:val="000000" w:themeColor="text1"/>
          <w:sz w:val="24"/>
          <w:szCs w:val="24"/>
        </w:rPr>
        <w:t> 2012; </w:t>
      </w:r>
      <w:r w:rsidRPr="0083678C">
        <w:rPr>
          <w:rFonts w:ascii="Book Antiqua" w:hAnsi="Book Antiqua" w:cs="Times New Roman"/>
          <w:b/>
          <w:bCs/>
          <w:color w:val="000000" w:themeColor="text1"/>
          <w:sz w:val="24"/>
          <w:szCs w:val="24"/>
        </w:rPr>
        <w:t>44</w:t>
      </w:r>
      <w:r w:rsidRPr="0083678C">
        <w:rPr>
          <w:rFonts w:ascii="Book Antiqua" w:hAnsi="Book Antiqua" w:cs="Times New Roman"/>
          <w:color w:val="000000" w:themeColor="text1"/>
          <w:sz w:val="24"/>
          <w:szCs w:val="24"/>
        </w:rPr>
        <w:t>: 236-246 [PMID: 22294194 DOI: 10.1055/s-0031-1291537]</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55 </w:t>
      </w:r>
      <w:r w:rsidRPr="0083678C">
        <w:rPr>
          <w:rFonts w:ascii="Book Antiqua" w:hAnsi="Book Antiqua" w:cs="Times New Roman"/>
          <w:b/>
          <w:bCs/>
          <w:color w:val="000000" w:themeColor="text1"/>
          <w:sz w:val="24"/>
          <w:szCs w:val="24"/>
        </w:rPr>
        <w:t>Pimentel-Nunes P</w:t>
      </w:r>
      <w:r w:rsidRPr="0083678C">
        <w:rPr>
          <w:rFonts w:ascii="Book Antiqua" w:hAnsi="Book Antiqua" w:cs="Times New Roman"/>
          <w:color w:val="000000" w:themeColor="text1"/>
          <w:sz w:val="24"/>
          <w:szCs w:val="24"/>
        </w:rPr>
        <w:t>, Libânio D, Lage J, Abrantes D, Coimbra M, Esposito G, Hormozdi D, Pepper M, Drasovean S, White JR, Dobru D, Buxbaum J, Ragunath K, Annibale B, Dinis-Ribeiro M. A multicenter prospective study of the real-time use of narrow-band imaging in the diagnosis of premalignant gastric conditions and lesions. </w:t>
      </w:r>
      <w:r w:rsidRPr="0083678C">
        <w:rPr>
          <w:rFonts w:ascii="Book Antiqua" w:hAnsi="Book Antiqua" w:cs="Times New Roman"/>
          <w:i/>
          <w:iCs/>
          <w:color w:val="000000" w:themeColor="text1"/>
          <w:sz w:val="24"/>
          <w:szCs w:val="24"/>
        </w:rPr>
        <w:t>Endoscopy</w:t>
      </w:r>
      <w:r w:rsidRPr="0083678C">
        <w:rPr>
          <w:rFonts w:ascii="Book Antiqua" w:hAnsi="Book Antiqua" w:cs="Times New Roman"/>
          <w:color w:val="000000" w:themeColor="text1"/>
          <w:sz w:val="24"/>
          <w:szCs w:val="24"/>
        </w:rPr>
        <w:t> 2016; </w:t>
      </w:r>
      <w:r w:rsidRPr="0083678C">
        <w:rPr>
          <w:rFonts w:ascii="Book Antiqua" w:hAnsi="Book Antiqua" w:cs="Times New Roman"/>
          <w:b/>
          <w:bCs/>
          <w:color w:val="000000" w:themeColor="text1"/>
          <w:sz w:val="24"/>
          <w:szCs w:val="24"/>
        </w:rPr>
        <w:t>48</w:t>
      </w:r>
      <w:r w:rsidRPr="0083678C">
        <w:rPr>
          <w:rFonts w:ascii="Book Antiqua" w:hAnsi="Book Antiqua" w:cs="Times New Roman"/>
          <w:color w:val="000000" w:themeColor="text1"/>
          <w:sz w:val="24"/>
          <w:szCs w:val="24"/>
        </w:rPr>
        <w:t>: 723-730 [PMID: 27280384 DOI: 10.1055/s-0042-108435]</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56 </w:t>
      </w:r>
      <w:r w:rsidRPr="0083678C">
        <w:rPr>
          <w:rFonts w:ascii="Book Antiqua" w:hAnsi="Book Antiqua" w:cs="Times New Roman"/>
          <w:b/>
          <w:bCs/>
          <w:color w:val="000000" w:themeColor="text1"/>
          <w:sz w:val="24"/>
          <w:szCs w:val="24"/>
        </w:rPr>
        <w:t>Esposito G</w:t>
      </w:r>
      <w:r w:rsidRPr="0083678C">
        <w:rPr>
          <w:rFonts w:ascii="Book Antiqua" w:hAnsi="Book Antiqua" w:cs="Times New Roman"/>
          <w:color w:val="000000" w:themeColor="text1"/>
          <w:sz w:val="24"/>
          <w:szCs w:val="24"/>
        </w:rPr>
        <w:t>, Pimentel-Nunes P, Angeletti S, Castro R, Libânio D, Galli G, Lahner E, Di Giulio E, Annibale B, Dinis-Ribeiro M. Endoscopic grading of gastric intestinal metaplasia (EGGIM): a multicenter validation study. </w:t>
      </w:r>
      <w:r w:rsidRPr="0083678C">
        <w:rPr>
          <w:rFonts w:ascii="Book Antiqua" w:hAnsi="Book Antiqua" w:cs="Times New Roman"/>
          <w:i/>
          <w:iCs/>
          <w:color w:val="000000" w:themeColor="text1"/>
          <w:sz w:val="24"/>
          <w:szCs w:val="24"/>
        </w:rPr>
        <w:t>Endoscopy</w:t>
      </w:r>
      <w:r w:rsidRPr="0083678C">
        <w:rPr>
          <w:rFonts w:ascii="Book Antiqua" w:hAnsi="Book Antiqua" w:cs="Times New Roman"/>
          <w:color w:val="000000" w:themeColor="text1"/>
          <w:sz w:val="24"/>
          <w:szCs w:val="24"/>
        </w:rPr>
        <w:t> 2019; </w:t>
      </w:r>
      <w:r w:rsidRPr="0083678C">
        <w:rPr>
          <w:rFonts w:ascii="Book Antiqua" w:hAnsi="Book Antiqua" w:cs="Times New Roman"/>
          <w:b/>
          <w:bCs/>
          <w:color w:val="000000" w:themeColor="text1"/>
          <w:sz w:val="24"/>
          <w:szCs w:val="24"/>
        </w:rPr>
        <w:t>51</w:t>
      </w:r>
      <w:r w:rsidRPr="0083678C">
        <w:rPr>
          <w:rFonts w:ascii="Book Antiqua" w:hAnsi="Book Antiqua" w:cs="Times New Roman"/>
          <w:color w:val="000000" w:themeColor="text1"/>
          <w:sz w:val="24"/>
          <w:szCs w:val="24"/>
        </w:rPr>
        <w:t>: 515-521 [PMID: 30577062 DOI: 10.1055/a-0808-3186]</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57 </w:t>
      </w:r>
      <w:r w:rsidRPr="0083678C">
        <w:rPr>
          <w:rFonts w:ascii="Book Antiqua" w:hAnsi="Book Antiqua" w:cs="Times New Roman"/>
          <w:b/>
          <w:bCs/>
          <w:color w:val="000000" w:themeColor="text1"/>
          <w:sz w:val="24"/>
          <w:szCs w:val="24"/>
        </w:rPr>
        <w:t>Miki K</w:t>
      </w:r>
      <w:r w:rsidRPr="0083678C">
        <w:rPr>
          <w:rFonts w:ascii="Book Antiqua" w:hAnsi="Book Antiqua" w:cs="Times New Roman"/>
          <w:color w:val="000000" w:themeColor="text1"/>
          <w:sz w:val="24"/>
          <w:szCs w:val="24"/>
        </w:rPr>
        <w:t>. Gastric cancer screening using the serum pepsinogen test method. </w:t>
      </w:r>
      <w:r w:rsidRPr="0083678C">
        <w:rPr>
          <w:rFonts w:ascii="Book Antiqua" w:hAnsi="Book Antiqua" w:cs="Times New Roman"/>
          <w:i/>
          <w:iCs/>
          <w:color w:val="000000" w:themeColor="text1"/>
          <w:sz w:val="24"/>
          <w:szCs w:val="24"/>
        </w:rPr>
        <w:t>Gastric Cancer</w:t>
      </w:r>
      <w:r w:rsidRPr="0083678C">
        <w:rPr>
          <w:rFonts w:ascii="Book Antiqua" w:hAnsi="Book Antiqua" w:cs="Times New Roman"/>
          <w:color w:val="000000" w:themeColor="text1"/>
          <w:sz w:val="24"/>
          <w:szCs w:val="24"/>
        </w:rPr>
        <w:t> 2006; </w:t>
      </w:r>
      <w:r w:rsidRPr="0083678C">
        <w:rPr>
          <w:rFonts w:ascii="Book Antiqua" w:hAnsi="Book Antiqua" w:cs="Times New Roman"/>
          <w:b/>
          <w:bCs/>
          <w:color w:val="000000" w:themeColor="text1"/>
          <w:sz w:val="24"/>
          <w:szCs w:val="24"/>
        </w:rPr>
        <w:t>9</w:t>
      </w:r>
      <w:r w:rsidRPr="0083678C">
        <w:rPr>
          <w:rFonts w:ascii="Book Antiqua" w:hAnsi="Book Antiqua" w:cs="Times New Roman"/>
          <w:color w:val="000000" w:themeColor="text1"/>
          <w:sz w:val="24"/>
          <w:szCs w:val="24"/>
        </w:rPr>
        <w:t>: 245-253 [PMID: 17235625 DOI: 10.1007/s10120-006-0397-0]</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58 </w:t>
      </w:r>
      <w:r w:rsidRPr="0083678C">
        <w:rPr>
          <w:rFonts w:ascii="Book Antiqua" w:hAnsi="Book Antiqua" w:cs="Times New Roman"/>
          <w:b/>
          <w:bCs/>
          <w:color w:val="000000" w:themeColor="text1"/>
          <w:sz w:val="24"/>
          <w:szCs w:val="24"/>
        </w:rPr>
        <w:t>Zagari RM</w:t>
      </w:r>
      <w:r w:rsidRPr="0083678C">
        <w:rPr>
          <w:rFonts w:ascii="Book Antiqua" w:hAnsi="Book Antiqua" w:cs="Times New Roman"/>
          <w:color w:val="000000" w:themeColor="text1"/>
          <w:sz w:val="24"/>
          <w:szCs w:val="24"/>
        </w:rPr>
        <w:t>, Rabitti S, Greenwood DC, Eusebi LH, Vestito A, Bazzoli F. Systematic review with meta-analysis: diagnostic performance of the combination of pepsinogen, gastrin-17 and anti-Helicobacter pylori antibodies serum assays for the diagnosis of atrophic gastritis. </w:t>
      </w:r>
      <w:r w:rsidRPr="0083678C">
        <w:rPr>
          <w:rFonts w:ascii="Book Antiqua" w:hAnsi="Book Antiqua" w:cs="Times New Roman"/>
          <w:i/>
          <w:iCs/>
          <w:color w:val="000000" w:themeColor="text1"/>
          <w:sz w:val="24"/>
          <w:szCs w:val="24"/>
        </w:rPr>
        <w:t>Aliment Pharmacol Ther</w:t>
      </w:r>
      <w:r w:rsidRPr="0083678C">
        <w:rPr>
          <w:rFonts w:ascii="Book Antiqua" w:hAnsi="Book Antiqua" w:cs="Times New Roman"/>
          <w:color w:val="000000" w:themeColor="text1"/>
          <w:sz w:val="24"/>
          <w:szCs w:val="24"/>
        </w:rPr>
        <w:t> 2017; </w:t>
      </w:r>
      <w:r w:rsidRPr="0083678C">
        <w:rPr>
          <w:rFonts w:ascii="Book Antiqua" w:hAnsi="Book Antiqua" w:cs="Times New Roman"/>
          <w:b/>
          <w:bCs/>
          <w:color w:val="000000" w:themeColor="text1"/>
          <w:sz w:val="24"/>
          <w:szCs w:val="24"/>
        </w:rPr>
        <w:t>46</w:t>
      </w:r>
      <w:r w:rsidRPr="0083678C">
        <w:rPr>
          <w:rFonts w:ascii="Book Antiqua" w:hAnsi="Book Antiqua" w:cs="Times New Roman"/>
          <w:color w:val="000000" w:themeColor="text1"/>
          <w:sz w:val="24"/>
          <w:szCs w:val="24"/>
        </w:rPr>
        <w:t>: 657-667 [PMID: 28782119 DOI: 10.1111/apt.14248]</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59 </w:t>
      </w:r>
      <w:r w:rsidRPr="0083678C">
        <w:rPr>
          <w:rFonts w:ascii="Book Antiqua" w:hAnsi="Book Antiqua" w:cs="Times New Roman"/>
          <w:b/>
          <w:bCs/>
          <w:color w:val="000000" w:themeColor="text1"/>
          <w:sz w:val="24"/>
          <w:szCs w:val="24"/>
        </w:rPr>
        <w:t>Broutet N</w:t>
      </w:r>
      <w:r w:rsidRPr="0083678C">
        <w:rPr>
          <w:rFonts w:ascii="Book Antiqua" w:hAnsi="Book Antiqua" w:cs="Times New Roman"/>
          <w:color w:val="000000" w:themeColor="text1"/>
          <w:sz w:val="24"/>
          <w:szCs w:val="24"/>
        </w:rPr>
        <w:t>, Plebani M, Sakarovitch C, Sipponen P, Mégraud F; Eurohepygast Study Group. Pepsinogen A, pepsinogen C, and gastrin as markers of atrophic chronic gastritis in European dyspeptics. </w:t>
      </w:r>
      <w:r w:rsidRPr="0083678C">
        <w:rPr>
          <w:rFonts w:ascii="Book Antiqua" w:hAnsi="Book Antiqua" w:cs="Times New Roman"/>
          <w:i/>
          <w:iCs/>
          <w:color w:val="000000" w:themeColor="text1"/>
          <w:sz w:val="24"/>
          <w:szCs w:val="24"/>
        </w:rPr>
        <w:t>Br J Cancer</w:t>
      </w:r>
      <w:r w:rsidRPr="0083678C">
        <w:rPr>
          <w:rFonts w:ascii="Book Antiqua" w:hAnsi="Book Antiqua" w:cs="Times New Roman"/>
          <w:color w:val="000000" w:themeColor="text1"/>
          <w:sz w:val="24"/>
          <w:szCs w:val="24"/>
        </w:rPr>
        <w:t> 2003; </w:t>
      </w:r>
      <w:r w:rsidRPr="0083678C">
        <w:rPr>
          <w:rFonts w:ascii="Book Antiqua" w:hAnsi="Book Antiqua" w:cs="Times New Roman"/>
          <w:b/>
          <w:bCs/>
          <w:color w:val="000000" w:themeColor="text1"/>
          <w:sz w:val="24"/>
          <w:szCs w:val="24"/>
        </w:rPr>
        <w:t>88</w:t>
      </w:r>
      <w:r w:rsidRPr="0083678C">
        <w:rPr>
          <w:rFonts w:ascii="Book Antiqua" w:hAnsi="Book Antiqua" w:cs="Times New Roman"/>
          <w:color w:val="000000" w:themeColor="text1"/>
          <w:sz w:val="24"/>
          <w:szCs w:val="24"/>
        </w:rPr>
        <w:t>: 1239-1247 [PMID: 12698190 DOI: 10.1038/sj.bjc.6600877]</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60 </w:t>
      </w:r>
      <w:r w:rsidRPr="0083678C">
        <w:rPr>
          <w:rFonts w:ascii="Book Antiqua" w:hAnsi="Book Antiqua" w:cs="Times New Roman"/>
          <w:b/>
          <w:bCs/>
          <w:color w:val="000000" w:themeColor="text1"/>
          <w:sz w:val="24"/>
          <w:szCs w:val="24"/>
        </w:rPr>
        <w:t>Lomba-Viana R</w:t>
      </w:r>
      <w:r w:rsidRPr="0083678C">
        <w:rPr>
          <w:rFonts w:ascii="Book Antiqua" w:hAnsi="Book Antiqua" w:cs="Times New Roman"/>
          <w:color w:val="000000" w:themeColor="text1"/>
          <w:sz w:val="24"/>
          <w:szCs w:val="24"/>
        </w:rPr>
        <w:t>, Dinis-Ribeiro M, Fonseca F, Vieira AS, Bento MJ, Lomba-Viana H. Serum pepsinogen test for early detection of gastric cancer in a European country. </w:t>
      </w:r>
      <w:r w:rsidRPr="0083678C">
        <w:rPr>
          <w:rFonts w:ascii="Book Antiqua" w:hAnsi="Book Antiqua" w:cs="Times New Roman"/>
          <w:i/>
          <w:iCs/>
          <w:color w:val="000000" w:themeColor="text1"/>
          <w:sz w:val="24"/>
          <w:szCs w:val="24"/>
        </w:rPr>
        <w:t>Eur J Gastroenterol Hepatol</w:t>
      </w:r>
      <w:r w:rsidRPr="0083678C">
        <w:rPr>
          <w:rFonts w:ascii="Book Antiqua" w:hAnsi="Book Antiqua" w:cs="Times New Roman"/>
          <w:color w:val="000000" w:themeColor="text1"/>
          <w:sz w:val="24"/>
          <w:szCs w:val="24"/>
        </w:rPr>
        <w:t> 2012; </w:t>
      </w:r>
      <w:r w:rsidRPr="0083678C">
        <w:rPr>
          <w:rFonts w:ascii="Book Antiqua" w:hAnsi="Book Antiqua" w:cs="Times New Roman"/>
          <w:b/>
          <w:bCs/>
          <w:color w:val="000000" w:themeColor="text1"/>
          <w:sz w:val="24"/>
          <w:szCs w:val="24"/>
        </w:rPr>
        <w:t>24</w:t>
      </w:r>
      <w:r w:rsidRPr="0083678C">
        <w:rPr>
          <w:rFonts w:ascii="Book Antiqua" w:hAnsi="Book Antiqua" w:cs="Times New Roman"/>
          <w:color w:val="000000" w:themeColor="text1"/>
          <w:sz w:val="24"/>
          <w:szCs w:val="24"/>
        </w:rPr>
        <w:t>: 37-41 [PMID: 21989121 DOI: 10.1097/MEG.0b013e32834d0a0a]</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61 </w:t>
      </w:r>
      <w:r w:rsidRPr="0083678C">
        <w:rPr>
          <w:rFonts w:ascii="Book Antiqua" w:hAnsi="Book Antiqua" w:cs="Times New Roman"/>
          <w:b/>
          <w:bCs/>
          <w:color w:val="000000" w:themeColor="text1"/>
          <w:sz w:val="24"/>
          <w:szCs w:val="24"/>
        </w:rPr>
        <w:t>Yeh JM</w:t>
      </w:r>
      <w:r w:rsidRPr="0083678C">
        <w:rPr>
          <w:rFonts w:ascii="Book Antiqua" w:hAnsi="Book Antiqua" w:cs="Times New Roman"/>
          <w:color w:val="000000" w:themeColor="text1"/>
          <w:sz w:val="24"/>
          <w:szCs w:val="24"/>
        </w:rPr>
        <w:t>, Hur C, Ward Z, Schrag D, Goldie SJ. Gastric adenocarcinoma screening and prevention in the era of new biomarker and endoscopic technologies: a cost-</w:t>
      </w:r>
      <w:r w:rsidRPr="0083678C">
        <w:rPr>
          <w:rFonts w:ascii="Book Antiqua" w:hAnsi="Book Antiqua" w:cs="Times New Roman"/>
          <w:color w:val="000000" w:themeColor="text1"/>
          <w:sz w:val="24"/>
          <w:szCs w:val="24"/>
        </w:rPr>
        <w:lastRenderedPageBreak/>
        <w:t>effectiveness analysis. </w:t>
      </w:r>
      <w:r w:rsidRPr="0083678C">
        <w:rPr>
          <w:rFonts w:ascii="Book Antiqua" w:hAnsi="Book Antiqua" w:cs="Times New Roman"/>
          <w:i/>
          <w:iCs/>
          <w:color w:val="000000" w:themeColor="text1"/>
          <w:sz w:val="24"/>
          <w:szCs w:val="24"/>
        </w:rPr>
        <w:t>Gut</w:t>
      </w:r>
      <w:r w:rsidRPr="0083678C">
        <w:rPr>
          <w:rFonts w:ascii="Book Antiqua" w:hAnsi="Book Antiqua" w:cs="Times New Roman"/>
          <w:color w:val="000000" w:themeColor="text1"/>
          <w:sz w:val="24"/>
          <w:szCs w:val="24"/>
        </w:rPr>
        <w:t> 2016; </w:t>
      </w:r>
      <w:r w:rsidRPr="0083678C">
        <w:rPr>
          <w:rFonts w:ascii="Book Antiqua" w:hAnsi="Book Antiqua" w:cs="Times New Roman"/>
          <w:b/>
          <w:bCs/>
          <w:color w:val="000000" w:themeColor="text1"/>
          <w:sz w:val="24"/>
          <w:szCs w:val="24"/>
        </w:rPr>
        <w:t>65</w:t>
      </w:r>
      <w:r w:rsidRPr="0083678C">
        <w:rPr>
          <w:rFonts w:ascii="Book Antiqua" w:hAnsi="Book Antiqua" w:cs="Times New Roman"/>
          <w:color w:val="000000" w:themeColor="text1"/>
          <w:sz w:val="24"/>
          <w:szCs w:val="24"/>
        </w:rPr>
        <w:t>: 563-574 [PMID: 25779597 DOI: 10.1136/gutjnl-2014-308588]</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62 </w:t>
      </w:r>
      <w:r w:rsidRPr="0083678C">
        <w:rPr>
          <w:rFonts w:ascii="Book Antiqua" w:hAnsi="Book Antiqua" w:cs="Times New Roman"/>
          <w:b/>
          <w:bCs/>
          <w:color w:val="000000" w:themeColor="text1"/>
          <w:sz w:val="24"/>
          <w:szCs w:val="24"/>
        </w:rPr>
        <w:t>Terasawa T</w:t>
      </w:r>
      <w:r w:rsidRPr="0083678C">
        <w:rPr>
          <w:rFonts w:ascii="Book Antiqua" w:hAnsi="Book Antiqua" w:cs="Times New Roman"/>
          <w:color w:val="000000" w:themeColor="text1"/>
          <w:sz w:val="24"/>
          <w:szCs w:val="24"/>
        </w:rPr>
        <w:t>, Nishida H, Kato K, Miyashiro I, Yoshikawa T, Takaku R, Hamashima C. Prediction of gastric cancer development by serum pepsinogen test and Helicobacter pylori seropositivity in Eastern Asians: a systematic review and meta-analysis. </w:t>
      </w:r>
      <w:r w:rsidRPr="0083678C">
        <w:rPr>
          <w:rFonts w:ascii="Book Antiqua" w:hAnsi="Book Antiqua" w:cs="Times New Roman"/>
          <w:i/>
          <w:iCs/>
          <w:color w:val="000000" w:themeColor="text1"/>
          <w:sz w:val="24"/>
          <w:szCs w:val="24"/>
        </w:rPr>
        <w:t>PLoS One</w:t>
      </w:r>
      <w:r w:rsidRPr="0083678C">
        <w:rPr>
          <w:rFonts w:ascii="Book Antiqua" w:hAnsi="Book Antiqua" w:cs="Times New Roman"/>
          <w:color w:val="000000" w:themeColor="text1"/>
          <w:sz w:val="24"/>
          <w:szCs w:val="24"/>
        </w:rPr>
        <w:t> 2014; </w:t>
      </w:r>
      <w:r w:rsidRPr="0083678C">
        <w:rPr>
          <w:rFonts w:ascii="Book Antiqua" w:hAnsi="Book Antiqua" w:cs="Times New Roman"/>
          <w:b/>
          <w:bCs/>
          <w:color w:val="000000" w:themeColor="text1"/>
          <w:sz w:val="24"/>
          <w:szCs w:val="24"/>
        </w:rPr>
        <w:t>9</w:t>
      </w:r>
      <w:r w:rsidRPr="0083678C">
        <w:rPr>
          <w:rFonts w:ascii="Book Antiqua" w:hAnsi="Book Antiqua" w:cs="Times New Roman"/>
          <w:color w:val="000000" w:themeColor="text1"/>
          <w:sz w:val="24"/>
          <w:szCs w:val="24"/>
        </w:rPr>
        <w:t>: e109783 [PMID: 25314140 DOI: 10.1371/journal.pone.0109783]</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63 </w:t>
      </w:r>
      <w:r w:rsidRPr="0083678C">
        <w:rPr>
          <w:rFonts w:ascii="Book Antiqua" w:hAnsi="Book Antiqua" w:cs="Times New Roman"/>
          <w:b/>
          <w:bCs/>
          <w:color w:val="000000" w:themeColor="text1"/>
          <w:sz w:val="24"/>
          <w:szCs w:val="24"/>
        </w:rPr>
        <w:t>Huang YK</w:t>
      </w:r>
      <w:r w:rsidRPr="0083678C">
        <w:rPr>
          <w:rFonts w:ascii="Book Antiqua" w:hAnsi="Book Antiqua" w:cs="Times New Roman"/>
          <w:color w:val="000000" w:themeColor="text1"/>
          <w:sz w:val="24"/>
          <w:szCs w:val="24"/>
        </w:rPr>
        <w:t>, Yu JC, Kang WM, Ma ZQ, Ye X, Tian SB, Yan C. Significance of Serum Pepsinogens as a Biomarker for Gastric Cancer and Atrophic Gastritis Screening: A Systematic Review and Meta-Analysis. </w:t>
      </w:r>
      <w:r w:rsidRPr="0083678C">
        <w:rPr>
          <w:rFonts w:ascii="Book Antiqua" w:hAnsi="Book Antiqua" w:cs="Times New Roman"/>
          <w:i/>
          <w:iCs/>
          <w:color w:val="000000" w:themeColor="text1"/>
          <w:sz w:val="24"/>
          <w:szCs w:val="24"/>
        </w:rPr>
        <w:t>PLoS One</w:t>
      </w:r>
      <w:r w:rsidRPr="0083678C">
        <w:rPr>
          <w:rFonts w:ascii="Book Antiqua" w:hAnsi="Book Antiqua" w:cs="Times New Roman"/>
          <w:color w:val="000000" w:themeColor="text1"/>
          <w:sz w:val="24"/>
          <w:szCs w:val="24"/>
        </w:rPr>
        <w:t> 2015; </w:t>
      </w:r>
      <w:r w:rsidRPr="0083678C">
        <w:rPr>
          <w:rFonts w:ascii="Book Antiqua" w:hAnsi="Book Antiqua" w:cs="Times New Roman"/>
          <w:b/>
          <w:bCs/>
          <w:color w:val="000000" w:themeColor="text1"/>
          <w:sz w:val="24"/>
          <w:szCs w:val="24"/>
        </w:rPr>
        <w:t>10</w:t>
      </w:r>
      <w:r w:rsidRPr="0083678C">
        <w:rPr>
          <w:rFonts w:ascii="Book Antiqua" w:hAnsi="Book Antiqua" w:cs="Times New Roman"/>
          <w:color w:val="000000" w:themeColor="text1"/>
          <w:sz w:val="24"/>
          <w:szCs w:val="24"/>
        </w:rPr>
        <w:t>: e0142080 [PMID: 26556485 DOI: 10.1371/journal.pone.0142080]</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64 </w:t>
      </w:r>
      <w:r w:rsidRPr="0083678C">
        <w:rPr>
          <w:rFonts w:ascii="Book Antiqua" w:hAnsi="Book Antiqua" w:cs="Times New Roman"/>
          <w:b/>
          <w:bCs/>
          <w:color w:val="000000" w:themeColor="text1"/>
          <w:sz w:val="24"/>
          <w:szCs w:val="24"/>
        </w:rPr>
        <w:t>Agréus L</w:t>
      </w:r>
      <w:r w:rsidRPr="0083678C">
        <w:rPr>
          <w:rFonts w:ascii="Book Antiqua" w:hAnsi="Book Antiqua" w:cs="Times New Roman"/>
          <w:color w:val="000000" w:themeColor="text1"/>
          <w:sz w:val="24"/>
          <w:szCs w:val="24"/>
        </w:rPr>
        <w:t>, Kuipers EJ, Kupcinskas L, Malfertheiner P, Di Mario F, Leja M, Mahachai V, Yaron N, van Oijen M, Perez Perez G, Rugge M, Ronkainen J, Salaspuro M, Sipponen P, Sugano K, Sung J. Rationale in diagnosis and screening of atrophic gastritis with stomach-specific plasma biomarkers. </w:t>
      </w:r>
      <w:r w:rsidRPr="0083678C">
        <w:rPr>
          <w:rFonts w:ascii="Book Antiqua" w:hAnsi="Book Antiqua" w:cs="Times New Roman"/>
          <w:i/>
          <w:iCs/>
          <w:color w:val="000000" w:themeColor="text1"/>
          <w:sz w:val="24"/>
          <w:szCs w:val="24"/>
        </w:rPr>
        <w:t>Scand J Gastroenterol</w:t>
      </w:r>
      <w:r w:rsidRPr="0083678C">
        <w:rPr>
          <w:rFonts w:ascii="Book Antiqua" w:hAnsi="Book Antiqua" w:cs="Times New Roman"/>
          <w:color w:val="000000" w:themeColor="text1"/>
          <w:sz w:val="24"/>
          <w:szCs w:val="24"/>
        </w:rPr>
        <w:t> 2012; </w:t>
      </w:r>
      <w:r w:rsidRPr="0083678C">
        <w:rPr>
          <w:rFonts w:ascii="Book Antiqua" w:hAnsi="Book Antiqua" w:cs="Times New Roman"/>
          <w:b/>
          <w:bCs/>
          <w:color w:val="000000" w:themeColor="text1"/>
          <w:sz w:val="24"/>
          <w:szCs w:val="24"/>
        </w:rPr>
        <w:t>47</w:t>
      </w:r>
      <w:r w:rsidRPr="0083678C">
        <w:rPr>
          <w:rFonts w:ascii="Book Antiqua" w:hAnsi="Book Antiqua" w:cs="Times New Roman"/>
          <w:color w:val="000000" w:themeColor="text1"/>
          <w:sz w:val="24"/>
          <w:szCs w:val="24"/>
        </w:rPr>
        <w:t>: 136-147 [PMID: 22242613 DOI: 10.3109/00365521.2011.645501]</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65 </w:t>
      </w:r>
      <w:r w:rsidRPr="0083678C">
        <w:rPr>
          <w:rFonts w:ascii="Book Antiqua" w:hAnsi="Book Antiqua" w:cs="Times New Roman"/>
          <w:b/>
          <w:bCs/>
          <w:color w:val="000000" w:themeColor="text1"/>
          <w:sz w:val="24"/>
          <w:szCs w:val="24"/>
        </w:rPr>
        <w:t>Ang TL</w:t>
      </w:r>
      <w:r w:rsidRPr="0083678C">
        <w:rPr>
          <w:rFonts w:ascii="Book Antiqua" w:hAnsi="Book Antiqua" w:cs="Times New Roman"/>
          <w:color w:val="000000" w:themeColor="text1"/>
          <w:sz w:val="24"/>
          <w:szCs w:val="24"/>
        </w:rPr>
        <w:t>, Fock KM, Dhamodaran S, Teo EK, Tan J. Racial differences in Helicobacter pylori, serum pepsinogen and gastric cancer incidence in an urban Asian population. </w:t>
      </w:r>
      <w:r w:rsidRPr="0083678C">
        <w:rPr>
          <w:rFonts w:ascii="Book Antiqua" w:hAnsi="Book Antiqua" w:cs="Times New Roman"/>
          <w:i/>
          <w:iCs/>
          <w:color w:val="000000" w:themeColor="text1"/>
          <w:sz w:val="24"/>
          <w:szCs w:val="24"/>
        </w:rPr>
        <w:t>J Gastroenterol Hepatol</w:t>
      </w:r>
      <w:r w:rsidRPr="0083678C">
        <w:rPr>
          <w:rFonts w:ascii="Book Antiqua" w:hAnsi="Book Antiqua" w:cs="Times New Roman"/>
          <w:color w:val="000000" w:themeColor="text1"/>
          <w:sz w:val="24"/>
          <w:szCs w:val="24"/>
        </w:rPr>
        <w:t> 2005; </w:t>
      </w:r>
      <w:r w:rsidRPr="0083678C">
        <w:rPr>
          <w:rFonts w:ascii="Book Antiqua" w:hAnsi="Book Antiqua" w:cs="Times New Roman"/>
          <w:b/>
          <w:bCs/>
          <w:color w:val="000000" w:themeColor="text1"/>
          <w:sz w:val="24"/>
          <w:szCs w:val="24"/>
        </w:rPr>
        <w:t>20</w:t>
      </w:r>
      <w:r w:rsidRPr="0083678C">
        <w:rPr>
          <w:rFonts w:ascii="Book Antiqua" w:hAnsi="Book Antiqua" w:cs="Times New Roman"/>
          <w:color w:val="000000" w:themeColor="text1"/>
          <w:sz w:val="24"/>
          <w:szCs w:val="24"/>
        </w:rPr>
        <w:t>: 1603-1609 [PMID: 16174081 DOI: 10.1111/j.1440-1746.2005.03898.x]</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66 </w:t>
      </w:r>
      <w:r w:rsidRPr="0083678C">
        <w:rPr>
          <w:rFonts w:ascii="Book Antiqua" w:hAnsi="Book Antiqua" w:cs="Times New Roman"/>
          <w:b/>
          <w:bCs/>
          <w:color w:val="000000" w:themeColor="text1"/>
          <w:sz w:val="24"/>
          <w:szCs w:val="24"/>
        </w:rPr>
        <w:t>Osumi H</w:t>
      </w:r>
      <w:r w:rsidRPr="0083678C">
        <w:rPr>
          <w:rFonts w:ascii="Book Antiqua" w:hAnsi="Book Antiqua" w:cs="Times New Roman"/>
          <w:color w:val="000000" w:themeColor="text1"/>
          <w:sz w:val="24"/>
          <w:szCs w:val="24"/>
        </w:rPr>
        <w:t>, Fujisaki J, Suganuma T, Horiuchi Y, Omae M, Yoshio T, Ishiyama A, Tsuchida T, Miki K. A significant increase in the pepsinogen I/II ratio is a reliable biomarker for successful Helicobacter pylori eradication. </w:t>
      </w:r>
      <w:r w:rsidRPr="0083678C">
        <w:rPr>
          <w:rFonts w:ascii="Book Antiqua" w:hAnsi="Book Antiqua" w:cs="Times New Roman"/>
          <w:i/>
          <w:iCs/>
          <w:color w:val="000000" w:themeColor="text1"/>
          <w:sz w:val="24"/>
          <w:szCs w:val="24"/>
        </w:rPr>
        <w:t>PLoS One</w:t>
      </w:r>
      <w:r w:rsidRPr="0083678C">
        <w:rPr>
          <w:rFonts w:ascii="Book Antiqua" w:hAnsi="Book Antiqua" w:cs="Times New Roman"/>
          <w:color w:val="000000" w:themeColor="text1"/>
          <w:sz w:val="24"/>
          <w:szCs w:val="24"/>
        </w:rPr>
        <w:t> 2017; </w:t>
      </w:r>
      <w:r w:rsidRPr="0083678C">
        <w:rPr>
          <w:rFonts w:ascii="Book Antiqua" w:hAnsi="Book Antiqua" w:cs="Times New Roman"/>
          <w:b/>
          <w:bCs/>
          <w:color w:val="000000" w:themeColor="text1"/>
          <w:sz w:val="24"/>
          <w:szCs w:val="24"/>
        </w:rPr>
        <w:t>12</w:t>
      </w:r>
      <w:r w:rsidRPr="0083678C">
        <w:rPr>
          <w:rFonts w:ascii="Book Antiqua" w:hAnsi="Book Antiqua" w:cs="Times New Roman"/>
          <w:color w:val="000000" w:themeColor="text1"/>
          <w:sz w:val="24"/>
          <w:szCs w:val="24"/>
        </w:rPr>
        <w:t>: e0183980 [PMID: 28854276 DOI: 10.1371/journal.pone.0183980]</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67 </w:t>
      </w:r>
      <w:r w:rsidRPr="0083678C">
        <w:rPr>
          <w:rFonts w:ascii="Book Antiqua" w:hAnsi="Book Antiqua" w:cs="Times New Roman"/>
          <w:b/>
          <w:bCs/>
          <w:color w:val="000000" w:themeColor="text1"/>
          <w:sz w:val="24"/>
          <w:szCs w:val="24"/>
        </w:rPr>
        <w:t>Fock KM</w:t>
      </w:r>
      <w:r w:rsidRPr="0083678C">
        <w:rPr>
          <w:rFonts w:ascii="Book Antiqua" w:hAnsi="Book Antiqua" w:cs="Times New Roman"/>
          <w:color w:val="000000" w:themeColor="text1"/>
          <w:sz w:val="24"/>
          <w:szCs w:val="24"/>
        </w:rPr>
        <w:t>, Talley N, Moayyedi P, Hunt R, Azuma T, Sugano K, Xiao SD, Lam SK, Goh KL, Chiba T, Uemura N, Kim JG, Kim N, Ang TL, Mahachai V, Mitchell H, Rani AA, Liou JM, Vilaichone RK, Sollano J; Asia-Pacific Gastric Cancer Consensus Conference. Asia-Pacific consensus guidelines on gastric cancer prevention. </w:t>
      </w:r>
      <w:r w:rsidRPr="0083678C">
        <w:rPr>
          <w:rFonts w:ascii="Book Antiqua" w:hAnsi="Book Antiqua" w:cs="Times New Roman"/>
          <w:i/>
          <w:iCs/>
          <w:color w:val="000000" w:themeColor="text1"/>
          <w:sz w:val="24"/>
          <w:szCs w:val="24"/>
        </w:rPr>
        <w:t>J Gastroenterol Hepatol</w:t>
      </w:r>
      <w:r w:rsidRPr="0083678C">
        <w:rPr>
          <w:rFonts w:ascii="Book Antiqua" w:hAnsi="Book Antiqua" w:cs="Times New Roman"/>
          <w:color w:val="000000" w:themeColor="text1"/>
          <w:sz w:val="24"/>
          <w:szCs w:val="24"/>
        </w:rPr>
        <w:t> 2008; </w:t>
      </w:r>
      <w:r w:rsidRPr="0083678C">
        <w:rPr>
          <w:rFonts w:ascii="Book Antiqua" w:hAnsi="Book Antiqua" w:cs="Times New Roman"/>
          <w:b/>
          <w:bCs/>
          <w:color w:val="000000" w:themeColor="text1"/>
          <w:sz w:val="24"/>
          <w:szCs w:val="24"/>
        </w:rPr>
        <w:t>23</w:t>
      </w:r>
      <w:r w:rsidRPr="0083678C">
        <w:rPr>
          <w:rFonts w:ascii="Book Antiqua" w:hAnsi="Book Antiqua" w:cs="Times New Roman"/>
          <w:color w:val="000000" w:themeColor="text1"/>
          <w:sz w:val="24"/>
          <w:szCs w:val="24"/>
        </w:rPr>
        <w:t>: 351-365 [PMID: 18318820 DOI: 10.1111/j.1440-1746.2008.05314.x]</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lastRenderedPageBreak/>
        <w:t>68 </w:t>
      </w:r>
      <w:r w:rsidRPr="0083678C">
        <w:rPr>
          <w:rFonts w:ascii="Book Antiqua" w:hAnsi="Book Antiqua" w:cs="Times New Roman"/>
          <w:b/>
          <w:bCs/>
          <w:color w:val="000000" w:themeColor="text1"/>
          <w:sz w:val="24"/>
          <w:szCs w:val="24"/>
        </w:rPr>
        <w:t>Kim GH</w:t>
      </w:r>
      <w:r w:rsidRPr="0083678C">
        <w:rPr>
          <w:rFonts w:ascii="Book Antiqua" w:hAnsi="Book Antiqua" w:cs="Times New Roman"/>
          <w:color w:val="000000" w:themeColor="text1"/>
          <w:sz w:val="24"/>
          <w:szCs w:val="24"/>
        </w:rPr>
        <w:t>, Liang PS, Bang SJ, Hwang JH. Screening and surveillance for gastric cancer in the United States: Is it needed? </w:t>
      </w:r>
      <w:r w:rsidRPr="0083678C">
        <w:rPr>
          <w:rFonts w:ascii="Book Antiqua" w:hAnsi="Book Antiqua" w:cs="Times New Roman"/>
          <w:i/>
          <w:iCs/>
          <w:color w:val="000000" w:themeColor="text1"/>
          <w:sz w:val="24"/>
          <w:szCs w:val="24"/>
        </w:rPr>
        <w:t>Gastrointest Endosc</w:t>
      </w:r>
      <w:r w:rsidRPr="0083678C">
        <w:rPr>
          <w:rFonts w:ascii="Book Antiqua" w:hAnsi="Book Antiqua" w:cs="Times New Roman"/>
          <w:color w:val="000000" w:themeColor="text1"/>
          <w:sz w:val="24"/>
          <w:szCs w:val="24"/>
        </w:rPr>
        <w:t> 2016; </w:t>
      </w:r>
      <w:r w:rsidRPr="0083678C">
        <w:rPr>
          <w:rFonts w:ascii="Book Antiqua" w:hAnsi="Book Antiqua" w:cs="Times New Roman"/>
          <w:b/>
          <w:bCs/>
          <w:color w:val="000000" w:themeColor="text1"/>
          <w:sz w:val="24"/>
          <w:szCs w:val="24"/>
        </w:rPr>
        <w:t>84</w:t>
      </w:r>
      <w:r w:rsidRPr="0083678C">
        <w:rPr>
          <w:rFonts w:ascii="Book Antiqua" w:hAnsi="Book Antiqua" w:cs="Times New Roman"/>
          <w:color w:val="000000" w:themeColor="text1"/>
          <w:sz w:val="24"/>
          <w:szCs w:val="24"/>
        </w:rPr>
        <w:t>: 18-28 [PMID: 26940296 DOI: 10.1016/j.gie.2016.02.028]</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69 </w:t>
      </w:r>
      <w:r w:rsidRPr="0083678C">
        <w:rPr>
          <w:rFonts w:ascii="Book Antiqua" w:hAnsi="Book Antiqua" w:cs="Times New Roman"/>
          <w:b/>
          <w:bCs/>
          <w:color w:val="000000" w:themeColor="text1"/>
          <w:sz w:val="24"/>
          <w:szCs w:val="24"/>
        </w:rPr>
        <w:t>Dan YY</w:t>
      </w:r>
      <w:r w:rsidRPr="0083678C">
        <w:rPr>
          <w:rFonts w:ascii="Book Antiqua" w:hAnsi="Book Antiqua" w:cs="Times New Roman"/>
          <w:color w:val="000000" w:themeColor="text1"/>
          <w:sz w:val="24"/>
          <w:szCs w:val="24"/>
        </w:rPr>
        <w:t>, So JB, Yeoh KG. Endoscopic screening for gastric cancer. </w:t>
      </w:r>
      <w:r w:rsidRPr="0083678C">
        <w:rPr>
          <w:rFonts w:ascii="Book Antiqua" w:hAnsi="Book Antiqua" w:cs="Times New Roman"/>
          <w:i/>
          <w:iCs/>
          <w:color w:val="000000" w:themeColor="text1"/>
          <w:sz w:val="24"/>
          <w:szCs w:val="24"/>
        </w:rPr>
        <w:t>Clin Gastroenterol Hepatol</w:t>
      </w:r>
      <w:r w:rsidRPr="0083678C">
        <w:rPr>
          <w:rFonts w:ascii="Book Antiqua" w:hAnsi="Book Antiqua" w:cs="Times New Roman"/>
          <w:color w:val="000000" w:themeColor="text1"/>
          <w:sz w:val="24"/>
          <w:szCs w:val="24"/>
        </w:rPr>
        <w:t> 2006; </w:t>
      </w:r>
      <w:r w:rsidRPr="0083678C">
        <w:rPr>
          <w:rFonts w:ascii="Book Antiqua" w:hAnsi="Book Antiqua" w:cs="Times New Roman"/>
          <w:b/>
          <w:bCs/>
          <w:color w:val="000000" w:themeColor="text1"/>
          <w:sz w:val="24"/>
          <w:szCs w:val="24"/>
        </w:rPr>
        <w:t>4</w:t>
      </w:r>
      <w:r w:rsidRPr="0083678C">
        <w:rPr>
          <w:rFonts w:ascii="Book Antiqua" w:hAnsi="Book Antiqua" w:cs="Times New Roman"/>
          <w:color w:val="000000" w:themeColor="text1"/>
          <w:sz w:val="24"/>
          <w:szCs w:val="24"/>
        </w:rPr>
        <w:t>: 709-716 [PMID: 16765306 DOI: 10.1016/j.cgh.2006.03.025]</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70 </w:t>
      </w:r>
      <w:r w:rsidRPr="0083678C">
        <w:rPr>
          <w:rFonts w:ascii="Book Antiqua" w:hAnsi="Book Antiqua" w:cs="Times New Roman"/>
          <w:b/>
          <w:bCs/>
          <w:color w:val="000000" w:themeColor="text1"/>
          <w:sz w:val="24"/>
          <w:szCs w:val="24"/>
        </w:rPr>
        <w:t>Saumoy M</w:t>
      </w:r>
      <w:r w:rsidRPr="0083678C">
        <w:rPr>
          <w:rFonts w:ascii="Book Antiqua" w:hAnsi="Book Antiqua" w:cs="Times New Roman"/>
          <w:color w:val="000000" w:themeColor="text1"/>
          <w:sz w:val="24"/>
          <w:szCs w:val="24"/>
        </w:rPr>
        <w:t>, Schneider Y, Shen N, Kahaleh M, Sharaiha RZ, Shah SC. Cost Effectiveness of Gastric Cancer Screening According to Race and Ethnicity. </w:t>
      </w:r>
      <w:r w:rsidRPr="0083678C">
        <w:rPr>
          <w:rFonts w:ascii="Book Antiqua" w:hAnsi="Book Antiqua" w:cs="Times New Roman"/>
          <w:i/>
          <w:iCs/>
          <w:color w:val="000000" w:themeColor="text1"/>
          <w:sz w:val="24"/>
          <w:szCs w:val="24"/>
        </w:rPr>
        <w:t>Gastroenterology</w:t>
      </w:r>
      <w:r w:rsidRPr="0083678C">
        <w:rPr>
          <w:rFonts w:ascii="Book Antiqua" w:hAnsi="Book Antiqua" w:cs="Times New Roman"/>
          <w:color w:val="000000" w:themeColor="text1"/>
          <w:sz w:val="24"/>
          <w:szCs w:val="24"/>
        </w:rPr>
        <w:t> 2018; </w:t>
      </w:r>
      <w:r w:rsidRPr="0083678C">
        <w:rPr>
          <w:rFonts w:ascii="Book Antiqua" w:hAnsi="Book Antiqua" w:cs="Times New Roman"/>
          <w:b/>
          <w:bCs/>
          <w:color w:val="000000" w:themeColor="text1"/>
          <w:sz w:val="24"/>
          <w:szCs w:val="24"/>
        </w:rPr>
        <w:t>155</w:t>
      </w:r>
      <w:r w:rsidRPr="0083678C">
        <w:rPr>
          <w:rFonts w:ascii="Book Antiqua" w:hAnsi="Book Antiqua" w:cs="Times New Roman"/>
          <w:color w:val="000000" w:themeColor="text1"/>
          <w:sz w:val="24"/>
          <w:szCs w:val="24"/>
        </w:rPr>
        <w:t>: 648-660 [PMID: 29778607 DOI: 10.1053/j.gastro.2018.05.026]</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71 </w:t>
      </w:r>
      <w:r w:rsidRPr="0083678C">
        <w:rPr>
          <w:rFonts w:ascii="Book Antiqua" w:hAnsi="Book Antiqua" w:cs="Times New Roman"/>
          <w:b/>
          <w:bCs/>
          <w:color w:val="000000" w:themeColor="text1"/>
          <w:sz w:val="24"/>
          <w:szCs w:val="24"/>
        </w:rPr>
        <w:t>Choi IJ</w:t>
      </w:r>
      <w:r w:rsidRPr="0083678C">
        <w:rPr>
          <w:rFonts w:ascii="Book Antiqua" w:hAnsi="Book Antiqua" w:cs="Times New Roman"/>
          <w:color w:val="000000" w:themeColor="text1"/>
          <w:sz w:val="24"/>
          <w:szCs w:val="24"/>
        </w:rPr>
        <w:t>. Endoscopic gastric cancer screening and surveillance in high-risk groups. </w:t>
      </w:r>
      <w:r w:rsidRPr="0083678C">
        <w:rPr>
          <w:rFonts w:ascii="Book Antiqua" w:hAnsi="Book Antiqua" w:cs="Times New Roman"/>
          <w:i/>
          <w:iCs/>
          <w:color w:val="000000" w:themeColor="text1"/>
          <w:sz w:val="24"/>
          <w:szCs w:val="24"/>
        </w:rPr>
        <w:t>Clin Endosc</w:t>
      </w:r>
      <w:r w:rsidRPr="0083678C">
        <w:rPr>
          <w:rFonts w:ascii="Book Antiqua" w:hAnsi="Book Antiqua" w:cs="Times New Roman"/>
          <w:color w:val="000000" w:themeColor="text1"/>
          <w:sz w:val="24"/>
          <w:szCs w:val="24"/>
        </w:rPr>
        <w:t> 2014; </w:t>
      </w:r>
      <w:r w:rsidRPr="0083678C">
        <w:rPr>
          <w:rFonts w:ascii="Book Antiqua" w:hAnsi="Book Antiqua" w:cs="Times New Roman"/>
          <w:b/>
          <w:bCs/>
          <w:color w:val="000000" w:themeColor="text1"/>
          <w:sz w:val="24"/>
          <w:szCs w:val="24"/>
        </w:rPr>
        <w:t>47</w:t>
      </w:r>
      <w:r w:rsidRPr="0083678C">
        <w:rPr>
          <w:rFonts w:ascii="Book Antiqua" w:hAnsi="Book Antiqua" w:cs="Times New Roman"/>
          <w:color w:val="000000" w:themeColor="text1"/>
          <w:sz w:val="24"/>
          <w:szCs w:val="24"/>
        </w:rPr>
        <w:t>: 497-503 [PMID: 25505714 DOI: 10.5946/ce.2014.47.6.497]</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72 </w:t>
      </w:r>
      <w:r w:rsidRPr="0083678C">
        <w:rPr>
          <w:rFonts w:ascii="Book Antiqua" w:hAnsi="Book Antiqua" w:cs="Times New Roman"/>
          <w:b/>
          <w:bCs/>
          <w:color w:val="000000" w:themeColor="text1"/>
          <w:sz w:val="24"/>
          <w:szCs w:val="24"/>
        </w:rPr>
        <w:t>Jun JK</w:t>
      </w:r>
      <w:r w:rsidRPr="0083678C">
        <w:rPr>
          <w:rFonts w:ascii="Book Antiqua" w:hAnsi="Book Antiqua" w:cs="Times New Roman"/>
          <w:color w:val="000000" w:themeColor="text1"/>
          <w:sz w:val="24"/>
          <w:szCs w:val="24"/>
        </w:rPr>
        <w:t>, Choi KS, Lee HY, Suh M, Park B, Song SH, Jung KW, Lee CW, Choi IJ, Park EC, Lee D. Effectiveness of the Korean National Cancer Screening Program in Reducing Gastric Cancer Mortality. </w:t>
      </w:r>
      <w:r w:rsidRPr="0083678C">
        <w:rPr>
          <w:rFonts w:ascii="Book Antiqua" w:hAnsi="Book Antiqua" w:cs="Times New Roman"/>
          <w:i/>
          <w:iCs/>
          <w:color w:val="000000" w:themeColor="text1"/>
          <w:sz w:val="24"/>
          <w:szCs w:val="24"/>
        </w:rPr>
        <w:t>Gastroenterology</w:t>
      </w:r>
      <w:r w:rsidRPr="0083678C">
        <w:rPr>
          <w:rFonts w:ascii="Book Antiqua" w:hAnsi="Book Antiqua" w:cs="Times New Roman"/>
          <w:color w:val="000000" w:themeColor="text1"/>
          <w:sz w:val="24"/>
          <w:szCs w:val="24"/>
        </w:rPr>
        <w:t> 2017; </w:t>
      </w:r>
      <w:r w:rsidRPr="0083678C">
        <w:rPr>
          <w:rFonts w:ascii="Book Antiqua" w:hAnsi="Book Antiqua" w:cs="Times New Roman"/>
          <w:b/>
          <w:bCs/>
          <w:color w:val="000000" w:themeColor="text1"/>
          <w:sz w:val="24"/>
          <w:szCs w:val="24"/>
        </w:rPr>
        <w:t>152</w:t>
      </w:r>
      <w:r w:rsidRPr="0083678C">
        <w:rPr>
          <w:rFonts w:ascii="Book Antiqua" w:hAnsi="Book Antiqua" w:cs="Times New Roman"/>
          <w:color w:val="000000" w:themeColor="text1"/>
          <w:sz w:val="24"/>
          <w:szCs w:val="24"/>
        </w:rPr>
        <w:t>: 1319-1328.e7 [PMID: 28147224 DOI: 10.1053/j.gastro.2017.01.029]</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73 </w:t>
      </w:r>
      <w:r w:rsidRPr="0083678C">
        <w:rPr>
          <w:rFonts w:ascii="Book Antiqua" w:hAnsi="Book Antiqua" w:cs="Times New Roman"/>
          <w:b/>
          <w:bCs/>
          <w:color w:val="000000" w:themeColor="text1"/>
          <w:sz w:val="24"/>
          <w:szCs w:val="24"/>
        </w:rPr>
        <w:t>Hamashima C</w:t>
      </w:r>
      <w:r w:rsidRPr="0083678C">
        <w:rPr>
          <w:rFonts w:ascii="Book Antiqua" w:hAnsi="Book Antiqua" w:cs="Times New Roman"/>
          <w:color w:val="000000" w:themeColor="text1"/>
          <w:sz w:val="24"/>
          <w:szCs w:val="24"/>
        </w:rPr>
        <w:t xml:space="preserve">, Shabana M, Okamoto M, Osaki Y, Kishimoto T. Survival analysis of patients with interval </w:t>
      </w:r>
      <w:bookmarkStart w:id="30" w:name="_GoBack"/>
      <w:bookmarkEnd w:id="30"/>
      <w:r w:rsidRPr="0083678C">
        <w:rPr>
          <w:rFonts w:ascii="Book Antiqua" w:hAnsi="Book Antiqua" w:cs="Times New Roman"/>
          <w:color w:val="000000" w:themeColor="text1"/>
          <w:sz w:val="24"/>
          <w:szCs w:val="24"/>
        </w:rPr>
        <w:t>cancer undergoing gastric cancer screening by endoscopy. </w:t>
      </w:r>
      <w:r w:rsidRPr="0083678C">
        <w:rPr>
          <w:rFonts w:ascii="Book Antiqua" w:hAnsi="Book Antiqua" w:cs="Times New Roman"/>
          <w:i/>
          <w:iCs/>
          <w:color w:val="000000" w:themeColor="text1"/>
          <w:sz w:val="24"/>
          <w:szCs w:val="24"/>
        </w:rPr>
        <w:t>PLoS One</w:t>
      </w:r>
      <w:r w:rsidRPr="0083678C">
        <w:rPr>
          <w:rFonts w:ascii="Book Antiqua" w:hAnsi="Book Antiqua" w:cs="Times New Roman"/>
          <w:color w:val="000000" w:themeColor="text1"/>
          <w:sz w:val="24"/>
          <w:szCs w:val="24"/>
        </w:rPr>
        <w:t>2015; </w:t>
      </w:r>
      <w:r w:rsidRPr="0083678C">
        <w:rPr>
          <w:rFonts w:ascii="Book Antiqua" w:hAnsi="Book Antiqua" w:cs="Times New Roman"/>
          <w:b/>
          <w:bCs/>
          <w:color w:val="000000" w:themeColor="text1"/>
          <w:sz w:val="24"/>
          <w:szCs w:val="24"/>
        </w:rPr>
        <w:t>10</w:t>
      </w:r>
      <w:r w:rsidRPr="0083678C">
        <w:rPr>
          <w:rFonts w:ascii="Book Antiqua" w:hAnsi="Book Antiqua" w:cs="Times New Roman"/>
          <w:color w:val="000000" w:themeColor="text1"/>
          <w:sz w:val="24"/>
          <w:szCs w:val="24"/>
        </w:rPr>
        <w:t>: e0126796 [PMID: 26023768 DOI: 10.1371/journal.pone.0126796]</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74 </w:t>
      </w:r>
      <w:r w:rsidRPr="0083678C">
        <w:rPr>
          <w:rFonts w:ascii="Book Antiqua" w:hAnsi="Book Antiqua" w:cs="Times New Roman"/>
          <w:b/>
          <w:bCs/>
          <w:color w:val="000000" w:themeColor="text1"/>
          <w:sz w:val="24"/>
          <w:szCs w:val="24"/>
        </w:rPr>
        <w:t>Hamashima C</w:t>
      </w:r>
      <w:r w:rsidRPr="0083678C">
        <w:rPr>
          <w:rFonts w:ascii="Book Antiqua" w:hAnsi="Book Antiqua" w:cs="Times New Roman"/>
          <w:color w:val="000000" w:themeColor="text1"/>
          <w:sz w:val="24"/>
          <w:szCs w:val="24"/>
        </w:rPr>
        <w:t>; Systematic Review Group and Guideline Development Group for Gastric Cancer Screening Guidelines. Update version of the Japanese Guidelines for Gastric Cancer Screening. </w:t>
      </w:r>
      <w:r w:rsidRPr="0083678C">
        <w:rPr>
          <w:rFonts w:ascii="Book Antiqua" w:hAnsi="Book Antiqua" w:cs="Times New Roman"/>
          <w:i/>
          <w:iCs/>
          <w:color w:val="000000" w:themeColor="text1"/>
          <w:sz w:val="24"/>
          <w:szCs w:val="24"/>
        </w:rPr>
        <w:t>Jpn J Clin Oncol</w:t>
      </w:r>
      <w:r w:rsidRPr="0083678C">
        <w:rPr>
          <w:rFonts w:ascii="Book Antiqua" w:hAnsi="Book Antiqua" w:cs="Times New Roman"/>
          <w:color w:val="000000" w:themeColor="text1"/>
          <w:sz w:val="24"/>
          <w:szCs w:val="24"/>
        </w:rPr>
        <w:t> 2018; </w:t>
      </w:r>
      <w:r w:rsidRPr="0083678C">
        <w:rPr>
          <w:rFonts w:ascii="Book Antiqua" w:hAnsi="Book Antiqua" w:cs="Times New Roman"/>
          <w:b/>
          <w:bCs/>
          <w:color w:val="000000" w:themeColor="text1"/>
          <w:sz w:val="24"/>
          <w:szCs w:val="24"/>
        </w:rPr>
        <w:t>48</w:t>
      </w:r>
      <w:r w:rsidRPr="0083678C">
        <w:rPr>
          <w:rFonts w:ascii="Book Antiqua" w:hAnsi="Book Antiqua" w:cs="Times New Roman"/>
          <w:color w:val="000000" w:themeColor="text1"/>
          <w:sz w:val="24"/>
          <w:szCs w:val="24"/>
        </w:rPr>
        <w:t>: 673-683 [PMID: 29889263 DOI: 10.1093/jjco/hyy077]</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75 </w:t>
      </w:r>
      <w:r w:rsidRPr="0083678C">
        <w:rPr>
          <w:rFonts w:ascii="Book Antiqua" w:hAnsi="Book Antiqua" w:cs="Times New Roman"/>
          <w:b/>
          <w:bCs/>
          <w:color w:val="000000" w:themeColor="text1"/>
          <w:sz w:val="24"/>
          <w:szCs w:val="24"/>
        </w:rPr>
        <w:t>Zhang X</w:t>
      </w:r>
      <w:r w:rsidRPr="0083678C">
        <w:rPr>
          <w:rFonts w:ascii="Book Antiqua" w:hAnsi="Book Antiqua" w:cs="Times New Roman"/>
          <w:color w:val="000000" w:themeColor="text1"/>
          <w:sz w:val="24"/>
          <w:szCs w:val="24"/>
        </w:rPr>
        <w:t xml:space="preserve">, Li M, Chen S, Hu J, Guo Q, Liu R, Zheng H, Jin Z, Yuan Y, Xi Y, Hua B. Endoscopic Screening in Asian Countries Is Associated With Reduced Gastric Cancer Mortality: A Meta-analysis and Systematic Review. </w:t>
      </w:r>
      <w:r w:rsidRPr="0083678C">
        <w:rPr>
          <w:rFonts w:ascii="Book Antiqua" w:hAnsi="Book Antiqua" w:cs="Times New Roman"/>
          <w:i/>
          <w:iCs/>
          <w:color w:val="000000" w:themeColor="text1"/>
          <w:sz w:val="24"/>
          <w:szCs w:val="24"/>
        </w:rPr>
        <w:t>Gastroenterology</w:t>
      </w:r>
      <w:r w:rsidRPr="0083678C">
        <w:rPr>
          <w:rFonts w:ascii="Book Antiqua" w:hAnsi="Book Antiqua" w:cs="Times New Roman"/>
          <w:color w:val="000000" w:themeColor="text1"/>
          <w:sz w:val="24"/>
          <w:szCs w:val="24"/>
        </w:rPr>
        <w:t xml:space="preserve"> 2018; </w:t>
      </w:r>
      <w:r w:rsidRPr="0083678C">
        <w:rPr>
          <w:rFonts w:ascii="Book Antiqua" w:hAnsi="Book Antiqua" w:cs="Times New Roman"/>
          <w:b/>
          <w:bCs/>
          <w:color w:val="000000" w:themeColor="text1"/>
          <w:sz w:val="24"/>
          <w:szCs w:val="24"/>
        </w:rPr>
        <w:t>155</w:t>
      </w:r>
      <w:r w:rsidRPr="0083678C">
        <w:rPr>
          <w:rFonts w:ascii="Book Antiqua" w:hAnsi="Book Antiqua" w:cs="Times New Roman"/>
          <w:color w:val="000000" w:themeColor="text1"/>
          <w:sz w:val="24"/>
          <w:szCs w:val="24"/>
        </w:rPr>
        <w:t>: 347-354.e349 [</w:t>
      </w:r>
      <w:r w:rsidR="0005767E" w:rsidRPr="0083678C">
        <w:rPr>
          <w:rFonts w:ascii="Book Antiqua" w:hAnsi="Book Antiqua" w:cs="Times New Roman"/>
          <w:color w:val="000000" w:themeColor="text1"/>
          <w:sz w:val="24"/>
          <w:szCs w:val="24"/>
        </w:rPr>
        <w:t xml:space="preserve">PMID: 29723507 </w:t>
      </w:r>
      <w:r w:rsidRPr="0083678C">
        <w:rPr>
          <w:rFonts w:ascii="Book Antiqua" w:hAnsi="Book Antiqua" w:cs="Times New Roman"/>
          <w:color w:val="000000" w:themeColor="text1"/>
          <w:sz w:val="24"/>
          <w:szCs w:val="24"/>
        </w:rPr>
        <w:t>DOI: 10.1053/j.gastro.2018.04.026]</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76 </w:t>
      </w:r>
      <w:r w:rsidRPr="0083678C">
        <w:rPr>
          <w:rFonts w:ascii="Book Antiqua" w:hAnsi="Book Antiqua" w:cs="Times New Roman"/>
          <w:b/>
          <w:bCs/>
          <w:color w:val="000000" w:themeColor="text1"/>
          <w:sz w:val="24"/>
          <w:szCs w:val="24"/>
        </w:rPr>
        <w:t>Castro C</w:t>
      </w:r>
      <w:r w:rsidRPr="0083678C">
        <w:rPr>
          <w:rFonts w:ascii="Book Antiqua" w:hAnsi="Book Antiqua" w:cs="Times New Roman"/>
          <w:color w:val="000000" w:themeColor="text1"/>
          <w:sz w:val="24"/>
          <w:szCs w:val="24"/>
        </w:rPr>
        <w:t>, Dinis-Ribeiro M, Rodrigues ANG, Calheiros T, Santos J, Pereira P, Ramos M, Cunha H, Andrade M, Costa A, Sá L, Antunes L, Bento MJ, Lomba-Viana R. Western long-term accuracy of serum pepsinogen-based gastric cancer screening. </w:t>
      </w:r>
      <w:r w:rsidRPr="0083678C">
        <w:rPr>
          <w:rFonts w:ascii="Book Antiqua" w:hAnsi="Book Antiqua" w:cs="Times New Roman"/>
          <w:i/>
          <w:iCs/>
          <w:color w:val="000000" w:themeColor="text1"/>
          <w:sz w:val="24"/>
          <w:szCs w:val="24"/>
        </w:rPr>
        <w:t xml:space="preserve">Eur J </w:t>
      </w:r>
      <w:r w:rsidRPr="0083678C">
        <w:rPr>
          <w:rFonts w:ascii="Book Antiqua" w:hAnsi="Book Antiqua" w:cs="Times New Roman"/>
          <w:i/>
          <w:iCs/>
          <w:color w:val="000000" w:themeColor="text1"/>
          <w:sz w:val="24"/>
          <w:szCs w:val="24"/>
        </w:rPr>
        <w:lastRenderedPageBreak/>
        <w:t>Gastroenterol Hepatol</w:t>
      </w:r>
      <w:r w:rsidRPr="0083678C">
        <w:rPr>
          <w:rFonts w:ascii="Book Antiqua" w:hAnsi="Book Antiqua" w:cs="Times New Roman"/>
          <w:color w:val="000000" w:themeColor="text1"/>
          <w:sz w:val="24"/>
          <w:szCs w:val="24"/>
        </w:rPr>
        <w:t> 2018; </w:t>
      </w:r>
      <w:r w:rsidRPr="0083678C">
        <w:rPr>
          <w:rFonts w:ascii="Book Antiqua" w:hAnsi="Book Antiqua" w:cs="Times New Roman"/>
          <w:b/>
          <w:bCs/>
          <w:color w:val="000000" w:themeColor="text1"/>
          <w:sz w:val="24"/>
          <w:szCs w:val="24"/>
        </w:rPr>
        <w:t>30</w:t>
      </w:r>
      <w:r w:rsidRPr="0083678C">
        <w:rPr>
          <w:rFonts w:ascii="Book Antiqua" w:hAnsi="Book Antiqua" w:cs="Times New Roman"/>
          <w:color w:val="000000" w:themeColor="text1"/>
          <w:sz w:val="24"/>
          <w:szCs w:val="24"/>
        </w:rPr>
        <w:t>: 274-277 [PMID: 29215432 DOI: 10.1097/MEG.0000000000001040]</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77 </w:t>
      </w:r>
      <w:r w:rsidRPr="0083678C">
        <w:rPr>
          <w:rFonts w:ascii="Book Antiqua" w:hAnsi="Book Antiqua" w:cs="Times New Roman"/>
          <w:b/>
          <w:bCs/>
          <w:color w:val="000000" w:themeColor="text1"/>
          <w:sz w:val="24"/>
          <w:szCs w:val="24"/>
        </w:rPr>
        <w:t>Areia M</w:t>
      </w:r>
      <w:r w:rsidRPr="0083678C">
        <w:rPr>
          <w:rFonts w:ascii="Book Antiqua" w:hAnsi="Book Antiqua" w:cs="Times New Roman"/>
          <w:color w:val="000000" w:themeColor="text1"/>
          <w:sz w:val="24"/>
          <w:szCs w:val="24"/>
        </w:rPr>
        <w:t>, Spaander MC, Kuipers EJ, Dinis-Ribeiro M. Endoscopic screening for gastric cancer: A cost-utility analysis for countries with an intermediate gastric cancer risk. </w:t>
      </w:r>
      <w:r w:rsidRPr="0083678C">
        <w:rPr>
          <w:rFonts w:ascii="Book Antiqua" w:hAnsi="Book Antiqua" w:cs="Times New Roman"/>
          <w:i/>
          <w:iCs/>
          <w:color w:val="000000" w:themeColor="text1"/>
          <w:sz w:val="24"/>
          <w:szCs w:val="24"/>
        </w:rPr>
        <w:t>United European Gastroenterol J</w:t>
      </w:r>
      <w:r w:rsidRPr="0083678C">
        <w:rPr>
          <w:rFonts w:ascii="Book Antiqua" w:hAnsi="Book Antiqua" w:cs="Times New Roman"/>
          <w:color w:val="000000" w:themeColor="text1"/>
          <w:sz w:val="24"/>
          <w:szCs w:val="24"/>
        </w:rPr>
        <w:t> 2018; </w:t>
      </w:r>
      <w:r w:rsidRPr="0083678C">
        <w:rPr>
          <w:rFonts w:ascii="Book Antiqua" w:hAnsi="Book Antiqua" w:cs="Times New Roman"/>
          <w:b/>
          <w:bCs/>
          <w:color w:val="000000" w:themeColor="text1"/>
          <w:sz w:val="24"/>
          <w:szCs w:val="24"/>
        </w:rPr>
        <w:t>6</w:t>
      </w:r>
      <w:r w:rsidRPr="0083678C">
        <w:rPr>
          <w:rFonts w:ascii="Book Antiqua" w:hAnsi="Book Antiqua" w:cs="Times New Roman"/>
          <w:color w:val="000000" w:themeColor="text1"/>
          <w:sz w:val="24"/>
          <w:szCs w:val="24"/>
        </w:rPr>
        <w:t>: 192-202 [PMID: 29511549 DOI: 10.1177/2050640617722902]</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78 </w:t>
      </w:r>
      <w:r w:rsidRPr="0083678C">
        <w:rPr>
          <w:rFonts w:ascii="Book Antiqua" w:hAnsi="Book Antiqua" w:cs="Times New Roman"/>
          <w:b/>
          <w:bCs/>
          <w:color w:val="000000" w:themeColor="text1"/>
          <w:sz w:val="24"/>
          <w:szCs w:val="24"/>
        </w:rPr>
        <w:t>Quach DT</w:t>
      </w:r>
      <w:r w:rsidRPr="0083678C">
        <w:rPr>
          <w:rFonts w:ascii="Book Antiqua" w:hAnsi="Book Antiqua" w:cs="Times New Roman"/>
          <w:color w:val="000000" w:themeColor="text1"/>
          <w:sz w:val="24"/>
          <w:szCs w:val="24"/>
        </w:rPr>
        <w:t>, Ha DV, Hiyama T. The Endoscopic and Clinicopathological Characteristics of Early-onset Gastric Cancer in Vietnamese Patients </w:t>
      </w:r>
      <w:r w:rsidRPr="0083678C">
        <w:rPr>
          <w:rFonts w:ascii="Book Antiqua" w:hAnsi="Book Antiqua" w:cs="Times New Roman"/>
          <w:i/>
          <w:iCs/>
          <w:color w:val="000000" w:themeColor="text1"/>
          <w:sz w:val="24"/>
          <w:szCs w:val="24"/>
        </w:rPr>
        <w:t>Asian Pac J Cancer Prev</w:t>
      </w:r>
      <w:r w:rsidRPr="0083678C">
        <w:rPr>
          <w:rFonts w:ascii="Book Antiqua" w:hAnsi="Book Antiqua" w:cs="Times New Roman"/>
          <w:color w:val="000000" w:themeColor="text1"/>
          <w:sz w:val="24"/>
          <w:szCs w:val="24"/>
        </w:rPr>
        <w:t> 2018; </w:t>
      </w:r>
      <w:r w:rsidRPr="0083678C">
        <w:rPr>
          <w:rFonts w:ascii="Book Antiqua" w:hAnsi="Book Antiqua" w:cs="Times New Roman"/>
          <w:b/>
          <w:bCs/>
          <w:color w:val="000000" w:themeColor="text1"/>
          <w:sz w:val="24"/>
          <w:szCs w:val="24"/>
        </w:rPr>
        <w:t>19</w:t>
      </w:r>
      <w:r w:rsidRPr="0083678C">
        <w:rPr>
          <w:rFonts w:ascii="Book Antiqua" w:hAnsi="Book Antiqua" w:cs="Times New Roman"/>
          <w:color w:val="000000" w:themeColor="text1"/>
          <w:sz w:val="24"/>
          <w:szCs w:val="24"/>
        </w:rPr>
        <w:t>: 1883-1886 [PMID: 30049355 DOI: 10.22034/APJCP.2018.19.7.1883]</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79 </w:t>
      </w:r>
      <w:r w:rsidRPr="0083678C">
        <w:rPr>
          <w:rFonts w:ascii="Book Antiqua" w:hAnsi="Book Antiqua" w:cs="Times New Roman"/>
          <w:b/>
          <w:bCs/>
          <w:color w:val="000000" w:themeColor="text1"/>
          <w:sz w:val="24"/>
          <w:szCs w:val="24"/>
        </w:rPr>
        <w:t>Miwata T,</w:t>
      </w:r>
      <w:r w:rsidRPr="0083678C">
        <w:rPr>
          <w:rFonts w:ascii="Book Antiqua" w:hAnsi="Book Antiqua" w:cs="Times New Roman"/>
          <w:color w:val="000000" w:themeColor="text1"/>
          <w:sz w:val="24"/>
          <w:szCs w:val="24"/>
        </w:rPr>
        <w:t xml:space="preserve"> Quach DT, Hiyama T, Aoki R, Le HM, Tran PLN, Ito M, Tanaka S, Arihiro K, Uemura N, Chayama K. Interobserver and intraobserver agreement for gastric mucosa atrophy. </w:t>
      </w:r>
      <w:r w:rsidRPr="0083678C">
        <w:rPr>
          <w:rFonts w:ascii="Book Antiqua" w:hAnsi="Book Antiqua" w:cs="Times New Roman"/>
          <w:i/>
          <w:iCs/>
          <w:color w:val="000000" w:themeColor="text1"/>
          <w:sz w:val="24"/>
          <w:szCs w:val="24"/>
        </w:rPr>
        <w:t>BMC Gastroenterol</w:t>
      </w:r>
      <w:r w:rsidRPr="0083678C">
        <w:rPr>
          <w:rFonts w:ascii="Book Antiqua" w:hAnsi="Book Antiqua" w:cs="Times New Roman"/>
          <w:color w:val="000000" w:themeColor="text1"/>
          <w:sz w:val="24"/>
          <w:szCs w:val="24"/>
        </w:rPr>
        <w:t xml:space="preserve"> 2015; </w:t>
      </w:r>
      <w:r w:rsidRPr="0083678C">
        <w:rPr>
          <w:rFonts w:ascii="Book Antiqua" w:hAnsi="Book Antiqua" w:cs="Times New Roman"/>
          <w:b/>
          <w:bCs/>
          <w:color w:val="000000" w:themeColor="text1"/>
          <w:sz w:val="24"/>
          <w:szCs w:val="24"/>
        </w:rPr>
        <w:t>15</w:t>
      </w:r>
      <w:r w:rsidR="0005767E" w:rsidRPr="0083678C">
        <w:rPr>
          <w:rFonts w:ascii="Book Antiqua" w:hAnsi="Book Antiqua" w:cs="Times New Roman"/>
          <w:color w:val="000000" w:themeColor="text1"/>
          <w:sz w:val="24"/>
          <w:szCs w:val="24"/>
        </w:rPr>
        <w:t>: 95</w:t>
      </w:r>
      <w:r w:rsidRPr="0083678C">
        <w:rPr>
          <w:rFonts w:ascii="Book Antiqua" w:hAnsi="Book Antiqua" w:cs="Times New Roman"/>
          <w:color w:val="000000" w:themeColor="text1"/>
          <w:sz w:val="24"/>
          <w:szCs w:val="24"/>
        </w:rPr>
        <w:t xml:space="preserve"> [</w:t>
      </w:r>
      <w:r w:rsidR="0005767E" w:rsidRPr="0083678C">
        <w:rPr>
          <w:rFonts w:ascii="Book Antiqua" w:hAnsi="Book Antiqua" w:cs="Times New Roman"/>
          <w:color w:val="000000" w:themeColor="text1"/>
          <w:sz w:val="24"/>
          <w:szCs w:val="24"/>
        </w:rPr>
        <w:t xml:space="preserve">PMID: 26239636 </w:t>
      </w:r>
      <w:r w:rsidRPr="0083678C">
        <w:rPr>
          <w:rFonts w:ascii="Book Antiqua" w:hAnsi="Book Antiqua" w:cs="Times New Roman"/>
          <w:color w:val="000000" w:themeColor="text1"/>
          <w:sz w:val="24"/>
          <w:szCs w:val="24"/>
        </w:rPr>
        <w:t>DOI: 10.1186/s12876-015-0327-x]</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80 </w:t>
      </w:r>
      <w:r w:rsidR="00A35E80" w:rsidRPr="0083678C">
        <w:rPr>
          <w:rFonts w:ascii="Book Antiqua" w:hAnsi="Book Antiqua" w:cs="Times New Roman"/>
          <w:b/>
          <w:bCs/>
          <w:color w:val="000000" w:themeColor="text1"/>
          <w:sz w:val="24"/>
          <w:szCs w:val="24"/>
        </w:rPr>
        <w:t>Jin EH</w:t>
      </w:r>
      <w:r w:rsidR="00A35E80" w:rsidRPr="0083678C">
        <w:rPr>
          <w:rFonts w:ascii="Book Antiqua" w:hAnsi="Book Antiqua" w:cs="Times New Roman"/>
          <w:color w:val="000000" w:themeColor="text1"/>
          <w:sz w:val="24"/>
          <w:szCs w:val="24"/>
        </w:rPr>
        <w:t>, Chung SJ, Lim JH, Chung GE, Lee C, Yang JI, Kim JS. Training Effect on the Inter-observer Agreement in Endoscopic Diagnosis and Grading of Atrophic Gastritis according to Level of Endoscopic Experience. </w:t>
      </w:r>
      <w:r w:rsidR="00A35E80" w:rsidRPr="0083678C">
        <w:rPr>
          <w:rFonts w:ascii="Book Antiqua" w:hAnsi="Book Antiqua" w:cs="Times New Roman"/>
          <w:i/>
          <w:iCs/>
          <w:color w:val="000000" w:themeColor="text1"/>
          <w:sz w:val="24"/>
          <w:szCs w:val="24"/>
        </w:rPr>
        <w:t>J Korean Med Sci</w:t>
      </w:r>
      <w:r w:rsidR="00A35E80" w:rsidRPr="0083678C">
        <w:rPr>
          <w:rFonts w:ascii="Book Antiqua" w:hAnsi="Book Antiqua" w:cs="Times New Roman"/>
          <w:color w:val="000000" w:themeColor="text1"/>
          <w:sz w:val="24"/>
          <w:szCs w:val="24"/>
        </w:rPr>
        <w:t> 2018; </w:t>
      </w:r>
      <w:r w:rsidR="00A35E80" w:rsidRPr="0083678C">
        <w:rPr>
          <w:rFonts w:ascii="Book Antiqua" w:hAnsi="Book Antiqua" w:cs="Times New Roman"/>
          <w:b/>
          <w:bCs/>
          <w:color w:val="000000" w:themeColor="text1"/>
          <w:sz w:val="24"/>
          <w:szCs w:val="24"/>
        </w:rPr>
        <w:t>33</w:t>
      </w:r>
      <w:r w:rsidR="00A35E80" w:rsidRPr="0083678C">
        <w:rPr>
          <w:rFonts w:ascii="Book Antiqua" w:hAnsi="Book Antiqua" w:cs="Times New Roman"/>
          <w:color w:val="000000" w:themeColor="text1"/>
          <w:sz w:val="24"/>
          <w:szCs w:val="24"/>
        </w:rPr>
        <w:t>: e117 [PMID: 29629520 DOI: 10.3346/jkms.2018.33.e117]</w:t>
      </w:r>
    </w:p>
    <w:p w:rsidR="003B4D3E" w:rsidRPr="0083678C" w:rsidRDefault="003B4D3E" w:rsidP="003B4D3E">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81 </w:t>
      </w:r>
      <w:r w:rsidR="00A35E80" w:rsidRPr="0083678C">
        <w:rPr>
          <w:rFonts w:ascii="Book Antiqua" w:hAnsi="Book Antiqua" w:cs="Times New Roman"/>
          <w:b/>
          <w:bCs/>
          <w:color w:val="000000" w:themeColor="text1"/>
          <w:sz w:val="24"/>
          <w:szCs w:val="24"/>
        </w:rPr>
        <w:t>Kodama M</w:t>
      </w:r>
      <w:r w:rsidR="00A35E80" w:rsidRPr="0083678C">
        <w:rPr>
          <w:rFonts w:ascii="Book Antiqua" w:hAnsi="Book Antiqua" w:cs="Times New Roman"/>
          <w:color w:val="000000" w:themeColor="text1"/>
          <w:sz w:val="24"/>
          <w:szCs w:val="24"/>
        </w:rPr>
        <w:t>, Okimoto T, Ogawa R, Mizukami K, Murakami K. Endoscopic atrophic classification before and after H. pylori eradication is closely associated with histological atrophy and intestinal metaplasia. </w:t>
      </w:r>
      <w:r w:rsidR="00A35E80" w:rsidRPr="0083678C">
        <w:rPr>
          <w:rFonts w:ascii="Book Antiqua" w:hAnsi="Book Antiqua" w:cs="Times New Roman"/>
          <w:i/>
          <w:iCs/>
          <w:color w:val="000000" w:themeColor="text1"/>
          <w:sz w:val="24"/>
          <w:szCs w:val="24"/>
        </w:rPr>
        <w:t>Endosc Int Open</w:t>
      </w:r>
      <w:r w:rsidR="00A35E80" w:rsidRPr="0083678C">
        <w:rPr>
          <w:rFonts w:ascii="Book Antiqua" w:hAnsi="Book Antiqua" w:cs="Times New Roman"/>
          <w:color w:val="000000" w:themeColor="text1"/>
          <w:sz w:val="24"/>
          <w:szCs w:val="24"/>
        </w:rPr>
        <w:t> 2015; </w:t>
      </w:r>
      <w:r w:rsidR="00A35E80" w:rsidRPr="0083678C">
        <w:rPr>
          <w:rFonts w:ascii="Book Antiqua" w:hAnsi="Book Antiqua" w:cs="Times New Roman"/>
          <w:b/>
          <w:bCs/>
          <w:color w:val="000000" w:themeColor="text1"/>
          <w:sz w:val="24"/>
          <w:szCs w:val="24"/>
        </w:rPr>
        <w:t>3</w:t>
      </w:r>
      <w:r w:rsidR="00A35E80" w:rsidRPr="0083678C">
        <w:rPr>
          <w:rFonts w:ascii="Book Antiqua" w:hAnsi="Book Antiqua" w:cs="Times New Roman"/>
          <w:color w:val="000000" w:themeColor="text1"/>
          <w:sz w:val="24"/>
          <w:szCs w:val="24"/>
        </w:rPr>
        <w:t>: E311-E317 [PMID: 26357676 DOI: 10.1055/s-0034-1392090]</w:t>
      </w:r>
    </w:p>
    <w:p w:rsidR="00A35E80" w:rsidRPr="0083678C" w:rsidRDefault="003B4D3E" w:rsidP="00A35E80">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82 </w:t>
      </w:r>
      <w:r w:rsidR="00A35E80" w:rsidRPr="0083678C">
        <w:rPr>
          <w:rFonts w:ascii="Book Antiqua" w:hAnsi="Book Antiqua" w:cs="Times New Roman"/>
          <w:b/>
          <w:bCs/>
          <w:color w:val="000000" w:themeColor="text1"/>
          <w:sz w:val="24"/>
          <w:szCs w:val="24"/>
        </w:rPr>
        <w:t>Kim YI</w:t>
      </w:r>
      <w:r w:rsidR="00A35E80" w:rsidRPr="0083678C">
        <w:rPr>
          <w:rFonts w:ascii="Book Antiqua" w:hAnsi="Book Antiqua" w:cs="Times New Roman"/>
          <w:color w:val="000000" w:themeColor="text1"/>
          <w:sz w:val="24"/>
          <w:szCs w:val="24"/>
        </w:rPr>
        <w:t>, Kook MC, Cho SJ, Lee JY, Kim CG, Joo J, Choi IJ. Effect of biopsy site on detection of gastric cancer high-risk groups by OLGA and OLGIM stages. </w:t>
      </w:r>
      <w:r w:rsidR="00A35E80" w:rsidRPr="0083678C">
        <w:rPr>
          <w:rFonts w:ascii="Book Antiqua" w:hAnsi="Book Antiqua" w:cs="Times New Roman"/>
          <w:i/>
          <w:iCs/>
          <w:color w:val="000000" w:themeColor="text1"/>
          <w:sz w:val="24"/>
          <w:szCs w:val="24"/>
        </w:rPr>
        <w:t>Helicobacter</w:t>
      </w:r>
      <w:r w:rsidR="00A35E80" w:rsidRPr="0083678C">
        <w:rPr>
          <w:rFonts w:ascii="Book Antiqua" w:hAnsi="Book Antiqua" w:cs="Times New Roman"/>
          <w:color w:val="000000" w:themeColor="text1"/>
          <w:sz w:val="24"/>
          <w:szCs w:val="24"/>
        </w:rPr>
        <w:t> 2017; </w:t>
      </w:r>
      <w:r w:rsidR="00A35E80" w:rsidRPr="0083678C">
        <w:rPr>
          <w:rFonts w:ascii="Book Antiqua" w:hAnsi="Book Antiqua" w:cs="Times New Roman"/>
          <w:b/>
          <w:bCs/>
          <w:color w:val="000000" w:themeColor="text1"/>
          <w:sz w:val="24"/>
          <w:szCs w:val="24"/>
        </w:rPr>
        <w:t>22</w:t>
      </w:r>
      <w:r w:rsidR="00A35E80" w:rsidRPr="0083678C">
        <w:rPr>
          <w:rFonts w:ascii="Book Antiqua" w:hAnsi="Book Antiqua" w:cs="Times New Roman"/>
          <w:color w:val="000000" w:themeColor="text1"/>
          <w:sz w:val="24"/>
          <w:szCs w:val="24"/>
        </w:rPr>
        <w:t xml:space="preserve"> [PMID: 28940945 DOI: 10.1111/hel.12442]</w:t>
      </w:r>
    </w:p>
    <w:p w:rsidR="00A35E80" w:rsidRPr="0083678C" w:rsidRDefault="003B4D3E" w:rsidP="00A35E80">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t>83 </w:t>
      </w:r>
      <w:r w:rsidR="00A35E80" w:rsidRPr="0083678C">
        <w:rPr>
          <w:rFonts w:ascii="Book Antiqua" w:hAnsi="Book Antiqua" w:cs="Times New Roman"/>
          <w:b/>
          <w:bCs/>
          <w:color w:val="000000" w:themeColor="text1"/>
          <w:sz w:val="24"/>
          <w:szCs w:val="24"/>
        </w:rPr>
        <w:t>Yun CY</w:t>
      </w:r>
      <w:r w:rsidR="00A35E80" w:rsidRPr="0083678C">
        <w:rPr>
          <w:rFonts w:ascii="Book Antiqua" w:hAnsi="Book Antiqua" w:cs="Times New Roman"/>
          <w:color w:val="000000" w:themeColor="text1"/>
          <w:sz w:val="24"/>
          <w:szCs w:val="24"/>
        </w:rPr>
        <w:t>, Kim N, Lee J, Lee JY, Hwang YJ, Lee HS, Yoon H, Shin CM, Park YS, Kim JW, Lee DH. Usefulness of OLGA and OLGIM system not only for intestinal type but also for diffuse type of gastric cancer, and no interaction among the gastric cancer risk factors. </w:t>
      </w:r>
      <w:r w:rsidR="00A35E80" w:rsidRPr="0083678C">
        <w:rPr>
          <w:rFonts w:ascii="Book Antiqua" w:hAnsi="Book Antiqua" w:cs="Times New Roman"/>
          <w:i/>
          <w:iCs/>
          <w:color w:val="000000" w:themeColor="text1"/>
          <w:sz w:val="24"/>
          <w:szCs w:val="24"/>
        </w:rPr>
        <w:t>Helicobacter</w:t>
      </w:r>
      <w:r w:rsidR="00A35E80" w:rsidRPr="0083678C">
        <w:rPr>
          <w:rFonts w:ascii="Book Antiqua" w:hAnsi="Book Antiqua" w:cs="Times New Roman"/>
          <w:color w:val="000000" w:themeColor="text1"/>
          <w:sz w:val="24"/>
          <w:szCs w:val="24"/>
        </w:rPr>
        <w:t> 2018; </w:t>
      </w:r>
      <w:r w:rsidR="00A35E80" w:rsidRPr="0083678C">
        <w:rPr>
          <w:rFonts w:ascii="Book Antiqua" w:hAnsi="Book Antiqua" w:cs="Times New Roman"/>
          <w:b/>
          <w:bCs/>
          <w:color w:val="000000" w:themeColor="text1"/>
          <w:sz w:val="24"/>
          <w:szCs w:val="24"/>
        </w:rPr>
        <w:t>23</w:t>
      </w:r>
      <w:r w:rsidR="00A35E80" w:rsidRPr="0083678C">
        <w:rPr>
          <w:rFonts w:ascii="Book Antiqua" w:hAnsi="Book Antiqua" w:cs="Times New Roman"/>
          <w:color w:val="000000" w:themeColor="text1"/>
          <w:sz w:val="24"/>
          <w:szCs w:val="24"/>
        </w:rPr>
        <w:t>: e12542 [PMID: 30303591 DOI: 10.1111/hel.12542]</w:t>
      </w:r>
    </w:p>
    <w:p w:rsidR="003B4D3E" w:rsidRPr="0083678C" w:rsidRDefault="00A35E80" w:rsidP="00A35E80">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lastRenderedPageBreak/>
        <w:t xml:space="preserve"> </w:t>
      </w:r>
      <w:r w:rsidR="003B4D3E" w:rsidRPr="0083678C">
        <w:rPr>
          <w:rFonts w:ascii="Book Antiqua" w:hAnsi="Book Antiqua" w:cs="Times New Roman"/>
          <w:color w:val="000000" w:themeColor="text1"/>
          <w:sz w:val="24"/>
          <w:szCs w:val="24"/>
        </w:rPr>
        <w:t>84 </w:t>
      </w:r>
      <w:r w:rsidR="003B4D3E" w:rsidRPr="0083678C">
        <w:rPr>
          <w:rFonts w:ascii="Book Antiqua" w:hAnsi="Book Antiqua" w:cs="Times New Roman"/>
          <w:b/>
          <w:bCs/>
          <w:color w:val="000000" w:themeColor="text1"/>
          <w:sz w:val="24"/>
          <w:szCs w:val="24"/>
        </w:rPr>
        <w:t>Quach DT</w:t>
      </w:r>
      <w:r w:rsidR="003B4D3E" w:rsidRPr="0083678C">
        <w:rPr>
          <w:rFonts w:ascii="Book Antiqua" w:hAnsi="Book Antiqua" w:cs="Times New Roman"/>
          <w:color w:val="000000" w:themeColor="text1"/>
          <w:sz w:val="24"/>
          <w:szCs w:val="24"/>
        </w:rPr>
        <w:t>, Le HM, Nguyen TS, Hiyama T. The Distribution of Incomplete Gastric Intestinal Metaplasia (GIM) Subtype among Biopsy Sites according to the Updated Sydney System and Its Association with GIM Extension. </w:t>
      </w:r>
      <w:r w:rsidR="003B4D3E" w:rsidRPr="0083678C">
        <w:rPr>
          <w:rFonts w:ascii="Book Antiqua" w:hAnsi="Book Antiqua" w:cs="Times New Roman"/>
          <w:i/>
          <w:iCs/>
          <w:color w:val="000000" w:themeColor="text1"/>
          <w:sz w:val="24"/>
          <w:szCs w:val="24"/>
        </w:rPr>
        <w:t>Gastroenterol Res Pract</w:t>
      </w:r>
      <w:r w:rsidR="003B4D3E" w:rsidRPr="0083678C">
        <w:rPr>
          <w:rFonts w:ascii="Book Antiqua" w:hAnsi="Book Antiqua" w:cs="Times New Roman"/>
          <w:color w:val="000000" w:themeColor="text1"/>
          <w:sz w:val="24"/>
          <w:szCs w:val="24"/>
        </w:rPr>
        <w:t> 2018; </w:t>
      </w:r>
      <w:r w:rsidR="003B4D3E" w:rsidRPr="0083678C">
        <w:rPr>
          <w:rFonts w:ascii="Book Antiqua" w:hAnsi="Book Antiqua" w:cs="Times New Roman"/>
          <w:b/>
          <w:bCs/>
          <w:color w:val="000000" w:themeColor="text1"/>
          <w:sz w:val="24"/>
          <w:szCs w:val="24"/>
        </w:rPr>
        <w:t>2018</w:t>
      </w:r>
      <w:r w:rsidR="003B4D3E" w:rsidRPr="0083678C">
        <w:rPr>
          <w:rFonts w:ascii="Book Antiqua" w:hAnsi="Book Antiqua" w:cs="Times New Roman"/>
          <w:color w:val="000000" w:themeColor="text1"/>
          <w:sz w:val="24"/>
          <w:szCs w:val="24"/>
        </w:rPr>
        <w:t>: 4938730 [PMID: 29853861 DOI: 10.1155/2018/4938730]</w:t>
      </w:r>
    </w:p>
    <w:p w:rsidR="0042791D" w:rsidRPr="0083678C" w:rsidRDefault="0042791D" w:rsidP="003B4D3E">
      <w:pPr>
        <w:adjustRightInd w:val="0"/>
        <w:snapToGrid w:val="0"/>
        <w:spacing w:after="0" w:line="360" w:lineRule="auto"/>
        <w:jc w:val="both"/>
        <w:rPr>
          <w:rFonts w:ascii="Book Antiqua" w:hAnsi="Book Antiqua" w:cs="Times New Roman"/>
          <w:color w:val="000000" w:themeColor="text1"/>
          <w:sz w:val="24"/>
          <w:szCs w:val="24"/>
        </w:rPr>
      </w:pPr>
    </w:p>
    <w:p w:rsidR="0090144B" w:rsidRPr="0083678C" w:rsidRDefault="0090144B" w:rsidP="0083678C">
      <w:pPr>
        <w:wordWrap w:val="0"/>
        <w:snapToGrid w:val="0"/>
        <w:spacing w:line="360" w:lineRule="auto"/>
        <w:jc w:val="right"/>
        <w:rPr>
          <w:rFonts w:ascii="Book Antiqua" w:eastAsia="宋体" w:hAnsi="Book Antiqua" w:cs="Times New Roman"/>
          <w:sz w:val="24"/>
          <w:szCs w:val="24"/>
          <w:lang w:eastAsia="zh-CN"/>
        </w:rPr>
      </w:pPr>
      <w:bookmarkStart w:id="31" w:name="OLE_LINK148"/>
      <w:bookmarkStart w:id="32" w:name="OLE_LINK320"/>
      <w:bookmarkStart w:id="33" w:name="OLE_LINK387"/>
      <w:bookmarkStart w:id="34" w:name="OLE_LINK254"/>
      <w:bookmarkStart w:id="35" w:name="OLE_LINK149"/>
      <w:bookmarkStart w:id="36" w:name="OLE_LINK225"/>
      <w:bookmarkStart w:id="37" w:name="OLE_LINK207"/>
      <w:bookmarkStart w:id="38" w:name="OLE_LINK226"/>
      <w:bookmarkStart w:id="39" w:name="OLE_LINK212"/>
      <w:bookmarkStart w:id="40" w:name="OLE_LINK250"/>
      <w:bookmarkStart w:id="41" w:name="OLE_LINK281"/>
      <w:bookmarkStart w:id="42" w:name="OLE_LINK282"/>
      <w:bookmarkStart w:id="43" w:name="OLE_LINK313"/>
      <w:bookmarkStart w:id="44" w:name="OLE_LINK304"/>
      <w:bookmarkStart w:id="45" w:name="OLE_LINK321"/>
      <w:bookmarkStart w:id="46" w:name="OLE_LINK385"/>
      <w:bookmarkStart w:id="47" w:name="OLE_LINK400"/>
      <w:bookmarkStart w:id="48" w:name="OLE_LINK346"/>
      <w:bookmarkStart w:id="49" w:name="OLE_LINK371"/>
      <w:bookmarkStart w:id="50" w:name="OLE_LINK334"/>
      <w:bookmarkStart w:id="51" w:name="OLE_LINK1830"/>
      <w:bookmarkStart w:id="52" w:name="OLE_LINK457"/>
      <w:bookmarkStart w:id="53" w:name="OLE_LINK288"/>
      <w:bookmarkStart w:id="54" w:name="OLE_LINK384"/>
      <w:bookmarkStart w:id="55" w:name="OLE_LINK379"/>
      <w:bookmarkStart w:id="56" w:name="OLE_LINK303"/>
      <w:bookmarkStart w:id="57" w:name="OLE_LINK450"/>
      <w:bookmarkStart w:id="58" w:name="OLE_LINK489"/>
      <w:bookmarkStart w:id="59" w:name="OLE_LINK535"/>
      <w:bookmarkStart w:id="60" w:name="OLE_LINK648"/>
      <w:bookmarkStart w:id="61" w:name="OLE_LINK471"/>
      <w:bookmarkStart w:id="62" w:name="OLE_LINK462"/>
      <w:bookmarkStart w:id="63" w:name="OLE_LINK519"/>
      <w:bookmarkStart w:id="64" w:name="OLE_LINK575"/>
      <w:bookmarkStart w:id="65" w:name="OLE_LINK491"/>
      <w:bookmarkStart w:id="66" w:name="OLE_LINK532"/>
      <w:bookmarkStart w:id="67" w:name="OLE_LINK572"/>
      <w:bookmarkStart w:id="68" w:name="OLE_LINK574"/>
      <w:bookmarkStart w:id="69" w:name="OLE_LINK480"/>
      <w:bookmarkStart w:id="70" w:name="OLE_LINK567"/>
      <w:bookmarkStart w:id="71" w:name="OLE_LINK2700"/>
      <w:bookmarkStart w:id="72" w:name="OLE_LINK581"/>
      <w:bookmarkStart w:id="73" w:name="OLE_LINK639"/>
      <w:bookmarkStart w:id="74" w:name="OLE_LINK688"/>
      <w:bookmarkStart w:id="75" w:name="OLE_LINK722"/>
      <w:bookmarkStart w:id="76" w:name="OLE_LINK542"/>
      <w:bookmarkStart w:id="77" w:name="OLE_LINK589"/>
      <w:bookmarkStart w:id="78" w:name="OLE_LINK582"/>
      <w:bookmarkStart w:id="79" w:name="OLE_LINK640"/>
      <w:bookmarkStart w:id="80" w:name="OLE_LINK714"/>
      <w:bookmarkStart w:id="81" w:name="OLE_LINK593"/>
      <w:bookmarkStart w:id="82" w:name="OLE_LINK716"/>
      <w:bookmarkStart w:id="83" w:name="OLE_LINK770"/>
      <w:bookmarkStart w:id="84" w:name="OLE_LINK801"/>
      <w:bookmarkStart w:id="85" w:name="OLE_LINK660"/>
      <w:bookmarkStart w:id="86" w:name="OLE_LINK781"/>
      <w:bookmarkStart w:id="87" w:name="OLE_LINK833"/>
      <w:bookmarkStart w:id="88" w:name="OLE_LINK642"/>
      <w:bookmarkStart w:id="89" w:name="OLE_LINK700"/>
      <w:bookmarkStart w:id="90" w:name="OLE_LINK792"/>
      <w:bookmarkStart w:id="91" w:name="OLE_LINK2882"/>
      <w:bookmarkStart w:id="92" w:name="OLE_LINK836"/>
      <w:bookmarkStart w:id="93" w:name="OLE_LINK889"/>
      <w:bookmarkStart w:id="94" w:name="OLE_LINK782"/>
      <w:bookmarkStart w:id="95" w:name="OLE_LINK826"/>
      <w:bookmarkStart w:id="96" w:name="OLE_LINK865"/>
      <w:bookmarkStart w:id="97" w:name="OLE_LINK856"/>
      <w:bookmarkStart w:id="98" w:name="OLE_LINK908"/>
      <w:bookmarkStart w:id="99" w:name="OLE_LINK980"/>
      <w:bookmarkStart w:id="100" w:name="OLE_LINK1018"/>
      <w:bookmarkStart w:id="101" w:name="OLE_LINK1049"/>
      <w:bookmarkStart w:id="102" w:name="OLE_LINK1076"/>
      <w:bookmarkStart w:id="103" w:name="OLE_LINK1106"/>
      <w:bookmarkStart w:id="104" w:name="OLE_LINK891"/>
      <w:bookmarkStart w:id="105" w:name="OLE_LINK943"/>
      <w:bookmarkStart w:id="106" w:name="OLE_LINK981"/>
      <w:bookmarkStart w:id="107" w:name="OLE_LINK1030"/>
      <w:bookmarkStart w:id="108" w:name="OLE_LINK847"/>
      <w:bookmarkStart w:id="109" w:name="OLE_LINK909"/>
      <w:bookmarkStart w:id="110" w:name="OLE_LINK906"/>
      <w:bookmarkStart w:id="111" w:name="OLE_LINK992"/>
      <w:bookmarkStart w:id="112" w:name="OLE_LINK993"/>
      <w:bookmarkStart w:id="113" w:name="OLE_LINK1052"/>
      <w:bookmarkStart w:id="114" w:name="OLE_LINK946"/>
      <w:bookmarkStart w:id="115" w:name="OLE_LINK911"/>
      <w:bookmarkStart w:id="116" w:name="OLE_LINK930"/>
      <w:bookmarkStart w:id="117" w:name="OLE_LINK1059"/>
      <w:bookmarkStart w:id="118" w:name="OLE_LINK1174"/>
      <w:bookmarkStart w:id="119" w:name="OLE_LINK1137"/>
      <w:bookmarkStart w:id="120" w:name="OLE_LINK1167"/>
      <w:bookmarkStart w:id="121" w:name="OLE_LINK1200"/>
      <w:bookmarkStart w:id="122" w:name="OLE_LINK1241"/>
      <w:bookmarkStart w:id="123" w:name="OLE_LINK1288"/>
      <w:bookmarkStart w:id="124" w:name="OLE_LINK1056"/>
      <w:bookmarkStart w:id="125" w:name="OLE_LINK1158"/>
      <w:bookmarkStart w:id="126" w:name="OLE_LINK1175"/>
      <w:bookmarkStart w:id="127" w:name="OLE_LINK1074"/>
      <w:bookmarkStart w:id="128" w:name="OLE_LINK1169"/>
      <w:bookmarkStart w:id="129" w:name="OLE_LINK386"/>
      <w:bookmarkStart w:id="130" w:name="OLE_LINK33"/>
      <w:bookmarkStart w:id="131" w:name="OLE_LINK34"/>
      <w:r w:rsidRPr="0083678C">
        <w:rPr>
          <w:rFonts w:ascii="Book Antiqua" w:eastAsia="宋体" w:hAnsi="Book Antiqua" w:cs="Times New Roman"/>
          <w:b/>
          <w:bCs/>
          <w:sz w:val="24"/>
          <w:szCs w:val="24"/>
          <w:lang w:eastAsia="zh-CN"/>
        </w:rPr>
        <w:t xml:space="preserve"> P-Reviewer:</w:t>
      </w:r>
      <w:r w:rsidRPr="0083678C">
        <w:rPr>
          <w:rFonts w:ascii="Book Antiqua" w:eastAsia="宋体" w:hAnsi="Book Antiqua" w:cs="Times New Roman" w:hint="eastAsia"/>
          <w:b/>
          <w:bCs/>
          <w:sz w:val="24"/>
          <w:szCs w:val="24"/>
          <w:lang w:eastAsia="zh-CN"/>
        </w:rPr>
        <w:t xml:space="preserve"> </w:t>
      </w:r>
      <w:r w:rsidRPr="0083678C">
        <w:rPr>
          <w:rFonts w:ascii="Book Antiqua" w:eastAsia="宋体" w:hAnsi="Book Antiqua" w:cs="Times New Roman"/>
          <w:bCs/>
          <w:sz w:val="24"/>
          <w:szCs w:val="24"/>
          <w:lang w:eastAsia="zh-CN"/>
        </w:rPr>
        <w:t>Amiri M, Nishida T</w:t>
      </w:r>
      <w:r w:rsidR="0083678C" w:rsidRPr="0083678C">
        <w:rPr>
          <w:rFonts w:ascii="Book Antiqua" w:eastAsia="宋体" w:hAnsi="Book Antiqua" w:cs="Times New Roman" w:hint="eastAsia"/>
          <w:bCs/>
          <w:sz w:val="24"/>
          <w:szCs w:val="24"/>
          <w:lang w:eastAsia="zh-CN"/>
        </w:rPr>
        <w:t xml:space="preserve">  </w:t>
      </w:r>
      <w:r w:rsidRPr="0083678C">
        <w:rPr>
          <w:rFonts w:ascii="Book Antiqua" w:eastAsia="宋体" w:hAnsi="Book Antiqua" w:cs="Times New Roman"/>
          <w:b/>
          <w:bCs/>
          <w:sz w:val="24"/>
          <w:szCs w:val="24"/>
          <w:lang w:eastAsia="zh-CN"/>
        </w:rPr>
        <w:t>S-Editor:</w:t>
      </w:r>
      <w:r w:rsidRPr="0083678C">
        <w:rPr>
          <w:rFonts w:ascii="Book Antiqua" w:eastAsia="宋体" w:hAnsi="Book Antiqua" w:cs="Times New Roman" w:hint="eastAsia"/>
          <w:sz w:val="24"/>
          <w:szCs w:val="24"/>
          <w:lang w:eastAsia="zh-CN"/>
        </w:rPr>
        <w:t xml:space="preserve"> </w:t>
      </w:r>
      <w:r w:rsidRPr="0083678C">
        <w:rPr>
          <w:rFonts w:ascii="Book Antiqua" w:eastAsia="宋体" w:hAnsi="Book Antiqua" w:cs="Times New Roman"/>
          <w:sz w:val="24"/>
          <w:szCs w:val="24"/>
          <w:lang w:eastAsia="zh-CN"/>
        </w:rPr>
        <w:t>Ma</w:t>
      </w:r>
      <w:r w:rsidRPr="0083678C">
        <w:rPr>
          <w:rFonts w:ascii="Book Antiqua" w:eastAsia="宋体" w:hAnsi="Book Antiqua" w:cs="Times New Roman" w:hint="eastAsia"/>
          <w:sz w:val="24"/>
          <w:szCs w:val="24"/>
          <w:lang w:eastAsia="zh-CN"/>
        </w:rPr>
        <w:t xml:space="preserve"> </w:t>
      </w:r>
      <w:r w:rsidRPr="0083678C">
        <w:rPr>
          <w:rFonts w:ascii="Book Antiqua" w:eastAsia="宋体" w:hAnsi="Book Antiqua" w:cs="Times New Roman"/>
          <w:sz w:val="24"/>
          <w:szCs w:val="24"/>
          <w:lang w:eastAsia="zh-CN"/>
        </w:rPr>
        <w:t>RY</w:t>
      </w:r>
      <w:r w:rsidRPr="0083678C">
        <w:rPr>
          <w:rFonts w:ascii="Book Antiqua" w:eastAsia="宋体" w:hAnsi="Book Antiqua" w:cs="Times New Roman" w:hint="eastAsia"/>
          <w:sz w:val="24"/>
          <w:szCs w:val="24"/>
          <w:lang w:eastAsia="zh-CN"/>
        </w:rPr>
        <w:t xml:space="preserve"> </w:t>
      </w:r>
      <w:r w:rsidRPr="0083678C">
        <w:rPr>
          <w:rFonts w:ascii="Book Antiqua" w:eastAsia="宋体" w:hAnsi="Book Antiqua" w:cs="Times New Roman"/>
          <w:b/>
          <w:bCs/>
          <w:sz w:val="24"/>
          <w:szCs w:val="24"/>
          <w:lang w:eastAsia="zh-CN"/>
        </w:rPr>
        <w:t>L-Editor:</w:t>
      </w:r>
      <w:r w:rsidR="0083678C" w:rsidRPr="0083678C">
        <w:rPr>
          <w:rFonts w:ascii="Book Antiqua" w:eastAsia="宋体" w:hAnsi="Book Antiqua" w:cs="Times New Roman" w:hint="eastAsia"/>
          <w:b/>
          <w:bCs/>
          <w:sz w:val="24"/>
          <w:szCs w:val="24"/>
          <w:lang w:eastAsia="zh-CN"/>
        </w:rPr>
        <w:t xml:space="preserve"> </w:t>
      </w:r>
      <w:r w:rsidR="0083678C" w:rsidRPr="0083678C">
        <w:rPr>
          <w:rFonts w:ascii="Book Antiqua" w:eastAsia="宋体" w:hAnsi="Book Antiqua" w:cs="Times New Roman" w:hint="eastAsia"/>
          <w:bCs/>
          <w:sz w:val="24"/>
          <w:szCs w:val="24"/>
          <w:lang w:eastAsia="zh-CN"/>
        </w:rPr>
        <w:t>A</w:t>
      </w:r>
      <w:r w:rsidR="0083678C" w:rsidRPr="0083678C">
        <w:rPr>
          <w:rFonts w:ascii="Book Antiqua" w:eastAsia="宋体" w:hAnsi="Book Antiqua" w:cs="Times New Roman" w:hint="eastAsia"/>
          <w:b/>
          <w:bCs/>
          <w:sz w:val="24"/>
          <w:szCs w:val="24"/>
          <w:lang w:eastAsia="zh-CN"/>
        </w:rPr>
        <w:t xml:space="preserve"> </w:t>
      </w:r>
      <w:r w:rsidRPr="0083678C">
        <w:rPr>
          <w:rFonts w:ascii="Book Antiqua" w:eastAsia="宋体" w:hAnsi="Book Antiqua" w:cs="Times New Roman"/>
          <w:sz w:val="24"/>
          <w:szCs w:val="24"/>
          <w:lang w:eastAsia="zh-CN"/>
        </w:rPr>
        <w:t xml:space="preserve"> </w:t>
      </w:r>
      <w:r w:rsidRPr="0083678C">
        <w:rPr>
          <w:rFonts w:ascii="Book Antiqua" w:eastAsia="宋体" w:hAnsi="Book Antiqua" w:cs="Times New Roman"/>
          <w:b/>
          <w:bCs/>
          <w:sz w:val="24"/>
          <w:szCs w:val="24"/>
          <w:lang w:eastAsia="zh-CN"/>
        </w:rPr>
        <w:t>E-Editor:</w:t>
      </w:r>
      <w:r w:rsidR="0083678C" w:rsidRPr="0083678C">
        <w:rPr>
          <w:rFonts w:ascii="Book Antiqua" w:eastAsia="宋体" w:hAnsi="Book Antiqua" w:cs="Times New Roman" w:hint="eastAsia"/>
          <w:b/>
          <w:bCs/>
          <w:sz w:val="24"/>
          <w:szCs w:val="24"/>
          <w:lang w:eastAsia="zh-CN"/>
        </w:rPr>
        <w:t xml:space="preserve"> </w:t>
      </w:r>
      <w:r w:rsidR="0083678C" w:rsidRPr="0083678C">
        <w:rPr>
          <w:rFonts w:ascii="Book Antiqua" w:eastAsia="宋体" w:hAnsi="Book Antiqua" w:cs="Times New Roman" w:hint="eastAsia"/>
          <w:bCs/>
          <w:sz w:val="24"/>
          <w:szCs w:val="24"/>
          <w:lang w:eastAsia="zh-CN"/>
        </w:rPr>
        <w:t>Liu JH</w:t>
      </w:r>
    </w:p>
    <w:p w:rsidR="0090144B" w:rsidRPr="0083678C" w:rsidRDefault="0090144B" w:rsidP="0090144B">
      <w:pPr>
        <w:shd w:val="clear" w:color="auto" w:fill="FFFFFF"/>
        <w:snapToGrid w:val="0"/>
        <w:spacing w:after="0" w:line="360" w:lineRule="auto"/>
        <w:jc w:val="both"/>
        <w:rPr>
          <w:rFonts w:ascii="Book Antiqua" w:eastAsia="宋体" w:hAnsi="Book Antiqua" w:cs="Helvetica"/>
          <w:b/>
          <w:sz w:val="24"/>
          <w:szCs w:val="24"/>
          <w:lang w:eastAsia="zh-CN"/>
        </w:rPr>
      </w:pPr>
      <w:bookmarkStart w:id="132" w:name="OLE_LINK880"/>
      <w:bookmarkStart w:id="133" w:name="OLE_LINK88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83678C">
        <w:rPr>
          <w:rFonts w:ascii="Book Antiqua" w:eastAsia="宋体" w:hAnsi="Book Antiqua" w:cs="Helvetica"/>
          <w:b/>
          <w:sz w:val="24"/>
          <w:szCs w:val="24"/>
          <w:lang w:eastAsia="zh-CN"/>
        </w:rPr>
        <w:t xml:space="preserve">Specialty type: </w:t>
      </w:r>
      <w:r w:rsidRPr="0083678C">
        <w:rPr>
          <w:rFonts w:ascii="Book Antiqua" w:eastAsia="宋体" w:hAnsi="Book Antiqua" w:cs="Helvetica"/>
          <w:sz w:val="24"/>
          <w:szCs w:val="24"/>
          <w:lang w:eastAsia="zh-CN"/>
        </w:rPr>
        <w:t>Gastroenterology and</w:t>
      </w:r>
      <w:r w:rsidRPr="0083678C">
        <w:rPr>
          <w:rFonts w:ascii="Book Antiqua" w:eastAsia="宋体" w:hAnsi="Book Antiqua" w:cs="Helvetica" w:hint="eastAsia"/>
          <w:sz w:val="24"/>
          <w:szCs w:val="24"/>
          <w:lang w:eastAsia="zh-CN"/>
        </w:rPr>
        <w:t xml:space="preserve"> </w:t>
      </w:r>
      <w:r w:rsidRPr="0083678C">
        <w:rPr>
          <w:rFonts w:ascii="Book Antiqua" w:eastAsia="宋体" w:hAnsi="Book Antiqua" w:cs="Helvetica"/>
          <w:sz w:val="24"/>
          <w:szCs w:val="24"/>
          <w:lang w:eastAsia="zh-CN"/>
        </w:rPr>
        <w:t>hepatology</w:t>
      </w:r>
    </w:p>
    <w:p w:rsidR="0090144B" w:rsidRPr="0083678C" w:rsidRDefault="0090144B" w:rsidP="0090144B">
      <w:pPr>
        <w:shd w:val="clear" w:color="auto" w:fill="FFFFFF"/>
        <w:snapToGrid w:val="0"/>
        <w:spacing w:after="0" w:line="360" w:lineRule="auto"/>
        <w:jc w:val="both"/>
        <w:rPr>
          <w:rFonts w:ascii="Book Antiqua" w:eastAsia="宋体" w:hAnsi="Book Antiqua" w:cs="Helvetica"/>
          <w:b/>
          <w:sz w:val="24"/>
          <w:szCs w:val="24"/>
          <w:lang w:eastAsia="zh-CN"/>
        </w:rPr>
      </w:pPr>
      <w:r w:rsidRPr="0083678C">
        <w:rPr>
          <w:rFonts w:ascii="Book Antiqua" w:eastAsia="宋体" w:hAnsi="Book Antiqua" w:cs="Helvetica"/>
          <w:b/>
          <w:sz w:val="24"/>
          <w:szCs w:val="24"/>
          <w:lang w:eastAsia="zh-CN"/>
        </w:rPr>
        <w:t xml:space="preserve">Country of origin: </w:t>
      </w:r>
      <w:r w:rsidRPr="0083678C">
        <w:rPr>
          <w:rFonts w:ascii="Book Antiqua" w:eastAsia="宋体" w:hAnsi="Book Antiqua" w:cs="Helvetica"/>
          <w:sz w:val="24"/>
          <w:szCs w:val="24"/>
          <w:lang w:eastAsia="zh-CN"/>
        </w:rPr>
        <w:t>Vietnam</w:t>
      </w:r>
    </w:p>
    <w:p w:rsidR="0090144B" w:rsidRPr="0083678C" w:rsidRDefault="0090144B" w:rsidP="0090144B">
      <w:pPr>
        <w:shd w:val="clear" w:color="auto" w:fill="FFFFFF"/>
        <w:snapToGrid w:val="0"/>
        <w:spacing w:after="0" w:line="360" w:lineRule="auto"/>
        <w:jc w:val="both"/>
        <w:rPr>
          <w:rFonts w:ascii="Book Antiqua" w:eastAsia="宋体" w:hAnsi="Book Antiqua" w:cs="Helvetica"/>
          <w:b/>
          <w:sz w:val="24"/>
          <w:szCs w:val="24"/>
          <w:lang w:eastAsia="zh-CN"/>
        </w:rPr>
      </w:pPr>
      <w:r w:rsidRPr="0083678C">
        <w:rPr>
          <w:rFonts w:ascii="Book Antiqua" w:eastAsia="宋体" w:hAnsi="Book Antiqua" w:cs="Helvetica"/>
          <w:b/>
          <w:sz w:val="24"/>
          <w:szCs w:val="24"/>
          <w:lang w:eastAsia="zh-CN"/>
        </w:rPr>
        <w:t>Peer-review report classification</w:t>
      </w:r>
    </w:p>
    <w:p w:rsidR="0090144B" w:rsidRPr="0083678C" w:rsidRDefault="0090144B" w:rsidP="0090144B">
      <w:pPr>
        <w:shd w:val="clear" w:color="auto" w:fill="FFFFFF"/>
        <w:snapToGrid w:val="0"/>
        <w:spacing w:after="0" w:line="360" w:lineRule="auto"/>
        <w:jc w:val="both"/>
        <w:rPr>
          <w:rFonts w:ascii="Book Antiqua" w:eastAsia="宋体" w:hAnsi="Book Antiqua" w:cs="Helvetica"/>
          <w:sz w:val="24"/>
          <w:szCs w:val="24"/>
          <w:lang w:eastAsia="zh-CN"/>
        </w:rPr>
      </w:pPr>
      <w:r w:rsidRPr="0083678C">
        <w:rPr>
          <w:rFonts w:ascii="Book Antiqua" w:eastAsia="宋体" w:hAnsi="Book Antiqua" w:cs="Helvetica"/>
          <w:sz w:val="24"/>
          <w:szCs w:val="24"/>
          <w:lang w:eastAsia="zh-CN"/>
        </w:rPr>
        <w:t xml:space="preserve">Grade A (Excellent): </w:t>
      </w:r>
      <w:r w:rsidRPr="0083678C">
        <w:rPr>
          <w:rFonts w:ascii="Book Antiqua" w:eastAsia="宋体" w:hAnsi="Book Antiqua" w:cs="Helvetica" w:hint="eastAsia"/>
          <w:sz w:val="24"/>
          <w:szCs w:val="24"/>
          <w:lang w:eastAsia="zh-CN"/>
        </w:rPr>
        <w:t>0</w:t>
      </w:r>
    </w:p>
    <w:p w:rsidR="0090144B" w:rsidRPr="0083678C" w:rsidRDefault="0090144B" w:rsidP="0090144B">
      <w:pPr>
        <w:shd w:val="clear" w:color="auto" w:fill="FFFFFF"/>
        <w:snapToGrid w:val="0"/>
        <w:spacing w:after="0" w:line="360" w:lineRule="auto"/>
        <w:jc w:val="both"/>
        <w:rPr>
          <w:rFonts w:ascii="Book Antiqua" w:eastAsia="宋体" w:hAnsi="Book Antiqua" w:cs="Helvetica"/>
          <w:sz w:val="24"/>
          <w:szCs w:val="24"/>
          <w:lang w:eastAsia="zh-CN"/>
        </w:rPr>
      </w:pPr>
      <w:r w:rsidRPr="0083678C">
        <w:rPr>
          <w:rFonts w:ascii="Book Antiqua" w:eastAsia="宋体" w:hAnsi="Book Antiqua" w:cs="Helvetica"/>
          <w:sz w:val="24"/>
          <w:szCs w:val="24"/>
          <w:lang w:eastAsia="zh-CN"/>
        </w:rPr>
        <w:t xml:space="preserve">Grade B (Very good): </w:t>
      </w:r>
      <w:r w:rsidRPr="0083678C">
        <w:rPr>
          <w:rFonts w:ascii="Book Antiqua" w:eastAsia="宋体" w:hAnsi="Book Antiqua" w:cs="Helvetica" w:hint="eastAsia"/>
          <w:sz w:val="24"/>
          <w:szCs w:val="24"/>
          <w:lang w:eastAsia="zh-CN"/>
        </w:rPr>
        <w:t>B</w:t>
      </w:r>
      <w:r w:rsidRPr="0083678C">
        <w:rPr>
          <w:rFonts w:ascii="Book Antiqua" w:eastAsia="宋体" w:hAnsi="Book Antiqua" w:cs="Helvetica"/>
          <w:sz w:val="24"/>
          <w:szCs w:val="24"/>
          <w:lang w:eastAsia="zh-CN"/>
        </w:rPr>
        <w:t>, B</w:t>
      </w:r>
    </w:p>
    <w:p w:rsidR="0090144B" w:rsidRPr="0083678C" w:rsidRDefault="0090144B" w:rsidP="0090144B">
      <w:pPr>
        <w:shd w:val="clear" w:color="auto" w:fill="FFFFFF"/>
        <w:snapToGrid w:val="0"/>
        <w:spacing w:after="0" w:line="360" w:lineRule="auto"/>
        <w:jc w:val="both"/>
        <w:rPr>
          <w:rFonts w:ascii="Book Antiqua" w:eastAsia="宋体" w:hAnsi="Book Antiqua" w:cs="Helvetica"/>
          <w:sz w:val="24"/>
          <w:szCs w:val="24"/>
          <w:lang w:eastAsia="zh-CN"/>
        </w:rPr>
      </w:pPr>
      <w:r w:rsidRPr="0083678C">
        <w:rPr>
          <w:rFonts w:ascii="Book Antiqua" w:eastAsia="宋体" w:hAnsi="Book Antiqua" w:cs="Helvetica"/>
          <w:sz w:val="24"/>
          <w:szCs w:val="24"/>
          <w:lang w:eastAsia="zh-CN"/>
        </w:rPr>
        <w:t>Grade C (Good): 0</w:t>
      </w:r>
    </w:p>
    <w:p w:rsidR="0090144B" w:rsidRPr="0083678C" w:rsidRDefault="0090144B" w:rsidP="0090144B">
      <w:pPr>
        <w:shd w:val="clear" w:color="auto" w:fill="FFFFFF"/>
        <w:snapToGrid w:val="0"/>
        <w:spacing w:after="0" w:line="360" w:lineRule="auto"/>
        <w:jc w:val="both"/>
        <w:rPr>
          <w:rFonts w:ascii="Book Antiqua" w:eastAsia="宋体" w:hAnsi="Book Antiqua" w:cs="Helvetica"/>
          <w:sz w:val="24"/>
          <w:szCs w:val="24"/>
          <w:lang w:eastAsia="zh-CN"/>
        </w:rPr>
      </w:pPr>
      <w:r w:rsidRPr="0083678C">
        <w:rPr>
          <w:rFonts w:ascii="Book Antiqua" w:eastAsia="宋体" w:hAnsi="Book Antiqua" w:cs="Helvetica"/>
          <w:sz w:val="24"/>
          <w:szCs w:val="24"/>
          <w:lang w:eastAsia="zh-CN"/>
        </w:rPr>
        <w:t xml:space="preserve">Grade D (Fair): </w:t>
      </w:r>
      <w:r w:rsidRPr="0083678C">
        <w:rPr>
          <w:rFonts w:ascii="Book Antiqua" w:eastAsia="宋体" w:hAnsi="Book Antiqua" w:cs="Helvetica" w:hint="eastAsia"/>
          <w:sz w:val="24"/>
          <w:szCs w:val="24"/>
          <w:lang w:eastAsia="zh-CN"/>
        </w:rPr>
        <w:t>0</w:t>
      </w:r>
    </w:p>
    <w:p w:rsidR="0090144B" w:rsidRPr="0083678C" w:rsidRDefault="0090144B" w:rsidP="0090144B">
      <w:pPr>
        <w:snapToGrid w:val="0"/>
        <w:spacing w:after="0" w:line="360" w:lineRule="auto"/>
        <w:jc w:val="both"/>
        <w:rPr>
          <w:rFonts w:ascii="Book Antiqua" w:eastAsia="宋体" w:hAnsi="Book Antiqua" w:cs="Times New Roman"/>
          <w:b/>
          <w:iCs/>
          <w:sz w:val="24"/>
          <w:szCs w:val="24"/>
          <w:lang w:eastAsia="zh-CN"/>
        </w:rPr>
      </w:pPr>
      <w:r w:rsidRPr="0083678C">
        <w:rPr>
          <w:rFonts w:ascii="Book Antiqua" w:eastAsia="宋体" w:hAnsi="Book Antiqua" w:cs="Helvetica"/>
          <w:sz w:val="24"/>
          <w:szCs w:val="24"/>
          <w:lang w:eastAsia="zh-CN"/>
        </w:rPr>
        <w:t xml:space="preserve">Grade E (Poor): </w:t>
      </w:r>
      <w:r w:rsidRPr="0083678C">
        <w:rPr>
          <w:rFonts w:ascii="Book Antiqua" w:eastAsia="宋体" w:hAnsi="Book Antiqua" w:cs="Helvetica" w:hint="eastAsia"/>
          <w:sz w:val="24"/>
          <w:szCs w:val="24"/>
          <w:lang w:eastAsia="zh-CN"/>
        </w:rPr>
        <w:t>0</w:t>
      </w:r>
      <w:bookmarkEnd w:id="129"/>
      <w:bookmarkEnd w:id="132"/>
      <w:bookmarkEnd w:id="133"/>
    </w:p>
    <w:bookmarkEnd w:id="130"/>
    <w:bookmarkEnd w:id="131"/>
    <w:p w:rsidR="00EB7D63" w:rsidRPr="0083678C" w:rsidRDefault="00EB7D63">
      <w:pPr>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br w:type="page"/>
      </w:r>
    </w:p>
    <w:p w:rsidR="00CD0051" w:rsidRPr="0083678C" w:rsidRDefault="00CD0051" w:rsidP="00B43CE7">
      <w:p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color w:val="000000" w:themeColor="text1"/>
          <w:sz w:val="24"/>
          <w:szCs w:val="24"/>
        </w:rPr>
      </w:pPr>
      <w:r w:rsidRPr="0083678C">
        <w:rPr>
          <w:rFonts w:ascii="Book Antiqua" w:eastAsia="Times New Roman" w:hAnsi="Book Antiqua" w:cs="Times New Roman"/>
          <w:noProof/>
          <w:color w:val="000000" w:themeColor="text1"/>
          <w:sz w:val="24"/>
          <w:szCs w:val="24"/>
          <w:lang w:eastAsia="zh-CN"/>
        </w:rPr>
        <w:lastRenderedPageBreak/>
        <w:drawing>
          <wp:inline distT="0" distB="0" distL="0" distR="0" wp14:anchorId="682CBC2C" wp14:editId="173BCB17">
            <wp:extent cx="5941496" cy="29573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idence UTDD - Globocan 2018.png"/>
                    <pic:cNvPicPr/>
                  </pic:nvPicPr>
                  <pic:blipFill rotWithShape="1">
                    <a:blip r:embed="rId9" cstate="print">
                      <a:extLst>
                        <a:ext uri="{28A0092B-C50C-407E-A947-70E740481C1C}">
                          <a14:useLocalDpi xmlns:a14="http://schemas.microsoft.com/office/drawing/2010/main" val="0"/>
                        </a:ext>
                      </a:extLst>
                    </a:blip>
                    <a:srcRect t="8475" b="11465"/>
                    <a:stretch/>
                  </pic:blipFill>
                  <pic:spPr bwMode="auto">
                    <a:xfrm>
                      <a:off x="0" y="0"/>
                      <a:ext cx="5948067" cy="2960603"/>
                    </a:xfrm>
                    <a:prstGeom prst="rect">
                      <a:avLst/>
                    </a:prstGeom>
                    <a:ln>
                      <a:noFill/>
                    </a:ln>
                    <a:extLst>
                      <a:ext uri="{53640926-AAD7-44D8-BBD7-CCE9431645EC}">
                        <a14:shadowObscured xmlns:a14="http://schemas.microsoft.com/office/drawing/2010/main"/>
                      </a:ext>
                    </a:extLst>
                  </pic:spPr>
                </pic:pic>
              </a:graphicData>
            </a:graphic>
          </wp:inline>
        </w:drawing>
      </w:r>
    </w:p>
    <w:p w:rsidR="00CD0051" w:rsidRPr="0083678C" w:rsidRDefault="00A03710" w:rsidP="00EB7D63">
      <w:p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imes New Roman" w:hAnsi="Book Antiqua" w:cs="Times New Roman"/>
          <w:b/>
          <w:color w:val="000000" w:themeColor="text1"/>
          <w:sz w:val="24"/>
          <w:szCs w:val="24"/>
        </w:rPr>
      </w:pPr>
      <w:r w:rsidRPr="0083678C">
        <w:rPr>
          <w:rFonts w:ascii="Book Antiqua" w:eastAsia="Times New Roman" w:hAnsi="Book Antiqua" w:cs="Times New Roman"/>
          <w:b/>
          <w:color w:val="000000" w:themeColor="text1"/>
          <w:sz w:val="24"/>
          <w:szCs w:val="24"/>
        </w:rPr>
        <w:t>Figure 1</w:t>
      </w:r>
      <w:r w:rsidR="00C9126A" w:rsidRPr="0083678C">
        <w:rPr>
          <w:rFonts w:ascii="Book Antiqua" w:eastAsia="Times New Roman" w:hAnsi="Book Antiqua" w:cs="Times New Roman"/>
          <w:b/>
          <w:color w:val="000000" w:themeColor="text1"/>
          <w:sz w:val="24"/>
          <w:szCs w:val="24"/>
        </w:rPr>
        <w:t xml:space="preserve"> </w:t>
      </w:r>
      <w:r w:rsidRPr="0083678C">
        <w:rPr>
          <w:rFonts w:ascii="Book Antiqua" w:eastAsia="Times New Roman" w:hAnsi="Book Antiqua" w:cs="Times New Roman"/>
          <w:b/>
          <w:color w:val="000000" w:themeColor="text1"/>
          <w:sz w:val="24"/>
          <w:szCs w:val="24"/>
        </w:rPr>
        <w:t>The estimated age-standardized incidence rate for gastric cancer in 2018 (both sexes, all ages)</w:t>
      </w:r>
      <w:r w:rsidR="00DD508B" w:rsidRPr="0083678C">
        <w:rPr>
          <w:rFonts w:ascii="Book Antiqua" w:eastAsia="Times New Roman" w:hAnsi="Book Antiqua" w:cs="Times New Roman"/>
          <w:b/>
          <w:color w:val="000000" w:themeColor="text1"/>
          <w:sz w:val="24"/>
          <w:szCs w:val="24"/>
          <w:vertAlign w:val="superscript"/>
        </w:rPr>
        <w:t>[</w:t>
      </w:r>
      <w:r w:rsidR="0042791D" w:rsidRPr="0083678C">
        <w:rPr>
          <w:rFonts w:ascii="Book Antiqua" w:eastAsia="Times New Roman" w:hAnsi="Book Antiqua" w:cs="Times New Roman"/>
          <w:b/>
          <w:color w:val="000000" w:themeColor="text1"/>
          <w:sz w:val="24"/>
          <w:szCs w:val="24"/>
          <w:vertAlign w:val="superscript"/>
        </w:rPr>
        <w:t>1</w:t>
      </w:r>
      <w:r w:rsidR="00DD508B" w:rsidRPr="0083678C">
        <w:rPr>
          <w:rFonts w:ascii="Book Antiqua" w:eastAsia="Times New Roman" w:hAnsi="Book Antiqua" w:cs="Times New Roman"/>
          <w:b/>
          <w:color w:val="000000" w:themeColor="text1"/>
          <w:sz w:val="24"/>
          <w:szCs w:val="24"/>
          <w:vertAlign w:val="superscript"/>
        </w:rPr>
        <w:t>]</w:t>
      </w:r>
      <w:r w:rsidR="00C9126A" w:rsidRPr="0083678C">
        <w:rPr>
          <w:rFonts w:ascii="Book Antiqua" w:eastAsia="Times New Roman" w:hAnsi="Book Antiqua" w:cs="Times New Roman"/>
          <w:b/>
          <w:color w:val="000000" w:themeColor="text1"/>
          <w:sz w:val="24"/>
          <w:szCs w:val="24"/>
        </w:rPr>
        <w:t>.</w:t>
      </w:r>
    </w:p>
    <w:p w:rsidR="00CD0051" w:rsidRPr="0083678C" w:rsidRDefault="00CD0051" w:rsidP="00B43CE7">
      <w:pPr>
        <w:adjustRightInd w:val="0"/>
        <w:snapToGrid w:val="0"/>
        <w:spacing w:after="0" w:line="360" w:lineRule="auto"/>
        <w:jc w:val="both"/>
        <w:rPr>
          <w:rFonts w:ascii="Book Antiqua" w:eastAsia="Times New Roman" w:hAnsi="Book Antiqua" w:cs="Times New Roman"/>
          <w:b/>
          <w:color w:val="000000" w:themeColor="text1"/>
          <w:sz w:val="24"/>
          <w:szCs w:val="24"/>
        </w:rPr>
      </w:pPr>
      <w:r w:rsidRPr="0083678C">
        <w:rPr>
          <w:rFonts w:ascii="Book Antiqua" w:hAnsi="Book Antiqua" w:cs="Times New Roman"/>
          <w:b/>
          <w:color w:val="000000" w:themeColor="text1"/>
          <w:sz w:val="24"/>
          <w:szCs w:val="24"/>
        </w:rPr>
        <w:br w:type="page"/>
      </w:r>
    </w:p>
    <w:p w:rsidR="00F440C0" w:rsidRPr="0083678C" w:rsidRDefault="00552879" w:rsidP="00B43CE7">
      <w:pPr>
        <w:adjustRightInd w:val="0"/>
        <w:snapToGrid w:val="0"/>
        <w:spacing w:after="0" w:line="360" w:lineRule="auto"/>
        <w:jc w:val="both"/>
        <w:rPr>
          <w:rFonts w:ascii="Book Antiqua" w:hAnsi="Book Antiqua"/>
          <w:color w:val="000000" w:themeColor="text1"/>
          <w:sz w:val="24"/>
          <w:szCs w:val="24"/>
        </w:rPr>
      </w:pPr>
      <w:r w:rsidRPr="0083678C">
        <w:rPr>
          <w:rFonts w:ascii="Book Antiqua" w:hAnsi="Book Antiqua"/>
          <w:noProof/>
          <w:color w:val="000000" w:themeColor="text1"/>
          <w:sz w:val="24"/>
          <w:szCs w:val="24"/>
          <w:lang w:eastAsia="zh-CN"/>
        </w:rPr>
        <w:lastRenderedPageBreak/>
        <w:drawing>
          <wp:inline distT="0" distB="0" distL="0" distR="0" wp14:anchorId="6BEAE26E" wp14:editId="2CFD9531">
            <wp:extent cx="5943600" cy="60680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6068060"/>
                    </a:xfrm>
                    <a:prstGeom prst="rect">
                      <a:avLst/>
                    </a:prstGeom>
                  </pic:spPr>
                </pic:pic>
              </a:graphicData>
            </a:graphic>
          </wp:inline>
        </w:drawing>
      </w:r>
    </w:p>
    <w:p w:rsidR="00F440C0" w:rsidRPr="0083678C" w:rsidRDefault="004626B5" w:rsidP="00B43CE7">
      <w:pPr>
        <w:pStyle w:val="a7"/>
        <w:adjustRightInd w:val="0"/>
        <w:snapToGrid w:val="0"/>
        <w:spacing w:before="0" w:beforeAutospacing="0" w:after="0" w:afterAutospacing="0" w:line="360" w:lineRule="auto"/>
        <w:jc w:val="both"/>
        <w:textAlignment w:val="baseline"/>
        <w:rPr>
          <w:rFonts w:ascii="Book Antiqua" w:hAnsi="Book Antiqua"/>
          <w:color w:val="000000" w:themeColor="text1"/>
        </w:rPr>
      </w:pPr>
      <w:r w:rsidRPr="0083678C">
        <w:rPr>
          <w:rFonts w:ascii="Book Antiqua" w:hAnsi="Book Antiqua"/>
          <w:b/>
          <w:color w:val="000000" w:themeColor="text1"/>
        </w:rPr>
        <w:t>Figure 2</w:t>
      </w:r>
      <w:r w:rsidR="00C9126A" w:rsidRPr="0083678C">
        <w:rPr>
          <w:rFonts w:ascii="Book Antiqua" w:hAnsi="Book Antiqua"/>
          <w:b/>
          <w:color w:val="000000" w:themeColor="text1"/>
        </w:rPr>
        <w:t xml:space="preserve"> </w:t>
      </w:r>
      <w:r w:rsidRPr="0083678C">
        <w:rPr>
          <w:rFonts w:ascii="Book Antiqua" w:hAnsi="Book Antiqua"/>
          <w:b/>
          <w:color w:val="000000" w:themeColor="text1"/>
        </w:rPr>
        <w:t>Possibly cost-effective approaches for identifying asymptomatic individuals with a high risk of gastric cancer development.</w:t>
      </w:r>
      <w:r w:rsidRPr="0083678C">
        <w:rPr>
          <w:rFonts w:ascii="Book Antiqua" w:hAnsi="Book Antiqua"/>
          <w:color w:val="000000" w:themeColor="text1"/>
        </w:rPr>
        <w:t xml:space="preserve"> </w:t>
      </w:r>
      <w:r w:rsidR="00C9126A" w:rsidRPr="0083678C">
        <w:rPr>
          <w:rFonts w:ascii="Book Antiqua" w:hAnsi="Book Antiqua"/>
          <w:color w:val="000000" w:themeColor="text1"/>
          <w:vertAlign w:val="superscript"/>
        </w:rPr>
        <w:t>1</w:t>
      </w:r>
      <w:r w:rsidR="00C9126A" w:rsidRPr="0083678C">
        <w:rPr>
          <w:rFonts w:ascii="Book Antiqua" w:hAnsi="Book Antiqua"/>
          <w:color w:val="000000" w:themeColor="text1"/>
        </w:rPr>
        <w:t xml:space="preserve">The age-standardized incidence rate is greater than 20 per 100000. </w:t>
      </w:r>
      <w:r w:rsidR="00C9126A" w:rsidRPr="0083678C">
        <w:rPr>
          <w:rFonts w:ascii="Book Antiqua" w:hAnsi="Book Antiqua"/>
          <w:color w:val="000000" w:themeColor="text1"/>
          <w:vertAlign w:val="superscript"/>
        </w:rPr>
        <w:t>2</w:t>
      </w:r>
      <w:r w:rsidR="00C9126A" w:rsidRPr="0083678C">
        <w:rPr>
          <w:rFonts w:ascii="Book Antiqua" w:hAnsi="Book Antiqua"/>
          <w:color w:val="000000" w:themeColor="text1"/>
        </w:rPr>
        <w:t xml:space="preserve">Applying selective screening for subjects with high-risk pre-endoscopic features. </w:t>
      </w:r>
      <w:r w:rsidR="00C9126A" w:rsidRPr="0083678C">
        <w:rPr>
          <w:rFonts w:ascii="Book Antiqua" w:hAnsi="Book Antiqua"/>
          <w:color w:val="000000" w:themeColor="text1"/>
          <w:vertAlign w:val="superscript"/>
        </w:rPr>
        <w:t>3</w:t>
      </w:r>
      <w:r w:rsidR="00C9126A" w:rsidRPr="0083678C">
        <w:rPr>
          <w:rFonts w:ascii="Book Antiqua" w:hAnsi="Book Antiqua"/>
          <w:color w:val="000000" w:themeColor="text1"/>
        </w:rPr>
        <w:t xml:space="preserve">Not yet shown to reduce gastric cancer mortality. </w:t>
      </w:r>
      <w:r w:rsidR="00C9126A" w:rsidRPr="0083678C">
        <w:rPr>
          <w:rFonts w:ascii="Book Antiqua" w:hAnsi="Book Antiqua"/>
          <w:color w:val="000000" w:themeColor="text1"/>
          <w:vertAlign w:val="superscript"/>
        </w:rPr>
        <w:t>4</w:t>
      </w:r>
      <w:r w:rsidR="00C9126A" w:rsidRPr="0083678C">
        <w:rPr>
          <w:rFonts w:ascii="Book Antiqua" w:hAnsi="Book Antiqua"/>
          <w:color w:val="000000" w:themeColor="text1"/>
        </w:rPr>
        <w:t xml:space="preserve">The performance of serum PG I/II ratio should be locally validated. </w:t>
      </w:r>
      <w:r w:rsidR="00C9126A" w:rsidRPr="0083678C">
        <w:rPr>
          <w:rFonts w:ascii="Book Antiqua" w:hAnsi="Book Antiqua"/>
          <w:color w:val="000000" w:themeColor="text1"/>
          <w:vertAlign w:val="superscript"/>
        </w:rPr>
        <w:t>5</w:t>
      </w:r>
      <w:r w:rsidR="00C9126A" w:rsidRPr="0083678C">
        <w:rPr>
          <w:rFonts w:ascii="Book Antiqua" w:hAnsi="Book Antiqua"/>
          <w:color w:val="000000" w:themeColor="text1"/>
        </w:rPr>
        <w:t xml:space="preserve">Cost-effectiveness should be considered based on the local age-standardized incidence and the cost of esophagogastroduodenoscopy. In multi-ethnic populations, ethnicity-based screening </w:t>
      </w:r>
      <w:r w:rsidR="00C9126A" w:rsidRPr="0083678C">
        <w:rPr>
          <w:rFonts w:ascii="Book Antiqua" w:hAnsi="Book Antiqua"/>
          <w:color w:val="000000" w:themeColor="text1"/>
        </w:rPr>
        <w:lastRenderedPageBreak/>
        <w:t>for high-risk ethnic groups should be considered.</w:t>
      </w:r>
      <w:r w:rsidR="00C9126A" w:rsidRPr="0083678C">
        <w:rPr>
          <w:rFonts w:ascii="Book Antiqua" w:hAnsi="Book Antiqua" w:hint="eastAsia"/>
          <w:color w:val="000000" w:themeColor="text1"/>
        </w:rPr>
        <w:t xml:space="preserve"> </w:t>
      </w:r>
      <w:r w:rsidRPr="0083678C">
        <w:rPr>
          <w:rFonts w:ascii="Book Antiqua" w:hAnsi="Book Antiqua"/>
          <w:color w:val="000000" w:themeColor="text1"/>
        </w:rPr>
        <w:t xml:space="preserve">EGD: </w:t>
      </w:r>
      <w:bookmarkStart w:id="134" w:name="OLE_LINK703"/>
      <w:bookmarkStart w:id="135" w:name="OLE_LINK704"/>
      <w:r w:rsidR="00C9126A" w:rsidRPr="0083678C">
        <w:rPr>
          <w:rFonts w:ascii="Book Antiqua" w:hAnsi="Book Antiqua"/>
          <w:color w:val="000000" w:themeColor="text1"/>
        </w:rPr>
        <w:t>E</w:t>
      </w:r>
      <w:r w:rsidRPr="0083678C">
        <w:rPr>
          <w:rFonts w:ascii="Book Antiqua" w:hAnsi="Book Antiqua"/>
          <w:color w:val="000000" w:themeColor="text1"/>
        </w:rPr>
        <w:t>sophagogastroduodenoscopy</w:t>
      </w:r>
      <w:bookmarkEnd w:id="134"/>
      <w:bookmarkEnd w:id="135"/>
      <w:r w:rsidRPr="0083678C">
        <w:rPr>
          <w:rFonts w:ascii="Book Antiqua" w:hAnsi="Book Antiqua"/>
          <w:color w:val="000000" w:themeColor="text1"/>
        </w:rPr>
        <w:t xml:space="preserve">; UGS: </w:t>
      </w:r>
      <w:r w:rsidR="00C9126A" w:rsidRPr="0083678C">
        <w:rPr>
          <w:rFonts w:ascii="Book Antiqua" w:hAnsi="Book Antiqua"/>
          <w:color w:val="000000" w:themeColor="text1"/>
        </w:rPr>
        <w:t>U</w:t>
      </w:r>
      <w:r w:rsidRPr="0083678C">
        <w:rPr>
          <w:rFonts w:ascii="Book Antiqua" w:hAnsi="Book Antiqua"/>
          <w:color w:val="000000" w:themeColor="text1"/>
        </w:rPr>
        <w:t xml:space="preserve">pper gastrointestinal series; sPGr: </w:t>
      </w:r>
      <w:bookmarkStart w:id="136" w:name="OLE_LINK701"/>
      <w:bookmarkStart w:id="137" w:name="OLE_LINK702"/>
      <w:r w:rsidR="00C9126A" w:rsidRPr="0083678C">
        <w:rPr>
          <w:rFonts w:ascii="Book Antiqua" w:hAnsi="Book Antiqua"/>
          <w:color w:val="000000" w:themeColor="text1"/>
        </w:rPr>
        <w:t>S</w:t>
      </w:r>
      <w:r w:rsidRPr="0083678C">
        <w:rPr>
          <w:rFonts w:ascii="Book Antiqua" w:hAnsi="Book Antiqua"/>
          <w:color w:val="000000" w:themeColor="text1"/>
        </w:rPr>
        <w:t>erum PG I/II ratio</w:t>
      </w:r>
      <w:bookmarkEnd w:id="136"/>
      <w:bookmarkEnd w:id="137"/>
      <w:r w:rsidRPr="0083678C">
        <w:rPr>
          <w:rFonts w:ascii="Book Antiqua" w:hAnsi="Book Antiqua"/>
          <w:color w:val="000000" w:themeColor="text1"/>
        </w:rPr>
        <w:t xml:space="preserve">. </w:t>
      </w:r>
    </w:p>
    <w:p w:rsidR="00F440C0" w:rsidRPr="0083678C" w:rsidRDefault="00F440C0" w:rsidP="00B43CE7">
      <w:pPr>
        <w:adjustRightInd w:val="0"/>
        <w:snapToGrid w:val="0"/>
        <w:spacing w:after="0" w:line="360" w:lineRule="auto"/>
        <w:jc w:val="both"/>
        <w:rPr>
          <w:rFonts w:ascii="Book Antiqua" w:hAnsi="Book Antiqua" w:cs="Times New Roman"/>
          <w:color w:val="000000" w:themeColor="text1"/>
          <w:sz w:val="24"/>
          <w:szCs w:val="24"/>
        </w:rPr>
      </w:pPr>
    </w:p>
    <w:p w:rsidR="00F440C0" w:rsidRPr="0083678C" w:rsidRDefault="00F440C0" w:rsidP="00B43CE7">
      <w:pPr>
        <w:adjustRightInd w:val="0"/>
        <w:snapToGrid w:val="0"/>
        <w:spacing w:after="0" w:line="360" w:lineRule="auto"/>
        <w:jc w:val="both"/>
        <w:rPr>
          <w:rFonts w:ascii="Book Antiqua" w:eastAsia="Times New Roman" w:hAnsi="Book Antiqua" w:cs="Times New Roman"/>
          <w:b/>
          <w:color w:val="000000" w:themeColor="text1"/>
          <w:sz w:val="24"/>
          <w:szCs w:val="24"/>
        </w:rPr>
      </w:pPr>
      <w:r w:rsidRPr="0083678C">
        <w:rPr>
          <w:rFonts w:ascii="Book Antiqua" w:hAnsi="Book Antiqua"/>
          <w:b/>
          <w:color w:val="000000" w:themeColor="text1"/>
          <w:sz w:val="24"/>
          <w:szCs w:val="24"/>
        </w:rPr>
        <w:br w:type="page"/>
      </w:r>
    </w:p>
    <w:p w:rsidR="00CD0051" w:rsidRPr="0083678C" w:rsidRDefault="00CD0051" w:rsidP="00B43CE7">
      <w:pPr>
        <w:pStyle w:val="a7"/>
        <w:adjustRightInd w:val="0"/>
        <w:snapToGrid w:val="0"/>
        <w:spacing w:before="0" w:beforeAutospacing="0" w:after="0" w:afterAutospacing="0" w:line="360" w:lineRule="auto"/>
        <w:jc w:val="both"/>
        <w:textAlignment w:val="baseline"/>
        <w:rPr>
          <w:rFonts w:ascii="Book Antiqua" w:hAnsi="Book Antiqua"/>
          <w:color w:val="000000" w:themeColor="text1"/>
        </w:rPr>
      </w:pPr>
      <w:r w:rsidRPr="0083678C">
        <w:rPr>
          <w:rFonts w:ascii="Book Antiqua" w:hAnsi="Book Antiqua"/>
          <w:noProof/>
          <w:color w:val="000000" w:themeColor="text1"/>
          <w:lang w:eastAsia="zh-CN"/>
        </w:rPr>
        <w:lastRenderedPageBreak/>
        <w:drawing>
          <wp:inline distT="0" distB="0" distL="0" distR="0" wp14:anchorId="17513C9D" wp14:editId="228F1546">
            <wp:extent cx="5422875" cy="415531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0660"/>
                    <a:stretch/>
                  </pic:blipFill>
                  <pic:spPr bwMode="auto">
                    <a:xfrm>
                      <a:off x="0" y="0"/>
                      <a:ext cx="5473029" cy="4193742"/>
                    </a:xfrm>
                    <a:prstGeom prst="rect">
                      <a:avLst/>
                    </a:prstGeom>
                    <a:ln>
                      <a:noFill/>
                    </a:ln>
                    <a:extLst>
                      <a:ext uri="{53640926-AAD7-44D8-BBD7-CCE9431645EC}">
                        <a14:shadowObscured xmlns:a14="http://schemas.microsoft.com/office/drawing/2010/main"/>
                      </a:ext>
                    </a:extLst>
                  </pic:spPr>
                </pic:pic>
              </a:graphicData>
            </a:graphic>
          </wp:inline>
        </w:drawing>
      </w:r>
    </w:p>
    <w:p w:rsidR="00CD0051" w:rsidRPr="0083678C" w:rsidRDefault="00E74913" w:rsidP="00C9126A">
      <w:pPr>
        <w:pStyle w:val="a3"/>
        <w:adjustRightInd w:val="0"/>
        <w:snapToGrid w:val="0"/>
        <w:spacing w:after="0" w:line="360" w:lineRule="auto"/>
        <w:ind w:left="0"/>
        <w:contextualSpacing w:val="0"/>
        <w:jc w:val="both"/>
        <w:textAlignment w:val="baseline"/>
        <w:rPr>
          <w:rFonts w:ascii="Book Antiqua" w:hAnsi="Book Antiqua" w:cs="Times New Roman"/>
          <w:bCs/>
          <w:color w:val="000000" w:themeColor="text1"/>
          <w:sz w:val="24"/>
          <w:szCs w:val="24"/>
        </w:rPr>
      </w:pPr>
      <w:r w:rsidRPr="0083678C">
        <w:rPr>
          <w:rFonts w:ascii="Book Antiqua" w:hAnsi="Book Antiqua" w:cs="Times New Roman"/>
          <w:b/>
          <w:color w:val="000000" w:themeColor="text1"/>
          <w:sz w:val="24"/>
          <w:szCs w:val="24"/>
        </w:rPr>
        <w:t>Figure 3 The age-standardized incidence and mortality rates of gastric cancer</w:t>
      </w:r>
      <w:r w:rsidR="00DD508B" w:rsidRPr="0083678C">
        <w:rPr>
          <w:rFonts w:ascii="Book Antiqua" w:hAnsi="Book Antiqua" w:cs="Times New Roman"/>
          <w:b/>
          <w:color w:val="000000" w:themeColor="text1"/>
          <w:sz w:val="24"/>
          <w:szCs w:val="24"/>
          <w:vertAlign w:val="superscript"/>
        </w:rPr>
        <w:t>[</w:t>
      </w:r>
      <w:r w:rsidR="0042791D" w:rsidRPr="0083678C">
        <w:rPr>
          <w:rFonts w:ascii="Book Antiqua" w:hAnsi="Book Antiqua" w:cs="Times New Roman"/>
          <w:b/>
          <w:color w:val="000000" w:themeColor="text1"/>
          <w:sz w:val="24"/>
          <w:szCs w:val="24"/>
          <w:vertAlign w:val="superscript"/>
        </w:rPr>
        <w:t>1</w:t>
      </w:r>
      <w:r w:rsidR="00DD508B" w:rsidRPr="0083678C">
        <w:rPr>
          <w:rFonts w:ascii="Book Antiqua" w:hAnsi="Book Antiqua" w:cs="Times New Roman"/>
          <w:b/>
          <w:color w:val="000000" w:themeColor="text1"/>
          <w:sz w:val="24"/>
          <w:szCs w:val="24"/>
          <w:vertAlign w:val="superscript"/>
        </w:rPr>
        <w:t>]</w:t>
      </w:r>
      <w:r w:rsidR="00C9126A" w:rsidRPr="0083678C">
        <w:rPr>
          <w:rFonts w:ascii="Book Antiqua" w:hAnsi="Book Antiqua" w:cs="Times New Roman"/>
          <w:b/>
          <w:color w:val="000000" w:themeColor="text1"/>
          <w:sz w:val="24"/>
          <w:szCs w:val="24"/>
        </w:rPr>
        <w:t xml:space="preserve">. </w:t>
      </w:r>
      <w:r w:rsidR="00C9126A" w:rsidRPr="0083678C">
        <w:rPr>
          <w:rFonts w:ascii="Book Antiqua" w:hAnsi="Book Antiqua" w:cs="Times New Roman"/>
          <w:bCs/>
          <w:color w:val="000000" w:themeColor="text1"/>
          <w:sz w:val="24"/>
          <w:szCs w:val="24"/>
        </w:rPr>
        <w:t>ASR: Age-standardized rate.</w:t>
      </w:r>
    </w:p>
    <w:p w:rsidR="00CD0051" w:rsidRPr="0083678C" w:rsidRDefault="00CD0051" w:rsidP="00B43CE7">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color w:val="000000" w:themeColor="text1"/>
          <w:sz w:val="24"/>
          <w:szCs w:val="24"/>
        </w:rPr>
        <w:br w:type="page"/>
      </w:r>
    </w:p>
    <w:p w:rsidR="00CD0051" w:rsidRPr="0083678C" w:rsidRDefault="00552879" w:rsidP="00B43CE7">
      <w:pPr>
        <w:adjustRightInd w:val="0"/>
        <w:snapToGrid w:val="0"/>
        <w:spacing w:after="0" w:line="360" w:lineRule="auto"/>
        <w:jc w:val="both"/>
        <w:rPr>
          <w:rFonts w:ascii="Book Antiqua" w:hAnsi="Book Antiqua" w:cs="Times New Roman"/>
          <w:color w:val="000000" w:themeColor="text1"/>
          <w:sz w:val="24"/>
          <w:szCs w:val="24"/>
        </w:rPr>
      </w:pPr>
      <w:r w:rsidRPr="0083678C">
        <w:rPr>
          <w:rFonts w:ascii="Book Antiqua" w:hAnsi="Book Antiqua" w:cs="Times New Roman"/>
          <w:noProof/>
          <w:color w:val="000000" w:themeColor="text1"/>
          <w:sz w:val="24"/>
          <w:szCs w:val="24"/>
          <w:lang w:eastAsia="zh-CN"/>
        </w:rPr>
        <w:lastRenderedPageBreak/>
        <w:drawing>
          <wp:inline distT="0" distB="0" distL="0" distR="0" wp14:anchorId="662FE7C8" wp14:editId="56DBDD30">
            <wp:extent cx="4015105" cy="82296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15105" cy="8229600"/>
                    </a:xfrm>
                    <a:prstGeom prst="rect">
                      <a:avLst/>
                    </a:prstGeom>
                  </pic:spPr>
                </pic:pic>
              </a:graphicData>
            </a:graphic>
          </wp:inline>
        </w:drawing>
      </w:r>
    </w:p>
    <w:p w:rsidR="00B61D20" w:rsidRPr="00B43CE7" w:rsidRDefault="001A7D1B" w:rsidP="00B43CE7">
      <w:pPr>
        <w:pStyle w:val="a7"/>
        <w:adjustRightInd w:val="0"/>
        <w:snapToGrid w:val="0"/>
        <w:spacing w:before="0" w:beforeAutospacing="0" w:after="0" w:afterAutospacing="0" w:line="360" w:lineRule="auto"/>
        <w:jc w:val="both"/>
        <w:textAlignment w:val="baseline"/>
        <w:rPr>
          <w:rFonts w:ascii="Book Antiqua" w:hAnsi="Book Antiqua"/>
          <w:color w:val="000000" w:themeColor="text1"/>
        </w:rPr>
      </w:pPr>
      <w:r w:rsidRPr="0083678C">
        <w:rPr>
          <w:rFonts w:ascii="Book Antiqua" w:hAnsi="Book Antiqua"/>
          <w:b/>
          <w:color w:val="000000" w:themeColor="text1"/>
        </w:rPr>
        <w:lastRenderedPageBreak/>
        <w:t>Figure 4</w:t>
      </w:r>
      <w:r w:rsidR="00C9126A" w:rsidRPr="0083678C">
        <w:rPr>
          <w:rFonts w:ascii="Book Antiqua" w:hAnsi="Book Antiqua"/>
          <w:b/>
          <w:color w:val="000000" w:themeColor="text1"/>
        </w:rPr>
        <w:t xml:space="preserve"> </w:t>
      </w:r>
      <w:r w:rsidRPr="0083678C">
        <w:rPr>
          <w:rFonts w:ascii="Book Antiqua" w:hAnsi="Book Antiqua"/>
          <w:b/>
          <w:color w:val="000000" w:themeColor="text1"/>
        </w:rPr>
        <w:t>Resource-sensitive approaches to identifying high-risk patients who undergo esophagogastroduodenoscopy for any reason.</w:t>
      </w:r>
      <w:r w:rsidRPr="0083678C">
        <w:rPr>
          <w:rFonts w:ascii="Book Antiqua" w:hAnsi="Book Antiqua"/>
          <w:color w:val="000000" w:themeColor="text1"/>
        </w:rPr>
        <w:t xml:space="preserve"> WLE: </w:t>
      </w:r>
      <w:r w:rsidR="00C9126A" w:rsidRPr="0083678C">
        <w:rPr>
          <w:rFonts w:ascii="Book Antiqua" w:hAnsi="Book Antiqua"/>
          <w:color w:val="000000" w:themeColor="text1"/>
        </w:rPr>
        <w:t>W</w:t>
      </w:r>
      <w:r w:rsidRPr="0083678C">
        <w:rPr>
          <w:rFonts w:ascii="Book Antiqua" w:hAnsi="Book Antiqua"/>
          <w:color w:val="000000" w:themeColor="text1"/>
        </w:rPr>
        <w:t xml:space="preserve">hite-light endoscopy; EGA: </w:t>
      </w:r>
      <w:r w:rsidR="00C9126A" w:rsidRPr="0083678C">
        <w:rPr>
          <w:rFonts w:ascii="Book Antiqua" w:hAnsi="Book Antiqua"/>
          <w:color w:val="000000" w:themeColor="text1"/>
        </w:rPr>
        <w:t>E</w:t>
      </w:r>
      <w:r w:rsidRPr="0083678C">
        <w:rPr>
          <w:rFonts w:ascii="Book Antiqua" w:hAnsi="Book Antiqua"/>
          <w:color w:val="000000" w:themeColor="text1"/>
        </w:rPr>
        <w:t xml:space="preserve">ndoscopic gastric atrophy; GC: </w:t>
      </w:r>
      <w:r w:rsidR="00C9126A" w:rsidRPr="0083678C">
        <w:rPr>
          <w:rFonts w:ascii="Book Antiqua" w:hAnsi="Book Antiqua"/>
          <w:color w:val="000000" w:themeColor="text1"/>
        </w:rPr>
        <w:t>G</w:t>
      </w:r>
      <w:r w:rsidRPr="0083678C">
        <w:rPr>
          <w:rFonts w:ascii="Book Antiqua" w:hAnsi="Book Antiqua"/>
          <w:color w:val="000000" w:themeColor="text1"/>
        </w:rPr>
        <w:t xml:space="preserve">astric cancer; IEE: </w:t>
      </w:r>
      <w:r w:rsidR="00C9126A" w:rsidRPr="0083678C">
        <w:rPr>
          <w:rFonts w:ascii="Book Antiqua" w:hAnsi="Book Antiqua"/>
          <w:color w:val="000000" w:themeColor="text1"/>
        </w:rPr>
        <w:t>I</w:t>
      </w:r>
      <w:r w:rsidRPr="0083678C">
        <w:rPr>
          <w:rFonts w:ascii="Book Antiqua" w:hAnsi="Book Antiqua"/>
          <w:color w:val="000000" w:themeColor="text1"/>
        </w:rPr>
        <w:t>mage-enhanced endoscopy</w:t>
      </w:r>
      <w:r w:rsidR="00871723" w:rsidRPr="0083678C">
        <w:rPr>
          <w:rFonts w:ascii="Book Antiqua" w:hAnsi="Book Antiqua"/>
          <w:color w:val="000000" w:themeColor="text1"/>
        </w:rPr>
        <w:t>.</w:t>
      </w:r>
    </w:p>
    <w:sectPr w:rsidR="00B61D20" w:rsidRPr="00B43CE7" w:rsidSect="00274E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5C" w:rsidRDefault="00C0565C" w:rsidP="00C02BBC">
      <w:pPr>
        <w:spacing w:after="0" w:line="240" w:lineRule="auto"/>
      </w:pPr>
      <w:r>
        <w:separator/>
      </w:r>
    </w:p>
  </w:endnote>
  <w:endnote w:type="continuationSeparator" w:id="0">
    <w:p w:rsidR="00C0565C" w:rsidRDefault="00C0565C" w:rsidP="00C0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VnBook-Antiqua">
    <w:charset w:val="00"/>
    <w:family w:val="swiss"/>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5C" w:rsidRDefault="00C0565C" w:rsidP="00C02BBC">
      <w:pPr>
        <w:spacing w:after="0" w:line="240" w:lineRule="auto"/>
      </w:pPr>
      <w:r>
        <w:separator/>
      </w:r>
    </w:p>
  </w:footnote>
  <w:footnote w:type="continuationSeparator" w:id="0">
    <w:p w:rsidR="00C0565C" w:rsidRDefault="00C0565C" w:rsidP="00C02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B5F"/>
    <w:multiLevelType w:val="hybridMultilevel"/>
    <w:tmpl w:val="FA4617E4"/>
    <w:lvl w:ilvl="0" w:tplc="E154E7A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86760"/>
    <w:multiLevelType w:val="hybridMultilevel"/>
    <w:tmpl w:val="5404994A"/>
    <w:lvl w:ilvl="0" w:tplc="4732BA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F54A3"/>
    <w:multiLevelType w:val="hybridMultilevel"/>
    <w:tmpl w:val="A3A0A86C"/>
    <w:lvl w:ilvl="0" w:tplc="3948E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E2CAB"/>
    <w:multiLevelType w:val="hybridMultilevel"/>
    <w:tmpl w:val="7452D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7473D"/>
    <w:multiLevelType w:val="hybridMultilevel"/>
    <w:tmpl w:val="6D14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C07D4"/>
    <w:multiLevelType w:val="hybridMultilevel"/>
    <w:tmpl w:val="B73C12B2"/>
    <w:lvl w:ilvl="0" w:tplc="04090001">
      <w:start w:val="1"/>
      <w:numFmt w:val="bullet"/>
      <w:lvlText w:val=""/>
      <w:lvlJc w:val="left"/>
      <w:pPr>
        <w:ind w:left="360" w:hanging="360"/>
      </w:pPr>
      <w:rPr>
        <w:rFonts w:ascii="Symbol" w:hAnsi="Symbol" w:hint="default"/>
      </w:rPr>
    </w:lvl>
    <w:lvl w:ilvl="1" w:tplc="CC8CBB78">
      <w:start w:val="1"/>
      <w:numFmt w:val="bullet"/>
      <w:lvlText w:val="-"/>
      <w:lvlJc w:val="left"/>
      <w:pPr>
        <w:ind w:left="1080" w:hanging="360"/>
      </w:pPr>
      <w:rPr>
        <w:rFonts w:ascii="Courier New" w:hAnsi="Courier New" w:hint="default"/>
      </w:rPr>
    </w:lvl>
    <w:lvl w:ilvl="2" w:tplc="BCBC139C">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8B8023E0">
      <w:numFmt w:val="bullet"/>
      <w:lvlText w:val="-"/>
      <w:lvlJc w:val="left"/>
      <w:pPr>
        <w:ind w:left="3240" w:hanging="360"/>
      </w:pPr>
      <w:rPr>
        <w:rFonts w:ascii="Times New Roman" w:eastAsia="Times New Roman" w:hAnsi="Times New Roman"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2F146E"/>
    <w:multiLevelType w:val="hybridMultilevel"/>
    <w:tmpl w:val="E3CCA1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EF047A6"/>
    <w:multiLevelType w:val="hybridMultilevel"/>
    <w:tmpl w:val="FA4617E4"/>
    <w:lvl w:ilvl="0" w:tplc="E154E7A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224A3D"/>
    <w:multiLevelType w:val="hybridMultilevel"/>
    <w:tmpl w:val="1BF259EE"/>
    <w:lvl w:ilvl="0" w:tplc="9E26865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25381B"/>
    <w:multiLevelType w:val="multilevel"/>
    <w:tmpl w:val="29BEBE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num>
  <w:num w:numId="3">
    <w:abstractNumId w:val="7"/>
  </w:num>
  <w:num w:numId="4">
    <w:abstractNumId w:val="1"/>
  </w:num>
  <w:num w:numId="5">
    <w:abstractNumId w:val="2"/>
  </w:num>
  <w:num w:numId="6">
    <w:abstractNumId w:val="9"/>
  </w:num>
  <w:num w:numId="7">
    <w:abstractNumId w:val="8"/>
  </w:num>
  <w:num w:numId="8">
    <w:abstractNumId w:val="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2019 revis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sstf2wxlse2t5e9dxnxzarm9swafwszzsr2&quot;&gt;High Negative LR of EGA-My EndNote Library&lt;record-ids&gt;&lt;item&gt;1&lt;/item&gt;&lt;item&gt;2&lt;/item&gt;&lt;item&gt;3&lt;/item&gt;&lt;item&gt;4&lt;/item&gt;&lt;item&gt;5&lt;/item&gt;&lt;item&gt;6&lt;/item&gt;&lt;item&gt;7&lt;/item&gt;&lt;item&gt;10&lt;/item&gt;&lt;item&gt;12&lt;/item&gt;&lt;item&gt;13&lt;/item&gt;&lt;item&gt;14&lt;/item&gt;&lt;item&gt;15&lt;/item&gt;&lt;item&gt;17&lt;/item&gt;&lt;item&gt;18&lt;/item&gt;&lt;item&gt;19&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2&lt;/item&gt;&lt;item&gt;43&lt;/item&gt;&lt;item&gt;44&lt;/item&gt;&lt;item&gt;45&lt;/item&gt;&lt;item&gt;46&lt;/item&gt;&lt;item&gt;47&lt;/item&gt;&lt;item&gt;49&lt;/item&gt;&lt;item&gt;51&lt;/item&gt;&lt;item&gt;52&lt;/item&gt;&lt;item&gt;53&lt;/item&gt;&lt;item&gt;54&lt;/item&gt;&lt;item&gt;55&lt;/item&gt;&lt;item&gt;56&lt;/item&gt;&lt;item&gt;57&lt;/item&gt;&lt;item&gt;60&lt;/item&gt;&lt;item&gt;61&lt;/item&gt;&lt;item&gt;62&lt;/item&gt;&lt;item&gt;63&lt;/item&gt;&lt;item&gt;65&lt;/item&gt;&lt;item&gt;66&lt;/item&gt;&lt;item&gt;67&lt;/item&gt;&lt;item&gt;68&lt;/item&gt;&lt;item&gt;69&lt;/item&gt;&lt;item&gt;70&lt;/item&gt;&lt;item&gt;71&lt;/item&gt;&lt;item&gt;72&lt;/item&gt;&lt;item&gt;74&lt;/item&gt;&lt;item&gt;75&lt;/item&gt;&lt;item&gt;76&lt;/item&gt;&lt;item&gt;77&lt;/item&gt;&lt;item&gt;78&lt;/item&gt;&lt;item&gt;79&lt;/item&gt;&lt;item&gt;80&lt;/item&gt;&lt;item&gt;81&lt;/item&gt;&lt;item&gt;82&lt;/item&gt;&lt;item&gt;83&lt;/item&gt;&lt;item&gt;84&lt;/item&gt;&lt;item&gt;86&lt;/item&gt;&lt;item&gt;87&lt;/item&gt;&lt;item&gt;88&lt;/item&gt;&lt;item&gt;89&lt;/item&gt;&lt;item&gt;90&lt;/item&gt;&lt;item&gt;91&lt;/item&gt;&lt;item&gt;93&lt;/item&gt;&lt;item&gt;94&lt;/item&gt;&lt;item&gt;96&lt;/item&gt;&lt;item&gt;97&lt;/item&gt;&lt;item&gt;98&lt;/item&gt;&lt;item&gt;99&lt;/item&gt;&lt;item&gt;116&lt;/item&gt;&lt;item&gt;117&lt;/item&gt;&lt;/record-ids&gt;&lt;/item&gt;&lt;/Libraries&gt;"/>
  </w:docVars>
  <w:rsids>
    <w:rsidRoot w:val="00C554EE"/>
    <w:rsid w:val="000005A5"/>
    <w:rsid w:val="000223C2"/>
    <w:rsid w:val="00023C8E"/>
    <w:rsid w:val="0005072A"/>
    <w:rsid w:val="0005081A"/>
    <w:rsid w:val="0005253D"/>
    <w:rsid w:val="0005767E"/>
    <w:rsid w:val="00062734"/>
    <w:rsid w:val="00064BCD"/>
    <w:rsid w:val="00067D00"/>
    <w:rsid w:val="00071577"/>
    <w:rsid w:val="00073575"/>
    <w:rsid w:val="00080D68"/>
    <w:rsid w:val="00081A45"/>
    <w:rsid w:val="000A0C97"/>
    <w:rsid w:val="000B417F"/>
    <w:rsid w:val="000C5516"/>
    <w:rsid w:val="000D632E"/>
    <w:rsid w:val="000F47FE"/>
    <w:rsid w:val="000F64DD"/>
    <w:rsid w:val="00100889"/>
    <w:rsid w:val="00105622"/>
    <w:rsid w:val="0011457F"/>
    <w:rsid w:val="0011589B"/>
    <w:rsid w:val="00123E2A"/>
    <w:rsid w:val="001246CD"/>
    <w:rsid w:val="00133BED"/>
    <w:rsid w:val="00136074"/>
    <w:rsid w:val="001377D4"/>
    <w:rsid w:val="00146DBC"/>
    <w:rsid w:val="001557FC"/>
    <w:rsid w:val="00155AAA"/>
    <w:rsid w:val="00161AA3"/>
    <w:rsid w:val="00182234"/>
    <w:rsid w:val="001825BB"/>
    <w:rsid w:val="00184D5D"/>
    <w:rsid w:val="00185B36"/>
    <w:rsid w:val="0019267A"/>
    <w:rsid w:val="00192CAA"/>
    <w:rsid w:val="001A7D1B"/>
    <w:rsid w:val="001C2BE7"/>
    <w:rsid w:val="001C44AA"/>
    <w:rsid w:val="001D0701"/>
    <w:rsid w:val="001D2829"/>
    <w:rsid w:val="001D5910"/>
    <w:rsid w:val="001E4442"/>
    <w:rsid w:val="001E4E5A"/>
    <w:rsid w:val="001F53D9"/>
    <w:rsid w:val="00211DD5"/>
    <w:rsid w:val="00235BA0"/>
    <w:rsid w:val="002409ED"/>
    <w:rsid w:val="00273816"/>
    <w:rsid w:val="002740DF"/>
    <w:rsid w:val="00274ED3"/>
    <w:rsid w:val="002A1142"/>
    <w:rsid w:val="002A2C2C"/>
    <w:rsid w:val="002A3B78"/>
    <w:rsid w:val="002A463D"/>
    <w:rsid w:val="002A5457"/>
    <w:rsid w:val="002B0506"/>
    <w:rsid w:val="002B465F"/>
    <w:rsid w:val="002B4C6D"/>
    <w:rsid w:val="002D23C5"/>
    <w:rsid w:val="002E14B3"/>
    <w:rsid w:val="002F4BDF"/>
    <w:rsid w:val="00303FD8"/>
    <w:rsid w:val="00316496"/>
    <w:rsid w:val="00320C76"/>
    <w:rsid w:val="003271B7"/>
    <w:rsid w:val="00331A6A"/>
    <w:rsid w:val="00332C6D"/>
    <w:rsid w:val="00333070"/>
    <w:rsid w:val="00335D5B"/>
    <w:rsid w:val="00340BB3"/>
    <w:rsid w:val="003423A6"/>
    <w:rsid w:val="003476E1"/>
    <w:rsid w:val="00347A18"/>
    <w:rsid w:val="00357CC6"/>
    <w:rsid w:val="00365AB2"/>
    <w:rsid w:val="00382E7C"/>
    <w:rsid w:val="003977F7"/>
    <w:rsid w:val="003A405D"/>
    <w:rsid w:val="003A44D6"/>
    <w:rsid w:val="003B1484"/>
    <w:rsid w:val="003B4D3E"/>
    <w:rsid w:val="003B6B6F"/>
    <w:rsid w:val="003B6D28"/>
    <w:rsid w:val="003C44CF"/>
    <w:rsid w:val="003D2FF4"/>
    <w:rsid w:val="003D4AFD"/>
    <w:rsid w:val="003F2823"/>
    <w:rsid w:val="003F443E"/>
    <w:rsid w:val="003F5776"/>
    <w:rsid w:val="0040024D"/>
    <w:rsid w:val="00403EB2"/>
    <w:rsid w:val="00412FA4"/>
    <w:rsid w:val="00414101"/>
    <w:rsid w:val="00421EF0"/>
    <w:rsid w:val="00422BB9"/>
    <w:rsid w:val="00423141"/>
    <w:rsid w:val="00423D07"/>
    <w:rsid w:val="0042791D"/>
    <w:rsid w:val="00427ADA"/>
    <w:rsid w:val="00432272"/>
    <w:rsid w:val="0043783F"/>
    <w:rsid w:val="004537ED"/>
    <w:rsid w:val="00460931"/>
    <w:rsid w:val="004626B5"/>
    <w:rsid w:val="00465122"/>
    <w:rsid w:val="00473211"/>
    <w:rsid w:val="00474BF8"/>
    <w:rsid w:val="0048090A"/>
    <w:rsid w:val="00486FDD"/>
    <w:rsid w:val="00495A09"/>
    <w:rsid w:val="00497B95"/>
    <w:rsid w:val="004A2128"/>
    <w:rsid w:val="004A3F86"/>
    <w:rsid w:val="004B2C9A"/>
    <w:rsid w:val="004B73E8"/>
    <w:rsid w:val="004C6719"/>
    <w:rsid w:val="004D6068"/>
    <w:rsid w:val="004E75C7"/>
    <w:rsid w:val="004F264E"/>
    <w:rsid w:val="004F5961"/>
    <w:rsid w:val="00501794"/>
    <w:rsid w:val="00512561"/>
    <w:rsid w:val="00514532"/>
    <w:rsid w:val="00515B35"/>
    <w:rsid w:val="00516094"/>
    <w:rsid w:val="00535BEB"/>
    <w:rsid w:val="00535DBB"/>
    <w:rsid w:val="00550D49"/>
    <w:rsid w:val="00552879"/>
    <w:rsid w:val="0055657E"/>
    <w:rsid w:val="00575B9F"/>
    <w:rsid w:val="00590380"/>
    <w:rsid w:val="005A2B79"/>
    <w:rsid w:val="005A378B"/>
    <w:rsid w:val="005A560F"/>
    <w:rsid w:val="005D3028"/>
    <w:rsid w:val="005E5C68"/>
    <w:rsid w:val="005F0AFD"/>
    <w:rsid w:val="005F2243"/>
    <w:rsid w:val="005F4B2A"/>
    <w:rsid w:val="006008EB"/>
    <w:rsid w:val="006017ED"/>
    <w:rsid w:val="00602C72"/>
    <w:rsid w:val="00602D84"/>
    <w:rsid w:val="00610167"/>
    <w:rsid w:val="0062256E"/>
    <w:rsid w:val="00632AB1"/>
    <w:rsid w:val="00645033"/>
    <w:rsid w:val="00652216"/>
    <w:rsid w:val="00663DBE"/>
    <w:rsid w:val="00665303"/>
    <w:rsid w:val="00667555"/>
    <w:rsid w:val="006841F4"/>
    <w:rsid w:val="00686D5E"/>
    <w:rsid w:val="006923D4"/>
    <w:rsid w:val="00693FAF"/>
    <w:rsid w:val="00694E27"/>
    <w:rsid w:val="006A1207"/>
    <w:rsid w:val="006A4F4D"/>
    <w:rsid w:val="006A58E2"/>
    <w:rsid w:val="006A5E24"/>
    <w:rsid w:val="006B3162"/>
    <w:rsid w:val="006B5398"/>
    <w:rsid w:val="006C0D4E"/>
    <w:rsid w:val="006C1EA7"/>
    <w:rsid w:val="006C2769"/>
    <w:rsid w:val="006C28E9"/>
    <w:rsid w:val="006D629C"/>
    <w:rsid w:val="006E47B8"/>
    <w:rsid w:val="006F7859"/>
    <w:rsid w:val="00702C39"/>
    <w:rsid w:val="007233E6"/>
    <w:rsid w:val="0072652A"/>
    <w:rsid w:val="007361BC"/>
    <w:rsid w:val="007361E2"/>
    <w:rsid w:val="0074614E"/>
    <w:rsid w:val="00754CBD"/>
    <w:rsid w:val="007556A1"/>
    <w:rsid w:val="007805C0"/>
    <w:rsid w:val="00782E51"/>
    <w:rsid w:val="0078420E"/>
    <w:rsid w:val="00785EB1"/>
    <w:rsid w:val="007907B8"/>
    <w:rsid w:val="00795D71"/>
    <w:rsid w:val="007A3036"/>
    <w:rsid w:val="007B03D6"/>
    <w:rsid w:val="007B164B"/>
    <w:rsid w:val="007B49B4"/>
    <w:rsid w:val="007B6123"/>
    <w:rsid w:val="007B6D4D"/>
    <w:rsid w:val="007C156F"/>
    <w:rsid w:val="007D43A4"/>
    <w:rsid w:val="007D4534"/>
    <w:rsid w:val="007D4A61"/>
    <w:rsid w:val="007D7C20"/>
    <w:rsid w:val="007E31D0"/>
    <w:rsid w:val="007E46E3"/>
    <w:rsid w:val="007F01CE"/>
    <w:rsid w:val="0080203B"/>
    <w:rsid w:val="00803108"/>
    <w:rsid w:val="00820B49"/>
    <w:rsid w:val="00822272"/>
    <w:rsid w:val="008249BF"/>
    <w:rsid w:val="00833156"/>
    <w:rsid w:val="0083678C"/>
    <w:rsid w:val="00850B83"/>
    <w:rsid w:val="0086200F"/>
    <w:rsid w:val="008676DF"/>
    <w:rsid w:val="0087019F"/>
    <w:rsid w:val="00871723"/>
    <w:rsid w:val="008743B7"/>
    <w:rsid w:val="00876815"/>
    <w:rsid w:val="0088060C"/>
    <w:rsid w:val="00882FBA"/>
    <w:rsid w:val="00891C0D"/>
    <w:rsid w:val="00895033"/>
    <w:rsid w:val="00895C89"/>
    <w:rsid w:val="008B2236"/>
    <w:rsid w:val="008B5314"/>
    <w:rsid w:val="008B7564"/>
    <w:rsid w:val="008C00AA"/>
    <w:rsid w:val="008C388E"/>
    <w:rsid w:val="008C3A35"/>
    <w:rsid w:val="008D1655"/>
    <w:rsid w:val="008D71DB"/>
    <w:rsid w:val="008D7CBA"/>
    <w:rsid w:val="008E0948"/>
    <w:rsid w:val="008E1D0C"/>
    <w:rsid w:val="008E31A9"/>
    <w:rsid w:val="008E31AD"/>
    <w:rsid w:val="008E679D"/>
    <w:rsid w:val="008F3392"/>
    <w:rsid w:val="008F3B7B"/>
    <w:rsid w:val="0090144B"/>
    <w:rsid w:val="009107B9"/>
    <w:rsid w:val="009107FA"/>
    <w:rsid w:val="00911ABC"/>
    <w:rsid w:val="00912744"/>
    <w:rsid w:val="00913494"/>
    <w:rsid w:val="00917841"/>
    <w:rsid w:val="00925704"/>
    <w:rsid w:val="00931435"/>
    <w:rsid w:val="009351D7"/>
    <w:rsid w:val="00954CF1"/>
    <w:rsid w:val="00955BC1"/>
    <w:rsid w:val="00961558"/>
    <w:rsid w:val="0096384C"/>
    <w:rsid w:val="00964C14"/>
    <w:rsid w:val="00964E76"/>
    <w:rsid w:val="0096637D"/>
    <w:rsid w:val="00973F0A"/>
    <w:rsid w:val="009A5755"/>
    <w:rsid w:val="009A710C"/>
    <w:rsid w:val="009A7B40"/>
    <w:rsid w:val="009A7DCB"/>
    <w:rsid w:val="009C7EAA"/>
    <w:rsid w:val="009D1C6D"/>
    <w:rsid w:val="009E40F9"/>
    <w:rsid w:val="009F720D"/>
    <w:rsid w:val="00A03710"/>
    <w:rsid w:val="00A03B66"/>
    <w:rsid w:val="00A04ACD"/>
    <w:rsid w:val="00A05DB2"/>
    <w:rsid w:val="00A20A64"/>
    <w:rsid w:val="00A21438"/>
    <w:rsid w:val="00A21AC4"/>
    <w:rsid w:val="00A22EE6"/>
    <w:rsid w:val="00A26A17"/>
    <w:rsid w:val="00A31FFB"/>
    <w:rsid w:val="00A35E80"/>
    <w:rsid w:val="00A373A6"/>
    <w:rsid w:val="00A42435"/>
    <w:rsid w:val="00A46211"/>
    <w:rsid w:val="00A471EC"/>
    <w:rsid w:val="00A4787F"/>
    <w:rsid w:val="00A52B73"/>
    <w:rsid w:val="00A56335"/>
    <w:rsid w:val="00A60A3E"/>
    <w:rsid w:val="00A65BB3"/>
    <w:rsid w:val="00A666D9"/>
    <w:rsid w:val="00A75E51"/>
    <w:rsid w:val="00A91047"/>
    <w:rsid w:val="00AA47BD"/>
    <w:rsid w:val="00AC230C"/>
    <w:rsid w:val="00AD1BC5"/>
    <w:rsid w:val="00AE0C3C"/>
    <w:rsid w:val="00AE0E84"/>
    <w:rsid w:val="00AE2E92"/>
    <w:rsid w:val="00AF5DF1"/>
    <w:rsid w:val="00AF6E95"/>
    <w:rsid w:val="00B05011"/>
    <w:rsid w:val="00B23BDA"/>
    <w:rsid w:val="00B25191"/>
    <w:rsid w:val="00B37D7C"/>
    <w:rsid w:val="00B40B91"/>
    <w:rsid w:val="00B43CE7"/>
    <w:rsid w:val="00B47690"/>
    <w:rsid w:val="00B54501"/>
    <w:rsid w:val="00B56AD4"/>
    <w:rsid w:val="00B57C36"/>
    <w:rsid w:val="00B61D20"/>
    <w:rsid w:val="00B71719"/>
    <w:rsid w:val="00B84891"/>
    <w:rsid w:val="00B85BDF"/>
    <w:rsid w:val="00B86800"/>
    <w:rsid w:val="00B87A81"/>
    <w:rsid w:val="00B87ED4"/>
    <w:rsid w:val="00B93253"/>
    <w:rsid w:val="00B96B85"/>
    <w:rsid w:val="00B97F04"/>
    <w:rsid w:val="00BB481D"/>
    <w:rsid w:val="00BC203D"/>
    <w:rsid w:val="00BD52EA"/>
    <w:rsid w:val="00BE06B3"/>
    <w:rsid w:val="00BE3D3A"/>
    <w:rsid w:val="00BE4B76"/>
    <w:rsid w:val="00BE4B9C"/>
    <w:rsid w:val="00BF285D"/>
    <w:rsid w:val="00C01A27"/>
    <w:rsid w:val="00C01AFD"/>
    <w:rsid w:val="00C02BBC"/>
    <w:rsid w:val="00C0565C"/>
    <w:rsid w:val="00C11D56"/>
    <w:rsid w:val="00C13C34"/>
    <w:rsid w:val="00C336CD"/>
    <w:rsid w:val="00C34D5E"/>
    <w:rsid w:val="00C40B10"/>
    <w:rsid w:val="00C41376"/>
    <w:rsid w:val="00C41764"/>
    <w:rsid w:val="00C479A3"/>
    <w:rsid w:val="00C54ED0"/>
    <w:rsid w:val="00C554EE"/>
    <w:rsid w:val="00C7259B"/>
    <w:rsid w:val="00C77DF5"/>
    <w:rsid w:val="00C87FA2"/>
    <w:rsid w:val="00C9126A"/>
    <w:rsid w:val="00C93FA3"/>
    <w:rsid w:val="00C94E60"/>
    <w:rsid w:val="00CA2CB5"/>
    <w:rsid w:val="00CA41C1"/>
    <w:rsid w:val="00CA610C"/>
    <w:rsid w:val="00CB3DC8"/>
    <w:rsid w:val="00CC5DE5"/>
    <w:rsid w:val="00CC635D"/>
    <w:rsid w:val="00CD0051"/>
    <w:rsid w:val="00CD637E"/>
    <w:rsid w:val="00CF1F34"/>
    <w:rsid w:val="00CF4905"/>
    <w:rsid w:val="00D00A03"/>
    <w:rsid w:val="00D03489"/>
    <w:rsid w:val="00D06BDB"/>
    <w:rsid w:val="00D11498"/>
    <w:rsid w:val="00D122AF"/>
    <w:rsid w:val="00D16BCA"/>
    <w:rsid w:val="00D2163A"/>
    <w:rsid w:val="00D24C2A"/>
    <w:rsid w:val="00D328B9"/>
    <w:rsid w:val="00D528BB"/>
    <w:rsid w:val="00D528FE"/>
    <w:rsid w:val="00D76D8C"/>
    <w:rsid w:val="00D871BE"/>
    <w:rsid w:val="00D8766F"/>
    <w:rsid w:val="00D912AB"/>
    <w:rsid w:val="00D91946"/>
    <w:rsid w:val="00D954B4"/>
    <w:rsid w:val="00DA5946"/>
    <w:rsid w:val="00DA7203"/>
    <w:rsid w:val="00DB104A"/>
    <w:rsid w:val="00DB184A"/>
    <w:rsid w:val="00DB4515"/>
    <w:rsid w:val="00DB6499"/>
    <w:rsid w:val="00DC6378"/>
    <w:rsid w:val="00DD508B"/>
    <w:rsid w:val="00DE4C55"/>
    <w:rsid w:val="00DE580D"/>
    <w:rsid w:val="00DE6A0B"/>
    <w:rsid w:val="00DF737D"/>
    <w:rsid w:val="00E05700"/>
    <w:rsid w:val="00E06DB3"/>
    <w:rsid w:val="00E12493"/>
    <w:rsid w:val="00E12E49"/>
    <w:rsid w:val="00E15636"/>
    <w:rsid w:val="00E2645C"/>
    <w:rsid w:val="00E26FFA"/>
    <w:rsid w:val="00E309EE"/>
    <w:rsid w:val="00E31193"/>
    <w:rsid w:val="00E3418E"/>
    <w:rsid w:val="00E40F76"/>
    <w:rsid w:val="00E53C67"/>
    <w:rsid w:val="00E55F92"/>
    <w:rsid w:val="00E563B7"/>
    <w:rsid w:val="00E5736D"/>
    <w:rsid w:val="00E62FB1"/>
    <w:rsid w:val="00E649BF"/>
    <w:rsid w:val="00E725F1"/>
    <w:rsid w:val="00E74683"/>
    <w:rsid w:val="00E74913"/>
    <w:rsid w:val="00E85E58"/>
    <w:rsid w:val="00E85F9D"/>
    <w:rsid w:val="00E86179"/>
    <w:rsid w:val="00E87056"/>
    <w:rsid w:val="00E9007F"/>
    <w:rsid w:val="00E94B7C"/>
    <w:rsid w:val="00EA0A57"/>
    <w:rsid w:val="00EB0114"/>
    <w:rsid w:val="00EB7D63"/>
    <w:rsid w:val="00EC1E9A"/>
    <w:rsid w:val="00EC56E0"/>
    <w:rsid w:val="00ED03AB"/>
    <w:rsid w:val="00EE3D65"/>
    <w:rsid w:val="00EF013F"/>
    <w:rsid w:val="00EF37E9"/>
    <w:rsid w:val="00EF4997"/>
    <w:rsid w:val="00EF5DE0"/>
    <w:rsid w:val="00F00054"/>
    <w:rsid w:val="00F02148"/>
    <w:rsid w:val="00F052DD"/>
    <w:rsid w:val="00F127B1"/>
    <w:rsid w:val="00F12E48"/>
    <w:rsid w:val="00F2170F"/>
    <w:rsid w:val="00F21BA0"/>
    <w:rsid w:val="00F238D7"/>
    <w:rsid w:val="00F24CF5"/>
    <w:rsid w:val="00F25067"/>
    <w:rsid w:val="00F34B04"/>
    <w:rsid w:val="00F35520"/>
    <w:rsid w:val="00F37E19"/>
    <w:rsid w:val="00F40C10"/>
    <w:rsid w:val="00F42FF8"/>
    <w:rsid w:val="00F440C0"/>
    <w:rsid w:val="00F44C70"/>
    <w:rsid w:val="00F45611"/>
    <w:rsid w:val="00F626B6"/>
    <w:rsid w:val="00F6638A"/>
    <w:rsid w:val="00F674E4"/>
    <w:rsid w:val="00F76435"/>
    <w:rsid w:val="00F81D53"/>
    <w:rsid w:val="00F83E4B"/>
    <w:rsid w:val="00FA1A1F"/>
    <w:rsid w:val="00FA6F92"/>
    <w:rsid w:val="00FA730B"/>
    <w:rsid w:val="00FB140F"/>
    <w:rsid w:val="00FB362D"/>
    <w:rsid w:val="00FB74A4"/>
    <w:rsid w:val="00FD1043"/>
    <w:rsid w:val="00FD12C5"/>
    <w:rsid w:val="00FD4141"/>
    <w:rsid w:val="00FD57BA"/>
    <w:rsid w:val="00FE16D6"/>
    <w:rsid w:val="00FE2316"/>
    <w:rsid w:val="00FE278F"/>
    <w:rsid w:val="00FF1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9"/>
    <w:qFormat/>
    <w:rsid w:val="00B868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54EE"/>
    <w:pPr>
      <w:ind w:left="720"/>
      <w:contextualSpacing/>
    </w:pPr>
  </w:style>
  <w:style w:type="character" w:styleId="a4">
    <w:name w:val="Hyperlink"/>
    <w:basedOn w:val="a0"/>
    <w:uiPriority w:val="99"/>
    <w:unhideWhenUsed/>
    <w:rsid w:val="002F4BDF"/>
    <w:rPr>
      <w:color w:val="0563C1" w:themeColor="hyperlink"/>
      <w:u w:val="single"/>
    </w:rPr>
  </w:style>
  <w:style w:type="paragraph" w:styleId="HTML">
    <w:name w:val="HTML Preformatted"/>
    <w:basedOn w:val="a"/>
    <w:link w:val="HTMLChar"/>
    <w:uiPriority w:val="99"/>
    <w:semiHidden/>
    <w:unhideWhenUsed/>
    <w:rsid w:val="001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1377D4"/>
    <w:rPr>
      <w:rFonts w:ascii="Courier New" w:eastAsia="Times New Roman" w:hAnsi="Courier New" w:cs="Courier New"/>
      <w:sz w:val="20"/>
      <w:szCs w:val="20"/>
    </w:rPr>
  </w:style>
  <w:style w:type="paragraph" w:styleId="a5">
    <w:name w:val="header"/>
    <w:basedOn w:val="a"/>
    <w:link w:val="Char"/>
    <w:uiPriority w:val="99"/>
    <w:unhideWhenUsed/>
    <w:rsid w:val="00C02BBC"/>
    <w:pPr>
      <w:tabs>
        <w:tab w:val="center" w:pos="4680"/>
        <w:tab w:val="right" w:pos="9360"/>
      </w:tabs>
      <w:spacing w:after="0" w:line="240" w:lineRule="auto"/>
    </w:pPr>
  </w:style>
  <w:style w:type="character" w:customStyle="1" w:styleId="Char">
    <w:name w:val="页眉 Char"/>
    <w:basedOn w:val="a0"/>
    <w:link w:val="a5"/>
    <w:uiPriority w:val="99"/>
    <w:rsid w:val="00C02BBC"/>
  </w:style>
  <w:style w:type="paragraph" w:styleId="a6">
    <w:name w:val="footer"/>
    <w:basedOn w:val="a"/>
    <w:link w:val="Char0"/>
    <w:uiPriority w:val="99"/>
    <w:unhideWhenUsed/>
    <w:rsid w:val="00C02BBC"/>
    <w:pPr>
      <w:tabs>
        <w:tab w:val="center" w:pos="4680"/>
        <w:tab w:val="right" w:pos="9360"/>
      </w:tabs>
      <w:spacing w:after="0" w:line="240" w:lineRule="auto"/>
    </w:pPr>
  </w:style>
  <w:style w:type="character" w:customStyle="1" w:styleId="Char0">
    <w:name w:val="页脚 Char"/>
    <w:basedOn w:val="a0"/>
    <w:link w:val="a6"/>
    <w:uiPriority w:val="99"/>
    <w:rsid w:val="00C02BBC"/>
  </w:style>
  <w:style w:type="paragraph" w:styleId="a7">
    <w:name w:val="Normal (Web)"/>
    <w:basedOn w:val="a"/>
    <w:uiPriority w:val="99"/>
    <w:unhideWhenUsed/>
    <w:rsid w:val="00736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标题 2 Char"/>
    <w:basedOn w:val="a0"/>
    <w:link w:val="2"/>
    <w:uiPriority w:val="99"/>
    <w:rsid w:val="00B86800"/>
    <w:rPr>
      <w:rFonts w:ascii="Times New Roman" w:eastAsia="Times New Roman" w:hAnsi="Times New Roman" w:cs="Times New Roman"/>
      <w:b/>
      <w:bCs/>
      <w:sz w:val="36"/>
      <w:szCs w:val="36"/>
    </w:rPr>
  </w:style>
  <w:style w:type="character" w:styleId="a8">
    <w:name w:val="Emphasis"/>
    <w:basedOn w:val="a0"/>
    <w:uiPriority w:val="20"/>
    <w:qFormat/>
    <w:rsid w:val="007E46E3"/>
    <w:rPr>
      <w:i/>
      <w:iCs/>
    </w:rPr>
  </w:style>
  <w:style w:type="character" w:styleId="a9">
    <w:name w:val="line number"/>
    <w:basedOn w:val="a0"/>
    <w:uiPriority w:val="99"/>
    <w:semiHidden/>
    <w:unhideWhenUsed/>
    <w:rsid w:val="0096384C"/>
  </w:style>
  <w:style w:type="paragraph" w:styleId="aa">
    <w:name w:val="Balloon Text"/>
    <w:basedOn w:val="a"/>
    <w:link w:val="Char1"/>
    <w:uiPriority w:val="99"/>
    <w:semiHidden/>
    <w:unhideWhenUsed/>
    <w:rsid w:val="00B71719"/>
    <w:pPr>
      <w:spacing w:after="0" w:line="240" w:lineRule="auto"/>
    </w:pPr>
    <w:rPr>
      <w:rFonts w:ascii="宋体" w:eastAsia="宋体"/>
      <w:sz w:val="18"/>
      <w:szCs w:val="18"/>
    </w:rPr>
  </w:style>
  <w:style w:type="character" w:customStyle="1" w:styleId="Char1">
    <w:name w:val="批注框文本 Char"/>
    <w:basedOn w:val="a0"/>
    <w:link w:val="aa"/>
    <w:uiPriority w:val="99"/>
    <w:semiHidden/>
    <w:rsid w:val="00B71719"/>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9"/>
    <w:qFormat/>
    <w:rsid w:val="00B868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54EE"/>
    <w:pPr>
      <w:ind w:left="720"/>
      <w:contextualSpacing/>
    </w:pPr>
  </w:style>
  <w:style w:type="character" w:styleId="a4">
    <w:name w:val="Hyperlink"/>
    <w:basedOn w:val="a0"/>
    <w:uiPriority w:val="99"/>
    <w:unhideWhenUsed/>
    <w:rsid w:val="002F4BDF"/>
    <w:rPr>
      <w:color w:val="0563C1" w:themeColor="hyperlink"/>
      <w:u w:val="single"/>
    </w:rPr>
  </w:style>
  <w:style w:type="paragraph" w:styleId="HTML">
    <w:name w:val="HTML Preformatted"/>
    <w:basedOn w:val="a"/>
    <w:link w:val="HTMLChar"/>
    <w:uiPriority w:val="99"/>
    <w:semiHidden/>
    <w:unhideWhenUsed/>
    <w:rsid w:val="001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1377D4"/>
    <w:rPr>
      <w:rFonts w:ascii="Courier New" w:eastAsia="Times New Roman" w:hAnsi="Courier New" w:cs="Courier New"/>
      <w:sz w:val="20"/>
      <w:szCs w:val="20"/>
    </w:rPr>
  </w:style>
  <w:style w:type="paragraph" w:styleId="a5">
    <w:name w:val="header"/>
    <w:basedOn w:val="a"/>
    <w:link w:val="Char"/>
    <w:uiPriority w:val="99"/>
    <w:unhideWhenUsed/>
    <w:rsid w:val="00C02BBC"/>
    <w:pPr>
      <w:tabs>
        <w:tab w:val="center" w:pos="4680"/>
        <w:tab w:val="right" w:pos="9360"/>
      </w:tabs>
      <w:spacing w:after="0" w:line="240" w:lineRule="auto"/>
    </w:pPr>
  </w:style>
  <w:style w:type="character" w:customStyle="1" w:styleId="Char">
    <w:name w:val="页眉 Char"/>
    <w:basedOn w:val="a0"/>
    <w:link w:val="a5"/>
    <w:uiPriority w:val="99"/>
    <w:rsid w:val="00C02BBC"/>
  </w:style>
  <w:style w:type="paragraph" w:styleId="a6">
    <w:name w:val="footer"/>
    <w:basedOn w:val="a"/>
    <w:link w:val="Char0"/>
    <w:uiPriority w:val="99"/>
    <w:unhideWhenUsed/>
    <w:rsid w:val="00C02BBC"/>
    <w:pPr>
      <w:tabs>
        <w:tab w:val="center" w:pos="4680"/>
        <w:tab w:val="right" w:pos="9360"/>
      </w:tabs>
      <w:spacing w:after="0" w:line="240" w:lineRule="auto"/>
    </w:pPr>
  </w:style>
  <w:style w:type="character" w:customStyle="1" w:styleId="Char0">
    <w:name w:val="页脚 Char"/>
    <w:basedOn w:val="a0"/>
    <w:link w:val="a6"/>
    <w:uiPriority w:val="99"/>
    <w:rsid w:val="00C02BBC"/>
  </w:style>
  <w:style w:type="paragraph" w:styleId="a7">
    <w:name w:val="Normal (Web)"/>
    <w:basedOn w:val="a"/>
    <w:uiPriority w:val="99"/>
    <w:unhideWhenUsed/>
    <w:rsid w:val="00736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标题 2 Char"/>
    <w:basedOn w:val="a0"/>
    <w:link w:val="2"/>
    <w:uiPriority w:val="99"/>
    <w:rsid w:val="00B86800"/>
    <w:rPr>
      <w:rFonts w:ascii="Times New Roman" w:eastAsia="Times New Roman" w:hAnsi="Times New Roman" w:cs="Times New Roman"/>
      <w:b/>
      <w:bCs/>
      <w:sz w:val="36"/>
      <w:szCs w:val="36"/>
    </w:rPr>
  </w:style>
  <w:style w:type="character" w:styleId="a8">
    <w:name w:val="Emphasis"/>
    <w:basedOn w:val="a0"/>
    <w:uiPriority w:val="20"/>
    <w:qFormat/>
    <w:rsid w:val="007E46E3"/>
    <w:rPr>
      <w:i/>
      <w:iCs/>
    </w:rPr>
  </w:style>
  <w:style w:type="character" w:styleId="a9">
    <w:name w:val="line number"/>
    <w:basedOn w:val="a0"/>
    <w:uiPriority w:val="99"/>
    <w:semiHidden/>
    <w:unhideWhenUsed/>
    <w:rsid w:val="0096384C"/>
  </w:style>
  <w:style w:type="paragraph" w:styleId="aa">
    <w:name w:val="Balloon Text"/>
    <w:basedOn w:val="a"/>
    <w:link w:val="Char1"/>
    <w:uiPriority w:val="99"/>
    <w:semiHidden/>
    <w:unhideWhenUsed/>
    <w:rsid w:val="00B71719"/>
    <w:pPr>
      <w:spacing w:after="0" w:line="240" w:lineRule="auto"/>
    </w:pPr>
    <w:rPr>
      <w:rFonts w:ascii="宋体" w:eastAsia="宋体"/>
      <w:sz w:val="18"/>
      <w:szCs w:val="18"/>
    </w:rPr>
  </w:style>
  <w:style w:type="character" w:customStyle="1" w:styleId="Char1">
    <w:name w:val="批注框文本 Char"/>
    <w:basedOn w:val="a0"/>
    <w:link w:val="aa"/>
    <w:uiPriority w:val="99"/>
    <w:semiHidden/>
    <w:rsid w:val="00B71719"/>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9759">
      <w:bodyDiv w:val="1"/>
      <w:marLeft w:val="0"/>
      <w:marRight w:val="0"/>
      <w:marTop w:val="0"/>
      <w:marBottom w:val="0"/>
      <w:divBdr>
        <w:top w:val="none" w:sz="0" w:space="0" w:color="auto"/>
        <w:left w:val="none" w:sz="0" w:space="0" w:color="auto"/>
        <w:bottom w:val="none" w:sz="0" w:space="0" w:color="auto"/>
        <w:right w:val="none" w:sz="0" w:space="0" w:color="auto"/>
      </w:divBdr>
    </w:div>
    <w:div w:id="399983242">
      <w:bodyDiv w:val="1"/>
      <w:marLeft w:val="0"/>
      <w:marRight w:val="0"/>
      <w:marTop w:val="0"/>
      <w:marBottom w:val="0"/>
      <w:divBdr>
        <w:top w:val="none" w:sz="0" w:space="0" w:color="auto"/>
        <w:left w:val="none" w:sz="0" w:space="0" w:color="auto"/>
        <w:bottom w:val="none" w:sz="0" w:space="0" w:color="auto"/>
        <w:right w:val="none" w:sz="0" w:space="0" w:color="auto"/>
      </w:divBdr>
    </w:div>
    <w:div w:id="454720697">
      <w:bodyDiv w:val="1"/>
      <w:marLeft w:val="0"/>
      <w:marRight w:val="0"/>
      <w:marTop w:val="0"/>
      <w:marBottom w:val="0"/>
      <w:divBdr>
        <w:top w:val="none" w:sz="0" w:space="0" w:color="auto"/>
        <w:left w:val="none" w:sz="0" w:space="0" w:color="auto"/>
        <w:bottom w:val="none" w:sz="0" w:space="0" w:color="auto"/>
        <w:right w:val="none" w:sz="0" w:space="0" w:color="auto"/>
      </w:divBdr>
    </w:div>
    <w:div w:id="456727292">
      <w:bodyDiv w:val="1"/>
      <w:marLeft w:val="0"/>
      <w:marRight w:val="0"/>
      <w:marTop w:val="0"/>
      <w:marBottom w:val="0"/>
      <w:divBdr>
        <w:top w:val="none" w:sz="0" w:space="0" w:color="auto"/>
        <w:left w:val="none" w:sz="0" w:space="0" w:color="auto"/>
        <w:bottom w:val="none" w:sz="0" w:space="0" w:color="auto"/>
        <w:right w:val="none" w:sz="0" w:space="0" w:color="auto"/>
      </w:divBdr>
    </w:div>
    <w:div w:id="533005901">
      <w:bodyDiv w:val="1"/>
      <w:marLeft w:val="0"/>
      <w:marRight w:val="0"/>
      <w:marTop w:val="0"/>
      <w:marBottom w:val="0"/>
      <w:divBdr>
        <w:top w:val="none" w:sz="0" w:space="0" w:color="auto"/>
        <w:left w:val="none" w:sz="0" w:space="0" w:color="auto"/>
        <w:bottom w:val="none" w:sz="0" w:space="0" w:color="auto"/>
        <w:right w:val="none" w:sz="0" w:space="0" w:color="auto"/>
      </w:divBdr>
    </w:div>
    <w:div w:id="590551840">
      <w:bodyDiv w:val="1"/>
      <w:marLeft w:val="0"/>
      <w:marRight w:val="0"/>
      <w:marTop w:val="0"/>
      <w:marBottom w:val="0"/>
      <w:divBdr>
        <w:top w:val="none" w:sz="0" w:space="0" w:color="auto"/>
        <w:left w:val="none" w:sz="0" w:space="0" w:color="auto"/>
        <w:bottom w:val="none" w:sz="0" w:space="0" w:color="auto"/>
        <w:right w:val="none" w:sz="0" w:space="0" w:color="auto"/>
      </w:divBdr>
    </w:div>
    <w:div w:id="604969811">
      <w:bodyDiv w:val="1"/>
      <w:marLeft w:val="0"/>
      <w:marRight w:val="0"/>
      <w:marTop w:val="0"/>
      <w:marBottom w:val="0"/>
      <w:divBdr>
        <w:top w:val="none" w:sz="0" w:space="0" w:color="auto"/>
        <w:left w:val="none" w:sz="0" w:space="0" w:color="auto"/>
        <w:bottom w:val="none" w:sz="0" w:space="0" w:color="auto"/>
        <w:right w:val="none" w:sz="0" w:space="0" w:color="auto"/>
      </w:divBdr>
    </w:div>
    <w:div w:id="642008478">
      <w:bodyDiv w:val="1"/>
      <w:marLeft w:val="0"/>
      <w:marRight w:val="0"/>
      <w:marTop w:val="0"/>
      <w:marBottom w:val="0"/>
      <w:divBdr>
        <w:top w:val="none" w:sz="0" w:space="0" w:color="auto"/>
        <w:left w:val="none" w:sz="0" w:space="0" w:color="auto"/>
        <w:bottom w:val="none" w:sz="0" w:space="0" w:color="auto"/>
        <w:right w:val="none" w:sz="0" w:space="0" w:color="auto"/>
      </w:divBdr>
    </w:div>
    <w:div w:id="670789721">
      <w:bodyDiv w:val="1"/>
      <w:marLeft w:val="0"/>
      <w:marRight w:val="0"/>
      <w:marTop w:val="0"/>
      <w:marBottom w:val="0"/>
      <w:divBdr>
        <w:top w:val="none" w:sz="0" w:space="0" w:color="auto"/>
        <w:left w:val="none" w:sz="0" w:space="0" w:color="auto"/>
        <w:bottom w:val="none" w:sz="0" w:space="0" w:color="auto"/>
        <w:right w:val="none" w:sz="0" w:space="0" w:color="auto"/>
      </w:divBdr>
    </w:div>
    <w:div w:id="750783858">
      <w:bodyDiv w:val="1"/>
      <w:marLeft w:val="0"/>
      <w:marRight w:val="0"/>
      <w:marTop w:val="0"/>
      <w:marBottom w:val="0"/>
      <w:divBdr>
        <w:top w:val="none" w:sz="0" w:space="0" w:color="auto"/>
        <w:left w:val="none" w:sz="0" w:space="0" w:color="auto"/>
        <w:bottom w:val="none" w:sz="0" w:space="0" w:color="auto"/>
        <w:right w:val="none" w:sz="0" w:space="0" w:color="auto"/>
      </w:divBdr>
    </w:div>
    <w:div w:id="802577445">
      <w:bodyDiv w:val="1"/>
      <w:marLeft w:val="0"/>
      <w:marRight w:val="0"/>
      <w:marTop w:val="0"/>
      <w:marBottom w:val="0"/>
      <w:divBdr>
        <w:top w:val="none" w:sz="0" w:space="0" w:color="auto"/>
        <w:left w:val="none" w:sz="0" w:space="0" w:color="auto"/>
        <w:bottom w:val="none" w:sz="0" w:space="0" w:color="auto"/>
        <w:right w:val="none" w:sz="0" w:space="0" w:color="auto"/>
      </w:divBdr>
    </w:div>
    <w:div w:id="1051618030">
      <w:bodyDiv w:val="1"/>
      <w:marLeft w:val="0"/>
      <w:marRight w:val="0"/>
      <w:marTop w:val="0"/>
      <w:marBottom w:val="0"/>
      <w:divBdr>
        <w:top w:val="none" w:sz="0" w:space="0" w:color="auto"/>
        <w:left w:val="none" w:sz="0" w:space="0" w:color="auto"/>
        <w:bottom w:val="none" w:sz="0" w:space="0" w:color="auto"/>
        <w:right w:val="none" w:sz="0" w:space="0" w:color="auto"/>
      </w:divBdr>
    </w:div>
    <w:div w:id="1145045049">
      <w:bodyDiv w:val="1"/>
      <w:marLeft w:val="0"/>
      <w:marRight w:val="0"/>
      <w:marTop w:val="0"/>
      <w:marBottom w:val="0"/>
      <w:divBdr>
        <w:top w:val="none" w:sz="0" w:space="0" w:color="auto"/>
        <w:left w:val="none" w:sz="0" w:space="0" w:color="auto"/>
        <w:bottom w:val="none" w:sz="0" w:space="0" w:color="auto"/>
        <w:right w:val="none" w:sz="0" w:space="0" w:color="auto"/>
      </w:divBdr>
    </w:div>
    <w:div w:id="1257058030">
      <w:bodyDiv w:val="1"/>
      <w:marLeft w:val="0"/>
      <w:marRight w:val="0"/>
      <w:marTop w:val="0"/>
      <w:marBottom w:val="0"/>
      <w:divBdr>
        <w:top w:val="none" w:sz="0" w:space="0" w:color="auto"/>
        <w:left w:val="none" w:sz="0" w:space="0" w:color="auto"/>
        <w:bottom w:val="none" w:sz="0" w:space="0" w:color="auto"/>
        <w:right w:val="none" w:sz="0" w:space="0" w:color="auto"/>
      </w:divBdr>
    </w:div>
    <w:div w:id="1317953793">
      <w:bodyDiv w:val="1"/>
      <w:marLeft w:val="0"/>
      <w:marRight w:val="0"/>
      <w:marTop w:val="0"/>
      <w:marBottom w:val="0"/>
      <w:divBdr>
        <w:top w:val="none" w:sz="0" w:space="0" w:color="auto"/>
        <w:left w:val="none" w:sz="0" w:space="0" w:color="auto"/>
        <w:bottom w:val="none" w:sz="0" w:space="0" w:color="auto"/>
        <w:right w:val="none" w:sz="0" w:space="0" w:color="auto"/>
      </w:divBdr>
    </w:div>
    <w:div w:id="1601329526">
      <w:bodyDiv w:val="1"/>
      <w:marLeft w:val="0"/>
      <w:marRight w:val="0"/>
      <w:marTop w:val="0"/>
      <w:marBottom w:val="0"/>
      <w:divBdr>
        <w:top w:val="none" w:sz="0" w:space="0" w:color="auto"/>
        <w:left w:val="none" w:sz="0" w:space="0" w:color="auto"/>
        <w:bottom w:val="none" w:sz="0" w:space="0" w:color="auto"/>
        <w:right w:val="none" w:sz="0" w:space="0" w:color="auto"/>
      </w:divBdr>
    </w:div>
    <w:div w:id="1662654714">
      <w:bodyDiv w:val="1"/>
      <w:marLeft w:val="0"/>
      <w:marRight w:val="0"/>
      <w:marTop w:val="0"/>
      <w:marBottom w:val="0"/>
      <w:divBdr>
        <w:top w:val="none" w:sz="0" w:space="0" w:color="auto"/>
        <w:left w:val="none" w:sz="0" w:space="0" w:color="auto"/>
        <w:bottom w:val="none" w:sz="0" w:space="0" w:color="auto"/>
        <w:right w:val="none" w:sz="0" w:space="0" w:color="auto"/>
      </w:divBdr>
    </w:div>
    <w:div w:id="1708018266">
      <w:bodyDiv w:val="1"/>
      <w:marLeft w:val="0"/>
      <w:marRight w:val="0"/>
      <w:marTop w:val="0"/>
      <w:marBottom w:val="0"/>
      <w:divBdr>
        <w:top w:val="none" w:sz="0" w:space="0" w:color="auto"/>
        <w:left w:val="none" w:sz="0" w:space="0" w:color="auto"/>
        <w:bottom w:val="none" w:sz="0" w:space="0" w:color="auto"/>
        <w:right w:val="none" w:sz="0" w:space="0" w:color="auto"/>
      </w:divBdr>
    </w:div>
    <w:div w:id="1744136324">
      <w:bodyDiv w:val="1"/>
      <w:marLeft w:val="0"/>
      <w:marRight w:val="0"/>
      <w:marTop w:val="0"/>
      <w:marBottom w:val="0"/>
      <w:divBdr>
        <w:top w:val="none" w:sz="0" w:space="0" w:color="auto"/>
        <w:left w:val="none" w:sz="0" w:space="0" w:color="auto"/>
        <w:bottom w:val="none" w:sz="0" w:space="0" w:color="auto"/>
        <w:right w:val="none" w:sz="0" w:space="0" w:color="auto"/>
      </w:divBdr>
    </w:div>
    <w:div w:id="18991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7CDE1-F665-4C68-8430-4A2B1A1A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11401</Words>
  <Characters>64987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quach</dc:creator>
  <cp:lastModifiedBy>Administrator</cp:lastModifiedBy>
  <cp:revision>5</cp:revision>
  <dcterms:created xsi:type="dcterms:W3CDTF">2019-06-23T01:22:00Z</dcterms:created>
  <dcterms:modified xsi:type="dcterms:W3CDTF">2019-07-17T09:08:00Z</dcterms:modified>
</cp:coreProperties>
</file>