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D6" w:rsidRPr="000C1102" w:rsidRDefault="00AC73D6" w:rsidP="00866887">
      <w:pPr>
        <w:spacing w:line="360" w:lineRule="auto"/>
        <w:rPr>
          <w:rFonts w:ascii="Book Antiqua" w:hAnsi="Book Antiqua" w:cs="Tahoma"/>
          <w:b/>
          <w:sz w:val="24"/>
          <w:szCs w:val="24"/>
        </w:rPr>
      </w:pPr>
      <w:r w:rsidRPr="000C1102">
        <w:rPr>
          <w:rFonts w:ascii="Book Antiqua" w:hAnsi="Book Antiqua" w:cs="Tahoma"/>
          <w:b/>
          <w:sz w:val="24"/>
          <w:szCs w:val="24"/>
        </w:rPr>
        <w:t>Name of journal: World Journal of Gastroenterology</w:t>
      </w:r>
    </w:p>
    <w:p w:rsidR="00AC73D6" w:rsidRPr="000C1102" w:rsidRDefault="00AC73D6" w:rsidP="00866887">
      <w:pPr>
        <w:spacing w:line="360" w:lineRule="auto"/>
        <w:rPr>
          <w:rFonts w:ascii="Book Antiqua" w:hAnsi="Book Antiqua" w:cs="Tahoma"/>
          <w:b/>
          <w:sz w:val="24"/>
          <w:szCs w:val="24"/>
        </w:rPr>
      </w:pPr>
      <w:r w:rsidRPr="000C1102">
        <w:rPr>
          <w:rFonts w:ascii="Book Antiqua" w:hAnsi="Book Antiqua" w:cs="Tahoma"/>
          <w:b/>
          <w:sz w:val="24"/>
          <w:szCs w:val="24"/>
        </w:rPr>
        <w:t>ESPS Manuscript NO: 4724</w:t>
      </w:r>
    </w:p>
    <w:p w:rsidR="00AC73D6" w:rsidRPr="000C1102" w:rsidRDefault="00AC73D6" w:rsidP="00866887">
      <w:pPr>
        <w:spacing w:line="360" w:lineRule="auto"/>
        <w:rPr>
          <w:rFonts w:ascii="Book Antiqua" w:hAnsi="Book Antiqua" w:cs="Tahoma"/>
          <w:b/>
          <w:sz w:val="24"/>
          <w:szCs w:val="24"/>
        </w:rPr>
      </w:pPr>
      <w:r w:rsidRPr="000C1102">
        <w:rPr>
          <w:rFonts w:ascii="Book Antiqua" w:hAnsi="Book Antiqua" w:cs="Tahoma"/>
          <w:b/>
          <w:sz w:val="24"/>
          <w:szCs w:val="24"/>
        </w:rPr>
        <w:t>Columns: META-ANALYSIS</w:t>
      </w:r>
    </w:p>
    <w:p w:rsidR="00AC73D6" w:rsidRPr="000C1102" w:rsidRDefault="00AC73D6" w:rsidP="00866887">
      <w:pPr>
        <w:spacing w:line="360" w:lineRule="auto"/>
        <w:rPr>
          <w:rFonts w:ascii="Book Antiqua" w:hAnsi="Book Antiqua" w:cs="Tahoma"/>
          <w:b/>
          <w:sz w:val="24"/>
          <w:szCs w:val="24"/>
        </w:rPr>
      </w:pP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Association of interleukin-10 polymorphisms with irritable bowel syndrome risk: A meta-analysis </w:t>
      </w:r>
    </w:p>
    <w:p w:rsidR="00AC73D6" w:rsidRPr="000C1102" w:rsidRDefault="00AC73D6" w:rsidP="00866887">
      <w:pPr>
        <w:spacing w:line="360" w:lineRule="auto"/>
        <w:rPr>
          <w:rFonts w:ascii="Book Antiqua" w:hAnsi="Book Antiqua"/>
          <w:b/>
          <w:sz w:val="24"/>
          <w:szCs w:val="24"/>
        </w:rPr>
      </w:pPr>
    </w:p>
    <w:p w:rsidR="00AC73D6" w:rsidRPr="003D5934" w:rsidRDefault="00AC73D6" w:rsidP="00866887">
      <w:pPr>
        <w:spacing w:line="360" w:lineRule="auto"/>
        <w:rPr>
          <w:rFonts w:ascii="Book Antiqua" w:hAnsi="Book Antiqua"/>
          <w:sz w:val="24"/>
          <w:szCs w:val="24"/>
        </w:rPr>
      </w:pPr>
      <w:r w:rsidRPr="003D5934">
        <w:rPr>
          <w:rFonts w:ascii="Book Antiqua" w:hAnsi="Book Antiqua"/>
          <w:sz w:val="24"/>
          <w:szCs w:val="24"/>
        </w:rPr>
        <w:t xml:space="preserve">Qin SY </w:t>
      </w:r>
      <w:r w:rsidRPr="003D5934">
        <w:rPr>
          <w:rFonts w:ascii="Book Antiqua" w:hAnsi="Book Antiqua"/>
          <w:i/>
          <w:sz w:val="24"/>
          <w:szCs w:val="24"/>
        </w:rPr>
        <w:t>et al</w:t>
      </w:r>
      <w:r w:rsidRPr="003D5934">
        <w:rPr>
          <w:rFonts w:ascii="Book Antiqua" w:hAnsi="Book Antiqua"/>
          <w:sz w:val="24"/>
          <w:szCs w:val="24"/>
        </w:rPr>
        <w:t xml:space="preserve">. IL-10 polymorphisms and IBS risk </w:t>
      </w: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Shan-Yu Qin, </w:t>
      </w:r>
      <w:proofErr w:type="spellStart"/>
      <w:r w:rsidRPr="000C1102">
        <w:rPr>
          <w:rFonts w:ascii="Book Antiqua" w:hAnsi="Book Antiqua"/>
          <w:sz w:val="24"/>
          <w:szCs w:val="24"/>
        </w:rPr>
        <w:t>Hai</w:t>
      </w:r>
      <w:proofErr w:type="spellEnd"/>
      <w:r w:rsidRPr="000C1102">
        <w:rPr>
          <w:rFonts w:ascii="Book Antiqua" w:hAnsi="Book Antiqua"/>
          <w:sz w:val="24"/>
          <w:szCs w:val="24"/>
        </w:rPr>
        <w:t>-Xing Jiang, Dong-Hong Lu, You Zhou</w:t>
      </w:r>
    </w:p>
    <w:p w:rsidR="00AC73D6" w:rsidRPr="000C1102" w:rsidRDefault="00AC73D6" w:rsidP="00866887">
      <w:pPr>
        <w:spacing w:line="360" w:lineRule="auto"/>
        <w:rPr>
          <w:rFonts w:ascii="Book Antiqua" w:hAnsi="Book Antiqua"/>
          <w:sz w:val="24"/>
          <w:szCs w:val="24"/>
        </w:rPr>
      </w:pPr>
    </w:p>
    <w:p w:rsidR="00AC73D6" w:rsidRDefault="00AC73D6" w:rsidP="00866887">
      <w:pPr>
        <w:spacing w:line="360" w:lineRule="auto"/>
        <w:rPr>
          <w:rFonts w:ascii="Book Antiqua" w:hAnsi="Book Antiqua"/>
          <w:sz w:val="24"/>
          <w:szCs w:val="24"/>
        </w:rPr>
      </w:pPr>
      <w:r w:rsidRPr="000C1102">
        <w:rPr>
          <w:rFonts w:ascii="Book Antiqua" w:hAnsi="Book Antiqua"/>
          <w:b/>
          <w:sz w:val="24"/>
          <w:szCs w:val="24"/>
        </w:rPr>
        <w:t xml:space="preserve">Shan-Yu Qin, </w:t>
      </w:r>
      <w:proofErr w:type="spellStart"/>
      <w:r w:rsidRPr="000C1102">
        <w:rPr>
          <w:rFonts w:ascii="Book Antiqua" w:hAnsi="Book Antiqua"/>
          <w:b/>
          <w:sz w:val="24"/>
          <w:szCs w:val="24"/>
        </w:rPr>
        <w:t>Hai</w:t>
      </w:r>
      <w:proofErr w:type="spellEnd"/>
      <w:r w:rsidRPr="000C1102">
        <w:rPr>
          <w:rFonts w:ascii="Book Antiqua" w:hAnsi="Book Antiqua"/>
          <w:b/>
          <w:sz w:val="24"/>
          <w:szCs w:val="24"/>
        </w:rPr>
        <w:t>-Xing Jiang, Dong-Hong Lu,</w:t>
      </w:r>
      <w:r w:rsidRPr="000C1102">
        <w:rPr>
          <w:rFonts w:ascii="Book Antiqua" w:hAnsi="Book Antiqua"/>
          <w:sz w:val="24"/>
          <w:szCs w:val="24"/>
        </w:rPr>
        <w:t xml:space="preserve"> Department of Gastroenterology, the First Affiliated Hospital of Guangxi Medical University, Nanning 530021, Guangxi </w:t>
      </w:r>
      <w:proofErr w:type="spellStart"/>
      <w:r w:rsidRPr="000C1102">
        <w:rPr>
          <w:rFonts w:ascii="Book Antiqua" w:hAnsi="Book Antiqua"/>
          <w:sz w:val="24"/>
          <w:szCs w:val="24"/>
        </w:rPr>
        <w:t>Zhuang</w:t>
      </w:r>
      <w:proofErr w:type="spellEnd"/>
      <w:r w:rsidRPr="000C1102">
        <w:rPr>
          <w:rFonts w:ascii="Book Antiqua" w:hAnsi="Book Antiqua"/>
          <w:sz w:val="24"/>
          <w:szCs w:val="24"/>
        </w:rPr>
        <w:t xml:space="preserve"> Autonomous Region, China</w:t>
      </w:r>
    </w:p>
    <w:p w:rsidR="00AC73D6" w:rsidRPr="003B0985"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sz w:val="24"/>
          <w:szCs w:val="24"/>
        </w:rPr>
      </w:pPr>
      <w:r w:rsidRPr="000C1102">
        <w:rPr>
          <w:rFonts w:ascii="Book Antiqua" w:hAnsi="Book Antiqua"/>
          <w:b/>
          <w:sz w:val="24"/>
          <w:szCs w:val="24"/>
        </w:rPr>
        <w:t xml:space="preserve">You Zhou, </w:t>
      </w:r>
      <w:r w:rsidRPr="000C1102">
        <w:rPr>
          <w:rFonts w:ascii="Book Antiqua" w:hAnsi="Book Antiqua"/>
          <w:sz w:val="24"/>
          <w:szCs w:val="24"/>
        </w:rPr>
        <w:t>Minerva Foundation Institute for Medical Research, FI-00290 Helsinki, Finland</w:t>
      </w:r>
    </w:p>
    <w:p w:rsidR="00AC73D6" w:rsidRPr="000C1102" w:rsidRDefault="00AC73D6" w:rsidP="00866887">
      <w:pPr>
        <w:suppressAutoHyphens/>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sz w:val="24"/>
          <w:szCs w:val="24"/>
        </w:rPr>
      </w:pPr>
      <w:r w:rsidRPr="000C1102">
        <w:rPr>
          <w:rFonts w:ascii="Book Antiqua" w:hAnsi="Book Antiqua"/>
          <w:b/>
          <w:sz w:val="24"/>
          <w:szCs w:val="24"/>
        </w:rPr>
        <w:t xml:space="preserve">Author contributions: </w:t>
      </w:r>
      <w:r w:rsidRPr="000C1102">
        <w:rPr>
          <w:rFonts w:ascii="Book Antiqua" w:hAnsi="Book Antiqua"/>
          <w:sz w:val="24"/>
          <w:szCs w:val="24"/>
        </w:rPr>
        <w:t>Qin SY and Zhou Y conceived the study and implemented the final draft of the manuscript; Jiang HX and Lu DH performed the statistical analysis and wrote the paper; Qin SY and Lu DH searched the studies and extracted the data. All authors read and approved the final manuscript.</w:t>
      </w:r>
    </w:p>
    <w:p w:rsidR="00AC73D6" w:rsidRPr="000C1102" w:rsidRDefault="00AC73D6" w:rsidP="00866887">
      <w:pPr>
        <w:suppressAutoHyphens/>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sz w:val="24"/>
          <w:szCs w:val="24"/>
        </w:rPr>
      </w:pPr>
      <w:r w:rsidRPr="000C1102">
        <w:rPr>
          <w:rFonts w:ascii="Book Antiqua" w:hAnsi="Book Antiqua"/>
          <w:b/>
          <w:sz w:val="24"/>
          <w:szCs w:val="24"/>
        </w:rPr>
        <w:t>Supported by</w:t>
      </w:r>
      <w:r w:rsidRPr="000C1102">
        <w:rPr>
          <w:rFonts w:ascii="Book Antiqua" w:hAnsi="Book Antiqua"/>
          <w:sz w:val="24"/>
          <w:szCs w:val="24"/>
        </w:rPr>
        <w:t xml:space="preserve"> National Natural Science Foundation</w:t>
      </w:r>
      <w:r w:rsidR="005226BE">
        <w:rPr>
          <w:rFonts w:ascii="Book Antiqua" w:hAnsi="Book Antiqua"/>
          <w:sz w:val="24"/>
          <w:szCs w:val="24"/>
        </w:rPr>
        <w:t>,</w:t>
      </w:r>
      <w:r w:rsidR="003B0985">
        <w:rPr>
          <w:rFonts w:ascii="Book Antiqua" w:hAnsi="Book Antiqua" w:hint="eastAsia"/>
          <w:sz w:val="24"/>
          <w:szCs w:val="24"/>
        </w:rPr>
        <w:t xml:space="preserve"> </w:t>
      </w:r>
      <w:bookmarkStart w:id="0" w:name="_GoBack"/>
      <w:bookmarkEnd w:id="0"/>
      <w:r w:rsidRPr="000C1102">
        <w:rPr>
          <w:rFonts w:ascii="Book Antiqua" w:hAnsi="Book Antiqua"/>
          <w:sz w:val="24"/>
          <w:szCs w:val="24"/>
        </w:rPr>
        <w:t>No. 81260083; 31360221</w:t>
      </w:r>
    </w:p>
    <w:p w:rsidR="00AC73D6" w:rsidRPr="000C1102" w:rsidRDefault="00AC73D6" w:rsidP="00866887">
      <w:pPr>
        <w:suppressAutoHyphens/>
        <w:spacing w:line="360" w:lineRule="auto"/>
        <w:rPr>
          <w:rFonts w:ascii="Book Antiqua" w:hAnsi="Book Antiqua"/>
          <w:sz w:val="24"/>
          <w:szCs w:val="24"/>
        </w:rPr>
      </w:pPr>
    </w:p>
    <w:p w:rsidR="00AC73D6" w:rsidRPr="000C1102" w:rsidRDefault="00AC73D6" w:rsidP="00866887">
      <w:pPr>
        <w:suppressAutoHyphens/>
        <w:spacing w:line="360" w:lineRule="auto"/>
        <w:rPr>
          <w:rFonts w:ascii="Book Antiqua" w:hAnsi="Book Antiqua"/>
          <w:sz w:val="24"/>
          <w:szCs w:val="24"/>
        </w:rPr>
      </w:pPr>
      <w:r w:rsidRPr="000C1102">
        <w:rPr>
          <w:rFonts w:ascii="Book Antiqua" w:hAnsi="Book Antiqua"/>
          <w:b/>
          <w:sz w:val="24"/>
          <w:szCs w:val="24"/>
        </w:rPr>
        <w:t>Correspondence to: You Zhou, MD, PhD,</w:t>
      </w:r>
      <w:r w:rsidRPr="000C1102">
        <w:rPr>
          <w:rFonts w:ascii="Book Antiqua" w:hAnsi="Book Antiqua"/>
          <w:sz w:val="24"/>
          <w:szCs w:val="24"/>
        </w:rPr>
        <w:t xml:space="preserve"> Minerva Foundation Institute for Medical Research, </w:t>
      </w:r>
      <w:proofErr w:type="spellStart"/>
      <w:r w:rsidRPr="000C1102">
        <w:rPr>
          <w:rFonts w:ascii="Book Antiqua" w:hAnsi="Book Antiqua"/>
          <w:sz w:val="24"/>
          <w:szCs w:val="24"/>
        </w:rPr>
        <w:t>Biomedicum</w:t>
      </w:r>
      <w:proofErr w:type="spellEnd"/>
      <w:r w:rsidRPr="000C1102">
        <w:rPr>
          <w:rFonts w:ascii="Book Antiqua" w:hAnsi="Book Antiqua"/>
          <w:sz w:val="24"/>
          <w:szCs w:val="24"/>
        </w:rPr>
        <w:t xml:space="preserve"> 2U, </w:t>
      </w:r>
      <w:proofErr w:type="spellStart"/>
      <w:r w:rsidRPr="000C1102">
        <w:rPr>
          <w:rFonts w:ascii="Book Antiqua" w:hAnsi="Book Antiqua"/>
          <w:sz w:val="24"/>
          <w:szCs w:val="24"/>
        </w:rPr>
        <w:t>Tukholmankatu</w:t>
      </w:r>
      <w:proofErr w:type="spellEnd"/>
      <w:r w:rsidRPr="000C1102">
        <w:rPr>
          <w:rFonts w:ascii="Book Antiqua" w:hAnsi="Book Antiqua"/>
          <w:sz w:val="24"/>
          <w:szCs w:val="24"/>
        </w:rPr>
        <w:t xml:space="preserve"> 8, FI-00290, Helsinki, Finland. zhouchin123@163.com </w:t>
      </w:r>
    </w:p>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Telephone:</w:t>
      </w:r>
      <w:r w:rsidRPr="000C1102">
        <w:rPr>
          <w:rFonts w:ascii="Book Antiqua" w:hAnsi="Book Antiqua"/>
          <w:sz w:val="24"/>
          <w:szCs w:val="24"/>
        </w:rPr>
        <w:t xml:space="preserve"> +358-9-19125711     </w:t>
      </w:r>
      <w:r w:rsidRPr="000C1102">
        <w:rPr>
          <w:rFonts w:ascii="Book Antiqua" w:hAnsi="Book Antiqua"/>
          <w:b/>
          <w:sz w:val="24"/>
          <w:szCs w:val="24"/>
        </w:rPr>
        <w:t>Fax:</w:t>
      </w:r>
      <w:r w:rsidRPr="000C1102">
        <w:rPr>
          <w:rFonts w:ascii="Book Antiqua" w:hAnsi="Book Antiqua"/>
          <w:sz w:val="24"/>
          <w:szCs w:val="24"/>
        </w:rPr>
        <w:t xml:space="preserve"> +358-9-19125701</w:t>
      </w:r>
    </w:p>
    <w:p w:rsidR="00AC73D6" w:rsidRPr="000C1102" w:rsidRDefault="00AC73D6" w:rsidP="00866887">
      <w:pPr>
        <w:spacing w:line="360" w:lineRule="auto"/>
        <w:rPr>
          <w:rFonts w:ascii="Book Antiqua" w:hAnsi="Book Antiqua"/>
          <w:b/>
          <w:sz w:val="24"/>
          <w:szCs w:val="24"/>
        </w:rPr>
      </w:pPr>
    </w:p>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lastRenderedPageBreak/>
        <w:t>Received:</w:t>
      </w:r>
      <w:bookmarkStart w:id="1" w:name="OLE_LINK25"/>
      <w:bookmarkStart w:id="2" w:name="OLE_LINK26"/>
      <w:bookmarkStart w:id="3" w:name="OLE_LINK182"/>
      <w:bookmarkStart w:id="4" w:name="OLE_LINK185"/>
      <w:r w:rsidRPr="00AD1907">
        <w:rPr>
          <w:rFonts w:ascii="Book Antiqua" w:hAnsi="Book Antiqua"/>
          <w:sz w:val="24"/>
          <w:szCs w:val="24"/>
        </w:rPr>
        <w:t xml:space="preserve"> </w:t>
      </w:r>
      <w:r w:rsidRPr="00421E83">
        <w:rPr>
          <w:rFonts w:ascii="Book Antiqua" w:hAnsi="Book Antiqua"/>
          <w:sz w:val="24"/>
          <w:szCs w:val="24"/>
        </w:rPr>
        <w:t>July</w:t>
      </w:r>
      <w:bookmarkEnd w:id="1"/>
      <w:bookmarkEnd w:id="2"/>
      <w:bookmarkEnd w:id="3"/>
      <w:bookmarkEnd w:id="4"/>
      <w:r>
        <w:rPr>
          <w:rFonts w:ascii="Book Antiqua" w:hAnsi="Book Antiqua"/>
          <w:sz w:val="24"/>
          <w:szCs w:val="24"/>
        </w:rPr>
        <w:t xml:space="preserve"> 18, 2013       </w:t>
      </w:r>
      <w:r w:rsidRPr="000C1102">
        <w:rPr>
          <w:rFonts w:ascii="Book Antiqua" w:hAnsi="Book Antiqua"/>
          <w:b/>
          <w:sz w:val="24"/>
          <w:szCs w:val="24"/>
        </w:rPr>
        <w:t xml:space="preserve"> </w:t>
      </w:r>
      <w:r w:rsidRPr="000C1102">
        <w:rPr>
          <w:rFonts w:ascii="Book Antiqua" w:hAnsi="Book Antiqua"/>
          <w:sz w:val="24"/>
          <w:szCs w:val="24"/>
        </w:rPr>
        <w:t xml:space="preserve">  </w:t>
      </w:r>
      <w:r w:rsidRPr="000C1102">
        <w:rPr>
          <w:rFonts w:ascii="Book Antiqua" w:hAnsi="Book Antiqua"/>
          <w:b/>
          <w:sz w:val="24"/>
          <w:szCs w:val="24"/>
        </w:rPr>
        <w:t xml:space="preserve">Revised: </w:t>
      </w:r>
      <w:bookmarkStart w:id="5" w:name="OLE_LINK154"/>
      <w:bookmarkStart w:id="6" w:name="OLE_LINK156"/>
      <w:r w:rsidRPr="00421E83">
        <w:rPr>
          <w:rFonts w:ascii="Book Antiqua" w:hAnsi="Book Antiqua"/>
          <w:sz w:val="24"/>
          <w:szCs w:val="24"/>
        </w:rPr>
        <w:t>September</w:t>
      </w:r>
      <w:bookmarkEnd w:id="5"/>
      <w:bookmarkEnd w:id="6"/>
      <w:r>
        <w:rPr>
          <w:rFonts w:ascii="Book Antiqua" w:hAnsi="Book Antiqua"/>
          <w:sz w:val="24"/>
          <w:szCs w:val="24"/>
        </w:rPr>
        <w:t xml:space="preserve"> 18, 2013</w:t>
      </w:r>
    </w:p>
    <w:p w:rsidR="005226BE" w:rsidRPr="00DE65F2" w:rsidRDefault="00AC73D6" w:rsidP="005226BE">
      <w:pPr>
        <w:rPr>
          <w:rFonts w:ascii="Book Antiqua" w:hAnsi="Book Antiqua"/>
          <w:sz w:val="24"/>
          <w:szCs w:val="24"/>
        </w:rPr>
      </w:pPr>
      <w:r w:rsidRPr="000C1102">
        <w:rPr>
          <w:rFonts w:ascii="Book Antiqua" w:hAnsi="Book Antiqua"/>
          <w:b/>
          <w:sz w:val="24"/>
          <w:szCs w:val="24"/>
        </w:rPr>
        <w:t xml:space="preserve">Accepted: </w:t>
      </w:r>
      <w:r w:rsidR="005226BE" w:rsidRPr="00DE65F2">
        <w:rPr>
          <w:rFonts w:ascii="Book Antiqua" w:hAnsi="Book Antiqua"/>
          <w:sz w:val="24"/>
          <w:szCs w:val="24"/>
        </w:rPr>
        <w:t>October 19, 2013</w:t>
      </w:r>
    </w:p>
    <w:p w:rsidR="00AC73D6" w:rsidRPr="000C1102" w:rsidRDefault="00AC73D6" w:rsidP="00866887">
      <w:pPr>
        <w:spacing w:line="360" w:lineRule="auto"/>
        <w:rPr>
          <w:rFonts w:ascii="Book Antiqua" w:hAnsi="Book Antiqua"/>
          <w:b/>
          <w:sz w:val="24"/>
          <w:szCs w:val="24"/>
        </w:rPr>
      </w:pPr>
    </w:p>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 xml:space="preserve">Published online: </w:t>
      </w:r>
      <w:r w:rsidRPr="000C1102">
        <w:rPr>
          <w:rFonts w:ascii="Book Antiqua" w:hAnsi="Book Antiqua"/>
          <w:sz w:val="24"/>
          <w:szCs w:val="24"/>
        </w:rPr>
        <w:br w:type="page"/>
      </w:r>
      <w:r w:rsidRPr="000C1102">
        <w:rPr>
          <w:rFonts w:ascii="Book Antiqua" w:hAnsi="Book Antiqua"/>
          <w:b/>
          <w:sz w:val="24"/>
          <w:szCs w:val="24"/>
        </w:rPr>
        <w:lastRenderedPageBreak/>
        <w:t>Abstract</w:t>
      </w:r>
    </w:p>
    <w:p w:rsidR="00AC73D6" w:rsidRPr="000C1102" w:rsidRDefault="00AC73D6" w:rsidP="00866887">
      <w:pPr>
        <w:spacing w:line="360" w:lineRule="auto"/>
        <w:rPr>
          <w:rFonts w:ascii="Book Antiqua" w:hAnsi="Book Antiqua"/>
          <w:sz w:val="24"/>
          <w:szCs w:val="24"/>
        </w:rPr>
      </w:pPr>
      <w:r w:rsidRPr="000C1102">
        <w:rPr>
          <w:rFonts w:ascii="Book Antiqua" w:hAnsi="Book Antiqua"/>
          <w:b/>
          <w:sz w:val="24"/>
          <w:szCs w:val="24"/>
        </w:rPr>
        <w:t xml:space="preserve">AIM: </w:t>
      </w:r>
      <w:r w:rsidRPr="000C1102">
        <w:rPr>
          <w:rFonts w:ascii="Book Antiqua" w:hAnsi="Book Antiqua"/>
          <w:sz w:val="24"/>
          <w:szCs w:val="24"/>
        </w:rPr>
        <w:t>To clarify the current understanding of the association between interleukin-10 (IL-10) polymorphisms and the risk of irritable bowel syndrome (IBS).</w:t>
      </w:r>
    </w:p>
    <w:p w:rsidR="00AC73D6" w:rsidRPr="000C1102" w:rsidRDefault="00AC73D6" w:rsidP="00866887">
      <w:pPr>
        <w:spacing w:line="360" w:lineRule="auto"/>
        <w:rPr>
          <w:rFonts w:ascii="Book Antiqua" w:hAnsi="Book Antiqua"/>
          <w:b/>
          <w:sz w:val="24"/>
          <w:szCs w:val="24"/>
        </w:rPr>
      </w:pPr>
    </w:p>
    <w:p w:rsidR="00AC73D6" w:rsidRPr="000C1102" w:rsidRDefault="00AC73D6" w:rsidP="00866887">
      <w:pPr>
        <w:spacing w:line="360" w:lineRule="auto"/>
        <w:rPr>
          <w:rFonts w:ascii="Book Antiqua" w:hAnsi="Book Antiqua"/>
          <w:sz w:val="24"/>
          <w:szCs w:val="24"/>
        </w:rPr>
      </w:pPr>
      <w:r w:rsidRPr="000C1102">
        <w:rPr>
          <w:rFonts w:ascii="Book Antiqua" w:hAnsi="Book Antiqua"/>
          <w:b/>
          <w:sz w:val="24"/>
          <w:szCs w:val="24"/>
        </w:rPr>
        <w:t>METHODS:</w:t>
      </w:r>
      <w:r w:rsidRPr="000C1102">
        <w:rPr>
          <w:rFonts w:ascii="Book Antiqua" w:hAnsi="Book Antiqua"/>
          <w:sz w:val="24"/>
          <w:szCs w:val="24"/>
        </w:rPr>
        <w:t xml:space="preserve"> We searched for studies in any language recorded in PubMed, </w:t>
      </w:r>
      <w:proofErr w:type="spellStart"/>
      <w:r w:rsidRPr="000C1102">
        <w:rPr>
          <w:rFonts w:ascii="Book Antiqua" w:hAnsi="Book Antiqua"/>
          <w:sz w:val="24"/>
          <w:szCs w:val="24"/>
        </w:rPr>
        <w:t>Embase</w:t>
      </w:r>
      <w:proofErr w:type="spellEnd"/>
      <w:r w:rsidRPr="000C1102">
        <w:rPr>
          <w:rFonts w:ascii="Book Antiqua" w:hAnsi="Book Antiqua"/>
          <w:sz w:val="24"/>
          <w:szCs w:val="24"/>
        </w:rPr>
        <w:t xml:space="preserve"> and Cochrane library before August 2013. The associations under allele contrast model, </w:t>
      </w:r>
      <w:proofErr w:type="spellStart"/>
      <w:r w:rsidRPr="000C1102">
        <w:rPr>
          <w:rFonts w:ascii="Book Antiqua" w:hAnsi="Book Antiqua"/>
          <w:sz w:val="24"/>
          <w:szCs w:val="24"/>
        </w:rPr>
        <w:t>codominant</w:t>
      </w:r>
      <w:proofErr w:type="spellEnd"/>
      <w:r w:rsidRPr="000C1102">
        <w:rPr>
          <w:rFonts w:ascii="Book Antiqua" w:hAnsi="Book Antiqua"/>
          <w:sz w:val="24"/>
          <w:szCs w:val="24"/>
        </w:rPr>
        <w:t xml:space="preserve"> model, dominant model, and recessive model were analyzed respectively. The strengths of the association between IL-10 polymorphisms and IBS risk were estimated by odds ratios (OR) with 95%CI. Fixed effects model would be used to pool the result if the test of heterogeneity was not significant, otherwise the random-effect model would be selected.</w:t>
      </w:r>
    </w:p>
    <w:p w:rsidR="00AC73D6" w:rsidRPr="000C1102" w:rsidRDefault="00AC73D6" w:rsidP="00866887">
      <w:pPr>
        <w:spacing w:line="360" w:lineRule="auto"/>
        <w:rPr>
          <w:rFonts w:ascii="Book Antiqua" w:hAnsi="Book Antiqua"/>
          <w:b/>
          <w:sz w:val="24"/>
          <w:szCs w:val="24"/>
        </w:rPr>
      </w:pPr>
    </w:p>
    <w:p w:rsidR="00AC73D6" w:rsidRPr="000C1102" w:rsidRDefault="00AC73D6" w:rsidP="00866887">
      <w:pPr>
        <w:spacing w:line="360" w:lineRule="auto"/>
        <w:rPr>
          <w:rFonts w:ascii="Book Antiqua" w:hAnsi="Book Antiqua"/>
          <w:sz w:val="24"/>
          <w:szCs w:val="24"/>
        </w:rPr>
      </w:pPr>
      <w:r w:rsidRPr="000C1102">
        <w:rPr>
          <w:rFonts w:ascii="Book Antiqua" w:hAnsi="Book Antiqua"/>
          <w:b/>
          <w:sz w:val="24"/>
          <w:szCs w:val="24"/>
        </w:rPr>
        <w:t>RESULTS:</w:t>
      </w:r>
      <w:r w:rsidRPr="000C1102">
        <w:rPr>
          <w:rFonts w:ascii="Book Antiqua" w:hAnsi="Book Antiqua"/>
          <w:sz w:val="24"/>
          <w:szCs w:val="24"/>
        </w:rPr>
        <w:t xml:space="preserve"> Eight case-control studies involving in 928 cases and 1,363 controls analyzing three SNPs rs1800870 (-1082 A/G), rs1800871 (-819C/T), and rs1800872 (-592A/C) of IL-10 gene were eligible for our analysis. The results showed that rs1800870 polymorphisms were associated with decreased risk of IBS (GG+GA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AA: OR = 0.80, 95%CI: 0.66-0.96), (AA+GA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GG: OR = 0.68, 95%CI: 0.52-0.90). Subgroup analysis revealed such association only existed in Caucasian ethnicity (AA+GA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GG, OR = 0.70, 95%CI: 0.55-0.89). The rs1800872 polymorphisms were associated with an increased risk of IBS in Asian ethnicity (CC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GG: OR = 1.29, 95%CI: 1.01-1.16). There were no associations between </w:t>
      </w:r>
      <w:bookmarkStart w:id="7" w:name="OLE_LINK2"/>
      <w:bookmarkStart w:id="8" w:name="OLE_LINK3"/>
      <w:r w:rsidRPr="000C1102">
        <w:rPr>
          <w:rFonts w:ascii="Book Antiqua" w:hAnsi="Book Antiqua"/>
          <w:sz w:val="24"/>
          <w:szCs w:val="24"/>
        </w:rPr>
        <w:t xml:space="preserve">rs1800871 </w:t>
      </w:r>
      <w:bookmarkEnd w:id="7"/>
      <w:bookmarkEnd w:id="8"/>
      <w:r w:rsidRPr="000C1102">
        <w:rPr>
          <w:rFonts w:ascii="Book Antiqua" w:hAnsi="Book Antiqua"/>
          <w:sz w:val="24"/>
          <w:szCs w:val="24"/>
        </w:rPr>
        <w:t xml:space="preserve">polymorphisms and the IBS risk. No publication bias was found (all </w:t>
      </w:r>
      <w:r w:rsidRPr="000C1102">
        <w:rPr>
          <w:rFonts w:ascii="Book Antiqua" w:hAnsi="Book Antiqua"/>
          <w:i/>
          <w:sz w:val="24"/>
          <w:szCs w:val="24"/>
        </w:rPr>
        <w:t xml:space="preserve">P </w:t>
      </w:r>
      <w:r w:rsidRPr="000C1102">
        <w:rPr>
          <w:rFonts w:ascii="Book Antiqua" w:hAnsi="Book Antiqua"/>
          <w:sz w:val="24"/>
          <w:szCs w:val="24"/>
        </w:rPr>
        <w:t>&gt; 0.05)</w:t>
      </w:r>
    </w:p>
    <w:p w:rsidR="00AC73D6" w:rsidRPr="000C1102" w:rsidRDefault="00AC73D6" w:rsidP="00866887">
      <w:pPr>
        <w:spacing w:line="360" w:lineRule="auto"/>
        <w:rPr>
          <w:rFonts w:ascii="Book Antiqua" w:hAnsi="Book Antiqua"/>
          <w:b/>
          <w:sz w:val="24"/>
          <w:szCs w:val="24"/>
        </w:rPr>
      </w:pPr>
    </w:p>
    <w:p w:rsidR="00AC73D6" w:rsidRPr="000C1102" w:rsidRDefault="00AC73D6" w:rsidP="00866887">
      <w:pPr>
        <w:spacing w:line="360" w:lineRule="auto"/>
        <w:rPr>
          <w:rFonts w:ascii="Book Antiqua" w:hAnsi="Book Antiqua"/>
          <w:sz w:val="24"/>
          <w:szCs w:val="24"/>
        </w:rPr>
      </w:pPr>
      <w:r w:rsidRPr="000C1102">
        <w:rPr>
          <w:rFonts w:ascii="Book Antiqua" w:hAnsi="Book Antiqua"/>
          <w:b/>
          <w:sz w:val="24"/>
          <w:szCs w:val="24"/>
        </w:rPr>
        <w:t xml:space="preserve">CONCLUSIONS: </w:t>
      </w:r>
      <w:r w:rsidRPr="000C1102">
        <w:rPr>
          <w:rFonts w:ascii="Book Antiqua" w:hAnsi="Book Antiqua"/>
          <w:sz w:val="24"/>
          <w:szCs w:val="24"/>
        </w:rPr>
        <w:t>The results suggest that IL-10 rs1800870 is conferred susceptibility to the risk of IBS in Caucasian ethnicity, and the rs1800872 may associate with IBS risk in Asians. However, no significant associations are found between rs1800871 and IBS risk.</w:t>
      </w:r>
    </w:p>
    <w:p w:rsidR="00AC73D6" w:rsidRPr="000C1102" w:rsidRDefault="00AC73D6" w:rsidP="00866887">
      <w:pPr>
        <w:spacing w:line="360" w:lineRule="auto"/>
        <w:rPr>
          <w:rFonts w:ascii="Book Antiqua" w:hAnsi="Book Antiqua"/>
          <w:b/>
          <w:sz w:val="24"/>
          <w:szCs w:val="24"/>
        </w:rPr>
      </w:pP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 2013 </w:t>
      </w:r>
      <w:proofErr w:type="spellStart"/>
      <w:r w:rsidRPr="000C1102">
        <w:rPr>
          <w:rFonts w:ascii="Book Antiqua" w:hAnsi="Book Antiqua"/>
          <w:sz w:val="24"/>
          <w:szCs w:val="24"/>
        </w:rPr>
        <w:t>Baishideng</w:t>
      </w:r>
      <w:proofErr w:type="spellEnd"/>
      <w:r w:rsidRPr="000C1102">
        <w:rPr>
          <w:rFonts w:ascii="Book Antiqua" w:hAnsi="Book Antiqua"/>
          <w:sz w:val="24"/>
          <w:szCs w:val="24"/>
        </w:rPr>
        <w:t>. All rights reserved.</w:t>
      </w:r>
    </w:p>
    <w:p w:rsidR="00AC73D6" w:rsidRPr="000C1102" w:rsidRDefault="00AC73D6" w:rsidP="00866887">
      <w:pPr>
        <w:spacing w:line="360" w:lineRule="auto"/>
        <w:rPr>
          <w:rFonts w:ascii="Book Antiqua" w:hAnsi="Book Antiqua"/>
          <w:b/>
          <w:sz w:val="24"/>
          <w:szCs w:val="24"/>
        </w:rPr>
      </w:pPr>
    </w:p>
    <w:p w:rsidR="00AC73D6" w:rsidRPr="000C1102" w:rsidRDefault="00AC73D6" w:rsidP="00866887">
      <w:pPr>
        <w:spacing w:line="360" w:lineRule="auto"/>
        <w:rPr>
          <w:rFonts w:ascii="Book Antiqua" w:hAnsi="Book Antiqua"/>
          <w:sz w:val="24"/>
          <w:szCs w:val="24"/>
        </w:rPr>
      </w:pPr>
      <w:r w:rsidRPr="000C1102">
        <w:rPr>
          <w:rFonts w:ascii="Book Antiqua" w:hAnsi="Book Antiqua"/>
          <w:b/>
          <w:caps/>
          <w:sz w:val="24"/>
          <w:szCs w:val="24"/>
        </w:rPr>
        <w:lastRenderedPageBreak/>
        <w:t>K</w:t>
      </w:r>
      <w:r w:rsidRPr="000C1102">
        <w:rPr>
          <w:rFonts w:ascii="Book Antiqua" w:hAnsi="Book Antiqua"/>
          <w:b/>
          <w:sz w:val="24"/>
          <w:szCs w:val="24"/>
        </w:rPr>
        <w:t>ey words:</w:t>
      </w:r>
      <w:r w:rsidRPr="000C1102">
        <w:rPr>
          <w:rFonts w:ascii="Book Antiqua" w:hAnsi="Book Antiqua"/>
          <w:sz w:val="24"/>
          <w:szCs w:val="24"/>
        </w:rPr>
        <w:t xml:space="preserve"> Interleukin-10; Irritable bowel syndrome; Gene polymorphism; Case-control; Meta-analysis</w:t>
      </w: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cs="宋体"/>
          <w:kern w:val="0"/>
          <w:sz w:val="24"/>
          <w:szCs w:val="24"/>
        </w:rPr>
      </w:pPr>
      <w:bookmarkStart w:id="9" w:name="OLE_LINK1196"/>
      <w:bookmarkStart w:id="10" w:name="OLE_LINK1154"/>
      <w:bookmarkStart w:id="11" w:name="OLE_LINK1155"/>
      <w:bookmarkStart w:id="12" w:name="OLE_LINK1322"/>
      <w:bookmarkStart w:id="13" w:name="OLE_LINK1044"/>
      <w:bookmarkStart w:id="14" w:name="OLE_LINK1224"/>
      <w:bookmarkStart w:id="15" w:name="OLE_LINK1225"/>
      <w:bookmarkStart w:id="16" w:name="OLE_LINK1634"/>
      <w:bookmarkStart w:id="17" w:name="OLE_LINK1635"/>
      <w:bookmarkStart w:id="18" w:name="OLE_LINK1762"/>
      <w:bookmarkStart w:id="19" w:name="OLE_LINK1763"/>
      <w:bookmarkStart w:id="20" w:name="OLE_LINK1764"/>
      <w:bookmarkStart w:id="21" w:name="OLE_LINK1939"/>
      <w:bookmarkStart w:id="22" w:name="OLE_LINK2194"/>
      <w:bookmarkStart w:id="23" w:name="OLE_LINK2878"/>
      <w:r w:rsidRPr="000C1102">
        <w:rPr>
          <w:rFonts w:ascii="Book Antiqua" w:hAnsi="Book Antiqua" w:cs="宋体"/>
          <w:b/>
          <w:kern w:val="0"/>
          <w:sz w:val="24"/>
          <w:szCs w:val="24"/>
        </w:rPr>
        <w:t>Core tip:</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C1102">
        <w:rPr>
          <w:rFonts w:ascii="Book Antiqua" w:hAnsi="Book Antiqua" w:cs="宋体"/>
          <w:b/>
          <w:kern w:val="0"/>
          <w:sz w:val="24"/>
          <w:szCs w:val="24"/>
        </w:rPr>
        <w:t xml:space="preserve"> </w:t>
      </w:r>
      <w:r w:rsidRPr="000C1102">
        <w:rPr>
          <w:rFonts w:ascii="Book Antiqua" w:hAnsi="Book Antiqua"/>
          <w:sz w:val="24"/>
          <w:szCs w:val="24"/>
        </w:rPr>
        <w:t>Interleukin-10 (</w:t>
      </w:r>
      <w:r w:rsidRPr="000C1102">
        <w:rPr>
          <w:rFonts w:ascii="Book Antiqua" w:hAnsi="Book Antiqua" w:cs="宋体"/>
          <w:kern w:val="0"/>
          <w:sz w:val="24"/>
          <w:szCs w:val="24"/>
        </w:rPr>
        <w:t xml:space="preserve">IL-10) polymorphisms have been identified as a biomarker causally associated with occurrence of </w:t>
      </w:r>
      <w:r w:rsidRPr="000C1102">
        <w:rPr>
          <w:rFonts w:ascii="Book Antiqua" w:hAnsi="Book Antiqua"/>
          <w:sz w:val="24"/>
          <w:szCs w:val="24"/>
        </w:rPr>
        <w:t>irritable bowel syndrome (IBS)</w:t>
      </w:r>
      <w:r w:rsidRPr="000C1102">
        <w:rPr>
          <w:rFonts w:ascii="Book Antiqua" w:hAnsi="Book Antiqua" w:cs="宋体"/>
          <w:kern w:val="0"/>
          <w:sz w:val="24"/>
          <w:szCs w:val="24"/>
        </w:rPr>
        <w:t xml:space="preserve"> and receives extensive interest. However, its relationship with IBS remains obscure. In this paper, after combing the data from 8 case-control studies with 928 cases and 1,363 controls, the authors found that the IL-10 rs1800870 is conferred susceptibility to the risk of IBS in Caucasian ethnicity, and the rs1800872 may associate with IBS risk in Asians. However, no significant associations are found between rs1800871 and IBS risk.</w:t>
      </w: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Qin SY, Jiang HX, Lu DH, Zhou Y. Association of interleukin-10 polymorphisms with irritable bowel syndrome risk: A meta-analysis.</w:t>
      </w: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b/>
          <w:sz w:val="24"/>
          <w:szCs w:val="24"/>
        </w:rPr>
      </w:pPr>
      <w:bookmarkStart w:id="24" w:name="OLE_LINK46"/>
      <w:bookmarkStart w:id="25" w:name="OLE_LINK47"/>
      <w:bookmarkStart w:id="26" w:name="OLE_LINK61"/>
      <w:bookmarkStart w:id="27" w:name="OLE_LINK84"/>
      <w:bookmarkStart w:id="28" w:name="OLE_LINK90"/>
      <w:bookmarkStart w:id="29" w:name="OLE_LINK104"/>
      <w:r w:rsidRPr="000C1102">
        <w:rPr>
          <w:rFonts w:ascii="Book Antiqua" w:hAnsi="Book Antiqua"/>
          <w:b/>
          <w:sz w:val="24"/>
          <w:szCs w:val="24"/>
        </w:rPr>
        <w:t xml:space="preserve">Available from: URL: </w:t>
      </w:r>
    </w:p>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DOI:</w:t>
      </w:r>
    </w:p>
    <w:bookmarkEnd w:id="24"/>
    <w:bookmarkEnd w:id="25"/>
    <w:bookmarkEnd w:id="26"/>
    <w:bookmarkEnd w:id="27"/>
    <w:bookmarkEnd w:id="28"/>
    <w:bookmarkEnd w:id="29"/>
    <w:p w:rsidR="00AC73D6" w:rsidRPr="000C1102" w:rsidRDefault="00AC73D6" w:rsidP="00866887">
      <w:pPr>
        <w:spacing w:line="360" w:lineRule="auto"/>
        <w:rPr>
          <w:rFonts w:ascii="Book Antiqua" w:hAnsi="Book Antiqua"/>
          <w:b/>
          <w:caps/>
          <w:sz w:val="24"/>
          <w:szCs w:val="24"/>
        </w:rPr>
      </w:pPr>
      <w:r w:rsidRPr="000C1102">
        <w:rPr>
          <w:rFonts w:ascii="Book Antiqua" w:hAnsi="Book Antiqua"/>
          <w:sz w:val="24"/>
          <w:szCs w:val="24"/>
        </w:rPr>
        <w:br w:type="page"/>
      </w:r>
      <w:r w:rsidRPr="000C1102">
        <w:rPr>
          <w:rFonts w:ascii="Book Antiqua" w:hAnsi="Book Antiqua"/>
          <w:b/>
          <w:caps/>
          <w:sz w:val="24"/>
          <w:szCs w:val="24"/>
        </w:rPr>
        <w:lastRenderedPageBreak/>
        <w:t xml:space="preserve">Introduction </w:t>
      </w: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Irritable bowel syndrome (IBS) is a type of functional gastrointestinal disorder that has a multi-factorial origin. The exact pathophysiology leading to the occurrence of IBS is largely unknown, although inflammatory reactions are believed to play an important role in its pathogenesis. In some animal studies, researchers have found that inflammatory responses can alter the function of gut smooth muscles, enteric nerves, and interstitial cells of </w:t>
      </w:r>
      <w:proofErr w:type="spellStart"/>
      <w:proofErr w:type="gramStart"/>
      <w:r w:rsidRPr="000C1102">
        <w:rPr>
          <w:rFonts w:ascii="Book Antiqua" w:hAnsi="Book Antiqua"/>
          <w:sz w:val="24"/>
          <w:szCs w:val="24"/>
        </w:rPr>
        <w:t>Cajal</w:t>
      </w:r>
      <w:proofErr w:type="spellEnd"/>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1-3]</w:t>
      </w:r>
      <w:r w:rsidRPr="000C1102">
        <w:rPr>
          <w:rFonts w:ascii="Book Antiqua" w:hAnsi="Book Antiqua"/>
          <w:sz w:val="24"/>
          <w:szCs w:val="24"/>
        </w:rPr>
        <w:t xml:space="preserve">. Moreover, IBS patients show an increase in the number of inflammatory cells in the </w:t>
      </w:r>
      <w:proofErr w:type="gramStart"/>
      <w:r w:rsidRPr="000C1102">
        <w:rPr>
          <w:rFonts w:ascii="Book Antiqua" w:hAnsi="Book Antiqua"/>
          <w:sz w:val="24"/>
          <w:szCs w:val="24"/>
        </w:rPr>
        <w:t>gut</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4-6]</w:t>
      </w:r>
      <w:r w:rsidRPr="000C1102">
        <w:rPr>
          <w:rFonts w:ascii="Book Antiqua" w:hAnsi="Book Antiqua"/>
          <w:sz w:val="24"/>
          <w:szCs w:val="24"/>
        </w:rPr>
        <w:t>. The clustering of IBS in families and the results from twin studies have also provided evidence for a role of hereditary factors in the propensity of developing IBS</w:t>
      </w:r>
      <w:r w:rsidRPr="000C1102">
        <w:rPr>
          <w:rFonts w:ascii="Book Antiqua" w:hAnsi="Book Antiqua"/>
          <w:sz w:val="24"/>
          <w:szCs w:val="24"/>
          <w:vertAlign w:val="superscript"/>
        </w:rPr>
        <w:t>[7, 8]</w:t>
      </w:r>
      <w:r w:rsidRPr="000C1102">
        <w:rPr>
          <w:rFonts w:ascii="Book Antiqua" w:hAnsi="Book Antiqua"/>
          <w:sz w:val="24"/>
          <w:szCs w:val="24"/>
        </w:rPr>
        <w:t xml:space="preserve">. </w:t>
      </w:r>
    </w:p>
    <w:p w:rsidR="00AC73D6" w:rsidRPr="000C1102" w:rsidRDefault="00AC73D6" w:rsidP="00866887">
      <w:pPr>
        <w:spacing w:line="360" w:lineRule="auto"/>
        <w:ind w:firstLineChars="200" w:firstLine="480"/>
        <w:rPr>
          <w:rFonts w:ascii="Book Antiqua" w:hAnsi="Book Antiqua"/>
          <w:sz w:val="24"/>
          <w:szCs w:val="24"/>
        </w:rPr>
      </w:pPr>
      <w:r w:rsidRPr="000C1102">
        <w:rPr>
          <w:rFonts w:ascii="Book Antiqua" w:hAnsi="Book Antiqua"/>
          <w:sz w:val="24"/>
          <w:szCs w:val="24"/>
        </w:rPr>
        <w:t xml:space="preserve">Cytokines are important modulators of immune responses and inflammatory reactions and play a central role in intestinal </w:t>
      </w:r>
      <w:proofErr w:type="gramStart"/>
      <w:r w:rsidRPr="000C1102">
        <w:rPr>
          <w:rFonts w:ascii="Book Antiqua" w:hAnsi="Book Antiqua"/>
          <w:sz w:val="24"/>
          <w:szCs w:val="24"/>
        </w:rPr>
        <w:t>inflammation</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9]</w:t>
      </w:r>
      <w:r w:rsidRPr="000C1102">
        <w:rPr>
          <w:rFonts w:ascii="Book Antiqua" w:hAnsi="Book Antiqua"/>
          <w:sz w:val="24"/>
          <w:szCs w:val="24"/>
        </w:rPr>
        <w:t xml:space="preserve">. Thus, the production of cytokines could be affected by genetic polymorphisms within the coding and promoter regions of cytokine </w:t>
      </w:r>
      <w:proofErr w:type="gramStart"/>
      <w:r w:rsidRPr="000C1102">
        <w:rPr>
          <w:rFonts w:ascii="Book Antiqua" w:hAnsi="Book Antiqua"/>
          <w:sz w:val="24"/>
          <w:szCs w:val="24"/>
        </w:rPr>
        <w:t>genes</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10, 11]</w:t>
      </w:r>
      <w:r w:rsidRPr="000C1102">
        <w:rPr>
          <w:rFonts w:ascii="Book Antiqua" w:hAnsi="Book Antiqua"/>
          <w:sz w:val="24"/>
          <w:szCs w:val="24"/>
        </w:rPr>
        <w:t xml:space="preserve">. Therefore, a genetic predisposition for the high or low production of a particular cytokine may affect disease susceptibility and clinical </w:t>
      </w:r>
      <w:proofErr w:type="gramStart"/>
      <w:r w:rsidRPr="000C1102">
        <w:rPr>
          <w:rFonts w:ascii="Book Antiqua" w:hAnsi="Book Antiqua"/>
          <w:sz w:val="24"/>
          <w:szCs w:val="24"/>
        </w:rPr>
        <w:t>outcome</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12, 13]</w:t>
      </w:r>
      <w:r w:rsidRPr="000C1102">
        <w:rPr>
          <w:rFonts w:ascii="Book Antiqua" w:hAnsi="Book Antiqua"/>
          <w:sz w:val="24"/>
          <w:szCs w:val="24"/>
        </w:rPr>
        <w:t xml:space="preserve">. Interleukin 10 (IL-10), also known as a human cytokine synthesis inhibitory factor, is an anti-inflammatory cytokine capable of inhibiting the synthesis of </w:t>
      </w:r>
      <w:proofErr w:type="spellStart"/>
      <w:r w:rsidRPr="000C1102">
        <w:rPr>
          <w:rFonts w:ascii="Book Antiqua" w:hAnsi="Book Antiqua"/>
          <w:sz w:val="24"/>
          <w:szCs w:val="24"/>
        </w:rPr>
        <w:t>proinflammatory</w:t>
      </w:r>
      <w:proofErr w:type="spellEnd"/>
      <w:r w:rsidRPr="000C1102">
        <w:rPr>
          <w:rFonts w:ascii="Book Antiqua" w:hAnsi="Book Antiqua"/>
          <w:sz w:val="24"/>
          <w:szCs w:val="24"/>
        </w:rPr>
        <w:t xml:space="preserve"> cytokines, such as interferon-γ, IL-2, IL-3, and tissue necrosis factor-α, which are produced by macrophages and regulatory T-</w:t>
      </w:r>
      <w:proofErr w:type="gramStart"/>
      <w:r w:rsidRPr="000C1102">
        <w:rPr>
          <w:rFonts w:ascii="Book Antiqua" w:hAnsi="Book Antiqua"/>
          <w:sz w:val="24"/>
          <w:szCs w:val="24"/>
        </w:rPr>
        <w:t>cells</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14]</w:t>
      </w:r>
      <w:r w:rsidRPr="000C1102">
        <w:rPr>
          <w:rFonts w:ascii="Book Antiqua" w:hAnsi="Book Antiqua"/>
          <w:sz w:val="24"/>
          <w:szCs w:val="24"/>
        </w:rPr>
        <w:t xml:space="preserve">. Several studies have shown that serum IL-10 levels are significantly lower in IBS patients than in normal controls, suggesting that altered IL-10 levels may be involved in the pathogenesis of IBS and may be an IBS </w:t>
      </w:r>
      <w:proofErr w:type="gramStart"/>
      <w:r w:rsidRPr="000C1102">
        <w:rPr>
          <w:rFonts w:ascii="Book Antiqua" w:hAnsi="Book Antiqua"/>
          <w:sz w:val="24"/>
          <w:szCs w:val="24"/>
        </w:rPr>
        <w:t>biomarker</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15-17]</w:t>
      </w:r>
      <w:r w:rsidRPr="000C1102">
        <w:rPr>
          <w:rFonts w:ascii="Book Antiqua" w:hAnsi="Book Antiqua"/>
          <w:sz w:val="24"/>
          <w:szCs w:val="24"/>
        </w:rPr>
        <w:t xml:space="preserve">. </w:t>
      </w:r>
    </w:p>
    <w:p w:rsidR="00AC73D6" w:rsidRPr="000C1102" w:rsidRDefault="00AC73D6" w:rsidP="00866887">
      <w:pPr>
        <w:spacing w:line="360" w:lineRule="auto"/>
        <w:ind w:firstLineChars="200" w:firstLine="480"/>
        <w:rPr>
          <w:rFonts w:ascii="Book Antiqua" w:hAnsi="Book Antiqua"/>
          <w:sz w:val="24"/>
          <w:szCs w:val="24"/>
        </w:rPr>
      </w:pPr>
      <w:r w:rsidRPr="000C1102">
        <w:rPr>
          <w:rFonts w:ascii="Book Antiqua" w:hAnsi="Book Antiqua"/>
          <w:sz w:val="24"/>
          <w:szCs w:val="24"/>
        </w:rPr>
        <w:t xml:space="preserve">Some </w:t>
      </w:r>
      <w:proofErr w:type="gramStart"/>
      <w:r w:rsidRPr="000C1102">
        <w:rPr>
          <w:rFonts w:ascii="Book Antiqua" w:hAnsi="Book Antiqua"/>
          <w:sz w:val="24"/>
          <w:szCs w:val="24"/>
        </w:rPr>
        <w:t>reports</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18-21]</w:t>
      </w:r>
      <w:r w:rsidRPr="000C1102">
        <w:rPr>
          <w:rFonts w:ascii="Book Antiqua" w:hAnsi="Book Antiqua"/>
          <w:sz w:val="24"/>
          <w:szCs w:val="24"/>
        </w:rPr>
        <w:t xml:space="preserve"> have also indicated a significant association between IL-10 polymorphisms and IBS risk; however, other studies</w:t>
      </w:r>
      <w:r w:rsidRPr="000C1102">
        <w:rPr>
          <w:rFonts w:ascii="Book Antiqua" w:hAnsi="Book Antiqua"/>
          <w:sz w:val="24"/>
          <w:szCs w:val="24"/>
          <w:vertAlign w:val="superscript"/>
        </w:rPr>
        <w:t>[13, 22-24]</w:t>
      </w:r>
      <w:r w:rsidRPr="000C1102">
        <w:rPr>
          <w:rFonts w:ascii="Book Antiqua" w:hAnsi="Book Antiqua"/>
          <w:sz w:val="24"/>
          <w:szCs w:val="24"/>
        </w:rPr>
        <w:t xml:space="preserve"> have failed to find such associations. Generally, this disparity may be partly due to ethnic differences or to the limited numbers of subjects involved in the studies. Therefore, the relationship between IBS risk and IL-10 polymorphism is not confirmed and needs further study in a large, genetically homogenous sample. The current study is a comprehensive meta-analysis performed to further evaluate the associations between IL-10 polymorphisms and the risk of IBS.</w:t>
      </w:r>
    </w:p>
    <w:p w:rsidR="00AC73D6" w:rsidRPr="000C1102" w:rsidRDefault="00AC73D6" w:rsidP="00866887">
      <w:pPr>
        <w:spacing w:line="360" w:lineRule="auto"/>
        <w:rPr>
          <w:rFonts w:ascii="Book Antiqua" w:hAnsi="Book Antiqua"/>
          <w:sz w:val="24"/>
          <w:szCs w:val="24"/>
          <w:highlight w:val="yellow"/>
        </w:rPr>
      </w:pPr>
    </w:p>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MATERIALS AND METHODS</w:t>
      </w:r>
    </w:p>
    <w:p w:rsidR="00AC73D6" w:rsidRPr="000C1102" w:rsidRDefault="00AC73D6" w:rsidP="00866887">
      <w:pPr>
        <w:spacing w:line="360" w:lineRule="auto"/>
        <w:rPr>
          <w:rFonts w:ascii="Book Antiqua" w:hAnsi="Book Antiqua"/>
          <w:b/>
          <w:i/>
          <w:sz w:val="24"/>
          <w:szCs w:val="24"/>
        </w:rPr>
      </w:pPr>
      <w:r w:rsidRPr="000C1102">
        <w:rPr>
          <w:rFonts w:ascii="Book Antiqua" w:hAnsi="Book Antiqua"/>
          <w:b/>
          <w:i/>
          <w:sz w:val="24"/>
          <w:szCs w:val="24"/>
        </w:rPr>
        <w:t>Search strategy and study selection</w:t>
      </w: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All methods were based on the guidelines proposed by the Human Genome Epidemiology Network for systematic reviews of genetic association studies, and followed the PRISMA guidelines</w:t>
      </w:r>
      <w:r w:rsidRPr="000C1102">
        <w:rPr>
          <w:rFonts w:ascii="Book Antiqua" w:hAnsi="Book Antiqua"/>
          <w:sz w:val="24"/>
          <w:szCs w:val="24"/>
          <w:vertAlign w:val="superscript"/>
        </w:rPr>
        <w:t>[25]</w:t>
      </w:r>
      <w:r w:rsidRPr="000C1102">
        <w:rPr>
          <w:rFonts w:ascii="Book Antiqua" w:hAnsi="Book Antiqua"/>
          <w:sz w:val="24"/>
          <w:szCs w:val="24"/>
        </w:rPr>
        <w:t xml:space="preserve">. A systematic literature search was performed using PubMed, </w:t>
      </w:r>
      <w:proofErr w:type="spellStart"/>
      <w:r w:rsidRPr="000C1102">
        <w:rPr>
          <w:rFonts w:ascii="Book Antiqua" w:hAnsi="Book Antiqua"/>
          <w:sz w:val="24"/>
          <w:szCs w:val="24"/>
        </w:rPr>
        <w:t>Embase</w:t>
      </w:r>
      <w:proofErr w:type="spellEnd"/>
      <w:r w:rsidRPr="000C1102">
        <w:rPr>
          <w:rFonts w:ascii="Book Antiqua" w:hAnsi="Book Antiqua"/>
          <w:sz w:val="24"/>
          <w:szCs w:val="24"/>
        </w:rPr>
        <w:t xml:space="preserve">, the Cochrane Library, Google Scholar databases, Chinese National Knowledge Infrastructure (CNKI), and conference abstracts to identify published genetic association studies evaluating IL-10 polymorphisms and IBS risk published prior to August 2013; letters and abstracts were included. The Medical Subject Headings and text words used for the search were “interleukin-10” or “IL-10”, “polymorphism,” and “irritable bowel syndrome” or “IBS”. Search results were limited to human studies. All languages were searched, and the retrieved articles were translated, when necessary. The references of the identified publications were searched for additional studies, and the MEDLINE option for searching for related articles was used to examine all relevant articles. </w:t>
      </w: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b/>
          <w:i/>
          <w:sz w:val="24"/>
          <w:szCs w:val="24"/>
        </w:rPr>
      </w:pPr>
      <w:r w:rsidRPr="000C1102">
        <w:rPr>
          <w:rFonts w:ascii="Book Antiqua" w:hAnsi="Book Antiqua"/>
          <w:b/>
          <w:i/>
          <w:sz w:val="24"/>
          <w:szCs w:val="24"/>
        </w:rPr>
        <w:t>Inclusion and exclusion criteria</w:t>
      </w: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Studies were included if (1) they examined the association between IL-10 polymorphisms and IBS risk; (2) had a case–control design; and (3) contained sufficient information on genotype frequency. To achieve adequate statistical power, only single-nucleotide polymorphisms (SNPs) reported in &gt;2 publications were selected. For studies describing results from the same or overlapping groups of subjects or controls, but</w:t>
      </w:r>
      <w:r w:rsidRPr="000C1102" w:rsidDel="00260962">
        <w:rPr>
          <w:rFonts w:ascii="Book Antiqua" w:hAnsi="Book Antiqua"/>
          <w:sz w:val="24"/>
          <w:szCs w:val="24"/>
        </w:rPr>
        <w:t xml:space="preserve"> </w:t>
      </w:r>
      <w:r w:rsidRPr="000C1102">
        <w:rPr>
          <w:rFonts w:ascii="Book Antiqua" w:hAnsi="Book Antiqua"/>
          <w:sz w:val="24"/>
          <w:szCs w:val="24"/>
        </w:rPr>
        <w:t>reported in &gt;1 publication, only the largest published data set was included.</w:t>
      </w:r>
    </w:p>
    <w:p w:rsidR="00AC73D6" w:rsidRPr="000C1102" w:rsidRDefault="00AC73D6" w:rsidP="00866887">
      <w:pPr>
        <w:spacing w:line="360" w:lineRule="auto"/>
        <w:ind w:firstLineChars="250" w:firstLine="600"/>
        <w:rPr>
          <w:rFonts w:ascii="Book Antiqua" w:hAnsi="Book Antiqua"/>
          <w:sz w:val="24"/>
          <w:szCs w:val="24"/>
        </w:rPr>
      </w:pPr>
      <w:r w:rsidRPr="000C1102">
        <w:rPr>
          <w:rFonts w:ascii="Book Antiqua" w:hAnsi="Book Antiqua"/>
          <w:sz w:val="24"/>
          <w:szCs w:val="24"/>
        </w:rPr>
        <w:t xml:space="preserve">Studies were excluded if they did not evaluate the association between IL-10 polymorphisms and the risk of IBS or if the genotype and allele frequency was inadequately </w:t>
      </w:r>
      <w:proofErr w:type="gramStart"/>
      <w:r w:rsidRPr="000C1102">
        <w:rPr>
          <w:rFonts w:ascii="Book Antiqua" w:hAnsi="Book Antiqua"/>
          <w:sz w:val="24"/>
          <w:szCs w:val="24"/>
        </w:rPr>
        <w:t>reported,</w:t>
      </w:r>
      <w:proofErr w:type="gramEnd"/>
      <w:r w:rsidRPr="000C1102">
        <w:rPr>
          <w:rFonts w:ascii="Book Antiqua" w:hAnsi="Book Antiqua"/>
          <w:sz w:val="24"/>
          <w:szCs w:val="24"/>
        </w:rPr>
        <w:t xml:space="preserve"> and such data could not be obtained by contacting the authors. Studies reporting associations with SNPs described by fewer than 3 publications were also excluded. In the event of duplicate publications, the smaller </w:t>
      </w:r>
      <w:r w:rsidRPr="000C1102">
        <w:rPr>
          <w:rFonts w:ascii="Book Antiqua" w:hAnsi="Book Antiqua"/>
          <w:sz w:val="24"/>
          <w:szCs w:val="24"/>
        </w:rPr>
        <w:lastRenderedPageBreak/>
        <w:t>data set was excluded.</w:t>
      </w: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b/>
          <w:i/>
          <w:sz w:val="24"/>
          <w:szCs w:val="24"/>
        </w:rPr>
      </w:pPr>
      <w:r w:rsidRPr="000C1102">
        <w:rPr>
          <w:rFonts w:ascii="Book Antiqua" w:hAnsi="Book Antiqua"/>
          <w:b/>
          <w:i/>
          <w:sz w:val="24"/>
          <w:szCs w:val="24"/>
        </w:rPr>
        <w:t>Data extraction</w:t>
      </w: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Two investigators independently extracted data from the identified publications, including the first author’s name, year of publication, source of publication, IBS diagnosis criteria, method of genotyping, number of cases and controls, genotype frequency, and allele frequency. Discrepancies in data extraction were resolved by repeating the study review and discussing the results.</w:t>
      </w: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b/>
          <w:i/>
          <w:sz w:val="24"/>
          <w:szCs w:val="24"/>
        </w:rPr>
      </w:pPr>
      <w:r w:rsidRPr="000C1102">
        <w:rPr>
          <w:rFonts w:ascii="Book Antiqua" w:hAnsi="Book Antiqua"/>
          <w:b/>
          <w:i/>
          <w:sz w:val="24"/>
          <w:szCs w:val="24"/>
        </w:rPr>
        <w:t xml:space="preserve">Statistical analysis </w:t>
      </w: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Associations found with the allele contrast, </w:t>
      </w:r>
      <w:proofErr w:type="spellStart"/>
      <w:r w:rsidRPr="000C1102">
        <w:rPr>
          <w:rFonts w:ascii="Book Antiqua" w:hAnsi="Book Antiqua"/>
          <w:sz w:val="24"/>
          <w:szCs w:val="24"/>
        </w:rPr>
        <w:t>codominant</w:t>
      </w:r>
      <w:proofErr w:type="spellEnd"/>
      <w:r w:rsidRPr="000C1102">
        <w:rPr>
          <w:rFonts w:ascii="Book Antiqua" w:hAnsi="Book Antiqua"/>
          <w:sz w:val="24"/>
          <w:szCs w:val="24"/>
        </w:rPr>
        <w:t>, dominant, and recessive models were analyzed. The strengths of the associations between IL-10 polymorphisms and risk of IBS were estimated using odds ratios (OR), with 95%CI. We assessed the heterogeneity among the studies using the Cochran’s Q-test. We also calculated the inconsistency index I</w:t>
      </w:r>
      <w:r w:rsidRPr="000C1102">
        <w:rPr>
          <w:rFonts w:ascii="Book Antiqua" w:hAnsi="Book Antiqua"/>
          <w:sz w:val="24"/>
          <w:szCs w:val="24"/>
          <w:vertAlign w:val="superscript"/>
        </w:rPr>
        <w:t>2</w:t>
      </w:r>
      <w:r w:rsidRPr="000C1102">
        <w:rPr>
          <w:rFonts w:ascii="Book Antiqua" w:hAnsi="Book Antiqua"/>
          <w:sz w:val="24"/>
          <w:szCs w:val="24"/>
        </w:rPr>
        <w:t xml:space="preserve"> to quantify </w:t>
      </w:r>
      <w:proofErr w:type="gramStart"/>
      <w:r w:rsidRPr="000C1102">
        <w:rPr>
          <w:rFonts w:ascii="Book Antiqua" w:hAnsi="Book Antiqua"/>
          <w:sz w:val="24"/>
          <w:szCs w:val="24"/>
        </w:rPr>
        <w:t>heterogeneity</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26]</w:t>
      </w:r>
      <w:r w:rsidRPr="000C1102">
        <w:rPr>
          <w:rFonts w:ascii="Book Antiqua" w:hAnsi="Book Antiqua"/>
          <w:sz w:val="24"/>
          <w:szCs w:val="24"/>
        </w:rPr>
        <w:t>. A fixed effects model (</w:t>
      </w:r>
      <w:r w:rsidRPr="000C1102">
        <w:rPr>
          <w:rFonts w:ascii="Book Antiqua" w:hAnsi="Book Antiqua"/>
          <w:i/>
          <w:sz w:val="24"/>
          <w:szCs w:val="24"/>
        </w:rPr>
        <w:t xml:space="preserve">P </w:t>
      </w:r>
      <w:r w:rsidRPr="000C1102">
        <w:rPr>
          <w:rFonts w:ascii="Book Antiqua" w:hAnsi="Book Antiqua"/>
          <w:sz w:val="24"/>
          <w:szCs w:val="24"/>
        </w:rPr>
        <w:t>&gt; 0.05) was used to pool the results if a heterogeneity test was not significant, otherwise a random-effects model was used (</w:t>
      </w:r>
      <w:r w:rsidRPr="000C1102">
        <w:rPr>
          <w:rFonts w:ascii="Book Antiqua" w:hAnsi="Book Antiqua"/>
          <w:i/>
          <w:sz w:val="24"/>
          <w:szCs w:val="24"/>
        </w:rPr>
        <w:t xml:space="preserve">P </w:t>
      </w:r>
      <w:r w:rsidRPr="000C1102">
        <w:rPr>
          <w:rFonts w:ascii="Book Antiqua" w:hAnsi="Book Antiqua"/>
          <w:sz w:val="24"/>
          <w:szCs w:val="24"/>
        </w:rPr>
        <w:t>&lt; 0.05</w:t>
      </w:r>
      <w:proofErr w:type="gramStart"/>
      <w:r w:rsidRPr="000C1102">
        <w:rPr>
          <w:rFonts w:ascii="Book Antiqua" w:hAnsi="Book Antiqua"/>
          <w:sz w:val="24"/>
          <w:szCs w:val="24"/>
        </w:rPr>
        <w:t>)</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27, 28]</w:t>
      </w:r>
      <w:r w:rsidRPr="000C1102">
        <w:rPr>
          <w:rFonts w:ascii="Book Antiqua" w:hAnsi="Book Antiqua"/>
          <w:sz w:val="24"/>
          <w:szCs w:val="24"/>
        </w:rPr>
        <w:t>. Subgroup analyses were performed to investigate narrower subsets of studies.</w:t>
      </w:r>
    </w:p>
    <w:p w:rsidR="00AC73D6" w:rsidRPr="000C1102" w:rsidRDefault="00AC73D6" w:rsidP="00866887">
      <w:pPr>
        <w:autoSpaceDE w:val="0"/>
        <w:autoSpaceDN w:val="0"/>
        <w:adjustRightInd w:val="0"/>
        <w:spacing w:line="360" w:lineRule="auto"/>
        <w:ind w:firstLineChars="250" w:firstLine="600"/>
        <w:rPr>
          <w:rFonts w:ascii="Book Antiqua" w:hAnsi="Book Antiqua"/>
          <w:sz w:val="24"/>
          <w:szCs w:val="24"/>
        </w:rPr>
      </w:pPr>
      <w:r w:rsidRPr="000C1102">
        <w:rPr>
          <w:rFonts w:ascii="Book Antiqua" w:hAnsi="Book Antiqua"/>
          <w:sz w:val="24"/>
          <w:szCs w:val="24"/>
        </w:rPr>
        <w:t xml:space="preserve">A Hardy-Weinberg equilibrium (HWE) was applied to the control population to evaluate data quality. The HWE analysis for genotype distribution among control populations was performed using a Chi-squared test. Further, a sensitivity analysis was performed to exclude studies that were not in </w:t>
      </w:r>
      <w:proofErr w:type="gramStart"/>
      <w:r w:rsidRPr="000C1102">
        <w:rPr>
          <w:rFonts w:ascii="Book Antiqua" w:hAnsi="Book Antiqua"/>
          <w:sz w:val="24"/>
          <w:szCs w:val="24"/>
        </w:rPr>
        <w:t>HWE</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29]</w:t>
      </w:r>
      <w:r w:rsidRPr="000C1102">
        <w:rPr>
          <w:rFonts w:ascii="Book Antiqua" w:hAnsi="Book Antiqua"/>
          <w:sz w:val="24"/>
          <w:szCs w:val="24"/>
        </w:rPr>
        <w:t xml:space="preserve">. </w:t>
      </w:r>
      <w:r w:rsidRPr="000C1102">
        <w:rPr>
          <w:rFonts w:ascii="Book Antiqua" w:hAnsi="Book Antiqua"/>
          <w:kern w:val="0"/>
          <w:sz w:val="24"/>
          <w:szCs w:val="24"/>
          <w:lang w:eastAsia="en-US"/>
        </w:rPr>
        <w:t xml:space="preserve">An asymmetric plot was used to suggest possible publication biases. </w:t>
      </w:r>
      <w:r w:rsidRPr="000C1102">
        <w:rPr>
          <w:rFonts w:ascii="Book Antiqua" w:hAnsi="Book Antiqua"/>
          <w:sz w:val="24"/>
          <w:szCs w:val="24"/>
        </w:rPr>
        <w:t xml:space="preserve">Publication bias was examined using the </w:t>
      </w:r>
      <w:proofErr w:type="spellStart"/>
      <w:r w:rsidRPr="000C1102">
        <w:rPr>
          <w:rFonts w:ascii="Book Antiqua" w:hAnsi="Book Antiqua"/>
          <w:sz w:val="24"/>
          <w:szCs w:val="24"/>
        </w:rPr>
        <w:t>Begg’s</w:t>
      </w:r>
      <w:proofErr w:type="spellEnd"/>
      <w:r w:rsidRPr="000C1102">
        <w:rPr>
          <w:rFonts w:ascii="Book Antiqua" w:hAnsi="Book Antiqua"/>
          <w:sz w:val="24"/>
          <w:szCs w:val="24"/>
        </w:rPr>
        <w:t xml:space="preserve"> and Egger’s tests for each SNP </w:t>
      </w:r>
      <w:proofErr w:type="gramStart"/>
      <w:r w:rsidRPr="000C1102">
        <w:rPr>
          <w:rFonts w:ascii="Book Antiqua" w:hAnsi="Book Antiqua"/>
          <w:sz w:val="24"/>
          <w:szCs w:val="24"/>
        </w:rPr>
        <w:t>publication</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30, 31]</w:t>
      </w:r>
      <w:r w:rsidRPr="000C1102">
        <w:rPr>
          <w:rFonts w:ascii="Book Antiqua" w:hAnsi="Book Antiqua"/>
          <w:sz w:val="24"/>
          <w:szCs w:val="24"/>
        </w:rPr>
        <w:t xml:space="preserve">. </w:t>
      </w:r>
      <w:r w:rsidRPr="000C1102">
        <w:rPr>
          <w:rFonts w:ascii="Book Antiqua" w:hAnsi="Book Antiqua" w:cs="Times"/>
          <w:kern w:val="0"/>
          <w:sz w:val="24"/>
          <w:szCs w:val="24"/>
          <w:lang w:eastAsia="en-US"/>
        </w:rPr>
        <w:t>All statistical tests were two-sided,</w:t>
      </w:r>
      <w:r w:rsidRPr="000C1102">
        <w:rPr>
          <w:rFonts w:ascii="Book Antiqua" w:hAnsi="Book Antiqua"/>
          <w:sz w:val="24"/>
          <w:szCs w:val="24"/>
        </w:rPr>
        <w:t xml:space="preserve"> and a </w:t>
      </w:r>
      <w:r w:rsidRPr="000C1102">
        <w:rPr>
          <w:rFonts w:ascii="Book Antiqua" w:hAnsi="Book Antiqua"/>
          <w:i/>
          <w:sz w:val="24"/>
          <w:szCs w:val="24"/>
        </w:rPr>
        <w:t xml:space="preserve">P </w:t>
      </w:r>
      <w:r w:rsidRPr="000C1102">
        <w:rPr>
          <w:rFonts w:ascii="Book Antiqua" w:hAnsi="Book Antiqua"/>
          <w:sz w:val="24"/>
          <w:szCs w:val="24"/>
        </w:rPr>
        <w:t xml:space="preserve">value &lt; 0.05 was considered statistically significant. </w:t>
      </w:r>
      <w:r w:rsidRPr="000C1102">
        <w:rPr>
          <w:rFonts w:ascii="Book Antiqua" w:hAnsi="Book Antiqua" w:cs="Times"/>
          <w:kern w:val="0"/>
          <w:sz w:val="24"/>
          <w:szCs w:val="24"/>
          <w:lang w:eastAsia="en-US"/>
        </w:rPr>
        <w:t>STATA, version 1</w:t>
      </w:r>
      <w:r w:rsidRPr="000C1102">
        <w:rPr>
          <w:rFonts w:ascii="Book Antiqua" w:hAnsi="Book Antiqua" w:cs="Times"/>
          <w:kern w:val="0"/>
          <w:sz w:val="24"/>
          <w:szCs w:val="24"/>
        </w:rPr>
        <w:t>1</w:t>
      </w:r>
      <w:r w:rsidRPr="000C1102">
        <w:rPr>
          <w:rFonts w:ascii="Book Antiqua" w:hAnsi="Book Antiqua" w:cs="Times"/>
          <w:kern w:val="0"/>
          <w:sz w:val="24"/>
          <w:szCs w:val="24"/>
          <w:lang w:eastAsia="en-US"/>
        </w:rPr>
        <w:t>.</w:t>
      </w:r>
      <w:r w:rsidRPr="000C1102">
        <w:rPr>
          <w:rFonts w:ascii="Book Antiqua" w:hAnsi="Book Antiqua" w:cs="Times"/>
          <w:kern w:val="0"/>
          <w:sz w:val="24"/>
          <w:szCs w:val="24"/>
        </w:rPr>
        <w:t>2</w:t>
      </w:r>
      <w:r w:rsidRPr="000C1102">
        <w:rPr>
          <w:rFonts w:ascii="Book Antiqua" w:hAnsi="Book Antiqua" w:cs="Times"/>
          <w:kern w:val="0"/>
          <w:sz w:val="24"/>
          <w:szCs w:val="24"/>
          <w:lang w:eastAsia="en-US"/>
        </w:rPr>
        <w:t xml:space="preserve"> (</w:t>
      </w:r>
      <w:proofErr w:type="spellStart"/>
      <w:r w:rsidRPr="000C1102">
        <w:rPr>
          <w:rFonts w:ascii="Book Antiqua" w:hAnsi="Book Antiqua" w:cs="Times"/>
          <w:kern w:val="0"/>
          <w:sz w:val="24"/>
          <w:szCs w:val="24"/>
          <w:lang w:eastAsia="en-US"/>
        </w:rPr>
        <w:t>Stata</w:t>
      </w:r>
      <w:proofErr w:type="spellEnd"/>
      <w:r w:rsidRPr="000C1102">
        <w:rPr>
          <w:rFonts w:ascii="Book Antiqua" w:hAnsi="Book Antiqua" w:cs="Times"/>
          <w:kern w:val="0"/>
          <w:sz w:val="24"/>
          <w:szCs w:val="24"/>
          <w:lang w:eastAsia="en-US"/>
        </w:rPr>
        <w:t xml:space="preserve">, College Station, TX, </w:t>
      </w:r>
      <w:bookmarkStart w:id="30" w:name="OLE_LINK144"/>
      <w:bookmarkStart w:id="31" w:name="OLE_LINK145"/>
      <w:bookmarkStart w:id="32" w:name="OLE_LINK31"/>
      <w:r w:rsidRPr="000C1102">
        <w:rPr>
          <w:rFonts w:ascii="Book Antiqua" w:hAnsi="Book Antiqua" w:cs="Garamond"/>
          <w:kern w:val="0"/>
          <w:sz w:val="24"/>
          <w:szCs w:val="24"/>
        </w:rPr>
        <w:t>United States</w:t>
      </w:r>
      <w:bookmarkEnd w:id="30"/>
      <w:bookmarkEnd w:id="31"/>
      <w:bookmarkEnd w:id="32"/>
      <w:r w:rsidRPr="000C1102">
        <w:rPr>
          <w:rFonts w:ascii="Book Antiqua" w:hAnsi="Book Antiqua" w:cs="Times"/>
          <w:kern w:val="0"/>
          <w:sz w:val="24"/>
          <w:szCs w:val="24"/>
          <w:lang w:eastAsia="en-US"/>
        </w:rPr>
        <w:t>), was used for all statistical analyses.</w:t>
      </w: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b/>
          <w:caps/>
          <w:sz w:val="24"/>
          <w:szCs w:val="24"/>
        </w:rPr>
      </w:pPr>
      <w:r w:rsidRPr="000C1102">
        <w:rPr>
          <w:rFonts w:ascii="Book Antiqua" w:hAnsi="Book Antiqua"/>
          <w:b/>
          <w:caps/>
          <w:sz w:val="24"/>
          <w:szCs w:val="24"/>
        </w:rPr>
        <w:t xml:space="preserve">Results </w:t>
      </w:r>
    </w:p>
    <w:p w:rsidR="00AC73D6" w:rsidRPr="000C1102" w:rsidRDefault="00AC73D6" w:rsidP="00866887">
      <w:pPr>
        <w:spacing w:line="360" w:lineRule="auto"/>
        <w:rPr>
          <w:rFonts w:ascii="Book Antiqua" w:hAnsi="Book Antiqua"/>
          <w:b/>
          <w:i/>
          <w:sz w:val="24"/>
          <w:szCs w:val="24"/>
        </w:rPr>
      </w:pPr>
      <w:r w:rsidRPr="000C1102">
        <w:rPr>
          <w:rFonts w:ascii="Book Antiqua" w:hAnsi="Book Antiqua"/>
          <w:b/>
          <w:i/>
          <w:sz w:val="24"/>
          <w:szCs w:val="24"/>
        </w:rPr>
        <w:t>Study selection process</w:t>
      </w: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lastRenderedPageBreak/>
        <w:t xml:space="preserve">The initial search yielded 28 studies; 15 were excluded because they were review articles, animal studies, or non-case-control design studies. After screening the full text of the remaining 13 studies, an additional 5 studies were excluded; of these, 4 explored SNPs reported by &lt; 3 studies and </w:t>
      </w:r>
      <w:proofErr w:type="gramStart"/>
      <w:r w:rsidRPr="000C1102">
        <w:rPr>
          <w:rFonts w:ascii="Book Antiqua" w:hAnsi="Book Antiqua"/>
          <w:sz w:val="24"/>
          <w:szCs w:val="24"/>
        </w:rPr>
        <w:t>one</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19]</w:t>
      </w:r>
      <w:r w:rsidRPr="000C1102">
        <w:rPr>
          <w:rFonts w:ascii="Book Antiqua" w:hAnsi="Book Antiqua"/>
          <w:sz w:val="24"/>
          <w:szCs w:val="24"/>
        </w:rPr>
        <w:t xml:space="preserve"> did not provide sufficient genotype frequency data, even after contacting the original authors. Thus, a total of 8 case-control </w:t>
      </w:r>
      <w:proofErr w:type="gramStart"/>
      <w:r w:rsidRPr="000C1102">
        <w:rPr>
          <w:rFonts w:ascii="Book Antiqua" w:hAnsi="Book Antiqua"/>
          <w:sz w:val="24"/>
          <w:szCs w:val="24"/>
        </w:rPr>
        <w:t>studies</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18-24, 32]</w:t>
      </w:r>
      <w:r w:rsidRPr="000C1102">
        <w:rPr>
          <w:rFonts w:ascii="Book Antiqua" w:hAnsi="Book Antiqua"/>
          <w:sz w:val="24"/>
          <w:szCs w:val="24"/>
        </w:rPr>
        <w:t>, involving 928 cases and 1363 controls, were included in the present meta-analysis. The studies analyzed 3 IL-10 SNPs, rs1800870 (1082 A/G), rs1800871 (819 C/T), and rs1800872 (592 A/C). Figure 1 provides a summary of the selection process.</w:t>
      </w: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b/>
          <w:i/>
          <w:sz w:val="24"/>
          <w:szCs w:val="24"/>
        </w:rPr>
      </w:pPr>
      <w:r w:rsidRPr="000C1102">
        <w:rPr>
          <w:rFonts w:ascii="Book Antiqua" w:hAnsi="Book Antiqua"/>
          <w:b/>
          <w:i/>
          <w:sz w:val="24"/>
          <w:szCs w:val="24"/>
        </w:rPr>
        <w:t>Characteristics of included studies</w:t>
      </w:r>
      <w:r w:rsidRPr="000C1102">
        <w:rPr>
          <w:rFonts w:ascii="Book Antiqua" w:hAnsi="Book Antiqua"/>
          <w:b/>
          <w:i/>
          <w:sz w:val="24"/>
          <w:szCs w:val="24"/>
        </w:rPr>
        <w:tab/>
      </w: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One study selected IBS patients using the Rome I criteria, 3 used the Rome II criteria, and the other 4 studies used the Rome III criteria. Patients from 4 </w:t>
      </w:r>
      <w:proofErr w:type="gramStart"/>
      <w:r w:rsidRPr="000C1102">
        <w:rPr>
          <w:rFonts w:ascii="Book Antiqua" w:hAnsi="Book Antiqua"/>
          <w:sz w:val="24"/>
          <w:szCs w:val="24"/>
        </w:rPr>
        <w:t>studies</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18-21]</w:t>
      </w:r>
      <w:r w:rsidRPr="000C1102">
        <w:rPr>
          <w:rFonts w:ascii="Book Antiqua" w:hAnsi="Book Antiqua"/>
          <w:sz w:val="24"/>
          <w:szCs w:val="24"/>
        </w:rPr>
        <w:t xml:space="preserve"> were Caucasians, and 4 studies involved Asians</w:t>
      </w:r>
      <w:r w:rsidRPr="000C1102">
        <w:rPr>
          <w:rFonts w:ascii="Book Antiqua" w:hAnsi="Book Antiqua"/>
          <w:sz w:val="24"/>
          <w:szCs w:val="24"/>
          <w:vertAlign w:val="superscript"/>
        </w:rPr>
        <w:t>[22-24, 32]</w:t>
      </w:r>
      <w:r w:rsidRPr="000C1102">
        <w:rPr>
          <w:rFonts w:ascii="Book Antiqua" w:hAnsi="Book Antiqua"/>
          <w:sz w:val="24"/>
          <w:szCs w:val="24"/>
        </w:rPr>
        <w:t xml:space="preserve">. The characteristics of the 8 studies and the results of the HWE test for the distribution of the genotype in the control population are shown in Table 1. </w:t>
      </w: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b/>
          <w:i/>
          <w:sz w:val="24"/>
          <w:szCs w:val="24"/>
        </w:rPr>
      </w:pPr>
      <w:r w:rsidRPr="000C1102">
        <w:rPr>
          <w:rFonts w:ascii="Book Antiqua" w:hAnsi="Book Antiqua"/>
          <w:b/>
          <w:i/>
          <w:sz w:val="24"/>
          <w:szCs w:val="24"/>
        </w:rPr>
        <w:t>IL-10 rs1800870 and IBS risk</w:t>
      </w: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Seven </w:t>
      </w:r>
      <w:proofErr w:type="gramStart"/>
      <w:r w:rsidRPr="000C1102">
        <w:rPr>
          <w:rFonts w:ascii="Book Antiqua" w:hAnsi="Book Antiqua"/>
          <w:sz w:val="24"/>
          <w:szCs w:val="24"/>
        </w:rPr>
        <w:t>studies</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13, 18, 20-24]</w:t>
      </w:r>
      <w:r w:rsidRPr="000C1102">
        <w:rPr>
          <w:rFonts w:ascii="Book Antiqua" w:hAnsi="Book Antiqua"/>
          <w:sz w:val="24"/>
          <w:szCs w:val="24"/>
        </w:rPr>
        <w:t xml:space="preserve">, involving 616 IBS subjects and 1038 controls, analyzed the association between the IL-10 rs1800870 polymorphism and IBS risk. The distribution of the controls in 2 </w:t>
      </w:r>
      <w:proofErr w:type="gramStart"/>
      <w:r w:rsidRPr="000C1102">
        <w:rPr>
          <w:rFonts w:ascii="Book Antiqua" w:hAnsi="Book Antiqua"/>
          <w:sz w:val="24"/>
          <w:szCs w:val="24"/>
        </w:rPr>
        <w:t>studies</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20, 21]</w:t>
      </w:r>
      <w:r w:rsidRPr="000C1102">
        <w:rPr>
          <w:rFonts w:ascii="Book Antiqua" w:hAnsi="Book Antiqua"/>
          <w:sz w:val="24"/>
          <w:szCs w:val="24"/>
        </w:rPr>
        <w:t xml:space="preserve"> deviated from the HWE. Overall, the GG+GA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AA (OR = 0.80; 95%CI: 0.66–0.96; </w:t>
      </w:r>
      <w:r w:rsidRPr="000C1102">
        <w:rPr>
          <w:rFonts w:ascii="Book Antiqua" w:hAnsi="Book Antiqua"/>
          <w:i/>
          <w:sz w:val="24"/>
          <w:szCs w:val="24"/>
        </w:rPr>
        <w:t>P</w:t>
      </w:r>
      <w:r w:rsidRPr="000C1102">
        <w:rPr>
          <w:rFonts w:ascii="Book Antiqua" w:hAnsi="Book Antiqua"/>
          <w:sz w:val="24"/>
          <w:szCs w:val="24"/>
        </w:rPr>
        <w:t xml:space="preserve"> = 0.018) and AA+GA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GG (OR = 0.68; 95%CI: 0.52–0.90; </w:t>
      </w:r>
      <w:r w:rsidRPr="000C1102">
        <w:rPr>
          <w:rFonts w:ascii="Book Antiqua" w:hAnsi="Book Antiqua"/>
          <w:i/>
          <w:sz w:val="24"/>
          <w:szCs w:val="24"/>
        </w:rPr>
        <w:t>P</w:t>
      </w:r>
      <w:r w:rsidRPr="000C1102">
        <w:rPr>
          <w:rFonts w:ascii="Book Antiqua" w:hAnsi="Book Antiqua"/>
          <w:sz w:val="24"/>
          <w:szCs w:val="24"/>
        </w:rPr>
        <w:t xml:space="preserve"> = 0.007) models presented a decreased risk of IBS. Little heterogeneity was found in the AA+GA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GG model (</w:t>
      </w:r>
      <w:r w:rsidRPr="000C1102">
        <w:rPr>
          <w:rFonts w:ascii="Book Antiqua" w:hAnsi="Book Antiqua"/>
          <w:i/>
          <w:sz w:val="24"/>
          <w:szCs w:val="24"/>
        </w:rPr>
        <w:t>I</w:t>
      </w:r>
      <w:r w:rsidRPr="000C1102">
        <w:rPr>
          <w:rFonts w:ascii="Book Antiqua" w:hAnsi="Book Antiqua"/>
          <w:sz w:val="24"/>
          <w:szCs w:val="24"/>
          <w:vertAlign w:val="superscript"/>
        </w:rPr>
        <w:t xml:space="preserve">2 </w:t>
      </w:r>
      <w:r w:rsidRPr="000C1102">
        <w:rPr>
          <w:rFonts w:ascii="Book Antiqua" w:hAnsi="Book Antiqua"/>
          <w:sz w:val="24"/>
          <w:szCs w:val="24"/>
        </w:rPr>
        <w:t xml:space="preserve">= 0.0%; </w:t>
      </w:r>
      <w:r w:rsidRPr="000C1102">
        <w:rPr>
          <w:rFonts w:ascii="Book Antiqua" w:hAnsi="Book Antiqua"/>
          <w:i/>
          <w:sz w:val="24"/>
          <w:szCs w:val="24"/>
        </w:rPr>
        <w:t xml:space="preserve">P </w:t>
      </w:r>
      <w:r w:rsidRPr="000C1102">
        <w:rPr>
          <w:rFonts w:ascii="Book Antiqua" w:hAnsi="Book Antiqua"/>
          <w:sz w:val="24"/>
          <w:szCs w:val="24"/>
        </w:rPr>
        <w:t xml:space="preserve">= 0.542) by the </w:t>
      </w:r>
      <w:r w:rsidRPr="000C1102">
        <w:rPr>
          <w:rFonts w:ascii="Book Antiqua" w:hAnsi="Book Antiqua"/>
          <w:i/>
          <w:sz w:val="24"/>
          <w:szCs w:val="24"/>
        </w:rPr>
        <w:t>I</w:t>
      </w:r>
      <w:r w:rsidRPr="000C1102">
        <w:rPr>
          <w:rFonts w:ascii="Book Antiqua" w:hAnsi="Book Antiqua"/>
          <w:sz w:val="24"/>
          <w:szCs w:val="24"/>
          <w:vertAlign w:val="superscript"/>
        </w:rPr>
        <w:t>2</w:t>
      </w:r>
      <w:r w:rsidRPr="000C1102">
        <w:rPr>
          <w:rFonts w:ascii="Book Antiqua" w:hAnsi="Book Antiqua"/>
          <w:sz w:val="24"/>
          <w:szCs w:val="24"/>
        </w:rPr>
        <w:t xml:space="preserve"> test and Q-test; however, there was significant heterogeneity in the GG+GA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AA (</w:t>
      </w:r>
      <w:r w:rsidRPr="000C1102">
        <w:rPr>
          <w:rFonts w:ascii="Book Antiqua" w:hAnsi="Book Antiqua"/>
          <w:i/>
          <w:sz w:val="24"/>
          <w:szCs w:val="24"/>
        </w:rPr>
        <w:t>I</w:t>
      </w:r>
      <w:r w:rsidRPr="000C1102">
        <w:rPr>
          <w:rFonts w:ascii="Book Antiqua" w:hAnsi="Book Antiqua"/>
          <w:sz w:val="24"/>
          <w:szCs w:val="24"/>
          <w:vertAlign w:val="superscript"/>
        </w:rPr>
        <w:t xml:space="preserve">2 </w:t>
      </w:r>
      <w:r w:rsidRPr="000C1102">
        <w:rPr>
          <w:rFonts w:ascii="Book Antiqua" w:hAnsi="Book Antiqua"/>
          <w:sz w:val="24"/>
          <w:szCs w:val="24"/>
        </w:rPr>
        <w:t xml:space="preserve">= 79.4%, </w:t>
      </w:r>
      <w:r w:rsidRPr="000C1102">
        <w:rPr>
          <w:rFonts w:ascii="Book Antiqua" w:hAnsi="Book Antiqua"/>
          <w:i/>
          <w:sz w:val="24"/>
          <w:szCs w:val="24"/>
        </w:rPr>
        <w:t xml:space="preserve">P </w:t>
      </w:r>
      <w:r w:rsidRPr="000C1102">
        <w:rPr>
          <w:rFonts w:ascii="Book Antiqua" w:hAnsi="Book Antiqua"/>
          <w:sz w:val="24"/>
          <w:szCs w:val="24"/>
        </w:rPr>
        <w:t xml:space="preserve">= 0.000) model. There were no significant associations between the GG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AA (</w:t>
      </w:r>
      <w:r w:rsidRPr="000C1102">
        <w:rPr>
          <w:rFonts w:ascii="Book Antiqua" w:hAnsi="Book Antiqua"/>
          <w:i/>
          <w:sz w:val="24"/>
          <w:szCs w:val="24"/>
        </w:rPr>
        <w:t xml:space="preserve">P </w:t>
      </w:r>
      <w:r w:rsidRPr="000C1102">
        <w:rPr>
          <w:rFonts w:ascii="Book Antiqua" w:hAnsi="Book Antiqua"/>
          <w:sz w:val="24"/>
          <w:szCs w:val="24"/>
        </w:rPr>
        <w:t xml:space="preserve">= 0.523) and G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A (</w:t>
      </w:r>
      <w:r w:rsidRPr="000C1102">
        <w:rPr>
          <w:rFonts w:ascii="Book Antiqua" w:hAnsi="Book Antiqua"/>
          <w:i/>
          <w:sz w:val="24"/>
          <w:szCs w:val="24"/>
        </w:rPr>
        <w:t xml:space="preserve">P </w:t>
      </w:r>
      <w:r w:rsidRPr="000C1102">
        <w:rPr>
          <w:rFonts w:ascii="Book Antiqua" w:hAnsi="Book Antiqua"/>
          <w:sz w:val="24"/>
          <w:szCs w:val="24"/>
        </w:rPr>
        <w:t xml:space="preserve">= 0.892) models and IBS risk. Egger’s and </w:t>
      </w:r>
      <w:proofErr w:type="spellStart"/>
      <w:r w:rsidRPr="000C1102">
        <w:rPr>
          <w:rFonts w:ascii="Book Antiqua" w:hAnsi="Book Antiqua"/>
          <w:sz w:val="24"/>
          <w:szCs w:val="24"/>
        </w:rPr>
        <w:t>Begg’s</w:t>
      </w:r>
      <w:proofErr w:type="spellEnd"/>
      <w:r w:rsidRPr="000C1102">
        <w:rPr>
          <w:rFonts w:ascii="Book Antiqua" w:hAnsi="Book Antiqua"/>
          <w:sz w:val="24"/>
          <w:szCs w:val="24"/>
        </w:rPr>
        <w:t xml:space="preserve"> tests suggested little publication bias in the 4 models (all, </w:t>
      </w:r>
      <w:r w:rsidRPr="000C1102">
        <w:rPr>
          <w:rFonts w:ascii="Book Antiqua" w:hAnsi="Book Antiqua"/>
          <w:i/>
          <w:sz w:val="24"/>
          <w:szCs w:val="24"/>
        </w:rPr>
        <w:t xml:space="preserve">P </w:t>
      </w:r>
      <w:r w:rsidRPr="000C1102">
        <w:rPr>
          <w:rFonts w:ascii="Book Antiqua" w:hAnsi="Book Antiqua"/>
          <w:sz w:val="24"/>
          <w:szCs w:val="24"/>
        </w:rPr>
        <w:t>&gt; 0.05) (Table 2, Figure 2A). In the sensitivity analysis, after removing 2 studies</w:t>
      </w:r>
      <w:r w:rsidRPr="000C1102">
        <w:rPr>
          <w:rFonts w:ascii="Book Antiqua" w:hAnsi="Book Antiqua"/>
          <w:sz w:val="24"/>
          <w:szCs w:val="24"/>
          <w:vertAlign w:val="superscript"/>
        </w:rPr>
        <w:t>[</w:t>
      </w:r>
      <w:hyperlink w:anchor="_ENREF_20" w:tooltip="Romero-Valdovinos, 2012 #15" w:history="1">
        <w:r w:rsidRPr="000C1102">
          <w:rPr>
            <w:rFonts w:ascii="Book Antiqua" w:hAnsi="Book Antiqua"/>
            <w:sz w:val="24"/>
            <w:szCs w:val="24"/>
            <w:vertAlign w:val="superscript"/>
          </w:rPr>
          <w:t>20</w:t>
        </w:r>
      </w:hyperlink>
      <w:r w:rsidRPr="000C1102">
        <w:rPr>
          <w:rFonts w:ascii="Book Antiqua" w:hAnsi="Book Antiqua"/>
          <w:sz w:val="24"/>
          <w:szCs w:val="24"/>
          <w:vertAlign w:val="superscript"/>
        </w:rPr>
        <w:t xml:space="preserve">, </w:t>
      </w:r>
      <w:hyperlink w:anchor="_ENREF_21" w:tooltip="Gonsalkorale, 2003 #26" w:history="1">
        <w:r w:rsidRPr="000C1102">
          <w:rPr>
            <w:rFonts w:ascii="Book Antiqua" w:hAnsi="Book Antiqua"/>
            <w:sz w:val="24"/>
            <w:szCs w:val="24"/>
            <w:vertAlign w:val="superscript"/>
          </w:rPr>
          <w:t>21</w:t>
        </w:r>
      </w:hyperlink>
      <w:r w:rsidRPr="000C1102">
        <w:rPr>
          <w:rFonts w:ascii="Book Antiqua" w:hAnsi="Book Antiqua"/>
          <w:sz w:val="24"/>
          <w:szCs w:val="24"/>
          <w:vertAlign w:val="superscript"/>
        </w:rPr>
        <w:t>]</w:t>
      </w:r>
      <w:r w:rsidRPr="000C1102">
        <w:rPr>
          <w:rFonts w:ascii="Book Antiqua" w:hAnsi="Book Antiqua"/>
          <w:sz w:val="24"/>
          <w:szCs w:val="24"/>
        </w:rPr>
        <w:t xml:space="preserve"> in which the controls deviated from the HWE, significant associations with the GG+GA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AA model were </w:t>
      </w:r>
      <w:r w:rsidRPr="000C1102">
        <w:rPr>
          <w:rFonts w:ascii="Book Antiqua" w:hAnsi="Book Antiqua"/>
          <w:sz w:val="24"/>
          <w:szCs w:val="24"/>
        </w:rPr>
        <w:lastRenderedPageBreak/>
        <w:t xml:space="preserve">no longer observed, and the heterogeneity became negligible (data not shown); the associations remained for the AA+GA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GG (OR = 0.69; 95%CI: 0.52–0.91; </w:t>
      </w:r>
      <w:r w:rsidRPr="000C1102">
        <w:rPr>
          <w:rFonts w:ascii="Book Antiqua" w:hAnsi="Book Antiqua"/>
          <w:i/>
          <w:sz w:val="24"/>
          <w:szCs w:val="24"/>
        </w:rPr>
        <w:t xml:space="preserve">P </w:t>
      </w:r>
      <w:r w:rsidRPr="000C1102">
        <w:rPr>
          <w:rFonts w:ascii="Book Antiqua" w:hAnsi="Book Antiqua"/>
          <w:sz w:val="24"/>
          <w:szCs w:val="24"/>
        </w:rPr>
        <w:t xml:space="preserve">= 0.008) model. Subgroup analysis revealed associations between the IL-10 rs1800870 polymorphisms and IBS risk in </w:t>
      </w:r>
      <w:proofErr w:type="gramStart"/>
      <w:r w:rsidRPr="000C1102">
        <w:rPr>
          <w:rFonts w:ascii="Book Antiqua" w:hAnsi="Book Antiqua"/>
          <w:sz w:val="24"/>
          <w:szCs w:val="24"/>
        </w:rPr>
        <w:t>Caucasians</w:t>
      </w:r>
      <w:r w:rsidRPr="000C1102">
        <w:rPr>
          <w:rFonts w:ascii="Book Antiqua" w:hAnsi="Book Antiqua"/>
          <w:sz w:val="24"/>
          <w:szCs w:val="24"/>
          <w:vertAlign w:val="superscript"/>
        </w:rPr>
        <w:t>[</w:t>
      </w:r>
      <w:proofErr w:type="gramEnd"/>
      <w:r w:rsidR="003B0985">
        <w:fldChar w:fldCharType="begin"/>
      </w:r>
      <w:r w:rsidR="003B0985">
        <w:instrText xml:space="preserve"> HYPERLINK \l "_ENREF_18" \o "Barkhordari, 2010 #19" </w:instrText>
      </w:r>
      <w:r w:rsidR="003B0985">
        <w:fldChar w:fldCharType="separate"/>
      </w:r>
      <w:r w:rsidRPr="000C1102">
        <w:rPr>
          <w:rFonts w:ascii="Book Antiqua" w:hAnsi="Book Antiqua"/>
          <w:sz w:val="24"/>
          <w:szCs w:val="24"/>
          <w:vertAlign w:val="superscript"/>
        </w:rPr>
        <w:t>18</w:t>
      </w:r>
      <w:r w:rsidR="003B0985">
        <w:rPr>
          <w:rFonts w:ascii="Book Antiqua" w:hAnsi="Book Antiqua"/>
          <w:sz w:val="24"/>
          <w:szCs w:val="24"/>
          <w:vertAlign w:val="superscript"/>
        </w:rPr>
        <w:fldChar w:fldCharType="end"/>
      </w:r>
      <w:r w:rsidRPr="000C1102">
        <w:rPr>
          <w:rFonts w:ascii="Book Antiqua" w:hAnsi="Book Antiqua"/>
          <w:sz w:val="24"/>
          <w:szCs w:val="24"/>
          <w:vertAlign w:val="superscript"/>
        </w:rPr>
        <w:t xml:space="preserve">, </w:t>
      </w:r>
      <w:hyperlink w:anchor="_ENREF_20" w:tooltip="Romero-Valdovinos, 2012 #15" w:history="1">
        <w:r w:rsidRPr="000C1102">
          <w:rPr>
            <w:rFonts w:ascii="Book Antiqua" w:hAnsi="Book Antiqua"/>
            <w:sz w:val="24"/>
            <w:szCs w:val="24"/>
            <w:vertAlign w:val="superscript"/>
          </w:rPr>
          <w:t>20</w:t>
        </w:r>
      </w:hyperlink>
      <w:r w:rsidRPr="000C1102">
        <w:rPr>
          <w:rFonts w:ascii="Book Antiqua" w:hAnsi="Book Antiqua"/>
          <w:sz w:val="24"/>
          <w:szCs w:val="24"/>
          <w:vertAlign w:val="superscript"/>
        </w:rPr>
        <w:t xml:space="preserve">, </w:t>
      </w:r>
      <w:hyperlink w:anchor="_ENREF_21" w:tooltip="Gonsalkorale, 2003 #26" w:history="1">
        <w:r w:rsidRPr="000C1102">
          <w:rPr>
            <w:rFonts w:ascii="Book Antiqua" w:hAnsi="Book Antiqua"/>
            <w:sz w:val="24"/>
            <w:szCs w:val="24"/>
            <w:vertAlign w:val="superscript"/>
          </w:rPr>
          <w:t>21</w:t>
        </w:r>
      </w:hyperlink>
      <w:r w:rsidRPr="000C1102">
        <w:rPr>
          <w:rFonts w:ascii="Book Antiqua" w:hAnsi="Book Antiqua"/>
          <w:sz w:val="24"/>
          <w:szCs w:val="24"/>
          <w:vertAlign w:val="superscript"/>
        </w:rPr>
        <w:t>]</w:t>
      </w:r>
      <w:r w:rsidRPr="000C1102">
        <w:rPr>
          <w:rFonts w:ascii="Book Antiqua" w:hAnsi="Book Antiqua"/>
          <w:sz w:val="24"/>
          <w:szCs w:val="24"/>
        </w:rPr>
        <w:t xml:space="preserve"> (</w:t>
      </w:r>
      <w:r w:rsidRPr="000C1102">
        <w:rPr>
          <w:rFonts w:ascii="Book Antiqua" w:hAnsi="Book Antiqua"/>
          <w:i/>
          <w:sz w:val="24"/>
          <w:szCs w:val="24"/>
        </w:rPr>
        <w:t xml:space="preserve">P </w:t>
      </w:r>
      <w:r w:rsidRPr="000C1102">
        <w:rPr>
          <w:rFonts w:ascii="Book Antiqua" w:hAnsi="Book Antiqua"/>
          <w:sz w:val="24"/>
          <w:szCs w:val="24"/>
        </w:rPr>
        <w:t>= 0.003), but not in Asians</w:t>
      </w:r>
      <w:r w:rsidRPr="000C1102">
        <w:rPr>
          <w:rFonts w:ascii="Book Antiqua" w:hAnsi="Book Antiqua"/>
          <w:sz w:val="24"/>
          <w:szCs w:val="24"/>
          <w:vertAlign w:val="superscript"/>
        </w:rPr>
        <w:t>[22-24]</w:t>
      </w:r>
      <w:r w:rsidRPr="000C1102">
        <w:rPr>
          <w:rFonts w:ascii="Book Antiqua" w:hAnsi="Book Antiqua"/>
          <w:sz w:val="24"/>
          <w:szCs w:val="24"/>
        </w:rPr>
        <w:t xml:space="preserve"> (</w:t>
      </w:r>
      <w:r w:rsidRPr="000C1102">
        <w:rPr>
          <w:rFonts w:ascii="Book Antiqua" w:hAnsi="Book Antiqua"/>
          <w:i/>
          <w:sz w:val="24"/>
          <w:szCs w:val="24"/>
        </w:rPr>
        <w:t xml:space="preserve">P </w:t>
      </w:r>
      <w:r w:rsidRPr="000C1102">
        <w:rPr>
          <w:rFonts w:ascii="Book Antiqua" w:hAnsi="Book Antiqua"/>
          <w:sz w:val="24"/>
          <w:szCs w:val="24"/>
        </w:rPr>
        <w:t>= 0.860) (Table 2).</w:t>
      </w: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b/>
          <w:i/>
          <w:sz w:val="24"/>
          <w:szCs w:val="24"/>
        </w:rPr>
      </w:pPr>
      <w:r w:rsidRPr="000C1102">
        <w:rPr>
          <w:rFonts w:ascii="Book Antiqua" w:hAnsi="Book Antiqua"/>
          <w:b/>
          <w:i/>
          <w:sz w:val="24"/>
          <w:szCs w:val="24"/>
        </w:rPr>
        <w:t xml:space="preserve">IL-10 rs1800871 and IBS risk </w:t>
      </w: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Four </w:t>
      </w:r>
      <w:proofErr w:type="gramStart"/>
      <w:r w:rsidRPr="000C1102">
        <w:rPr>
          <w:rFonts w:ascii="Book Antiqua" w:hAnsi="Book Antiqua"/>
          <w:sz w:val="24"/>
          <w:szCs w:val="24"/>
        </w:rPr>
        <w:t>studies</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18, 20, 23, 24]</w:t>
      </w:r>
      <w:r w:rsidRPr="000C1102">
        <w:rPr>
          <w:rFonts w:ascii="Book Antiqua" w:hAnsi="Book Antiqua"/>
          <w:sz w:val="24"/>
          <w:szCs w:val="24"/>
        </w:rPr>
        <w:t xml:space="preserve">, involving 493 IBS subjects and 663 controls, analyzed the associations between the IL-10 rs1800871 polymorphisms and IBS risk; the distribution of controls in the studies fulfilled the HWE. In the meta-analysis, no significant associations were observed for any of the 4 models: AA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GG (</w:t>
      </w:r>
      <w:r w:rsidRPr="000C1102">
        <w:rPr>
          <w:rFonts w:ascii="Book Antiqua" w:hAnsi="Book Antiqua"/>
          <w:i/>
          <w:sz w:val="24"/>
          <w:szCs w:val="24"/>
        </w:rPr>
        <w:t xml:space="preserve">P </w:t>
      </w:r>
      <w:r w:rsidRPr="000C1102">
        <w:rPr>
          <w:rFonts w:ascii="Book Antiqua" w:hAnsi="Book Antiqua"/>
          <w:sz w:val="24"/>
          <w:szCs w:val="24"/>
        </w:rPr>
        <w:t xml:space="preserve">= 0.698), AA+AG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GG (</w:t>
      </w:r>
      <w:r w:rsidRPr="000C1102">
        <w:rPr>
          <w:rFonts w:ascii="Book Antiqua" w:hAnsi="Book Antiqua"/>
          <w:i/>
          <w:sz w:val="24"/>
          <w:szCs w:val="24"/>
        </w:rPr>
        <w:t xml:space="preserve">P </w:t>
      </w:r>
      <w:r w:rsidRPr="000C1102">
        <w:rPr>
          <w:rFonts w:ascii="Book Antiqua" w:hAnsi="Book Antiqua"/>
          <w:sz w:val="24"/>
          <w:szCs w:val="24"/>
        </w:rPr>
        <w:t xml:space="preserve">= 0.969), GG+AG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AA (</w:t>
      </w:r>
      <w:r w:rsidRPr="000C1102">
        <w:rPr>
          <w:rFonts w:ascii="Book Antiqua" w:hAnsi="Book Antiqua"/>
          <w:i/>
          <w:sz w:val="24"/>
          <w:szCs w:val="24"/>
        </w:rPr>
        <w:t xml:space="preserve">P </w:t>
      </w:r>
      <w:r w:rsidRPr="000C1102">
        <w:rPr>
          <w:rFonts w:ascii="Book Antiqua" w:hAnsi="Book Antiqua"/>
          <w:sz w:val="24"/>
          <w:szCs w:val="24"/>
        </w:rPr>
        <w:t xml:space="preserve">= 0.651), and 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G (</w:t>
      </w:r>
      <w:r w:rsidRPr="000C1102">
        <w:rPr>
          <w:rFonts w:ascii="Book Antiqua" w:hAnsi="Book Antiqua"/>
          <w:i/>
          <w:sz w:val="24"/>
          <w:szCs w:val="24"/>
        </w:rPr>
        <w:t xml:space="preserve">P </w:t>
      </w:r>
      <w:r w:rsidRPr="000C1102">
        <w:rPr>
          <w:rFonts w:ascii="Book Antiqua" w:hAnsi="Book Antiqua"/>
          <w:sz w:val="24"/>
          <w:szCs w:val="24"/>
        </w:rPr>
        <w:t xml:space="preserve">= 0.496). Either significant heterogeneity or publication bias was found associated with each of the 4 models (all, </w:t>
      </w:r>
      <w:r w:rsidRPr="000C1102">
        <w:rPr>
          <w:rFonts w:ascii="Book Antiqua" w:hAnsi="Book Antiqua"/>
          <w:i/>
          <w:sz w:val="24"/>
          <w:szCs w:val="24"/>
        </w:rPr>
        <w:t xml:space="preserve">P </w:t>
      </w:r>
      <w:r w:rsidRPr="000C1102">
        <w:rPr>
          <w:rFonts w:ascii="Book Antiqua" w:hAnsi="Book Antiqua"/>
          <w:sz w:val="24"/>
          <w:szCs w:val="24"/>
        </w:rPr>
        <w:t xml:space="preserve">&gt; 0.05). A sensitivity analysis, after excluding studies in turn, indicated that the null associations remained (data not shown). Further, subgroup analyses did not find any associations between the IL-10 rs1800871 polymorphisms and IBS risk, regardless of </w:t>
      </w:r>
      <w:proofErr w:type="gramStart"/>
      <w:r w:rsidRPr="000C1102">
        <w:rPr>
          <w:rFonts w:ascii="Book Antiqua" w:hAnsi="Book Antiqua"/>
          <w:sz w:val="24"/>
          <w:szCs w:val="24"/>
        </w:rPr>
        <w:t>ethnicity</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18, 20, 23, 24]</w:t>
      </w:r>
      <w:r w:rsidRPr="000C1102">
        <w:rPr>
          <w:rFonts w:ascii="Book Antiqua" w:hAnsi="Book Antiqua"/>
          <w:sz w:val="24"/>
          <w:szCs w:val="24"/>
        </w:rPr>
        <w:t xml:space="preserve"> (Table 3, Figure 2B).</w:t>
      </w: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b/>
          <w:i/>
          <w:sz w:val="24"/>
          <w:szCs w:val="24"/>
        </w:rPr>
      </w:pPr>
      <w:r w:rsidRPr="000C1102">
        <w:rPr>
          <w:rFonts w:ascii="Book Antiqua" w:hAnsi="Book Antiqua"/>
          <w:b/>
          <w:i/>
          <w:sz w:val="24"/>
          <w:szCs w:val="24"/>
        </w:rPr>
        <w:t xml:space="preserve">IL-10 rs1800872 and IBS risk </w:t>
      </w: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Five </w:t>
      </w:r>
      <w:proofErr w:type="gramStart"/>
      <w:r w:rsidRPr="000C1102">
        <w:rPr>
          <w:rFonts w:ascii="Book Antiqua" w:hAnsi="Book Antiqua"/>
          <w:sz w:val="24"/>
          <w:szCs w:val="24"/>
        </w:rPr>
        <w:t>studies</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18, 20, 23, 24, 32]</w:t>
      </w:r>
      <w:r w:rsidRPr="000C1102">
        <w:rPr>
          <w:rFonts w:ascii="Book Antiqua" w:hAnsi="Book Antiqua"/>
          <w:sz w:val="24"/>
          <w:szCs w:val="24"/>
        </w:rPr>
        <w:t xml:space="preserve">, involving 181 IBS subjects and 338 controls, analyzed the associations between IL-10 rs1800872 polymorphisms and IBS risk; the distribution of the controls in the studies fulfilled the HWE. The meta-analysis demonstrated that the CC+CA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AA model was associated with a susceptibility to IBS risk (OR = 1.29, 95%CI: 1.03–1.62, </w:t>
      </w:r>
      <w:r w:rsidRPr="000C1102">
        <w:rPr>
          <w:rFonts w:ascii="Book Antiqua" w:hAnsi="Book Antiqua"/>
          <w:i/>
          <w:sz w:val="24"/>
          <w:szCs w:val="24"/>
        </w:rPr>
        <w:t xml:space="preserve">P </w:t>
      </w:r>
      <w:r w:rsidRPr="000C1102">
        <w:rPr>
          <w:rFonts w:ascii="Book Antiqua" w:hAnsi="Book Antiqua"/>
          <w:sz w:val="24"/>
          <w:szCs w:val="24"/>
        </w:rPr>
        <w:t xml:space="preserve">= 0.028). However, significant associations were not found between the other 3 models, CC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AA (</w:t>
      </w:r>
      <w:r w:rsidRPr="000C1102">
        <w:rPr>
          <w:rFonts w:ascii="Book Antiqua" w:hAnsi="Book Antiqua"/>
          <w:i/>
          <w:sz w:val="24"/>
          <w:szCs w:val="24"/>
        </w:rPr>
        <w:t xml:space="preserve">P </w:t>
      </w:r>
      <w:r w:rsidRPr="000C1102">
        <w:rPr>
          <w:rFonts w:ascii="Book Antiqua" w:hAnsi="Book Antiqua"/>
          <w:sz w:val="24"/>
          <w:szCs w:val="24"/>
        </w:rPr>
        <w:t xml:space="preserve">= 0.989), AA+CA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CC (</w:t>
      </w:r>
      <w:r w:rsidRPr="000C1102">
        <w:rPr>
          <w:rFonts w:ascii="Book Antiqua" w:hAnsi="Book Antiqua"/>
          <w:i/>
          <w:sz w:val="24"/>
          <w:szCs w:val="24"/>
        </w:rPr>
        <w:t xml:space="preserve">P </w:t>
      </w:r>
      <w:r w:rsidRPr="000C1102">
        <w:rPr>
          <w:rFonts w:ascii="Book Antiqua" w:hAnsi="Book Antiqua"/>
          <w:sz w:val="24"/>
          <w:szCs w:val="24"/>
        </w:rPr>
        <w:t xml:space="preserve">= 0.833), and C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A (</w:t>
      </w:r>
      <w:r w:rsidRPr="000C1102">
        <w:rPr>
          <w:rFonts w:ascii="Book Antiqua" w:hAnsi="Book Antiqua"/>
          <w:i/>
          <w:sz w:val="24"/>
          <w:szCs w:val="24"/>
        </w:rPr>
        <w:t xml:space="preserve">P </w:t>
      </w:r>
      <w:r w:rsidRPr="000C1102">
        <w:rPr>
          <w:rFonts w:ascii="Book Antiqua" w:hAnsi="Book Antiqua"/>
          <w:sz w:val="24"/>
          <w:szCs w:val="24"/>
        </w:rPr>
        <w:t xml:space="preserve">= 0.112), and IBS risk. Either significant heterogeneity or publication bias was found in each of the 4 models (all, </w:t>
      </w:r>
      <w:r w:rsidRPr="000C1102">
        <w:rPr>
          <w:rFonts w:ascii="Book Antiqua" w:hAnsi="Book Antiqua"/>
          <w:i/>
          <w:sz w:val="24"/>
          <w:szCs w:val="24"/>
        </w:rPr>
        <w:t xml:space="preserve">P </w:t>
      </w:r>
      <w:r w:rsidRPr="000C1102">
        <w:rPr>
          <w:rFonts w:ascii="Book Antiqua" w:hAnsi="Book Antiqua"/>
          <w:sz w:val="24"/>
          <w:szCs w:val="24"/>
        </w:rPr>
        <w:t xml:space="preserve">&gt; 0.05). A sensitivity analysis, after removing each study sequentially, demonstrated that the results remained similar to the initial results. Subsequent subgroup analyses showed associations between rs1800872 and IBS risk in </w:t>
      </w:r>
      <w:proofErr w:type="gramStart"/>
      <w:r w:rsidRPr="000C1102">
        <w:rPr>
          <w:rFonts w:ascii="Book Antiqua" w:hAnsi="Book Antiqua"/>
          <w:sz w:val="24"/>
          <w:szCs w:val="24"/>
        </w:rPr>
        <w:t>Asians</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23, 24, 32]</w:t>
      </w:r>
      <w:r w:rsidRPr="000C1102">
        <w:rPr>
          <w:rFonts w:ascii="Book Antiqua" w:hAnsi="Book Antiqua"/>
          <w:sz w:val="24"/>
          <w:szCs w:val="24"/>
        </w:rPr>
        <w:t xml:space="preserve"> (</w:t>
      </w:r>
      <w:r w:rsidRPr="000C1102">
        <w:rPr>
          <w:rFonts w:ascii="Book Antiqua" w:hAnsi="Book Antiqua"/>
          <w:i/>
          <w:sz w:val="24"/>
          <w:szCs w:val="24"/>
        </w:rPr>
        <w:t xml:space="preserve">P </w:t>
      </w:r>
      <w:r w:rsidRPr="000C1102">
        <w:rPr>
          <w:rFonts w:ascii="Book Antiqua" w:hAnsi="Book Antiqua"/>
          <w:sz w:val="24"/>
          <w:szCs w:val="24"/>
        </w:rPr>
        <w:t>= 0.042), but not in Caucasians</w:t>
      </w:r>
      <w:r w:rsidRPr="000C1102">
        <w:rPr>
          <w:rFonts w:ascii="Book Antiqua" w:hAnsi="Book Antiqua"/>
          <w:sz w:val="24"/>
          <w:szCs w:val="24"/>
          <w:vertAlign w:val="superscript"/>
        </w:rPr>
        <w:t>[18, 20]</w:t>
      </w:r>
      <w:r w:rsidRPr="000C1102">
        <w:rPr>
          <w:rFonts w:ascii="Book Antiqua" w:hAnsi="Book Antiqua"/>
          <w:sz w:val="24"/>
          <w:szCs w:val="24"/>
        </w:rPr>
        <w:t xml:space="preserve"> (</w:t>
      </w:r>
      <w:r w:rsidRPr="000C1102">
        <w:rPr>
          <w:rFonts w:ascii="Book Antiqua" w:hAnsi="Book Antiqua"/>
          <w:i/>
          <w:sz w:val="24"/>
          <w:szCs w:val="24"/>
        </w:rPr>
        <w:t xml:space="preserve">P </w:t>
      </w:r>
      <w:r w:rsidRPr="000C1102">
        <w:rPr>
          <w:rFonts w:ascii="Book Antiqua" w:hAnsi="Book Antiqua"/>
          <w:sz w:val="24"/>
          <w:szCs w:val="24"/>
        </w:rPr>
        <w:t xml:space="preserve">= 0.417) (Table 4, </w:t>
      </w:r>
      <w:r w:rsidRPr="000C1102">
        <w:rPr>
          <w:rFonts w:ascii="Book Antiqua" w:hAnsi="Book Antiqua"/>
          <w:sz w:val="24"/>
          <w:szCs w:val="24"/>
        </w:rPr>
        <w:lastRenderedPageBreak/>
        <w:t>Figure 2C).</w:t>
      </w: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b/>
          <w:caps/>
          <w:sz w:val="24"/>
          <w:szCs w:val="24"/>
        </w:rPr>
      </w:pPr>
      <w:r w:rsidRPr="000C1102">
        <w:rPr>
          <w:rFonts w:ascii="Book Antiqua" w:hAnsi="Book Antiqua"/>
          <w:b/>
          <w:caps/>
          <w:sz w:val="24"/>
          <w:szCs w:val="24"/>
        </w:rPr>
        <w:t>Discussion</w:t>
      </w: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The gene encoding IL-10 is located on chromosome 1q31–1q32, and has 3 confirmed </w:t>
      </w:r>
      <w:proofErr w:type="spellStart"/>
      <w:r w:rsidRPr="000C1102">
        <w:rPr>
          <w:rFonts w:ascii="Book Antiqua" w:hAnsi="Book Antiqua"/>
          <w:sz w:val="24"/>
          <w:szCs w:val="24"/>
        </w:rPr>
        <w:t>biallelic</w:t>
      </w:r>
      <w:proofErr w:type="spellEnd"/>
      <w:r w:rsidRPr="000C1102">
        <w:rPr>
          <w:rFonts w:ascii="Book Antiqua" w:hAnsi="Book Antiqua"/>
          <w:sz w:val="24"/>
          <w:szCs w:val="24"/>
        </w:rPr>
        <w:t xml:space="preserve"> polymorphisms in the gene promoter region, i.e., rs1800870, rs1800871, and rs1800872. A genetic predisposition for low IL-10 production is associated with the development of </w:t>
      </w:r>
      <w:proofErr w:type="gramStart"/>
      <w:r w:rsidRPr="000C1102">
        <w:rPr>
          <w:rFonts w:ascii="Book Antiqua" w:hAnsi="Book Antiqua"/>
          <w:sz w:val="24"/>
          <w:szCs w:val="24"/>
        </w:rPr>
        <w:t>IBS</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33-35]</w:t>
      </w:r>
      <w:r w:rsidRPr="000C1102">
        <w:rPr>
          <w:rFonts w:ascii="Book Antiqua" w:hAnsi="Book Antiqua"/>
          <w:sz w:val="24"/>
          <w:szCs w:val="24"/>
        </w:rPr>
        <w:t>, and previous studies have shown that IL-10 SNPs and some haplotypes are associated with an increased IBS risk</w:t>
      </w:r>
      <w:r w:rsidRPr="000C1102">
        <w:rPr>
          <w:rFonts w:ascii="Book Antiqua" w:hAnsi="Book Antiqua"/>
          <w:sz w:val="24"/>
          <w:szCs w:val="24"/>
          <w:vertAlign w:val="superscript"/>
        </w:rPr>
        <w:t>[5, 13, 18, 23]</w:t>
      </w:r>
      <w:r w:rsidRPr="000C1102">
        <w:rPr>
          <w:rFonts w:ascii="Book Antiqua" w:hAnsi="Book Antiqua"/>
          <w:sz w:val="24"/>
          <w:szCs w:val="24"/>
        </w:rPr>
        <w:t xml:space="preserve">. Likewise, production of the anti-inflammatory cytokine IL-10 is also associated with SNPs at specific positions. </w:t>
      </w:r>
    </w:p>
    <w:p w:rsidR="00AC73D6" w:rsidRPr="000C1102" w:rsidRDefault="00AC73D6" w:rsidP="00866887">
      <w:pPr>
        <w:spacing w:line="360" w:lineRule="auto"/>
        <w:ind w:firstLineChars="200" w:firstLine="480"/>
        <w:rPr>
          <w:rFonts w:ascii="Book Antiqua" w:hAnsi="Book Antiqua"/>
          <w:sz w:val="24"/>
          <w:szCs w:val="24"/>
        </w:rPr>
      </w:pPr>
      <w:r w:rsidRPr="000C1102">
        <w:rPr>
          <w:rFonts w:ascii="Book Antiqua" w:hAnsi="Book Antiqua"/>
          <w:sz w:val="24"/>
          <w:szCs w:val="24"/>
        </w:rPr>
        <w:t xml:space="preserve">The A allele of rs1800870 has been reported to be associated with lower production of IL-10 and an accordingly stronger inflammatory </w:t>
      </w:r>
      <w:proofErr w:type="gramStart"/>
      <w:r w:rsidRPr="000C1102">
        <w:rPr>
          <w:rFonts w:ascii="Book Antiqua" w:hAnsi="Book Antiqua"/>
          <w:sz w:val="24"/>
          <w:szCs w:val="24"/>
        </w:rPr>
        <w:t>response</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36]</w:t>
      </w:r>
      <w:r w:rsidRPr="000C1102">
        <w:rPr>
          <w:rFonts w:ascii="Book Antiqua" w:hAnsi="Book Antiqua"/>
          <w:sz w:val="24"/>
          <w:szCs w:val="24"/>
        </w:rPr>
        <w:t xml:space="preserve">. More recently, </w:t>
      </w:r>
      <w:proofErr w:type="spellStart"/>
      <w:r w:rsidRPr="000C1102">
        <w:rPr>
          <w:rFonts w:ascii="Book Antiqua" w:hAnsi="Book Antiqua"/>
          <w:sz w:val="24"/>
          <w:szCs w:val="24"/>
        </w:rPr>
        <w:t>Bashashati</w:t>
      </w:r>
      <w:proofErr w:type="spellEnd"/>
      <w:r w:rsidRPr="000C1102">
        <w:rPr>
          <w:rFonts w:ascii="Book Antiqua" w:hAnsi="Book Antiqua"/>
          <w:sz w:val="24"/>
          <w:szCs w:val="24"/>
        </w:rPr>
        <w:t xml:space="preserve"> </w:t>
      </w:r>
      <w:r w:rsidRPr="000C1102">
        <w:rPr>
          <w:rFonts w:ascii="Book Antiqua" w:hAnsi="Book Antiqua"/>
          <w:i/>
          <w:sz w:val="24"/>
          <w:szCs w:val="24"/>
        </w:rPr>
        <w:t xml:space="preserve">et </w:t>
      </w:r>
      <w:proofErr w:type="gramStart"/>
      <w:r w:rsidRPr="000C1102">
        <w:rPr>
          <w:rFonts w:ascii="Book Antiqua" w:hAnsi="Book Antiqua"/>
          <w:i/>
          <w:sz w:val="24"/>
          <w:szCs w:val="24"/>
        </w:rPr>
        <w:t>al</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37]</w:t>
      </w:r>
      <w:r w:rsidRPr="000C1102">
        <w:rPr>
          <w:rFonts w:ascii="Book Antiqua" w:hAnsi="Book Antiqua"/>
          <w:sz w:val="24"/>
          <w:szCs w:val="24"/>
        </w:rPr>
        <w:t xml:space="preserve"> reported the results of a meta-analysis that showed that the A/G of rs1800870 conferred susceptibility to IBS. However, their study only included 5 studies, and most of the included subjects were Caucasians. When considering the disparity in genetic factors among different racial groups, it is difficult to conclude that rs1800870 was associated with IBS risk, without adjusting for ethnicity and sample size. In the present study, although the overall meta-analysis results showed the presence of significant associations between rs1800870 and IBS risk in the GG+GA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AA (</w:t>
      </w:r>
      <w:r w:rsidRPr="000C1102">
        <w:rPr>
          <w:rFonts w:ascii="Book Antiqua" w:hAnsi="Book Antiqua"/>
          <w:i/>
          <w:sz w:val="24"/>
          <w:szCs w:val="24"/>
        </w:rPr>
        <w:t xml:space="preserve">P </w:t>
      </w:r>
      <w:r w:rsidRPr="000C1102">
        <w:rPr>
          <w:rFonts w:ascii="Book Antiqua" w:hAnsi="Book Antiqua"/>
          <w:sz w:val="24"/>
          <w:szCs w:val="24"/>
        </w:rPr>
        <w:t xml:space="preserve">= 0.018) and AA+GA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GG (</w:t>
      </w:r>
      <w:r w:rsidRPr="000C1102">
        <w:rPr>
          <w:rFonts w:ascii="Book Antiqua" w:hAnsi="Book Antiqua"/>
          <w:i/>
          <w:sz w:val="24"/>
          <w:szCs w:val="24"/>
        </w:rPr>
        <w:t xml:space="preserve">P </w:t>
      </w:r>
      <w:r w:rsidRPr="000C1102">
        <w:rPr>
          <w:rFonts w:ascii="Book Antiqua" w:hAnsi="Book Antiqua"/>
          <w:sz w:val="24"/>
          <w:szCs w:val="24"/>
        </w:rPr>
        <w:t xml:space="preserve">= 0.007) models. A subgroup analysis revealed that such association existed only for Caucasians, and not for Asians. This disparity between the two ethnicities might be explained by variations in allelic frequencies between the ethnic groups. This was possible since the frequency of the rs1800870 </w:t>
      </w:r>
      <w:proofErr w:type="gramStart"/>
      <w:r w:rsidRPr="000C1102">
        <w:rPr>
          <w:rFonts w:ascii="Book Antiqua" w:hAnsi="Book Antiqua"/>
          <w:sz w:val="24"/>
          <w:szCs w:val="24"/>
        </w:rPr>
        <w:t>A</w:t>
      </w:r>
      <w:proofErr w:type="gramEnd"/>
      <w:r w:rsidRPr="000C1102">
        <w:rPr>
          <w:rFonts w:ascii="Book Antiqua" w:hAnsi="Book Antiqua"/>
          <w:sz w:val="24"/>
          <w:szCs w:val="24"/>
        </w:rPr>
        <w:t xml:space="preserve"> allele is associated with a significantly higher production of IL-10 in Caucasians than in Asians. Moreover, another study showed that the frequency of the high producer IL-10 genotype is much higher in the Irish population than in Africans or Singaporean </w:t>
      </w:r>
      <w:proofErr w:type="gramStart"/>
      <w:r w:rsidRPr="000C1102">
        <w:rPr>
          <w:rFonts w:ascii="Book Antiqua" w:hAnsi="Book Antiqua"/>
          <w:sz w:val="24"/>
          <w:szCs w:val="24"/>
        </w:rPr>
        <w:t>Chinese</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38]</w:t>
      </w:r>
      <w:r w:rsidRPr="000C1102">
        <w:rPr>
          <w:rFonts w:ascii="Book Antiqua" w:hAnsi="Book Antiqua"/>
          <w:sz w:val="24"/>
          <w:szCs w:val="24"/>
        </w:rPr>
        <w:t>. In the present study, 4</w:t>
      </w:r>
      <w:r w:rsidRPr="000C1102">
        <w:rPr>
          <w:rFonts w:ascii="Book Antiqua" w:hAnsi="Book Antiqua"/>
          <w:sz w:val="24"/>
          <w:szCs w:val="24"/>
          <w:vertAlign w:val="superscript"/>
        </w:rPr>
        <w:t>[13, 18, 20, 21]</w:t>
      </w:r>
      <w:r w:rsidRPr="000C1102">
        <w:rPr>
          <w:rFonts w:ascii="Book Antiqua" w:hAnsi="Book Antiqua"/>
          <w:sz w:val="24"/>
          <w:szCs w:val="24"/>
        </w:rPr>
        <w:t xml:space="preserve"> of the 8 included studies analyzed Caucasian subjects, the frequency of the rs1800870 GG genotype in controls was higher than that observed in Asian subjects. The present meta-analysis results confirmed the </w:t>
      </w:r>
      <w:r w:rsidRPr="000C1102">
        <w:rPr>
          <w:rFonts w:ascii="Book Antiqua" w:hAnsi="Book Antiqua"/>
          <w:sz w:val="24"/>
          <w:szCs w:val="24"/>
        </w:rPr>
        <w:lastRenderedPageBreak/>
        <w:t xml:space="preserve">association of rs1800870 and IBS risk, but also demonstrated that the association varies according to ethnicity. </w:t>
      </w:r>
    </w:p>
    <w:p w:rsidR="00AC73D6" w:rsidRPr="000C1102" w:rsidRDefault="00AC73D6" w:rsidP="00866887">
      <w:pPr>
        <w:spacing w:line="360" w:lineRule="auto"/>
        <w:ind w:firstLineChars="200" w:firstLine="480"/>
        <w:rPr>
          <w:rFonts w:ascii="Book Antiqua" w:hAnsi="Book Antiqua"/>
          <w:sz w:val="24"/>
          <w:szCs w:val="24"/>
        </w:rPr>
      </w:pPr>
      <w:r w:rsidRPr="000C1102">
        <w:rPr>
          <w:rFonts w:ascii="Book Antiqua" w:hAnsi="Book Antiqua"/>
          <w:sz w:val="24"/>
          <w:szCs w:val="24"/>
        </w:rPr>
        <w:t xml:space="preserve">The role of rs1800871 in IL-10 production is incompletely understood. Although some studies have reported that rs1800871 is associated with several diseases, such as </w:t>
      </w:r>
      <w:proofErr w:type="gramStart"/>
      <w:r w:rsidRPr="000C1102">
        <w:rPr>
          <w:rFonts w:ascii="Book Antiqua" w:hAnsi="Book Antiqua"/>
          <w:sz w:val="24"/>
          <w:szCs w:val="24"/>
        </w:rPr>
        <w:t>endometriosis</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39]</w:t>
      </w:r>
      <w:r w:rsidRPr="000C1102">
        <w:rPr>
          <w:rFonts w:ascii="Book Antiqua" w:hAnsi="Book Antiqua"/>
          <w:sz w:val="24"/>
          <w:szCs w:val="24"/>
        </w:rPr>
        <w:t xml:space="preserve"> and periodontitis</w:t>
      </w:r>
      <w:r w:rsidRPr="000C1102">
        <w:rPr>
          <w:rFonts w:ascii="Book Antiqua" w:hAnsi="Book Antiqua"/>
          <w:sz w:val="24"/>
          <w:szCs w:val="24"/>
          <w:vertAlign w:val="superscript"/>
        </w:rPr>
        <w:t>[40]</w:t>
      </w:r>
      <w:r w:rsidRPr="000C1102">
        <w:rPr>
          <w:rFonts w:ascii="Book Antiqua" w:hAnsi="Book Antiqua"/>
          <w:sz w:val="24"/>
          <w:szCs w:val="24"/>
        </w:rPr>
        <w:t>, the association between rs1800871 and IBS has remained controversial</w:t>
      </w:r>
      <w:r w:rsidRPr="000C1102">
        <w:rPr>
          <w:rFonts w:ascii="Book Antiqua" w:hAnsi="Book Antiqua"/>
          <w:sz w:val="24"/>
          <w:szCs w:val="24"/>
          <w:vertAlign w:val="superscript"/>
        </w:rPr>
        <w:t>[18, 20, 23, 24]</w:t>
      </w:r>
      <w:r w:rsidRPr="000C1102">
        <w:rPr>
          <w:rFonts w:ascii="Book Antiqua" w:hAnsi="Book Antiqua"/>
          <w:sz w:val="24"/>
          <w:szCs w:val="24"/>
        </w:rPr>
        <w:t xml:space="preserve">. In our study, the overall results and the results of the subgroup analysis failed to show a significant association between rs1800871 and IBS risk, regardless of the examined ethnicity. This observation indicates a similar distribution of rs1800871 among both IBS patients and controls, supporting the observation that the genetic make-up for IL-10 production levels does not differ between IBS patients and normal </w:t>
      </w:r>
      <w:proofErr w:type="gramStart"/>
      <w:r w:rsidRPr="000C1102">
        <w:rPr>
          <w:rFonts w:ascii="Book Antiqua" w:hAnsi="Book Antiqua"/>
          <w:sz w:val="24"/>
          <w:szCs w:val="24"/>
        </w:rPr>
        <w:t>subjects</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13, 18, 24]</w:t>
      </w:r>
      <w:r w:rsidRPr="000C1102">
        <w:rPr>
          <w:rFonts w:ascii="Book Antiqua" w:hAnsi="Book Antiqua"/>
          <w:sz w:val="24"/>
          <w:szCs w:val="24"/>
        </w:rPr>
        <w:t xml:space="preserve">. Although a direct link between rs1800871 and IL-10 production levels has not been established, previous reports have suggested that rs1800871 polymorphism is in linkage disequilibrium with rs1800871; that the haplotypes for rs1800870, rs1800871 and rs1800872 are common in Caucasians; and that the GCC/GCC haplotypes are commonly associated with high IL-10 production, whereas the ATA/ATA genotype is associated with low IL-10 </w:t>
      </w:r>
      <w:proofErr w:type="gramStart"/>
      <w:r w:rsidRPr="000C1102">
        <w:rPr>
          <w:rFonts w:ascii="Book Antiqua" w:hAnsi="Book Antiqua"/>
          <w:sz w:val="24"/>
          <w:szCs w:val="24"/>
        </w:rPr>
        <w:t>production</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41]</w:t>
      </w:r>
      <w:r w:rsidRPr="000C1102">
        <w:rPr>
          <w:rFonts w:ascii="Book Antiqua" w:hAnsi="Book Antiqua"/>
          <w:sz w:val="24"/>
          <w:szCs w:val="24"/>
        </w:rPr>
        <w:t xml:space="preserve">. Because only limited data are available in the included studies, further studies may be required to perform a haplotype analysis to explore the associations between rs1800871 haplotypes and other SNPs with IBS. </w:t>
      </w:r>
    </w:p>
    <w:p w:rsidR="00AC73D6" w:rsidRPr="000C1102" w:rsidRDefault="00AC73D6" w:rsidP="00866887">
      <w:pPr>
        <w:spacing w:line="360" w:lineRule="auto"/>
        <w:ind w:firstLineChars="250" w:firstLine="600"/>
        <w:rPr>
          <w:rFonts w:ascii="Book Antiqua" w:hAnsi="Book Antiqua"/>
          <w:sz w:val="24"/>
          <w:szCs w:val="24"/>
        </w:rPr>
      </w:pPr>
      <w:r w:rsidRPr="000C1102">
        <w:rPr>
          <w:rFonts w:ascii="Book Antiqua" w:hAnsi="Book Antiqua"/>
          <w:sz w:val="24"/>
          <w:szCs w:val="24"/>
        </w:rPr>
        <w:t xml:space="preserve">With regard to rs1800872, studies have reported that the presence of rs1800872 confers susceptibility to some diseases such as </w:t>
      </w:r>
      <w:proofErr w:type="gramStart"/>
      <w:r w:rsidRPr="000C1102">
        <w:rPr>
          <w:rFonts w:ascii="Book Antiqua" w:hAnsi="Book Antiqua"/>
          <w:sz w:val="24"/>
          <w:szCs w:val="24"/>
        </w:rPr>
        <w:t>leprosy</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42]</w:t>
      </w:r>
      <w:r w:rsidRPr="000C1102">
        <w:rPr>
          <w:rFonts w:ascii="Book Antiqua" w:hAnsi="Book Antiqua"/>
          <w:sz w:val="24"/>
          <w:szCs w:val="24"/>
        </w:rPr>
        <w:t xml:space="preserve"> and hepatocellular carcinoma</w:t>
      </w:r>
      <w:r w:rsidRPr="000C1102">
        <w:rPr>
          <w:rFonts w:ascii="Book Antiqua" w:hAnsi="Book Antiqua"/>
          <w:sz w:val="24"/>
          <w:szCs w:val="24"/>
          <w:vertAlign w:val="superscript"/>
        </w:rPr>
        <w:t>[43]</w:t>
      </w:r>
      <w:r w:rsidRPr="000C1102">
        <w:rPr>
          <w:rFonts w:ascii="Book Antiqua" w:hAnsi="Book Antiqua"/>
          <w:sz w:val="24"/>
          <w:szCs w:val="24"/>
        </w:rPr>
        <w:t xml:space="preserve">. In studies investigating the association of IL-10 and IBS risk, </w:t>
      </w:r>
      <w:proofErr w:type="spellStart"/>
      <w:r w:rsidRPr="000C1102">
        <w:rPr>
          <w:rFonts w:ascii="Book Antiqua" w:hAnsi="Book Antiqua"/>
          <w:sz w:val="24"/>
          <w:szCs w:val="24"/>
        </w:rPr>
        <w:t>Santhosh</w:t>
      </w:r>
      <w:proofErr w:type="spellEnd"/>
      <w:r w:rsidRPr="000C1102">
        <w:rPr>
          <w:rFonts w:ascii="Book Antiqua" w:hAnsi="Book Antiqua"/>
          <w:sz w:val="24"/>
          <w:szCs w:val="24"/>
        </w:rPr>
        <w:t xml:space="preserve"> </w:t>
      </w:r>
      <w:r w:rsidRPr="000C1102">
        <w:rPr>
          <w:rFonts w:ascii="Book Antiqua" w:hAnsi="Book Antiqua"/>
          <w:i/>
          <w:sz w:val="24"/>
          <w:szCs w:val="24"/>
        </w:rPr>
        <w:t>et al</w:t>
      </w:r>
      <w:r w:rsidRPr="000C1102">
        <w:rPr>
          <w:rFonts w:ascii="Book Antiqua" w:hAnsi="Book Antiqua"/>
          <w:sz w:val="24"/>
          <w:szCs w:val="24"/>
          <w:vertAlign w:val="superscript"/>
        </w:rPr>
        <w:t>[23]</w:t>
      </w:r>
      <w:r w:rsidRPr="000C1102">
        <w:rPr>
          <w:rFonts w:ascii="Book Antiqua" w:hAnsi="Book Antiqua"/>
          <w:sz w:val="24"/>
          <w:szCs w:val="24"/>
        </w:rPr>
        <w:t xml:space="preserve"> reported that the C allele was much lower in individuals with IBS than among normal controls (41.3%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73.5%), in an Indian population. Wang </w:t>
      </w:r>
      <w:r w:rsidRPr="000C1102">
        <w:rPr>
          <w:rFonts w:ascii="Book Antiqua" w:hAnsi="Book Antiqua"/>
          <w:i/>
          <w:sz w:val="24"/>
          <w:szCs w:val="24"/>
        </w:rPr>
        <w:t xml:space="preserve">et </w:t>
      </w:r>
      <w:proofErr w:type="gramStart"/>
      <w:r w:rsidRPr="000C1102">
        <w:rPr>
          <w:rFonts w:ascii="Book Antiqua" w:hAnsi="Book Antiqua"/>
          <w:i/>
          <w:sz w:val="24"/>
          <w:szCs w:val="24"/>
        </w:rPr>
        <w:t>al</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24]</w:t>
      </w:r>
      <w:r w:rsidRPr="000C1102">
        <w:rPr>
          <w:rFonts w:ascii="Book Antiqua" w:hAnsi="Book Antiqua"/>
          <w:sz w:val="24"/>
          <w:szCs w:val="24"/>
        </w:rPr>
        <w:t xml:space="preserve"> found similar results in a Chinese population (IBS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controls, 9.3%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17.1%). However, a Mexican </w:t>
      </w:r>
      <w:proofErr w:type="gramStart"/>
      <w:r w:rsidRPr="000C1102">
        <w:rPr>
          <w:rFonts w:ascii="Book Antiqua" w:hAnsi="Book Antiqua"/>
          <w:sz w:val="24"/>
          <w:szCs w:val="24"/>
        </w:rPr>
        <w:t>study</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18]</w:t>
      </w:r>
      <w:r w:rsidRPr="000C1102">
        <w:rPr>
          <w:rFonts w:ascii="Book Antiqua" w:hAnsi="Book Antiqua"/>
          <w:sz w:val="24"/>
          <w:szCs w:val="24"/>
        </w:rPr>
        <w:t xml:space="preserve"> failed to show a significant difference between IBS patients and normal controls with respect to the C allele (72.51%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71.1%); similar results were reported in 2 other studies</w:t>
      </w:r>
      <w:r w:rsidRPr="000C1102">
        <w:rPr>
          <w:rFonts w:ascii="Book Antiqua" w:hAnsi="Book Antiqua"/>
          <w:sz w:val="24"/>
          <w:szCs w:val="24"/>
          <w:vertAlign w:val="superscript"/>
        </w:rPr>
        <w:t>[19, 20]</w:t>
      </w:r>
      <w:r w:rsidRPr="000C1102">
        <w:rPr>
          <w:rFonts w:ascii="Book Antiqua" w:hAnsi="Book Antiqua"/>
          <w:sz w:val="24"/>
          <w:szCs w:val="24"/>
        </w:rPr>
        <w:t xml:space="preserve">. In the present meta-analysis, we found that </w:t>
      </w:r>
      <w:proofErr w:type="gramStart"/>
      <w:r w:rsidRPr="000C1102">
        <w:rPr>
          <w:rFonts w:ascii="Book Antiqua" w:hAnsi="Book Antiqua"/>
          <w:sz w:val="24"/>
          <w:szCs w:val="24"/>
        </w:rPr>
        <w:t xml:space="preserve">CC+CA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AA was</w:t>
      </w:r>
      <w:proofErr w:type="gramEnd"/>
      <w:r w:rsidRPr="000C1102">
        <w:rPr>
          <w:rFonts w:ascii="Book Antiqua" w:hAnsi="Book Antiqua"/>
          <w:sz w:val="24"/>
          <w:szCs w:val="24"/>
        </w:rPr>
        <w:t xml:space="preserve"> associated with an IBS risk, and the sensitivity analysis further confirmed this association. However, the subgroup analysis revealed that only Asians </w:t>
      </w:r>
      <w:r w:rsidRPr="000C1102">
        <w:rPr>
          <w:rFonts w:ascii="Book Antiqua" w:hAnsi="Book Antiqua"/>
          <w:sz w:val="24"/>
          <w:szCs w:val="24"/>
        </w:rPr>
        <w:lastRenderedPageBreak/>
        <w:t xml:space="preserve">demonstrated this association. Although 5 studies were included in the present analysis, the sample size was relatively small; hence, these results </w:t>
      </w:r>
      <w:r w:rsidRPr="000C1102">
        <w:rPr>
          <w:rStyle w:val="webdict"/>
          <w:rFonts w:ascii="Book Antiqua" w:hAnsi="Book Antiqua"/>
          <w:sz w:val="24"/>
          <w:szCs w:val="24"/>
        </w:rPr>
        <w:t xml:space="preserve">should be interpreted with caution. </w:t>
      </w:r>
    </w:p>
    <w:p w:rsidR="00AC73D6" w:rsidRPr="000C1102" w:rsidRDefault="00AC73D6" w:rsidP="00866887">
      <w:pPr>
        <w:spacing w:line="360" w:lineRule="auto"/>
        <w:ind w:firstLineChars="250" w:firstLine="600"/>
        <w:rPr>
          <w:rFonts w:ascii="Book Antiqua" w:hAnsi="Book Antiqua"/>
          <w:sz w:val="24"/>
          <w:szCs w:val="24"/>
        </w:rPr>
      </w:pPr>
      <w:r w:rsidRPr="000C1102">
        <w:rPr>
          <w:rFonts w:ascii="Book Antiqua" w:hAnsi="Book Antiqua"/>
          <w:sz w:val="24"/>
          <w:szCs w:val="24"/>
        </w:rPr>
        <w:t xml:space="preserve">The present comprehensive meta-analysis demonstrated an association between rs1800871 and rs1800872 polymorphisms and IBS risk, and that the rs1800872 polymorphism conferred susceptibility to IBS. In addition, although </w:t>
      </w:r>
      <w:proofErr w:type="spellStart"/>
      <w:r w:rsidRPr="000C1102">
        <w:rPr>
          <w:rFonts w:ascii="Book Antiqua" w:hAnsi="Book Antiqua"/>
          <w:sz w:val="24"/>
          <w:szCs w:val="24"/>
        </w:rPr>
        <w:t>Bashashati</w:t>
      </w:r>
      <w:proofErr w:type="spellEnd"/>
      <w:r w:rsidRPr="000C1102">
        <w:rPr>
          <w:rFonts w:ascii="Book Antiqua" w:hAnsi="Book Antiqua"/>
          <w:sz w:val="24"/>
          <w:szCs w:val="24"/>
        </w:rPr>
        <w:t xml:space="preserve"> </w:t>
      </w:r>
      <w:r w:rsidRPr="000C1102">
        <w:rPr>
          <w:rFonts w:ascii="Book Antiqua" w:hAnsi="Book Antiqua"/>
          <w:i/>
          <w:sz w:val="24"/>
          <w:szCs w:val="24"/>
        </w:rPr>
        <w:t xml:space="preserve">et </w:t>
      </w:r>
      <w:proofErr w:type="gramStart"/>
      <w:r w:rsidRPr="000C1102">
        <w:rPr>
          <w:rFonts w:ascii="Book Antiqua" w:hAnsi="Book Antiqua"/>
          <w:i/>
          <w:sz w:val="24"/>
          <w:szCs w:val="24"/>
        </w:rPr>
        <w:t>al</w:t>
      </w:r>
      <w:r w:rsidRPr="000C1102">
        <w:rPr>
          <w:rFonts w:ascii="Book Antiqua" w:hAnsi="Book Antiqua"/>
          <w:sz w:val="24"/>
          <w:szCs w:val="24"/>
          <w:vertAlign w:val="superscript"/>
        </w:rPr>
        <w:t>[</w:t>
      </w:r>
      <w:proofErr w:type="gramEnd"/>
      <w:r w:rsidRPr="000C1102">
        <w:rPr>
          <w:rFonts w:ascii="Book Antiqua" w:hAnsi="Book Antiqua"/>
          <w:sz w:val="24"/>
          <w:szCs w:val="24"/>
          <w:vertAlign w:val="superscript"/>
        </w:rPr>
        <w:t>37]</w:t>
      </w:r>
      <w:r w:rsidRPr="000C1102">
        <w:rPr>
          <w:rFonts w:ascii="Book Antiqua" w:hAnsi="Book Antiqua"/>
          <w:sz w:val="24"/>
          <w:szCs w:val="24"/>
        </w:rPr>
        <w:t xml:space="preserve"> reported a meta-analysis demonstrating that rs1800870 conferred susceptibility to IBS, we expanded this finding to show that this association existed in Caucasians but not in Asians, which had not been previously reported. The present study also involved a sensitivity analysis demonstrating that the distribution of controls deviated from the HWE, guaranteeing the reliability of the results. The </w:t>
      </w:r>
      <w:proofErr w:type="spellStart"/>
      <w:r w:rsidRPr="000C1102">
        <w:rPr>
          <w:rFonts w:ascii="Book Antiqua" w:hAnsi="Book Antiqua"/>
          <w:sz w:val="24"/>
          <w:szCs w:val="24"/>
        </w:rPr>
        <w:t>Begg’s</w:t>
      </w:r>
      <w:proofErr w:type="spellEnd"/>
      <w:r w:rsidRPr="000C1102">
        <w:rPr>
          <w:rFonts w:ascii="Book Antiqua" w:hAnsi="Book Antiqua"/>
          <w:sz w:val="24"/>
          <w:szCs w:val="24"/>
        </w:rPr>
        <w:t xml:space="preserve"> and Egger’s test results did not show a significant publication bias in the eligible as well as the non-English studies, which also attests to the robustness of the results.</w:t>
      </w:r>
    </w:p>
    <w:p w:rsidR="00AC73D6" w:rsidRPr="000C1102" w:rsidRDefault="00AC73D6" w:rsidP="00866887">
      <w:pPr>
        <w:spacing w:line="360" w:lineRule="auto"/>
        <w:ind w:firstLineChars="300" w:firstLine="720"/>
        <w:rPr>
          <w:rFonts w:ascii="Book Antiqua" w:hAnsi="Book Antiqua"/>
          <w:sz w:val="24"/>
          <w:szCs w:val="24"/>
        </w:rPr>
      </w:pPr>
      <w:r w:rsidRPr="000C1102">
        <w:rPr>
          <w:rFonts w:ascii="Book Antiqua" w:hAnsi="Book Antiqua"/>
          <w:sz w:val="24"/>
          <w:szCs w:val="24"/>
        </w:rPr>
        <w:t>Some limitations to this meta-analysis require careful consideration. First, because only limited data were available, we did not analyze the association between IL-10 polymorphisms and different types of IBS, e.g., diarrhea or constipation. Thus, the associations between different types of IBS require further investigation. Second, other factors such as genetic and environmental factors, which also may affect susceptibility to IBS, were not adjusted in the present studies. Hence, a well-designed study is warranted to account for potential confounders and</w:t>
      </w:r>
      <w:r w:rsidRPr="000C1102">
        <w:rPr>
          <w:rStyle w:val="webdict"/>
          <w:rFonts w:ascii="Book Antiqua" w:hAnsi="Book Antiqua"/>
          <w:sz w:val="24"/>
          <w:szCs w:val="24"/>
        </w:rPr>
        <w:t xml:space="preserve"> to </w:t>
      </w:r>
      <w:r w:rsidRPr="000C1102">
        <w:rPr>
          <w:rFonts w:ascii="Book Antiqua" w:hAnsi="Book Antiqua"/>
          <w:sz w:val="24"/>
          <w:szCs w:val="24"/>
        </w:rPr>
        <w:t xml:space="preserve">provide a more precise association. Third, also because of the limited number of available studies, the subgroup analysis of rs1800872 involved comparatively few studies; thus, its association with IBS needs to be confirmed by a study involving a larger number of subjects. </w:t>
      </w:r>
    </w:p>
    <w:p w:rsidR="00AC73D6" w:rsidRDefault="00AC73D6" w:rsidP="00FA04D6">
      <w:pPr>
        <w:spacing w:line="360" w:lineRule="auto"/>
        <w:ind w:firstLineChars="250" w:firstLine="600"/>
        <w:rPr>
          <w:rFonts w:ascii="Book Antiqua" w:hAnsi="Book Antiqua"/>
          <w:sz w:val="24"/>
          <w:szCs w:val="24"/>
        </w:rPr>
      </w:pPr>
      <w:r w:rsidRPr="000C1102">
        <w:rPr>
          <w:rFonts w:ascii="Book Antiqua" w:hAnsi="Book Antiqua"/>
          <w:sz w:val="24"/>
          <w:szCs w:val="24"/>
        </w:rPr>
        <w:t xml:space="preserve">In conclusion, the present meta-analysis suggests that the rs1800870 polymorphism of IL-10 may represent an increased risk of IBS in Caucasians, but not in Asians. Similarly, rs1800872 polymorphisms may represent an increased risk of IBS in Asians, but future studies are necessary to reinforce these findings. The present study failed to find an association between rs1800871 and IBS risk, </w:t>
      </w:r>
      <w:r w:rsidRPr="000C1102">
        <w:rPr>
          <w:rFonts w:ascii="Book Antiqua" w:hAnsi="Book Antiqua"/>
          <w:sz w:val="24"/>
          <w:szCs w:val="24"/>
        </w:rPr>
        <w:lastRenderedPageBreak/>
        <w:t xml:space="preserve">regardless of ethnicity. </w:t>
      </w:r>
    </w:p>
    <w:p w:rsidR="00AC73D6" w:rsidRDefault="00AC73D6" w:rsidP="00FA04D6">
      <w:pPr>
        <w:spacing w:line="360" w:lineRule="auto"/>
        <w:rPr>
          <w:rFonts w:ascii="Book Antiqua" w:hAnsi="Book Antiqua"/>
          <w:sz w:val="24"/>
          <w:szCs w:val="24"/>
        </w:rPr>
      </w:pPr>
    </w:p>
    <w:p w:rsidR="00AC73D6" w:rsidRPr="000C1102" w:rsidRDefault="00AC73D6" w:rsidP="00FA04D6">
      <w:pPr>
        <w:spacing w:line="360" w:lineRule="auto"/>
        <w:rPr>
          <w:rFonts w:ascii="Book Antiqua" w:hAnsi="Book Antiqua"/>
          <w:b/>
          <w:sz w:val="24"/>
          <w:szCs w:val="24"/>
        </w:rPr>
      </w:pPr>
      <w:r w:rsidRPr="000C1102">
        <w:rPr>
          <w:rFonts w:ascii="Book Antiqua" w:hAnsi="Book Antiqua"/>
          <w:b/>
          <w:sz w:val="24"/>
          <w:szCs w:val="24"/>
        </w:rPr>
        <w:t>COMMENTS</w:t>
      </w:r>
    </w:p>
    <w:p w:rsidR="00AC73D6" w:rsidRPr="000C1102" w:rsidRDefault="00AC73D6" w:rsidP="00866887">
      <w:pPr>
        <w:spacing w:line="360" w:lineRule="auto"/>
        <w:rPr>
          <w:rFonts w:ascii="Book Antiqua" w:hAnsi="Book Antiqua"/>
          <w:b/>
          <w:i/>
          <w:sz w:val="24"/>
          <w:szCs w:val="24"/>
        </w:rPr>
      </w:pPr>
      <w:r w:rsidRPr="000C1102">
        <w:rPr>
          <w:rFonts w:ascii="Book Antiqua" w:hAnsi="Book Antiqua"/>
          <w:b/>
          <w:i/>
          <w:sz w:val="24"/>
          <w:szCs w:val="24"/>
        </w:rPr>
        <w:t>Background</w:t>
      </w: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Cytokines are important modulators in the immune responses and inflammatory reaction, which play a central role in intestinal inflammation.</w:t>
      </w: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b/>
          <w:i/>
          <w:sz w:val="24"/>
          <w:szCs w:val="24"/>
        </w:rPr>
      </w:pPr>
      <w:r w:rsidRPr="000C1102">
        <w:rPr>
          <w:rFonts w:ascii="Book Antiqua" w:hAnsi="Book Antiqua"/>
          <w:b/>
          <w:i/>
          <w:sz w:val="24"/>
          <w:szCs w:val="24"/>
        </w:rPr>
        <w:t>Research frontiers</w:t>
      </w: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Interleukin-10 (IL-10) polymorphisms have been identified as a biomarker causally associated with occurrence of irritable bowel syndrome (IBS) and receives extensive interest. However, its relationship with IBS remains obscure.</w:t>
      </w: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b/>
          <w:i/>
          <w:sz w:val="24"/>
          <w:szCs w:val="24"/>
        </w:rPr>
      </w:pPr>
      <w:r w:rsidRPr="000C1102">
        <w:rPr>
          <w:rFonts w:ascii="Book Antiqua" w:hAnsi="Book Antiqua"/>
          <w:b/>
          <w:i/>
          <w:sz w:val="24"/>
          <w:szCs w:val="24"/>
        </w:rPr>
        <w:t>Innovations and breakthroughs</w:t>
      </w: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This is the first paper conducting a comprehensive meta-analysis to investigate the association between IL-10 polymorphisms with IBS risk. The authors showed that IL-10 rs1800870 is associated with IBS risk in Caucasian ethnicity, and rs1800872 associate with IBS risk in Asians.</w:t>
      </w: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b/>
          <w:i/>
          <w:sz w:val="24"/>
          <w:szCs w:val="24"/>
        </w:rPr>
      </w:pPr>
      <w:r w:rsidRPr="000C1102">
        <w:rPr>
          <w:rFonts w:ascii="Book Antiqua" w:hAnsi="Book Antiqua"/>
          <w:b/>
          <w:i/>
          <w:sz w:val="24"/>
          <w:szCs w:val="24"/>
        </w:rPr>
        <w:t xml:space="preserve">Applications </w:t>
      </w: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This study furthers the understanding of the association of IL-10 polymorphisms and IBS risk. </w:t>
      </w: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b/>
          <w:i/>
          <w:sz w:val="24"/>
          <w:szCs w:val="24"/>
        </w:rPr>
      </w:pPr>
      <w:r w:rsidRPr="000C1102">
        <w:rPr>
          <w:rFonts w:ascii="Book Antiqua" w:hAnsi="Book Antiqua"/>
          <w:b/>
          <w:i/>
          <w:sz w:val="24"/>
          <w:szCs w:val="24"/>
        </w:rPr>
        <w:t>Peer review</w:t>
      </w:r>
    </w:p>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The study deals with the important topic related to the association between single nucleotide polymorphisms of genes coding for inflammation-linked factors with pathogenesis of chronic inflammatory diseases such as IBS.</w:t>
      </w:r>
    </w:p>
    <w:p w:rsidR="00AC73D6" w:rsidRPr="000C1102" w:rsidRDefault="00AC73D6" w:rsidP="0073406C">
      <w:pPr>
        <w:autoSpaceDE w:val="0"/>
        <w:autoSpaceDN w:val="0"/>
        <w:adjustRightInd w:val="0"/>
        <w:snapToGrid w:val="0"/>
        <w:spacing w:line="360" w:lineRule="auto"/>
        <w:rPr>
          <w:rFonts w:ascii="Book Antiqua" w:hAnsi="Book Antiqua"/>
          <w:b/>
          <w:caps/>
          <w:sz w:val="24"/>
          <w:szCs w:val="24"/>
        </w:rPr>
      </w:pPr>
      <w:bookmarkStart w:id="33" w:name="OLE_LINK902"/>
      <w:bookmarkStart w:id="34" w:name="OLE_LINK903"/>
      <w:bookmarkStart w:id="35" w:name="OLE_LINK904"/>
      <w:bookmarkStart w:id="36" w:name="OLE_LINK905"/>
      <w:bookmarkStart w:id="37" w:name="OLE_LINK1827"/>
      <w:bookmarkStart w:id="38" w:name="OLE_LINK1828"/>
      <w:bookmarkStart w:id="39" w:name="OLE_LINK1829"/>
      <w:bookmarkStart w:id="40" w:name="OLE_LINK2351"/>
      <w:bookmarkStart w:id="41" w:name="OLE_LINK2353"/>
      <w:bookmarkStart w:id="42" w:name="OLE_LINK2354"/>
      <w:bookmarkStart w:id="43" w:name="OLE_LINK2355"/>
      <w:r w:rsidRPr="000C1102">
        <w:rPr>
          <w:rFonts w:ascii="Book Antiqua" w:hAnsi="Book Antiqua"/>
          <w:b/>
          <w:bCs/>
          <w:sz w:val="24"/>
          <w:szCs w:val="24"/>
        </w:rPr>
        <w:br w:type="page"/>
      </w:r>
      <w:bookmarkEnd w:id="33"/>
      <w:bookmarkEnd w:id="34"/>
      <w:bookmarkEnd w:id="35"/>
      <w:bookmarkEnd w:id="36"/>
      <w:bookmarkEnd w:id="37"/>
      <w:bookmarkEnd w:id="38"/>
      <w:bookmarkEnd w:id="39"/>
      <w:bookmarkEnd w:id="40"/>
      <w:bookmarkEnd w:id="41"/>
      <w:bookmarkEnd w:id="42"/>
      <w:bookmarkEnd w:id="43"/>
      <w:r w:rsidRPr="000C1102">
        <w:rPr>
          <w:rFonts w:ascii="Book Antiqua" w:hAnsi="Book Antiqua"/>
          <w:b/>
          <w:caps/>
          <w:sz w:val="24"/>
          <w:szCs w:val="24"/>
        </w:rPr>
        <w:lastRenderedPageBreak/>
        <w:t xml:space="preserve">References </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1</w:t>
      </w:r>
      <w:r w:rsidRPr="000C1102">
        <w:rPr>
          <w:rFonts w:ascii="Book Antiqua" w:hAnsi="Book Antiqua" w:cs="宋体"/>
          <w:kern w:val="0"/>
          <w:sz w:val="24"/>
          <w:szCs w:val="24"/>
        </w:rPr>
        <w:t> </w:t>
      </w:r>
      <w:r w:rsidRPr="00F5231A">
        <w:rPr>
          <w:rFonts w:ascii="Book Antiqua" w:hAnsi="Book Antiqua" w:cs="宋体"/>
          <w:b/>
          <w:bCs/>
          <w:kern w:val="0"/>
          <w:sz w:val="24"/>
          <w:szCs w:val="24"/>
        </w:rPr>
        <w:t>Der T</w:t>
      </w:r>
      <w:r w:rsidRPr="00F5231A">
        <w:rPr>
          <w:rFonts w:ascii="Book Antiqua" w:hAnsi="Book Antiqua" w:cs="宋体"/>
          <w:kern w:val="0"/>
          <w:sz w:val="24"/>
          <w:szCs w:val="24"/>
        </w:rPr>
        <w:t xml:space="preserve">, </w:t>
      </w:r>
      <w:proofErr w:type="spellStart"/>
      <w:r w:rsidRPr="00F5231A">
        <w:rPr>
          <w:rFonts w:ascii="Book Antiqua" w:hAnsi="Book Antiqua" w:cs="宋体"/>
          <w:kern w:val="0"/>
          <w:sz w:val="24"/>
          <w:szCs w:val="24"/>
        </w:rPr>
        <w:t>Bercik</w:t>
      </w:r>
      <w:proofErr w:type="spellEnd"/>
      <w:r w:rsidRPr="00F5231A">
        <w:rPr>
          <w:rFonts w:ascii="Book Antiqua" w:hAnsi="Book Antiqua" w:cs="宋体"/>
          <w:kern w:val="0"/>
          <w:sz w:val="24"/>
          <w:szCs w:val="24"/>
        </w:rPr>
        <w:t xml:space="preserve"> P, Donnelly G, Jackson T, </w:t>
      </w:r>
      <w:proofErr w:type="spellStart"/>
      <w:r w:rsidRPr="00F5231A">
        <w:rPr>
          <w:rFonts w:ascii="Book Antiqua" w:hAnsi="Book Antiqua" w:cs="宋体"/>
          <w:kern w:val="0"/>
          <w:sz w:val="24"/>
          <w:szCs w:val="24"/>
        </w:rPr>
        <w:t>Berezin</w:t>
      </w:r>
      <w:proofErr w:type="spellEnd"/>
      <w:r w:rsidRPr="00F5231A">
        <w:rPr>
          <w:rFonts w:ascii="Book Antiqua" w:hAnsi="Book Antiqua" w:cs="宋体"/>
          <w:kern w:val="0"/>
          <w:sz w:val="24"/>
          <w:szCs w:val="24"/>
        </w:rPr>
        <w:t xml:space="preserve"> I, Collins SM, Huizinga JD. Interstitial cells of </w:t>
      </w:r>
      <w:proofErr w:type="spellStart"/>
      <w:r w:rsidRPr="00F5231A">
        <w:rPr>
          <w:rFonts w:ascii="Book Antiqua" w:hAnsi="Book Antiqua" w:cs="宋体"/>
          <w:kern w:val="0"/>
          <w:sz w:val="24"/>
          <w:szCs w:val="24"/>
        </w:rPr>
        <w:t>cajal</w:t>
      </w:r>
      <w:proofErr w:type="spellEnd"/>
      <w:r w:rsidRPr="00F5231A">
        <w:rPr>
          <w:rFonts w:ascii="Book Antiqua" w:hAnsi="Book Antiqua" w:cs="宋体"/>
          <w:kern w:val="0"/>
          <w:sz w:val="24"/>
          <w:szCs w:val="24"/>
        </w:rPr>
        <w:t xml:space="preserve"> and inflammation-induced motor dysfunction in the mouse small intestine.</w:t>
      </w:r>
      <w:r w:rsidRPr="000C1102">
        <w:rPr>
          <w:rFonts w:ascii="Book Antiqua" w:hAnsi="Book Antiqua" w:cs="宋体"/>
          <w:kern w:val="0"/>
          <w:sz w:val="24"/>
          <w:szCs w:val="24"/>
        </w:rPr>
        <w:t> </w:t>
      </w:r>
      <w:r w:rsidRPr="00F5231A">
        <w:rPr>
          <w:rFonts w:ascii="Book Antiqua" w:hAnsi="Book Antiqua" w:cs="宋体"/>
          <w:i/>
          <w:iCs/>
          <w:kern w:val="0"/>
          <w:sz w:val="24"/>
          <w:szCs w:val="24"/>
        </w:rPr>
        <w:t>Gastroenterology</w:t>
      </w:r>
      <w:r w:rsidRPr="000C1102">
        <w:rPr>
          <w:rFonts w:ascii="Book Antiqua" w:hAnsi="Book Antiqua" w:cs="宋体"/>
          <w:kern w:val="0"/>
          <w:sz w:val="24"/>
          <w:szCs w:val="24"/>
        </w:rPr>
        <w:t> </w:t>
      </w:r>
      <w:r w:rsidRPr="00F5231A">
        <w:rPr>
          <w:rFonts w:ascii="Book Antiqua" w:hAnsi="Book Antiqua" w:cs="宋体"/>
          <w:kern w:val="0"/>
          <w:sz w:val="24"/>
          <w:szCs w:val="24"/>
        </w:rPr>
        <w:t>2000;</w:t>
      </w:r>
      <w:r w:rsidRPr="000C1102">
        <w:rPr>
          <w:rFonts w:ascii="Book Antiqua" w:hAnsi="Book Antiqua" w:cs="宋体"/>
          <w:kern w:val="0"/>
          <w:sz w:val="24"/>
          <w:szCs w:val="24"/>
        </w:rPr>
        <w:t> </w:t>
      </w:r>
      <w:r w:rsidRPr="00F5231A">
        <w:rPr>
          <w:rFonts w:ascii="Book Antiqua" w:hAnsi="Book Antiqua" w:cs="宋体"/>
          <w:b/>
          <w:bCs/>
          <w:kern w:val="0"/>
          <w:sz w:val="24"/>
          <w:szCs w:val="24"/>
        </w:rPr>
        <w:t>119</w:t>
      </w:r>
      <w:r w:rsidRPr="00F5231A">
        <w:rPr>
          <w:rFonts w:ascii="Book Antiqua" w:hAnsi="Book Antiqua" w:cs="宋体"/>
          <w:kern w:val="0"/>
          <w:sz w:val="24"/>
          <w:szCs w:val="24"/>
        </w:rPr>
        <w:t>: 1590-1599 [PMID: 11113080 DOI: S0016508500634224]</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2</w:t>
      </w:r>
      <w:r w:rsidRPr="000C1102">
        <w:rPr>
          <w:rFonts w:ascii="Book Antiqua" w:hAnsi="Book Antiqua" w:cs="宋体"/>
          <w:kern w:val="0"/>
          <w:sz w:val="24"/>
          <w:szCs w:val="24"/>
        </w:rPr>
        <w:t> </w:t>
      </w:r>
      <w:proofErr w:type="spellStart"/>
      <w:r w:rsidRPr="00F5231A">
        <w:rPr>
          <w:rFonts w:ascii="Book Antiqua" w:hAnsi="Book Antiqua" w:cs="宋体"/>
          <w:b/>
          <w:bCs/>
          <w:kern w:val="0"/>
          <w:sz w:val="24"/>
          <w:szCs w:val="24"/>
        </w:rPr>
        <w:t>Vallance</w:t>
      </w:r>
      <w:proofErr w:type="spellEnd"/>
      <w:r w:rsidRPr="00F5231A">
        <w:rPr>
          <w:rFonts w:ascii="Book Antiqua" w:hAnsi="Book Antiqua" w:cs="宋体"/>
          <w:b/>
          <w:bCs/>
          <w:kern w:val="0"/>
          <w:sz w:val="24"/>
          <w:szCs w:val="24"/>
        </w:rPr>
        <w:t xml:space="preserve"> BA</w:t>
      </w:r>
      <w:r w:rsidRPr="00F5231A">
        <w:rPr>
          <w:rFonts w:ascii="Book Antiqua" w:hAnsi="Book Antiqua" w:cs="宋体"/>
          <w:kern w:val="0"/>
          <w:sz w:val="24"/>
          <w:szCs w:val="24"/>
        </w:rPr>
        <w:t xml:space="preserve">, </w:t>
      </w:r>
      <w:proofErr w:type="spellStart"/>
      <w:r w:rsidRPr="00F5231A">
        <w:rPr>
          <w:rFonts w:ascii="Book Antiqua" w:hAnsi="Book Antiqua" w:cs="宋体"/>
          <w:kern w:val="0"/>
          <w:sz w:val="24"/>
          <w:szCs w:val="24"/>
        </w:rPr>
        <w:t>Galeazzi</w:t>
      </w:r>
      <w:proofErr w:type="spellEnd"/>
      <w:r w:rsidRPr="00F5231A">
        <w:rPr>
          <w:rFonts w:ascii="Book Antiqua" w:hAnsi="Book Antiqua" w:cs="宋体"/>
          <w:kern w:val="0"/>
          <w:sz w:val="24"/>
          <w:szCs w:val="24"/>
        </w:rPr>
        <w:t xml:space="preserve"> F, Collins SM, Snider DP. CD4 T cells and major histocompatibility complex class II expression influence worm expulsion and increased intestinal muscle contraction during </w:t>
      </w:r>
      <w:proofErr w:type="spellStart"/>
      <w:r w:rsidRPr="00F5231A">
        <w:rPr>
          <w:rFonts w:ascii="Book Antiqua" w:hAnsi="Book Antiqua" w:cs="宋体"/>
          <w:kern w:val="0"/>
          <w:sz w:val="24"/>
          <w:szCs w:val="24"/>
        </w:rPr>
        <w:t>Trichinella</w:t>
      </w:r>
      <w:proofErr w:type="spellEnd"/>
      <w:r w:rsidRPr="00F5231A">
        <w:rPr>
          <w:rFonts w:ascii="Book Antiqua" w:hAnsi="Book Antiqua" w:cs="宋体"/>
          <w:kern w:val="0"/>
          <w:sz w:val="24"/>
          <w:szCs w:val="24"/>
        </w:rPr>
        <w:t xml:space="preserve"> </w:t>
      </w:r>
      <w:proofErr w:type="spellStart"/>
      <w:r w:rsidRPr="00F5231A">
        <w:rPr>
          <w:rFonts w:ascii="Book Antiqua" w:hAnsi="Book Antiqua" w:cs="宋体"/>
          <w:kern w:val="0"/>
          <w:sz w:val="24"/>
          <w:szCs w:val="24"/>
        </w:rPr>
        <w:t>spiralis</w:t>
      </w:r>
      <w:proofErr w:type="spellEnd"/>
      <w:r w:rsidRPr="00F5231A">
        <w:rPr>
          <w:rFonts w:ascii="Book Antiqua" w:hAnsi="Book Antiqua" w:cs="宋体"/>
          <w:kern w:val="0"/>
          <w:sz w:val="24"/>
          <w:szCs w:val="24"/>
        </w:rPr>
        <w:t xml:space="preserve"> infection.</w:t>
      </w:r>
      <w:r w:rsidRPr="000C1102">
        <w:rPr>
          <w:rFonts w:ascii="Book Antiqua" w:hAnsi="Book Antiqua" w:cs="宋体"/>
          <w:kern w:val="0"/>
          <w:sz w:val="24"/>
          <w:szCs w:val="24"/>
        </w:rPr>
        <w:t> </w:t>
      </w:r>
      <w:r w:rsidRPr="00F5231A">
        <w:rPr>
          <w:rFonts w:ascii="Book Antiqua" w:hAnsi="Book Antiqua" w:cs="宋体"/>
          <w:i/>
          <w:iCs/>
          <w:kern w:val="0"/>
          <w:sz w:val="24"/>
          <w:szCs w:val="24"/>
        </w:rPr>
        <w:t xml:space="preserve">Infect </w:t>
      </w:r>
      <w:proofErr w:type="spellStart"/>
      <w:r w:rsidRPr="00F5231A">
        <w:rPr>
          <w:rFonts w:ascii="Book Antiqua" w:hAnsi="Book Antiqua" w:cs="宋体"/>
          <w:i/>
          <w:iCs/>
          <w:kern w:val="0"/>
          <w:sz w:val="24"/>
          <w:szCs w:val="24"/>
        </w:rPr>
        <w:t>Immun</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1999;</w:t>
      </w:r>
      <w:r w:rsidRPr="000C1102">
        <w:rPr>
          <w:rFonts w:ascii="Book Antiqua" w:hAnsi="Book Antiqua" w:cs="宋体"/>
          <w:kern w:val="0"/>
          <w:sz w:val="24"/>
          <w:szCs w:val="24"/>
        </w:rPr>
        <w:t> </w:t>
      </w:r>
      <w:r w:rsidRPr="00F5231A">
        <w:rPr>
          <w:rFonts w:ascii="Book Antiqua" w:hAnsi="Book Antiqua" w:cs="宋体"/>
          <w:b/>
          <w:bCs/>
          <w:kern w:val="0"/>
          <w:sz w:val="24"/>
          <w:szCs w:val="24"/>
        </w:rPr>
        <w:t>67</w:t>
      </w:r>
      <w:r w:rsidRPr="00F5231A">
        <w:rPr>
          <w:rFonts w:ascii="Book Antiqua" w:hAnsi="Book Antiqua" w:cs="宋体"/>
          <w:kern w:val="0"/>
          <w:sz w:val="24"/>
          <w:szCs w:val="24"/>
        </w:rPr>
        <w:t>: 6090-6097 [PMID: 10531271]</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3</w:t>
      </w:r>
      <w:r w:rsidRPr="000C1102">
        <w:rPr>
          <w:rFonts w:ascii="Book Antiqua" w:hAnsi="Book Antiqua" w:cs="宋体"/>
          <w:kern w:val="0"/>
          <w:sz w:val="24"/>
          <w:szCs w:val="24"/>
        </w:rPr>
        <w:t> </w:t>
      </w:r>
      <w:proofErr w:type="spellStart"/>
      <w:r w:rsidRPr="00F5231A">
        <w:rPr>
          <w:rFonts w:ascii="Book Antiqua" w:hAnsi="Book Antiqua" w:cs="宋体"/>
          <w:b/>
          <w:bCs/>
          <w:kern w:val="0"/>
          <w:sz w:val="24"/>
          <w:szCs w:val="24"/>
        </w:rPr>
        <w:t>Galeazzi</w:t>
      </w:r>
      <w:proofErr w:type="spellEnd"/>
      <w:r w:rsidRPr="00F5231A">
        <w:rPr>
          <w:rFonts w:ascii="Book Antiqua" w:hAnsi="Book Antiqua" w:cs="宋体"/>
          <w:b/>
          <w:bCs/>
          <w:kern w:val="0"/>
          <w:sz w:val="24"/>
          <w:szCs w:val="24"/>
        </w:rPr>
        <w:t xml:space="preserve"> F</w:t>
      </w:r>
      <w:r w:rsidRPr="00F5231A">
        <w:rPr>
          <w:rFonts w:ascii="Book Antiqua" w:hAnsi="Book Antiqua" w:cs="宋体"/>
          <w:kern w:val="0"/>
          <w:sz w:val="24"/>
          <w:szCs w:val="24"/>
        </w:rPr>
        <w:t xml:space="preserve">, </w:t>
      </w:r>
      <w:proofErr w:type="spellStart"/>
      <w:r w:rsidRPr="00F5231A">
        <w:rPr>
          <w:rFonts w:ascii="Book Antiqua" w:hAnsi="Book Antiqua" w:cs="宋体"/>
          <w:kern w:val="0"/>
          <w:sz w:val="24"/>
          <w:szCs w:val="24"/>
        </w:rPr>
        <w:t>Haapala</w:t>
      </w:r>
      <w:proofErr w:type="spellEnd"/>
      <w:r w:rsidRPr="00F5231A">
        <w:rPr>
          <w:rFonts w:ascii="Book Antiqua" w:hAnsi="Book Antiqua" w:cs="宋体"/>
          <w:kern w:val="0"/>
          <w:sz w:val="24"/>
          <w:szCs w:val="24"/>
        </w:rPr>
        <w:t xml:space="preserve"> EM, van </w:t>
      </w:r>
      <w:proofErr w:type="spellStart"/>
      <w:r w:rsidRPr="00F5231A">
        <w:rPr>
          <w:rFonts w:ascii="Book Antiqua" w:hAnsi="Book Antiqua" w:cs="宋体"/>
          <w:kern w:val="0"/>
          <w:sz w:val="24"/>
          <w:szCs w:val="24"/>
        </w:rPr>
        <w:t>Rooijen</w:t>
      </w:r>
      <w:proofErr w:type="spellEnd"/>
      <w:r w:rsidRPr="00F5231A">
        <w:rPr>
          <w:rFonts w:ascii="Book Antiqua" w:hAnsi="Book Antiqua" w:cs="宋体"/>
          <w:kern w:val="0"/>
          <w:sz w:val="24"/>
          <w:szCs w:val="24"/>
        </w:rPr>
        <w:t xml:space="preserve"> N, </w:t>
      </w:r>
      <w:proofErr w:type="spellStart"/>
      <w:r w:rsidRPr="00F5231A">
        <w:rPr>
          <w:rFonts w:ascii="Book Antiqua" w:hAnsi="Book Antiqua" w:cs="宋体"/>
          <w:kern w:val="0"/>
          <w:sz w:val="24"/>
          <w:szCs w:val="24"/>
        </w:rPr>
        <w:t>Vallance</w:t>
      </w:r>
      <w:proofErr w:type="spellEnd"/>
      <w:r w:rsidRPr="00F5231A">
        <w:rPr>
          <w:rFonts w:ascii="Book Antiqua" w:hAnsi="Book Antiqua" w:cs="宋体"/>
          <w:kern w:val="0"/>
          <w:sz w:val="24"/>
          <w:szCs w:val="24"/>
        </w:rPr>
        <w:t xml:space="preserve"> BA, Collins SM. Inflammation-induced impairment of enteric nerve function in nematode-infected mice is macrophage dependent.</w:t>
      </w:r>
      <w:r w:rsidRPr="000C1102">
        <w:rPr>
          <w:rFonts w:ascii="Book Antiqua" w:hAnsi="Book Antiqua" w:cs="宋体"/>
          <w:kern w:val="0"/>
          <w:sz w:val="24"/>
          <w:szCs w:val="24"/>
        </w:rPr>
        <w:t> </w:t>
      </w:r>
      <w:r w:rsidRPr="00F5231A">
        <w:rPr>
          <w:rFonts w:ascii="Book Antiqua" w:hAnsi="Book Antiqua" w:cs="宋体"/>
          <w:i/>
          <w:iCs/>
          <w:kern w:val="0"/>
          <w:sz w:val="24"/>
          <w:szCs w:val="24"/>
        </w:rPr>
        <w:t xml:space="preserve">Am J </w:t>
      </w:r>
      <w:proofErr w:type="spellStart"/>
      <w:r w:rsidRPr="00F5231A">
        <w:rPr>
          <w:rFonts w:ascii="Book Antiqua" w:hAnsi="Book Antiqua" w:cs="宋体"/>
          <w:i/>
          <w:iCs/>
          <w:kern w:val="0"/>
          <w:sz w:val="24"/>
          <w:szCs w:val="24"/>
        </w:rPr>
        <w:t>Physiol</w:t>
      </w:r>
      <w:proofErr w:type="spellEnd"/>
      <w:r w:rsidRPr="00F5231A">
        <w:rPr>
          <w:rFonts w:ascii="Book Antiqua" w:hAnsi="Book Antiqua" w:cs="宋体"/>
          <w:i/>
          <w:iCs/>
          <w:kern w:val="0"/>
          <w:sz w:val="24"/>
          <w:szCs w:val="24"/>
        </w:rPr>
        <w:t xml:space="preserve"> </w:t>
      </w:r>
      <w:proofErr w:type="spellStart"/>
      <w:r w:rsidRPr="00F5231A">
        <w:rPr>
          <w:rFonts w:ascii="Book Antiqua" w:hAnsi="Book Antiqua" w:cs="宋体"/>
          <w:i/>
          <w:iCs/>
          <w:kern w:val="0"/>
          <w:sz w:val="24"/>
          <w:szCs w:val="24"/>
        </w:rPr>
        <w:t>Gastrointest</w:t>
      </w:r>
      <w:proofErr w:type="spellEnd"/>
      <w:r w:rsidRPr="00F5231A">
        <w:rPr>
          <w:rFonts w:ascii="Book Antiqua" w:hAnsi="Book Antiqua" w:cs="宋体"/>
          <w:i/>
          <w:iCs/>
          <w:kern w:val="0"/>
          <w:sz w:val="24"/>
          <w:szCs w:val="24"/>
        </w:rPr>
        <w:t xml:space="preserve"> Liver </w:t>
      </w:r>
      <w:proofErr w:type="spellStart"/>
      <w:r w:rsidRPr="00F5231A">
        <w:rPr>
          <w:rFonts w:ascii="Book Antiqua" w:hAnsi="Book Antiqua" w:cs="宋体"/>
          <w:i/>
          <w:iCs/>
          <w:kern w:val="0"/>
          <w:sz w:val="24"/>
          <w:szCs w:val="24"/>
        </w:rPr>
        <w:t>Physiol</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2000;</w:t>
      </w:r>
      <w:r w:rsidRPr="000C1102">
        <w:rPr>
          <w:rFonts w:ascii="Book Antiqua" w:hAnsi="Book Antiqua" w:cs="宋体"/>
          <w:kern w:val="0"/>
          <w:sz w:val="24"/>
          <w:szCs w:val="24"/>
        </w:rPr>
        <w:t> </w:t>
      </w:r>
      <w:r w:rsidRPr="00F5231A">
        <w:rPr>
          <w:rFonts w:ascii="Book Antiqua" w:hAnsi="Book Antiqua" w:cs="宋体"/>
          <w:b/>
          <w:bCs/>
          <w:kern w:val="0"/>
          <w:sz w:val="24"/>
          <w:szCs w:val="24"/>
        </w:rPr>
        <w:t>278</w:t>
      </w:r>
      <w:r w:rsidRPr="00F5231A">
        <w:rPr>
          <w:rFonts w:ascii="Book Antiqua" w:hAnsi="Book Antiqua" w:cs="宋体"/>
          <w:kern w:val="0"/>
          <w:sz w:val="24"/>
          <w:szCs w:val="24"/>
        </w:rPr>
        <w:t>: G259-G265 [PMID: 10666050]</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4</w:t>
      </w:r>
      <w:r w:rsidRPr="000C1102">
        <w:rPr>
          <w:rFonts w:ascii="Book Antiqua" w:hAnsi="Book Antiqua" w:cs="宋体"/>
          <w:kern w:val="0"/>
          <w:sz w:val="24"/>
          <w:szCs w:val="24"/>
        </w:rPr>
        <w:t> </w:t>
      </w:r>
      <w:r w:rsidRPr="00F5231A">
        <w:rPr>
          <w:rFonts w:ascii="Book Antiqua" w:hAnsi="Book Antiqua" w:cs="宋体"/>
          <w:b/>
          <w:bCs/>
          <w:kern w:val="0"/>
          <w:sz w:val="24"/>
          <w:szCs w:val="24"/>
        </w:rPr>
        <w:t>Chadwick VS</w:t>
      </w:r>
      <w:r w:rsidRPr="00F5231A">
        <w:rPr>
          <w:rFonts w:ascii="Book Antiqua" w:hAnsi="Book Antiqua" w:cs="宋体"/>
          <w:kern w:val="0"/>
          <w:sz w:val="24"/>
          <w:szCs w:val="24"/>
        </w:rPr>
        <w:t xml:space="preserve">, Chen W, </w:t>
      </w:r>
      <w:proofErr w:type="spellStart"/>
      <w:r w:rsidRPr="00F5231A">
        <w:rPr>
          <w:rFonts w:ascii="Book Antiqua" w:hAnsi="Book Antiqua" w:cs="宋体"/>
          <w:kern w:val="0"/>
          <w:sz w:val="24"/>
          <w:szCs w:val="24"/>
        </w:rPr>
        <w:t>Shu</w:t>
      </w:r>
      <w:proofErr w:type="spellEnd"/>
      <w:r w:rsidRPr="00F5231A">
        <w:rPr>
          <w:rFonts w:ascii="Book Antiqua" w:hAnsi="Book Antiqua" w:cs="宋体"/>
          <w:kern w:val="0"/>
          <w:sz w:val="24"/>
          <w:szCs w:val="24"/>
        </w:rPr>
        <w:t xml:space="preserve"> D, Paulus B, </w:t>
      </w:r>
      <w:proofErr w:type="spellStart"/>
      <w:r w:rsidRPr="00F5231A">
        <w:rPr>
          <w:rFonts w:ascii="Book Antiqua" w:hAnsi="Book Antiqua" w:cs="宋体"/>
          <w:kern w:val="0"/>
          <w:sz w:val="24"/>
          <w:szCs w:val="24"/>
        </w:rPr>
        <w:t>Bethwaite</w:t>
      </w:r>
      <w:proofErr w:type="spellEnd"/>
      <w:r w:rsidRPr="00F5231A">
        <w:rPr>
          <w:rFonts w:ascii="Book Antiqua" w:hAnsi="Book Antiqua" w:cs="宋体"/>
          <w:kern w:val="0"/>
          <w:sz w:val="24"/>
          <w:szCs w:val="24"/>
        </w:rPr>
        <w:t xml:space="preserve"> P, Tie A, Wilson I. Activation of the mucosal immune system in irritable bowel syndrome.</w:t>
      </w:r>
      <w:r w:rsidRPr="000C1102">
        <w:rPr>
          <w:rFonts w:ascii="Book Antiqua" w:hAnsi="Book Antiqua" w:cs="宋体"/>
          <w:kern w:val="0"/>
          <w:sz w:val="24"/>
          <w:szCs w:val="24"/>
        </w:rPr>
        <w:t> </w:t>
      </w:r>
      <w:r w:rsidRPr="00F5231A">
        <w:rPr>
          <w:rFonts w:ascii="Book Antiqua" w:hAnsi="Book Antiqua" w:cs="宋体"/>
          <w:i/>
          <w:iCs/>
          <w:kern w:val="0"/>
          <w:sz w:val="24"/>
          <w:szCs w:val="24"/>
        </w:rPr>
        <w:t>Gastroenterology</w:t>
      </w:r>
      <w:r w:rsidRPr="000C1102">
        <w:rPr>
          <w:rFonts w:ascii="Book Antiqua" w:hAnsi="Book Antiqua" w:cs="宋体"/>
          <w:kern w:val="0"/>
          <w:sz w:val="24"/>
          <w:szCs w:val="24"/>
        </w:rPr>
        <w:t> </w:t>
      </w:r>
      <w:r w:rsidRPr="00F5231A">
        <w:rPr>
          <w:rFonts w:ascii="Book Antiqua" w:hAnsi="Book Antiqua" w:cs="宋体"/>
          <w:kern w:val="0"/>
          <w:sz w:val="24"/>
          <w:szCs w:val="24"/>
        </w:rPr>
        <w:t>2002;</w:t>
      </w:r>
      <w:r w:rsidRPr="000C1102">
        <w:rPr>
          <w:rFonts w:ascii="Book Antiqua" w:hAnsi="Book Antiqua" w:cs="宋体"/>
          <w:kern w:val="0"/>
          <w:sz w:val="24"/>
          <w:szCs w:val="24"/>
        </w:rPr>
        <w:t> </w:t>
      </w:r>
      <w:r w:rsidRPr="00F5231A">
        <w:rPr>
          <w:rFonts w:ascii="Book Antiqua" w:hAnsi="Book Antiqua" w:cs="宋体"/>
          <w:b/>
          <w:bCs/>
          <w:kern w:val="0"/>
          <w:sz w:val="24"/>
          <w:szCs w:val="24"/>
        </w:rPr>
        <w:t>122</w:t>
      </w:r>
      <w:r w:rsidRPr="00F5231A">
        <w:rPr>
          <w:rFonts w:ascii="Book Antiqua" w:hAnsi="Book Antiqua" w:cs="宋体"/>
          <w:kern w:val="0"/>
          <w:sz w:val="24"/>
          <w:szCs w:val="24"/>
        </w:rPr>
        <w:t>: 1778-1783 [PMID: 12055584 DOI: S0016508502000112]</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5</w:t>
      </w:r>
      <w:r w:rsidRPr="000C1102">
        <w:rPr>
          <w:rFonts w:ascii="Book Antiqua" w:hAnsi="Book Antiqua" w:cs="宋体"/>
          <w:kern w:val="0"/>
          <w:sz w:val="24"/>
          <w:szCs w:val="24"/>
        </w:rPr>
        <w:t> </w:t>
      </w:r>
      <w:r w:rsidRPr="00F5231A">
        <w:rPr>
          <w:rFonts w:ascii="Book Antiqua" w:hAnsi="Book Antiqua" w:cs="宋体"/>
          <w:b/>
          <w:bCs/>
          <w:kern w:val="0"/>
          <w:sz w:val="24"/>
          <w:szCs w:val="24"/>
        </w:rPr>
        <w:t>O'Sullivan M</w:t>
      </w:r>
      <w:r w:rsidRPr="00F5231A">
        <w:rPr>
          <w:rFonts w:ascii="Book Antiqua" w:hAnsi="Book Antiqua" w:cs="宋体"/>
          <w:kern w:val="0"/>
          <w:sz w:val="24"/>
          <w:szCs w:val="24"/>
        </w:rPr>
        <w:t xml:space="preserve">, Clayton N, </w:t>
      </w:r>
      <w:proofErr w:type="spellStart"/>
      <w:r w:rsidRPr="00F5231A">
        <w:rPr>
          <w:rFonts w:ascii="Book Antiqua" w:hAnsi="Book Antiqua" w:cs="宋体"/>
          <w:kern w:val="0"/>
          <w:sz w:val="24"/>
          <w:szCs w:val="24"/>
        </w:rPr>
        <w:t>Breslin</w:t>
      </w:r>
      <w:proofErr w:type="spellEnd"/>
      <w:r w:rsidRPr="00F5231A">
        <w:rPr>
          <w:rFonts w:ascii="Book Antiqua" w:hAnsi="Book Antiqua" w:cs="宋体"/>
          <w:kern w:val="0"/>
          <w:sz w:val="24"/>
          <w:szCs w:val="24"/>
        </w:rPr>
        <w:t xml:space="preserve"> NP, Harman I, </w:t>
      </w:r>
      <w:proofErr w:type="spellStart"/>
      <w:r w:rsidRPr="00F5231A">
        <w:rPr>
          <w:rFonts w:ascii="Book Antiqua" w:hAnsi="Book Antiqua" w:cs="宋体"/>
          <w:kern w:val="0"/>
          <w:sz w:val="24"/>
          <w:szCs w:val="24"/>
        </w:rPr>
        <w:t>Bountra</w:t>
      </w:r>
      <w:proofErr w:type="spellEnd"/>
      <w:r w:rsidRPr="00F5231A">
        <w:rPr>
          <w:rFonts w:ascii="Book Antiqua" w:hAnsi="Book Antiqua" w:cs="宋体"/>
          <w:kern w:val="0"/>
          <w:sz w:val="24"/>
          <w:szCs w:val="24"/>
        </w:rPr>
        <w:t xml:space="preserve"> C, McLaren A, </w:t>
      </w:r>
      <w:proofErr w:type="spellStart"/>
      <w:r w:rsidRPr="00F5231A">
        <w:rPr>
          <w:rFonts w:ascii="Book Antiqua" w:hAnsi="Book Antiqua" w:cs="宋体"/>
          <w:kern w:val="0"/>
          <w:sz w:val="24"/>
          <w:szCs w:val="24"/>
        </w:rPr>
        <w:t>O'Morain</w:t>
      </w:r>
      <w:proofErr w:type="spellEnd"/>
      <w:r w:rsidRPr="00F5231A">
        <w:rPr>
          <w:rFonts w:ascii="Book Antiqua" w:hAnsi="Book Antiqua" w:cs="宋体"/>
          <w:kern w:val="0"/>
          <w:sz w:val="24"/>
          <w:szCs w:val="24"/>
        </w:rPr>
        <w:t xml:space="preserve"> CA. Increased mast cells in the irritable bowel syndrome.</w:t>
      </w:r>
      <w:r w:rsidRPr="000C1102">
        <w:rPr>
          <w:rFonts w:ascii="Book Antiqua" w:hAnsi="Book Antiqua" w:cs="宋体"/>
          <w:kern w:val="0"/>
          <w:sz w:val="24"/>
          <w:szCs w:val="24"/>
        </w:rPr>
        <w:t> </w:t>
      </w:r>
      <w:proofErr w:type="spellStart"/>
      <w:r w:rsidRPr="00F5231A">
        <w:rPr>
          <w:rFonts w:ascii="Book Antiqua" w:hAnsi="Book Antiqua" w:cs="宋体"/>
          <w:i/>
          <w:iCs/>
          <w:kern w:val="0"/>
          <w:sz w:val="24"/>
          <w:szCs w:val="24"/>
        </w:rPr>
        <w:t>Neurogastroenterol</w:t>
      </w:r>
      <w:proofErr w:type="spellEnd"/>
      <w:r w:rsidRPr="00F5231A">
        <w:rPr>
          <w:rFonts w:ascii="Book Antiqua" w:hAnsi="Book Antiqua" w:cs="宋体"/>
          <w:i/>
          <w:iCs/>
          <w:kern w:val="0"/>
          <w:sz w:val="24"/>
          <w:szCs w:val="24"/>
        </w:rPr>
        <w:t xml:space="preserve"> </w:t>
      </w:r>
      <w:proofErr w:type="spellStart"/>
      <w:r w:rsidRPr="00F5231A">
        <w:rPr>
          <w:rFonts w:ascii="Book Antiqua" w:hAnsi="Book Antiqua" w:cs="宋体"/>
          <w:i/>
          <w:iCs/>
          <w:kern w:val="0"/>
          <w:sz w:val="24"/>
          <w:szCs w:val="24"/>
        </w:rPr>
        <w:t>Motil</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2000;</w:t>
      </w:r>
      <w:r w:rsidRPr="000C1102">
        <w:rPr>
          <w:rFonts w:ascii="Book Antiqua" w:hAnsi="Book Antiqua" w:cs="宋体"/>
          <w:kern w:val="0"/>
          <w:sz w:val="24"/>
          <w:szCs w:val="24"/>
        </w:rPr>
        <w:t> </w:t>
      </w:r>
      <w:r w:rsidRPr="00F5231A">
        <w:rPr>
          <w:rFonts w:ascii="Book Antiqua" w:hAnsi="Book Antiqua" w:cs="宋体"/>
          <w:b/>
          <w:bCs/>
          <w:kern w:val="0"/>
          <w:sz w:val="24"/>
          <w:szCs w:val="24"/>
        </w:rPr>
        <w:t>12</w:t>
      </w:r>
      <w:r w:rsidRPr="00F5231A">
        <w:rPr>
          <w:rFonts w:ascii="Book Antiqua" w:hAnsi="Book Antiqua" w:cs="宋体"/>
          <w:kern w:val="0"/>
          <w:sz w:val="24"/>
          <w:szCs w:val="24"/>
        </w:rPr>
        <w:t>: 449-457 [PMID: 11012945 DOI: nmo221]</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6</w:t>
      </w:r>
      <w:r w:rsidRPr="000C1102">
        <w:rPr>
          <w:rFonts w:ascii="Book Antiqua" w:hAnsi="Book Antiqua" w:cs="宋体"/>
          <w:kern w:val="0"/>
          <w:sz w:val="24"/>
          <w:szCs w:val="24"/>
        </w:rPr>
        <w:t> </w:t>
      </w:r>
      <w:r w:rsidRPr="00F5231A">
        <w:rPr>
          <w:rFonts w:ascii="Book Antiqua" w:hAnsi="Book Antiqua" w:cs="宋体"/>
          <w:b/>
          <w:bCs/>
          <w:kern w:val="0"/>
          <w:sz w:val="24"/>
          <w:szCs w:val="24"/>
        </w:rPr>
        <w:t>Weston AP</w:t>
      </w:r>
      <w:r w:rsidRPr="00F5231A">
        <w:rPr>
          <w:rFonts w:ascii="Book Antiqua" w:hAnsi="Book Antiqua" w:cs="宋体"/>
          <w:kern w:val="0"/>
          <w:sz w:val="24"/>
          <w:szCs w:val="24"/>
        </w:rPr>
        <w:t xml:space="preserve">, Biddle WL, Bhatia PS, Miner PB. </w:t>
      </w:r>
      <w:proofErr w:type="gramStart"/>
      <w:r w:rsidRPr="00F5231A">
        <w:rPr>
          <w:rFonts w:ascii="Book Antiqua" w:hAnsi="Book Antiqua" w:cs="宋体"/>
          <w:kern w:val="0"/>
          <w:sz w:val="24"/>
          <w:szCs w:val="24"/>
        </w:rPr>
        <w:t xml:space="preserve">Terminal </w:t>
      </w:r>
      <w:proofErr w:type="spellStart"/>
      <w:r w:rsidRPr="00F5231A">
        <w:rPr>
          <w:rFonts w:ascii="Book Antiqua" w:hAnsi="Book Antiqua" w:cs="宋体"/>
          <w:kern w:val="0"/>
          <w:sz w:val="24"/>
          <w:szCs w:val="24"/>
        </w:rPr>
        <w:t>ileal</w:t>
      </w:r>
      <w:proofErr w:type="spellEnd"/>
      <w:r w:rsidRPr="00F5231A">
        <w:rPr>
          <w:rFonts w:ascii="Book Antiqua" w:hAnsi="Book Antiqua" w:cs="宋体"/>
          <w:kern w:val="0"/>
          <w:sz w:val="24"/>
          <w:szCs w:val="24"/>
        </w:rPr>
        <w:t xml:space="preserve"> mucosal mast cells in irritable bowel syndrome.</w:t>
      </w:r>
      <w:proofErr w:type="gramEnd"/>
      <w:r w:rsidRPr="000C1102">
        <w:rPr>
          <w:rFonts w:ascii="Book Antiqua" w:hAnsi="Book Antiqua" w:cs="宋体"/>
          <w:kern w:val="0"/>
          <w:sz w:val="24"/>
          <w:szCs w:val="24"/>
        </w:rPr>
        <w:t> </w:t>
      </w:r>
      <w:r w:rsidRPr="00F5231A">
        <w:rPr>
          <w:rFonts w:ascii="Book Antiqua" w:hAnsi="Book Antiqua" w:cs="宋体"/>
          <w:i/>
          <w:iCs/>
          <w:kern w:val="0"/>
          <w:sz w:val="24"/>
          <w:szCs w:val="24"/>
        </w:rPr>
        <w:t xml:space="preserve">Dig Dis </w:t>
      </w:r>
      <w:proofErr w:type="spellStart"/>
      <w:r w:rsidRPr="00F5231A">
        <w:rPr>
          <w:rFonts w:ascii="Book Antiqua" w:hAnsi="Book Antiqua" w:cs="宋体"/>
          <w:i/>
          <w:iCs/>
          <w:kern w:val="0"/>
          <w:sz w:val="24"/>
          <w:szCs w:val="24"/>
        </w:rPr>
        <w:t>Sci</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1993;</w:t>
      </w:r>
      <w:r w:rsidRPr="000C1102">
        <w:rPr>
          <w:rFonts w:ascii="Book Antiqua" w:hAnsi="Book Antiqua" w:cs="宋体"/>
          <w:kern w:val="0"/>
          <w:sz w:val="24"/>
          <w:szCs w:val="24"/>
        </w:rPr>
        <w:t> </w:t>
      </w:r>
      <w:r w:rsidRPr="00F5231A">
        <w:rPr>
          <w:rFonts w:ascii="Book Antiqua" w:hAnsi="Book Antiqua" w:cs="宋体"/>
          <w:b/>
          <w:bCs/>
          <w:kern w:val="0"/>
          <w:sz w:val="24"/>
          <w:szCs w:val="24"/>
        </w:rPr>
        <w:t>38</w:t>
      </w:r>
      <w:r w:rsidRPr="00F5231A">
        <w:rPr>
          <w:rFonts w:ascii="Book Antiqua" w:hAnsi="Book Antiqua" w:cs="宋体"/>
          <w:kern w:val="0"/>
          <w:sz w:val="24"/>
          <w:szCs w:val="24"/>
        </w:rPr>
        <w:t>: 1590-1595 [PMID: 8359068]</w:t>
      </w:r>
    </w:p>
    <w:p w:rsidR="00AC73D6" w:rsidRPr="00F5231A" w:rsidRDefault="00AC73D6" w:rsidP="001F595B">
      <w:pPr>
        <w:spacing w:line="360" w:lineRule="auto"/>
        <w:rPr>
          <w:rFonts w:ascii="Book Antiqua" w:hAnsi="Book Antiqua" w:cs="宋体"/>
          <w:kern w:val="0"/>
          <w:sz w:val="24"/>
          <w:szCs w:val="24"/>
        </w:rPr>
      </w:pPr>
      <w:proofErr w:type="gramStart"/>
      <w:r w:rsidRPr="00F5231A">
        <w:rPr>
          <w:rFonts w:ascii="Book Antiqua" w:hAnsi="Book Antiqua" w:cs="宋体"/>
          <w:kern w:val="0"/>
          <w:sz w:val="24"/>
          <w:szCs w:val="24"/>
        </w:rPr>
        <w:t>7</w:t>
      </w:r>
      <w:r w:rsidRPr="000C1102">
        <w:rPr>
          <w:rFonts w:ascii="Book Antiqua" w:hAnsi="Book Antiqua" w:cs="宋体"/>
          <w:kern w:val="0"/>
          <w:sz w:val="24"/>
          <w:szCs w:val="24"/>
        </w:rPr>
        <w:t> </w:t>
      </w:r>
      <w:r w:rsidRPr="00F5231A">
        <w:rPr>
          <w:rFonts w:ascii="Book Antiqua" w:hAnsi="Book Antiqua" w:cs="宋体"/>
          <w:b/>
          <w:bCs/>
          <w:kern w:val="0"/>
          <w:sz w:val="24"/>
          <w:szCs w:val="24"/>
        </w:rPr>
        <w:t>Levy RL</w:t>
      </w:r>
      <w:r w:rsidRPr="00F5231A">
        <w:rPr>
          <w:rFonts w:ascii="Book Antiqua" w:hAnsi="Book Antiqua" w:cs="宋体"/>
          <w:kern w:val="0"/>
          <w:sz w:val="24"/>
          <w:szCs w:val="24"/>
        </w:rPr>
        <w:t>, Jones KR, Whitehead WE, Feld SI, Talley NJ, Corey LA.</w:t>
      </w:r>
      <w:proofErr w:type="gramEnd"/>
      <w:r w:rsidRPr="00F5231A">
        <w:rPr>
          <w:rFonts w:ascii="Book Antiqua" w:hAnsi="Book Antiqua" w:cs="宋体"/>
          <w:kern w:val="0"/>
          <w:sz w:val="24"/>
          <w:szCs w:val="24"/>
        </w:rPr>
        <w:t xml:space="preserve"> Irritable bowel syndrome in twins: heredity and social learning both contribute to etiology.</w:t>
      </w:r>
      <w:r w:rsidRPr="000C1102">
        <w:rPr>
          <w:rFonts w:ascii="Book Antiqua" w:hAnsi="Book Antiqua" w:cs="宋体"/>
          <w:kern w:val="0"/>
          <w:sz w:val="24"/>
          <w:szCs w:val="24"/>
        </w:rPr>
        <w:t> </w:t>
      </w:r>
      <w:r w:rsidRPr="00F5231A">
        <w:rPr>
          <w:rFonts w:ascii="Book Antiqua" w:hAnsi="Book Antiqua" w:cs="宋体"/>
          <w:i/>
          <w:iCs/>
          <w:kern w:val="0"/>
          <w:sz w:val="24"/>
          <w:szCs w:val="24"/>
        </w:rPr>
        <w:t>Gastroenterology</w:t>
      </w:r>
      <w:r w:rsidRPr="000C1102">
        <w:rPr>
          <w:rFonts w:ascii="Book Antiqua" w:hAnsi="Book Antiqua" w:cs="宋体"/>
          <w:kern w:val="0"/>
          <w:sz w:val="24"/>
          <w:szCs w:val="24"/>
        </w:rPr>
        <w:t> </w:t>
      </w:r>
      <w:r w:rsidRPr="00F5231A">
        <w:rPr>
          <w:rFonts w:ascii="Book Antiqua" w:hAnsi="Book Antiqua" w:cs="宋体"/>
          <w:kern w:val="0"/>
          <w:sz w:val="24"/>
          <w:szCs w:val="24"/>
        </w:rPr>
        <w:t>2001;</w:t>
      </w:r>
      <w:r w:rsidRPr="000C1102">
        <w:rPr>
          <w:rFonts w:ascii="Book Antiqua" w:hAnsi="Book Antiqua" w:cs="宋体"/>
          <w:kern w:val="0"/>
          <w:sz w:val="24"/>
          <w:szCs w:val="24"/>
        </w:rPr>
        <w:t> </w:t>
      </w:r>
      <w:r w:rsidRPr="00F5231A">
        <w:rPr>
          <w:rFonts w:ascii="Book Antiqua" w:hAnsi="Book Antiqua" w:cs="宋体"/>
          <w:b/>
          <w:bCs/>
          <w:kern w:val="0"/>
          <w:sz w:val="24"/>
          <w:szCs w:val="24"/>
        </w:rPr>
        <w:t>121</w:t>
      </w:r>
      <w:r w:rsidRPr="00F5231A">
        <w:rPr>
          <w:rFonts w:ascii="Book Antiqua" w:hAnsi="Book Antiqua" w:cs="宋体"/>
          <w:kern w:val="0"/>
          <w:sz w:val="24"/>
          <w:szCs w:val="24"/>
        </w:rPr>
        <w:t>: 799-804 [PMID: 11606493 DOI: S0016508501457933]</w:t>
      </w:r>
    </w:p>
    <w:p w:rsidR="00AC73D6" w:rsidRPr="00F5231A" w:rsidRDefault="00AC73D6" w:rsidP="001F595B">
      <w:pPr>
        <w:spacing w:line="360" w:lineRule="auto"/>
        <w:rPr>
          <w:rFonts w:ascii="Book Antiqua" w:hAnsi="Book Antiqua" w:cs="宋体"/>
          <w:kern w:val="0"/>
          <w:sz w:val="24"/>
          <w:szCs w:val="24"/>
        </w:rPr>
      </w:pPr>
      <w:proofErr w:type="gramStart"/>
      <w:r w:rsidRPr="00F5231A">
        <w:rPr>
          <w:rFonts w:ascii="Book Antiqua" w:hAnsi="Book Antiqua" w:cs="宋体"/>
          <w:kern w:val="0"/>
          <w:sz w:val="24"/>
          <w:szCs w:val="24"/>
        </w:rPr>
        <w:t>8</w:t>
      </w:r>
      <w:r w:rsidRPr="000C1102">
        <w:rPr>
          <w:rFonts w:ascii="Book Antiqua" w:hAnsi="Book Antiqua" w:cs="宋体"/>
          <w:kern w:val="0"/>
          <w:sz w:val="24"/>
          <w:szCs w:val="24"/>
        </w:rPr>
        <w:t> </w:t>
      </w:r>
      <w:r w:rsidRPr="00F5231A">
        <w:rPr>
          <w:rFonts w:ascii="Book Antiqua" w:hAnsi="Book Antiqua" w:cs="宋体"/>
          <w:b/>
          <w:bCs/>
          <w:kern w:val="0"/>
          <w:sz w:val="24"/>
          <w:szCs w:val="24"/>
        </w:rPr>
        <w:t>Saito YA</w:t>
      </w:r>
      <w:r w:rsidRPr="00F5231A">
        <w:rPr>
          <w:rFonts w:ascii="Book Antiqua" w:hAnsi="Book Antiqua" w:cs="宋体"/>
          <w:kern w:val="0"/>
          <w:sz w:val="24"/>
          <w:szCs w:val="24"/>
        </w:rPr>
        <w:t xml:space="preserve">, Zimmerman JM, </w:t>
      </w:r>
      <w:proofErr w:type="spellStart"/>
      <w:r w:rsidRPr="00F5231A">
        <w:rPr>
          <w:rFonts w:ascii="Book Antiqua" w:hAnsi="Book Antiqua" w:cs="宋体"/>
          <w:kern w:val="0"/>
          <w:sz w:val="24"/>
          <w:szCs w:val="24"/>
        </w:rPr>
        <w:t>Harmsen</w:t>
      </w:r>
      <w:proofErr w:type="spellEnd"/>
      <w:r w:rsidRPr="00F5231A">
        <w:rPr>
          <w:rFonts w:ascii="Book Antiqua" w:hAnsi="Book Antiqua" w:cs="宋体"/>
          <w:kern w:val="0"/>
          <w:sz w:val="24"/>
          <w:szCs w:val="24"/>
        </w:rPr>
        <w:t xml:space="preserve"> WS, De Andrade M, Locke GR, Petersen GM, Talley NJ.</w:t>
      </w:r>
      <w:proofErr w:type="gramEnd"/>
      <w:r w:rsidRPr="00F5231A">
        <w:rPr>
          <w:rFonts w:ascii="Book Antiqua" w:hAnsi="Book Antiqua" w:cs="宋体"/>
          <w:kern w:val="0"/>
          <w:sz w:val="24"/>
          <w:szCs w:val="24"/>
        </w:rPr>
        <w:t xml:space="preserve"> Irritable bowel syndrome aggregates strongly in families: a family-based case-control study.</w:t>
      </w:r>
      <w:r w:rsidRPr="000C1102">
        <w:rPr>
          <w:rFonts w:ascii="Book Antiqua" w:hAnsi="Book Antiqua" w:cs="宋体"/>
          <w:kern w:val="0"/>
          <w:sz w:val="24"/>
          <w:szCs w:val="24"/>
        </w:rPr>
        <w:t> </w:t>
      </w:r>
      <w:proofErr w:type="spellStart"/>
      <w:r w:rsidRPr="00F5231A">
        <w:rPr>
          <w:rFonts w:ascii="Book Antiqua" w:hAnsi="Book Antiqua" w:cs="宋体"/>
          <w:i/>
          <w:iCs/>
          <w:kern w:val="0"/>
          <w:sz w:val="24"/>
          <w:szCs w:val="24"/>
        </w:rPr>
        <w:t>Neurogastroenterol</w:t>
      </w:r>
      <w:proofErr w:type="spellEnd"/>
      <w:r w:rsidRPr="00F5231A">
        <w:rPr>
          <w:rFonts w:ascii="Book Antiqua" w:hAnsi="Book Antiqua" w:cs="宋体"/>
          <w:i/>
          <w:iCs/>
          <w:kern w:val="0"/>
          <w:sz w:val="24"/>
          <w:szCs w:val="24"/>
        </w:rPr>
        <w:t xml:space="preserve"> </w:t>
      </w:r>
      <w:proofErr w:type="spellStart"/>
      <w:r w:rsidRPr="00F5231A">
        <w:rPr>
          <w:rFonts w:ascii="Book Antiqua" w:hAnsi="Book Antiqua" w:cs="宋体"/>
          <w:i/>
          <w:iCs/>
          <w:kern w:val="0"/>
          <w:sz w:val="24"/>
          <w:szCs w:val="24"/>
        </w:rPr>
        <w:t>Motil</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2008;</w:t>
      </w:r>
      <w:r w:rsidRPr="000C1102">
        <w:rPr>
          <w:rFonts w:ascii="Book Antiqua" w:hAnsi="Book Antiqua" w:cs="宋体"/>
          <w:kern w:val="0"/>
          <w:sz w:val="24"/>
          <w:szCs w:val="24"/>
        </w:rPr>
        <w:t> </w:t>
      </w:r>
      <w:r w:rsidRPr="00F5231A">
        <w:rPr>
          <w:rFonts w:ascii="Book Antiqua" w:hAnsi="Book Antiqua" w:cs="宋体"/>
          <w:b/>
          <w:bCs/>
          <w:kern w:val="0"/>
          <w:sz w:val="24"/>
          <w:szCs w:val="24"/>
        </w:rPr>
        <w:t>20</w:t>
      </w:r>
      <w:r w:rsidRPr="00F5231A">
        <w:rPr>
          <w:rFonts w:ascii="Book Antiqua" w:hAnsi="Book Antiqua" w:cs="宋体"/>
          <w:kern w:val="0"/>
          <w:sz w:val="24"/>
          <w:szCs w:val="24"/>
        </w:rPr>
        <w:t>: 790-797 [PMID: 18221250 DOI: 10.1111/j.1365-2982.2007.1077.x]</w:t>
      </w:r>
    </w:p>
    <w:p w:rsidR="00AC73D6" w:rsidRPr="00F5231A" w:rsidRDefault="00AC73D6" w:rsidP="001F595B">
      <w:pPr>
        <w:spacing w:line="360" w:lineRule="auto"/>
        <w:rPr>
          <w:rFonts w:ascii="Book Antiqua" w:hAnsi="Book Antiqua" w:cs="宋体"/>
          <w:kern w:val="0"/>
          <w:sz w:val="24"/>
          <w:szCs w:val="24"/>
        </w:rPr>
      </w:pPr>
      <w:proofErr w:type="gramStart"/>
      <w:r w:rsidRPr="00F5231A">
        <w:rPr>
          <w:rFonts w:ascii="Book Antiqua" w:hAnsi="Book Antiqua" w:cs="宋体"/>
          <w:kern w:val="0"/>
          <w:sz w:val="24"/>
          <w:szCs w:val="24"/>
        </w:rPr>
        <w:lastRenderedPageBreak/>
        <w:t>9</w:t>
      </w:r>
      <w:r w:rsidRPr="000C1102">
        <w:rPr>
          <w:rFonts w:ascii="Book Antiqua" w:hAnsi="Book Antiqua" w:cs="宋体"/>
          <w:kern w:val="0"/>
          <w:sz w:val="24"/>
          <w:szCs w:val="24"/>
        </w:rPr>
        <w:t> </w:t>
      </w:r>
      <w:r w:rsidRPr="00F5231A">
        <w:rPr>
          <w:rFonts w:ascii="Book Antiqua" w:hAnsi="Book Antiqua" w:cs="宋体"/>
          <w:b/>
          <w:bCs/>
          <w:kern w:val="0"/>
          <w:sz w:val="24"/>
          <w:szCs w:val="24"/>
        </w:rPr>
        <w:t>Sartor RB</w:t>
      </w:r>
      <w:r w:rsidRPr="00F5231A">
        <w:rPr>
          <w:rFonts w:ascii="Book Antiqua" w:hAnsi="Book Antiqua" w:cs="宋体"/>
          <w:kern w:val="0"/>
          <w:sz w:val="24"/>
          <w:szCs w:val="24"/>
        </w:rPr>
        <w:t>.</w:t>
      </w:r>
      <w:proofErr w:type="gramEnd"/>
      <w:r w:rsidRPr="00F5231A">
        <w:rPr>
          <w:rFonts w:ascii="Book Antiqua" w:hAnsi="Book Antiqua" w:cs="宋体"/>
          <w:kern w:val="0"/>
          <w:sz w:val="24"/>
          <w:szCs w:val="24"/>
        </w:rPr>
        <w:t xml:space="preserve"> Cytokines in intestinal inflammation: pathophysiological and clinical considerations.</w:t>
      </w:r>
      <w:r w:rsidRPr="000C1102">
        <w:rPr>
          <w:rFonts w:ascii="Book Antiqua" w:hAnsi="Book Antiqua" w:cs="宋体"/>
          <w:kern w:val="0"/>
          <w:sz w:val="24"/>
          <w:szCs w:val="24"/>
        </w:rPr>
        <w:t> </w:t>
      </w:r>
      <w:r w:rsidRPr="00F5231A">
        <w:rPr>
          <w:rFonts w:ascii="Book Antiqua" w:hAnsi="Book Antiqua" w:cs="宋体"/>
          <w:i/>
          <w:iCs/>
          <w:kern w:val="0"/>
          <w:sz w:val="24"/>
          <w:szCs w:val="24"/>
        </w:rPr>
        <w:t>Gastroenterology</w:t>
      </w:r>
      <w:r w:rsidRPr="000C1102">
        <w:rPr>
          <w:rFonts w:ascii="Book Antiqua" w:hAnsi="Book Antiqua" w:cs="宋体"/>
          <w:kern w:val="0"/>
          <w:sz w:val="24"/>
          <w:szCs w:val="24"/>
        </w:rPr>
        <w:t> </w:t>
      </w:r>
      <w:r w:rsidRPr="00F5231A">
        <w:rPr>
          <w:rFonts w:ascii="Book Antiqua" w:hAnsi="Book Antiqua" w:cs="宋体"/>
          <w:kern w:val="0"/>
          <w:sz w:val="24"/>
          <w:szCs w:val="24"/>
        </w:rPr>
        <w:t>1994;</w:t>
      </w:r>
      <w:r w:rsidRPr="000C1102">
        <w:rPr>
          <w:rFonts w:ascii="Book Antiqua" w:hAnsi="Book Antiqua" w:cs="宋体"/>
          <w:kern w:val="0"/>
          <w:sz w:val="24"/>
          <w:szCs w:val="24"/>
        </w:rPr>
        <w:t> </w:t>
      </w:r>
      <w:r w:rsidRPr="00F5231A">
        <w:rPr>
          <w:rFonts w:ascii="Book Antiqua" w:hAnsi="Book Antiqua" w:cs="宋体"/>
          <w:b/>
          <w:bCs/>
          <w:kern w:val="0"/>
          <w:sz w:val="24"/>
          <w:szCs w:val="24"/>
        </w:rPr>
        <w:t>106</w:t>
      </w:r>
      <w:r w:rsidRPr="00F5231A">
        <w:rPr>
          <w:rFonts w:ascii="Book Antiqua" w:hAnsi="Book Antiqua" w:cs="宋体"/>
          <w:kern w:val="0"/>
          <w:sz w:val="24"/>
          <w:szCs w:val="24"/>
        </w:rPr>
        <w:t>: 533-539 [PMID: 8299918]</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10</w:t>
      </w:r>
      <w:r w:rsidRPr="000C1102">
        <w:rPr>
          <w:rFonts w:ascii="Book Antiqua" w:hAnsi="Book Antiqua" w:cs="宋体"/>
          <w:kern w:val="0"/>
          <w:sz w:val="24"/>
          <w:szCs w:val="24"/>
        </w:rPr>
        <w:t> </w:t>
      </w:r>
      <w:r w:rsidRPr="00F5231A">
        <w:rPr>
          <w:rFonts w:ascii="Book Antiqua" w:hAnsi="Book Antiqua" w:cs="宋体"/>
          <w:b/>
          <w:bCs/>
          <w:kern w:val="0"/>
          <w:sz w:val="24"/>
          <w:szCs w:val="24"/>
        </w:rPr>
        <w:t>Hoffmann SC</w:t>
      </w:r>
      <w:r w:rsidRPr="00F5231A">
        <w:rPr>
          <w:rFonts w:ascii="Book Antiqua" w:hAnsi="Book Antiqua" w:cs="宋体"/>
          <w:kern w:val="0"/>
          <w:sz w:val="24"/>
          <w:szCs w:val="24"/>
        </w:rPr>
        <w:t xml:space="preserve">, Stanley EM, Darrin Cox E, Craighead N, </w:t>
      </w:r>
      <w:proofErr w:type="spellStart"/>
      <w:r w:rsidRPr="00F5231A">
        <w:rPr>
          <w:rFonts w:ascii="Book Antiqua" w:hAnsi="Book Antiqua" w:cs="宋体"/>
          <w:kern w:val="0"/>
          <w:sz w:val="24"/>
          <w:szCs w:val="24"/>
        </w:rPr>
        <w:t>DiMercurio</w:t>
      </w:r>
      <w:proofErr w:type="spellEnd"/>
      <w:r w:rsidRPr="00F5231A">
        <w:rPr>
          <w:rFonts w:ascii="Book Antiqua" w:hAnsi="Book Antiqua" w:cs="宋体"/>
          <w:kern w:val="0"/>
          <w:sz w:val="24"/>
          <w:szCs w:val="24"/>
        </w:rPr>
        <w:t xml:space="preserve"> BS, </w:t>
      </w:r>
      <w:proofErr w:type="spellStart"/>
      <w:r w:rsidRPr="00F5231A">
        <w:rPr>
          <w:rFonts w:ascii="Book Antiqua" w:hAnsi="Book Antiqua" w:cs="宋体"/>
          <w:kern w:val="0"/>
          <w:sz w:val="24"/>
          <w:szCs w:val="24"/>
        </w:rPr>
        <w:t>Koziol</w:t>
      </w:r>
      <w:proofErr w:type="spellEnd"/>
      <w:r w:rsidRPr="00F5231A">
        <w:rPr>
          <w:rFonts w:ascii="Book Antiqua" w:hAnsi="Book Antiqua" w:cs="宋体"/>
          <w:kern w:val="0"/>
          <w:sz w:val="24"/>
          <w:szCs w:val="24"/>
        </w:rPr>
        <w:t xml:space="preserve"> DE, Harlan DM, Kirk AD, Blair PJ. </w:t>
      </w:r>
      <w:proofErr w:type="gramStart"/>
      <w:r w:rsidRPr="00F5231A">
        <w:rPr>
          <w:rFonts w:ascii="Book Antiqua" w:hAnsi="Book Antiqua" w:cs="宋体"/>
          <w:kern w:val="0"/>
          <w:sz w:val="24"/>
          <w:szCs w:val="24"/>
        </w:rPr>
        <w:t>Association of cytokine polymorphic inheritance and in vitro cytokine production in anti-CD3/CD28-stimulated peripheral blood lymphocytes.</w:t>
      </w:r>
      <w:proofErr w:type="gramEnd"/>
      <w:r w:rsidRPr="000C1102">
        <w:rPr>
          <w:rFonts w:ascii="Book Antiqua" w:hAnsi="Book Antiqua" w:cs="宋体"/>
          <w:kern w:val="0"/>
          <w:sz w:val="24"/>
          <w:szCs w:val="24"/>
        </w:rPr>
        <w:t> </w:t>
      </w:r>
      <w:r w:rsidRPr="00F5231A">
        <w:rPr>
          <w:rFonts w:ascii="Book Antiqua" w:hAnsi="Book Antiqua" w:cs="宋体"/>
          <w:i/>
          <w:iCs/>
          <w:kern w:val="0"/>
          <w:sz w:val="24"/>
          <w:szCs w:val="24"/>
        </w:rPr>
        <w:t>Transplantation</w:t>
      </w:r>
      <w:r w:rsidRPr="000C1102">
        <w:rPr>
          <w:rFonts w:ascii="Book Antiqua" w:hAnsi="Book Antiqua" w:cs="宋体"/>
          <w:kern w:val="0"/>
          <w:sz w:val="24"/>
          <w:szCs w:val="24"/>
        </w:rPr>
        <w:t> </w:t>
      </w:r>
      <w:r w:rsidRPr="00F5231A">
        <w:rPr>
          <w:rFonts w:ascii="Book Antiqua" w:hAnsi="Book Antiqua" w:cs="宋体"/>
          <w:kern w:val="0"/>
          <w:sz w:val="24"/>
          <w:szCs w:val="24"/>
        </w:rPr>
        <w:t>2001;</w:t>
      </w:r>
      <w:r w:rsidRPr="000C1102">
        <w:rPr>
          <w:rFonts w:ascii="Book Antiqua" w:hAnsi="Book Antiqua" w:cs="宋体"/>
          <w:kern w:val="0"/>
          <w:sz w:val="24"/>
          <w:szCs w:val="24"/>
        </w:rPr>
        <w:t> </w:t>
      </w:r>
      <w:r w:rsidRPr="00F5231A">
        <w:rPr>
          <w:rFonts w:ascii="Book Antiqua" w:hAnsi="Book Antiqua" w:cs="宋体"/>
          <w:b/>
          <w:bCs/>
          <w:kern w:val="0"/>
          <w:sz w:val="24"/>
          <w:szCs w:val="24"/>
        </w:rPr>
        <w:t>72</w:t>
      </w:r>
      <w:r w:rsidRPr="00F5231A">
        <w:rPr>
          <w:rFonts w:ascii="Book Antiqua" w:hAnsi="Book Antiqua" w:cs="宋体"/>
          <w:kern w:val="0"/>
          <w:sz w:val="24"/>
          <w:szCs w:val="24"/>
        </w:rPr>
        <w:t>: 1444-1450 [PMID: 11685118]</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11</w:t>
      </w:r>
      <w:r w:rsidRPr="000C1102">
        <w:rPr>
          <w:rFonts w:ascii="Book Antiqua" w:hAnsi="Book Antiqua" w:cs="宋体"/>
          <w:kern w:val="0"/>
          <w:sz w:val="24"/>
          <w:szCs w:val="24"/>
        </w:rPr>
        <w:t> </w:t>
      </w:r>
      <w:proofErr w:type="spellStart"/>
      <w:r w:rsidRPr="00F5231A">
        <w:rPr>
          <w:rFonts w:ascii="Book Antiqua" w:hAnsi="Book Antiqua" w:cs="宋体"/>
          <w:b/>
          <w:bCs/>
          <w:kern w:val="0"/>
          <w:sz w:val="24"/>
          <w:szCs w:val="24"/>
        </w:rPr>
        <w:t>Melk</w:t>
      </w:r>
      <w:proofErr w:type="spellEnd"/>
      <w:r w:rsidRPr="00F5231A">
        <w:rPr>
          <w:rFonts w:ascii="Book Antiqua" w:hAnsi="Book Antiqua" w:cs="宋体"/>
          <w:b/>
          <w:bCs/>
          <w:kern w:val="0"/>
          <w:sz w:val="24"/>
          <w:szCs w:val="24"/>
        </w:rPr>
        <w:t xml:space="preserve"> A</w:t>
      </w:r>
      <w:r w:rsidRPr="00F5231A">
        <w:rPr>
          <w:rFonts w:ascii="Book Antiqua" w:hAnsi="Book Antiqua" w:cs="宋体"/>
          <w:kern w:val="0"/>
          <w:sz w:val="24"/>
          <w:szCs w:val="24"/>
        </w:rPr>
        <w:t xml:space="preserve">, </w:t>
      </w:r>
      <w:proofErr w:type="spellStart"/>
      <w:r w:rsidRPr="00F5231A">
        <w:rPr>
          <w:rFonts w:ascii="Book Antiqua" w:hAnsi="Book Antiqua" w:cs="宋体"/>
          <w:kern w:val="0"/>
          <w:sz w:val="24"/>
          <w:szCs w:val="24"/>
        </w:rPr>
        <w:t>Henne</w:t>
      </w:r>
      <w:proofErr w:type="spellEnd"/>
      <w:r w:rsidRPr="00F5231A">
        <w:rPr>
          <w:rFonts w:ascii="Book Antiqua" w:hAnsi="Book Antiqua" w:cs="宋体"/>
          <w:kern w:val="0"/>
          <w:sz w:val="24"/>
          <w:szCs w:val="24"/>
        </w:rPr>
        <w:t xml:space="preserve"> T, </w:t>
      </w:r>
      <w:proofErr w:type="spellStart"/>
      <w:r w:rsidRPr="00F5231A">
        <w:rPr>
          <w:rFonts w:ascii="Book Antiqua" w:hAnsi="Book Antiqua" w:cs="宋体"/>
          <w:kern w:val="0"/>
          <w:sz w:val="24"/>
          <w:szCs w:val="24"/>
        </w:rPr>
        <w:t>Kollmar</w:t>
      </w:r>
      <w:proofErr w:type="spellEnd"/>
      <w:r w:rsidRPr="00F5231A">
        <w:rPr>
          <w:rFonts w:ascii="Book Antiqua" w:hAnsi="Book Antiqua" w:cs="宋体"/>
          <w:kern w:val="0"/>
          <w:sz w:val="24"/>
          <w:szCs w:val="24"/>
        </w:rPr>
        <w:t xml:space="preserve"> T, </w:t>
      </w:r>
      <w:proofErr w:type="spellStart"/>
      <w:r w:rsidRPr="00F5231A">
        <w:rPr>
          <w:rFonts w:ascii="Book Antiqua" w:hAnsi="Book Antiqua" w:cs="宋体"/>
          <w:kern w:val="0"/>
          <w:sz w:val="24"/>
          <w:szCs w:val="24"/>
        </w:rPr>
        <w:t>Strehlau</w:t>
      </w:r>
      <w:proofErr w:type="spellEnd"/>
      <w:r w:rsidRPr="00F5231A">
        <w:rPr>
          <w:rFonts w:ascii="Book Antiqua" w:hAnsi="Book Antiqua" w:cs="宋体"/>
          <w:kern w:val="0"/>
          <w:sz w:val="24"/>
          <w:szCs w:val="24"/>
        </w:rPr>
        <w:t xml:space="preserve"> J, </w:t>
      </w:r>
      <w:proofErr w:type="spellStart"/>
      <w:r w:rsidRPr="00F5231A">
        <w:rPr>
          <w:rFonts w:ascii="Book Antiqua" w:hAnsi="Book Antiqua" w:cs="宋体"/>
          <w:kern w:val="0"/>
          <w:sz w:val="24"/>
          <w:szCs w:val="24"/>
        </w:rPr>
        <w:t>Latta</w:t>
      </w:r>
      <w:proofErr w:type="spellEnd"/>
      <w:r w:rsidRPr="00F5231A">
        <w:rPr>
          <w:rFonts w:ascii="Book Antiqua" w:hAnsi="Book Antiqua" w:cs="宋体"/>
          <w:kern w:val="0"/>
          <w:sz w:val="24"/>
          <w:szCs w:val="24"/>
        </w:rPr>
        <w:t xml:space="preserve"> K, </w:t>
      </w:r>
      <w:proofErr w:type="spellStart"/>
      <w:r w:rsidRPr="00F5231A">
        <w:rPr>
          <w:rFonts w:ascii="Book Antiqua" w:hAnsi="Book Antiqua" w:cs="宋体"/>
          <w:kern w:val="0"/>
          <w:sz w:val="24"/>
          <w:szCs w:val="24"/>
        </w:rPr>
        <w:t>Offner</w:t>
      </w:r>
      <w:proofErr w:type="spellEnd"/>
      <w:r w:rsidRPr="00F5231A">
        <w:rPr>
          <w:rFonts w:ascii="Book Antiqua" w:hAnsi="Book Antiqua" w:cs="宋体"/>
          <w:kern w:val="0"/>
          <w:sz w:val="24"/>
          <w:szCs w:val="24"/>
        </w:rPr>
        <w:t xml:space="preserve"> G, </w:t>
      </w:r>
      <w:proofErr w:type="spellStart"/>
      <w:r w:rsidRPr="00F5231A">
        <w:rPr>
          <w:rFonts w:ascii="Book Antiqua" w:hAnsi="Book Antiqua" w:cs="宋体"/>
          <w:kern w:val="0"/>
          <w:sz w:val="24"/>
          <w:szCs w:val="24"/>
        </w:rPr>
        <w:t>Jhangri</w:t>
      </w:r>
      <w:proofErr w:type="spellEnd"/>
      <w:r w:rsidRPr="00F5231A">
        <w:rPr>
          <w:rFonts w:ascii="Book Antiqua" w:hAnsi="Book Antiqua" w:cs="宋体"/>
          <w:kern w:val="0"/>
          <w:sz w:val="24"/>
          <w:szCs w:val="24"/>
        </w:rPr>
        <w:t xml:space="preserve"> GS, </w:t>
      </w:r>
      <w:proofErr w:type="spellStart"/>
      <w:r w:rsidRPr="00F5231A">
        <w:rPr>
          <w:rFonts w:ascii="Book Antiqua" w:hAnsi="Book Antiqua" w:cs="宋体"/>
          <w:kern w:val="0"/>
          <w:sz w:val="24"/>
          <w:szCs w:val="24"/>
        </w:rPr>
        <w:t>Ehrich</w:t>
      </w:r>
      <w:proofErr w:type="spellEnd"/>
      <w:r w:rsidRPr="00F5231A">
        <w:rPr>
          <w:rFonts w:ascii="Book Antiqua" w:hAnsi="Book Antiqua" w:cs="宋体"/>
          <w:kern w:val="0"/>
          <w:sz w:val="24"/>
          <w:szCs w:val="24"/>
        </w:rPr>
        <w:t xml:space="preserve"> JH, Von </w:t>
      </w:r>
      <w:proofErr w:type="spellStart"/>
      <w:r w:rsidRPr="00F5231A">
        <w:rPr>
          <w:rFonts w:ascii="Book Antiqua" w:hAnsi="Book Antiqua" w:cs="宋体"/>
          <w:kern w:val="0"/>
          <w:sz w:val="24"/>
          <w:szCs w:val="24"/>
        </w:rPr>
        <w:t>Schnakenburg</w:t>
      </w:r>
      <w:proofErr w:type="spellEnd"/>
      <w:r w:rsidRPr="00F5231A">
        <w:rPr>
          <w:rFonts w:ascii="Book Antiqua" w:hAnsi="Book Antiqua" w:cs="宋体"/>
          <w:kern w:val="0"/>
          <w:sz w:val="24"/>
          <w:szCs w:val="24"/>
        </w:rPr>
        <w:t xml:space="preserve"> C. Cytokine single nucleotide polymorphisms and </w:t>
      </w:r>
      <w:proofErr w:type="spellStart"/>
      <w:r w:rsidRPr="00F5231A">
        <w:rPr>
          <w:rFonts w:ascii="Book Antiqua" w:hAnsi="Book Antiqua" w:cs="宋体"/>
          <w:kern w:val="0"/>
          <w:sz w:val="24"/>
          <w:szCs w:val="24"/>
        </w:rPr>
        <w:t>intrarenal</w:t>
      </w:r>
      <w:proofErr w:type="spellEnd"/>
      <w:r w:rsidRPr="00F5231A">
        <w:rPr>
          <w:rFonts w:ascii="Book Antiqua" w:hAnsi="Book Antiqua" w:cs="宋体"/>
          <w:kern w:val="0"/>
          <w:sz w:val="24"/>
          <w:szCs w:val="24"/>
        </w:rPr>
        <w:t xml:space="preserve"> gene expression in chronic allograft nephropathy in children.</w:t>
      </w:r>
      <w:r w:rsidRPr="000C1102">
        <w:rPr>
          <w:rFonts w:ascii="Book Antiqua" w:hAnsi="Book Antiqua" w:cs="宋体"/>
          <w:kern w:val="0"/>
          <w:sz w:val="24"/>
          <w:szCs w:val="24"/>
        </w:rPr>
        <w:t> </w:t>
      </w:r>
      <w:r w:rsidRPr="00F5231A">
        <w:rPr>
          <w:rFonts w:ascii="Book Antiqua" w:hAnsi="Book Antiqua" w:cs="宋体"/>
          <w:i/>
          <w:iCs/>
          <w:kern w:val="0"/>
          <w:sz w:val="24"/>
          <w:szCs w:val="24"/>
        </w:rPr>
        <w:t xml:space="preserve">Kidney </w:t>
      </w:r>
      <w:proofErr w:type="spellStart"/>
      <w:r w:rsidRPr="00F5231A">
        <w:rPr>
          <w:rFonts w:ascii="Book Antiqua" w:hAnsi="Book Antiqua" w:cs="宋体"/>
          <w:i/>
          <w:iCs/>
          <w:kern w:val="0"/>
          <w:sz w:val="24"/>
          <w:szCs w:val="24"/>
        </w:rPr>
        <w:t>Int</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2003;</w:t>
      </w:r>
      <w:r w:rsidRPr="000C1102">
        <w:rPr>
          <w:rFonts w:ascii="Book Antiqua" w:hAnsi="Book Antiqua" w:cs="宋体"/>
          <w:kern w:val="0"/>
          <w:sz w:val="24"/>
          <w:szCs w:val="24"/>
        </w:rPr>
        <w:t> </w:t>
      </w:r>
      <w:r w:rsidRPr="00F5231A">
        <w:rPr>
          <w:rFonts w:ascii="Book Antiqua" w:hAnsi="Book Antiqua" w:cs="宋体"/>
          <w:b/>
          <w:bCs/>
          <w:kern w:val="0"/>
          <w:sz w:val="24"/>
          <w:szCs w:val="24"/>
        </w:rPr>
        <w:t>64</w:t>
      </w:r>
      <w:r w:rsidRPr="00F5231A">
        <w:rPr>
          <w:rFonts w:ascii="Book Antiqua" w:hAnsi="Book Antiqua" w:cs="宋体"/>
          <w:kern w:val="0"/>
          <w:sz w:val="24"/>
          <w:szCs w:val="24"/>
        </w:rPr>
        <w:t>: 314-320 [PMID: 12787424 DOI: 10.1046/j.1523-1755.2003.00050.x]</w:t>
      </w:r>
    </w:p>
    <w:p w:rsidR="00AC73D6" w:rsidRPr="00F5231A" w:rsidRDefault="00AC73D6" w:rsidP="001F595B">
      <w:pPr>
        <w:spacing w:line="360" w:lineRule="auto"/>
        <w:rPr>
          <w:rFonts w:ascii="Book Antiqua" w:hAnsi="Book Antiqua" w:cs="宋体"/>
          <w:kern w:val="0"/>
          <w:sz w:val="24"/>
          <w:szCs w:val="24"/>
        </w:rPr>
      </w:pPr>
      <w:proofErr w:type="gramStart"/>
      <w:r w:rsidRPr="00F5231A">
        <w:rPr>
          <w:rFonts w:ascii="Book Antiqua" w:hAnsi="Book Antiqua" w:cs="宋体"/>
          <w:kern w:val="0"/>
          <w:sz w:val="24"/>
          <w:szCs w:val="24"/>
        </w:rPr>
        <w:t>12</w:t>
      </w:r>
      <w:r w:rsidRPr="000C1102">
        <w:rPr>
          <w:rFonts w:ascii="Book Antiqua" w:hAnsi="Book Antiqua" w:cs="宋体"/>
          <w:kern w:val="0"/>
          <w:sz w:val="24"/>
          <w:szCs w:val="24"/>
        </w:rPr>
        <w:t> </w:t>
      </w:r>
      <w:proofErr w:type="spellStart"/>
      <w:r w:rsidRPr="00F5231A">
        <w:rPr>
          <w:rFonts w:ascii="Book Antiqua" w:hAnsi="Book Antiqua" w:cs="宋体"/>
          <w:b/>
          <w:bCs/>
          <w:kern w:val="0"/>
          <w:sz w:val="24"/>
          <w:szCs w:val="24"/>
        </w:rPr>
        <w:t>Hotoleanu</w:t>
      </w:r>
      <w:proofErr w:type="spellEnd"/>
      <w:r w:rsidRPr="00F5231A">
        <w:rPr>
          <w:rFonts w:ascii="Book Antiqua" w:hAnsi="Book Antiqua" w:cs="宋体"/>
          <w:b/>
          <w:bCs/>
          <w:kern w:val="0"/>
          <w:sz w:val="24"/>
          <w:szCs w:val="24"/>
        </w:rPr>
        <w:t xml:space="preserve"> C</w:t>
      </w:r>
      <w:r w:rsidRPr="00F5231A">
        <w:rPr>
          <w:rFonts w:ascii="Book Antiqua" w:hAnsi="Book Antiqua" w:cs="宋体"/>
          <w:kern w:val="0"/>
          <w:sz w:val="24"/>
          <w:szCs w:val="24"/>
        </w:rPr>
        <w:t xml:space="preserve">, Popp R, </w:t>
      </w:r>
      <w:proofErr w:type="spellStart"/>
      <w:r w:rsidRPr="00F5231A">
        <w:rPr>
          <w:rFonts w:ascii="Book Antiqua" w:hAnsi="Book Antiqua" w:cs="宋体"/>
          <w:kern w:val="0"/>
          <w:sz w:val="24"/>
          <w:szCs w:val="24"/>
        </w:rPr>
        <w:t>Trifa</w:t>
      </w:r>
      <w:proofErr w:type="spellEnd"/>
      <w:r w:rsidRPr="00F5231A">
        <w:rPr>
          <w:rFonts w:ascii="Book Antiqua" w:hAnsi="Book Antiqua" w:cs="宋体"/>
          <w:kern w:val="0"/>
          <w:sz w:val="24"/>
          <w:szCs w:val="24"/>
        </w:rPr>
        <w:t xml:space="preserve"> AP, </w:t>
      </w:r>
      <w:proofErr w:type="spellStart"/>
      <w:r w:rsidRPr="00F5231A">
        <w:rPr>
          <w:rFonts w:ascii="Book Antiqua" w:hAnsi="Book Antiqua" w:cs="宋体"/>
          <w:kern w:val="0"/>
          <w:sz w:val="24"/>
          <w:szCs w:val="24"/>
        </w:rPr>
        <w:t>Nedelcu</w:t>
      </w:r>
      <w:proofErr w:type="spellEnd"/>
      <w:r w:rsidRPr="00F5231A">
        <w:rPr>
          <w:rFonts w:ascii="Book Antiqua" w:hAnsi="Book Antiqua" w:cs="宋体"/>
          <w:kern w:val="0"/>
          <w:sz w:val="24"/>
          <w:szCs w:val="24"/>
        </w:rPr>
        <w:t xml:space="preserve"> L, </w:t>
      </w:r>
      <w:proofErr w:type="spellStart"/>
      <w:r w:rsidRPr="00F5231A">
        <w:rPr>
          <w:rFonts w:ascii="Book Antiqua" w:hAnsi="Book Antiqua" w:cs="宋体"/>
          <w:kern w:val="0"/>
          <w:sz w:val="24"/>
          <w:szCs w:val="24"/>
        </w:rPr>
        <w:t>Dumitrascu</w:t>
      </w:r>
      <w:proofErr w:type="spellEnd"/>
      <w:r w:rsidRPr="00F5231A">
        <w:rPr>
          <w:rFonts w:ascii="Book Antiqua" w:hAnsi="Book Antiqua" w:cs="宋体"/>
          <w:kern w:val="0"/>
          <w:sz w:val="24"/>
          <w:szCs w:val="24"/>
        </w:rPr>
        <w:t xml:space="preserve"> DL.</w:t>
      </w:r>
      <w:proofErr w:type="gramEnd"/>
      <w:r w:rsidRPr="00F5231A">
        <w:rPr>
          <w:rFonts w:ascii="Book Antiqua" w:hAnsi="Book Antiqua" w:cs="宋体"/>
          <w:kern w:val="0"/>
          <w:sz w:val="24"/>
          <w:szCs w:val="24"/>
        </w:rPr>
        <w:t xml:space="preserve"> </w:t>
      </w:r>
      <w:proofErr w:type="gramStart"/>
      <w:r w:rsidRPr="00F5231A">
        <w:rPr>
          <w:rFonts w:ascii="Book Antiqua" w:hAnsi="Book Antiqua" w:cs="宋体"/>
          <w:kern w:val="0"/>
          <w:sz w:val="24"/>
          <w:szCs w:val="24"/>
        </w:rPr>
        <w:t>Genetic determination of irritable bowel syndrome.</w:t>
      </w:r>
      <w:proofErr w:type="gramEnd"/>
      <w:r w:rsidRPr="000C1102">
        <w:rPr>
          <w:rFonts w:ascii="Book Antiqua" w:hAnsi="Book Antiqua" w:cs="宋体"/>
          <w:kern w:val="0"/>
          <w:sz w:val="24"/>
          <w:szCs w:val="24"/>
        </w:rPr>
        <w:t> </w:t>
      </w:r>
      <w:r w:rsidRPr="00F5231A">
        <w:rPr>
          <w:rFonts w:ascii="Book Antiqua" w:hAnsi="Book Antiqua" w:cs="宋体"/>
          <w:i/>
          <w:iCs/>
          <w:kern w:val="0"/>
          <w:sz w:val="24"/>
          <w:szCs w:val="24"/>
        </w:rPr>
        <w:t xml:space="preserve">World J </w:t>
      </w:r>
      <w:proofErr w:type="spellStart"/>
      <w:r w:rsidRPr="00F5231A">
        <w:rPr>
          <w:rFonts w:ascii="Book Antiqua" w:hAnsi="Book Antiqua" w:cs="宋体"/>
          <w:i/>
          <w:iCs/>
          <w:kern w:val="0"/>
          <w:sz w:val="24"/>
          <w:szCs w:val="24"/>
        </w:rPr>
        <w:t>Gastroenterol</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2008;</w:t>
      </w:r>
      <w:r w:rsidRPr="000C1102">
        <w:rPr>
          <w:rFonts w:ascii="Book Antiqua" w:hAnsi="Book Antiqua" w:cs="宋体"/>
          <w:kern w:val="0"/>
          <w:sz w:val="24"/>
          <w:szCs w:val="24"/>
        </w:rPr>
        <w:t> </w:t>
      </w:r>
      <w:r w:rsidRPr="00F5231A">
        <w:rPr>
          <w:rFonts w:ascii="Book Antiqua" w:hAnsi="Book Antiqua" w:cs="宋体"/>
          <w:b/>
          <w:bCs/>
          <w:kern w:val="0"/>
          <w:sz w:val="24"/>
          <w:szCs w:val="24"/>
        </w:rPr>
        <w:t>14</w:t>
      </w:r>
      <w:r w:rsidRPr="00F5231A">
        <w:rPr>
          <w:rFonts w:ascii="Book Antiqua" w:hAnsi="Book Antiqua" w:cs="宋体"/>
          <w:kern w:val="0"/>
          <w:sz w:val="24"/>
          <w:szCs w:val="24"/>
        </w:rPr>
        <w:t>: 6636-6640 [PMID: 19034965]</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13</w:t>
      </w:r>
      <w:r w:rsidRPr="000C1102">
        <w:rPr>
          <w:rFonts w:ascii="Book Antiqua" w:hAnsi="Book Antiqua" w:cs="宋体"/>
          <w:kern w:val="0"/>
          <w:sz w:val="24"/>
          <w:szCs w:val="24"/>
        </w:rPr>
        <w:t> </w:t>
      </w:r>
      <w:r w:rsidRPr="00F5231A">
        <w:rPr>
          <w:rFonts w:ascii="Book Antiqua" w:hAnsi="Book Antiqua" w:cs="宋体"/>
          <w:b/>
          <w:bCs/>
          <w:kern w:val="0"/>
          <w:sz w:val="24"/>
          <w:szCs w:val="24"/>
        </w:rPr>
        <w:t xml:space="preserve">van der </w:t>
      </w:r>
      <w:proofErr w:type="spellStart"/>
      <w:r w:rsidRPr="00F5231A">
        <w:rPr>
          <w:rFonts w:ascii="Book Antiqua" w:hAnsi="Book Antiqua" w:cs="宋体"/>
          <w:b/>
          <w:bCs/>
          <w:kern w:val="0"/>
          <w:sz w:val="24"/>
          <w:szCs w:val="24"/>
        </w:rPr>
        <w:t>Veek</w:t>
      </w:r>
      <w:proofErr w:type="spellEnd"/>
      <w:r w:rsidRPr="00F5231A">
        <w:rPr>
          <w:rFonts w:ascii="Book Antiqua" w:hAnsi="Book Antiqua" w:cs="宋体"/>
          <w:b/>
          <w:bCs/>
          <w:kern w:val="0"/>
          <w:sz w:val="24"/>
          <w:szCs w:val="24"/>
        </w:rPr>
        <w:t xml:space="preserve"> PP</w:t>
      </w:r>
      <w:r w:rsidRPr="00F5231A">
        <w:rPr>
          <w:rFonts w:ascii="Book Antiqua" w:hAnsi="Book Antiqua" w:cs="宋体"/>
          <w:kern w:val="0"/>
          <w:sz w:val="24"/>
          <w:szCs w:val="24"/>
        </w:rPr>
        <w:t xml:space="preserve">, van den Berg M, de Kroon YE, </w:t>
      </w:r>
      <w:proofErr w:type="spellStart"/>
      <w:r w:rsidRPr="00F5231A">
        <w:rPr>
          <w:rFonts w:ascii="Book Antiqua" w:hAnsi="Book Antiqua" w:cs="宋体"/>
          <w:kern w:val="0"/>
          <w:sz w:val="24"/>
          <w:szCs w:val="24"/>
        </w:rPr>
        <w:t>Verspaget</w:t>
      </w:r>
      <w:proofErr w:type="spellEnd"/>
      <w:r w:rsidRPr="00F5231A">
        <w:rPr>
          <w:rFonts w:ascii="Book Antiqua" w:hAnsi="Book Antiqua" w:cs="宋体"/>
          <w:kern w:val="0"/>
          <w:sz w:val="24"/>
          <w:szCs w:val="24"/>
        </w:rPr>
        <w:t xml:space="preserve"> HW, </w:t>
      </w:r>
      <w:proofErr w:type="spellStart"/>
      <w:r w:rsidRPr="00F5231A">
        <w:rPr>
          <w:rFonts w:ascii="Book Antiqua" w:hAnsi="Book Antiqua" w:cs="宋体"/>
          <w:kern w:val="0"/>
          <w:sz w:val="24"/>
          <w:szCs w:val="24"/>
        </w:rPr>
        <w:t>Masclee</w:t>
      </w:r>
      <w:proofErr w:type="spellEnd"/>
      <w:r w:rsidRPr="00F5231A">
        <w:rPr>
          <w:rFonts w:ascii="Book Antiqua" w:hAnsi="Book Antiqua" w:cs="宋体"/>
          <w:kern w:val="0"/>
          <w:sz w:val="24"/>
          <w:szCs w:val="24"/>
        </w:rPr>
        <w:t xml:space="preserve"> AA. </w:t>
      </w:r>
      <w:proofErr w:type="gramStart"/>
      <w:r w:rsidRPr="00F5231A">
        <w:rPr>
          <w:rFonts w:ascii="Book Antiqua" w:hAnsi="Book Antiqua" w:cs="宋体"/>
          <w:kern w:val="0"/>
          <w:sz w:val="24"/>
          <w:szCs w:val="24"/>
        </w:rPr>
        <w:t>Role of tumor necrosis factor-alpha and interleukin-10 gene polymorphisms in irritable bowel syndrome.</w:t>
      </w:r>
      <w:proofErr w:type="gramEnd"/>
      <w:r w:rsidRPr="000C1102">
        <w:rPr>
          <w:rFonts w:ascii="Book Antiqua" w:hAnsi="Book Antiqua" w:cs="宋体"/>
          <w:kern w:val="0"/>
          <w:sz w:val="24"/>
          <w:szCs w:val="24"/>
        </w:rPr>
        <w:t> </w:t>
      </w:r>
      <w:r w:rsidRPr="00F5231A">
        <w:rPr>
          <w:rFonts w:ascii="Book Antiqua" w:hAnsi="Book Antiqua" w:cs="宋体"/>
          <w:i/>
          <w:iCs/>
          <w:kern w:val="0"/>
          <w:sz w:val="24"/>
          <w:szCs w:val="24"/>
        </w:rPr>
        <w:t xml:space="preserve">Am J </w:t>
      </w:r>
      <w:proofErr w:type="spellStart"/>
      <w:r w:rsidRPr="00F5231A">
        <w:rPr>
          <w:rFonts w:ascii="Book Antiqua" w:hAnsi="Book Antiqua" w:cs="宋体"/>
          <w:i/>
          <w:iCs/>
          <w:kern w:val="0"/>
          <w:sz w:val="24"/>
          <w:szCs w:val="24"/>
        </w:rPr>
        <w:t>Gastroenterol</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2005;</w:t>
      </w:r>
      <w:r w:rsidRPr="000C1102">
        <w:rPr>
          <w:rFonts w:ascii="Book Antiqua" w:hAnsi="Book Antiqua" w:cs="宋体"/>
          <w:kern w:val="0"/>
          <w:sz w:val="24"/>
          <w:szCs w:val="24"/>
        </w:rPr>
        <w:t> </w:t>
      </w:r>
      <w:r w:rsidRPr="00F5231A">
        <w:rPr>
          <w:rFonts w:ascii="Book Antiqua" w:hAnsi="Book Antiqua" w:cs="宋体"/>
          <w:b/>
          <w:bCs/>
          <w:kern w:val="0"/>
          <w:sz w:val="24"/>
          <w:szCs w:val="24"/>
        </w:rPr>
        <w:t>100</w:t>
      </w:r>
      <w:r w:rsidRPr="00F5231A">
        <w:rPr>
          <w:rFonts w:ascii="Book Antiqua" w:hAnsi="Book Antiqua" w:cs="宋体"/>
          <w:kern w:val="0"/>
          <w:sz w:val="24"/>
          <w:szCs w:val="24"/>
        </w:rPr>
        <w:t>: 2510-2516 [PMID: 16279907 DOI: 10.1111/j.1572-0241.2005.00257.x]</w:t>
      </w:r>
    </w:p>
    <w:p w:rsidR="00AC73D6" w:rsidRPr="00F5231A" w:rsidRDefault="00AC73D6" w:rsidP="001F595B">
      <w:pPr>
        <w:spacing w:line="360" w:lineRule="auto"/>
        <w:rPr>
          <w:rFonts w:ascii="Book Antiqua" w:hAnsi="Book Antiqua" w:cs="宋体"/>
          <w:kern w:val="0"/>
          <w:sz w:val="24"/>
          <w:szCs w:val="24"/>
        </w:rPr>
      </w:pPr>
      <w:proofErr w:type="gramStart"/>
      <w:r w:rsidRPr="00F5231A">
        <w:rPr>
          <w:rFonts w:ascii="Book Antiqua" w:hAnsi="Book Antiqua" w:cs="宋体"/>
          <w:kern w:val="0"/>
          <w:sz w:val="24"/>
          <w:szCs w:val="24"/>
        </w:rPr>
        <w:t>14</w:t>
      </w:r>
      <w:r w:rsidRPr="000C1102">
        <w:rPr>
          <w:rFonts w:ascii="Book Antiqua" w:hAnsi="Book Antiqua" w:cs="宋体"/>
          <w:kern w:val="0"/>
          <w:sz w:val="24"/>
          <w:szCs w:val="24"/>
        </w:rPr>
        <w:t> </w:t>
      </w:r>
      <w:r w:rsidRPr="00F5231A">
        <w:rPr>
          <w:rFonts w:ascii="Book Antiqua" w:hAnsi="Book Antiqua" w:cs="宋体"/>
          <w:b/>
          <w:bCs/>
          <w:kern w:val="0"/>
          <w:sz w:val="24"/>
          <w:szCs w:val="24"/>
        </w:rPr>
        <w:t>Maynard CL</w:t>
      </w:r>
      <w:r w:rsidRPr="00F5231A">
        <w:rPr>
          <w:rFonts w:ascii="Book Antiqua" w:hAnsi="Book Antiqua" w:cs="宋体"/>
          <w:kern w:val="0"/>
          <w:sz w:val="24"/>
          <w:szCs w:val="24"/>
        </w:rPr>
        <w:t>, Weaver CT. Diversity in the contribution of interleukin-10 to T-cell-mediated immune regulation.</w:t>
      </w:r>
      <w:proofErr w:type="gramEnd"/>
      <w:r w:rsidRPr="000C1102">
        <w:rPr>
          <w:rFonts w:ascii="Book Antiqua" w:hAnsi="Book Antiqua" w:cs="宋体"/>
          <w:kern w:val="0"/>
          <w:sz w:val="24"/>
          <w:szCs w:val="24"/>
        </w:rPr>
        <w:t> </w:t>
      </w:r>
      <w:proofErr w:type="spellStart"/>
      <w:r w:rsidRPr="00F5231A">
        <w:rPr>
          <w:rFonts w:ascii="Book Antiqua" w:hAnsi="Book Antiqua" w:cs="宋体"/>
          <w:i/>
          <w:iCs/>
          <w:kern w:val="0"/>
          <w:sz w:val="24"/>
          <w:szCs w:val="24"/>
        </w:rPr>
        <w:t>Immunol</w:t>
      </w:r>
      <w:proofErr w:type="spellEnd"/>
      <w:r w:rsidRPr="00F5231A">
        <w:rPr>
          <w:rFonts w:ascii="Book Antiqua" w:hAnsi="Book Antiqua" w:cs="宋体"/>
          <w:i/>
          <w:iCs/>
          <w:kern w:val="0"/>
          <w:sz w:val="24"/>
          <w:szCs w:val="24"/>
        </w:rPr>
        <w:t xml:space="preserve"> Rev</w:t>
      </w:r>
      <w:r w:rsidRPr="000C1102">
        <w:rPr>
          <w:rFonts w:ascii="Book Antiqua" w:hAnsi="Book Antiqua" w:cs="宋体"/>
          <w:kern w:val="0"/>
          <w:sz w:val="24"/>
          <w:szCs w:val="24"/>
        </w:rPr>
        <w:t> </w:t>
      </w:r>
      <w:r w:rsidRPr="00F5231A">
        <w:rPr>
          <w:rFonts w:ascii="Book Antiqua" w:hAnsi="Book Antiqua" w:cs="宋体"/>
          <w:kern w:val="0"/>
          <w:sz w:val="24"/>
          <w:szCs w:val="24"/>
        </w:rPr>
        <w:t>2008;</w:t>
      </w:r>
      <w:r w:rsidRPr="000C1102">
        <w:rPr>
          <w:rFonts w:ascii="Book Antiqua" w:hAnsi="Book Antiqua" w:cs="宋体"/>
          <w:kern w:val="0"/>
          <w:sz w:val="24"/>
          <w:szCs w:val="24"/>
        </w:rPr>
        <w:t> </w:t>
      </w:r>
      <w:r w:rsidRPr="00F5231A">
        <w:rPr>
          <w:rFonts w:ascii="Book Antiqua" w:hAnsi="Book Antiqua" w:cs="宋体"/>
          <w:b/>
          <w:bCs/>
          <w:kern w:val="0"/>
          <w:sz w:val="24"/>
          <w:szCs w:val="24"/>
        </w:rPr>
        <w:t>226</w:t>
      </w:r>
      <w:r w:rsidRPr="00F5231A">
        <w:rPr>
          <w:rFonts w:ascii="Book Antiqua" w:hAnsi="Book Antiqua" w:cs="宋体"/>
          <w:kern w:val="0"/>
          <w:sz w:val="24"/>
          <w:szCs w:val="24"/>
        </w:rPr>
        <w:t>: 219-233 [PMID: 19161427 DOI: 10.1111/j.1600-065X.2008.00711.x]</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15</w:t>
      </w:r>
      <w:r w:rsidRPr="000C1102">
        <w:rPr>
          <w:rFonts w:ascii="Book Antiqua" w:hAnsi="Book Antiqua" w:cs="宋体"/>
          <w:kern w:val="0"/>
          <w:sz w:val="24"/>
          <w:szCs w:val="24"/>
        </w:rPr>
        <w:t> </w:t>
      </w:r>
      <w:proofErr w:type="spellStart"/>
      <w:r w:rsidRPr="00F5231A">
        <w:rPr>
          <w:rFonts w:ascii="Book Antiqua" w:hAnsi="Book Antiqua" w:cs="宋体"/>
          <w:b/>
          <w:bCs/>
          <w:kern w:val="0"/>
          <w:sz w:val="24"/>
          <w:szCs w:val="24"/>
        </w:rPr>
        <w:t>Hua</w:t>
      </w:r>
      <w:proofErr w:type="spellEnd"/>
      <w:r w:rsidRPr="00F5231A">
        <w:rPr>
          <w:rFonts w:ascii="Book Antiqua" w:hAnsi="Book Antiqua" w:cs="宋体"/>
          <w:b/>
          <w:bCs/>
          <w:kern w:val="0"/>
          <w:sz w:val="24"/>
          <w:szCs w:val="24"/>
        </w:rPr>
        <w:t xml:space="preserve"> MC</w:t>
      </w:r>
      <w:r w:rsidRPr="00F5231A">
        <w:rPr>
          <w:rFonts w:ascii="Book Antiqua" w:hAnsi="Book Antiqua" w:cs="宋体"/>
          <w:kern w:val="0"/>
          <w:sz w:val="24"/>
          <w:szCs w:val="24"/>
        </w:rPr>
        <w:t xml:space="preserve">, Lai MW, </w:t>
      </w:r>
      <w:proofErr w:type="spellStart"/>
      <w:r w:rsidRPr="00F5231A">
        <w:rPr>
          <w:rFonts w:ascii="Book Antiqua" w:hAnsi="Book Antiqua" w:cs="宋体"/>
          <w:kern w:val="0"/>
          <w:sz w:val="24"/>
          <w:szCs w:val="24"/>
        </w:rPr>
        <w:t>Kuo</w:t>
      </w:r>
      <w:proofErr w:type="spellEnd"/>
      <w:r w:rsidRPr="00F5231A">
        <w:rPr>
          <w:rFonts w:ascii="Book Antiqua" w:hAnsi="Book Antiqua" w:cs="宋体"/>
          <w:kern w:val="0"/>
          <w:sz w:val="24"/>
          <w:szCs w:val="24"/>
        </w:rPr>
        <w:t xml:space="preserve"> ML, Yao TC, Huang JL, Chen SM. Decreased interleukin-10 secretion by peripheral blood mononuclear cells in children with irritable bowel syndrome.</w:t>
      </w:r>
      <w:r w:rsidRPr="000C1102">
        <w:rPr>
          <w:rFonts w:ascii="Book Antiqua" w:hAnsi="Book Antiqua" w:cs="宋体"/>
          <w:kern w:val="0"/>
          <w:sz w:val="24"/>
          <w:szCs w:val="24"/>
        </w:rPr>
        <w:t> </w:t>
      </w:r>
      <w:r w:rsidRPr="00F5231A">
        <w:rPr>
          <w:rFonts w:ascii="Book Antiqua" w:hAnsi="Book Antiqua" w:cs="宋体"/>
          <w:i/>
          <w:iCs/>
          <w:kern w:val="0"/>
          <w:sz w:val="24"/>
          <w:szCs w:val="24"/>
        </w:rPr>
        <w:t xml:space="preserve">J </w:t>
      </w:r>
      <w:proofErr w:type="spellStart"/>
      <w:r w:rsidRPr="00F5231A">
        <w:rPr>
          <w:rFonts w:ascii="Book Antiqua" w:hAnsi="Book Antiqua" w:cs="宋体"/>
          <w:i/>
          <w:iCs/>
          <w:kern w:val="0"/>
          <w:sz w:val="24"/>
          <w:szCs w:val="24"/>
        </w:rPr>
        <w:t>Pediatr</w:t>
      </w:r>
      <w:proofErr w:type="spellEnd"/>
      <w:r w:rsidRPr="00F5231A">
        <w:rPr>
          <w:rFonts w:ascii="Book Antiqua" w:hAnsi="Book Antiqua" w:cs="宋体"/>
          <w:i/>
          <w:iCs/>
          <w:kern w:val="0"/>
          <w:sz w:val="24"/>
          <w:szCs w:val="24"/>
        </w:rPr>
        <w:t xml:space="preserve"> </w:t>
      </w:r>
      <w:proofErr w:type="spellStart"/>
      <w:r w:rsidRPr="00F5231A">
        <w:rPr>
          <w:rFonts w:ascii="Book Antiqua" w:hAnsi="Book Antiqua" w:cs="宋体"/>
          <w:i/>
          <w:iCs/>
          <w:kern w:val="0"/>
          <w:sz w:val="24"/>
          <w:szCs w:val="24"/>
        </w:rPr>
        <w:t>Gastroenterol</w:t>
      </w:r>
      <w:proofErr w:type="spellEnd"/>
      <w:r w:rsidRPr="00F5231A">
        <w:rPr>
          <w:rFonts w:ascii="Book Antiqua" w:hAnsi="Book Antiqua" w:cs="宋体"/>
          <w:i/>
          <w:iCs/>
          <w:kern w:val="0"/>
          <w:sz w:val="24"/>
          <w:szCs w:val="24"/>
        </w:rPr>
        <w:t xml:space="preserve"> </w:t>
      </w:r>
      <w:proofErr w:type="spellStart"/>
      <w:r w:rsidRPr="00F5231A">
        <w:rPr>
          <w:rFonts w:ascii="Book Antiqua" w:hAnsi="Book Antiqua" w:cs="宋体"/>
          <w:i/>
          <w:iCs/>
          <w:kern w:val="0"/>
          <w:sz w:val="24"/>
          <w:szCs w:val="24"/>
        </w:rPr>
        <w:t>Nutr</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2011;</w:t>
      </w:r>
      <w:r w:rsidRPr="000C1102">
        <w:rPr>
          <w:rFonts w:ascii="Book Antiqua" w:hAnsi="Book Antiqua" w:cs="宋体"/>
          <w:kern w:val="0"/>
          <w:sz w:val="24"/>
          <w:szCs w:val="24"/>
        </w:rPr>
        <w:t> </w:t>
      </w:r>
      <w:r w:rsidRPr="00F5231A">
        <w:rPr>
          <w:rFonts w:ascii="Book Antiqua" w:hAnsi="Book Antiqua" w:cs="宋体"/>
          <w:b/>
          <w:bCs/>
          <w:kern w:val="0"/>
          <w:sz w:val="24"/>
          <w:szCs w:val="24"/>
        </w:rPr>
        <w:t>52</w:t>
      </w:r>
      <w:r w:rsidRPr="00F5231A">
        <w:rPr>
          <w:rFonts w:ascii="Book Antiqua" w:hAnsi="Book Antiqua" w:cs="宋体"/>
          <w:kern w:val="0"/>
          <w:sz w:val="24"/>
          <w:szCs w:val="24"/>
        </w:rPr>
        <w:t>: 376-381 [PMID: 21407110 DOI: 10.1097/MPG.0b013e3181fd9816]</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16</w:t>
      </w:r>
      <w:r w:rsidRPr="000C1102">
        <w:rPr>
          <w:rFonts w:ascii="Book Antiqua" w:hAnsi="Book Antiqua" w:cs="宋体"/>
          <w:kern w:val="0"/>
          <w:sz w:val="24"/>
          <w:szCs w:val="24"/>
        </w:rPr>
        <w:t> </w:t>
      </w:r>
      <w:proofErr w:type="spellStart"/>
      <w:r w:rsidRPr="00F5231A">
        <w:rPr>
          <w:rFonts w:ascii="Book Antiqua" w:hAnsi="Book Antiqua" w:cs="宋体"/>
          <w:b/>
          <w:bCs/>
          <w:kern w:val="0"/>
          <w:sz w:val="24"/>
          <w:szCs w:val="24"/>
        </w:rPr>
        <w:t>Schmulson</w:t>
      </w:r>
      <w:proofErr w:type="spellEnd"/>
      <w:r w:rsidRPr="00F5231A">
        <w:rPr>
          <w:rFonts w:ascii="Book Antiqua" w:hAnsi="Book Antiqua" w:cs="宋体"/>
          <w:b/>
          <w:bCs/>
          <w:kern w:val="0"/>
          <w:sz w:val="24"/>
          <w:szCs w:val="24"/>
        </w:rPr>
        <w:t xml:space="preserve"> M</w:t>
      </w:r>
      <w:r w:rsidRPr="00F5231A">
        <w:rPr>
          <w:rFonts w:ascii="Book Antiqua" w:hAnsi="Book Antiqua" w:cs="宋体"/>
          <w:kern w:val="0"/>
          <w:sz w:val="24"/>
          <w:szCs w:val="24"/>
        </w:rPr>
        <w:t xml:space="preserve">, </w:t>
      </w:r>
      <w:proofErr w:type="spellStart"/>
      <w:r w:rsidRPr="00F5231A">
        <w:rPr>
          <w:rFonts w:ascii="Book Antiqua" w:hAnsi="Book Antiqua" w:cs="宋体"/>
          <w:kern w:val="0"/>
          <w:sz w:val="24"/>
          <w:szCs w:val="24"/>
        </w:rPr>
        <w:t>Pulido</w:t>
      </w:r>
      <w:proofErr w:type="spellEnd"/>
      <w:r w:rsidRPr="00F5231A">
        <w:rPr>
          <w:rFonts w:ascii="Book Antiqua" w:hAnsi="Book Antiqua" w:cs="宋体"/>
          <w:kern w:val="0"/>
          <w:sz w:val="24"/>
          <w:szCs w:val="24"/>
        </w:rPr>
        <w:t>-London D, Rodriguez O, Morales-</w:t>
      </w:r>
      <w:proofErr w:type="spellStart"/>
      <w:r w:rsidRPr="00F5231A">
        <w:rPr>
          <w:rFonts w:ascii="Book Antiqua" w:hAnsi="Book Antiqua" w:cs="宋体"/>
          <w:kern w:val="0"/>
          <w:sz w:val="24"/>
          <w:szCs w:val="24"/>
        </w:rPr>
        <w:t>Rochlin</w:t>
      </w:r>
      <w:proofErr w:type="spellEnd"/>
      <w:r w:rsidRPr="00F5231A">
        <w:rPr>
          <w:rFonts w:ascii="Book Antiqua" w:hAnsi="Book Antiqua" w:cs="宋体"/>
          <w:kern w:val="0"/>
          <w:sz w:val="24"/>
          <w:szCs w:val="24"/>
        </w:rPr>
        <w:t xml:space="preserve"> N, Martinez-</w:t>
      </w:r>
      <w:proofErr w:type="spellStart"/>
      <w:r w:rsidRPr="00F5231A">
        <w:rPr>
          <w:rFonts w:ascii="Book Antiqua" w:hAnsi="Book Antiqua" w:cs="宋体"/>
          <w:kern w:val="0"/>
          <w:sz w:val="24"/>
          <w:szCs w:val="24"/>
        </w:rPr>
        <w:t>García</w:t>
      </w:r>
      <w:proofErr w:type="spellEnd"/>
      <w:r w:rsidRPr="00F5231A">
        <w:rPr>
          <w:rFonts w:ascii="Book Antiqua" w:hAnsi="Book Antiqua" w:cs="宋体"/>
          <w:kern w:val="0"/>
          <w:sz w:val="24"/>
          <w:szCs w:val="24"/>
        </w:rPr>
        <w:t xml:space="preserve"> R, Gutierrez-Ruiz MC, </w:t>
      </w:r>
      <w:proofErr w:type="spellStart"/>
      <w:r w:rsidRPr="00F5231A">
        <w:rPr>
          <w:rFonts w:ascii="Book Antiqua" w:hAnsi="Book Antiqua" w:cs="宋体"/>
          <w:kern w:val="0"/>
          <w:sz w:val="24"/>
          <w:szCs w:val="24"/>
        </w:rPr>
        <w:t>López-Alvarenga</w:t>
      </w:r>
      <w:proofErr w:type="spellEnd"/>
      <w:r w:rsidRPr="00F5231A">
        <w:rPr>
          <w:rFonts w:ascii="Book Antiqua" w:hAnsi="Book Antiqua" w:cs="宋体"/>
          <w:kern w:val="0"/>
          <w:sz w:val="24"/>
          <w:szCs w:val="24"/>
        </w:rPr>
        <w:t xml:space="preserve"> JC, Robles-</w:t>
      </w:r>
      <w:proofErr w:type="spellStart"/>
      <w:r w:rsidRPr="00F5231A">
        <w:rPr>
          <w:rFonts w:ascii="Book Antiqua" w:hAnsi="Book Antiqua" w:cs="宋体"/>
          <w:kern w:val="0"/>
          <w:sz w:val="24"/>
          <w:szCs w:val="24"/>
        </w:rPr>
        <w:t>Díaz</w:t>
      </w:r>
      <w:proofErr w:type="spellEnd"/>
      <w:r w:rsidRPr="00F5231A">
        <w:rPr>
          <w:rFonts w:ascii="Book Antiqua" w:hAnsi="Book Antiqua" w:cs="宋体"/>
          <w:kern w:val="0"/>
          <w:sz w:val="24"/>
          <w:szCs w:val="24"/>
        </w:rPr>
        <w:t xml:space="preserve"> G, Gutiérrez-Reyes G. Lower serum IL-10 is an independent predictor of IBS among volunteers in Mexico.</w:t>
      </w:r>
      <w:r w:rsidRPr="000C1102">
        <w:rPr>
          <w:rFonts w:ascii="Book Antiqua" w:hAnsi="Book Antiqua" w:cs="宋体"/>
          <w:kern w:val="0"/>
          <w:sz w:val="24"/>
          <w:szCs w:val="24"/>
        </w:rPr>
        <w:t> </w:t>
      </w:r>
      <w:r w:rsidRPr="00F5231A">
        <w:rPr>
          <w:rFonts w:ascii="Book Antiqua" w:hAnsi="Book Antiqua" w:cs="宋体"/>
          <w:i/>
          <w:iCs/>
          <w:kern w:val="0"/>
          <w:sz w:val="24"/>
          <w:szCs w:val="24"/>
        </w:rPr>
        <w:t xml:space="preserve">Am J </w:t>
      </w:r>
      <w:proofErr w:type="spellStart"/>
      <w:r w:rsidRPr="00F5231A">
        <w:rPr>
          <w:rFonts w:ascii="Book Antiqua" w:hAnsi="Book Antiqua" w:cs="宋体"/>
          <w:i/>
          <w:iCs/>
          <w:kern w:val="0"/>
          <w:sz w:val="24"/>
          <w:szCs w:val="24"/>
        </w:rPr>
        <w:t>Gastroenterol</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2012;</w:t>
      </w:r>
      <w:r w:rsidRPr="000C1102">
        <w:rPr>
          <w:rFonts w:ascii="Book Antiqua" w:hAnsi="Book Antiqua" w:cs="宋体"/>
          <w:kern w:val="0"/>
          <w:sz w:val="24"/>
          <w:szCs w:val="24"/>
        </w:rPr>
        <w:t> </w:t>
      </w:r>
      <w:r w:rsidRPr="00F5231A">
        <w:rPr>
          <w:rFonts w:ascii="Book Antiqua" w:hAnsi="Book Antiqua" w:cs="宋体"/>
          <w:b/>
          <w:bCs/>
          <w:kern w:val="0"/>
          <w:sz w:val="24"/>
          <w:szCs w:val="24"/>
        </w:rPr>
        <w:t>107</w:t>
      </w:r>
      <w:r w:rsidRPr="00F5231A">
        <w:rPr>
          <w:rFonts w:ascii="Book Antiqua" w:hAnsi="Book Antiqua" w:cs="宋体"/>
          <w:kern w:val="0"/>
          <w:sz w:val="24"/>
          <w:szCs w:val="24"/>
        </w:rPr>
        <w:t>: 747-753 [PMID: 22270083 DOI: 10.1038/ajg.2011.484]</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17</w:t>
      </w:r>
      <w:r w:rsidRPr="000C1102">
        <w:rPr>
          <w:rFonts w:ascii="Book Antiqua" w:hAnsi="Book Antiqua" w:cs="宋体"/>
          <w:kern w:val="0"/>
          <w:sz w:val="24"/>
          <w:szCs w:val="24"/>
        </w:rPr>
        <w:t> </w:t>
      </w:r>
      <w:r w:rsidRPr="00F5231A">
        <w:rPr>
          <w:rFonts w:ascii="Book Antiqua" w:hAnsi="Book Antiqua" w:cs="宋体"/>
          <w:b/>
          <w:bCs/>
          <w:kern w:val="0"/>
          <w:sz w:val="24"/>
          <w:szCs w:val="24"/>
        </w:rPr>
        <w:t>Scully P</w:t>
      </w:r>
      <w:r w:rsidRPr="00F5231A">
        <w:rPr>
          <w:rFonts w:ascii="Book Antiqua" w:hAnsi="Book Antiqua" w:cs="宋体"/>
          <w:kern w:val="0"/>
          <w:sz w:val="24"/>
          <w:szCs w:val="24"/>
        </w:rPr>
        <w:t xml:space="preserve">, </w:t>
      </w:r>
      <w:proofErr w:type="spellStart"/>
      <w:r w:rsidRPr="00F5231A">
        <w:rPr>
          <w:rFonts w:ascii="Book Antiqua" w:hAnsi="Book Antiqua" w:cs="宋体"/>
          <w:kern w:val="0"/>
          <w:sz w:val="24"/>
          <w:szCs w:val="24"/>
        </w:rPr>
        <w:t>McKernan</w:t>
      </w:r>
      <w:proofErr w:type="spellEnd"/>
      <w:r w:rsidRPr="00F5231A">
        <w:rPr>
          <w:rFonts w:ascii="Book Antiqua" w:hAnsi="Book Antiqua" w:cs="宋体"/>
          <w:kern w:val="0"/>
          <w:sz w:val="24"/>
          <w:szCs w:val="24"/>
        </w:rPr>
        <w:t xml:space="preserve"> DP, </w:t>
      </w:r>
      <w:proofErr w:type="spellStart"/>
      <w:r w:rsidRPr="00F5231A">
        <w:rPr>
          <w:rFonts w:ascii="Book Antiqua" w:hAnsi="Book Antiqua" w:cs="宋体"/>
          <w:kern w:val="0"/>
          <w:sz w:val="24"/>
          <w:szCs w:val="24"/>
        </w:rPr>
        <w:t>Keohane</w:t>
      </w:r>
      <w:proofErr w:type="spellEnd"/>
      <w:r w:rsidRPr="00F5231A">
        <w:rPr>
          <w:rFonts w:ascii="Book Antiqua" w:hAnsi="Book Antiqua" w:cs="宋体"/>
          <w:kern w:val="0"/>
          <w:sz w:val="24"/>
          <w:szCs w:val="24"/>
        </w:rPr>
        <w:t xml:space="preserve"> J, </w:t>
      </w:r>
      <w:proofErr w:type="spellStart"/>
      <w:r w:rsidRPr="00F5231A">
        <w:rPr>
          <w:rFonts w:ascii="Book Antiqua" w:hAnsi="Book Antiqua" w:cs="宋体"/>
          <w:kern w:val="0"/>
          <w:sz w:val="24"/>
          <w:szCs w:val="24"/>
        </w:rPr>
        <w:t>Groeger</w:t>
      </w:r>
      <w:proofErr w:type="spellEnd"/>
      <w:r w:rsidRPr="00F5231A">
        <w:rPr>
          <w:rFonts w:ascii="Book Antiqua" w:hAnsi="Book Antiqua" w:cs="宋体"/>
          <w:kern w:val="0"/>
          <w:sz w:val="24"/>
          <w:szCs w:val="24"/>
        </w:rPr>
        <w:t xml:space="preserve"> D, Shanahan F, </w:t>
      </w:r>
      <w:proofErr w:type="spellStart"/>
      <w:r w:rsidRPr="00F5231A">
        <w:rPr>
          <w:rFonts w:ascii="Book Antiqua" w:hAnsi="Book Antiqua" w:cs="宋体"/>
          <w:kern w:val="0"/>
          <w:sz w:val="24"/>
          <w:szCs w:val="24"/>
        </w:rPr>
        <w:t>Dinan</w:t>
      </w:r>
      <w:proofErr w:type="spellEnd"/>
      <w:r w:rsidRPr="00F5231A">
        <w:rPr>
          <w:rFonts w:ascii="Book Antiqua" w:hAnsi="Book Antiqua" w:cs="宋体"/>
          <w:kern w:val="0"/>
          <w:sz w:val="24"/>
          <w:szCs w:val="24"/>
        </w:rPr>
        <w:t xml:space="preserve"> TG, Quigley </w:t>
      </w:r>
      <w:r w:rsidRPr="00F5231A">
        <w:rPr>
          <w:rFonts w:ascii="Book Antiqua" w:hAnsi="Book Antiqua" w:cs="宋体"/>
          <w:kern w:val="0"/>
          <w:sz w:val="24"/>
          <w:szCs w:val="24"/>
        </w:rPr>
        <w:lastRenderedPageBreak/>
        <w:t>EM. Plasma cytokine profiles in females with irritable bowel syndrome and extra-intestinal co-morbidity.</w:t>
      </w:r>
      <w:r w:rsidRPr="000C1102">
        <w:rPr>
          <w:rFonts w:ascii="Book Antiqua" w:hAnsi="Book Antiqua" w:cs="宋体"/>
          <w:kern w:val="0"/>
          <w:sz w:val="24"/>
          <w:szCs w:val="24"/>
        </w:rPr>
        <w:t> </w:t>
      </w:r>
      <w:r w:rsidRPr="00F5231A">
        <w:rPr>
          <w:rFonts w:ascii="Book Antiqua" w:hAnsi="Book Antiqua" w:cs="宋体"/>
          <w:i/>
          <w:iCs/>
          <w:kern w:val="0"/>
          <w:sz w:val="24"/>
          <w:szCs w:val="24"/>
        </w:rPr>
        <w:t xml:space="preserve">Am J </w:t>
      </w:r>
      <w:proofErr w:type="spellStart"/>
      <w:r w:rsidRPr="00F5231A">
        <w:rPr>
          <w:rFonts w:ascii="Book Antiqua" w:hAnsi="Book Antiqua" w:cs="宋体"/>
          <w:i/>
          <w:iCs/>
          <w:kern w:val="0"/>
          <w:sz w:val="24"/>
          <w:szCs w:val="24"/>
        </w:rPr>
        <w:t>Gastroenterol</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2010;</w:t>
      </w:r>
      <w:r w:rsidRPr="000C1102">
        <w:rPr>
          <w:rFonts w:ascii="Book Antiqua" w:hAnsi="Book Antiqua" w:cs="宋体"/>
          <w:kern w:val="0"/>
          <w:sz w:val="24"/>
          <w:szCs w:val="24"/>
        </w:rPr>
        <w:t> </w:t>
      </w:r>
      <w:r w:rsidRPr="00F5231A">
        <w:rPr>
          <w:rFonts w:ascii="Book Antiqua" w:hAnsi="Book Antiqua" w:cs="宋体"/>
          <w:b/>
          <w:bCs/>
          <w:kern w:val="0"/>
          <w:sz w:val="24"/>
          <w:szCs w:val="24"/>
        </w:rPr>
        <w:t>105</w:t>
      </w:r>
      <w:r w:rsidRPr="00F5231A">
        <w:rPr>
          <w:rFonts w:ascii="Book Antiqua" w:hAnsi="Book Antiqua" w:cs="宋体"/>
          <w:kern w:val="0"/>
          <w:sz w:val="24"/>
          <w:szCs w:val="24"/>
        </w:rPr>
        <w:t>: 2235-2243 [PMID: 20407431 DOI: 10.1038/ajg.2010.159]</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18</w:t>
      </w:r>
      <w:r w:rsidRPr="000C1102">
        <w:rPr>
          <w:rFonts w:ascii="Book Antiqua" w:hAnsi="Book Antiqua" w:cs="宋体"/>
          <w:kern w:val="0"/>
          <w:sz w:val="24"/>
          <w:szCs w:val="24"/>
        </w:rPr>
        <w:t> </w:t>
      </w:r>
      <w:proofErr w:type="spellStart"/>
      <w:r w:rsidRPr="00F5231A">
        <w:rPr>
          <w:rFonts w:ascii="Book Antiqua" w:hAnsi="Book Antiqua" w:cs="宋体"/>
          <w:b/>
          <w:bCs/>
          <w:kern w:val="0"/>
          <w:sz w:val="24"/>
          <w:szCs w:val="24"/>
        </w:rPr>
        <w:t>Barkhordari</w:t>
      </w:r>
      <w:proofErr w:type="spellEnd"/>
      <w:r w:rsidRPr="00F5231A">
        <w:rPr>
          <w:rFonts w:ascii="Book Antiqua" w:hAnsi="Book Antiqua" w:cs="宋体"/>
          <w:b/>
          <w:bCs/>
          <w:kern w:val="0"/>
          <w:sz w:val="24"/>
          <w:szCs w:val="24"/>
        </w:rPr>
        <w:t xml:space="preserve"> E</w:t>
      </w:r>
      <w:r w:rsidRPr="00F5231A">
        <w:rPr>
          <w:rFonts w:ascii="Book Antiqua" w:hAnsi="Book Antiqua" w:cs="宋体"/>
          <w:kern w:val="0"/>
          <w:sz w:val="24"/>
          <w:szCs w:val="24"/>
        </w:rPr>
        <w:t xml:space="preserve">, </w:t>
      </w:r>
      <w:proofErr w:type="spellStart"/>
      <w:r w:rsidRPr="00F5231A">
        <w:rPr>
          <w:rFonts w:ascii="Book Antiqua" w:hAnsi="Book Antiqua" w:cs="宋体"/>
          <w:kern w:val="0"/>
          <w:sz w:val="24"/>
          <w:szCs w:val="24"/>
        </w:rPr>
        <w:t>Rezaei</w:t>
      </w:r>
      <w:proofErr w:type="spellEnd"/>
      <w:r w:rsidRPr="00F5231A">
        <w:rPr>
          <w:rFonts w:ascii="Book Antiqua" w:hAnsi="Book Antiqua" w:cs="宋体"/>
          <w:kern w:val="0"/>
          <w:sz w:val="24"/>
          <w:szCs w:val="24"/>
        </w:rPr>
        <w:t xml:space="preserve"> N, </w:t>
      </w:r>
      <w:proofErr w:type="spellStart"/>
      <w:r w:rsidRPr="00F5231A">
        <w:rPr>
          <w:rFonts w:ascii="Book Antiqua" w:hAnsi="Book Antiqua" w:cs="宋体"/>
          <w:kern w:val="0"/>
          <w:sz w:val="24"/>
          <w:szCs w:val="24"/>
        </w:rPr>
        <w:t>Mahmoudi</w:t>
      </w:r>
      <w:proofErr w:type="spellEnd"/>
      <w:r w:rsidRPr="00F5231A">
        <w:rPr>
          <w:rFonts w:ascii="Book Antiqua" w:hAnsi="Book Antiqua" w:cs="宋体"/>
          <w:kern w:val="0"/>
          <w:sz w:val="24"/>
          <w:szCs w:val="24"/>
        </w:rPr>
        <w:t xml:space="preserve"> M, </w:t>
      </w:r>
      <w:proofErr w:type="spellStart"/>
      <w:r w:rsidRPr="00F5231A">
        <w:rPr>
          <w:rFonts w:ascii="Book Antiqua" w:hAnsi="Book Antiqua" w:cs="宋体"/>
          <w:kern w:val="0"/>
          <w:sz w:val="24"/>
          <w:szCs w:val="24"/>
        </w:rPr>
        <w:t>Larki</w:t>
      </w:r>
      <w:proofErr w:type="spellEnd"/>
      <w:r w:rsidRPr="00F5231A">
        <w:rPr>
          <w:rFonts w:ascii="Book Antiqua" w:hAnsi="Book Antiqua" w:cs="宋体"/>
          <w:kern w:val="0"/>
          <w:sz w:val="24"/>
          <w:szCs w:val="24"/>
        </w:rPr>
        <w:t xml:space="preserve"> P, </w:t>
      </w:r>
      <w:proofErr w:type="spellStart"/>
      <w:r w:rsidRPr="00F5231A">
        <w:rPr>
          <w:rFonts w:ascii="Book Antiqua" w:hAnsi="Book Antiqua" w:cs="宋体"/>
          <w:kern w:val="0"/>
          <w:sz w:val="24"/>
          <w:szCs w:val="24"/>
        </w:rPr>
        <w:t>Ahmadi-Ashtiani</w:t>
      </w:r>
      <w:proofErr w:type="spellEnd"/>
      <w:r w:rsidRPr="00F5231A">
        <w:rPr>
          <w:rFonts w:ascii="Book Antiqua" w:hAnsi="Book Antiqua" w:cs="宋体"/>
          <w:kern w:val="0"/>
          <w:sz w:val="24"/>
          <w:szCs w:val="24"/>
        </w:rPr>
        <w:t xml:space="preserve"> HR, </w:t>
      </w:r>
      <w:proofErr w:type="spellStart"/>
      <w:r w:rsidRPr="00F5231A">
        <w:rPr>
          <w:rFonts w:ascii="Book Antiqua" w:hAnsi="Book Antiqua" w:cs="宋体"/>
          <w:kern w:val="0"/>
          <w:sz w:val="24"/>
          <w:szCs w:val="24"/>
        </w:rPr>
        <w:t>Ansaripour</w:t>
      </w:r>
      <w:proofErr w:type="spellEnd"/>
      <w:r w:rsidRPr="00F5231A">
        <w:rPr>
          <w:rFonts w:ascii="Book Antiqua" w:hAnsi="Book Antiqua" w:cs="宋体"/>
          <w:kern w:val="0"/>
          <w:sz w:val="24"/>
          <w:szCs w:val="24"/>
        </w:rPr>
        <w:t xml:space="preserve"> B, </w:t>
      </w:r>
      <w:proofErr w:type="spellStart"/>
      <w:r w:rsidRPr="00F5231A">
        <w:rPr>
          <w:rFonts w:ascii="Book Antiqua" w:hAnsi="Book Antiqua" w:cs="宋体"/>
          <w:kern w:val="0"/>
          <w:sz w:val="24"/>
          <w:szCs w:val="24"/>
        </w:rPr>
        <w:t>Alighardashi</w:t>
      </w:r>
      <w:proofErr w:type="spellEnd"/>
      <w:r w:rsidRPr="00F5231A">
        <w:rPr>
          <w:rFonts w:ascii="Book Antiqua" w:hAnsi="Book Antiqua" w:cs="宋体"/>
          <w:kern w:val="0"/>
          <w:sz w:val="24"/>
          <w:szCs w:val="24"/>
        </w:rPr>
        <w:t xml:space="preserve"> M, </w:t>
      </w:r>
      <w:proofErr w:type="spellStart"/>
      <w:r w:rsidRPr="00F5231A">
        <w:rPr>
          <w:rFonts w:ascii="Book Antiqua" w:hAnsi="Book Antiqua" w:cs="宋体"/>
          <w:kern w:val="0"/>
          <w:sz w:val="24"/>
          <w:szCs w:val="24"/>
        </w:rPr>
        <w:t>Bashashati</w:t>
      </w:r>
      <w:proofErr w:type="spellEnd"/>
      <w:r w:rsidRPr="00F5231A">
        <w:rPr>
          <w:rFonts w:ascii="Book Antiqua" w:hAnsi="Book Antiqua" w:cs="宋体"/>
          <w:kern w:val="0"/>
          <w:sz w:val="24"/>
          <w:szCs w:val="24"/>
        </w:rPr>
        <w:t xml:space="preserve"> M, </w:t>
      </w:r>
      <w:proofErr w:type="spellStart"/>
      <w:r w:rsidRPr="00F5231A">
        <w:rPr>
          <w:rFonts w:ascii="Book Antiqua" w:hAnsi="Book Antiqua" w:cs="宋体"/>
          <w:kern w:val="0"/>
          <w:sz w:val="24"/>
          <w:szCs w:val="24"/>
        </w:rPr>
        <w:t>Amirzargar</w:t>
      </w:r>
      <w:proofErr w:type="spellEnd"/>
      <w:r w:rsidRPr="00F5231A">
        <w:rPr>
          <w:rFonts w:ascii="Book Antiqua" w:hAnsi="Book Antiqua" w:cs="宋体"/>
          <w:kern w:val="0"/>
          <w:sz w:val="24"/>
          <w:szCs w:val="24"/>
        </w:rPr>
        <w:t xml:space="preserve"> AA, </w:t>
      </w:r>
      <w:proofErr w:type="spellStart"/>
      <w:r w:rsidRPr="00F5231A">
        <w:rPr>
          <w:rFonts w:ascii="Book Antiqua" w:hAnsi="Book Antiqua" w:cs="宋体"/>
          <w:kern w:val="0"/>
          <w:sz w:val="24"/>
          <w:szCs w:val="24"/>
        </w:rPr>
        <w:t>Ebrahimi-Daryani</w:t>
      </w:r>
      <w:proofErr w:type="spellEnd"/>
      <w:r w:rsidRPr="00F5231A">
        <w:rPr>
          <w:rFonts w:ascii="Book Antiqua" w:hAnsi="Book Antiqua" w:cs="宋体"/>
          <w:kern w:val="0"/>
          <w:sz w:val="24"/>
          <w:szCs w:val="24"/>
        </w:rPr>
        <w:t xml:space="preserve"> N. T-helper 1, T-helper 2, and T-regulatory cytokines gene polymorphisms in irritable bowel syndrome.</w:t>
      </w:r>
      <w:r w:rsidRPr="000C1102">
        <w:rPr>
          <w:rFonts w:ascii="Book Antiqua" w:hAnsi="Book Antiqua" w:cs="宋体"/>
          <w:kern w:val="0"/>
          <w:sz w:val="24"/>
          <w:szCs w:val="24"/>
        </w:rPr>
        <w:t> </w:t>
      </w:r>
      <w:r w:rsidRPr="00F5231A">
        <w:rPr>
          <w:rFonts w:ascii="Book Antiqua" w:hAnsi="Book Antiqua" w:cs="宋体"/>
          <w:i/>
          <w:iCs/>
          <w:kern w:val="0"/>
          <w:sz w:val="24"/>
          <w:szCs w:val="24"/>
        </w:rPr>
        <w:t>Inflammation</w:t>
      </w:r>
      <w:r w:rsidRPr="000C1102">
        <w:rPr>
          <w:rFonts w:ascii="Book Antiqua" w:hAnsi="Book Antiqua" w:cs="宋体"/>
          <w:kern w:val="0"/>
          <w:sz w:val="24"/>
          <w:szCs w:val="24"/>
        </w:rPr>
        <w:t> </w:t>
      </w:r>
      <w:r w:rsidRPr="00F5231A">
        <w:rPr>
          <w:rFonts w:ascii="Book Antiqua" w:hAnsi="Book Antiqua" w:cs="宋体"/>
          <w:kern w:val="0"/>
          <w:sz w:val="24"/>
          <w:szCs w:val="24"/>
        </w:rPr>
        <w:t>2010;</w:t>
      </w:r>
      <w:r w:rsidRPr="000C1102">
        <w:rPr>
          <w:rFonts w:ascii="Book Antiqua" w:hAnsi="Book Antiqua" w:cs="宋体"/>
          <w:kern w:val="0"/>
          <w:sz w:val="24"/>
          <w:szCs w:val="24"/>
        </w:rPr>
        <w:t> </w:t>
      </w:r>
      <w:r w:rsidRPr="00F5231A">
        <w:rPr>
          <w:rFonts w:ascii="Book Antiqua" w:hAnsi="Book Antiqua" w:cs="宋体"/>
          <w:b/>
          <w:bCs/>
          <w:kern w:val="0"/>
          <w:sz w:val="24"/>
          <w:szCs w:val="24"/>
        </w:rPr>
        <w:t>33</w:t>
      </w:r>
      <w:r w:rsidRPr="00F5231A">
        <w:rPr>
          <w:rFonts w:ascii="Book Antiqua" w:hAnsi="Book Antiqua" w:cs="宋体"/>
          <w:kern w:val="0"/>
          <w:sz w:val="24"/>
          <w:szCs w:val="24"/>
        </w:rPr>
        <w:t>: 281-286 [PMID: 20177758 DOI: 10.1007/s10753-010-9183-6]</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19</w:t>
      </w:r>
      <w:r w:rsidRPr="000C1102">
        <w:rPr>
          <w:rFonts w:ascii="Book Antiqua" w:hAnsi="Book Antiqua" w:cs="宋体"/>
          <w:kern w:val="0"/>
          <w:sz w:val="24"/>
          <w:szCs w:val="24"/>
        </w:rPr>
        <w:t> </w:t>
      </w:r>
      <w:proofErr w:type="spellStart"/>
      <w:r w:rsidRPr="00F5231A">
        <w:rPr>
          <w:rFonts w:ascii="Book Antiqua" w:hAnsi="Book Antiqua" w:cs="宋体"/>
          <w:b/>
          <w:bCs/>
          <w:kern w:val="0"/>
          <w:sz w:val="24"/>
          <w:szCs w:val="24"/>
        </w:rPr>
        <w:t>Olivo</w:t>
      </w:r>
      <w:proofErr w:type="spellEnd"/>
      <w:r w:rsidRPr="00F5231A">
        <w:rPr>
          <w:rFonts w:ascii="Book Antiqua" w:hAnsi="Book Antiqua" w:cs="宋体"/>
          <w:b/>
          <w:bCs/>
          <w:kern w:val="0"/>
          <w:sz w:val="24"/>
          <w:szCs w:val="24"/>
        </w:rPr>
        <w:t>-Diaz A</w:t>
      </w:r>
      <w:r w:rsidRPr="00F5231A">
        <w:rPr>
          <w:rFonts w:ascii="Book Antiqua" w:hAnsi="Book Antiqua" w:cs="宋体"/>
          <w:kern w:val="0"/>
          <w:sz w:val="24"/>
          <w:szCs w:val="24"/>
        </w:rPr>
        <w:t>, Romero-</w:t>
      </w:r>
      <w:proofErr w:type="spellStart"/>
      <w:r w:rsidRPr="00F5231A">
        <w:rPr>
          <w:rFonts w:ascii="Book Antiqua" w:hAnsi="Book Antiqua" w:cs="宋体"/>
          <w:kern w:val="0"/>
          <w:sz w:val="24"/>
          <w:szCs w:val="24"/>
        </w:rPr>
        <w:t>Valdovinos</w:t>
      </w:r>
      <w:proofErr w:type="spellEnd"/>
      <w:r w:rsidRPr="00F5231A">
        <w:rPr>
          <w:rFonts w:ascii="Book Antiqua" w:hAnsi="Book Antiqua" w:cs="宋体"/>
          <w:kern w:val="0"/>
          <w:sz w:val="24"/>
          <w:szCs w:val="24"/>
        </w:rPr>
        <w:t xml:space="preserve"> M, </w:t>
      </w:r>
      <w:proofErr w:type="spellStart"/>
      <w:r w:rsidRPr="00F5231A">
        <w:rPr>
          <w:rFonts w:ascii="Book Antiqua" w:hAnsi="Book Antiqua" w:cs="宋体"/>
          <w:kern w:val="0"/>
          <w:sz w:val="24"/>
          <w:szCs w:val="24"/>
        </w:rPr>
        <w:t>Gudiño</w:t>
      </w:r>
      <w:proofErr w:type="spellEnd"/>
      <w:r w:rsidRPr="00F5231A">
        <w:rPr>
          <w:rFonts w:ascii="Book Antiqua" w:hAnsi="Book Antiqua" w:cs="宋体"/>
          <w:kern w:val="0"/>
          <w:sz w:val="24"/>
          <w:szCs w:val="24"/>
        </w:rPr>
        <w:t>-Ramirez A, Reyes-</w:t>
      </w:r>
      <w:proofErr w:type="spellStart"/>
      <w:r w:rsidRPr="00F5231A">
        <w:rPr>
          <w:rFonts w:ascii="Book Antiqua" w:hAnsi="Book Antiqua" w:cs="宋体"/>
          <w:kern w:val="0"/>
          <w:sz w:val="24"/>
          <w:szCs w:val="24"/>
        </w:rPr>
        <w:t>Gordillo</w:t>
      </w:r>
      <w:proofErr w:type="spellEnd"/>
      <w:r w:rsidRPr="00F5231A">
        <w:rPr>
          <w:rFonts w:ascii="Book Antiqua" w:hAnsi="Book Antiqua" w:cs="宋体"/>
          <w:kern w:val="0"/>
          <w:sz w:val="24"/>
          <w:szCs w:val="24"/>
        </w:rPr>
        <w:t xml:space="preserve"> J, Jimenez-Gonzalez DE, Ramirez-Miranda ME, Martinez-Flores WA, Martinez-Hernandez F, </w:t>
      </w:r>
      <w:proofErr w:type="spellStart"/>
      <w:r w:rsidRPr="00F5231A">
        <w:rPr>
          <w:rFonts w:ascii="Book Antiqua" w:hAnsi="Book Antiqua" w:cs="宋体"/>
          <w:kern w:val="0"/>
          <w:sz w:val="24"/>
          <w:szCs w:val="24"/>
        </w:rPr>
        <w:t>Flisser</w:t>
      </w:r>
      <w:proofErr w:type="spellEnd"/>
      <w:r w:rsidRPr="00F5231A">
        <w:rPr>
          <w:rFonts w:ascii="Book Antiqua" w:hAnsi="Book Antiqua" w:cs="宋体"/>
          <w:kern w:val="0"/>
          <w:sz w:val="24"/>
          <w:szCs w:val="24"/>
        </w:rPr>
        <w:t xml:space="preserve"> A, </w:t>
      </w:r>
      <w:proofErr w:type="spellStart"/>
      <w:r w:rsidRPr="00F5231A">
        <w:rPr>
          <w:rFonts w:ascii="Book Antiqua" w:hAnsi="Book Antiqua" w:cs="宋体"/>
          <w:kern w:val="0"/>
          <w:sz w:val="24"/>
          <w:szCs w:val="24"/>
        </w:rPr>
        <w:t>Maravilla</w:t>
      </w:r>
      <w:proofErr w:type="spellEnd"/>
      <w:r w:rsidRPr="00F5231A">
        <w:rPr>
          <w:rFonts w:ascii="Book Antiqua" w:hAnsi="Book Antiqua" w:cs="宋体"/>
          <w:kern w:val="0"/>
          <w:sz w:val="24"/>
          <w:szCs w:val="24"/>
        </w:rPr>
        <w:t xml:space="preserve"> P. Findings related to IL-8 and IL-10 gene polymorphisms in a Mexican patient population with irritable bowel syndrome infected with </w:t>
      </w:r>
      <w:proofErr w:type="spellStart"/>
      <w:r w:rsidRPr="00F5231A">
        <w:rPr>
          <w:rFonts w:ascii="Book Antiqua" w:hAnsi="Book Antiqua" w:cs="宋体"/>
          <w:kern w:val="0"/>
          <w:sz w:val="24"/>
          <w:szCs w:val="24"/>
        </w:rPr>
        <w:t>Blastocystis</w:t>
      </w:r>
      <w:proofErr w:type="spellEnd"/>
      <w:r w:rsidRPr="00F5231A">
        <w:rPr>
          <w:rFonts w:ascii="Book Antiqua" w:hAnsi="Book Antiqua" w:cs="宋体"/>
          <w:kern w:val="0"/>
          <w:sz w:val="24"/>
          <w:szCs w:val="24"/>
        </w:rPr>
        <w:t>.</w:t>
      </w:r>
      <w:r w:rsidRPr="000C1102">
        <w:rPr>
          <w:rFonts w:ascii="Book Antiqua" w:hAnsi="Book Antiqua" w:cs="宋体"/>
          <w:kern w:val="0"/>
          <w:sz w:val="24"/>
          <w:szCs w:val="24"/>
        </w:rPr>
        <w:t> </w:t>
      </w:r>
      <w:proofErr w:type="spellStart"/>
      <w:r w:rsidRPr="00F5231A">
        <w:rPr>
          <w:rFonts w:ascii="Book Antiqua" w:hAnsi="Book Antiqua" w:cs="宋体"/>
          <w:i/>
          <w:iCs/>
          <w:kern w:val="0"/>
          <w:sz w:val="24"/>
          <w:szCs w:val="24"/>
        </w:rPr>
        <w:t>Parasitol</w:t>
      </w:r>
      <w:proofErr w:type="spellEnd"/>
      <w:r w:rsidRPr="00F5231A">
        <w:rPr>
          <w:rFonts w:ascii="Book Antiqua" w:hAnsi="Book Antiqua" w:cs="宋体"/>
          <w:i/>
          <w:iCs/>
          <w:kern w:val="0"/>
          <w:sz w:val="24"/>
          <w:szCs w:val="24"/>
        </w:rPr>
        <w:t xml:space="preserve"> Res</w:t>
      </w:r>
      <w:r w:rsidRPr="000C1102">
        <w:rPr>
          <w:rFonts w:ascii="Book Antiqua" w:hAnsi="Book Antiqua" w:cs="宋体"/>
          <w:kern w:val="0"/>
          <w:sz w:val="24"/>
          <w:szCs w:val="24"/>
        </w:rPr>
        <w:t> </w:t>
      </w:r>
      <w:r w:rsidRPr="00F5231A">
        <w:rPr>
          <w:rFonts w:ascii="Book Antiqua" w:hAnsi="Book Antiqua" w:cs="宋体"/>
          <w:kern w:val="0"/>
          <w:sz w:val="24"/>
          <w:szCs w:val="24"/>
        </w:rPr>
        <w:t>2012;</w:t>
      </w:r>
      <w:r w:rsidRPr="000C1102">
        <w:rPr>
          <w:rFonts w:ascii="Book Antiqua" w:hAnsi="Book Antiqua" w:cs="宋体"/>
          <w:kern w:val="0"/>
          <w:sz w:val="24"/>
          <w:szCs w:val="24"/>
        </w:rPr>
        <w:t> </w:t>
      </w:r>
      <w:r w:rsidRPr="00F5231A">
        <w:rPr>
          <w:rFonts w:ascii="Book Antiqua" w:hAnsi="Book Antiqua" w:cs="宋体"/>
          <w:b/>
          <w:bCs/>
          <w:kern w:val="0"/>
          <w:sz w:val="24"/>
          <w:szCs w:val="24"/>
        </w:rPr>
        <w:t>111</w:t>
      </w:r>
      <w:r w:rsidRPr="00F5231A">
        <w:rPr>
          <w:rFonts w:ascii="Book Antiqua" w:hAnsi="Book Antiqua" w:cs="宋体"/>
          <w:kern w:val="0"/>
          <w:sz w:val="24"/>
          <w:szCs w:val="24"/>
        </w:rPr>
        <w:t>: 487-491 [PMID: 22287022 DOI: 10.1007/s00436-012-2830-0]</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20</w:t>
      </w:r>
      <w:r w:rsidRPr="000C1102">
        <w:rPr>
          <w:rFonts w:ascii="Book Antiqua" w:hAnsi="Book Antiqua" w:cs="宋体"/>
          <w:kern w:val="0"/>
          <w:sz w:val="24"/>
          <w:szCs w:val="24"/>
        </w:rPr>
        <w:t> </w:t>
      </w:r>
      <w:r w:rsidRPr="00F5231A">
        <w:rPr>
          <w:rFonts w:ascii="Book Antiqua" w:hAnsi="Book Antiqua" w:cs="宋体"/>
          <w:b/>
          <w:bCs/>
          <w:kern w:val="0"/>
          <w:sz w:val="24"/>
          <w:szCs w:val="24"/>
        </w:rPr>
        <w:t>Romero-</w:t>
      </w:r>
      <w:proofErr w:type="spellStart"/>
      <w:r w:rsidRPr="00F5231A">
        <w:rPr>
          <w:rFonts w:ascii="Book Antiqua" w:hAnsi="Book Antiqua" w:cs="宋体"/>
          <w:b/>
          <w:bCs/>
          <w:kern w:val="0"/>
          <w:sz w:val="24"/>
          <w:szCs w:val="24"/>
        </w:rPr>
        <w:t>Valdovinos</w:t>
      </w:r>
      <w:proofErr w:type="spellEnd"/>
      <w:r w:rsidRPr="00F5231A">
        <w:rPr>
          <w:rFonts w:ascii="Book Antiqua" w:hAnsi="Book Antiqua" w:cs="宋体"/>
          <w:b/>
          <w:bCs/>
          <w:kern w:val="0"/>
          <w:sz w:val="24"/>
          <w:szCs w:val="24"/>
        </w:rPr>
        <w:t xml:space="preserve"> M</w:t>
      </w:r>
      <w:r w:rsidRPr="00F5231A">
        <w:rPr>
          <w:rFonts w:ascii="Book Antiqua" w:hAnsi="Book Antiqua" w:cs="宋体"/>
          <w:kern w:val="0"/>
          <w:sz w:val="24"/>
          <w:szCs w:val="24"/>
        </w:rPr>
        <w:t xml:space="preserve">, </w:t>
      </w:r>
      <w:proofErr w:type="spellStart"/>
      <w:r w:rsidRPr="00F5231A">
        <w:rPr>
          <w:rFonts w:ascii="Book Antiqua" w:hAnsi="Book Antiqua" w:cs="宋体"/>
          <w:kern w:val="0"/>
          <w:sz w:val="24"/>
          <w:szCs w:val="24"/>
        </w:rPr>
        <w:t>Gudiño-Ramírez</w:t>
      </w:r>
      <w:proofErr w:type="spellEnd"/>
      <w:r w:rsidRPr="00F5231A">
        <w:rPr>
          <w:rFonts w:ascii="Book Antiqua" w:hAnsi="Book Antiqua" w:cs="宋体"/>
          <w:kern w:val="0"/>
          <w:sz w:val="24"/>
          <w:szCs w:val="24"/>
        </w:rPr>
        <w:t xml:space="preserve"> A, Reyes-</w:t>
      </w:r>
      <w:proofErr w:type="spellStart"/>
      <w:r w:rsidRPr="00F5231A">
        <w:rPr>
          <w:rFonts w:ascii="Book Antiqua" w:hAnsi="Book Antiqua" w:cs="宋体"/>
          <w:kern w:val="0"/>
          <w:sz w:val="24"/>
          <w:szCs w:val="24"/>
        </w:rPr>
        <w:t>Gordillo</w:t>
      </w:r>
      <w:proofErr w:type="spellEnd"/>
      <w:r w:rsidRPr="00F5231A">
        <w:rPr>
          <w:rFonts w:ascii="Book Antiqua" w:hAnsi="Book Antiqua" w:cs="宋体"/>
          <w:kern w:val="0"/>
          <w:sz w:val="24"/>
          <w:szCs w:val="24"/>
        </w:rPr>
        <w:t xml:space="preserve"> J, </w:t>
      </w:r>
      <w:proofErr w:type="spellStart"/>
      <w:r w:rsidRPr="00F5231A">
        <w:rPr>
          <w:rFonts w:ascii="Book Antiqua" w:hAnsi="Book Antiqua" w:cs="宋体"/>
          <w:kern w:val="0"/>
          <w:sz w:val="24"/>
          <w:szCs w:val="24"/>
        </w:rPr>
        <w:t>Martínez</w:t>
      </w:r>
      <w:proofErr w:type="spellEnd"/>
      <w:r w:rsidRPr="00F5231A">
        <w:rPr>
          <w:rFonts w:ascii="Book Antiqua" w:hAnsi="Book Antiqua" w:cs="宋体"/>
          <w:kern w:val="0"/>
          <w:sz w:val="24"/>
          <w:szCs w:val="24"/>
        </w:rPr>
        <w:t xml:space="preserve">-Flores WA, </w:t>
      </w:r>
      <w:proofErr w:type="spellStart"/>
      <w:r w:rsidRPr="00F5231A">
        <w:rPr>
          <w:rFonts w:ascii="Book Antiqua" w:hAnsi="Book Antiqua" w:cs="宋体"/>
          <w:kern w:val="0"/>
          <w:sz w:val="24"/>
          <w:szCs w:val="24"/>
        </w:rPr>
        <w:t>Ramírez</w:t>
      </w:r>
      <w:proofErr w:type="spellEnd"/>
      <w:r w:rsidRPr="00F5231A">
        <w:rPr>
          <w:rFonts w:ascii="Book Antiqua" w:hAnsi="Book Antiqua" w:cs="宋体"/>
          <w:kern w:val="0"/>
          <w:sz w:val="24"/>
          <w:szCs w:val="24"/>
        </w:rPr>
        <w:t xml:space="preserve">-Miranda ME, </w:t>
      </w:r>
      <w:proofErr w:type="spellStart"/>
      <w:r w:rsidRPr="00F5231A">
        <w:rPr>
          <w:rFonts w:ascii="Book Antiqua" w:hAnsi="Book Antiqua" w:cs="宋体"/>
          <w:kern w:val="0"/>
          <w:sz w:val="24"/>
          <w:szCs w:val="24"/>
        </w:rPr>
        <w:t>Maravilla</w:t>
      </w:r>
      <w:proofErr w:type="spellEnd"/>
      <w:r w:rsidRPr="00F5231A">
        <w:rPr>
          <w:rFonts w:ascii="Book Antiqua" w:hAnsi="Book Antiqua" w:cs="宋体"/>
          <w:kern w:val="0"/>
          <w:sz w:val="24"/>
          <w:szCs w:val="24"/>
        </w:rPr>
        <w:t xml:space="preserve"> P, </w:t>
      </w:r>
      <w:proofErr w:type="spellStart"/>
      <w:r w:rsidRPr="00F5231A">
        <w:rPr>
          <w:rFonts w:ascii="Book Antiqua" w:hAnsi="Book Antiqua" w:cs="宋体"/>
          <w:kern w:val="0"/>
          <w:sz w:val="24"/>
          <w:szCs w:val="24"/>
        </w:rPr>
        <w:t>Olivo-Díaz</w:t>
      </w:r>
      <w:proofErr w:type="spellEnd"/>
      <w:r w:rsidRPr="00F5231A">
        <w:rPr>
          <w:rFonts w:ascii="Book Antiqua" w:hAnsi="Book Antiqua" w:cs="宋体"/>
          <w:kern w:val="0"/>
          <w:sz w:val="24"/>
          <w:szCs w:val="24"/>
        </w:rPr>
        <w:t xml:space="preserve"> A. Interleukin-8 and -10 gene polymorphisms in irritable bowel syndrome.</w:t>
      </w:r>
      <w:r w:rsidRPr="000C1102">
        <w:rPr>
          <w:rFonts w:ascii="Book Antiqua" w:hAnsi="Book Antiqua" w:cs="宋体"/>
          <w:kern w:val="0"/>
          <w:sz w:val="24"/>
          <w:szCs w:val="24"/>
        </w:rPr>
        <w:t> </w:t>
      </w:r>
      <w:proofErr w:type="spellStart"/>
      <w:r w:rsidRPr="00F5231A">
        <w:rPr>
          <w:rFonts w:ascii="Book Antiqua" w:hAnsi="Book Antiqua" w:cs="宋体"/>
          <w:i/>
          <w:iCs/>
          <w:kern w:val="0"/>
          <w:sz w:val="24"/>
          <w:szCs w:val="24"/>
        </w:rPr>
        <w:t>Mol</w:t>
      </w:r>
      <w:proofErr w:type="spellEnd"/>
      <w:r w:rsidRPr="00F5231A">
        <w:rPr>
          <w:rFonts w:ascii="Book Antiqua" w:hAnsi="Book Antiqua" w:cs="宋体"/>
          <w:i/>
          <w:iCs/>
          <w:kern w:val="0"/>
          <w:sz w:val="24"/>
          <w:szCs w:val="24"/>
        </w:rPr>
        <w:t xml:space="preserve"> </w:t>
      </w:r>
      <w:proofErr w:type="spellStart"/>
      <w:r w:rsidRPr="00F5231A">
        <w:rPr>
          <w:rFonts w:ascii="Book Antiqua" w:hAnsi="Book Antiqua" w:cs="宋体"/>
          <w:i/>
          <w:iCs/>
          <w:kern w:val="0"/>
          <w:sz w:val="24"/>
          <w:szCs w:val="24"/>
        </w:rPr>
        <w:t>Biol</w:t>
      </w:r>
      <w:proofErr w:type="spellEnd"/>
      <w:r w:rsidRPr="00F5231A">
        <w:rPr>
          <w:rFonts w:ascii="Book Antiqua" w:hAnsi="Book Antiqua" w:cs="宋体"/>
          <w:i/>
          <w:iCs/>
          <w:kern w:val="0"/>
          <w:sz w:val="24"/>
          <w:szCs w:val="24"/>
        </w:rPr>
        <w:t xml:space="preserve"> Rep</w:t>
      </w:r>
      <w:r w:rsidRPr="000C1102">
        <w:rPr>
          <w:rFonts w:ascii="Book Antiqua" w:hAnsi="Book Antiqua" w:cs="宋体"/>
          <w:kern w:val="0"/>
          <w:sz w:val="24"/>
          <w:szCs w:val="24"/>
        </w:rPr>
        <w:t> </w:t>
      </w:r>
      <w:r w:rsidRPr="00F5231A">
        <w:rPr>
          <w:rFonts w:ascii="Book Antiqua" w:hAnsi="Book Antiqua" w:cs="宋体"/>
          <w:kern w:val="0"/>
          <w:sz w:val="24"/>
          <w:szCs w:val="24"/>
        </w:rPr>
        <w:t>2012;</w:t>
      </w:r>
      <w:r w:rsidRPr="000C1102">
        <w:rPr>
          <w:rFonts w:ascii="Book Antiqua" w:hAnsi="Book Antiqua" w:cs="宋体"/>
          <w:kern w:val="0"/>
          <w:sz w:val="24"/>
          <w:szCs w:val="24"/>
        </w:rPr>
        <w:t> </w:t>
      </w:r>
      <w:r w:rsidRPr="00F5231A">
        <w:rPr>
          <w:rFonts w:ascii="Book Antiqua" w:hAnsi="Book Antiqua" w:cs="宋体"/>
          <w:b/>
          <w:bCs/>
          <w:kern w:val="0"/>
          <w:sz w:val="24"/>
          <w:szCs w:val="24"/>
        </w:rPr>
        <w:t>39</w:t>
      </w:r>
      <w:r w:rsidRPr="00F5231A">
        <w:rPr>
          <w:rFonts w:ascii="Book Antiqua" w:hAnsi="Book Antiqua" w:cs="宋体"/>
          <w:kern w:val="0"/>
          <w:sz w:val="24"/>
          <w:szCs w:val="24"/>
        </w:rPr>
        <w:t>: 8837-8843 [PMID: 22740130 DOI: 10.1007/s11033-012-1745-2]</w:t>
      </w:r>
    </w:p>
    <w:p w:rsidR="00AC73D6" w:rsidRPr="00F5231A" w:rsidRDefault="00AC73D6" w:rsidP="001F595B">
      <w:pPr>
        <w:spacing w:line="360" w:lineRule="auto"/>
        <w:rPr>
          <w:rFonts w:ascii="Book Antiqua" w:hAnsi="Book Antiqua" w:cs="宋体"/>
          <w:kern w:val="0"/>
          <w:sz w:val="24"/>
          <w:szCs w:val="24"/>
        </w:rPr>
      </w:pPr>
      <w:proofErr w:type="gramStart"/>
      <w:r w:rsidRPr="00F5231A">
        <w:rPr>
          <w:rFonts w:ascii="Book Antiqua" w:hAnsi="Book Antiqua" w:cs="宋体"/>
          <w:kern w:val="0"/>
          <w:sz w:val="24"/>
          <w:szCs w:val="24"/>
        </w:rPr>
        <w:t>21</w:t>
      </w:r>
      <w:r w:rsidRPr="000C1102">
        <w:rPr>
          <w:rFonts w:ascii="Book Antiqua" w:hAnsi="Book Antiqua" w:cs="宋体"/>
          <w:kern w:val="0"/>
          <w:sz w:val="24"/>
          <w:szCs w:val="24"/>
        </w:rPr>
        <w:t> </w:t>
      </w:r>
      <w:proofErr w:type="spellStart"/>
      <w:r w:rsidRPr="00F5231A">
        <w:rPr>
          <w:rFonts w:ascii="Book Antiqua" w:hAnsi="Book Antiqua" w:cs="宋体"/>
          <w:b/>
          <w:bCs/>
          <w:kern w:val="0"/>
          <w:sz w:val="24"/>
          <w:szCs w:val="24"/>
        </w:rPr>
        <w:t>Gonsalkorale</w:t>
      </w:r>
      <w:proofErr w:type="spellEnd"/>
      <w:r w:rsidRPr="00F5231A">
        <w:rPr>
          <w:rFonts w:ascii="Book Antiqua" w:hAnsi="Book Antiqua" w:cs="宋体"/>
          <w:b/>
          <w:bCs/>
          <w:kern w:val="0"/>
          <w:sz w:val="24"/>
          <w:szCs w:val="24"/>
        </w:rPr>
        <w:t xml:space="preserve"> WM</w:t>
      </w:r>
      <w:r w:rsidRPr="00F5231A">
        <w:rPr>
          <w:rFonts w:ascii="Book Antiqua" w:hAnsi="Book Antiqua" w:cs="宋体"/>
          <w:kern w:val="0"/>
          <w:sz w:val="24"/>
          <w:szCs w:val="24"/>
        </w:rPr>
        <w:t xml:space="preserve">, </w:t>
      </w:r>
      <w:proofErr w:type="spellStart"/>
      <w:r w:rsidRPr="00F5231A">
        <w:rPr>
          <w:rFonts w:ascii="Book Antiqua" w:hAnsi="Book Antiqua" w:cs="宋体"/>
          <w:kern w:val="0"/>
          <w:sz w:val="24"/>
          <w:szCs w:val="24"/>
        </w:rPr>
        <w:t>Perrey</w:t>
      </w:r>
      <w:proofErr w:type="spellEnd"/>
      <w:r w:rsidRPr="00F5231A">
        <w:rPr>
          <w:rFonts w:ascii="Book Antiqua" w:hAnsi="Book Antiqua" w:cs="宋体"/>
          <w:kern w:val="0"/>
          <w:sz w:val="24"/>
          <w:szCs w:val="24"/>
        </w:rPr>
        <w:t xml:space="preserve"> C, </w:t>
      </w:r>
      <w:proofErr w:type="spellStart"/>
      <w:r w:rsidRPr="00F5231A">
        <w:rPr>
          <w:rFonts w:ascii="Book Antiqua" w:hAnsi="Book Antiqua" w:cs="宋体"/>
          <w:kern w:val="0"/>
          <w:sz w:val="24"/>
          <w:szCs w:val="24"/>
        </w:rPr>
        <w:t>Pravica</w:t>
      </w:r>
      <w:proofErr w:type="spellEnd"/>
      <w:r w:rsidRPr="00F5231A">
        <w:rPr>
          <w:rFonts w:ascii="Book Antiqua" w:hAnsi="Book Antiqua" w:cs="宋体"/>
          <w:kern w:val="0"/>
          <w:sz w:val="24"/>
          <w:szCs w:val="24"/>
        </w:rPr>
        <w:t xml:space="preserve"> V, </w:t>
      </w:r>
      <w:proofErr w:type="spellStart"/>
      <w:r w:rsidRPr="00F5231A">
        <w:rPr>
          <w:rFonts w:ascii="Book Antiqua" w:hAnsi="Book Antiqua" w:cs="宋体"/>
          <w:kern w:val="0"/>
          <w:sz w:val="24"/>
          <w:szCs w:val="24"/>
        </w:rPr>
        <w:t>Whorwell</w:t>
      </w:r>
      <w:proofErr w:type="spellEnd"/>
      <w:r w:rsidRPr="00F5231A">
        <w:rPr>
          <w:rFonts w:ascii="Book Antiqua" w:hAnsi="Book Antiqua" w:cs="宋体"/>
          <w:kern w:val="0"/>
          <w:sz w:val="24"/>
          <w:szCs w:val="24"/>
        </w:rPr>
        <w:t xml:space="preserve"> PJ, Hutchinson IV.</w:t>
      </w:r>
      <w:proofErr w:type="gramEnd"/>
      <w:r w:rsidRPr="00F5231A">
        <w:rPr>
          <w:rFonts w:ascii="Book Antiqua" w:hAnsi="Book Antiqua" w:cs="宋体"/>
          <w:kern w:val="0"/>
          <w:sz w:val="24"/>
          <w:szCs w:val="24"/>
        </w:rPr>
        <w:t xml:space="preserve"> Interleukin 10 genotypes in irritable bowel syndrome: evidence for an inflammatory component?</w:t>
      </w:r>
      <w:r w:rsidRPr="000C1102">
        <w:rPr>
          <w:rFonts w:ascii="Book Antiqua" w:hAnsi="Book Antiqua" w:cs="宋体"/>
          <w:kern w:val="0"/>
          <w:sz w:val="24"/>
          <w:szCs w:val="24"/>
        </w:rPr>
        <w:t> </w:t>
      </w:r>
      <w:r w:rsidRPr="00F5231A">
        <w:rPr>
          <w:rFonts w:ascii="Book Antiqua" w:hAnsi="Book Antiqua" w:cs="宋体"/>
          <w:i/>
          <w:iCs/>
          <w:kern w:val="0"/>
          <w:sz w:val="24"/>
          <w:szCs w:val="24"/>
        </w:rPr>
        <w:t>Gut</w:t>
      </w:r>
      <w:r w:rsidRPr="000C1102">
        <w:rPr>
          <w:rFonts w:ascii="Book Antiqua" w:hAnsi="Book Antiqua" w:cs="宋体"/>
          <w:kern w:val="0"/>
          <w:sz w:val="24"/>
          <w:szCs w:val="24"/>
        </w:rPr>
        <w:t> </w:t>
      </w:r>
      <w:r w:rsidRPr="00F5231A">
        <w:rPr>
          <w:rFonts w:ascii="Book Antiqua" w:hAnsi="Book Antiqua" w:cs="宋体"/>
          <w:kern w:val="0"/>
          <w:sz w:val="24"/>
          <w:szCs w:val="24"/>
        </w:rPr>
        <w:t>2003;</w:t>
      </w:r>
      <w:r w:rsidRPr="000C1102">
        <w:rPr>
          <w:rFonts w:ascii="Book Antiqua" w:hAnsi="Book Antiqua" w:cs="宋体"/>
          <w:kern w:val="0"/>
          <w:sz w:val="24"/>
          <w:szCs w:val="24"/>
        </w:rPr>
        <w:t> </w:t>
      </w:r>
      <w:r w:rsidRPr="00F5231A">
        <w:rPr>
          <w:rFonts w:ascii="Book Antiqua" w:hAnsi="Book Antiqua" w:cs="宋体"/>
          <w:b/>
          <w:bCs/>
          <w:kern w:val="0"/>
          <w:sz w:val="24"/>
          <w:szCs w:val="24"/>
        </w:rPr>
        <w:t>52</w:t>
      </w:r>
      <w:r w:rsidRPr="00F5231A">
        <w:rPr>
          <w:rFonts w:ascii="Book Antiqua" w:hAnsi="Book Antiqua" w:cs="宋体"/>
          <w:kern w:val="0"/>
          <w:sz w:val="24"/>
          <w:szCs w:val="24"/>
        </w:rPr>
        <w:t>: 91-93 [PMID: 12477767]</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22</w:t>
      </w:r>
      <w:r w:rsidRPr="000C1102">
        <w:rPr>
          <w:rFonts w:ascii="Book Antiqua" w:hAnsi="Book Antiqua" w:cs="宋体"/>
          <w:kern w:val="0"/>
          <w:sz w:val="24"/>
          <w:szCs w:val="24"/>
        </w:rPr>
        <w:t> </w:t>
      </w:r>
      <w:r w:rsidRPr="00F5231A">
        <w:rPr>
          <w:rFonts w:ascii="Book Antiqua" w:hAnsi="Book Antiqua" w:cs="宋体"/>
          <w:b/>
          <w:bCs/>
          <w:kern w:val="0"/>
          <w:sz w:val="24"/>
          <w:szCs w:val="24"/>
        </w:rPr>
        <w:t>Lee HJ</w:t>
      </w:r>
      <w:r w:rsidRPr="00F5231A">
        <w:rPr>
          <w:rFonts w:ascii="Book Antiqua" w:hAnsi="Book Antiqua" w:cs="宋体"/>
          <w:kern w:val="0"/>
          <w:sz w:val="24"/>
          <w:szCs w:val="24"/>
        </w:rPr>
        <w:t xml:space="preserve">, Lee SY, Choi JE, Kim JH, Sung IK, Park HS, Jin CJ. </w:t>
      </w:r>
      <w:proofErr w:type="gramStart"/>
      <w:r w:rsidRPr="00F5231A">
        <w:rPr>
          <w:rFonts w:ascii="Book Antiqua" w:hAnsi="Book Antiqua" w:cs="宋体"/>
          <w:kern w:val="0"/>
          <w:sz w:val="24"/>
          <w:szCs w:val="24"/>
        </w:rPr>
        <w:t>G protein beta3 subunit, interleukin-10, and tumor necrosis factor-alpha gene polymorphisms in Koreans with irritable bowel syndrome.</w:t>
      </w:r>
      <w:proofErr w:type="gramEnd"/>
      <w:r w:rsidRPr="000C1102">
        <w:rPr>
          <w:rFonts w:ascii="Book Antiqua" w:hAnsi="Book Antiqua" w:cs="宋体"/>
          <w:kern w:val="0"/>
          <w:sz w:val="24"/>
          <w:szCs w:val="24"/>
        </w:rPr>
        <w:t> </w:t>
      </w:r>
      <w:proofErr w:type="spellStart"/>
      <w:r w:rsidRPr="00F5231A">
        <w:rPr>
          <w:rFonts w:ascii="Book Antiqua" w:hAnsi="Book Antiqua" w:cs="宋体"/>
          <w:i/>
          <w:iCs/>
          <w:kern w:val="0"/>
          <w:sz w:val="24"/>
          <w:szCs w:val="24"/>
        </w:rPr>
        <w:t>Neurogastroenterol</w:t>
      </w:r>
      <w:proofErr w:type="spellEnd"/>
      <w:r w:rsidRPr="00F5231A">
        <w:rPr>
          <w:rFonts w:ascii="Book Antiqua" w:hAnsi="Book Antiqua" w:cs="宋体"/>
          <w:i/>
          <w:iCs/>
          <w:kern w:val="0"/>
          <w:sz w:val="24"/>
          <w:szCs w:val="24"/>
        </w:rPr>
        <w:t xml:space="preserve"> </w:t>
      </w:r>
      <w:proofErr w:type="spellStart"/>
      <w:r w:rsidRPr="00F5231A">
        <w:rPr>
          <w:rFonts w:ascii="Book Antiqua" w:hAnsi="Book Antiqua" w:cs="宋体"/>
          <w:i/>
          <w:iCs/>
          <w:kern w:val="0"/>
          <w:sz w:val="24"/>
          <w:szCs w:val="24"/>
        </w:rPr>
        <w:t>Motil</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2010;</w:t>
      </w:r>
      <w:r w:rsidRPr="000C1102">
        <w:rPr>
          <w:rFonts w:ascii="Book Antiqua" w:hAnsi="Book Antiqua" w:cs="宋体"/>
          <w:kern w:val="0"/>
          <w:sz w:val="24"/>
          <w:szCs w:val="24"/>
        </w:rPr>
        <w:t> </w:t>
      </w:r>
      <w:r w:rsidRPr="00F5231A">
        <w:rPr>
          <w:rFonts w:ascii="Book Antiqua" w:hAnsi="Book Antiqua" w:cs="宋体"/>
          <w:b/>
          <w:bCs/>
          <w:kern w:val="0"/>
          <w:sz w:val="24"/>
          <w:szCs w:val="24"/>
        </w:rPr>
        <w:t>22</w:t>
      </w:r>
      <w:r w:rsidRPr="00F5231A">
        <w:rPr>
          <w:rFonts w:ascii="Book Antiqua" w:hAnsi="Book Antiqua" w:cs="宋体"/>
          <w:kern w:val="0"/>
          <w:sz w:val="24"/>
          <w:szCs w:val="24"/>
        </w:rPr>
        <w:t>: 758-763 [PMID: 20337945 DOI: 10.1111/j.1365-2982.2010.01496.x]</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23</w:t>
      </w:r>
      <w:r w:rsidRPr="000C1102">
        <w:rPr>
          <w:rFonts w:ascii="Book Antiqua" w:hAnsi="Book Antiqua" w:cs="宋体"/>
          <w:kern w:val="0"/>
          <w:sz w:val="24"/>
          <w:szCs w:val="24"/>
        </w:rPr>
        <w:t> </w:t>
      </w:r>
      <w:proofErr w:type="spellStart"/>
      <w:r w:rsidRPr="00F5231A">
        <w:rPr>
          <w:rFonts w:ascii="Book Antiqua" w:hAnsi="Book Antiqua" w:cs="宋体"/>
          <w:b/>
          <w:bCs/>
          <w:kern w:val="0"/>
          <w:sz w:val="24"/>
          <w:szCs w:val="24"/>
        </w:rPr>
        <w:t>Santhosh</w:t>
      </w:r>
      <w:proofErr w:type="spellEnd"/>
      <w:r w:rsidRPr="00F5231A">
        <w:rPr>
          <w:rFonts w:ascii="Book Antiqua" w:hAnsi="Book Antiqua" w:cs="宋体"/>
          <w:b/>
          <w:bCs/>
          <w:kern w:val="0"/>
          <w:sz w:val="24"/>
          <w:szCs w:val="24"/>
        </w:rPr>
        <w:t xml:space="preserve"> S</w:t>
      </w:r>
      <w:r w:rsidRPr="00F5231A">
        <w:rPr>
          <w:rFonts w:ascii="Book Antiqua" w:hAnsi="Book Antiqua" w:cs="宋体"/>
          <w:kern w:val="0"/>
          <w:sz w:val="24"/>
          <w:szCs w:val="24"/>
        </w:rPr>
        <w:t xml:space="preserve">, </w:t>
      </w:r>
      <w:proofErr w:type="spellStart"/>
      <w:r w:rsidRPr="00F5231A">
        <w:rPr>
          <w:rFonts w:ascii="Book Antiqua" w:hAnsi="Book Antiqua" w:cs="宋体"/>
          <w:kern w:val="0"/>
          <w:sz w:val="24"/>
          <w:szCs w:val="24"/>
        </w:rPr>
        <w:t>Dutta</w:t>
      </w:r>
      <w:proofErr w:type="spellEnd"/>
      <w:r w:rsidRPr="00F5231A">
        <w:rPr>
          <w:rFonts w:ascii="Book Antiqua" w:hAnsi="Book Antiqua" w:cs="宋体"/>
          <w:kern w:val="0"/>
          <w:sz w:val="24"/>
          <w:szCs w:val="24"/>
        </w:rPr>
        <w:t xml:space="preserve"> AK, Samuel P, Joseph AJ, Ashok Kumar J, </w:t>
      </w:r>
      <w:proofErr w:type="spellStart"/>
      <w:r w:rsidRPr="00F5231A">
        <w:rPr>
          <w:rFonts w:ascii="Book Antiqua" w:hAnsi="Book Antiqua" w:cs="宋体"/>
          <w:kern w:val="0"/>
          <w:sz w:val="24"/>
          <w:szCs w:val="24"/>
        </w:rPr>
        <w:t>Kurian</w:t>
      </w:r>
      <w:proofErr w:type="spellEnd"/>
      <w:r w:rsidRPr="00F5231A">
        <w:rPr>
          <w:rFonts w:ascii="Book Antiqua" w:hAnsi="Book Antiqua" w:cs="宋体"/>
          <w:kern w:val="0"/>
          <w:sz w:val="24"/>
          <w:szCs w:val="24"/>
        </w:rPr>
        <w:t xml:space="preserve"> G. Cytokine gene polymorphisms in irritable bowel syndrome in Indian population--a pilot case control study.</w:t>
      </w:r>
      <w:r w:rsidRPr="000C1102">
        <w:rPr>
          <w:rFonts w:ascii="Book Antiqua" w:hAnsi="Book Antiqua" w:cs="宋体"/>
          <w:kern w:val="0"/>
          <w:sz w:val="24"/>
          <w:szCs w:val="24"/>
        </w:rPr>
        <w:t> </w:t>
      </w:r>
      <w:r w:rsidRPr="00F5231A">
        <w:rPr>
          <w:rFonts w:ascii="Book Antiqua" w:hAnsi="Book Antiqua" w:cs="宋体"/>
          <w:i/>
          <w:iCs/>
          <w:kern w:val="0"/>
          <w:sz w:val="24"/>
          <w:szCs w:val="24"/>
        </w:rPr>
        <w:t xml:space="preserve">Trop </w:t>
      </w:r>
      <w:proofErr w:type="spellStart"/>
      <w:proofErr w:type="gramStart"/>
      <w:r w:rsidRPr="00F5231A">
        <w:rPr>
          <w:rFonts w:ascii="Book Antiqua" w:hAnsi="Book Antiqua" w:cs="宋体"/>
          <w:i/>
          <w:iCs/>
          <w:kern w:val="0"/>
          <w:sz w:val="24"/>
          <w:szCs w:val="24"/>
        </w:rPr>
        <w:t>Gastroenterol</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w:t>
      </w:r>
      <w:proofErr w:type="gramEnd"/>
      <w:r w:rsidRPr="000C1102">
        <w:rPr>
          <w:rFonts w:ascii="Book Antiqua" w:hAnsi="Book Antiqua" w:cs="宋体"/>
          <w:kern w:val="0"/>
          <w:sz w:val="24"/>
          <w:szCs w:val="24"/>
        </w:rPr>
        <w:t> </w:t>
      </w:r>
      <w:r w:rsidRPr="00F5231A">
        <w:rPr>
          <w:rFonts w:ascii="Book Antiqua" w:hAnsi="Book Antiqua" w:cs="宋体"/>
          <w:b/>
          <w:bCs/>
          <w:kern w:val="0"/>
          <w:sz w:val="24"/>
          <w:szCs w:val="24"/>
        </w:rPr>
        <w:t>31</w:t>
      </w:r>
      <w:r w:rsidRPr="00F5231A">
        <w:rPr>
          <w:rFonts w:ascii="Book Antiqua" w:hAnsi="Book Antiqua" w:cs="宋体"/>
          <w:kern w:val="0"/>
          <w:sz w:val="24"/>
          <w:szCs w:val="24"/>
        </w:rPr>
        <w:t>: 30-33 [PMID: 20860222]</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24</w:t>
      </w:r>
      <w:r w:rsidRPr="000C1102">
        <w:rPr>
          <w:rFonts w:ascii="Book Antiqua" w:hAnsi="Book Antiqua" w:cs="宋体"/>
          <w:kern w:val="0"/>
          <w:sz w:val="24"/>
          <w:szCs w:val="24"/>
        </w:rPr>
        <w:t> </w:t>
      </w:r>
      <w:r w:rsidRPr="00F5231A">
        <w:rPr>
          <w:rFonts w:ascii="Book Antiqua" w:hAnsi="Book Antiqua" w:cs="宋体"/>
          <w:b/>
          <w:bCs/>
          <w:kern w:val="0"/>
          <w:sz w:val="24"/>
          <w:szCs w:val="24"/>
        </w:rPr>
        <w:t>Wang BM</w:t>
      </w:r>
      <w:r w:rsidRPr="00F5231A">
        <w:rPr>
          <w:rFonts w:ascii="Book Antiqua" w:hAnsi="Book Antiqua" w:cs="宋体"/>
          <w:kern w:val="0"/>
          <w:sz w:val="24"/>
          <w:szCs w:val="24"/>
        </w:rPr>
        <w:t xml:space="preserve">, Jiang XZ, Yang YL, Liu WT, Cao XC, Zhao XZ. </w:t>
      </w:r>
      <w:proofErr w:type="gramStart"/>
      <w:r w:rsidRPr="00F5231A">
        <w:rPr>
          <w:rFonts w:ascii="Book Antiqua" w:hAnsi="Book Antiqua" w:cs="宋体"/>
          <w:kern w:val="0"/>
          <w:sz w:val="24"/>
          <w:szCs w:val="24"/>
        </w:rPr>
        <w:t>[A study of interleukin-10 gene polymorphism in irritable bowel syndrome].</w:t>
      </w:r>
      <w:proofErr w:type="gramEnd"/>
      <w:r w:rsidRPr="000C1102">
        <w:rPr>
          <w:rFonts w:ascii="Book Antiqua" w:hAnsi="Book Antiqua" w:cs="宋体"/>
          <w:kern w:val="0"/>
          <w:sz w:val="24"/>
          <w:szCs w:val="24"/>
        </w:rPr>
        <w:t> </w:t>
      </w:r>
      <w:proofErr w:type="spellStart"/>
      <w:r w:rsidRPr="00F5231A">
        <w:rPr>
          <w:rFonts w:ascii="Book Antiqua" w:hAnsi="Book Antiqua" w:cs="宋体"/>
          <w:i/>
          <w:iCs/>
          <w:kern w:val="0"/>
          <w:sz w:val="24"/>
          <w:szCs w:val="24"/>
        </w:rPr>
        <w:t>Zhonghua</w:t>
      </w:r>
      <w:proofErr w:type="spellEnd"/>
      <w:r w:rsidRPr="00F5231A">
        <w:rPr>
          <w:rFonts w:ascii="Book Antiqua" w:hAnsi="Book Antiqua" w:cs="宋体"/>
          <w:i/>
          <w:iCs/>
          <w:kern w:val="0"/>
          <w:sz w:val="24"/>
          <w:szCs w:val="24"/>
        </w:rPr>
        <w:t xml:space="preserve"> </w:t>
      </w:r>
      <w:proofErr w:type="spellStart"/>
      <w:r w:rsidRPr="00F5231A">
        <w:rPr>
          <w:rFonts w:ascii="Book Antiqua" w:hAnsi="Book Antiqua" w:cs="宋体"/>
          <w:i/>
          <w:iCs/>
          <w:kern w:val="0"/>
          <w:sz w:val="24"/>
          <w:szCs w:val="24"/>
        </w:rPr>
        <w:t>Nei</w:t>
      </w:r>
      <w:proofErr w:type="spellEnd"/>
      <w:r w:rsidRPr="00F5231A">
        <w:rPr>
          <w:rFonts w:ascii="Book Antiqua" w:hAnsi="Book Antiqua" w:cs="宋体"/>
          <w:i/>
          <w:iCs/>
          <w:kern w:val="0"/>
          <w:sz w:val="24"/>
          <w:szCs w:val="24"/>
        </w:rPr>
        <w:t xml:space="preserve"> </w:t>
      </w:r>
      <w:proofErr w:type="spellStart"/>
      <w:r w:rsidRPr="00F5231A">
        <w:rPr>
          <w:rFonts w:ascii="Book Antiqua" w:hAnsi="Book Antiqua" w:cs="宋体"/>
          <w:i/>
          <w:iCs/>
          <w:kern w:val="0"/>
          <w:sz w:val="24"/>
          <w:szCs w:val="24"/>
        </w:rPr>
        <w:t>Ke</w:t>
      </w:r>
      <w:proofErr w:type="spellEnd"/>
      <w:r w:rsidRPr="00F5231A">
        <w:rPr>
          <w:rFonts w:ascii="Book Antiqua" w:hAnsi="Book Antiqua" w:cs="宋体"/>
          <w:i/>
          <w:iCs/>
          <w:kern w:val="0"/>
          <w:sz w:val="24"/>
          <w:szCs w:val="24"/>
        </w:rPr>
        <w:t xml:space="preserve"> </w:t>
      </w:r>
      <w:proofErr w:type="spellStart"/>
      <w:r w:rsidRPr="00F5231A">
        <w:rPr>
          <w:rFonts w:ascii="Book Antiqua" w:hAnsi="Book Antiqua" w:cs="宋体"/>
          <w:i/>
          <w:iCs/>
          <w:kern w:val="0"/>
          <w:sz w:val="24"/>
          <w:szCs w:val="24"/>
        </w:rPr>
        <w:t>Za</w:t>
      </w:r>
      <w:proofErr w:type="spellEnd"/>
      <w:r w:rsidRPr="00F5231A">
        <w:rPr>
          <w:rFonts w:ascii="Book Antiqua" w:hAnsi="Book Antiqua" w:cs="宋体"/>
          <w:i/>
          <w:iCs/>
          <w:kern w:val="0"/>
          <w:sz w:val="24"/>
          <w:szCs w:val="24"/>
        </w:rPr>
        <w:t xml:space="preserve"> </w:t>
      </w:r>
      <w:proofErr w:type="spellStart"/>
      <w:r w:rsidRPr="00F5231A">
        <w:rPr>
          <w:rFonts w:ascii="Book Antiqua" w:hAnsi="Book Antiqua" w:cs="宋体"/>
          <w:i/>
          <w:iCs/>
          <w:kern w:val="0"/>
          <w:sz w:val="24"/>
          <w:szCs w:val="24"/>
        </w:rPr>
        <w:lastRenderedPageBreak/>
        <w:t>Zhi</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2006;</w:t>
      </w:r>
      <w:r w:rsidRPr="000C1102">
        <w:rPr>
          <w:rFonts w:ascii="Book Antiqua" w:hAnsi="Book Antiqua" w:cs="宋体"/>
          <w:kern w:val="0"/>
          <w:sz w:val="24"/>
          <w:szCs w:val="24"/>
        </w:rPr>
        <w:t> </w:t>
      </w:r>
      <w:r w:rsidRPr="00F5231A">
        <w:rPr>
          <w:rFonts w:ascii="Book Antiqua" w:hAnsi="Book Antiqua" w:cs="宋体"/>
          <w:b/>
          <w:bCs/>
          <w:kern w:val="0"/>
          <w:sz w:val="24"/>
          <w:szCs w:val="24"/>
        </w:rPr>
        <w:t>45</w:t>
      </w:r>
      <w:r w:rsidRPr="00F5231A">
        <w:rPr>
          <w:rFonts w:ascii="Book Antiqua" w:hAnsi="Book Antiqua" w:cs="宋体"/>
          <w:kern w:val="0"/>
          <w:sz w:val="24"/>
          <w:szCs w:val="24"/>
        </w:rPr>
        <w:t>: 289-292 [PMID: 16780675]</w:t>
      </w:r>
    </w:p>
    <w:p w:rsidR="00AC73D6" w:rsidRPr="00F5231A" w:rsidRDefault="00AC73D6" w:rsidP="001F595B">
      <w:pPr>
        <w:spacing w:line="360" w:lineRule="auto"/>
        <w:rPr>
          <w:rFonts w:ascii="Book Antiqua" w:hAnsi="Book Antiqua" w:cs="宋体"/>
          <w:kern w:val="0"/>
          <w:sz w:val="24"/>
          <w:szCs w:val="24"/>
        </w:rPr>
      </w:pPr>
      <w:proofErr w:type="gramStart"/>
      <w:r w:rsidRPr="00F5231A">
        <w:rPr>
          <w:rFonts w:ascii="Book Antiqua" w:hAnsi="Book Antiqua" w:cs="宋体"/>
          <w:kern w:val="0"/>
          <w:sz w:val="24"/>
          <w:szCs w:val="24"/>
        </w:rPr>
        <w:t>25</w:t>
      </w:r>
      <w:r w:rsidRPr="000C1102">
        <w:rPr>
          <w:rFonts w:ascii="Book Antiqua" w:hAnsi="Book Antiqua" w:cs="宋体"/>
          <w:kern w:val="0"/>
          <w:sz w:val="24"/>
          <w:szCs w:val="24"/>
        </w:rPr>
        <w:t> </w:t>
      </w:r>
      <w:proofErr w:type="spellStart"/>
      <w:r w:rsidRPr="00F5231A">
        <w:rPr>
          <w:rFonts w:ascii="Book Antiqua" w:hAnsi="Book Antiqua" w:cs="宋体"/>
          <w:b/>
          <w:bCs/>
          <w:kern w:val="0"/>
          <w:sz w:val="24"/>
          <w:szCs w:val="24"/>
        </w:rPr>
        <w:t>Sagoo</w:t>
      </w:r>
      <w:proofErr w:type="spellEnd"/>
      <w:r w:rsidRPr="00F5231A">
        <w:rPr>
          <w:rFonts w:ascii="Book Antiqua" w:hAnsi="Book Antiqua" w:cs="宋体"/>
          <w:b/>
          <w:bCs/>
          <w:kern w:val="0"/>
          <w:sz w:val="24"/>
          <w:szCs w:val="24"/>
        </w:rPr>
        <w:t xml:space="preserve"> GS</w:t>
      </w:r>
      <w:r w:rsidRPr="00F5231A">
        <w:rPr>
          <w:rFonts w:ascii="Book Antiqua" w:hAnsi="Book Antiqua" w:cs="宋体"/>
          <w:kern w:val="0"/>
          <w:sz w:val="24"/>
          <w:szCs w:val="24"/>
        </w:rPr>
        <w:t>, Little J, Higgins JP.</w:t>
      </w:r>
      <w:proofErr w:type="gramEnd"/>
      <w:r w:rsidRPr="00F5231A">
        <w:rPr>
          <w:rFonts w:ascii="Book Antiqua" w:hAnsi="Book Antiqua" w:cs="宋体"/>
          <w:kern w:val="0"/>
          <w:sz w:val="24"/>
          <w:szCs w:val="24"/>
        </w:rPr>
        <w:t xml:space="preserve"> Systematic reviews of genetic association studies. </w:t>
      </w:r>
      <w:proofErr w:type="gramStart"/>
      <w:r w:rsidRPr="00F5231A">
        <w:rPr>
          <w:rFonts w:ascii="Book Antiqua" w:hAnsi="Book Antiqua" w:cs="宋体"/>
          <w:kern w:val="0"/>
          <w:sz w:val="24"/>
          <w:szCs w:val="24"/>
        </w:rPr>
        <w:t>Human Genome Epidemiology Network.</w:t>
      </w:r>
      <w:proofErr w:type="gramEnd"/>
      <w:r w:rsidRPr="000C1102">
        <w:rPr>
          <w:rFonts w:ascii="Book Antiqua" w:hAnsi="Book Antiqua" w:cs="宋体"/>
          <w:kern w:val="0"/>
          <w:sz w:val="24"/>
          <w:szCs w:val="24"/>
        </w:rPr>
        <w:t> </w:t>
      </w:r>
      <w:proofErr w:type="spellStart"/>
      <w:r w:rsidRPr="00F5231A">
        <w:rPr>
          <w:rFonts w:ascii="Book Antiqua" w:hAnsi="Book Antiqua" w:cs="宋体"/>
          <w:i/>
          <w:iCs/>
          <w:kern w:val="0"/>
          <w:sz w:val="24"/>
          <w:szCs w:val="24"/>
        </w:rPr>
        <w:t>PLoS</w:t>
      </w:r>
      <w:proofErr w:type="spellEnd"/>
      <w:r w:rsidRPr="00F5231A">
        <w:rPr>
          <w:rFonts w:ascii="Book Antiqua" w:hAnsi="Book Antiqua" w:cs="宋体"/>
          <w:i/>
          <w:iCs/>
          <w:kern w:val="0"/>
          <w:sz w:val="24"/>
          <w:szCs w:val="24"/>
        </w:rPr>
        <w:t xml:space="preserve"> Med</w:t>
      </w:r>
      <w:r w:rsidRPr="000C1102">
        <w:rPr>
          <w:rFonts w:ascii="Book Antiqua" w:hAnsi="Book Antiqua" w:cs="宋体"/>
          <w:kern w:val="0"/>
          <w:sz w:val="24"/>
          <w:szCs w:val="24"/>
        </w:rPr>
        <w:t> </w:t>
      </w:r>
      <w:r w:rsidRPr="00F5231A">
        <w:rPr>
          <w:rFonts w:ascii="Book Antiqua" w:hAnsi="Book Antiqua" w:cs="宋体"/>
          <w:kern w:val="0"/>
          <w:sz w:val="24"/>
          <w:szCs w:val="24"/>
        </w:rPr>
        <w:t>2009;</w:t>
      </w:r>
      <w:r w:rsidRPr="000C1102">
        <w:rPr>
          <w:rFonts w:ascii="Book Antiqua" w:hAnsi="Book Antiqua" w:cs="宋体"/>
          <w:kern w:val="0"/>
          <w:sz w:val="24"/>
          <w:szCs w:val="24"/>
        </w:rPr>
        <w:t> </w:t>
      </w:r>
      <w:r w:rsidRPr="00F5231A">
        <w:rPr>
          <w:rFonts w:ascii="Book Antiqua" w:hAnsi="Book Antiqua" w:cs="宋体"/>
          <w:b/>
          <w:bCs/>
          <w:kern w:val="0"/>
          <w:sz w:val="24"/>
          <w:szCs w:val="24"/>
        </w:rPr>
        <w:t>6</w:t>
      </w:r>
      <w:r w:rsidRPr="00F5231A">
        <w:rPr>
          <w:rFonts w:ascii="Book Antiqua" w:hAnsi="Book Antiqua" w:cs="宋体"/>
          <w:kern w:val="0"/>
          <w:sz w:val="24"/>
          <w:szCs w:val="24"/>
        </w:rPr>
        <w:t>: e28 [PMID: 19260758 DOI: 10.1371/journal.pmed.1000028]</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26</w:t>
      </w:r>
      <w:r w:rsidRPr="000C1102">
        <w:rPr>
          <w:rFonts w:ascii="Book Antiqua" w:hAnsi="Book Antiqua" w:cs="宋体"/>
          <w:kern w:val="0"/>
          <w:sz w:val="24"/>
          <w:szCs w:val="24"/>
        </w:rPr>
        <w:t> </w:t>
      </w:r>
      <w:r w:rsidRPr="00F5231A">
        <w:rPr>
          <w:rFonts w:ascii="Book Antiqua" w:hAnsi="Book Antiqua" w:cs="宋体"/>
          <w:b/>
          <w:bCs/>
          <w:kern w:val="0"/>
          <w:sz w:val="24"/>
          <w:szCs w:val="24"/>
        </w:rPr>
        <w:t>Higgins JP</w:t>
      </w:r>
      <w:r w:rsidRPr="00F5231A">
        <w:rPr>
          <w:rFonts w:ascii="Book Antiqua" w:hAnsi="Book Antiqua" w:cs="宋体"/>
          <w:kern w:val="0"/>
          <w:sz w:val="24"/>
          <w:szCs w:val="24"/>
        </w:rPr>
        <w:t xml:space="preserve">, Thompson SG, </w:t>
      </w:r>
      <w:proofErr w:type="spellStart"/>
      <w:r w:rsidRPr="00F5231A">
        <w:rPr>
          <w:rFonts w:ascii="Book Antiqua" w:hAnsi="Book Antiqua" w:cs="宋体"/>
          <w:kern w:val="0"/>
          <w:sz w:val="24"/>
          <w:szCs w:val="24"/>
        </w:rPr>
        <w:t>Deeks</w:t>
      </w:r>
      <w:proofErr w:type="spellEnd"/>
      <w:r w:rsidRPr="00F5231A">
        <w:rPr>
          <w:rFonts w:ascii="Book Antiqua" w:hAnsi="Book Antiqua" w:cs="宋体"/>
          <w:kern w:val="0"/>
          <w:sz w:val="24"/>
          <w:szCs w:val="24"/>
        </w:rPr>
        <w:t xml:space="preserve"> JJ, Altman DG. </w:t>
      </w:r>
      <w:proofErr w:type="gramStart"/>
      <w:r w:rsidRPr="00F5231A">
        <w:rPr>
          <w:rFonts w:ascii="Book Antiqua" w:hAnsi="Book Antiqua" w:cs="宋体"/>
          <w:kern w:val="0"/>
          <w:sz w:val="24"/>
          <w:szCs w:val="24"/>
        </w:rPr>
        <w:t>Measuring inconsistency in meta-analyses.</w:t>
      </w:r>
      <w:proofErr w:type="gramEnd"/>
      <w:r w:rsidRPr="000C1102">
        <w:rPr>
          <w:rFonts w:ascii="Book Antiqua" w:hAnsi="Book Antiqua" w:cs="宋体"/>
          <w:kern w:val="0"/>
          <w:sz w:val="24"/>
          <w:szCs w:val="24"/>
        </w:rPr>
        <w:t> </w:t>
      </w:r>
      <w:r w:rsidRPr="00F5231A">
        <w:rPr>
          <w:rFonts w:ascii="Book Antiqua" w:hAnsi="Book Antiqua" w:cs="宋体"/>
          <w:i/>
          <w:iCs/>
          <w:kern w:val="0"/>
          <w:sz w:val="24"/>
          <w:szCs w:val="24"/>
        </w:rPr>
        <w:t>BMJ</w:t>
      </w:r>
      <w:r w:rsidRPr="000C1102">
        <w:rPr>
          <w:rFonts w:ascii="Book Antiqua" w:hAnsi="Book Antiqua" w:cs="宋体"/>
          <w:kern w:val="0"/>
          <w:sz w:val="24"/>
          <w:szCs w:val="24"/>
        </w:rPr>
        <w:t> </w:t>
      </w:r>
      <w:r w:rsidRPr="00F5231A">
        <w:rPr>
          <w:rFonts w:ascii="Book Antiqua" w:hAnsi="Book Antiqua" w:cs="宋体"/>
          <w:kern w:val="0"/>
          <w:sz w:val="24"/>
          <w:szCs w:val="24"/>
        </w:rPr>
        <w:t>2003;</w:t>
      </w:r>
      <w:r w:rsidRPr="000C1102">
        <w:rPr>
          <w:rFonts w:ascii="Book Antiqua" w:hAnsi="Book Antiqua" w:cs="宋体"/>
          <w:kern w:val="0"/>
          <w:sz w:val="24"/>
          <w:szCs w:val="24"/>
        </w:rPr>
        <w:t> </w:t>
      </w:r>
      <w:r w:rsidRPr="00F5231A">
        <w:rPr>
          <w:rFonts w:ascii="Book Antiqua" w:hAnsi="Book Antiqua" w:cs="宋体"/>
          <w:b/>
          <w:bCs/>
          <w:kern w:val="0"/>
          <w:sz w:val="24"/>
          <w:szCs w:val="24"/>
        </w:rPr>
        <w:t>327</w:t>
      </w:r>
      <w:r w:rsidRPr="00F5231A">
        <w:rPr>
          <w:rFonts w:ascii="Book Antiqua" w:hAnsi="Book Antiqua" w:cs="宋体"/>
          <w:kern w:val="0"/>
          <w:sz w:val="24"/>
          <w:szCs w:val="24"/>
        </w:rPr>
        <w:t>: 557-560 [PMID: 12958120 DOI: 10.1136/bmj.327.7414.557]</w:t>
      </w:r>
    </w:p>
    <w:p w:rsidR="00AC73D6" w:rsidRPr="00F5231A" w:rsidRDefault="00AC73D6" w:rsidP="001F595B">
      <w:pPr>
        <w:spacing w:line="360" w:lineRule="auto"/>
        <w:rPr>
          <w:rFonts w:ascii="Book Antiqua" w:hAnsi="Book Antiqua" w:cs="宋体"/>
          <w:kern w:val="0"/>
          <w:sz w:val="24"/>
          <w:szCs w:val="24"/>
        </w:rPr>
      </w:pPr>
      <w:proofErr w:type="gramStart"/>
      <w:r w:rsidRPr="00F5231A">
        <w:rPr>
          <w:rFonts w:ascii="Book Antiqua" w:hAnsi="Book Antiqua" w:cs="宋体"/>
          <w:kern w:val="0"/>
          <w:sz w:val="24"/>
          <w:szCs w:val="24"/>
        </w:rPr>
        <w:t>27</w:t>
      </w:r>
      <w:r w:rsidRPr="000C1102">
        <w:rPr>
          <w:rFonts w:ascii="Book Antiqua" w:hAnsi="Book Antiqua" w:cs="宋体"/>
          <w:kern w:val="0"/>
          <w:sz w:val="24"/>
          <w:szCs w:val="24"/>
        </w:rPr>
        <w:t> </w:t>
      </w:r>
      <w:r w:rsidRPr="00F5231A">
        <w:rPr>
          <w:rFonts w:ascii="Book Antiqua" w:hAnsi="Book Antiqua" w:cs="宋体"/>
          <w:b/>
          <w:bCs/>
          <w:kern w:val="0"/>
          <w:sz w:val="24"/>
          <w:szCs w:val="24"/>
        </w:rPr>
        <w:t>MANTEL N</w:t>
      </w:r>
      <w:r w:rsidRPr="00F5231A">
        <w:rPr>
          <w:rFonts w:ascii="Book Antiqua" w:hAnsi="Book Antiqua" w:cs="宋体"/>
          <w:kern w:val="0"/>
          <w:sz w:val="24"/>
          <w:szCs w:val="24"/>
        </w:rPr>
        <w:t>, HAENSZEL W. Statistical aspects of the analysis of data from retrospective studies of disease.</w:t>
      </w:r>
      <w:proofErr w:type="gramEnd"/>
      <w:r w:rsidRPr="000C1102">
        <w:rPr>
          <w:rFonts w:ascii="Book Antiqua" w:hAnsi="Book Antiqua" w:cs="宋体"/>
          <w:kern w:val="0"/>
          <w:sz w:val="24"/>
          <w:szCs w:val="24"/>
        </w:rPr>
        <w:t> </w:t>
      </w:r>
      <w:r w:rsidRPr="00F5231A">
        <w:rPr>
          <w:rFonts w:ascii="Book Antiqua" w:hAnsi="Book Antiqua" w:cs="宋体"/>
          <w:i/>
          <w:iCs/>
          <w:kern w:val="0"/>
          <w:sz w:val="24"/>
          <w:szCs w:val="24"/>
        </w:rPr>
        <w:t xml:space="preserve">J </w:t>
      </w:r>
      <w:proofErr w:type="spellStart"/>
      <w:r w:rsidRPr="00F5231A">
        <w:rPr>
          <w:rFonts w:ascii="Book Antiqua" w:hAnsi="Book Antiqua" w:cs="宋体"/>
          <w:i/>
          <w:iCs/>
          <w:kern w:val="0"/>
          <w:sz w:val="24"/>
          <w:szCs w:val="24"/>
        </w:rPr>
        <w:t>Natl</w:t>
      </w:r>
      <w:proofErr w:type="spellEnd"/>
      <w:r w:rsidRPr="00F5231A">
        <w:rPr>
          <w:rFonts w:ascii="Book Antiqua" w:hAnsi="Book Antiqua" w:cs="宋体"/>
          <w:i/>
          <w:iCs/>
          <w:kern w:val="0"/>
          <w:sz w:val="24"/>
          <w:szCs w:val="24"/>
        </w:rPr>
        <w:t xml:space="preserve"> Cancer </w:t>
      </w:r>
      <w:proofErr w:type="spellStart"/>
      <w:r w:rsidRPr="00F5231A">
        <w:rPr>
          <w:rFonts w:ascii="Book Antiqua" w:hAnsi="Book Antiqua" w:cs="宋体"/>
          <w:i/>
          <w:iCs/>
          <w:kern w:val="0"/>
          <w:sz w:val="24"/>
          <w:szCs w:val="24"/>
        </w:rPr>
        <w:t>Inst</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1959;</w:t>
      </w:r>
      <w:r w:rsidRPr="000C1102">
        <w:rPr>
          <w:rFonts w:ascii="Book Antiqua" w:hAnsi="Book Antiqua" w:cs="宋体"/>
          <w:kern w:val="0"/>
          <w:sz w:val="24"/>
          <w:szCs w:val="24"/>
        </w:rPr>
        <w:t> </w:t>
      </w:r>
      <w:r w:rsidRPr="00F5231A">
        <w:rPr>
          <w:rFonts w:ascii="Book Antiqua" w:hAnsi="Book Antiqua" w:cs="宋体"/>
          <w:b/>
          <w:bCs/>
          <w:kern w:val="0"/>
          <w:sz w:val="24"/>
          <w:szCs w:val="24"/>
        </w:rPr>
        <w:t>22</w:t>
      </w:r>
      <w:r w:rsidRPr="00F5231A">
        <w:rPr>
          <w:rFonts w:ascii="Book Antiqua" w:hAnsi="Book Antiqua" w:cs="宋体"/>
          <w:kern w:val="0"/>
          <w:sz w:val="24"/>
          <w:szCs w:val="24"/>
        </w:rPr>
        <w:t>: 719-748 [PMID: 13655060]</w:t>
      </w:r>
    </w:p>
    <w:p w:rsidR="00AC73D6" w:rsidRPr="00F5231A" w:rsidRDefault="00AC73D6" w:rsidP="001F595B">
      <w:pPr>
        <w:spacing w:line="360" w:lineRule="auto"/>
        <w:rPr>
          <w:rFonts w:ascii="Book Antiqua" w:hAnsi="Book Antiqua" w:cs="宋体"/>
          <w:kern w:val="0"/>
          <w:sz w:val="24"/>
          <w:szCs w:val="24"/>
        </w:rPr>
      </w:pPr>
      <w:proofErr w:type="gramStart"/>
      <w:r w:rsidRPr="00F5231A">
        <w:rPr>
          <w:rFonts w:ascii="Book Antiqua" w:hAnsi="Book Antiqua" w:cs="宋体"/>
          <w:kern w:val="0"/>
          <w:sz w:val="24"/>
          <w:szCs w:val="24"/>
        </w:rPr>
        <w:t>28</w:t>
      </w:r>
      <w:r w:rsidRPr="000C1102">
        <w:rPr>
          <w:rFonts w:ascii="Book Antiqua" w:hAnsi="Book Antiqua" w:cs="宋体"/>
          <w:kern w:val="0"/>
          <w:sz w:val="24"/>
          <w:szCs w:val="24"/>
        </w:rPr>
        <w:t> </w:t>
      </w:r>
      <w:proofErr w:type="spellStart"/>
      <w:r w:rsidRPr="00F5231A">
        <w:rPr>
          <w:rFonts w:ascii="Book Antiqua" w:hAnsi="Book Antiqua" w:cs="宋体"/>
          <w:b/>
          <w:bCs/>
          <w:kern w:val="0"/>
          <w:sz w:val="24"/>
          <w:szCs w:val="24"/>
        </w:rPr>
        <w:t>DerSimonian</w:t>
      </w:r>
      <w:proofErr w:type="spellEnd"/>
      <w:r w:rsidRPr="00F5231A">
        <w:rPr>
          <w:rFonts w:ascii="Book Antiqua" w:hAnsi="Book Antiqua" w:cs="宋体"/>
          <w:b/>
          <w:bCs/>
          <w:kern w:val="0"/>
          <w:sz w:val="24"/>
          <w:szCs w:val="24"/>
        </w:rPr>
        <w:t xml:space="preserve"> R</w:t>
      </w:r>
      <w:r w:rsidRPr="00F5231A">
        <w:rPr>
          <w:rFonts w:ascii="Book Antiqua" w:hAnsi="Book Antiqua" w:cs="宋体"/>
          <w:kern w:val="0"/>
          <w:sz w:val="24"/>
          <w:szCs w:val="24"/>
        </w:rPr>
        <w:t>, Laird N. Meta-analysis in clinical trials.</w:t>
      </w:r>
      <w:proofErr w:type="gramEnd"/>
      <w:r w:rsidRPr="000C1102">
        <w:rPr>
          <w:rFonts w:ascii="Book Antiqua" w:hAnsi="Book Antiqua" w:cs="宋体"/>
          <w:kern w:val="0"/>
          <w:sz w:val="24"/>
          <w:szCs w:val="24"/>
        </w:rPr>
        <w:t> </w:t>
      </w:r>
      <w:r w:rsidRPr="00F5231A">
        <w:rPr>
          <w:rFonts w:ascii="Book Antiqua" w:hAnsi="Book Antiqua" w:cs="宋体"/>
          <w:i/>
          <w:iCs/>
          <w:kern w:val="0"/>
          <w:sz w:val="24"/>
          <w:szCs w:val="24"/>
        </w:rPr>
        <w:t xml:space="preserve">Control </w:t>
      </w:r>
      <w:proofErr w:type="spellStart"/>
      <w:r w:rsidRPr="00F5231A">
        <w:rPr>
          <w:rFonts w:ascii="Book Antiqua" w:hAnsi="Book Antiqua" w:cs="宋体"/>
          <w:i/>
          <w:iCs/>
          <w:kern w:val="0"/>
          <w:sz w:val="24"/>
          <w:szCs w:val="24"/>
        </w:rPr>
        <w:t>Clin</w:t>
      </w:r>
      <w:proofErr w:type="spellEnd"/>
      <w:r w:rsidRPr="00F5231A">
        <w:rPr>
          <w:rFonts w:ascii="Book Antiqua" w:hAnsi="Book Antiqua" w:cs="宋体"/>
          <w:i/>
          <w:iCs/>
          <w:kern w:val="0"/>
          <w:sz w:val="24"/>
          <w:szCs w:val="24"/>
        </w:rPr>
        <w:t xml:space="preserve"> Trials</w:t>
      </w:r>
      <w:r w:rsidRPr="000C1102">
        <w:rPr>
          <w:rFonts w:ascii="Book Antiqua" w:hAnsi="Book Antiqua" w:cs="宋体"/>
          <w:kern w:val="0"/>
          <w:sz w:val="24"/>
          <w:szCs w:val="24"/>
        </w:rPr>
        <w:t> </w:t>
      </w:r>
      <w:r w:rsidRPr="00F5231A">
        <w:rPr>
          <w:rFonts w:ascii="Book Antiqua" w:hAnsi="Book Antiqua" w:cs="宋体"/>
          <w:kern w:val="0"/>
          <w:sz w:val="24"/>
          <w:szCs w:val="24"/>
        </w:rPr>
        <w:t>1986;</w:t>
      </w:r>
      <w:r w:rsidRPr="000C1102">
        <w:rPr>
          <w:rFonts w:ascii="Book Antiqua" w:hAnsi="Book Antiqua" w:cs="宋体"/>
          <w:kern w:val="0"/>
          <w:sz w:val="24"/>
          <w:szCs w:val="24"/>
        </w:rPr>
        <w:t> </w:t>
      </w:r>
      <w:r w:rsidRPr="00F5231A">
        <w:rPr>
          <w:rFonts w:ascii="Book Antiqua" w:hAnsi="Book Antiqua" w:cs="宋体"/>
          <w:b/>
          <w:bCs/>
          <w:kern w:val="0"/>
          <w:sz w:val="24"/>
          <w:szCs w:val="24"/>
        </w:rPr>
        <w:t>7</w:t>
      </w:r>
      <w:r w:rsidRPr="00F5231A">
        <w:rPr>
          <w:rFonts w:ascii="Book Antiqua" w:hAnsi="Book Antiqua" w:cs="宋体"/>
          <w:kern w:val="0"/>
          <w:sz w:val="24"/>
          <w:szCs w:val="24"/>
        </w:rPr>
        <w:t>: 177-188 [PMID: 3802833 DOI: 0197-2456(86)90046-2]</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29</w:t>
      </w:r>
      <w:r w:rsidRPr="000C1102">
        <w:rPr>
          <w:rFonts w:ascii="Book Antiqua" w:hAnsi="Book Antiqua" w:cs="宋体"/>
          <w:kern w:val="0"/>
          <w:sz w:val="24"/>
          <w:szCs w:val="24"/>
        </w:rPr>
        <w:t> </w:t>
      </w:r>
      <w:proofErr w:type="spellStart"/>
      <w:r w:rsidRPr="00F5231A">
        <w:rPr>
          <w:rFonts w:ascii="Book Antiqua" w:hAnsi="Book Antiqua" w:cs="宋体"/>
          <w:b/>
          <w:bCs/>
          <w:kern w:val="0"/>
          <w:sz w:val="24"/>
          <w:szCs w:val="24"/>
        </w:rPr>
        <w:t>Zintzaras</w:t>
      </w:r>
      <w:proofErr w:type="spellEnd"/>
      <w:r w:rsidRPr="00F5231A">
        <w:rPr>
          <w:rFonts w:ascii="Book Antiqua" w:hAnsi="Book Antiqua" w:cs="宋体"/>
          <w:b/>
          <w:bCs/>
          <w:kern w:val="0"/>
          <w:sz w:val="24"/>
          <w:szCs w:val="24"/>
        </w:rPr>
        <w:t xml:space="preserve"> E</w:t>
      </w:r>
      <w:r w:rsidRPr="00F5231A">
        <w:rPr>
          <w:rFonts w:ascii="Book Antiqua" w:hAnsi="Book Antiqua" w:cs="宋体"/>
          <w:kern w:val="0"/>
          <w:sz w:val="24"/>
          <w:szCs w:val="24"/>
        </w:rPr>
        <w:t xml:space="preserve">, </w:t>
      </w:r>
      <w:proofErr w:type="spellStart"/>
      <w:r w:rsidRPr="00F5231A">
        <w:rPr>
          <w:rFonts w:ascii="Book Antiqua" w:hAnsi="Book Antiqua" w:cs="宋体"/>
          <w:kern w:val="0"/>
          <w:sz w:val="24"/>
          <w:szCs w:val="24"/>
        </w:rPr>
        <w:t>Rodopoulou</w:t>
      </w:r>
      <w:proofErr w:type="spellEnd"/>
      <w:r w:rsidRPr="00F5231A">
        <w:rPr>
          <w:rFonts w:ascii="Book Antiqua" w:hAnsi="Book Antiqua" w:cs="宋体"/>
          <w:kern w:val="0"/>
          <w:sz w:val="24"/>
          <w:szCs w:val="24"/>
        </w:rPr>
        <w:t xml:space="preserve"> P, Sakellaridis N. Variants of the </w:t>
      </w:r>
      <w:proofErr w:type="spellStart"/>
      <w:r w:rsidRPr="00F5231A">
        <w:rPr>
          <w:rFonts w:ascii="Book Antiqua" w:hAnsi="Book Antiqua" w:cs="宋体"/>
          <w:kern w:val="0"/>
          <w:sz w:val="24"/>
          <w:szCs w:val="24"/>
        </w:rPr>
        <w:t>arachidonate</w:t>
      </w:r>
      <w:proofErr w:type="spellEnd"/>
      <w:r w:rsidRPr="00F5231A">
        <w:rPr>
          <w:rFonts w:ascii="Book Antiqua" w:hAnsi="Book Antiqua" w:cs="宋体"/>
          <w:kern w:val="0"/>
          <w:sz w:val="24"/>
          <w:szCs w:val="24"/>
        </w:rPr>
        <w:t xml:space="preserve"> 5-lipoxygenase-activating protein (ALOX5AP) gene and risk of stroke: a </w:t>
      </w:r>
      <w:proofErr w:type="spellStart"/>
      <w:r w:rsidRPr="00F5231A">
        <w:rPr>
          <w:rFonts w:ascii="Book Antiqua" w:hAnsi="Book Antiqua" w:cs="宋体"/>
          <w:kern w:val="0"/>
          <w:sz w:val="24"/>
          <w:szCs w:val="24"/>
        </w:rPr>
        <w:t>HuGE</w:t>
      </w:r>
      <w:proofErr w:type="spellEnd"/>
      <w:r w:rsidRPr="00F5231A">
        <w:rPr>
          <w:rFonts w:ascii="Book Antiqua" w:hAnsi="Book Antiqua" w:cs="宋体"/>
          <w:kern w:val="0"/>
          <w:sz w:val="24"/>
          <w:szCs w:val="24"/>
        </w:rPr>
        <w:t xml:space="preserve"> gene-disease association review and meta-analysis.</w:t>
      </w:r>
      <w:r w:rsidRPr="000C1102">
        <w:rPr>
          <w:rFonts w:ascii="Book Antiqua" w:hAnsi="Book Antiqua" w:cs="宋体"/>
          <w:kern w:val="0"/>
          <w:sz w:val="24"/>
          <w:szCs w:val="24"/>
        </w:rPr>
        <w:t> </w:t>
      </w:r>
      <w:r w:rsidRPr="00F5231A">
        <w:rPr>
          <w:rFonts w:ascii="Book Antiqua" w:hAnsi="Book Antiqua" w:cs="宋体"/>
          <w:i/>
          <w:iCs/>
          <w:kern w:val="0"/>
          <w:sz w:val="24"/>
          <w:szCs w:val="24"/>
        </w:rPr>
        <w:t xml:space="preserve">Am J </w:t>
      </w:r>
      <w:proofErr w:type="spellStart"/>
      <w:r w:rsidRPr="00F5231A">
        <w:rPr>
          <w:rFonts w:ascii="Book Antiqua" w:hAnsi="Book Antiqua" w:cs="宋体"/>
          <w:i/>
          <w:iCs/>
          <w:kern w:val="0"/>
          <w:sz w:val="24"/>
          <w:szCs w:val="24"/>
        </w:rPr>
        <w:t>Epidemiol</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2009;</w:t>
      </w:r>
      <w:r w:rsidRPr="000C1102">
        <w:rPr>
          <w:rFonts w:ascii="Book Antiqua" w:hAnsi="Book Antiqua" w:cs="宋体"/>
          <w:kern w:val="0"/>
          <w:sz w:val="24"/>
          <w:szCs w:val="24"/>
        </w:rPr>
        <w:t> </w:t>
      </w:r>
      <w:r w:rsidRPr="00F5231A">
        <w:rPr>
          <w:rFonts w:ascii="Book Antiqua" w:hAnsi="Book Antiqua" w:cs="宋体"/>
          <w:b/>
          <w:bCs/>
          <w:kern w:val="0"/>
          <w:sz w:val="24"/>
          <w:szCs w:val="24"/>
        </w:rPr>
        <w:t>169</w:t>
      </w:r>
      <w:r w:rsidRPr="00F5231A">
        <w:rPr>
          <w:rFonts w:ascii="Book Antiqua" w:hAnsi="Book Antiqua" w:cs="宋体"/>
          <w:kern w:val="0"/>
          <w:sz w:val="24"/>
          <w:szCs w:val="24"/>
        </w:rPr>
        <w:t>: 523-532 [PMID: 19126581 DOI: 10.1093/</w:t>
      </w:r>
      <w:proofErr w:type="spellStart"/>
      <w:r w:rsidRPr="00F5231A">
        <w:rPr>
          <w:rFonts w:ascii="Book Antiqua" w:hAnsi="Book Antiqua" w:cs="宋体"/>
          <w:kern w:val="0"/>
          <w:sz w:val="24"/>
          <w:szCs w:val="24"/>
        </w:rPr>
        <w:t>aje</w:t>
      </w:r>
      <w:proofErr w:type="spellEnd"/>
      <w:r w:rsidRPr="00F5231A">
        <w:rPr>
          <w:rFonts w:ascii="Book Antiqua" w:hAnsi="Book Antiqua" w:cs="宋体"/>
          <w:kern w:val="0"/>
          <w:sz w:val="24"/>
          <w:szCs w:val="24"/>
        </w:rPr>
        <w:t>/kwn368]</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30</w:t>
      </w:r>
      <w:r w:rsidRPr="000C1102">
        <w:rPr>
          <w:rFonts w:ascii="Book Antiqua" w:hAnsi="Book Antiqua" w:cs="宋体"/>
          <w:kern w:val="0"/>
          <w:sz w:val="24"/>
          <w:szCs w:val="24"/>
        </w:rPr>
        <w:t> </w:t>
      </w:r>
      <w:r w:rsidRPr="00F5231A">
        <w:rPr>
          <w:rFonts w:ascii="Book Antiqua" w:hAnsi="Book Antiqua" w:cs="宋体"/>
          <w:b/>
          <w:bCs/>
          <w:kern w:val="0"/>
          <w:sz w:val="24"/>
          <w:szCs w:val="24"/>
        </w:rPr>
        <w:t>Egger M</w:t>
      </w:r>
      <w:r w:rsidRPr="00F5231A">
        <w:rPr>
          <w:rFonts w:ascii="Book Antiqua" w:hAnsi="Book Antiqua" w:cs="宋体"/>
          <w:kern w:val="0"/>
          <w:sz w:val="24"/>
          <w:szCs w:val="24"/>
        </w:rPr>
        <w:t>, Davey Smith G, Schneider M, Minder C. Bias in meta-analysis detected by a simple, graphical test.</w:t>
      </w:r>
      <w:r w:rsidRPr="000C1102">
        <w:rPr>
          <w:rFonts w:ascii="Book Antiqua" w:hAnsi="Book Antiqua" w:cs="宋体"/>
          <w:kern w:val="0"/>
          <w:sz w:val="24"/>
          <w:szCs w:val="24"/>
        </w:rPr>
        <w:t> </w:t>
      </w:r>
      <w:r w:rsidRPr="00F5231A">
        <w:rPr>
          <w:rFonts w:ascii="Book Antiqua" w:hAnsi="Book Antiqua" w:cs="宋体"/>
          <w:i/>
          <w:iCs/>
          <w:kern w:val="0"/>
          <w:sz w:val="24"/>
          <w:szCs w:val="24"/>
        </w:rPr>
        <w:t>BMJ</w:t>
      </w:r>
      <w:r w:rsidRPr="000C1102">
        <w:rPr>
          <w:rFonts w:ascii="Book Antiqua" w:hAnsi="Book Antiqua" w:cs="宋体"/>
          <w:kern w:val="0"/>
          <w:sz w:val="24"/>
          <w:szCs w:val="24"/>
        </w:rPr>
        <w:t> </w:t>
      </w:r>
      <w:r w:rsidRPr="00F5231A">
        <w:rPr>
          <w:rFonts w:ascii="Book Antiqua" w:hAnsi="Book Antiqua" w:cs="宋体"/>
          <w:kern w:val="0"/>
          <w:sz w:val="24"/>
          <w:szCs w:val="24"/>
        </w:rPr>
        <w:t>1997;</w:t>
      </w:r>
      <w:r w:rsidRPr="000C1102">
        <w:rPr>
          <w:rFonts w:ascii="Book Antiqua" w:hAnsi="Book Antiqua" w:cs="宋体"/>
          <w:kern w:val="0"/>
          <w:sz w:val="24"/>
          <w:szCs w:val="24"/>
        </w:rPr>
        <w:t> </w:t>
      </w:r>
      <w:r w:rsidRPr="00F5231A">
        <w:rPr>
          <w:rFonts w:ascii="Book Antiqua" w:hAnsi="Book Antiqua" w:cs="宋体"/>
          <w:b/>
          <w:bCs/>
          <w:kern w:val="0"/>
          <w:sz w:val="24"/>
          <w:szCs w:val="24"/>
        </w:rPr>
        <w:t>315</w:t>
      </w:r>
      <w:r w:rsidRPr="00F5231A">
        <w:rPr>
          <w:rFonts w:ascii="Book Antiqua" w:hAnsi="Book Antiqua" w:cs="宋体"/>
          <w:kern w:val="0"/>
          <w:sz w:val="24"/>
          <w:szCs w:val="24"/>
        </w:rPr>
        <w:t>: 629-634 [PMID: 9310563]</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31</w:t>
      </w:r>
      <w:r w:rsidRPr="000C1102">
        <w:rPr>
          <w:rFonts w:ascii="Book Antiqua" w:hAnsi="Book Antiqua" w:cs="宋体"/>
          <w:kern w:val="0"/>
          <w:sz w:val="24"/>
          <w:szCs w:val="24"/>
        </w:rPr>
        <w:t> </w:t>
      </w:r>
      <w:proofErr w:type="spellStart"/>
      <w:r w:rsidRPr="00F5231A">
        <w:rPr>
          <w:rFonts w:ascii="Book Antiqua" w:hAnsi="Book Antiqua" w:cs="宋体"/>
          <w:b/>
          <w:bCs/>
          <w:kern w:val="0"/>
          <w:sz w:val="24"/>
          <w:szCs w:val="24"/>
        </w:rPr>
        <w:t>Begg</w:t>
      </w:r>
      <w:proofErr w:type="spellEnd"/>
      <w:r w:rsidRPr="00F5231A">
        <w:rPr>
          <w:rFonts w:ascii="Book Antiqua" w:hAnsi="Book Antiqua" w:cs="宋体"/>
          <w:b/>
          <w:bCs/>
          <w:kern w:val="0"/>
          <w:sz w:val="24"/>
          <w:szCs w:val="24"/>
        </w:rPr>
        <w:t xml:space="preserve"> CB</w:t>
      </w:r>
      <w:r w:rsidRPr="00F5231A">
        <w:rPr>
          <w:rFonts w:ascii="Book Antiqua" w:hAnsi="Book Antiqua" w:cs="宋体"/>
          <w:kern w:val="0"/>
          <w:sz w:val="24"/>
          <w:szCs w:val="24"/>
        </w:rPr>
        <w:t xml:space="preserve">, </w:t>
      </w:r>
      <w:proofErr w:type="spellStart"/>
      <w:r w:rsidRPr="00F5231A">
        <w:rPr>
          <w:rFonts w:ascii="Book Antiqua" w:hAnsi="Book Antiqua" w:cs="宋体"/>
          <w:kern w:val="0"/>
          <w:sz w:val="24"/>
          <w:szCs w:val="24"/>
        </w:rPr>
        <w:t>Mazumdar</w:t>
      </w:r>
      <w:proofErr w:type="spellEnd"/>
      <w:r w:rsidRPr="00F5231A">
        <w:rPr>
          <w:rFonts w:ascii="Book Antiqua" w:hAnsi="Book Antiqua" w:cs="宋体"/>
          <w:kern w:val="0"/>
          <w:sz w:val="24"/>
          <w:szCs w:val="24"/>
        </w:rPr>
        <w:t xml:space="preserve"> M. Operating characteristics of a rank correlation test for publication bias.</w:t>
      </w:r>
      <w:r w:rsidRPr="000C1102">
        <w:rPr>
          <w:rFonts w:ascii="Book Antiqua" w:hAnsi="Book Antiqua" w:cs="宋体"/>
          <w:kern w:val="0"/>
          <w:sz w:val="24"/>
          <w:szCs w:val="24"/>
        </w:rPr>
        <w:t> </w:t>
      </w:r>
      <w:r w:rsidRPr="00F5231A">
        <w:rPr>
          <w:rFonts w:ascii="Book Antiqua" w:hAnsi="Book Antiqua" w:cs="宋体"/>
          <w:i/>
          <w:iCs/>
          <w:kern w:val="0"/>
          <w:sz w:val="24"/>
          <w:szCs w:val="24"/>
        </w:rPr>
        <w:t>Biometrics</w:t>
      </w:r>
      <w:r w:rsidRPr="000C1102">
        <w:rPr>
          <w:rFonts w:ascii="Book Antiqua" w:hAnsi="Book Antiqua" w:cs="宋体"/>
          <w:kern w:val="0"/>
          <w:sz w:val="24"/>
          <w:szCs w:val="24"/>
        </w:rPr>
        <w:t> </w:t>
      </w:r>
      <w:r w:rsidRPr="00F5231A">
        <w:rPr>
          <w:rFonts w:ascii="Book Antiqua" w:hAnsi="Book Antiqua" w:cs="宋体"/>
          <w:kern w:val="0"/>
          <w:sz w:val="24"/>
          <w:szCs w:val="24"/>
        </w:rPr>
        <w:t>1994;</w:t>
      </w:r>
      <w:r w:rsidRPr="000C1102">
        <w:rPr>
          <w:rFonts w:ascii="Book Antiqua" w:hAnsi="Book Antiqua" w:cs="宋体"/>
          <w:kern w:val="0"/>
          <w:sz w:val="24"/>
          <w:szCs w:val="24"/>
        </w:rPr>
        <w:t> </w:t>
      </w:r>
      <w:r w:rsidRPr="00F5231A">
        <w:rPr>
          <w:rFonts w:ascii="Book Antiqua" w:hAnsi="Book Antiqua" w:cs="宋体"/>
          <w:b/>
          <w:bCs/>
          <w:kern w:val="0"/>
          <w:sz w:val="24"/>
          <w:szCs w:val="24"/>
        </w:rPr>
        <w:t>50</w:t>
      </w:r>
      <w:r w:rsidRPr="00F5231A">
        <w:rPr>
          <w:rFonts w:ascii="Book Antiqua" w:hAnsi="Book Antiqua" w:cs="宋体"/>
          <w:kern w:val="0"/>
          <w:sz w:val="24"/>
          <w:szCs w:val="24"/>
        </w:rPr>
        <w:t>: 1088-1101 [PMID: 7786990]</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 xml:space="preserve">32 </w:t>
      </w:r>
      <w:r w:rsidRPr="00F5231A">
        <w:rPr>
          <w:rFonts w:ascii="Book Antiqua" w:hAnsi="Book Antiqua" w:cs="宋体"/>
          <w:b/>
          <w:kern w:val="0"/>
          <w:sz w:val="24"/>
          <w:szCs w:val="24"/>
        </w:rPr>
        <w:t>Jiang YJ</w:t>
      </w:r>
      <w:r w:rsidRPr="00F5231A">
        <w:rPr>
          <w:rFonts w:ascii="Book Antiqua" w:hAnsi="Book Antiqua" w:cs="宋体"/>
          <w:kern w:val="0"/>
          <w:sz w:val="24"/>
          <w:szCs w:val="24"/>
        </w:rPr>
        <w:t xml:space="preserve">, </w:t>
      </w:r>
      <w:proofErr w:type="spellStart"/>
      <w:r w:rsidRPr="00F5231A">
        <w:rPr>
          <w:rFonts w:ascii="Book Antiqua" w:hAnsi="Book Antiqua" w:cs="宋体"/>
          <w:kern w:val="0"/>
          <w:sz w:val="24"/>
          <w:szCs w:val="24"/>
        </w:rPr>
        <w:t>Nie</w:t>
      </w:r>
      <w:proofErr w:type="spellEnd"/>
      <w:r w:rsidRPr="00F5231A">
        <w:rPr>
          <w:rFonts w:ascii="Book Antiqua" w:hAnsi="Book Antiqua" w:cs="宋体"/>
          <w:kern w:val="0"/>
          <w:sz w:val="24"/>
          <w:szCs w:val="24"/>
        </w:rPr>
        <w:t xml:space="preserve"> YQ, Lai XB. </w:t>
      </w:r>
      <w:proofErr w:type="gramStart"/>
      <w:r w:rsidRPr="00F5231A">
        <w:rPr>
          <w:rFonts w:ascii="Book Antiqua" w:hAnsi="Book Antiqua" w:cs="宋体"/>
          <w:kern w:val="0"/>
          <w:sz w:val="24"/>
          <w:szCs w:val="24"/>
        </w:rPr>
        <w:t>IL-10 gene promoter-592 polymorphism and irritable bowel syndrome.</w:t>
      </w:r>
      <w:proofErr w:type="gramEnd"/>
      <w:r w:rsidRPr="00F5231A">
        <w:rPr>
          <w:rFonts w:ascii="Book Antiqua" w:hAnsi="Book Antiqua" w:cs="宋体"/>
          <w:kern w:val="0"/>
          <w:sz w:val="24"/>
          <w:szCs w:val="24"/>
        </w:rPr>
        <w:t xml:space="preserve"> </w:t>
      </w:r>
      <w:r w:rsidRPr="00F5231A">
        <w:rPr>
          <w:rFonts w:ascii="Book Antiqua" w:hAnsi="Book Antiqua" w:cs="宋体"/>
          <w:i/>
          <w:kern w:val="0"/>
          <w:sz w:val="24"/>
          <w:szCs w:val="24"/>
        </w:rPr>
        <w:t xml:space="preserve">Modern Hospital </w:t>
      </w:r>
      <w:r w:rsidRPr="00F5231A">
        <w:rPr>
          <w:rFonts w:ascii="Book Antiqua" w:hAnsi="Book Antiqua" w:cs="宋体"/>
          <w:kern w:val="0"/>
          <w:sz w:val="24"/>
          <w:szCs w:val="24"/>
        </w:rPr>
        <w:t xml:space="preserve">2010; </w:t>
      </w:r>
      <w:r w:rsidRPr="00F5231A">
        <w:rPr>
          <w:rFonts w:ascii="Book Antiqua" w:hAnsi="Book Antiqua" w:cs="宋体"/>
          <w:b/>
          <w:kern w:val="0"/>
          <w:sz w:val="24"/>
          <w:szCs w:val="24"/>
        </w:rPr>
        <w:t>10</w:t>
      </w:r>
      <w:r w:rsidRPr="00F5231A">
        <w:rPr>
          <w:rFonts w:ascii="Book Antiqua" w:hAnsi="Book Antiqua" w:cs="宋体"/>
          <w:kern w:val="0"/>
          <w:sz w:val="24"/>
          <w:szCs w:val="24"/>
        </w:rPr>
        <w:t>: 8-10</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33</w:t>
      </w:r>
      <w:r w:rsidRPr="000C1102">
        <w:rPr>
          <w:rFonts w:ascii="Book Antiqua" w:hAnsi="Book Antiqua" w:cs="宋体"/>
          <w:kern w:val="0"/>
          <w:sz w:val="24"/>
          <w:szCs w:val="24"/>
        </w:rPr>
        <w:t> </w:t>
      </w:r>
      <w:proofErr w:type="gramStart"/>
      <w:r w:rsidRPr="00F5231A">
        <w:rPr>
          <w:rFonts w:ascii="Book Antiqua" w:hAnsi="Book Antiqua" w:cs="宋体"/>
          <w:b/>
          <w:bCs/>
          <w:kern w:val="0"/>
          <w:sz w:val="24"/>
          <w:szCs w:val="24"/>
        </w:rPr>
        <w:t>Shah</w:t>
      </w:r>
      <w:proofErr w:type="gramEnd"/>
      <w:r w:rsidRPr="00F5231A">
        <w:rPr>
          <w:rFonts w:ascii="Book Antiqua" w:hAnsi="Book Antiqua" w:cs="宋体"/>
          <w:b/>
          <w:bCs/>
          <w:kern w:val="0"/>
          <w:sz w:val="24"/>
          <w:szCs w:val="24"/>
        </w:rPr>
        <w:t xml:space="preserve"> N</w:t>
      </w:r>
      <w:r w:rsidRPr="00F5231A">
        <w:rPr>
          <w:rFonts w:ascii="Book Antiqua" w:hAnsi="Book Antiqua" w:cs="宋体"/>
          <w:kern w:val="0"/>
          <w:sz w:val="24"/>
          <w:szCs w:val="24"/>
        </w:rPr>
        <w:t xml:space="preserve">, </w:t>
      </w:r>
      <w:proofErr w:type="spellStart"/>
      <w:r w:rsidRPr="00F5231A">
        <w:rPr>
          <w:rFonts w:ascii="Book Antiqua" w:hAnsi="Book Antiqua" w:cs="宋体"/>
          <w:kern w:val="0"/>
          <w:sz w:val="24"/>
          <w:szCs w:val="24"/>
        </w:rPr>
        <w:t>Kammermeier</w:t>
      </w:r>
      <w:proofErr w:type="spellEnd"/>
      <w:r w:rsidRPr="00F5231A">
        <w:rPr>
          <w:rFonts w:ascii="Book Antiqua" w:hAnsi="Book Antiqua" w:cs="宋体"/>
          <w:kern w:val="0"/>
          <w:sz w:val="24"/>
          <w:szCs w:val="24"/>
        </w:rPr>
        <w:t xml:space="preserve"> J, </w:t>
      </w:r>
      <w:proofErr w:type="spellStart"/>
      <w:r w:rsidRPr="00F5231A">
        <w:rPr>
          <w:rFonts w:ascii="Book Antiqua" w:hAnsi="Book Antiqua" w:cs="宋体"/>
          <w:kern w:val="0"/>
          <w:sz w:val="24"/>
          <w:szCs w:val="24"/>
        </w:rPr>
        <w:t>Elawad</w:t>
      </w:r>
      <w:proofErr w:type="spellEnd"/>
      <w:r w:rsidRPr="00F5231A">
        <w:rPr>
          <w:rFonts w:ascii="Book Antiqua" w:hAnsi="Book Antiqua" w:cs="宋体"/>
          <w:kern w:val="0"/>
          <w:sz w:val="24"/>
          <w:szCs w:val="24"/>
        </w:rPr>
        <w:t xml:space="preserve"> M, </w:t>
      </w:r>
      <w:proofErr w:type="spellStart"/>
      <w:r w:rsidRPr="00F5231A">
        <w:rPr>
          <w:rFonts w:ascii="Book Antiqua" w:hAnsi="Book Antiqua" w:cs="宋体"/>
          <w:kern w:val="0"/>
          <w:sz w:val="24"/>
          <w:szCs w:val="24"/>
        </w:rPr>
        <w:t>Glocker</w:t>
      </w:r>
      <w:proofErr w:type="spellEnd"/>
      <w:r w:rsidRPr="00F5231A">
        <w:rPr>
          <w:rFonts w:ascii="Book Antiqua" w:hAnsi="Book Antiqua" w:cs="宋体"/>
          <w:kern w:val="0"/>
          <w:sz w:val="24"/>
          <w:szCs w:val="24"/>
        </w:rPr>
        <w:t xml:space="preserve"> EO. </w:t>
      </w:r>
      <w:proofErr w:type="gramStart"/>
      <w:r w:rsidRPr="00F5231A">
        <w:rPr>
          <w:rFonts w:ascii="Book Antiqua" w:hAnsi="Book Antiqua" w:cs="宋体"/>
          <w:kern w:val="0"/>
          <w:sz w:val="24"/>
          <w:szCs w:val="24"/>
        </w:rPr>
        <w:t>Interleukin-10 and interleukin-10-receptor defects in inflammatory bowel disease.</w:t>
      </w:r>
      <w:proofErr w:type="gramEnd"/>
      <w:r w:rsidRPr="000C1102">
        <w:rPr>
          <w:rFonts w:ascii="Book Antiqua" w:hAnsi="Book Antiqua" w:cs="宋体"/>
          <w:kern w:val="0"/>
          <w:sz w:val="24"/>
          <w:szCs w:val="24"/>
        </w:rPr>
        <w:t> </w:t>
      </w:r>
      <w:proofErr w:type="spellStart"/>
      <w:r w:rsidRPr="00F5231A">
        <w:rPr>
          <w:rFonts w:ascii="Book Antiqua" w:hAnsi="Book Antiqua" w:cs="宋体"/>
          <w:i/>
          <w:iCs/>
          <w:kern w:val="0"/>
          <w:sz w:val="24"/>
          <w:szCs w:val="24"/>
        </w:rPr>
        <w:t>Curr</w:t>
      </w:r>
      <w:proofErr w:type="spellEnd"/>
      <w:r w:rsidRPr="00F5231A">
        <w:rPr>
          <w:rFonts w:ascii="Book Antiqua" w:hAnsi="Book Antiqua" w:cs="宋体"/>
          <w:i/>
          <w:iCs/>
          <w:kern w:val="0"/>
          <w:sz w:val="24"/>
          <w:szCs w:val="24"/>
        </w:rPr>
        <w:t xml:space="preserve"> Allergy Asthma Rep</w:t>
      </w:r>
      <w:r w:rsidRPr="000C1102">
        <w:rPr>
          <w:rFonts w:ascii="Book Antiqua" w:hAnsi="Book Antiqua" w:cs="宋体"/>
          <w:kern w:val="0"/>
          <w:sz w:val="24"/>
          <w:szCs w:val="24"/>
        </w:rPr>
        <w:t> </w:t>
      </w:r>
      <w:r w:rsidRPr="00F5231A">
        <w:rPr>
          <w:rFonts w:ascii="Book Antiqua" w:hAnsi="Book Antiqua" w:cs="宋体"/>
          <w:kern w:val="0"/>
          <w:sz w:val="24"/>
          <w:szCs w:val="24"/>
        </w:rPr>
        <w:t>2012;</w:t>
      </w:r>
      <w:r w:rsidRPr="000C1102">
        <w:rPr>
          <w:rFonts w:ascii="Book Antiqua" w:hAnsi="Book Antiqua" w:cs="宋体"/>
          <w:kern w:val="0"/>
          <w:sz w:val="24"/>
          <w:szCs w:val="24"/>
        </w:rPr>
        <w:t> </w:t>
      </w:r>
      <w:r w:rsidRPr="00F5231A">
        <w:rPr>
          <w:rFonts w:ascii="Book Antiqua" w:hAnsi="Book Antiqua" w:cs="宋体"/>
          <w:b/>
          <w:bCs/>
          <w:kern w:val="0"/>
          <w:sz w:val="24"/>
          <w:szCs w:val="24"/>
        </w:rPr>
        <w:t>12</w:t>
      </w:r>
      <w:r w:rsidRPr="00F5231A">
        <w:rPr>
          <w:rFonts w:ascii="Book Antiqua" w:hAnsi="Book Antiqua" w:cs="宋体"/>
          <w:kern w:val="0"/>
          <w:sz w:val="24"/>
          <w:szCs w:val="24"/>
        </w:rPr>
        <w:t>: 373-379 [PMID: 22890722 DOI: 10.1007/s11882-012-0286-z]</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34</w:t>
      </w:r>
      <w:r w:rsidRPr="000C1102">
        <w:rPr>
          <w:rFonts w:ascii="Book Antiqua" w:hAnsi="Book Antiqua" w:cs="宋体"/>
          <w:kern w:val="0"/>
          <w:sz w:val="24"/>
          <w:szCs w:val="24"/>
        </w:rPr>
        <w:t> </w:t>
      </w:r>
      <w:proofErr w:type="spellStart"/>
      <w:r w:rsidRPr="00F5231A">
        <w:rPr>
          <w:rFonts w:ascii="Book Antiqua" w:hAnsi="Book Antiqua" w:cs="宋体"/>
          <w:b/>
          <w:bCs/>
          <w:kern w:val="0"/>
          <w:sz w:val="24"/>
          <w:szCs w:val="24"/>
        </w:rPr>
        <w:t>Grundström</w:t>
      </w:r>
      <w:proofErr w:type="spellEnd"/>
      <w:r w:rsidRPr="00F5231A">
        <w:rPr>
          <w:rFonts w:ascii="Book Antiqua" w:hAnsi="Book Antiqua" w:cs="宋体"/>
          <w:b/>
          <w:bCs/>
          <w:kern w:val="0"/>
          <w:sz w:val="24"/>
          <w:szCs w:val="24"/>
        </w:rPr>
        <w:t xml:space="preserve"> J</w:t>
      </w:r>
      <w:r w:rsidRPr="00F5231A">
        <w:rPr>
          <w:rFonts w:ascii="Book Antiqua" w:hAnsi="Book Antiqua" w:cs="宋体"/>
          <w:kern w:val="0"/>
          <w:sz w:val="24"/>
          <w:szCs w:val="24"/>
        </w:rPr>
        <w:t xml:space="preserve">, Linton L, Thunberg S, </w:t>
      </w:r>
      <w:proofErr w:type="spellStart"/>
      <w:r w:rsidRPr="00F5231A">
        <w:rPr>
          <w:rFonts w:ascii="Book Antiqua" w:hAnsi="Book Antiqua" w:cs="宋体"/>
          <w:kern w:val="0"/>
          <w:sz w:val="24"/>
          <w:szCs w:val="24"/>
        </w:rPr>
        <w:t>Forsslund</w:t>
      </w:r>
      <w:proofErr w:type="spellEnd"/>
      <w:r w:rsidRPr="00F5231A">
        <w:rPr>
          <w:rFonts w:ascii="Book Antiqua" w:hAnsi="Book Antiqua" w:cs="宋体"/>
          <w:kern w:val="0"/>
          <w:sz w:val="24"/>
          <w:szCs w:val="24"/>
        </w:rPr>
        <w:t xml:space="preserve"> H, </w:t>
      </w:r>
      <w:proofErr w:type="spellStart"/>
      <w:r w:rsidRPr="00F5231A">
        <w:rPr>
          <w:rFonts w:ascii="Book Antiqua" w:hAnsi="Book Antiqua" w:cs="宋体"/>
          <w:kern w:val="0"/>
          <w:sz w:val="24"/>
          <w:szCs w:val="24"/>
        </w:rPr>
        <w:t>Janczewska</w:t>
      </w:r>
      <w:proofErr w:type="spellEnd"/>
      <w:r w:rsidRPr="00F5231A">
        <w:rPr>
          <w:rFonts w:ascii="Book Antiqua" w:hAnsi="Book Antiqua" w:cs="宋体"/>
          <w:kern w:val="0"/>
          <w:sz w:val="24"/>
          <w:szCs w:val="24"/>
        </w:rPr>
        <w:t xml:space="preserve"> I, </w:t>
      </w:r>
      <w:proofErr w:type="spellStart"/>
      <w:r w:rsidRPr="00F5231A">
        <w:rPr>
          <w:rFonts w:ascii="Book Antiqua" w:hAnsi="Book Antiqua" w:cs="宋体"/>
          <w:kern w:val="0"/>
          <w:sz w:val="24"/>
          <w:szCs w:val="24"/>
        </w:rPr>
        <w:t>Befrits</w:t>
      </w:r>
      <w:proofErr w:type="spellEnd"/>
      <w:r w:rsidRPr="00F5231A">
        <w:rPr>
          <w:rFonts w:ascii="Book Antiqua" w:hAnsi="Book Antiqua" w:cs="宋体"/>
          <w:kern w:val="0"/>
          <w:sz w:val="24"/>
          <w:szCs w:val="24"/>
        </w:rPr>
        <w:t xml:space="preserve"> R, van </w:t>
      </w:r>
      <w:proofErr w:type="spellStart"/>
      <w:r w:rsidRPr="00F5231A">
        <w:rPr>
          <w:rFonts w:ascii="Book Antiqua" w:hAnsi="Book Antiqua" w:cs="宋体"/>
          <w:kern w:val="0"/>
          <w:sz w:val="24"/>
          <w:szCs w:val="24"/>
        </w:rPr>
        <w:t>Hage</w:t>
      </w:r>
      <w:proofErr w:type="spellEnd"/>
      <w:r w:rsidRPr="00F5231A">
        <w:rPr>
          <w:rFonts w:ascii="Book Antiqua" w:hAnsi="Book Antiqua" w:cs="宋体"/>
          <w:kern w:val="0"/>
          <w:sz w:val="24"/>
          <w:szCs w:val="24"/>
        </w:rPr>
        <w:t xml:space="preserve"> M, </w:t>
      </w:r>
      <w:proofErr w:type="spellStart"/>
      <w:r w:rsidRPr="00F5231A">
        <w:rPr>
          <w:rFonts w:ascii="Book Antiqua" w:hAnsi="Book Antiqua" w:cs="宋体"/>
          <w:kern w:val="0"/>
          <w:sz w:val="24"/>
          <w:szCs w:val="24"/>
        </w:rPr>
        <w:t>Gafvelin</w:t>
      </w:r>
      <w:proofErr w:type="spellEnd"/>
      <w:r w:rsidRPr="00F5231A">
        <w:rPr>
          <w:rFonts w:ascii="Book Antiqua" w:hAnsi="Book Antiqua" w:cs="宋体"/>
          <w:kern w:val="0"/>
          <w:sz w:val="24"/>
          <w:szCs w:val="24"/>
        </w:rPr>
        <w:t xml:space="preserve"> G, </w:t>
      </w:r>
      <w:proofErr w:type="spellStart"/>
      <w:r w:rsidRPr="00F5231A">
        <w:rPr>
          <w:rFonts w:ascii="Book Antiqua" w:hAnsi="Book Antiqua" w:cs="宋体"/>
          <w:kern w:val="0"/>
          <w:sz w:val="24"/>
          <w:szCs w:val="24"/>
        </w:rPr>
        <w:t>Eberhardson</w:t>
      </w:r>
      <w:proofErr w:type="spellEnd"/>
      <w:r w:rsidRPr="00F5231A">
        <w:rPr>
          <w:rFonts w:ascii="Book Antiqua" w:hAnsi="Book Antiqua" w:cs="宋体"/>
          <w:kern w:val="0"/>
          <w:sz w:val="24"/>
          <w:szCs w:val="24"/>
        </w:rPr>
        <w:t xml:space="preserve"> M. Altered </w:t>
      </w:r>
      <w:proofErr w:type="spellStart"/>
      <w:r w:rsidRPr="00F5231A">
        <w:rPr>
          <w:rFonts w:ascii="Book Antiqua" w:hAnsi="Book Antiqua" w:cs="宋体"/>
          <w:kern w:val="0"/>
          <w:sz w:val="24"/>
          <w:szCs w:val="24"/>
        </w:rPr>
        <w:t>immunoregulatory</w:t>
      </w:r>
      <w:proofErr w:type="spellEnd"/>
      <w:r w:rsidRPr="00F5231A">
        <w:rPr>
          <w:rFonts w:ascii="Book Antiqua" w:hAnsi="Book Antiqua" w:cs="宋体"/>
          <w:kern w:val="0"/>
          <w:sz w:val="24"/>
          <w:szCs w:val="24"/>
        </w:rPr>
        <w:t xml:space="preserve"> profile during anti-</w:t>
      </w:r>
      <w:proofErr w:type="spellStart"/>
      <w:r w:rsidRPr="00F5231A">
        <w:rPr>
          <w:rFonts w:ascii="Book Antiqua" w:hAnsi="Book Antiqua" w:cs="宋体"/>
          <w:kern w:val="0"/>
          <w:sz w:val="24"/>
          <w:szCs w:val="24"/>
        </w:rPr>
        <w:t>tumour</w:t>
      </w:r>
      <w:proofErr w:type="spellEnd"/>
      <w:r w:rsidRPr="00F5231A">
        <w:rPr>
          <w:rFonts w:ascii="Book Antiqua" w:hAnsi="Book Antiqua" w:cs="宋体"/>
          <w:kern w:val="0"/>
          <w:sz w:val="24"/>
          <w:szCs w:val="24"/>
        </w:rPr>
        <w:t xml:space="preserve"> necrosis factor treatment of patients with inflammatory bowel disease.</w:t>
      </w:r>
      <w:r w:rsidRPr="000C1102">
        <w:rPr>
          <w:rFonts w:ascii="Book Antiqua" w:hAnsi="Book Antiqua" w:cs="宋体"/>
          <w:kern w:val="0"/>
          <w:sz w:val="24"/>
          <w:szCs w:val="24"/>
        </w:rPr>
        <w:t> </w:t>
      </w:r>
      <w:proofErr w:type="spellStart"/>
      <w:r w:rsidRPr="00F5231A">
        <w:rPr>
          <w:rFonts w:ascii="Book Antiqua" w:hAnsi="Book Antiqua" w:cs="宋体"/>
          <w:i/>
          <w:iCs/>
          <w:kern w:val="0"/>
          <w:sz w:val="24"/>
          <w:szCs w:val="24"/>
        </w:rPr>
        <w:t>Clin</w:t>
      </w:r>
      <w:proofErr w:type="spellEnd"/>
      <w:r w:rsidRPr="00F5231A">
        <w:rPr>
          <w:rFonts w:ascii="Book Antiqua" w:hAnsi="Book Antiqua" w:cs="宋体"/>
          <w:i/>
          <w:iCs/>
          <w:kern w:val="0"/>
          <w:sz w:val="24"/>
          <w:szCs w:val="24"/>
        </w:rPr>
        <w:t xml:space="preserve"> </w:t>
      </w:r>
      <w:proofErr w:type="spellStart"/>
      <w:r w:rsidRPr="00F5231A">
        <w:rPr>
          <w:rFonts w:ascii="Book Antiqua" w:hAnsi="Book Antiqua" w:cs="宋体"/>
          <w:i/>
          <w:iCs/>
          <w:kern w:val="0"/>
          <w:sz w:val="24"/>
          <w:szCs w:val="24"/>
        </w:rPr>
        <w:t>Exp</w:t>
      </w:r>
      <w:proofErr w:type="spellEnd"/>
      <w:r w:rsidRPr="00F5231A">
        <w:rPr>
          <w:rFonts w:ascii="Book Antiqua" w:hAnsi="Book Antiqua" w:cs="宋体"/>
          <w:i/>
          <w:iCs/>
          <w:kern w:val="0"/>
          <w:sz w:val="24"/>
          <w:szCs w:val="24"/>
        </w:rPr>
        <w:t xml:space="preserve"> </w:t>
      </w:r>
      <w:proofErr w:type="spellStart"/>
      <w:r w:rsidRPr="00F5231A">
        <w:rPr>
          <w:rFonts w:ascii="Book Antiqua" w:hAnsi="Book Antiqua" w:cs="宋体"/>
          <w:i/>
          <w:iCs/>
          <w:kern w:val="0"/>
          <w:sz w:val="24"/>
          <w:szCs w:val="24"/>
        </w:rPr>
        <w:t>Immunol</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2012;</w:t>
      </w:r>
      <w:r w:rsidRPr="000C1102">
        <w:rPr>
          <w:rFonts w:ascii="Book Antiqua" w:hAnsi="Book Antiqua" w:cs="宋体"/>
          <w:kern w:val="0"/>
          <w:sz w:val="24"/>
          <w:szCs w:val="24"/>
        </w:rPr>
        <w:t> </w:t>
      </w:r>
      <w:r w:rsidRPr="00F5231A">
        <w:rPr>
          <w:rFonts w:ascii="Book Antiqua" w:hAnsi="Book Antiqua" w:cs="宋体"/>
          <w:b/>
          <w:bCs/>
          <w:kern w:val="0"/>
          <w:sz w:val="24"/>
          <w:szCs w:val="24"/>
        </w:rPr>
        <w:t>169</w:t>
      </w:r>
      <w:r w:rsidRPr="00F5231A">
        <w:rPr>
          <w:rFonts w:ascii="Book Antiqua" w:hAnsi="Book Antiqua" w:cs="宋体"/>
          <w:kern w:val="0"/>
          <w:sz w:val="24"/>
          <w:szCs w:val="24"/>
        </w:rPr>
        <w:t>: 137-147 [PMID: 22774988 DOI: 10.1111/j.1365-2249.2012.04600.x]</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35</w:t>
      </w:r>
      <w:r w:rsidRPr="000C1102">
        <w:rPr>
          <w:rFonts w:ascii="Book Antiqua" w:hAnsi="Book Antiqua" w:cs="宋体"/>
          <w:kern w:val="0"/>
          <w:sz w:val="24"/>
          <w:szCs w:val="24"/>
        </w:rPr>
        <w:t> </w:t>
      </w:r>
      <w:r w:rsidRPr="00F5231A">
        <w:rPr>
          <w:rFonts w:ascii="Book Antiqua" w:hAnsi="Book Antiqua" w:cs="宋体"/>
          <w:b/>
          <w:bCs/>
          <w:kern w:val="0"/>
          <w:sz w:val="24"/>
          <w:szCs w:val="24"/>
        </w:rPr>
        <w:t>Zhang W</w:t>
      </w:r>
      <w:r w:rsidRPr="00F5231A">
        <w:rPr>
          <w:rFonts w:ascii="Book Antiqua" w:hAnsi="Book Antiqua" w:cs="宋体"/>
          <w:kern w:val="0"/>
          <w:sz w:val="24"/>
          <w:szCs w:val="24"/>
        </w:rPr>
        <w:t xml:space="preserve">, Yang AL, Liao J, Li H, Dong H, Chung YT, </w:t>
      </w:r>
      <w:proofErr w:type="spellStart"/>
      <w:r w:rsidRPr="00F5231A">
        <w:rPr>
          <w:rFonts w:ascii="Book Antiqua" w:hAnsi="Book Antiqua" w:cs="宋体"/>
          <w:kern w:val="0"/>
          <w:sz w:val="24"/>
          <w:szCs w:val="24"/>
        </w:rPr>
        <w:t>Bai</w:t>
      </w:r>
      <w:proofErr w:type="spellEnd"/>
      <w:r w:rsidRPr="00F5231A">
        <w:rPr>
          <w:rFonts w:ascii="Book Antiqua" w:hAnsi="Book Antiqua" w:cs="宋体"/>
          <w:kern w:val="0"/>
          <w:sz w:val="24"/>
          <w:szCs w:val="24"/>
        </w:rPr>
        <w:t xml:space="preserve"> H, </w:t>
      </w:r>
      <w:proofErr w:type="spellStart"/>
      <w:r w:rsidRPr="00F5231A">
        <w:rPr>
          <w:rFonts w:ascii="Book Antiqua" w:hAnsi="Book Antiqua" w:cs="宋体"/>
          <w:kern w:val="0"/>
          <w:sz w:val="24"/>
          <w:szCs w:val="24"/>
        </w:rPr>
        <w:t>Matkowskyj</w:t>
      </w:r>
      <w:proofErr w:type="spellEnd"/>
      <w:r w:rsidRPr="00F5231A">
        <w:rPr>
          <w:rFonts w:ascii="Book Antiqua" w:hAnsi="Book Antiqua" w:cs="宋体"/>
          <w:kern w:val="0"/>
          <w:sz w:val="24"/>
          <w:szCs w:val="24"/>
        </w:rPr>
        <w:t xml:space="preserve"> KA, </w:t>
      </w:r>
      <w:r w:rsidRPr="00F5231A">
        <w:rPr>
          <w:rFonts w:ascii="Book Antiqua" w:hAnsi="Book Antiqua" w:cs="宋体"/>
          <w:kern w:val="0"/>
          <w:sz w:val="24"/>
          <w:szCs w:val="24"/>
        </w:rPr>
        <w:lastRenderedPageBreak/>
        <w:t>Hammock BD, Yang GY. Soluble epoxide hydrolase gene deficiency or inhibition attenuates chronic active inflammatory bowel disease in IL-10(-/-) mice.</w:t>
      </w:r>
      <w:r w:rsidRPr="000C1102">
        <w:rPr>
          <w:rFonts w:ascii="Book Antiqua" w:hAnsi="Book Antiqua" w:cs="宋体"/>
          <w:kern w:val="0"/>
          <w:sz w:val="24"/>
          <w:szCs w:val="24"/>
        </w:rPr>
        <w:t> </w:t>
      </w:r>
      <w:r w:rsidRPr="00F5231A">
        <w:rPr>
          <w:rFonts w:ascii="Book Antiqua" w:hAnsi="Book Antiqua" w:cs="宋体"/>
          <w:i/>
          <w:iCs/>
          <w:kern w:val="0"/>
          <w:sz w:val="24"/>
          <w:szCs w:val="24"/>
        </w:rPr>
        <w:t xml:space="preserve">Dig Dis </w:t>
      </w:r>
      <w:proofErr w:type="spellStart"/>
      <w:r w:rsidRPr="00F5231A">
        <w:rPr>
          <w:rFonts w:ascii="Book Antiqua" w:hAnsi="Book Antiqua" w:cs="宋体"/>
          <w:i/>
          <w:iCs/>
          <w:kern w:val="0"/>
          <w:sz w:val="24"/>
          <w:szCs w:val="24"/>
        </w:rPr>
        <w:t>Sci</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2012;</w:t>
      </w:r>
      <w:r w:rsidRPr="000C1102">
        <w:rPr>
          <w:rFonts w:ascii="Book Antiqua" w:hAnsi="Book Antiqua" w:cs="宋体"/>
          <w:kern w:val="0"/>
          <w:sz w:val="24"/>
          <w:szCs w:val="24"/>
        </w:rPr>
        <w:t> </w:t>
      </w:r>
      <w:r w:rsidRPr="00F5231A">
        <w:rPr>
          <w:rFonts w:ascii="Book Antiqua" w:hAnsi="Book Antiqua" w:cs="宋体"/>
          <w:b/>
          <w:bCs/>
          <w:kern w:val="0"/>
          <w:sz w:val="24"/>
          <w:szCs w:val="24"/>
        </w:rPr>
        <w:t>57</w:t>
      </w:r>
      <w:r w:rsidRPr="00F5231A">
        <w:rPr>
          <w:rFonts w:ascii="Book Antiqua" w:hAnsi="Book Antiqua" w:cs="宋体"/>
          <w:kern w:val="0"/>
          <w:sz w:val="24"/>
          <w:szCs w:val="24"/>
        </w:rPr>
        <w:t>: 2580-2591 [PMID: 22588244 DOI: 10.1007/s10620-012-2217-1]</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36</w:t>
      </w:r>
      <w:r w:rsidRPr="000C1102">
        <w:rPr>
          <w:rFonts w:ascii="Book Antiqua" w:hAnsi="Book Antiqua" w:cs="宋体"/>
          <w:kern w:val="0"/>
          <w:sz w:val="24"/>
          <w:szCs w:val="24"/>
        </w:rPr>
        <w:t> </w:t>
      </w:r>
      <w:r w:rsidRPr="00F5231A">
        <w:rPr>
          <w:rFonts w:ascii="Book Antiqua" w:hAnsi="Book Antiqua" w:cs="宋体"/>
          <w:b/>
          <w:bCs/>
          <w:kern w:val="0"/>
          <w:sz w:val="24"/>
          <w:szCs w:val="24"/>
        </w:rPr>
        <w:t>Rad R</w:t>
      </w:r>
      <w:r w:rsidRPr="00F5231A">
        <w:rPr>
          <w:rFonts w:ascii="Book Antiqua" w:hAnsi="Book Antiqua" w:cs="宋体"/>
          <w:kern w:val="0"/>
          <w:sz w:val="24"/>
          <w:szCs w:val="24"/>
        </w:rPr>
        <w:t xml:space="preserve">, </w:t>
      </w:r>
      <w:proofErr w:type="spellStart"/>
      <w:r w:rsidRPr="00F5231A">
        <w:rPr>
          <w:rFonts w:ascii="Book Antiqua" w:hAnsi="Book Antiqua" w:cs="宋体"/>
          <w:kern w:val="0"/>
          <w:sz w:val="24"/>
          <w:szCs w:val="24"/>
        </w:rPr>
        <w:t>Dossumbekova</w:t>
      </w:r>
      <w:proofErr w:type="spellEnd"/>
      <w:r w:rsidRPr="00F5231A">
        <w:rPr>
          <w:rFonts w:ascii="Book Antiqua" w:hAnsi="Book Antiqua" w:cs="宋体"/>
          <w:kern w:val="0"/>
          <w:sz w:val="24"/>
          <w:szCs w:val="24"/>
        </w:rPr>
        <w:t xml:space="preserve"> A, </w:t>
      </w:r>
      <w:proofErr w:type="spellStart"/>
      <w:r w:rsidRPr="00F5231A">
        <w:rPr>
          <w:rFonts w:ascii="Book Antiqua" w:hAnsi="Book Antiqua" w:cs="宋体"/>
          <w:kern w:val="0"/>
          <w:sz w:val="24"/>
          <w:szCs w:val="24"/>
        </w:rPr>
        <w:t>Neu</w:t>
      </w:r>
      <w:proofErr w:type="spellEnd"/>
      <w:r w:rsidRPr="00F5231A">
        <w:rPr>
          <w:rFonts w:ascii="Book Antiqua" w:hAnsi="Book Antiqua" w:cs="宋体"/>
          <w:kern w:val="0"/>
          <w:sz w:val="24"/>
          <w:szCs w:val="24"/>
        </w:rPr>
        <w:t xml:space="preserve"> B, Lang R, Bauer S, Saur D, Gerhard M, </w:t>
      </w:r>
      <w:proofErr w:type="spellStart"/>
      <w:r w:rsidRPr="00F5231A">
        <w:rPr>
          <w:rFonts w:ascii="Book Antiqua" w:hAnsi="Book Antiqua" w:cs="宋体"/>
          <w:kern w:val="0"/>
          <w:sz w:val="24"/>
          <w:szCs w:val="24"/>
        </w:rPr>
        <w:t>Prinz</w:t>
      </w:r>
      <w:proofErr w:type="spellEnd"/>
      <w:r w:rsidRPr="00F5231A">
        <w:rPr>
          <w:rFonts w:ascii="Book Antiqua" w:hAnsi="Book Antiqua" w:cs="宋体"/>
          <w:kern w:val="0"/>
          <w:sz w:val="24"/>
          <w:szCs w:val="24"/>
        </w:rPr>
        <w:t xml:space="preserve"> C. Cytokine gene polymorphisms influence mucosal cytokine expression, gastric inflammation, and host specific </w:t>
      </w:r>
      <w:proofErr w:type="spellStart"/>
      <w:r w:rsidRPr="00F5231A">
        <w:rPr>
          <w:rFonts w:ascii="Book Antiqua" w:hAnsi="Book Antiqua" w:cs="宋体"/>
          <w:kern w:val="0"/>
          <w:sz w:val="24"/>
          <w:szCs w:val="24"/>
        </w:rPr>
        <w:t>colonisation</w:t>
      </w:r>
      <w:proofErr w:type="spellEnd"/>
      <w:r w:rsidRPr="00F5231A">
        <w:rPr>
          <w:rFonts w:ascii="Book Antiqua" w:hAnsi="Book Antiqua" w:cs="宋体"/>
          <w:kern w:val="0"/>
          <w:sz w:val="24"/>
          <w:szCs w:val="24"/>
        </w:rPr>
        <w:t xml:space="preserve"> during Helicobacter pylori infection.</w:t>
      </w:r>
      <w:r w:rsidRPr="000C1102">
        <w:rPr>
          <w:rFonts w:ascii="Book Antiqua" w:hAnsi="Book Antiqua" w:cs="宋体"/>
          <w:kern w:val="0"/>
          <w:sz w:val="24"/>
          <w:szCs w:val="24"/>
        </w:rPr>
        <w:t> </w:t>
      </w:r>
      <w:r w:rsidRPr="00F5231A">
        <w:rPr>
          <w:rFonts w:ascii="Book Antiqua" w:hAnsi="Book Antiqua" w:cs="宋体"/>
          <w:i/>
          <w:iCs/>
          <w:kern w:val="0"/>
          <w:sz w:val="24"/>
          <w:szCs w:val="24"/>
        </w:rPr>
        <w:t>Gut</w:t>
      </w:r>
      <w:r w:rsidRPr="000C1102">
        <w:rPr>
          <w:rFonts w:ascii="Book Antiqua" w:hAnsi="Book Antiqua" w:cs="宋体"/>
          <w:kern w:val="0"/>
          <w:sz w:val="24"/>
          <w:szCs w:val="24"/>
        </w:rPr>
        <w:t> </w:t>
      </w:r>
      <w:r w:rsidRPr="00F5231A">
        <w:rPr>
          <w:rFonts w:ascii="Book Antiqua" w:hAnsi="Book Antiqua" w:cs="宋体"/>
          <w:kern w:val="0"/>
          <w:sz w:val="24"/>
          <w:szCs w:val="24"/>
        </w:rPr>
        <w:t>2004;</w:t>
      </w:r>
      <w:r w:rsidRPr="000C1102">
        <w:rPr>
          <w:rFonts w:ascii="Book Antiqua" w:hAnsi="Book Antiqua" w:cs="宋体"/>
          <w:kern w:val="0"/>
          <w:sz w:val="24"/>
          <w:szCs w:val="24"/>
        </w:rPr>
        <w:t> </w:t>
      </w:r>
      <w:r w:rsidRPr="00F5231A">
        <w:rPr>
          <w:rFonts w:ascii="Book Antiqua" w:hAnsi="Book Antiqua" w:cs="宋体"/>
          <w:b/>
          <w:bCs/>
          <w:kern w:val="0"/>
          <w:sz w:val="24"/>
          <w:szCs w:val="24"/>
        </w:rPr>
        <w:t>53</w:t>
      </w:r>
      <w:r w:rsidRPr="00F5231A">
        <w:rPr>
          <w:rFonts w:ascii="Book Antiqua" w:hAnsi="Book Antiqua" w:cs="宋体"/>
          <w:kern w:val="0"/>
          <w:sz w:val="24"/>
          <w:szCs w:val="24"/>
        </w:rPr>
        <w:t>: 1082-1089 [PMID: 15247172 DOI: 10.1136/gut.2003.029736]</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37</w:t>
      </w:r>
      <w:r w:rsidRPr="000C1102">
        <w:rPr>
          <w:rFonts w:ascii="Book Antiqua" w:hAnsi="Book Antiqua" w:cs="宋体"/>
          <w:kern w:val="0"/>
          <w:sz w:val="24"/>
          <w:szCs w:val="24"/>
        </w:rPr>
        <w:t> </w:t>
      </w:r>
      <w:proofErr w:type="spellStart"/>
      <w:r w:rsidRPr="00F5231A">
        <w:rPr>
          <w:rFonts w:ascii="Book Antiqua" w:hAnsi="Book Antiqua" w:cs="宋体"/>
          <w:b/>
          <w:bCs/>
          <w:kern w:val="0"/>
          <w:sz w:val="24"/>
          <w:szCs w:val="24"/>
        </w:rPr>
        <w:t>Bashashati</w:t>
      </w:r>
      <w:proofErr w:type="spellEnd"/>
      <w:r w:rsidRPr="00F5231A">
        <w:rPr>
          <w:rFonts w:ascii="Book Antiqua" w:hAnsi="Book Antiqua" w:cs="宋体"/>
          <w:b/>
          <w:bCs/>
          <w:kern w:val="0"/>
          <w:sz w:val="24"/>
          <w:szCs w:val="24"/>
        </w:rPr>
        <w:t xml:space="preserve"> M</w:t>
      </w:r>
      <w:r w:rsidRPr="00F5231A">
        <w:rPr>
          <w:rFonts w:ascii="Book Antiqua" w:hAnsi="Book Antiqua" w:cs="宋体"/>
          <w:kern w:val="0"/>
          <w:sz w:val="24"/>
          <w:szCs w:val="24"/>
        </w:rPr>
        <w:t xml:space="preserve">, </w:t>
      </w:r>
      <w:proofErr w:type="spellStart"/>
      <w:r w:rsidRPr="00F5231A">
        <w:rPr>
          <w:rFonts w:ascii="Book Antiqua" w:hAnsi="Book Antiqua" w:cs="宋体"/>
          <w:kern w:val="0"/>
          <w:sz w:val="24"/>
          <w:szCs w:val="24"/>
        </w:rPr>
        <w:t>Rezaei</w:t>
      </w:r>
      <w:proofErr w:type="spellEnd"/>
      <w:r w:rsidRPr="00F5231A">
        <w:rPr>
          <w:rFonts w:ascii="Book Antiqua" w:hAnsi="Book Antiqua" w:cs="宋体"/>
          <w:kern w:val="0"/>
          <w:sz w:val="24"/>
          <w:szCs w:val="24"/>
        </w:rPr>
        <w:t xml:space="preserve"> N, </w:t>
      </w:r>
      <w:proofErr w:type="spellStart"/>
      <w:r w:rsidRPr="00F5231A">
        <w:rPr>
          <w:rFonts w:ascii="Book Antiqua" w:hAnsi="Book Antiqua" w:cs="宋体"/>
          <w:kern w:val="0"/>
          <w:sz w:val="24"/>
          <w:szCs w:val="24"/>
        </w:rPr>
        <w:t>Bashashati</w:t>
      </w:r>
      <w:proofErr w:type="spellEnd"/>
      <w:r w:rsidRPr="00F5231A">
        <w:rPr>
          <w:rFonts w:ascii="Book Antiqua" w:hAnsi="Book Antiqua" w:cs="宋体"/>
          <w:kern w:val="0"/>
          <w:sz w:val="24"/>
          <w:szCs w:val="24"/>
        </w:rPr>
        <w:t xml:space="preserve"> H, </w:t>
      </w:r>
      <w:proofErr w:type="spellStart"/>
      <w:r w:rsidRPr="00F5231A">
        <w:rPr>
          <w:rFonts w:ascii="Book Antiqua" w:hAnsi="Book Antiqua" w:cs="宋体"/>
          <w:kern w:val="0"/>
          <w:sz w:val="24"/>
          <w:szCs w:val="24"/>
        </w:rPr>
        <w:t>Shafieyoun</w:t>
      </w:r>
      <w:proofErr w:type="spellEnd"/>
      <w:r w:rsidRPr="00F5231A">
        <w:rPr>
          <w:rFonts w:ascii="Book Antiqua" w:hAnsi="Book Antiqua" w:cs="宋体"/>
          <w:kern w:val="0"/>
          <w:sz w:val="24"/>
          <w:szCs w:val="24"/>
        </w:rPr>
        <w:t xml:space="preserve"> A, </w:t>
      </w:r>
      <w:proofErr w:type="spellStart"/>
      <w:r w:rsidRPr="00F5231A">
        <w:rPr>
          <w:rFonts w:ascii="Book Antiqua" w:hAnsi="Book Antiqua" w:cs="宋体"/>
          <w:kern w:val="0"/>
          <w:sz w:val="24"/>
          <w:szCs w:val="24"/>
        </w:rPr>
        <w:t>Daryani</w:t>
      </w:r>
      <w:proofErr w:type="spellEnd"/>
      <w:r w:rsidRPr="00F5231A">
        <w:rPr>
          <w:rFonts w:ascii="Book Antiqua" w:hAnsi="Book Antiqua" w:cs="宋体"/>
          <w:kern w:val="0"/>
          <w:sz w:val="24"/>
          <w:szCs w:val="24"/>
        </w:rPr>
        <w:t xml:space="preserve"> NE, Sharkey KA, </w:t>
      </w:r>
      <w:proofErr w:type="spellStart"/>
      <w:r w:rsidRPr="00F5231A">
        <w:rPr>
          <w:rFonts w:ascii="Book Antiqua" w:hAnsi="Book Antiqua" w:cs="宋体"/>
          <w:kern w:val="0"/>
          <w:sz w:val="24"/>
          <w:szCs w:val="24"/>
        </w:rPr>
        <w:t>Storr</w:t>
      </w:r>
      <w:proofErr w:type="spellEnd"/>
      <w:r w:rsidRPr="00F5231A">
        <w:rPr>
          <w:rFonts w:ascii="Book Antiqua" w:hAnsi="Book Antiqua" w:cs="宋体"/>
          <w:kern w:val="0"/>
          <w:sz w:val="24"/>
          <w:szCs w:val="24"/>
        </w:rPr>
        <w:t xml:space="preserve"> M. Cytokine gene polymorphisms are associated with irritable bowel syndrome: a systematic review and meta-analysis.</w:t>
      </w:r>
      <w:r w:rsidRPr="000C1102">
        <w:rPr>
          <w:rFonts w:ascii="Book Antiqua" w:hAnsi="Book Antiqua" w:cs="宋体"/>
          <w:kern w:val="0"/>
          <w:sz w:val="24"/>
          <w:szCs w:val="24"/>
        </w:rPr>
        <w:t> </w:t>
      </w:r>
      <w:proofErr w:type="spellStart"/>
      <w:r w:rsidRPr="00F5231A">
        <w:rPr>
          <w:rFonts w:ascii="Book Antiqua" w:hAnsi="Book Antiqua" w:cs="宋体"/>
          <w:i/>
          <w:iCs/>
          <w:kern w:val="0"/>
          <w:sz w:val="24"/>
          <w:szCs w:val="24"/>
        </w:rPr>
        <w:t>Neurogastroenterol</w:t>
      </w:r>
      <w:proofErr w:type="spellEnd"/>
      <w:r w:rsidRPr="00F5231A">
        <w:rPr>
          <w:rFonts w:ascii="Book Antiqua" w:hAnsi="Book Antiqua" w:cs="宋体"/>
          <w:i/>
          <w:iCs/>
          <w:kern w:val="0"/>
          <w:sz w:val="24"/>
          <w:szCs w:val="24"/>
        </w:rPr>
        <w:t xml:space="preserve"> </w:t>
      </w:r>
      <w:proofErr w:type="spellStart"/>
      <w:r w:rsidRPr="00F5231A">
        <w:rPr>
          <w:rFonts w:ascii="Book Antiqua" w:hAnsi="Book Antiqua" w:cs="宋体"/>
          <w:i/>
          <w:iCs/>
          <w:kern w:val="0"/>
          <w:sz w:val="24"/>
          <w:szCs w:val="24"/>
        </w:rPr>
        <w:t>Motil</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2012;</w:t>
      </w:r>
      <w:r w:rsidRPr="000C1102">
        <w:rPr>
          <w:rFonts w:ascii="Book Antiqua" w:hAnsi="Book Antiqua" w:cs="宋体"/>
          <w:kern w:val="0"/>
          <w:sz w:val="24"/>
          <w:szCs w:val="24"/>
        </w:rPr>
        <w:t> </w:t>
      </w:r>
      <w:r w:rsidRPr="00F5231A">
        <w:rPr>
          <w:rFonts w:ascii="Book Antiqua" w:hAnsi="Book Antiqua" w:cs="宋体"/>
          <w:b/>
          <w:bCs/>
          <w:kern w:val="0"/>
          <w:sz w:val="24"/>
          <w:szCs w:val="24"/>
        </w:rPr>
        <w:t>24</w:t>
      </w:r>
      <w:r w:rsidRPr="00F5231A">
        <w:rPr>
          <w:rFonts w:ascii="Book Antiqua" w:hAnsi="Book Antiqua" w:cs="宋体"/>
          <w:kern w:val="0"/>
          <w:sz w:val="24"/>
          <w:szCs w:val="24"/>
        </w:rPr>
        <w:t>: 1102-e566 [PMID: 22897390 DOI: 10.1111/j.1365-2982.2012.01990.x]</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38</w:t>
      </w:r>
      <w:r w:rsidRPr="000C1102">
        <w:rPr>
          <w:rFonts w:ascii="Book Antiqua" w:hAnsi="Book Antiqua" w:cs="宋体"/>
          <w:kern w:val="0"/>
          <w:sz w:val="24"/>
          <w:szCs w:val="24"/>
        </w:rPr>
        <w:t> </w:t>
      </w:r>
      <w:proofErr w:type="spellStart"/>
      <w:r w:rsidRPr="00F5231A">
        <w:rPr>
          <w:rFonts w:ascii="Book Antiqua" w:hAnsi="Book Antiqua" w:cs="宋体"/>
          <w:b/>
          <w:bCs/>
          <w:kern w:val="0"/>
          <w:sz w:val="24"/>
          <w:szCs w:val="24"/>
        </w:rPr>
        <w:t>Meenagh</w:t>
      </w:r>
      <w:proofErr w:type="spellEnd"/>
      <w:r w:rsidRPr="00F5231A">
        <w:rPr>
          <w:rFonts w:ascii="Book Antiqua" w:hAnsi="Book Antiqua" w:cs="宋体"/>
          <w:b/>
          <w:bCs/>
          <w:kern w:val="0"/>
          <w:sz w:val="24"/>
          <w:szCs w:val="24"/>
        </w:rPr>
        <w:t xml:space="preserve"> A</w:t>
      </w:r>
      <w:r w:rsidRPr="00F5231A">
        <w:rPr>
          <w:rFonts w:ascii="Book Antiqua" w:hAnsi="Book Antiqua" w:cs="宋体"/>
          <w:kern w:val="0"/>
          <w:sz w:val="24"/>
          <w:szCs w:val="24"/>
        </w:rPr>
        <w:t xml:space="preserve">, Williams F, Ross OA, Patterson C, </w:t>
      </w:r>
      <w:proofErr w:type="spellStart"/>
      <w:r w:rsidRPr="00F5231A">
        <w:rPr>
          <w:rFonts w:ascii="Book Antiqua" w:hAnsi="Book Antiqua" w:cs="宋体"/>
          <w:kern w:val="0"/>
          <w:sz w:val="24"/>
          <w:szCs w:val="24"/>
        </w:rPr>
        <w:t>Gorodezky</w:t>
      </w:r>
      <w:proofErr w:type="spellEnd"/>
      <w:r w:rsidRPr="00F5231A">
        <w:rPr>
          <w:rFonts w:ascii="Book Antiqua" w:hAnsi="Book Antiqua" w:cs="宋体"/>
          <w:kern w:val="0"/>
          <w:sz w:val="24"/>
          <w:szCs w:val="24"/>
        </w:rPr>
        <w:t xml:space="preserve"> C, Hammond M, </w:t>
      </w:r>
      <w:proofErr w:type="spellStart"/>
      <w:r w:rsidRPr="00F5231A">
        <w:rPr>
          <w:rFonts w:ascii="Book Antiqua" w:hAnsi="Book Antiqua" w:cs="宋体"/>
          <w:kern w:val="0"/>
          <w:sz w:val="24"/>
          <w:szCs w:val="24"/>
        </w:rPr>
        <w:t>Leheny</w:t>
      </w:r>
      <w:proofErr w:type="spellEnd"/>
      <w:r w:rsidRPr="00F5231A">
        <w:rPr>
          <w:rFonts w:ascii="Book Antiqua" w:hAnsi="Book Antiqua" w:cs="宋体"/>
          <w:kern w:val="0"/>
          <w:sz w:val="24"/>
          <w:szCs w:val="24"/>
        </w:rPr>
        <w:t xml:space="preserve"> WA, Middleton D. Frequency of cytokine polymorphisms in populations from western Europe, Africa, Asia, the Middle East and South America.</w:t>
      </w:r>
      <w:r w:rsidRPr="000C1102">
        <w:rPr>
          <w:rFonts w:ascii="Book Antiqua" w:hAnsi="Book Antiqua" w:cs="宋体"/>
          <w:kern w:val="0"/>
          <w:sz w:val="24"/>
          <w:szCs w:val="24"/>
        </w:rPr>
        <w:t> </w:t>
      </w:r>
      <w:r w:rsidRPr="00F5231A">
        <w:rPr>
          <w:rFonts w:ascii="Book Antiqua" w:hAnsi="Book Antiqua" w:cs="宋体"/>
          <w:i/>
          <w:iCs/>
          <w:kern w:val="0"/>
          <w:sz w:val="24"/>
          <w:szCs w:val="24"/>
        </w:rPr>
        <w:t xml:space="preserve">Hum </w:t>
      </w:r>
      <w:proofErr w:type="spellStart"/>
      <w:r w:rsidRPr="00F5231A">
        <w:rPr>
          <w:rFonts w:ascii="Book Antiqua" w:hAnsi="Book Antiqua" w:cs="宋体"/>
          <w:i/>
          <w:iCs/>
          <w:kern w:val="0"/>
          <w:sz w:val="24"/>
          <w:szCs w:val="24"/>
        </w:rPr>
        <w:t>Immunol</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2002;</w:t>
      </w:r>
      <w:r w:rsidRPr="000C1102">
        <w:rPr>
          <w:rFonts w:ascii="Book Antiqua" w:hAnsi="Book Antiqua" w:cs="宋体"/>
          <w:kern w:val="0"/>
          <w:sz w:val="24"/>
          <w:szCs w:val="24"/>
        </w:rPr>
        <w:t> </w:t>
      </w:r>
      <w:r w:rsidRPr="00F5231A">
        <w:rPr>
          <w:rFonts w:ascii="Book Antiqua" w:hAnsi="Book Antiqua" w:cs="宋体"/>
          <w:b/>
          <w:bCs/>
          <w:kern w:val="0"/>
          <w:sz w:val="24"/>
          <w:szCs w:val="24"/>
        </w:rPr>
        <w:t>63</w:t>
      </w:r>
      <w:r w:rsidRPr="00F5231A">
        <w:rPr>
          <w:rFonts w:ascii="Book Antiqua" w:hAnsi="Book Antiqua" w:cs="宋体"/>
          <w:kern w:val="0"/>
          <w:sz w:val="24"/>
          <w:szCs w:val="24"/>
        </w:rPr>
        <w:t>: 1055-1061 [PMID: 12392859 DOI: S0198885902004408]</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39</w:t>
      </w:r>
      <w:r w:rsidRPr="000C1102">
        <w:rPr>
          <w:rFonts w:ascii="Book Antiqua" w:hAnsi="Book Antiqua" w:cs="宋体"/>
          <w:kern w:val="0"/>
          <w:sz w:val="24"/>
          <w:szCs w:val="24"/>
        </w:rPr>
        <w:t> </w:t>
      </w:r>
      <w:r w:rsidRPr="00F5231A">
        <w:rPr>
          <w:rFonts w:ascii="Book Antiqua" w:hAnsi="Book Antiqua" w:cs="宋体"/>
          <w:b/>
          <w:bCs/>
          <w:kern w:val="0"/>
          <w:sz w:val="24"/>
          <w:szCs w:val="24"/>
        </w:rPr>
        <w:t>Fan W</w:t>
      </w:r>
      <w:r w:rsidRPr="00F5231A">
        <w:rPr>
          <w:rFonts w:ascii="Book Antiqua" w:hAnsi="Book Antiqua" w:cs="宋体"/>
          <w:kern w:val="0"/>
          <w:sz w:val="24"/>
          <w:szCs w:val="24"/>
        </w:rPr>
        <w:t>, Li S, Chen Q, Huang Z, Ma Q, Xiao Z. Association between interleukin-10 promoter polymorphisms and endometriosis: a meta-analysis.</w:t>
      </w:r>
      <w:r w:rsidRPr="000C1102">
        <w:rPr>
          <w:rFonts w:ascii="Book Antiqua" w:hAnsi="Book Antiqua" w:cs="宋体"/>
          <w:kern w:val="0"/>
          <w:sz w:val="24"/>
          <w:szCs w:val="24"/>
        </w:rPr>
        <w:t> </w:t>
      </w:r>
      <w:r w:rsidRPr="00F5231A">
        <w:rPr>
          <w:rFonts w:ascii="Book Antiqua" w:hAnsi="Book Antiqua" w:cs="宋体"/>
          <w:i/>
          <w:iCs/>
          <w:kern w:val="0"/>
          <w:sz w:val="24"/>
          <w:szCs w:val="24"/>
        </w:rPr>
        <w:t>Gene</w:t>
      </w:r>
      <w:r w:rsidRPr="000C1102">
        <w:rPr>
          <w:rFonts w:ascii="Book Antiqua" w:hAnsi="Book Antiqua" w:cs="宋体"/>
          <w:kern w:val="0"/>
          <w:sz w:val="24"/>
          <w:szCs w:val="24"/>
        </w:rPr>
        <w:t> </w:t>
      </w:r>
      <w:r w:rsidRPr="00F5231A">
        <w:rPr>
          <w:rFonts w:ascii="Book Antiqua" w:hAnsi="Book Antiqua" w:cs="宋体"/>
          <w:kern w:val="0"/>
          <w:sz w:val="24"/>
          <w:szCs w:val="24"/>
        </w:rPr>
        <w:t>2013;</w:t>
      </w:r>
      <w:r w:rsidRPr="000C1102">
        <w:rPr>
          <w:rFonts w:ascii="Book Antiqua" w:hAnsi="Book Antiqua" w:cs="宋体"/>
          <w:kern w:val="0"/>
          <w:sz w:val="24"/>
          <w:szCs w:val="24"/>
        </w:rPr>
        <w:t> </w:t>
      </w:r>
      <w:r w:rsidRPr="00F5231A">
        <w:rPr>
          <w:rFonts w:ascii="Book Antiqua" w:hAnsi="Book Antiqua" w:cs="宋体"/>
          <w:b/>
          <w:bCs/>
          <w:kern w:val="0"/>
          <w:sz w:val="24"/>
          <w:szCs w:val="24"/>
        </w:rPr>
        <w:t>515</w:t>
      </w:r>
      <w:r w:rsidRPr="00F5231A">
        <w:rPr>
          <w:rFonts w:ascii="Book Antiqua" w:hAnsi="Book Antiqua" w:cs="宋体"/>
          <w:kern w:val="0"/>
          <w:sz w:val="24"/>
          <w:szCs w:val="24"/>
        </w:rPr>
        <w:t>: 49-55 [PMID: 23237776 DOI: 10.1016/j.gene.2012.11.037]</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40</w:t>
      </w:r>
      <w:r w:rsidRPr="000C1102">
        <w:rPr>
          <w:rFonts w:ascii="Book Antiqua" w:hAnsi="Book Antiqua" w:cs="宋体"/>
          <w:kern w:val="0"/>
          <w:sz w:val="24"/>
          <w:szCs w:val="24"/>
        </w:rPr>
        <w:t> </w:t>
      </w:r>
      <w:r w:rsidRPr="00F5231A">
        <w:rPr>
          <w:rFonts w:ascii="Book Antiqua" w:hAnsi="Book Antiqua" w:cs="宋体"/>
          <w:b/>
          <w:bCs/>
          <w:kern w:val="0"/>
          <w:sz w:val="24"/>
          <w:szCs w:val="24"/>
        </w:rPr>
        <w:t>Albuquerque CM</w:t>
      </w:r>
      <w:r w:rsidRPr="00F5231A">
        <w:rPr>
          <w:rFonts w:ascii="Book Antiqua" w:hAnsi="Book Antiqua" w:cs="宋体"/>
          <w:kern w:val="0"/>
          <w:sz w:val="24"/>
          <w:szCs w:val="24"/>
        </w:rPr>
        <w:t xml:space="preserve">, </w:t>
      </w:r>
      <w:proofErr w:type="spellStart"/>
      <w:r w:rsidRPr="00F5231A">
        <w:rPr>
          <w:rFonts w:ascii="Book Antiqua" w:hAnsi="Book Antiqua" w:cs="宋体"/>
          <w:kern w:val="0"/>
          <w:sz w:val="24"/>
          <w:szCs w:val="24"/>
        </w:rPr>
        <w:t>Cortinhas</w:t>
      </w:r>
      <w:proofErr w:type="spellEnd"/>
      <w:r w:rsidRPr="00F5231A">
        <w:rPr>
          <w:rFonts w:ascii="Book Antiqua" w:hAnsi="Book Antiqua" w:cs="宋体"/>
          <w:kern w:val="0"/>
          <w:sz w:val="24"/>
          <w:szCs w:val="24"/>
        </w:rPr>
        <w:t xml:space="preserve"> AJ, </w:t>
      </w:r>
      <w:proofErr w:type="spellStart"/>
      <w:r w:rsidRPr="00F5231A">
        <w:rPr>
          <w:rFonts w:ascii="Book Antiqua" w:hAnsi="Book Antiqua" w:cs="宋体"/>
          <w:kern w:val="0"/>
          <w:sz w:val="24"/>
          <w:szCs w:val="24"/>
        </w:rPr>
        <w:t>Morinha</w:t>
      </w:r>
      <w:proofErr w:type="spellEnd"/>
      <w:r w:rsidRPr="00F5231A">
        <w:rPr>
          <w:rFonts w:ascii="Book Antiqua" w:hAnsi="Book Antiqua" w:cs="宋体"/>
          <w:kern w:val="0"/>
          <w:sz w:val="24"/>
          <w:szCs w:val="24"/>
        </w:rPr>
        <w:t xml:space="preserve"> FJ, </w:t>
      </w:r>
      <w:proofErr w:type="spellStart"/>
      <w:r w:rsidRPr="00F5231A">
        <w:rPr>
          <w:rFonts w:ascii="Book Antiqua" w:hAnsi="Book Antiqua" w:cs="宋体"/>
          <w:kern w:val="0"/>
          <w:sz w:val="24"/>
          <w:szCs w:val="24"/>
        </w:rPr>
        <w:t>Leitão</w:t>
      </w:r>
      <w:proofErr w:type="spellEnd"/>
      <w:r w:rsidRPr="00F5231A">
        <w:rPr>
          <w:rFonts w:ascii="Book Antiqua" w:hAnsi="Book Antiqua" w:cs="宋体"/>
          <w:kern w:val="0"/>
          <w:sz w:val="24"/>
          <w:szCs w:val="24"/>
        </w:rPr>
        <w:t xml:space="preserve"> JC, </w:t>
      </w:r>
      <w:proofErr w:type="spellStart"/>
      <w:r w:rsidRPr="00F5231A">
        <w:rPr>
          <w:rFonts w:ascii="Book Antiqua" w:hAnsi="Book Antiqua" w:cs="宋体"/>
          <w:kern w:val="0"/>
          <w:sz w:val="24"/>
          <w:szCs w:val="24"/>
        </w:rPr>
        <w:t>Viegas</w:t>
      </w:r>
      <w:proofErr w:type="spellEnd"/>
      <w:r w:rsidRPr="00F5231A">
        <w:rPr>
          <w:rFonts w:ascii="Book Antiqua" w:hAnsi="Book Antiqua" w:cs="宋体"/>
          <w:kern w:val="0"/>
          <w:sz w:val="24"/>
          <w:szCs w:val="24"/>
        </w:rPr>
        <w:t xml:space="preserve"> CA, </w:t>
      </w:r>
      <w:proofErr w:type="spellStart"/>
      <w:r w:rsidRPr="00F5231A">
        <w:rPr>
          <w:rFonts w:ascii="Book Antiqua" w:hAnsi="Book Antiqua" w:cs="宋体"/>
          <w:kern w:val="0"/>
          <w:sz w:val="24"/>
          <w:szCs w:val="24"/>
        </w:rPr>
        <w:t>Bastos</w:t>
      </w:r>
      <w:proofErr w:type="spellEnd"/>
      <w:r w:rsidRPr="00F5231A">
        <w:rPr>
          <w:rFonts w:ascii="Book Antiqua" w:hAnsi="Book Antiqua" w:cs="宋体"/>
          <w:kern w:val="0"/>
          <w:sz w:val="24"/>
          <w:szCs w:val="24"/>
        </w:rPr>
        <w:t xml:space="preserve"> EM. Association of the IL-10 polymorphisms and periodontitis: a meta-analysis.</w:t>
      </w:r>
      <w:r w:rsidRPr="000C1102">
        <w:rPr>
          <w:rFonts w:ascii="Book Antiqua" w:hAnsi="Book Antiqua" w:cs="宋体"/>
          <w:kern w:val="0"/>
          <w:sz w:val="24"/>
          <w:szCs w:val="24"/>
        </w:rPr>
        <w:t> </w:t>
      </w:r>
      <w:proofErr w:type="spellStart"/>
      <w:r w:rsidRPr="00F5231A">
        <w:rPr>
          <w:rFonts w:ascii="Book Antiqua" w:hAnsi="Book Antiqua" w:cs="宋体"/>
          <w:i/>
          <w:iCs/>
          <w:kern w:val="0"/>
          <w:sz w:val="24"/>
          <w:szCs w:val="24"/>
        </w:rPr>
        <w:t>Mol</w:t>
      </w:r>
      <w:proofErr w:type="spellEnd"/>
      <w:r w:rsidRPr="00F5231A">
        <w:rPr>
          <w:rFonts w:ascii="Book Antiqua" w:hAnsi="Book Antiqua" w:cs="宋体"/>
          <w:i/>
          <w:iCs/>
          <w:kern w:val="0"/>
          <w:sz w:val="24"/>
          <w:szCs w:val="24"/>
        </w:rPr>
        <w:t xml:space="preserve"> </w:t>
      </w:r>
      <w:proofErr w:type="spellStart"/>
      <w:r w:rsidRPr="00F5231A">
        <w:rPr>
          <w:rFonts w:ascii="Book Antiqua" w:hAnsi="Book Antiqua" w:cs="宋体"/>
          <w:i/>
          <w:iCs/>
          <w:kern w:val="0"/>
          <w:sz w:val="24"/>
          <w:szCs w:val="24"/>
        </w:rPr>
        <w:t>Biol</w:t>
      </w:r>
      <w:proofErr w:type="spellEnd"/>
      <w:r w:rsidRPr="00F5231A">
        <w:rPr>
          <w:rFonts w:ascii="Book Antiqua" w:hAnsi="Book Antiqua" w:cs="宋体"/>
          <w:i/>
          <w:iCs/>
          <w:kern w:val="0"/>
          <w:sz w:val="24"/>
          <w:szCs w:val="24"/>
        </w:rPr>
        <w:t xml:space="preserve"> Rep</w:t>
      </w:r>
      <w:r w:rsidRPr="000C1102">
        <w:rPr>
          <w:rFonts w:ascii="Book Antiqua" w:hAnsi="Book Antiqua" w:cs="宋体"/>
          <w:kern w:val="0"/>
          <w:sz w:val="24"/>
          <w:szCs w:val="24"/>
        </w:rPr>
        <w:t> </w:t>
      </w:r>
      <w:r w:rsidRPr="00F5231A">
        <w:rPr>
          <w:rFonts w:ascii="Book Antiqua" w:hAnsi="Book Antiqua" w:cs="宋体"/>
          <w:kern w:val="0"/>
          <w:sz w:val="24"/>
          <w:szCs w:val="24"/>
        </w:rPr>
        <w:t>2012;</w:t>
      </w:r>
      <w:r w:rsidRPr="000C1102">
        <w:rPr>
          <w:rFonts w:ascii="Book Antiqua" w:hAnsi="Book Antiqua" w:cs="宋体"/>
          <w:kern w:val="0"/>
          <w:sz w:val="24"/>
          <w:szCs w:val="24"/>
        </w:rPr>
        <w:t> </w:t>
      </w:r>
      <w:r w:rsidRPr="00F5231A">
        <w:rPr>
          <w:rFonts w:ascii="Book Antiqua" w:hAnsi="Book Antiqua" w:cs="宋体"/>
          <w:b/>
          <w:bCs/>
          <w:kern w:val="0"/>
          <w:sz w:val="24"/>
          <w:szCs w:val="24"/>
        </w:rPr>
        <w:t>39</w:t>
      </w:r>
      <w:r w:rsidRPr="00F5231A">
        <w:rPr>
          <w:rFonts w:ascii="Book Antiqua" w:hAnsi="Book Antiqua" w:cs="宋体"/>
          <w:kern w:val="0"/>
          <w:sz w:val="24"/>
          <w:szCs w:val="24"/>
        </w:rPr>
        <w:t>: 9319-9329 [PMID: 22763734 DOI: 10.1007/s11033-012-1738-1]</w:t>
      </w:r>
    </w:p>
    <w:p w:rsidR="00AC73D6" w:rsidRPr="00F5231A" w:rsidRDefault="00AC73D6" w:rsidP="001F595B">
      <w:pPr>
        <w:spacing w:line="360" w:lineRule="auto"/>
        <w:rPr>
          <w:rFonts w:ascii="Book Antiqua" w:hAnsi="Book Antiqua" w:cs="宋体"/>
          <w:kern w:val="0"/>
          <w:sz w:val="24"/>
          <w:szCs w:val="24"/>
        </w:rPr>
      </w:pPr>
      <w:proofErr w:type="gramStart"/>
      <w:r w:rsidRPr="00F5231A">
        <w:rPr>
          <w:rFonts w:ascii="Book Antiqua" w:hAnsi="Book Antiqua" w:cs="宋体"/>
          <w:kern w:val="0"/>
          <w:sz w:val="24"/>
          <w:szCs w:val="24"/>
        </w:rPr>
        <w:t>41</w:t>
      </w:r>
      <w:r w:rsidRPr="000C1102">
        <w:rPr>
          <w:rFonts w:ascii="Book Antiqua" w:hAnsi="Book Antiqua" w:cs="宋体"/>
          <w:kern w:val="0"/>
          <w:sz w:val="24"/>
          <w:szCs w:val="24"/>
        </w:rPr>
        <w:t> </w:t>
      </w:r>
      <w:r w:rsidRPr="00F5231A">
        <w:rPr>
          <w:rFonts w:ascii="Book Antiqua" w:hAnsi="Book Antiqua" w:cs="宋体"/>
          <w:b/>
          <w:bCs/>
          <w:kern w:val="0"/>
          <w:sz w:val="24"/>
          <w:szCs w:val="24"/>
        </w:rPr>
        <w:t>Turner DM</w:t>
      </w:r>
      <w:r w:rsidRPr="00F5231A">
        <w:rPr>
          <w:rFonts w:ascii="Book Antiqua" w:hAnsi="Book Antiqua" w:cs="宋体"/>
          <w:kern w:val="0"/>
          <w:sz w:val="24"/>
          <w:szCs w:val="24"/>
        </w:rPr>
        <w:t xml:space="preserve">, Williams DM, </w:t>
      </w:r>
      <w:proofErr w:type="spellStart"/>
      <w:r w:rsidRPr="00F5231A">
        <w:rPr>
          <w:rFonts w:ascii="Book Antiqua" w:hAnsi="Book Antiqua" w:cs="宋体"/>
          <w:kern w:val="0"/>
          <w:sz w:val="24"/>
          <w:szCs w:val="24"/>
        </w:rPr>
        <w:t>Sankaran</w:t>
      </w:r>
      <w:proofErr w:type="spellEnd"/>
      <w:r w:rsidRPr="00F5231A">
        <w:rPr>
          <w:rFonts w:ascii="Book Antiqua" w:hAnsi="Book Antiqua" w:cs="宋体"/>
          <w:kern w:val="0"/>
          <w:sz w:val="24"/>
          <w:szCs w:val="24"/>
        </w:rPr>
        <w:t xml:space="preserve"> D, Lazarus M, </w:t>
      </w:r>
      <w:proofErr w:type="spellStart"/>
      <w:r w:rsidRPr="00F5231A">
        <w:rPr>
          <w:rFonts w:ascii="Book Antiqua" w:hAnsi="Book Antiqua" w:cs="宋体"/>
          <w:kern w:val="0"/>
          <w:sz w:val="24"/>
          <w:szCs w:val="24"/>
        </w:rPr>
        <w:t>Sinnott</w:t>
      </w:r>
      <w:proofErr w:type="spellEnd"/>
      <w:r w:rsidRPr="00F5231A">
        <w:rPr>
          <w:rFonts w:ascii="Book Antiqua" w:hAnsi="Book Antiqua" w:cs="宋体"/>
          <w:kern w:val="0"/>
          <w:sz w:val="24"/>
          <w:szCs w:val="24"/>
        </w:rPr>
        <w:t xml:space="preserve"> PJ, Hutchinson IV.</w:t>
      </w:r>
      <w:proofErr w:type="gramEnd"/>
      <w:r w:rsidRPr="00F5231A">
        <w:rPr>
          <w:rFonts w:ascii="Book Antiqua" w:hAnsi="Book Antiqua" w:cs="宋体"/>
          <w:kern w:val="0"/>
          <w:sz w:val="24"/>
          <w:szCs w:val="24"/>
        </w:rPr>
        <w:t xml:space="preserve"> </w:t>
      </w:r>
      <w:proofErr w:type="gramStart"/>
      <w:r w:rsidRPr="00F5231A">
        <w:rPr>
          <w:rFonts w:ascii="Book Antiqua" w:hAnsi="Book Antiqua" w:cs="宋体"/>
          <w:kern w:val="0"/>
          <w:sz w:val="24"/>
          <w:szCs w:val="24"/>
        </w:rPr>
        <w:t>An investigation of polymorphism in the interleukin-10 gene promoter.</w:t>
      </w:r>
      <w:proofErr w:type="gramEnd"/>
      <w:r w:rsidRPr="000C1102">
        <w:rPr>
          <w:rFonts w:ascii="Book Antiqua" w:hAnsi="Book Antiqua" w:cs="宋体"/>
          <w:kern w:val="0"/>
          <w:sz w:val="24"/>
          <w:szCs w:val="24"/>
        </w:rPr>
        <w:t> </w:t>
      </w:r>
      <w:proofErr w:type="spellStart"/>
      <w:r w:rsidRPr="00F5231A">
        <w:rPr>
          <w:rFonts w:ascii="Book Antiqua" w:hAnsi="Book Antiqua" w:cs="宋体"/>
          <w:i/>
          <w:iCs/>
          <w:kern w:val="0"/>
          <w:sz w:val="24"/>
          <w:szCs w:val="24"/>
        </w:rPr>
        <w:t>Eur</w:t>
      </w:r>
      <w:proofErr w:type="spellEnd"/>
      <w:r w:rsidRPr="00F5231A">
        <w:rPr>
          <w:rFonts w:ascii="Book Antiqua" w:hAnsi="Book Antiqua" w:cs="宋体"/>
          <w:i/>
          <w:iCs/>
          <w:kern w:val="0"/>
          <w:sz w:val="24"/>
          <w:szCs w:val="24"/>
        </w:rPr>
        <w:t xml:space="preserve"> J </w:t>
      </w:r>
      <w:proofErr w:type="spellStart"/>
      <w:r w:rsidRPr="00F5231A">
        <w:rPr>
          <w:rFonts w:ascii="Book Antiqua" w:hAnsi="Book Antiqua" w:cs="宋体"/>
          <w:i/>
          <w:iCs/>
          <w:kern w:val="0"/>
          <w:sz w:val="24"/>
          <w:szCs w:val="24"/>
        </w:rPr>
        <w:t>Immunogenet</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1997;</w:t>
      </w:r>
      <w:r w:rsidRPr="000C1102">
        <w:rPr>
          <w:rFonts w:ascii="Book Antiqua" w:hAnsi="Book Antiqua" w:cs="宋体"/>
          <w:kern w:val="0"/>
          <w:sz w:val="24"/>
          <w:szCs w:val="24"/>
        </w:rPr>
        <w:t> </w:t>
      </w:r>
      <w:r w:rsidRPr="00F5231A">
        <w:rPr>
          <w:rFonts w:ascii="Book Antiqua" w:hAnsi="Book Antiqua" w:cs="宋体"/>
          <w:b/>
          <w:bCs/>
          <w:kern w:val="0"/>
          <w:sz w:val="24"/>
          <w:szCs w:val="24"/>
        </w:rPr>
        <w:t>24</w:t>
      </w:r>
      <w:r w:rsidRPr="00F5231A">
        <w:rPr>
          <w:rFonts w:ascii="Book Antiqua" w:hAnsi="Book Antiqua" w:cs="宋体"/>
          <w:kern w:val="0"/>
          <w:sz w:val="24"/>
          <w:szCs w:val="24"/>
        </w:rPr>
        <w:t>: 1-8 [PMID: 9043871]</w:t>
      </w:r>
    </w:p>
    <w:p w:rsidR="00AC73D6" w:rsidRPr="00F5231A" w:rsidRDefault="00AC73D6" w:rsidP="001F595B">
      <w:pPr>
        <w:spacing w:line="360" w:lineRule="auto"/>
        <w:rPr>
          <w:rFonts w:ascii="Book Antiqua" w:hAnsi="Book Antiqua" w:cs="宋体"/>
          <w:kern w:val="0"/>
          <w:sz w:val="24"/>
          <w:szCs w:val="24"/>
        </w:rPr>
      </w:pPr>
      <w:proofErr w:type="gramStart"/>
      <w:r w:rsidRPr="00F5231A">
        <w:rPr>
          <w:rFonts w:ascii="Book Antiqua" w:hAnsi="Book Antiqua" w:cs="宋体"/>
          <w:kern w:val="0"/>
          <w:sz w:val="24"/>
          <w:szCs w:val="24"/>
        </w:rPr>
        <w:t>42</w:t>
      </w:r>
      <w:r w:rsidRPr="000C1102">
        <w:rPr>
          <w:rFonts w:ascii="Book Antiqua" w:hAnsi="Book Antiqua" w:cs="宋体"/>
          <w:kern w:val="0"/>
          <w:sz w:val="24"/>
          <w:szCs w:val="24"/>
        </w:rPr>
        <w:t> </w:t>
      </w:r>
      <w:r w:rsidRPr="00F5231A">
        <w:rPr>
          <w:rFonts w:ascii="Book Antiqua" w:hAnsi="Book Antiqua" w:cs="宋体"/>
          <w:b/>
          <w:bCs/>
          <w:kern w:val="0"/>
          <w:sz w:val="24"/>
          <w:szCs w:val="24"/>
        </w:rPr>
        <w:t>Cardona-Castro N</w:t>
      </w:r>
      <w:r w:rsidRPr="00F5231A">
        <w:rPr>
          <w:rFonts w:ascii="Book Antiqua" w:hAnsi="Book Antiqua" w:cs="宋体"/>
          <w:kern w:val="0"/>
          <w:sz w:val="24"/>
          <w:szCs w:val="24"/>
        </w:rPr>
        <w:t xml:space="preserve">, Sánchez-Jiménez M, Rojas W, </w:t>
      </w:r>
      <w:proofErr w:type="spellStart"/>
      <w:r w:rsidRPr="00F5231A">
        <w:rPr>
          <w:rFonts w:ascii="Book Antiqua" w:hAnsi="Book Antiqua" w:cs="宋体"/>
          <w:kern w:val="0"/>
          <w:sz w:val="24"/>
          <w:szCs w:val="24"/>
        </w:rPr>
        <w:t>Bedoya-Berrío</w:t>
      </w:r>
      <w:proofErr w:type="spellEnd"/>
      <w:r w:rsidRPr="00F5231A">
        <w:rPr>
          <w:rFonts w:ascii="Book Antiqua" w:hAnsi="Book Antiqua" w:cs="宋体"/>
          <w:kern w:val="0"/>
          <w:sz w:val="24"/>
          <w:szCs w:val="24"/>
        </w:rPr>
        <w:t xml:space="preserve"> G. IL-10 gene promoter polymorphisms and leprosy in a Colombian population sample.</w:t>
      </w:r>
      <w:proofErr w:type="gramEnd"/>
      <w:r w:rsidRPr="000C1102">
        <w:rPr>
          <w:rFonts w:ascii="Book Antiqua" w:hAnsi="Book Antiqua" w:cs="宋体"/>
          <w:kern w:val="0"/>
          <w:sz w:val="24"/>
          <w:szCs w:val="24"/>
        </w:rPr>
        <w:t> </w:t>
      </w:r>
      <w:proofErr w:type="spellStart"/>
      <w:r w:rsidRPr="00F5231A">
        <w:rPr>
          <w:rFonts w:ascii="Book Antiqua" w:hAnsi="Book Antiqua" w:cs="宋体"/>
          <w:i/>
          <w:iCs/>
          <w:kern w:val="0"/>
          <w:sz w:val="24"/>
          <w:szCs w:val="24"/>
        </w:rPr>
        <w:t>Biomedica</w:t>
      </w:r>
      <w:proofErr w:type="spellEnd"/>
      <w:r w:rsidRPr="000C1102">
        <w:rPr>
          <w:rFonts w:ascii="Book Antiqua" w:hAnsi="Book Antiqua" w:cs="宋体"/>
          <w:kern w:val="0"/>
          <w:sz w:val="24"/>
          <w:szCs w:val="24"/>
        </w:rPr>
        <w:t> 2012</w:t>
      </w:r>
      <w:r w:rsidRPr="00F5231A">
        <w:rPr>
          <w:rFonts w:ascii="Book Antiqua" w:hAnsi="Book Antiqua" w:cs="宋体"/>
          <w:kern w:val="0"/>
          <w:sz w:val="24"/>
          <w:szCs w:val="24"/>
        </w:rPr>
        <w:t>;</w:t>
      </w:r>
      <w:r w:rsidRPr="000C1102">
        <w:rPr>
          <w:rFonts w:ascii="Book Antiqua" w:hAnsi="Book Antiqua" w:cs="宋体"/>
          <w:kern w:val="0"/>
          <w:sz w:val="24"/>
          <w:szCs w:val="24"/>
        </w:rPr>
        <w:t> </w:t>
      </w:r>
      <w:r w:rsidRPr="00F5231A">
        <w:rPr>
          <w:rFonts w:ascii="Book Antiqua" w:hAnsi="Book Antiqua" w:cs="宋体"/>
          <w:b/>
          <w:bCs/>
          <w:kern w:val="0"/>
          <w:sz w:val="24"/>
          <w:szCs w:val="24"/>
        </w:rPr>
        <w:t>32</w:t>
      </w:r>
      <w:r w:rsidRPr="00F5231A">
        <w:rPr>
          <w:rFonts w:ascii="Book Antiqua" w:hAnsi="Book Antiqua" w:cs="宋体"/>
          <w:kern w:val="0"/>
          <w:sz w:val="24"/>
          <w:szCs w:val="24"/>
        </w:rPr>
        <w:t>: 71-76 [PMID: 23235789 DOI: 10.1590/S0120-41572012000100009]</w:t>
      </w:r>
    </w:p>
    <w:p w:rsidR="00AC73D6" w:rsidRPr="00F5231A" w:rsidRDefault="00AC73D6" w:rsidP="001F595B">
      <w:pPr>
        <w:spacing w:line="360" w:lineRule="auto"/>
        <w:rPr>
          <w:rFonts w:ascii="Book Antiqua" w:hAnsi="Book Antiqua" w:cs="宋体"/>
          <w:kern w:val="0"/>
          <w:sz w:val="24"/>
          <w:szCs w:val="24"/>
        </w:rPr>
      </w:pPr>
      <w:r w:rsidRPr="00F5231A">
        <w:rPr>
          <w:rFonts w:ascii="Book Antiqua" w:hAnsi="Book Antiqua" w:cs="宋体"/>
          <w:kern w:val="0"/>
          <w:sz w:val="24"/>
          <w:szCs w:val="24"/>
        </w:rPr>
        <w:t>43</w:t>
      </w:r>
      <w:r w:rsidRPr="000C1102">
        <w:rPr>
          <w:rFonts w:ascii="Book Antiqua" w:hAnsi="Book Antiqua" w:cs="宋体"/>
          <w:kern w:val="0"/>
          <w:sz w:val="24"/>
          <w:szCs w:val="24"/>
        </w:rPr>
        <w:t> </w:t>
      </w:r>
      <w:r w:rsidRPr="00F5231A">
        <w:rPr>
          <w:rFonts w:ascii="Book Antiqua" w:hAnsi="Book Antiqua" w:cs="宋体"/>
          <w:b/>
          <w:bCs/>
          <w:kern w:val="0"/>
          <w:sz w:val="24"/>
          <w:szCs w:val="24"/>
        </w:rPr>
        <w:t>Wei YG</w:t>
      </w:r>
      <w:r w:rsidRPr="00F5231A">
        <w:rPr>
          <w:rFonts w:ascii="Book Antiqua" w:hAnsi="Book Antiqua" w:cs="宋体"/>
          <w:kern w:val="0"/>
          <w:sz w:val="24"/>
          <w:szCs w:val="24"/>
        </w:rPr>
        <w:t xml:space="preserve">, Liu F, Li B, Chen X, Ma Y, Yan LN, Wen TF, </w:t>
      </w:r>
      <w:proofErr w:type="spellStart"/>
      <w:r w:rsidRPr="00F5231A">
        <w:rPr>
          <w:rFonts w:ascii="Book Antiqua" w:hAnsi="Book Antiqua" w:cs="宋体"/>
          <w:kern w:val="0"/>
          <w:sz w:val="24"/>
          <w:szCs w:val="24"/>
        </w:rPr>
        <w:t>Xu</w:t>
      </w:r>
      <w:proofErr w:type="spellEnd"/>
      <w:r w:rsidRPr="00F5231A">
        <w:rPr>
          <w:rFonts w:ascii="Book Antiqua" w:hAnsi="Book Antiqua" w:cs="宋体"/>
          <w:kern w:val="0"/>
          <w:sz w:val="24"/>
          <w:szCs w:val="24"/>
        </w:rPr>
        <w:t xml:space="preserve"> MQ, Wang WT, Yang JY. Interleukin-10 gene polymorphisms and hepatocellular carcinoma susceptibility: a </w:t>
      </w:r>
      <w:r w:rsidRPr="00F5231A">
        <w:rPr>
          <w:rFonts w:ascii="Book Antiqua" w:hAnsi="Book Antiqua" w:cs="宋体"/>
          <w:kern w:val="0"/>
          <w:sz w:val="24"/>
          <w:szCs w:val="24"/>
        </w:rPr>
        <w:lastRenderedPageBreak/>
        <w:t>meta-analysis.</w:t>
      </w:r>
      <w:r w:rsidRPr="000C1102">
        <w:rPr>
          <w:rFonts w:ascii="Book Antiqua" w:hAnsi="Book Antiqua" w:cs="宋体"/>
          <w:kern w:val="0"/>
          <w:sz w:val="24"/>
          <w:szCs w:val="24"/>
        </w:rPr>
        <w:t> </w:t>
      </w:r>
      <w:r w:rsidRPr="00F5231A">
        <w:rPr>
          <w:rFonts w:ascii="Book Antiqua" w:hAnsi="Book Antiqua" w:cs="宋体"/>
          <w:i/>
          <w:iCs/>
          <w:kern w:val="0"/>
          <w:sz w:val="24"/>
          <w:szCs w:val="24"/>
        </w:rPr>
        <w:t xml:space="preserve">World J </w:t>
      </w:r>
      <w:proofErr w:type="spellStart"/>
      <w:r w:rsidRPr="00F5231A">
        <w:rPr>
          <w:rFonts w:ascii="Book Antiqua" w:hAnsi="Book Antiqua" w:cs="宋体"/>
          <w:i/>
          <w:iCs/>
          <w:kern w:val="0"/>
          <w:sz w:val="24"/>
          <w:szCs w:val="24"/>
        </w:rPr>
        <w:t>Gastroenterol</w:t>
      </w:r>
      <w:proofErr w:type="spellEnd"/>
      <w:r w:rsidRPr="000C1102">
        <w:rPr>
          <w:rFonts w:ascii="Book Antiqua" w:hAnsi="Book Antiqua" w:cs="宋体"/>
          <w:kern w:val="0"/>
          <w:sz w:val="24"/>
          <w:szCs w:val="24"/>
        </w:rPr>
        <w:t> </w:t>
      </w:r>
      <w:r w:rsidRPr="00F5231A">
        <w:rPr>
          <w:rFonts w:ascii="Book Antiqua" w:hAnsi="Book Antiqua" w:cs="宋体"/>
          <w:kern w:val="0"/>
          <w:sz w:val="24"/>
          <w:szCs w:val="24"/>
        </w:rPr>
        <w:t>2011;</w:t>
      </w:r>
      <w:r w:rsidRPr="000C1102">
        <w:rPr>
          <w:rFonts w:ascii="Book Antiqua" w:hAnsi="Book Antiqua" w:cs="宋体"/>
          <w:kern w:val="0"/>
          <w:sz w:val="24"/>
          <w:szCs w:val="24"/>
        </w:rPr>
        <w:t> </w:t>
      </w:r>
      <w:r w:rsidRPr="00F5231A">
        <w:rPr>
          <w:rFonts w:ascii="Book Antiqua" w:hAnsi="Book Antiqua" w:cs="宋体"/>
          <w:b/>
          <w:bCs/>
          <w:kern w:val="0"/>
          <w:sz w:val="24"/>
          <w:szCs w:val="24"/>
        </w:rPr>
        <w:t>17</w:t>
      </w:r>
      <w:r w:rsidRPr="00F5231A">
        <w:rPr>
          <w:rFonts w:ascii="Book Antiqua" w:hAnsi="Book Antiqua" w:cs="宋体"/>
          <w:kern w:val="0"/>
          <w:sz w:val="24"/>
          <w:szCs w:val="24"/>
        </w:rPr>
        <w:t>: 3941-3947 [PMID: 22025883 DOI: 10.3748/wjg.v17.i34.3941]</w:t>
      </w:r>
    </w:p>
    <w:p w:rsidR="00AC73D6" w:rsidRPr="000C1102" w:rsidRDefault="00AC73D6" w:rsidP="001F595B">
      <w:pPr>
        <w:spacing w:line="360" w:lineRule="auto"/>
        <w:rPr>
          <w:rFonts w:ascii="Book Antiqua" w:hAnsi="Book Antiqua"/>
        </w:rPr>
      </w:pPr>
    </w:p>
    <w:p w:rsidR="00AC73D6" w:rsidRPr="000C1102" w:rsidRDefault="00AC73D6" w:rsidP="001F595B">
      <w:pPr>
        <w:spacing w:line="360" w:lineRule="auto"/>
        <w:rPr>
          <w:rFonts w:ascii="Book Antiqua" w:hAnsi="Book Antiqua"/>
          <w:b/>
          <w:bCs/>
          <w:sz w:val="24"/>
        </w:rPr>
      </w:pPr>
      <w:bookmarkStart w:id="44" w:name="OLE_LINK11"/>
      <w:bookmarkStart w:id="45" w:name="OLE_LINK12"/>
      <w:bookmarkStart w:id="46" w:name="OLE_LINK36"/>
      <w:bookmarkStart w:id="47" w:name="OLE_LINK37"/>
      <w:bookmarkStart w:id="48" w:name="OLE_LINK20"/>
      <w:bookmarkStart w:id="49" w:name="OLE_LINK80"/>
      <w:bookmarkStart w:id="50" w:name="OLE_LINK85"/>
      <w:bookmarkStart w:id="51" w:name="OLE_LINK194"/>
      <w:bookmarkStart w:id="52" w:name="OLE_LINK118"/>
      <w:bookmarkStart w:id="53" w:name="OLE_LINK159"/>
      <w:r w:rsidRPr="000C1102">
        <w:rPr>
          <w:rStyle w:val="ac"/>
          <w:rFonts w:ascii="Book Antiqua" w:hAnsi="Book Antiqua"/>
          <w:bCs/>
          <w:noProof/>
          <w:sz w:val="24"/>
          <w:szCs w:val="24"/>
        </w:rPr>
        <w:t>P-Reviewer</w:t>
      </w:r>
      <w:bookmarkEnd w:id="44"/>
      <w:bookmarkEnd w:id="45"/>
      <w:r w:rsidRPr="000C1102">
        <w:rPr>
          <w:rStyle w:val="ac"/>
          <w:rFonts w:ascii="Book Antiqua" w:hAnsi="Book Antiqua"/>
          <w:bCs/>
          <w:noProof/>
          <w:sz w:val="24"/>
          <w:szCs w:val="24"/>
        </w:rPr>
        <w:t>s</w:t>
      </w:r>
      <w:r w:rsidRPr="000C1102">
        <w:t xml:space="preserve"> </w:t>
      </w:r>
      <w:r w:rsidRPr="000C1102">
        <w:rPr>
          <w:rStyle w:val="ac"/>
          <w:rFonts w:ascii="Book Antiqua" w:hAnsi="Book Antiqua"/>
          <w:b w:val="0"/>
          <w:bCs/>
          <w:noProof/>
          <w:sz w:val="24"/>
          <w:szCs w:val="24"/>
        </w:rPr>
        <w:t>Filaci G,</w:t>
      </w:r>
      <w:r w:rsidRPr="000C1102">
        <w:rPr>
          <w:rFonts w:ascii="Book Antiqua" w:hAnsi="Book Antiqua"/>
          <w:b/>
          <w:bCs/>
          <w:sz w:val="24"/>
        </w:rPr>
        <w:t xml:space="preserve"> </w:t>
      </w:r>
      <w:proofErr w:type="spellStart"/>
      <w:r w:rsidRPr="000C1102">
        <w:rPr>
          <w:rFonts w:ascii="Book Antiqua" w:hAnsi="Book Antiqua"/>
          <w:b/>
          <w:bCs/>
          <w:sz w:val="24"/>
        </w:rPr>
        <w:t>I</w:t>
      </w:r>
      <w:r w:rsidRPr="000C1102">
        <w:rPr>
          <w:rFonts w:ascii="Book Antiqua" w:hAnsi="Book Antiqua"/>
          <w:bCs/>
          <w:sz w:val="24"/>
        </w:rPr>
        <w:t>zzo</w:t>
      </w:r>
      <w:proofErr w:type="spellEnd"/>
      <w:r w:rsidRPr="000C1102">
        <w:rPr>
          <w:rFonts w:ascii="Book Antiqua" w:hAnsi="Book Antiqua"/>
          <w:bCs/>
          <w:sz w:val="24"/>
        </w:rPr>
        <w:t xml:space="preserve"> AA </w:t>
      </w:r>
      <w:r w:rsidRPr="000C1102">
        <w:rPr>
          <w:rFonts w:ascii="Book Antiqua" w:hAnsi="Book Antiqua"/>
          <w:b/>
          <w:bCs/>
          <w:sz w:val="24"/>
        </w:rPr>
        <w:t xml:space="preserve">         S-Editor </w:t>
      </w:r>
      <w:r w:rsidRPr="000C1102">
        <w:rPr>
          <w:rFonts w:ascii="Book Antiqua" w:hAnsi="Book Antiqua"/>
          <w:bCs/>
          <w:sz w:val="24"/>
        </w:rPr>
        <w:t xml:space="preserve">Wen LL  </w:t>
      </w:r>
      <w:r w:rsidRPr="000C1102">
        <w:rPr>
          <w:rFonts w:ascii="Book Antiqua" w:hAnsi="Book Antiqua"/>
          <w:b/>
          <w:bCs/>
          <w:sz w:val="24"/>
        </w:rPr>
        <w:t xml:space="preserve">         </w:t>
      </w:r>
      <w:r w:rsidRPr="000C1102">
        <w:rPr>
          <w:rFonts w:ascii="Book Antiqua" w:hAnsi="Book Antiqua"/>
          <w:sz w:val="24"/>
        </w:rPr>
        <w:t xml:space="preserve">  </w:t>
      </w:r>
      <w:r w:rsidRPr="000C1102">
        <w:rPr>
          <w:rFonts w:ascii="Book Antiqua" w:hAnsi="Book Antiqua"/>
          <w:b/>
          <w:bCs/>
          <w:sz w:val="24"/>
        </w:rPr>
        <w:t xml:space="preserve">L-Editor                </w:t>
      </w:r>
      <w:r w:rsidRPr="000C1102">
        <w:rPr>
          <w:rFonts w:ascii="Book Antiqua" w:hAnsi="Book Antiqua"/>
          <w:sz w:val="24"/>
        </w:rPr>
        <w:t xml:space="preserve">  </w:t>
      </w:r>
      <w:r w:rsidRPr="000C1102">
        <w:rPr>
          <w:rFonts w:ascii="Book Antiqua" w:hAnsi="Book Antiqua"/>
          <w:b/>
          <w:bCs/>
          <w:sz w:val="24"/>
        </w:rPr>
        <w:t>E-Editor</w:t>
      </w:r>
    </w:p>
    <w:bookmarkEnd w:id="46"/>
    <w:bookmarkEnd w:id="47"/>
    <w:bookmarkEnd w:id="48"/>
    <w:bookmarkEnd w:id="49"/>
    <w:bookmarkEnd w:id="50"/>
    <w:bookmarkEnd w:id="51"/>
    <w:bookmarkEnd w:id="52"/>
    <w:bookmarkEnd w:id="53"/>
    <w:p w:rsidR="00AC73D6" w:rsidRPr="000C1102" w:rsidRDefault="00AC73D6" w:rsidP="00866887">
      <w:pPr>
        <w:spacing w:line="360" w:lineRule="auto"/>
        <w:rPr>
          <w:rFonts w:ascii="Book Antiqua" w:hAnsi="Book Antiqua"/>
          <w:b/>
          <w:sz w:val="24"/>
          <w:szCs w:val="24"/>
        </w:rPr>
      </w:pPr>
      <w:r w:rsidRPr="000C1102">
        <w:rPr>
          <w:rFonts w:ascii="Book Antiqua" w:hAnsi="Book Antiqua"/>
          <w:sz w:val="24"/>
          <w:szCs w:val="24"/>
        </w:rPr>
        <w:br w:type="page"/>
      </w:r>
      <w:r w:rsidRPr="000C1102">
        <w:rPr>
          <w:rFonts w:ascii="Book Antiqua" w:hAnsi="Book Antiqua"/>
          <w:b/>
          <w:sz w:val="24"/>
          <w:szCs w:val="24"/>
        </w:rPr>
        <w:lastRenderedPageBreak/>
        <w:t>Figure 1 Flow chart of study selection</w:t>
      </w:r>
      <w:r w:rsidR="005226BE">
        <w:rPr>
          <w:rFonts w:ascii="Book Antiqua" w:hAnsi="Book Antiqua"/>
          <w:b/>
          <w:sz w:val="24"/>
          <w:szCs w:val="24"/>
        </w:rPr>
        <w:t>.</w:t>
      </w:r>
    </w:p>
    <w:p w:rsidR="00AC73D6" w:rsidRPr="000C1102" w:rsidRDefault="00AC73D6" w:rsidP="00866887">
      <w:pPr>
        <w:spacing w:line="360" w:lineRule="auto"/>
        <w:rPr>
          <w:rFonts w:ascii="Book Antiqua" w:hAnsi="Book Antiqua"/>
          <w:sz w:val="24"/>
          <w:szCs w:val="24"/>
        </w:rPr>
      </w:pPr>
      <w:r w:rsidRPr="000C1102">
        <w:rPr>
          <w:rFonts w:ascii="Book Antiqua" w:hAnsi="Book Antiqua"/>
          <w:b/>
          <w:sz w:val="24"/>
          <w:szCs w:val="24"/>
        </w:rPr>
        <w:t xml:space="preserve">Figure 2 Meta-analysis. </w:t>
      </w:r>
      <w:r w:rsidRPr="000C1102">
        <w:rPr>
          <w:rFonts w:ascii="Book Antiqua" w:hAnsi="Book Antiqua"/>
          <w:sz w:val="24"/>
          <w:szCs w:val="24"/>
        </w:rPr>
        <w:t>A: Interleukin-10 (IL-10) rs1800870 polymorphisms and IBS risk; B: IL-10 rs1800871 polymorphisms and IBS risk; C: IL-10 rs1800872 polymorphisms and IBS risk.</w:t>
      </w: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sz w:val="24"/>
          <w:szCs w:val="24"/>
        </w:rPr>
      </w:pPr>
    </w:p>
    <w:p w:rsidR="00AC73D6" w:rsidRPr="000C1102" w:rsidRDefault="00AC73D6" w:rsidP="00866887">
      <w:pPr>
        <w:spacing w:line="360" w:lineRule="auto"/>
        <w:rPr>
          <w:rFonts w:ascii="Book Antiqua" w:hAnsi="Book Antiqua"/>
          <w:b/>
          <w:sz w:val="24"/>
          <w:szCs w:val="24"/>
        </w:rPr>
      </w:pPr>
      <w:r w:rsidRPr="000C1102">
        <w:rPr>
          <w:rFonts w:ascii="Book Antiqua" w:hAnsi="Book Antiqua"/>
          <w:sz w:val="24"/>
          <w:szCs w:val="24"/>
        </w:rPr>
        <w:br w:type="page"/>
      </w:r>
      <w:r w:rsidRPr="000C1102">
        <w:rPr>
          <w:rFonts w:ascii="Book Antiqua" w:hAnsi="Book Antiqua"/>
          <w:b/>
          <w:sz w:val="24"/>
          <w:szCs w:val="24"/>
        </w:rPr>
        <w:lastRenderedPageBreak/>
        <w:t>Table 1 Characteristic of individual studies in the meta-analysis</w:t>
      </w:r>
    </w:p>
    <w:tbl>
      <w:tblPr>
        <w:tblW w:w="9952" w:type="dxa"/>
        <w:jc w:val="center"/>
        <w:tblInd w:w="-723" w:type="dxa"/>
        <w:tblBorders>
          <w:top w:val="single" w:sz="4" w:space="0" w:color="auto"/>
          <w:bottom w:val="single" w:sz="4" w:space="0" w:color="auto"/>
        </w:tblBorders>
        <w:tblLayout w:type="fixed"/>
        <w:tblLook w:val="01E0" w:firstRow="1" w:lastRow="1" w:firstColumn="1" w:lastColumn="1" w:noHBand="0" w:noVBand="0"/>
      </w:tblPr>
      <w:tblGrid>
        <w:gridCol w:w="1616"/>
        <w:gridCol w:w="696"/>
        <w:gridCol w:w="1283"/>
        <w:gridCol w:w="1373"/>
        <w:gridCol w:w="1080"/>
        <w:gridCol w:w="1440"/>
        <w:gridCol w:w="1080"/>
        <w:gridCol w:w="1384"/>
      </w:tblGrid>
      <w:tr w:rsidR="00AC73D6" w:rsidRPr="000C1102" w:rsidTr="004D73C5">
        <w:trPr>
          <w:jc w:val="center"/>
        </w:trPr>
        <w:tc>
          <w:tcPr>
            <w:tcW w:w="1616" w:type="dxa"/>
            <w:tcBorders>
              <w:top w:val="single" w:sz="4" w:space="0" w:color="auto"/>
              <w:bottom w:val="single" w:sz="4" w:space="0" w:color="auto"/>
            </w:tcBorders>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Author</w:t>
            </w:r>
          </w:p>
        </w:tc>
        <w:tc>
          <w:tcPr>
            <w:tcW w:w="696" w:type="dxa"/>
            <w:tcBorders>
              <w:top w:val="single" w:sz="4" w:space="0" w:color="auto"/>
              <w:bottom w:val="single" w:sz="4" w:space="0" w:color="auto"/>
            </w:tcBorders>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Year</w:t>
            </w:r>
          </w:p>
        </w:tc>
        <w:tc>
          <w:tcPr>
            <w:tcW w:w="1283" w:type="dxa"/>
            <w:tcBorders>
              <w:top w:val="single" w:sz="4" w:space="0" w:color="auto"/>
              <w:bottom w:val="single" w:sz="4" w:space="0" w:color="auto"/>
            </w:tcBorders>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Country/</w:t>
            </w:r>
          </w:p>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Ethnicity</w:t>
            </w:r>
          </w:p>
        </w:tc>
        <w:tc>
          <w:tcPr>
            <w:tcW w:w="1373" w:type="dxa"/>
            <w:tcBorders>
              <w:top w:val="single" w:sz="4" w:space="0" w:color="auto"/>
              <w:bottom w:val="single" w:sz="4" w:space="0" w:color="auto"/>
            </w:tcBorders>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SNP of</w:t>
            </w:r>
          </w:p>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IL-10</w:t>
            </w:r>
          </w:p>
        </w:tc>
        <w:tc>
          <w:tcPr>
            <w:tcW w:w="1080" w:type="dxa"/>
            <w:tcBorders>
              <w:top w:val="single" w:sz="4" w:space="0" w:color="auto"/>
              <w:bottom w:val="single" w:sz="4" w:space="0" w:color="auto"/>
            </w:tcBorders>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IBS/</w:t>
            </w:r>
          </w:p>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Controls</w:t>
            </w:r>
          </w:p>
        </w:tc>
        <w:tc>
          <w:tcPr>
            <w:tcW w:w="1440" w:type="dxa"/>
            <w:tcBorders>
              <w:top w:val="single" w:sz="4" w:space="0" w:color="auto"/>
              <w:bottom w:val="single" w:sz="4" w:space="0" w:color="auto"/>
            </w:tcBorders>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Genotype Methods</w:t>
            </w:r>
          </w:p>
        </w:tc>
        <w:tc>
          <w:tcPr>
            <w:tcW w:w="1080" w:type="dxa"/>
            <w:tcBorders>
              <w:top w:val="single" w:sz="4" w:space="0" w:color="auto"/>
              <w:bottom w:val="single" w:sz="4" w:space="0" w:color="auto"/>
            </w:tcBorders>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Diagnosis</w:t>
            </w:r>
          </w:p>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criteria</w:t>
            </w:r>
          </w:p>
        </w:tc>
        <w:tc>
          <w:tcPr>
            <w:tcW w:w="1384" w:type="dxa"/>
            <w:tcBorders>
              <w:top w:val="single" w:sz="4" w:space="0" w:color="auto"/>
              <w:bottom w:val="single" w:sz="4" w:space="0" w:color="auto"/>
            </w:tcBorders>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HWE</w:t>
            </w:r>
          </w:p>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of control</w:t>
            </w:r>
          </w:p>
        </w:tc>
      </w:tr>
      <w:tr w:rsidR="00AC73D6" w:rsidRPr="000C1102" w:rsidTr="004D73C5">
        <w:trPr>
          <w:jc w:val="center"/>
        </w:trPr>
        <w:tc>
          <w:tcPr>
            <w:tcW w:w="1616" w:type="dxa"/>
            <w:tcBorders>
              <w:top w:val="single" w:sz="4" w:space="0" w:color="auto"/>
            </w:tcBorders>
            <w:vAlign w:val="center"/>
          </w:tcPr>
          <w:p w:rsidR="00AC73D6" w:rsidRPr="000C1102" w:rsidRDefault="00AC73D6" w:rsidP="00866887">
            <w:pPr>
              <w:spacing w:line="360" w:lineRule="auto"/>
              <w:rPr>
                <w:rFonts w:ascii="Book Antiqua" w:hAnsi="Book Antiqua" w:cs="宋体"/>
                <w:sz w:val="24"/>
                <w:szCs w:val="24"/>
              </w:rPr>
            </w:pPr>
            <w:bookmarkStart w:id="54" w:name="OLE_LINK10"/>
            <w:bookmarkStart w:id="55" w:name="_Hlk309852068"/>
            <w:proofErr w:type="spellStart"/>
            <w:r w:rsidRPr="000C1102">
              <w:rPr>
                <w:rFonts w:ascii="Book Antiqua" w:hAnsi="Book Antiqua"/>
                <w:sz w:val="24"/>
                <w:szCs w:val="24"/>
              </w:rPr>
              <w:t>Gonsalkorale</w:t>
            </w:r>
            <w:bookmarkEnd w:id="54"/>
            <w:proofErr w:type="spellEnd"/>
            <w:r w:rsidRPr="000C1102">
              <w:rPr>
                <w:rFonts w:ascii="Book Antiqua" w:hAnsi="Book Antiqua"/>
                <w:sz w:val="24"/>
                <w:szCs w:val="24"/>
              </w:rPr>
              <w:t xml:space="preserve"> </w:t>
            </w:r>
            <w:r w:rsidRPr="000C1102">
              <w:rPr>
                <w:rFonts w:ascii="Book Antiqua" w:hAnsi="Book Antiqua"/>
                <w:i/>
                <w:sz w:val="24"/>
                <w:szCs w:val="24"/>
              </w:rPr>
              <w:t>et al</w:t>
            </w:r>
            <w:r w:rsidRPr="000C1102">
              <w:rPr>
                <w:rFonts w:ascii="Book Antiqua" w:hAnsi="Book Antiqua"/>
                <w:sz w:val="24"/>
                <w:szCs w:val="24"/>
                <w:vertAlign w:val="superscript"/>
              </w:rPr>
              <w:t>[21]</w:t>
            </w:r>
          </w:p>
        </w:tc>
        <w:tc>
          <w:tcPr>
            <w:tcW w:w="696" w:type="dxa"/>
            <w:tcBorders>
              <w:top w:val="single" w:sz="4" w:space="0" w:color="auto"/>
            </w:tcBorders>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2003</w:t>
            </w:r>
          </w:p>
        </w:tc>
        <w:tc>
          <w:tcPr>
            <w:tcW w:w="1283" w:type="dxa"/>
            <w:tcBorders>
              <w:top w:val="single" w:sz="4" w:space="0" w:color="auto"/>
            </w:tcBorders>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cs="Garamond"/>
                <w:kern w:val="0"/>
                <w:sz w:val="24"/>
                <w:szCs w:val="24"/>
              </w:rPr>
              <w:t>United Kingdom</w:t>
            </w:r>
          </w:p>
        </w:tc>
        <w:tc>
          <w:tcPr>
            <w:tcW w:w="1373" w:type="dxa"/>
            <w:tcBorders>
              <w:top w:val="single" w:sz="4" w:space="0" w:color="auto"/>
            </w:tcBorders>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rs1800870</w:t>
            </w:r>
          </w:p>
        </w:tc>
        <w:tc>
          <w:tcPr>
            <w:tcW w:w="1080" w:type="dxa"/>
            <w:tcBorders>
              <w:top w:val="single" w:sz="4" w:space="0" w:color="auto"/>
            </w:tcBorders>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230/450</w:t>
            </w:r>
          </w:p>
        </w:tc>
        <w:tc>
          <w:tcPr>
            <w:tcW w:w="1440" w:type="dxa"/>
            <w:tcBorders>
              <w:top w:val="single" w:sz="4" w:space="0" w:color="auto"/>
            </w:tcBorders>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PCR-SSP</w:t>
            </w:r>
          </w:p>
        </w:tc>
        <w:tc>
          <w:tcPr>
            <w:tcW w:w="1080" w:type="dxa"/>
            <w:tcBorders>
              <w:top w:val="single" w:sz="4" w:space="0" w:color="auto"/>
            </w:tcBorders>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Rome I</w:t>
            </w:r>
          </w:p>
        </w:tc>
        <w:tc>
          <w:tcPr>
            <w:tcW w:w="1384" w:type="dxa"/>
            <w:tcBorders>
              <w:top w:val="single" w:sz="4" w:space="0" w:color="auto"/>
            </w:tcBorders>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0.000</w:t>
            </w:r>
          </w:p>
        </w:tc>
      </w:tr>
      <w:bookmarkEnd w:id="55"/>
      <w:tr w:rsidR="00AC73D6" w:rsidRPr="000C1102" w:rsidTr="004D73C5">
        <w:trPr>
          <w:jc w:val="center"/>
        </w:trPr>
        <w:tc>
          <w:tcPr>
            <w:tcW w:w="161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 xml:space="preserve">van der </w:t>
            </w:r>
            <w:proofErr w:type="spellStart"/>
            <w:r w:rsidRPr="000C1102">
              <w:rPr>
                <w:rFonts w:ascii="Book Antiqua" w:hAnsi="Book Antiqua"/>
                <w:sz w:val="24"/>
                <w:szCs w:val="24"/>
              </w:rPr>
              <w:t>Veek</w:t>
            </w:r>
            <w:proofErr w:type="spellEnd"/>
            <w:r w:rsidRPr="000C1102">
              <w:rPr>
                <w:rFonts w:ascii="Book Antiqua" w:hAnsi="Book Antiqua"/>
                <w:i/>
                <w:sz w:val="24"/>
                <w:szCs w:val="24"/>
              </w:rPr>
              <w:t xml:space="preserve"> et al</w:t>
            </w:r>
            <w:r w:rsidRPr="000C1102">
              <w:rPr>
                <w:rFonts w:ascii="Book Antiqua" w:hAnsi="Book Antiqua"/>
                <w:sz w:val="24"/>
                <w:szCs w:val="24"/>
                <w:vertAlign w:val="superscript"/>
              </w:rPr>
              <w:t>[13]</w:t>
            </w:r>
          </w:p>
        </w:tc>
        <w:tc>
          <w:tcPr>
            <w:tcW w:w="69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2005</w:t>
            </w:r>
          </w:p>
        </w:tc>
        <w:tc>
          <w:tcPr>
            <w:tcW w:w="1283"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Netherlands</w:t>
            </w:r>
          </w:p>
        </w:tc>
        <w:tc>
          <w:tcPr>
            <w:tcW w:w="1373"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rs1800870</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111/128</w:t>
            </w:r>
          </w:p>
        </w:tc>
        <w:tc>
          <w:tcPr>
            <w:tcW w:w="144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PCR-RFLP</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Rome II</w:t>
            </w:r>
          </w:p>
        </w:tc>
        <w:tc>
          <w:tcPr>
            <w:tcW w:w="1384"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0.707</w:t>
            </w:r>
          </w:p>
        </w:tc>
      </w:tr>
      <w:tr w:rsidR="00AC73D6" w:rsidRPr="000C1102" w:rsidTr="004D73C5">
        <w:trPr>
          <w:jc w:val="center"/>
        </w:trPr>
        <w:tc>
          <w:tcPr>
            <w:tcW w:w="161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Wang</w:t>
            </w:r>
            <w:r w:rsidRPr="000C1102">
              <w:rPr>
                <w:rFonts w:ascii="Book Antiqua" w:hAnsi="Book Antiqua"/>
                <w:i/>
                <w:sz w:val="24"/>
                <w:szCs w:val="24"/>
              </w:rPr>
              <w:t xml:space="preserve"> et al</w:t>
            </w:r>
            <w:r w:rsidRPr="000C1102">
              <w:rPr>
                <w:rFonts w:ascii="Book Antiqua" w:hAnsi="Book Antiqua"/>
                <w:sz w:val="24"/>
                <w:szCs w:val="24"/>
                <w:vertAlign w:val="superscript"/>
              </w:rPr>
              <w:t>[24]</w:t>
            </w:r>
          </w:p>
        </w:tc>
        <w:tc>
          <w:tcPr>
            <w:tcW w:w="69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2006</w:t>
            </w:r>
          </w:p>
        </w:tc>
        <w:tc>
          <w:tcPr>
            <w:tcW w:w="1283"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China</w:t>
            </w:r>
          </w:p>
        </w:tc>
        <w:tc>
          <w:tcPr>
            <w:tcW w:w="1373"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rs1800870</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43/41</w:t>
            </w:r>
          </w:p>
        </w:tc>
        <w:tc>
          <w:tcPr>
            <w:tcW w:w="144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PCR-RFLP</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Rome II</w:t>
            </w:r>
          </w:p>
        </w:tc>
        <w:tc>
          <w:tcPr>
            <w:tcW w:w="1384"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0.678</w:t>
            </w:r>
          </w:p>
        </w:tc>
      </w:tr>
      <w:tr w:rsidR="00AC73D6" w:rsidRPr="000C1102" w:rsidTr="004D73C5">
        <w:trPr>
          <w:jc w:val="center"/>
        </w:trPr>
        <w:tc>
          <w:tcPr>
            <w:tcW w:w="1616" w:type="dxa"/>
            <w:vAlign w:val="center"/>
          </w:tcPr>
          <w:p w:rsidR="00AC73D6" w:rsidRPr="000C1102" w:rsidRDefault="00AC73D6" w:rsidP="00866887">
            <w:pPr>
              <w:spacing w:line="360" w:lineRule="auto"/>
              <w:rPr>
                <w:rFonts w:ascii="Book Antiqua" w:hAnsi="Book Antiqua" w:cs="宋体"/>
                <w:sz w:val="24"/>
                <w:szCs w:val="24"/>
              </w:rPr>
            </w:pPr>
            <w:proofErr w:type="spellStart"/>
            <w:r w:rsidRPr="000C1102">
              <w:rPr>
                <w:rFonts w:ascii="Book Antiqua" w:hAnsi="Book Antiqua"/>
                <w:sz w:val="24"/>
                <w:szCs w:val="24"/>
              </w:rPr>
              <w:t>Barkhordari</w:t>
            </w:r>
            <w:proofErr w:type="spellEnd"/>
            <w:r w:rsidRPr="000C1102">
              <w:rPr>
                <w:rFonts w:ascii="Book Antiqua" w:hAnsi="Book Antiqua"/>
                <w:i/>
                <w:sz w:val="24"/>
                <w:szCs w:val="24"/>
              </w:rPr>
              <w:t xml:space="preserve"> et al</w:t>
            </w:r>
            <w:r w:rsidRPr="000C1102">
              <w:rPr>
                <w:rFonts w:ascii="Book Antiqua" w:hAnsi="Book Antiqua"/>
                <w:sz w:val="24"/>
                <w:szCs w:val="24"/>
                <w:vertAlign w:val="superscript"/>
              </w:rPr>
              <w:t>[18]</w:t>
            </w:r>
          </w:p>
        </w:tc>
        <w:tc>
          <w:tcPr>
            <w:tcW w:w="69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2010</w:t>
            </w:r>
          </w:p>
        </w:tc>
        <w:tc>
          <w:tcPr>
            <w:tcW w:w="1283"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Iran</w:t>
            </w:r>
          </w:p>
        </w:tc>
        <w:tc>
          <w:tcPr>
            <w:tcW w:w="1373"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rs1800870</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70/140</w:t>
            </w:r>
          </w:p>
        </w:tc>
        <w:tc>
          <w:tcPr>
            <w:tcW w:w="144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PCR-SSP</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Rome III</w:t>
            </w:r>
          </w:p>
        </w:tc>
        <w:tc>
          <w:tcPr>
            <w:tcW w:w="1384"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0.041</w:t>
            </w:r>
          </w:p>
        </w:tc>
      </w:tr>
      <w:tr w:rsidR="00AC73D6" w:rsidRPr="000C1102" w:rsidTr="004D73C5">
        <w:trPr>
          <w:jc w:val="center"/>
        </w:trPr>
        <w:tc>
          <w:tcPr>
            <w:tcW w:w="161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Lee</w:t>
            </w:r>
            <w:r w:rsidRPr="000C1102">
              <w:rPr>
                <w:rFonts w:ascii="Book Antiqua" w:hAnsi="Book Antiqua"/>
                <w:i/>
                <w:sz w:val="24"/>
                <w:szCs w:val="24"/>
              </w:rPr>
              <w:t xml:space="preserve"> et al</w:t>
            </w:r>
            <w:r w:rsidRPr="000C1102">
              <w:rPr>
                <w:rFonts w:ascii="Book Antiqua" w:hAnsi="Book Antiqua"/>
                <w:sz w:val="24"/>
                <w:szCs w:val="24"/>
                <w:vertAlign w:val="superscript"/>
              </w:rPr>
              <w:t>[22]</w:t>
            </w:r>
          </w:p>
        </w:tc>
        <w:tc>
          <w:tcPr>
            <w:tcW w:w="69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2010</w:t>
            </w:r>
          </w:p>
        </w:tc>
        <w:tc>
          <w:tcPr>
            <w:tcW w:w="1283"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South Korea</w:t>
            </w:r>
          </w:p>
        </w:tc>
        <w:tc>
          <w:tcPr>
            <w:tcW w:w="1373"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rs1800870</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94/88</w:t>
            </w:r>
          </w:p>
        </w:tc>
        <w:tc>
          <w:tcPr>
            <w:tcW w:w="144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PCR-RFLP</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Rome III</w:t>
            </w:r>
          </w:p>
        </w:tc>
        <w:tc>
          <w:tcPr>
            <w:tcW w:w="1384"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0.707</w:t>
            </w:r>
          </w:p>
        </w:tc>
      </w:tr>
      <w:tr w:rsidR="00AC73D6" w:rsidRPr="000C1102" w:rsidTr="004D73C5">
        <w:trPr>
          <w:jc w:val="center"/>
        </w:trPr>
        <w:tc>
          <w:tcPr>
            <w:tcW w:w="1616" w:type="dxa"/>
            <w:vAlign w:val="center"/>
          </w:tcPr>
          <w:p w:rsidR="00AC73D6" w:rsidRPr="000C1102" w:rsidRDefault="00AC73D6" w:rsidP="00866887">
            <w:pPr>
              <w:spacing w:line="360" w:lineRule="auto"/>
              <w:rPr>
                <w:rFonts w:ascii="Book Antiqua" w:hAnsi="Book Antiqua" w:cs="宋体"/>
                <w:sz w:val="24"/>
                <w:szCs w:val="24"/>
              </w:rPr>
            </w:pPr>
            <w:proofErr w:type="spellStart"/>
            <w:r w:rsidRPr="000C1102">
              <w:rPr>
                <w:rFonts w:ascii="Book Antiqua" w:hAnsi="Book Antiqua"/>
                <w:sz w:val="24"/>
                <w:szCs w:val="24"/>
              </w:rPr>
              <w:t>Santhosh</w:t>
            </w:r>
            <w:proofErr w:type="spellEnd"/>
            <w:r w:rsidRPr="000C1102">
              <w:rPr>
                <w:rFonts w:ascii="Book Antiqua" w:hAnsi="Book Antiqua"/>
                <w:i/>
                <w:sz w:val="24"/>
                <w:szCs w:val="24"/>
              </w:rPr>
              <w:t xml:space="preserve"> et al</w:t>
            </w:r>
            <w:r w:rsidRPr="000C1102">
              <w:rPr>
                <w:rFonts w:ascii="Book Antiqua" w:hAnsi="Book Antiqua"/>
                <w:sz w:val="24"/>
                <w:szCs w:val="24"/>
                <w:vertAlign w:val="superscript"/>
              </w:rPr>
              <w:t>[23]</w:t>
            </w:r>
          </w:p>
        </w:tc>
        <w:tc>
          <w:tcPr>
            <w:tcW w:w="69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2010</w:t>
            </w:r>
          </w:p>
        </w:tc>
        <w:tc>
          <w:tcPr>
            <w:tcW w:w="1283"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Indian</w:t>
            </w:r>
          </w:p>
        </w:tc>
        <w:tc>
          <w:tcPr>
            <w:tcW w:w="1373"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rs1800870</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23/20</w:t>
            </w:r>
          </w:p>
        </w:tc>
        <w:tc>
          <w:tcPr>
            <w:tcW w:w="144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PCR-SSP</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Rome II</w:t>
            </w:r>
          </w:p>
        </w:tc>
        <w:tc>
          <w:tcPr>
            <w:tcW w:w="1384"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0.717</w:t>
            </w:r>
          </w:p>
        </w:tc>
      </w:tr>
      <w:tr w:rsidR="00AC73D6" w:rsidRPr="000C1102" w:rsidTr="004D73C5">
        <w:trPr>
          <w:jc w:val="center"/>
        </w:trPr>
        <w:tc>
          <w:tcPr>
            <w:tcW w:w="161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Romero-</w:t>
            </w:r>
            <w:proofErr w:type="spellStart"/>
            <w:r w:rsidRPr="000C1102">
              <w:rPr>
                <w:rFonts w:ascii="Book Antiqua" w:hAnsi="Book Antiqua"/>
                <w:sz w:val="24"/>
                <w:szCs w:val="24"/>
              </w:rPr>
              <w:t>Valdovinos</w:t>
            </w:r>
            <w:proofErr w:type="spellEnd"/>
            <w:r w:rsidRPr="000C1102">
              <w:rPr>
                <w:rFonts w:ascii="Book Antiqua" w:hAnsi="Book Antiqua"/>
                <w:sz w:val="24"/>
                <w:szCs w:val="24"/>
              </w:rPr>
              <w:t xml:space="preserve"> </w:t>
            </w:r>
            <w:r w:rsidRPr="000C1102">
              <w:rPr>
                <w:rFonts w:ascii="Book Antiqua" w:hAnsi="Book Antiqua"/>
                <w:i/>
                <w:sz w:val="24"/>
                <w:szCs w:val="24"/>
              </w:rPr>
              <w:t>et al</w:t>
            </w:r>
            <w:r w:rsidRPr="000C1102">
              <w:rPr>
                <w:rFonts w:ascii="Book Antiqua" w:hAnsi="Book Antiqua"/>
                <w:sz w:val="24"/>
                <w:szCs w:val="24"/>
                <w:vertAlign w:val="superscript"/>
              </w:rPr>
              <w:t>[20]</w:t>
            </w:r>
          </w:p>
        </w:tc>
        <w:tc>
          <w:tcPr>
            <w:tcW w:w="69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2012</w:t>
            </w:r>
          </w:p>
        </w:tc>
        <w:tc>
          <w:tcPr>
            <w:tcW w:w="1283"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Mexico</w:t>
            </w:r>
          </w:p>
        </w:tc>
        <w:tc>
          <w:tcPr>
            <w:tcW w:w="1373"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rs1800870</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45/173</w:t>
            </w:r>
          </w:p>
        </w:tc>
        <w:tc>
          <w:tcPr>
            <w:tcW w:w="144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PCR-RFLP</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Rome III</w:t>
            </w:r>
          </w:p>
        </w:tc>
        <w:tc>
          <w:tcPr>
            <w:tcW w:w="1384"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0.000</w:t>
            </w:r>
          </w:p>
        </w:tc>
      </w:tr>
      <w:tr w:rsidR="00AC73D6" w:rsidRPr="000C1102" w:rsidTr="004D73C5">
        <w:trPr>
          <w:jc w:val="center"/>
        </w:trPr>
        <w:tc>
          <w:tcPr>
            <w:tcW w:w="1616" w:type="dxa"/>
            <w:vAlign w:val="center"/>
          </w:tcPr>
          <w:p w:rsidR="00AC73D6" w:rsidRPr="000C1102" w:rsidRDefault="00AC73D6" w:rsidP="00866887">
            <w:pPr>
              <w:spacing w:line="360" w:lineRule="auto"/>
              <w:rPr>
                <w:rFonts w:ascii="Book Antiqua" w:hAnsi="Book Antiqua"/>
                <w:sz w:val="24"/>
                <w:szCs w:val="24"/>
              </w:rPr>
            </w:pPr>
          </w:p>
        </w:tc>
        <w:tc>
          <w:tcPr>
            <w:tcW w:w="696" w:type="dxa"/>
            <w:vAlign w:val="center"/>
          </w:tcPr>
          <w:p w:rsidR="00AC73D6" w:rsidRPr="000C1102" w:rsidRDefault="00AC73D6" w:rsidP="00866887">
            <w:pPr>
              <w:spacing w:line="360" w:lineRule="auto"/>
              <w:rPr>
                <w:rFonts w:ascii="Book Antiqua" w:hAnsi="Book Antiqua"/>
                <w:sz w:val="24"/>
                <w:szCs w:val="24"/>
              </w:rPr>
            </w:pPr>
          </w:p>
        </w:tc>
        <w:tc>
          <w:tcPr>
            <w:tcW w:w="1283" w:type="dxa"/>
            <w:vAlign w:val="center"/>
          </w:tcPr>
          <w:p w:rsidR="00AC73D6" w:rsidRPr="000C1102" w:rsidRDefault="00AC73D6" w:rsidP="00866887">
            <w:pPr>
              <w:spacing w:line="360" w:lineRule="auto"/>
              <w:rPr>
                <w:rFonts w:ascii="Book Antiqua" w:hAnsi="Book Antiqua"/>
                <w:sz w:val="24"/>
                <w:szCs w:val="24"/>
              </w:rPr>
            </w:pPr>
          </w:p>
        </w:tc>
        <w:tc>
          <w:tcPr>
            <w:tcW w:w="1373" w:type="dxa"/>
            <w:vAlign w:val="center"/>
          </w:tcPr>
          <w:p w:rsidR="00AC73D6" w:rsidRPr="000C1102" w:rsidRDefault="00AC73D6" w:rsidP="00866887">
            <w:pPr>
              <w:spacing w:line="360" w:lineRule="auto"/>
              <w:rPr>
                <w:rFonts w:ascii="Book Antiqua" w:hAnsi="Book Antiqua"/>
                <w:sz w:val="24"/>
                <w:szCs w:val="24"/>
              </w:rPr>
            </w:pPr>
          </w:p>
        </w:tc>
        <w:tc>
          <w:tcPr>
            <w:tcW w:w="1080" w:type="dxa"/>
            <w:vAlign w:val="center"/>
          </w:tcPr>
          <w:p w:rsidR="00AC73D6" w:rsidRPr="000C1102" w:rsidRDefault="00AC73D6" w:rsidP="00866887">
            <w:pPr>
              <w:spacing w:line="360" w:lineRule="auto"/>
              <w:rPr>
                <w:rFonts w:ascii="Book Antiqua" w:hAnsi="Book Antiqua"/>
                <w:sz w:val="24"/>
                <w:szCs w:val="24"/>
              </w:rPr>
            </w:pPr>
          </w:p>
        </w:tc>
        <w:tc>
          <w:tcPr>
            <w:tcW w:w="1440" w:type="dxa"/>
            <w:vAlign w:val="center"/>
          </w:tcPr>
          <w:p w:rsidR="00AC73D6" w:rsidRPr="000C1102" w:rsidRDefault="00AC73D6" w:rsidP="00866887">
            <w:pPr>
              <w:spacing w:line="360" w:lineRule="auto"/>
              <w:rPr>
                <w:rFonts w:ascii="Book Antiqua" w:hAnsi="Book Antiqua"/>
                <w:sz w:val="24"/>
                <w:szCs w:val="24"/>
              </w:rPr>
            </w:pPr>
          </w:p>
        </w:tc>
        <w:tc>
          <w:tcPr>
            <w:tcW w:w="1080" w:type="dxa"/>
            <w:vAlign w:val="center"/>
          </w:tcPr>
          <w:p w:rsidR="00AC73D6" w:rsidRPr="000C1102" w:rsidRDefault="00AC73D6" w:rsidP="00866887">
            <w:pPr>
              <w:spacing w:line="360" w:lineRule="auto"/>
              <w:rPr>
                <w:rFonts w:ascii="Book Antiqua" w:hAnsi="Book Antiqua"/>
                <w:sz w:val="24"/>
                <w:szCs w:val="24"/>
              </w:rPr>
            </w:pPr>
          </w:p>
        </w:tc>
        <w:tc>
          <w:tcPr>
            <w:tcW w:w="1384" w:type="dxa"/>
            <w:vAlign w:val="center"/>
          </w:tcPr>
          <w:p w:rsidR="00AC73D6" w:rsidRPr="000C1102" w:rsidRDefault="00AC73D6" w:rsidP="00866887">
            <w:pPr>
              <w:spacing w:line="360" w:lineRule="auto"/>
              <w:rPr>
                <w:rFonts w:ascii="Book Antiqua" w:hAnsi="Book Antiqua"/>
                <w:sz w:val="24"/>
                <w:szCs w:val="24"/>
              </w:rPr>
            </w:pPr>
          </w:p>
        </w:tc>
      </w:tr>
      <w:tr w:rsidR="00AC73D6" w:rsidRPr="000C1102" w:rsidTr="004D73C5">
        <w:trPr>
          <w:jc w:val="center"/>
        </w:trPr>
        <w:tc>
          <w:tcPr>
            <w:tcW w:w="161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Wang</w:t>
            </w:r>
            <w:r w:rsidRPr="000C1102">
              <w:rPr>
                <w:rFonts w:ascii="Book Antiqua" w:hAnsi="Book Antiqua"/>
                <w:i/>
                <w:sz w:val="24"/>
                <w:szCs w:val="24"/>
              </w:rPr>
              <w:t xml:space="preserve"> et al</w:t>
            </w:r>
            <w:r w:rsidRPr="000C1102">
              <w:rPr>
                <w:rFonts w:ascii="Book Antiqua" w:hAnsi="Book Antiqua"/>
                <w:sz w:val="24"/>
                <w:szCs w:val="24"/>
                <w:vertAlign w:val="superscript"/>
              </w:rPr>
              <w:t>[24]</w:t>
            </w:r>
          </w:p>
        </w:tc>
        <w:tc>
          <w:tcPr>
            <w:tcW w:w="69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2006</w:t>
            </w:r>
          </w:p>
        </w:tc>
        <w:tc>
          <w:tcPr>
            <w:tcW w:w="1283"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China</w:t>
            </w:r>
          </w:p>
        </w:tc>
        <w:tc>
          <w:tcPr>
            <w:tcW w:w="1373"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rs1800871</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43/41</w:t>
            </w:r>
          </w:p>
        </w:tc>
        <w:tc>
          <w:tcPr>
            <w:tcW w:w="144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PCR-RFLP</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Rome II</w:t>
            </w:r>
          </w:p>
        </w:tc>
        <w:tc>
          <w:tcPr>
            <w:tcW w:w="1384"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0.619</w:t>
            </w:r>
          </w:p>
        </w:tc>
      </w:tr>
      <w:tr w:rsidR="00AC73D6" w:rsidRPr="000C1102" w:rsidTr="004D73C5">
        <w:trPr>
          <w:jc w:val="center"/>
        </w:trPr>
        <w:tc>
          <w:tcPr>
            <w:tcW w:w="1616" w:type="dxa"/>
            <w:vAlign w:val="center"/>
          </w:tcPr>
          <w:p w:rsidR="00AC73D6" w:rsidRPr="000C1102" w:rsidRDefault="00AC73D6" w:rsidP="00866887">
            <w:pPr>
              <w:spacing w:line="360" w:lineRule="auto"/>
              <w:rPr>
                <w:rFonts w:ascii="Book Antiqua" w:hAnsi="Book Antiqua" w:cs="宋体"/>
                <w:sz w:val="24"/>
                <w:szCs w:val="24"/>
              </w:rPr>
            </w:pPr>
            <w:proofErr w:type="spellStart"/>
            <w:r w:rsidRPr="000C1102">
              <w:rPr>
                <w:rFonts w:ascii="Book Antiqua" w:hAnsi="Book Antiqua"/>
                <w:sz w:val="24"/>
                <w:szCs w:val="24"/>
              </w:rPr>
              <w:t>Barkhordari</w:t>
            </w:r>
            <w:proofErr w:type="spellEnd"/>
            <w:r w:rsidRPr="000C1102">
              <w:rPr>
                <w:rFonts w:ascii="Book Antiqua" w:hAnsi="Book Antiqua"/>
                <w:i/>
                <w:sz w:val="24"/>
                <w:szCs w:val="24"/>
              </w:rPr>
              <w:t xml:space="preserve"> et al</w:t>
            </w:r>
            <w:r w:rsidRPr="000C1102">
              <w:rPr>
                <w:rFonts w:ascii="Book Antiqua" w:hAnsi="Book Antiqua"/>
                <w:sz w:val="24"/>
                <w:szCs w:val="24"/>
                <w:vertAlign w:val="superscript"/>
              </w:rPr>
              <w:t>[18]</w:t>
            </w:r>
          </w:p>
        </w:tc>
        <w:tc>
          <w:tcPr>
            <w:tcW w:w="69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2010</w:t>
            </w:r>
          </w:p>
        </w:tc>
        <w:tc>
          <w:tcPr>
            <w:tcW w:w="1283"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Iran</w:t>
            </w:r>
          </w:p>
        </w:tc>
        <w:tc>
          <w:tcPr>
            <w:tcW w:w="1373"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rs1800871</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70/140</w:t>
            </w:r>
          </w:p>
        </w:tc>
        <w:tc>
          <w:tcPr>
            <w:tcW w:w="144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PCR-SSP</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Rome III</w:t>
            </w:r>
          </w:p>
        </w:tc>
        <w:tc>
          <w:tcPr>
            <w:tcW w:w="1384"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0.907</w:t>
            </w:r>
          </w:p>
        </w:tc>
      </w:tr>
      <w:tr w:rsidR="00AC73D6" w:rsidRPr="000C1102" w:rsidTr="004D73C5">
        <w:trPr>
          <w:jc w:val="center"/>
        </w:trPr>
        <w:tc>
          <w:tcPr>
            <w:tcW w:w="1616" w:type="dxa"/>
            <w:vAlign w:val="center"/>
          </w:tcPr>
          <w:p w:rsidR="00AC73D6" w:rsidRPr="000C1102" w:rsidRDefault="00AC73D6" w:rsidP="00866887">
            <w:pPr>
              <w:spacing w:line="360" w:lineRule="auto"/>
              <w:rPr>
                <w:rFonts w:ascii="Book Antiqua" w:hAnsi="Book Antiqua" w:cs="宋体"/>
                <w:sz w:val="24"/>
                <w:szCs w:val="24"/>
              </w:rPr>
            </w:pPr>
            <w:proofErr w:type="spellStart"/>
            <w:r w:rsidRPr="000C1102">
              <w:rPr>
                <w:rFonts w:ascii="Book Antiqua" w:hAnsi="Book Antiqua"/>
                <w:sz w:val="24"/>
                <w:szCs w:val="24"/>
              </w:rPr>
              <w:t>Santhosh</w:t>
            </w:r>
            <w:proofErr w:type="spellEnd"/>
            <w:r w:rsidRPr="000C1102">
              <w:rPr>
                <w:rFonts w:ascii="Book Antiqua" w:hAnsi="Book Antiqua"/>
                <w:i/>
                <w:sz w:val="24"/>
                <w:szCs w:val="24"/>
              </w:rPr>
              <w:t xml:space="preserve"> et al</w:t>
            </w:r>
            <w:r w:rsidRPr="000C1102">
              <w:rPr>
                <w:rFonts w:ascii="Book Antiqua" w:hAnsi="Book Antiqua"/>
                <w:sz w:val="24"/>
                <w:szCs w:val="24"/>
                <w:vertAlign w:val="superscript"/>
              </w:rPr>
              <w:t>[23]</w:t>
            </w:r>
          </w:p>
        </w:tc>
        <w:tc>
          <w:tcPr>
            <w:tcW w:w="69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2010</w:t>
            </w:r>
          </w:p>
        </w:tc>
        <w:tc>
          <w:tcPr>
            <w:tcW w:w="1283"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China</w:t>
            </w:r>
          </w:p>
        </w:tc>
        <w:tc>
          <w:tcPr>
            <w:tcW w:w="1373"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rs1800871</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23/20</w:t>
            </w:r>
          </w:p>
        </w:tc>
        <w:tc>
          <w:tcPr>
            <w:tcW w:w="144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PCR-SSP</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Rome II</w:t>
            </w:r>
          </w:p>
        </w:tc>
        <w:tc>
          <w:tcPr>
            <w:tcW w:w="1384"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0.662</w:t>
            </w:r>
          </w:p>
        </w:tc>
      </w:tr>
      <w:tr w:rsidR="00AC73D6" w:rsidRPr="000C1102" w:rsidTr="004D73C5">
        <w:trPr>
          <w:jc w:val="center"/>
        </w:trPr>
        <w:tc>
          <w:tcPr>
            <w:tcW w:w="161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Romero-</w:t>
            </w:r>
            <w:proofErr w:type="spellStart"/>
            <w:r w:rsidRPr="000C1102">
              <w:rPr>
                <w:rFonts w:ascii="Book Antiqua" w:hAnsi="Book Antiqua"/>
                <w:sz w:val="24"/>
                <w:szCs w:val="24"/>
              </w:rPr>
              <w:t>Valdovinos</w:t>
            </w:r>
            <w:proofErr w:type="spellEnd"/>
            <w:r w:rsidRPr="000C1102">
              <w:rPr>
                <w:rFonts w:ascii="Book Antiqua" w:hAnsi="Book Antiqua"/>
                <w:sz w:val="24"/>
                <w:szCs w:val="24"/>
              </w:rPr>
              <w:t xml:space="preserve"> </w:t>
            </w:r>
            <w:r w:rsidRPr="000C1102">
              <w:rPr>
                <w:rFonts w:ascii="Book Antiqua" w:hAnsi="Book Antiqua"/>
                <w:i/>
                <w:sz w:val="24"/>
                <w:szCs w:val="24"/>
              </w:rPr>
              <w:t>et al</w:t>
            </w:r>
            <w:r w:rsidRPr="000C1102">
              <w:rPr>
                <w:rFonts w:ascii="Book Antiqua" w:hAnsi="Book Antiqua"/>
                <w:sz w:val="24"/>
                <w:szCs w:val="24"/>
                <w:vertAlign w:val="superscript"/>
              </w:rPr>
              <w:t>[20]</w:t>
            </w:r>
          </w:p>
        </w:tc>
        <w:tc>
          <w:tcPr>
            <w:tcW w:w="69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2012</w:t>
            </w:r>
          </w:p>
        </w:tc>
        <w:tc>
          <w:tcPr>
            <w:tcW w:w="1283"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Mexico</w:t>
            </w:r>
          </w:p>
        </w:tc>
        <w:tc>
          <w:tcPr>
            <w:tcW w:w="1373"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rs1800871</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45/173</w:t>
            </w:r>
          </w:p>
        </w:tc>
        <w:tc>
          <w:tcPr>
            <w:tcW w:w="144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PCR-RFLP</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Rome III</w:t>
            </w:r>
          </w:p>
        </w:tc>
        <w:tc>
          <w:tcPr>
            <w:tcW w:w="1384"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0.920</w:t>
            </w:r>
          </w:p>
        </w:tc>
      </w:tr>
      <w:tr w:rsidR="00AC73D6" w:rsidRPr="000C1102" w:rsidTr="004D73C5">
        <w:trPr>
          <w:jc w:val="center"/>
        </w:trPr>
        <w:tc>
          <w:tcPr>
            <w:tcW w:w="1616" w:type="dxa"/>
            <w:vAlign w:val="center"/>
          </w:tcPr>
          <w:p w:rsidR="00AC73D6" w:rsidRPr="000C1102" w:rsidRDefault="00AC73D6" w:rsidP="00866887">
            <w:pPr>
              <w:spacing w:line="360" w:lineRule="auto"/>
              <w:rPr>
                <w:rFonts w:ascii="Book Antiqua" w:hAnsi="Book Antiqua"/>
                <w:sz w:val="24"/>
                <w:szCs w:val="24"/>
              </w:rPr>
            </w:pPr>
          </w:p>
        </w:tc>
        <w:tc>
          <w:tcPr>
            <w:tcW w:w="696" w:type="dxa"/>
            <w:vAlign w:val="center"/>
          </w:tcPr>
          <w:p w:rsidR="00AC73D6" w:rsidRPr="000C1102" w:rsidRDefault="00AC73D6" w:rsidP="00866887">
            <w:pPr>
              <w:spacing w:line="360" w:lineRule="auto"/>
              <w:rPr>
                <w:rFonts w:ascii="Book Antiqua" w:hAnsi="Book Antiqua"/>
                <w:sz w:val="24"/>
                <w:szCs w:val="24"/>
              </w:rPr>
            </w:pPr>
          </w:p>
        </w:tc>
        <w:tc>
          <w:tcPr>
            <w:tcW w:w="1283" w:type="dxa"/>
            <w:vAlign w:val="center"/>
          </w:tcPr>
          <w:p w:rsidR="00AC73D6" w:rsidRPr="000C1102" w:rsidRDefault="00AC73D6" w:rsidP="00866887">
            <w:pPr>
              <w:spacing w:line="360" w:lineRule="auto"/>
              <w:rPr>
                <w:rFonts w:ascii="Book Antiqua" w:hAnsi="Book Antiqua"/>
                <w:sz w:val="24"/>
                <w:szCs w:val="24"/>
              </w:rPr>
            </w:pPr>
          </w:p>
        </w:tc>
        <w:tc>
          <w:tcPr>
            <w:tcW w:w="1373" w:type="dxa"/>
            <w:vAlign w:val="center"/>
          </w:tcPr>
          <w:p w:rsidR="00AC73D6" w:rsidRPr="000C1102" w:rsidRDefault="00AC73D6" w:rsidP="00866887">
            <w:pPr>
              <w:spacing w:line="360" w:lineRule="auto"/>
              <w:rPr>
                <w:rFonts w:ascii="Book Antiqua" w:hAnsi="Book Antiqua"/>
                <w:sz w:val="24"/>
                <w:szCs w:val="24"/>
              </w:rPr>
            </w:pPr>
          </w:p>
        </w:tc>
        <w:tc>
          <w:tcPr>
            <w:tcW w:w="1080" w:type="dxa"/>
            <w:vAlign w:val="center"/>
          </w:tcPr>
          <w:p w:rsidR="00AC73D6" w:rsidRPr="000C1102" w:rsidRDefault="00AC73D6" w:rsidP="00866887">
            <w:pPr>
              <w:spacing w:line="360" w:lineRule="auto"/>
              <w:rPr>
                <w:rFonts w:ascii="Book Antiqua" w:hAnsi="Book Antiqua"/>
                <w:sz w:val="24"/>
                <w:szCs w:val="24"/>
              </w:rPr>
            </w:pPr>
          </w:p>
        </w:tc>
        <w:tc>
          <w:tcPr>
            <w:tcW w:w="1440" w:type="dxa"/>
            <w:vAlign w:val="center"/>
          </w:tcPr>
          <w:p w:rsidR="00AC73D6" w:rsidRPr="000C1102" w:rsidRDefault="00AC73D6" w:rsidP="00866887">
            <w:pPr>
              <w:spacing w:line="360" w:lineRule="auto"/>
              <w:rPr>
                <w:rFonts w:ascii="Book Antiqua" w:hAnsi="Book Antiqua"/>
                <w:sz w:val="24"/>
                <w:szCs w:val="24"/>
              </w:rPr>
            </w:pPr>
          </w:p>
        </w:tc>
        <w:tc>
          <w:tcPr>
            <w:tcW w:w="1080" w:type="dxa"/>
            <w:vAlign w:val="center"/>
          </w:tcPr>
          <w:p w:rsidR="00AC73D6" w:rsidRPr="000C1102" w:rsidRDefault="00AC73D6" w:rsidP="00866887">
            <w:pPr>
              <w:spacing w:line="360" w:lineRule="auto"/>
              <w:rPr>
                <w:rFonts w:ascii="Book Antiqua" w:hAnsi="Book Antiqua"/>
                <w:sz w:val="24"/>
                <w:szCs w:val="24"/>
              </w:rPr>
            </w:pPr>
          </w:p>
        </w:tc>
        <w:tc>
          <w:tcPr>
            <w:tcW w:w="1384" w:type="dxa"/>
            <w:vAlign w:val="center"/>
          </w:tcPr>
          <w:p w:rsidR="00AC73D6" w:rsidRPr="000C1102" w:rsidRDefault="00AC73D6" w:rsidP="00866887">
            <w:pPr>
              <w:spacing w:line="360" w:lineRule="auto"/>
              <w:rPr>
                <w:rFonts w:ascii="Book Antiqua" w:hAnsi="Book Antiqua"/>
                <w:sz w:val="24"/>
                <w:szCs w:val="24"/>
              </w:rPr>
            </w:pPr>
          </w:p>
        </w:tc>
      </w:tr>
      <w:tr w:rsidR="00AC73D6" w:rsidRPr="000C1102" w:rsidTr="004D73C5">
        <w:trPr>
          <w:jc w:val="center"/>
        </w:trPr>
        <w:tc>
          <w:tcPr>
            <w:tcW w:w="161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Wang</w:t>
            </w:r>
            <w:r w:rsidRPr="000C1102">
              <w:rPr>
                <w:rFonts w:ascii="Book Antiqua" w:hAnsi="Book Antiqua"/>
                <w:i/>
                <w:sz w:val="24"/>
                <w:szCs w:val="24"/>
              </w:rPr>
              <w:t xml:space="preserve"> et al</w:t>
            </w:r>
            <w:r w:rsidRPr="000C1102">
              <w:rPr>
                <w:rFonts w:ascii="Book Antiqua" w:hAnsi="Book Antiqua"/>
                <w:sz w:val="24"/>
                <w:szCs w:val="24"/>
                <w:vertAlign w:val="superscript"/>
              </w:rPr>
              <w:t>[24]</w:t>
            </w:r>
          </w:p>
        </w:tc>
        <w:tc>
          <w:tcPr>
            <w:tcW w:w="69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2006</w:t>
            </w:r>
          </w:p>
        </w:tc>
        <w:tc>
          <w:tcPr>
            <w:tcW w:w="1283"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China</w:t>
            </w:r>
          </w:p>
        </w:tc>
        <w:tc>
          <w:tcPr>
            <w:tcW w:w="1373"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rs1800872</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43/41</w:t>
            </w:r>
          </w:p>
        </w:tc>
        <w:tc>
          <w:tcPr>
            <w:tcW w:w="144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ARMS-PC</w:t>
            </w:r>
            <w:r w:rsidRPr="000C1102">
              <w:rPr>
                <w:rFonts w:ascii="Book Antiqua" w:hAnsi="Book Antiqua"/>
                <w:sz w:val="24"/>
                <w:szCs w:val="24"/>
              </w:rPr>
              <w:lastRenderedPageBreak/>
              <w:t>R</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lastRenderedPageBreak/>
              <w:t>Rome II</w:t>
            </w:r>
          </w:p>
        </w:tc>
        <w:tc>
          <w:tcPr>
            <w:tcW w:w="1384"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0.619</w:t>
            </w:r>
          </w:p>
        </w:tc>
      </w:tr>
      <w:tr w:rsidR="00AC73D6" w:rsidRPr="000C1102" w:rsidTr="004D73C5">
        <w:trPr>
          <w:jc w:val="center"/>
        </w:trPr>
        <w:tc>
          <w:tcPr>
            <w:tcW w:w="1616" w:type="dxa"/>
            <w:vAlign w:val="center"/>
          </w:tcPr>
          <w:p w:rsidR="00AC73D6" w:rsidRPr="000C1102" w:rsidRDefault="00AC73D6" w:rsidP="00866887">
            <w:pPr>
              <w:spacing w:line="360" w:lineRule="auto"/>
              <w:rPr>
                <w:rFonts w:ascii="Book Antiqua" w:hAnsi="Book Antiqua" w:cs="宋体"/>
                <w:sz w:val="24"/>
                <w:szCs w:val="24"/>
              </w:rPr>
            </w:pPr>
            <w:proofErr w:type="spellStart"/>
            <w:r w:rsidRPr="000C1102">
              <w:rPr>
                <w:rFonts w:ascii="Book Antiqua" w:hAnsi="Book Antiqua"/>
                <w:sz w:val="24"/>
                <w:szCs w:val="24"/>
              </w:rPr>
              <w:lastRenderedPageBreak/>
              <w:t>Barkhordari</w:t>
            </w:r>
            <w:proofErr w:type="spellEnd"/>
            <w:r w:rsidRPr="000C1102">
              <w:rPr>
                <w:rFonts w:ascii="Book Antiqua" w:hAnsi="Book Antiqua"/>
                <w:i/>
                <w:sz w:val="24"/>
                <w:szCs w:val="24"/>
              </w:rPr>
              <w:t xml:space="preserve"> et al</w:t>
            </w:r>
            <w:r w:rsidRPr="000C1102">
              <w:rPr>
                <w:rFonts w:ascii="Book Antiqua" w:hAnsi="Book Antiqua"/>
                <w:sz w:val="24"/>
                <w:szCs w:val="24"/>
                <w:vertAlign w:val="superscript"/>
              </w:rPr>
              <w:t>[18]</w:t>
            </w:r>
          </w:p>
        </w:tc>
        <w:tc>
          <w:tcPr>
            <w:tcW w:w="69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2010</w:t>
            </w:r>
          </w:p>
        </w:tc>
        <w:tc>
          <w:tcPr>
            <w:tcW w:w="1283"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Iran</w:t>
            </w:r>
          </w:p>
        </w:tc>
        <w:tc>
          <w:tcPr>
            <w:tcW w:w="1373"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rs1800872</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70/140</w:t>
            </w:r>
          </w:p>
        </w:tc>
        <w:tc>
          <w:tcPr>
            <w:tcW w:w="144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PCR-RFLP</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Rome III</w:t>
            </w:r>
          </w:p>
        </w:tc>
        <w:tc>
          <w:tcPr>
            <w:tcW w:w="1384"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0.970</w:t>
            </w:r>
          </w:p>
        </w:tc>
      </w:tr>
      <w:tr w:rsidR="00AC73D6" w:rsidRPr="000C1102" w:rsidTr="004D73C5">
        <w:trPr>
          <w:jc w:val="center"/>
        </w:trPr>
        <w:tc>
          <w:tcPr>
            <w:tcW w:w="161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Jiang</w:t>
            </w:r>
            <w:r w:rsidRPr="000C1102">
              <w:rPr>
                <w:rFonts w:ascii="Book Antiqua" w:hAnsi="Book Antiqua"/>
                <w:i/>
                <w:sz w:val="24"/>
                <w:szCs w:val="24"/>
              </w:rPr>
              <w:t xml:space="preserve"> et al</w:t>
            </w:r>
            <w:r w:rsidRPr="000C1102">
              <w:rPr>
                <w:rFonts w:ascii="Book Antiqua" w:hAnsi="Book Antiqua"/>
                <w:sz w:val="24"/>
                <w:szCs w:val="24"/>
                <w:vertAlign w:val="superscript"/>
              </w:rPr>
              <w:t>[32]</w:t>
            </w:r>
          </w:p>
        </w:tc>
        <w:tc>
          <w:tcPr>
            <w:tcW w:w="69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2010</w:t>
            </w:r>
          </w:p>
        </w:tc>
        <w:tc>
          <w:tcPr>
            <w:tcW w:w="1283"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China</w:t>
            </w:r>
          </w:p>
        </w:tc>
        <w:tc>
          <w:tcPr>
            <w:tcW w:w="1373"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rs1800872</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312/325</w:t>
            </w:r>
          </w:p>
        </w:tc>
        <w:tc>
          <w:tcPr>
            <w:tcW w:w="144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PCR-SSP</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Rome III</w:t>
            </w:r>
          </w:p>
        </w:tc>
        <w:tc>
          <w:tcPr>
            <w:tcW w:w="1384"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0.255</w:t>
            </w:r>
          </w:p>
        </w:tc>
      </w:tr>
      <w:tr w:rsidR="00AC73D6" w:rsidRPr="000C1102" w:rsidTr="004D73C5">
        <w:trPr>
          <w:jc w:val="center"/>
        </w:trPr>
        <w:tc>
          <w:tcPr>
            <w:tcW w:w="1616" w:type="dxa"/>
            <w:vAlign w:val="center"/>
          </w:tcPr>
          <w:p w:rsidR="00AC73D6" w:rsidRPr="000C1102" w:rsidRDefault="00AC73D6" w:rsidP="00866887">
            <w:pPr>
              <w:spacing w:line="360" w:lineRule="auto"/>
              <w:rPr>
                <w:rFonts w:ascii="Book Antiqua" w:hAnsi="Book Antiqua" w:cs="宋体"/>
                <w:sz w:val="24"/>
                <w:szCs w:val="24"/>
              </w:rPr>
            </w:pPr>
            <w:proofErr w:type="spellStart"/>
            <w:r w:rsidRPr="000C1102">
              <w:rPr>
                <w:rFonts w:ascii="Book Antiqua" w:hAnsi="Book Antiqua"/>
                <w:sz w:val="24"/>
                <w:szCs w:val="24"/>
              </w:rPr>
              <w:t>Santhosh</w:t>
            </w:r>
            <w:proofErr w:type="spellEnd"/>
            <w:r w:rsidRPr="000C1102">
              <w:rPr>
                <w:rFonts w:ascii="Book Antiqua" w:hAnsi="Book Antiqua"/>
                <w:i/>
                <w:sz w:val="24"/>
                <w:szCs w:val="24"/>
              </w:rPr>
              <w:t xml:space="preserve"> et al</w:t>
            </w:r>
            <w:r w:rsidRPr="000C1102">
              <w:rPr>
                <w:rFonts w:ascii="Book Antiqua" w:hAnsi="Book Antiqua"/>
                <w:sz w:val="24"/>
                <w:szCs w:val="24"/>
                <w:vertAlign w:val="superscript"/>
              </w:rPr>
              <w:t>[23]</w:t>
            </w:r>
          </w:p>
        </w:tc>
        <w:tc>
          <w:tcPr>
            <w:tcW w:w="696"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2010</w:t>
            </w:r>
          </w:p>
        </w:tc>
        <w:tc>
          <w:tcPr>
            <w:tcW w:w="1283"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Indian</w:t>
            </w:r>
          </w:p>
        </w:tc>
        <w:tc>
          <w:tcPr>
            <w:tcW w:w="1373" w:type="dxa"/>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rs1800872</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23/20</w:t>
            </w:r>
          </w:p>
        </w:tc>
        <w:tc>
          <w:tcPr>
            <w:tcW w:w="144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PCR-SSP</w:t>
            </w:r>
          </w:p>
        </w:tc>
        <w:tc>
          <w:tcPr>
            <w:tcW w:w="1080"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Rome II</w:t>
            </w:r>
          </w:p>
        </w:tc>
        <w:tc>
          <w:tcPr>
            <w:tcW w:w="1384" w:type="dxa"/>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0.438</w:t>
            </w:r>
          </w:p>
        </w:tc>
      </w:tr>
      <w:tr w:rsidR="00AC73D6" w:rsidRPr="000C1102" w:rsidTr="004D73C5">
        <w:trPr>
          <w:jc w:val="center"/>
        </w:trPr>
        <w:tc>
          <w:tcPr>
            <w:tcW w:w="1616" w:type="dxa"/>
            <w:tcBorders>
              <w:bottom w:val="single" w:sz="4" w:space="0" w:color="auto"/>
            </w:tcBorders>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Romero-</w:t>
            </w:r>
            <w:proofErr w:type="spellStart"/>
            <w:r w:rsidRPr="000C1102">
              <w:rPr>
                <w:rFonts w:ascii="Book Antiqua" w:hAnsi="Book Antiqua"/>
                <w:sz w:val="24"/>
                <w:szCs w:val="24"/>
              </w:rPr>
              <w:t>Valdovinos</w:t>
            </w:r>
            <w:proofErr w:type="spellEnd"/>
            <w:r w:rsidRPr="000C1102">
              <w:rPr>
                <w:rFonts w:ascii="Book Antiqua" w:hAnsi="Book Antiqua"/>
                <w:sz w:val="24"/>
                <w:szCs w:val="24"/>
              </w:rPr>
              <w:t xml:space="preserve"> </w:t>
            </w:r>
            <w:r w:rsidRPr="000C1102">
              <w:rPr>
                <w:rFonts w:ascii="Book Antiqua" w:hAnsi="Book Antiqua"/>
                <w:i/>
                <w:sz w:val="24"/>
                <w:szCs w:val="24"/>
              </w:rPr>
              <w:t>et al</w:t>
            </w:r>
            <w:r w:rsidRPr="000C1102">
              <w:rPr>
                <w:rFonts w:ascii="Book Antiqua" w:hAnsi="Book Antiqua"/>
                <w:sz w:val="24"/>
                <w:szCs w:val="24"/>
                <w:vertAlign w:val="superscript"/>
              </w:rPr>
              <w:t>[20]</w:t>
            </w:r>
          </w:p>
        </w:tc>
        <w:tc>
          <w:tcPr>
            <w:tcW w:w="696" w:type="dxa"/>
            <w:tcBorders>
              <w:bottom w:val="single" w:sz="4" w:space="0" w:color="auto"/>
            </w:tcBorders>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2012</w:t>
            </w:r>
          </w:p>
        </w:tc>
        <w:tc>
          <w:tcPr>
            <w:tcW w:w="1283" w:type="dxa"/>
            <w:tcBorders>
              <w:bottom w:val="single" w:sz="4" w:space="0" w:color="auto"/>
            </w:tcBorders>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Mexico</w:t>
            </w:r>
          </w:p>
        </w:tc>
        <w:tc>
          <w:tcPr>
            <w:tcW w:w="1373" w:type="dxa"/>
            <w:tcBorders>
              <w:bottom w:val="single" w:sz="4" w:space="0" w:color="auto"/>
            </w:tcBorders>
            <w:vAlign w:val="center"/>
          </w:tcPr>
          <w:p w:rsidR="00AC73D6" w:rsidRPr="000C1102" w:rsidRDefault="00AC73D6" w:rsidP="00866887">
            <w:pPr>
              <w:spacing w:line="360" w:lineRule="auto"/>
              <w:rPr>
                <w:rFonts w:ascii="Book Antiqua" w:hAnsi="Book Antiqua" w:cs="宋体"/>
                <w:sz w:val="24"/>
                <w:szCs w:val="24"/>
              </w:rPr>
            </w:pPr>
            <w:r w:rsidRPr="000C1102">
              <w:rPr>
                <w:rFonts w:ascii="Book Antiqua" w:hAnsi="Book Antiqua"/>
                <w:sz w:val="24"/>
                <w:szCs w:val="24"/>
              </w:rPr>
              <w:t>rs1800872</w:t>
            </w:r>
          </w:p>
        </w:tc>
        <w:tc>
          <w:tcPr>
            <w:tcW w:w="1080" w:type="dxa"/>
            <w:tcBorders>
              <w:bottom w:val="single" w:sz="4" w:space="0" w:color="auto"/>
            </w:tcBorders>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45/173</w:t>
            </w:r>
          </w:p>
        </w:tc>
        <w:tc>
          <w:tcPr>
            <w:tcW w:w="1440" w:type="dxa"/>
            <w:tcBorders>
              <w:bottom w:val="single" w:sz="4" w:space="0" w:color="auto"/>
            </w:tcBorders>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PCR-RFLP</w:t>
            </w:r>
          </w:p>
        </w:tc>
        <w:tc>
          <w:tcPr>
            <w:tcW w:w="1080" w:type="dxa"/>
            <w:tcBorders>
              <w:bottom w:val="single" w:sz="4" w:space="0" w:color="auto"/>
            </w:tcBorders>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Rome III</w:t>
            </w:r>
          </w:p>
        </w:tc>
        <w:tc>
          <w:tcPr>
            <w:tcW w:w="1384" w:type="dxa"/>
            <w:tcBorders>
              <w:bottom w:val="single" w:sz="4" w:space="0" w:color="auto"/>
            </w:tcBorders>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0.018</w:t>
            </w:r>
          </w:p>
        </w:tc>
      </w:tr>
    </w:tbl>
    <w:p w:rsidR="00AC73D6" w:rsidRPr="000C1102" w:rsidRDefault="00AC73D6" w:rsidP="00866887">
      <w:pPr>
        <w:spacing w:line="360" w:lineRule="auto"/>
        <w:rPr>
          <w:rFonts w:ascii="Book Antiqua" w:hAnsi="Book Antiqua"/>
          <w:b/>
          <w:sz w:val="24"/>
          <w:szCs w:val="24"/>
        </w:rPr>
      </w:pPr>
      <w:r w:rsidRPr="000C1102">
        <w:rPr>
          <w:rFonts w:ascii="Book Antiqua" w:hAnsi="Book Antiqua"/>
          <w:sz w:val="24"/>
          <w:szCs w:val="24"/>
        </w:rPr>
        <w:t>SNP: Single nucleotide polymorphism; HWE: Hardy–Weinberg equilibrium; IBS: Irritable bowel syndrome.</w:t>
      </w:r>
      <w:r w:rsidRPr="000C1102">
        <w:rPr>
          <w:rFonts w:ascii="Book Antiqua" w:hAnsi="Book Antiqua"/>
          <w:sz w:val="24"/>
          <w:szCs w:val="24"/>
        </w:rPr>
        <w:br w:type="page"/>
      </w:r>
      <w:r w:rsidRPr="000C1102">
        <w:rPr>
          <w:rFonts w:ascii="Book Antiqua" w:hAnsi="Book Antiqua"/>
          <w:b/>
          <w:sz w:val="24"/>
          <w:szCs w:val="24"/>
        </w:rPr>
        <w:lastRenderedPageBreak/>
        <w:t>Table 2 Summary odds ratios of rs1800870 polymorphisms with irritable bowel syndrome risk</w:t>
      </w:r>
    </w:p>
    <w:tbl>
      <w:tblPr>
        <w:tblW w:w="0" w:type="auto"/>
        <w:tblInd w:w="93" w:type="dxa"/>
        <w:tblLayout w:type="fixed"/>
        <w:tblLook w:val="0000" w:firstRow="0" w:lastRow="0" w:firstColumn="0" w:lastColumn="0" w:noHBand="0" w:noVBand="0"/>
      </w:tblPr>
      <w:tblGrid>
        <w:gridCol w:w="1578"/>
        <w:gridCol w:w="689"/>
        <w:gridCol w:w="1564"/>
        <w:gridCol w:w="584"/>
        <w:gridCol w:w="1359"/>
        <w:gridCol w:w="901"/>
        <w:gridCol w:w="875"/>
      </w:tblGrid>
      <w:tr w:rsidR="00AC73D6" w:rsidRPr="000C1102" w:rsidTr="00995B4C">
        <w:trPr>
          <w:trHeight w:val="281"/>
        </w:trPr>
        <w:tc>
          <w:tcPr>
            <w:tcW w:w="1578" w:type="dxa"/>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rs1800870</w:t>
            </w:r>
          </w:p>
        </w:tc>
        <w:tc>
          <w:tcPr>
            <w:tcW w:w="689" w:type="dxa"/>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i/>
                <w:sz w:val="24"/>
                <w:szCs w:val="24"/>
              </w:rPr>
              <w:t>P</w:t>
            </w:r>
          </w:p>
        </w:tc>
        <w:tc>
          <w:tcPr>
            <w:tcW w:w="1564" w:type="dxa"/>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OR(95%CI)</w:t>
            </w:r>
          </w:p>
        </w:tc>
        <w:tc>
          <w:tcPr>
            <w:tcW w:w="584" w:type="dxa"/>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i/>
                <w:sz w:val="24"/>
                <w:szCs w:val="24"/>
              </w:rPr>
            </w:pPr>
            <w:r w:rsidRPr="000C1102">
              <w:rPr>
                <w:rFonts w:ascii="Book Antiqua" w:hAnsi="Book Antiqua"/>
                <w:b/>
                <w:i/>
                <w:sz w:val="24"/>
                <w:szCs w:val="24"/>
              </w:rPr>
              <w:t>I</w:t>
            </w:r>
            <w:r w:rsidRPr="000C1102">
              <w:rPr>
                <w:rFonts w:ascii="Book Antiqua" w:hAnsi="Book Antiqua"/>
                <w:b/>
                <w:i/>
                <w:sz w:val="24"/>
                <w:szCs w:val="24"/>
                <w:vertAlign w:val="superscript"/>
              </w:rPr>
              <w:t>2</w:t>
            </w:r>
          </w:p>
        </w:tc>
        <w:tc>
          <w:tcPr>
            <w:tcW w:w="1359" w:type="dxa"/>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i/>
                <w:sz w:val="24"/>
                <w:szCs w:val="24"/>
              </w:rPr>
              <w:t>P</w:t>
            </w:r>
          </w:p>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heterogeneity</w:t>
            </w:r>
          </w:p>
        </w:tc>
        <w:tc>
          <w:tcPr>
            <w:tcW w:w="901" w:type="dxa"/>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sz w:val="24"/>
                <w:szCs w:val="24"/>
              </w:rPr>
            </w:pPr>
            <w:proofErr w:type="spellStart"/>
            <w:r w:rsidRPr="000C1102">
              <w:rPr>
                <w:rFonts w:ascii="Book Antiqua" w:hAnsi="Book Antiqua"/>
                <w:b/>
                <w:sz w:val="24"/>
                <w:szCs w:val="24"/>
              </w:rPr>
              <w:t>Begg</w:t>
            </w:r>
            <w:proofErr w:type="spellEnd"/>
            <w:r w:rsidRPr="000C1102">
              <w:rPr>
                <w:rFonts w:ascii="Book Antiqua" w:hAnsi="Book Antiqua"/>
                <w:b/>
                <w:sz w:val="24"/>
                <w:szCs w:val="24"/>
              </w:rPr>
              <w:t>’</w:t>
            </w:r>
          </w:p>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test</w:t>
            </w:r>
          </w:p>
        </w:tc>
        <w:tc>
          <w:tcPr>
            <w:tcW w:w="875" w:type="dxa"/>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Egger test</w:t>
            </w:r>
          </w:p>
        </w:tc>
      </w:tr>
      <w:tr w:rsidR="00AC73D6" w:rsidRPr="000C1102" w:rsidTr="00995B4C">
        <w:trPr>
          <w:trHeight w:val="281"/>
        </w:trPr>
        <w:tc>
          <w:tcPr>
            <w:tcW w:w="1578" w:type="dxa"/>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GG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AA</w:t>
            </w:r>
          </w:p>
        </w:tc>
        <w:tc>
          <w:tcPr>
            <w:tcW w:w="689" w:type="dxa"/>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0.338</w:t>
            </w:r>
          </w:p>
        </w:tc>
        <w:tc>
          <w:tcPr>
            <w:tcW w:w="1564" w:type="dxa"/>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1.11(0.89-1.39)</w:t>
            </w:r>
          </w:p>
        </w:tc>
        <w:tc>
          <w:tcPr>
            <w:tcW w:w="584" w:type="dxa"/>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1359" w:type="dxa"/>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0.950</w:t>
            </w:r>
          </w:p>
        </w:tc>
        <w:tc>
          <w:tcPr>
            <w:tcW w:w="901" w:type="dxa"/>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1.000</w:t>
            </w:r>
          </w:p>
        </w:tc>
        <w:tc>
          <w:tcPr>
            <w:tcW w:w="875" w:type="dxa"/>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0.694</w:t>
            </w:r>
          </w:p>
        </w:tc>
      </w:tr>
      <w:tr w:rsidR="00AC73D6" w:rsidRPr="000C1102" w:rsidTr="00995B4C">
        <w:trPr>
          <w:trHeight w:val="281"/>
        </w:trPr>
        <w:tc>
          <w:tcPr>
            <w:tcW w:w="1578" w:type="dxa"/>
            <w:tcBorders>
              <w:top w:val="nil"/>
              <w:left w:val="nil"/>
              <w:bottom w:val="nil"/>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Caucasian</w:t>
            </w:r>
            <w:r w:rsidRPr="000C1102">
              <w:rPr>
                <w:rFonts w:ascii="Book Antiqua" w:hAnsi="Book Antiqua"/>
                <w:sz w:val="24"/>
                <w:szCs w:val="24"/>
                <w:vertAlign w:val="superscript"/>
              </w:rPr>
              <w:t>[13,18,20,21]</w:t>
            </w:r>
          </w:p>
        </w:tc>
        <w:tc>
          <w:tcPr>
            <w:tcW w:w="68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0.228</w:t>
            </w:r>
          </w:p>
        </w:tc>
        <w:tc>
          <w:tcPr>
            <w:tcW w:w="156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1.19(0.90-1.58)</w:t>
            </w:r>
          </w:p>
        </w:tc>
        <w:tc>
          <w:tcPr>
            <w:tcW w:w="58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135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0.776</w:t>
            </w:r>
          </w:p>
        </w:tc>
        <w:tc>
          <w:tcPr>
            <w:tcW w:w="901"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875"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1"/>
        </w:trPr>
        <w:tc>
          <w:tcPr>
            <w:tcW w:w="1578" w:type="dxa"/>
            <w:tcBorders>
              <w:top w:val="nil"/>
              <w:left w:val="nil"/>
              <w:bottom w:val="nil"/>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Asian</w:t>
            </w:r>
            <w:r w:rsidRPr="000C1102">
              <w:rPr>
                <w:rFonts w:ascii="Book Antiqua" w:hAnsi="Book Antiqua"/>
                <w:sz w:val="24"/>
                <w:szCs w:val="24"/>
                <w:vertAlign w:val="superscript"/>
              </w:rPr>
              <w:t>[22-24]</w:t>
            </w:r>
          </w:p>
        </w:tc>
        <w:tc>
          <w:tcPr>
            <w:tcW w:w="68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0.963</w:t>
            </w:r>
          </w:p>
        </w:tc>
        <w:tc>
          <w:tcPr>
            <w:tcW w:w="156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1.01(0.71-1.42)</w:t>
            </w:r>
          </w:p>
        </w:tc>
        <w:tc>
          <w:tcPr>
            <w:tcW w:w="58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135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0.999</w:t>
            </w:r>
          </w:p>
        </w:tc>
        <w:tc>
          <w:tcPr>
            <w:tcW w:w="901"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875"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1"/>
        </w:trPr>
        <w:tc>
          <w:tcPr>
            <w:tcW w:w="1578"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68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156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58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135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901"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875"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1"/>
        </w:trPr>
        <w:tc>
          <w:tcPr>
            <w:tcW w:w="1578"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GG+GA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AA</w:t>
            </w:r>
          </w:p>
        </w:tc>
        <w:tc>
          <w:tcPr>
            <w:tcW w:w="68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0.018</w:t>
            </w:r>
          </w:p>
        </w:tc>
        <w:tc>
          <w:tcPr>
            <w:tcW w:w="156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0.80(0.66-0.96)</w:t>
            </w:r>
          </w:p>
        </w:tc>
        <w:tc>
          <w:tcPr>
            <w:tcW w:w="58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79.4</w:t>
            </w:r>
          </w:p>
        </w:tc>
        <w:tc>
          <w:tcPr>
            <w:tcW w:w="135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0.000</w:t>
            </w:r>
          </w:p>
        </w:tc>
        <w:tc>
          <w:tcPr>
            <w:tcW w:w="901"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1.000</w:t>
            </w:r>
          </w:p>
        </w:tc>
        <w:tc>
          <w:tcPr>
            <w:tcW w:w="875"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0.200</w:t>
            </w:r>
          </w:p>
        </w:tc>
      </w:tr>
      <w:tr w:rsidR="00AC73D6" w:rsidRPr="000C1102" w:rsidTr="00995B4C">
        <w:trPr>
          <w:trHeight w:val="281"/>
        </w:trPr>
        <w:tc>
          <w:tcPr>
            <w:tcW w:w="1578" w:type="dxa"/>
            <w:tcBorders>
              <w:top w:val="nil"/>
              <w:left w:val="nil"/>
              <w:bottom w:val="nil"/>
              <w:right w:val="nil"/>
            </w:tcBorders>
            <w:noWrap/>
            <w:vAlign w:val="center"/>
          </w:tcPr>
          <w:p w:rsidR="00AC73D6" w:rsidRPr="000C1102" w:rsidRDefault="00AC73D6" w:rsidP="00866887">
            <w:pPr>
              <w:spacing w:line="360" w:lineRule="auto"/>
              <w:ind w:firstLineChars="50" w:firstLine="120"/>
              <w:rPr>
                <w:rFonts w:ascii="Book Antiqua" w:hAnsi="Book Antiqua"/>
                <w:sz w:val="24"/>
                <w:szCs w:val="24"/>
              </w:rPr>
            </w:pPr>
            <w:r w:rsidRPr="000C1102">
              <w:rPr>
                <w:rFonts w:ascii="Book Antiqua" w:hAnsi="Book Antiqua"/>
                <w:sz w:val="24"/>
                <w:szCs w:val="24"/>
              </w:rPr>
              <w:t>Caucasian</w:t>
            </w:r>
          </w:p>
        </w:tc>
        <w:tc>
          <w:tcPr>
            <w:tcW w:w="68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0.003</w:t>
            </w:r>
          </w:p>
        </w:tc>
        <w:tc>
          <w:tcPr>
            <w:tcW w:w="156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0.70(0.55-0.89)</w:t>
            </w:r>
          </w:p>
        </w:tc>
        <w:tc>
          <w:tcPr>
            <w:tcW w:w="58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88.5</w:t>
            </w:r>
          </w:p>
        </w:tc>
        <w:tc>
          <w:tcPr>
            <w:tcW w:w="135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0.000</w:t>
            </w:r>
          </w:p>
        </w:tc>
        <w:tc>
          <w:tcPr>
            <w:tcW w:w="901"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875"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1"/>
        </w:trPr>
        <w:tc>
          <w:tcPr>
            <w:tcW w:w="1578" w:type="dxa"/>
            <w:tcBorders>
              <w:top w:val="nil"/>
              <w:left w:val="nil"/>
              <w:bottom w:val="nil"/>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Asian</w:t>
            </w:r>
          </w:p>
        </w:tc>
        <w:tc>
          <w:tcPr>
            <w:tcW w:w="68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0.860</w:t>
            </w:r>
          </w:p>
        </w:tc>
        <w:tc>
          <w:tcPr>
            <w:tcW w:w="156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1.03(0.74-1.43)</w:t>
            </w:r>
          </w:p>
        </w:tc>
        <w:tc>
          <w:tcPr>
            <w:tcW w:w="58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135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0.990</w:t>
            </w:r>
          </w:p>
        </w:tc>
        <w:tc>
          <w:tcPr>
            <w:tcW w:w="901"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875"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1"/>
        </w:trPr>
        <w:tc>
          <w:tcPr>
            <w:tcW w:w="1578"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68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156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58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135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901"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875"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1"/>
        </w:trPr>
        <w:tc>
          <w:tcPr>
            <w:tcW w:w="1578"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AA+GA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GG</w:t>
            </w:r>
          </w:p>
        </w:tc>
        <w:tc>
          <w:tcPr>
            <w:tcW w:w="68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0.007</w:t>
            </w:r>
          </w:p>
        </w:tc>
        <w:tc>
          <w:tcPr>
            <w:tcW w:w="156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0.68(0.52-0.90)</w:t>
            </w:r>
          </w:p>
        </w:tc>
        <w:tc>
          <w:tcPr>
            <w:tcW w:w="58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135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0.542</w:t>
            </w:r>
          </w:p>
        </w:tc>
        <w:tc>
          <w:tcPr>
            <w:tcW w:w="901"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1.000</w:t>
            </w:r>
          </w:p>
        </w:tc>
        <w:tc>
          <w:tcPr>
            <w:tcW w:w="875"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0.899</w:t>
            </w:r>
          </w:p>
        </w:tc>
      </w:tr>
      <w:tr w:rsidR="00AC73D6" w:rsidRPr="000C1102" w:rsidTr="00995B4C">
        <w:trPr>
          <w:trHeight w:val="281"/>
        </w:trPr>
        <w:tc>
          <w:tcPr>
            <w:tcW w:w="1578" w:type="dxa"/>
            <w:tcBorders>
              <w:top w:val="nil"/>
              <w:left w:val="nil"/>
              <w:bottom w:val="nil"/>
              <w:right w:val="nil"/>
            </w:tcBorders>
            <w:noWrap/>
            <w:vAlign w:val="center"/>
          </w:tcPr>
          <w:p w:rsidR="00AC73D6" w:rsidRPr="000C1102" w:rsidRDefault="00AC73D6" w:rsidP="00866887">
            <w:pPr>
              <w:spacing w:line="360" w:lineRule="auto"/>
              <w:ind w:firstLineChars="50" w:firstLine="120"/>
              <w:rPr>
                <w:rFonts w:ascii="Book Antiqua" w:hAnsi="Book Antiqua"/>
                <w:sz w:val="24"/>
                <w:szCs w:val="24"/>
              </w:rPr>
            </w:pPr>
            <w:r w:rsidRPr="000C1102">
              <w:rPr>
                <w:rFonts w:ascii="Book Antiqua" w:hAnsi="Book Antiqua"/>
                <w:sz w:val="24"/>
                <w:szCs w:val="24"/>
              </w:rPr>
              <w:t>Caucasian</w:t>
            </w:r>
          </w:p>
        </w:tc>
        <w:tc>
          <w:tcPr>
            <w:tcW w:w="68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0.008</w:t>
            </w:r>
          </w:p>
        </w:tc>
        <w:tc>
          <w:tcPr>
            <w:tcW w:w="156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0.69(0.52-0.91)</w:t>
            </w:r>
          </w:p>
        </w:tc>
        <w:tc>
          <w:tcPr>
            <w:tcW w:w="58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135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0.415</w:t>
            </w:r>
          </w:p>
        </w:tc>
        <w:tc>
          <w:tcPr>
            <w:tcW w:w="901"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875"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1"/>
        </w:trPr>
        <w:tc>
          <w:tcPr>
            <w:tcW w:w="1578" w:type="dxa"/>
            <w:tcBorders>
              <w:top w:val="nil"/>
              <w:left w:val="nil"/>
              <w:bottom w:val="nil"/>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Asian</w:t>
            </w:r>
          </w:p>
        </w:tc>
        <w:tc>
          <w:tcPr>
            <w:tcW w:w="68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0.478</w:t>
            </w:r>
          </w:p>
        </w:tc>
        <w:tc>
          <w:tcPr>
            <w:tcW w:w="156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0.31(0.01-7.76)</w:t>
            </w:r>
          </w:p>
        </w:tc>
        <w:tc>
          <w:tcPr>
            <w:tcW w:w="58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w:t>
            </w:r>
          </w:p>
        </w:tc>
        <w:tc>
          <w:tcPr>
            <w:tcW w:w="135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w:t>
            </w:r>
          </w:p>
        </w:tc>
        <w:tc>
          <w:tcPr>
            <w:tcW w:w="901"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875"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1"/>
        </w:trPr>
        <w:tc>
          <w:tcPr>
            <w:tcW w:w="1578"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68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156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584"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1359"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901"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875" w:type="dxa"/>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1"/>
        </w:trPr>
        <w:tc>
          <w:tcPr>
            <w:tcW w:w="1578" w:type="dxa"/>
            <w:tcBorders>
              <w:top w:val="nil"/>
              <w:left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G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A</w:t>
            </w:r>
          </w:p>
        </w:tc>
        <w:tc>
          <w:tcPr>
            <w:tcW w:w="689" w:type="dxa"/>
            <w:tcBorders>
              <w:top w:val="nil"/>
              <w:left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0.815</w:t>
            </w:r>
          </w:p>
        </w:tc>
        <w:tc>
          <w:tcPr>
            <w:tcW w:w="1564" w:type="dxa"/>
            <w:tcBorders>
              <w:top w:val="nil"/>
              <w:left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1.01(0.90-1.14)</w:t>
            </w:r>
          </w:p>
        </w:tc>
        <w:tc>
          <w:tcPr>
            <w:tcW w:w="584" w:type="dxa"/>
            <w:tcBorders>
              <w:top w:val="nil"/>
              <w:left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1359" w:type="dxa"/>
            <w:tcBorders>
              <w:top w:val="nil"/>
              <w:left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0.720</w:t>
            </w:r>
          </w:p>
        </w:tc>
        <w:tc>
          <w:tcPr>
            <w:tcW w:w="901" w:type="dxa"/>
            <w:tcBorders>
              <w:top w:val="nil"/>
              <w:left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0.764</w:t>
            </w:r>
          </w:p>
        </w:tc>
        <w:tc>
          <w:tcPr>
            <w:tcW w:w="875" w:type="dxa"/>
            <w:tcBorders>
              <w:top w:val="nil"/>
              <w:left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0.773</w:t>
            </w:r>
          </w:p>
        </w:tc>
      </w:tr>
      <w:tr w:rsidR="00AC73D6" w:rsidRPr="000C1102" w:rsidTr="00995B4C">
        <w:trPr>
          <w:trHeight w:val="281"/>
        </w:trPr>
        <w:tc>
          <w:tcPr>
            <w:tcW w:w="1578" w:type="dxa"/>
            <w:tcBorders>
              <w:top w:val="nil"/>
              <w:left w:val="nil"/>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Caucasian</w:t>
            </w:r>
          </w:p>
        </w:tc>
        <w:tc>
          <w:tcPr>
            <w:tcW w:w="689" w:type="dxa"/>
            <w:tcBorders>
              <w:top w:val="nil"/>
              <w:left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0.79</w:t>
            </w:r>
            <w:r w:rsidRPr="000C1102">
              <w:rPr>
                <w:rFonts w:ascii="Book Antiqua" w:hAnsi="Book Antiqua"/>
                <w:sz w:val="24"/>
                <w:szCs w:val="24"/>
              </w:rPr>
              <w:lastRenderedPageBreak/>
              <w:t>9</w:t>
            </w:r>
          </w:p>
        </w:tc>
        <w:tc>
          <w:tcPr>
            <w:tcW w:w="1564" w:type="dxa"/>
            <w:tcBorders>
              <w:top w:val="nil"/>
              <w:left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lastRenderedPageBreak/>
              <w:t>1.02(0.89-1.1</w:t>
            </w:r>
            <w:r w:rsidRPr="000C1102">
              <w:rPr>
                <w:rFonts w:ascii="Book Antiqua" w:hAnsi="Book Antiqua"/>
                <w:sz w:val="24"/>
                <w:szCs w:val="24"/>
              </w:rPr>
              <w:lastRenderedPageBreak/>
              <w:t>6)</w:t>
            </w:r>
          </w:p>
        </w:tc>
        <w:tc>
          <w:tcPr>
            <w:tcW w:w="584" w:type="dxa"/>
            <w:tcBorders>
              <w:top w:val="nil"/>
              <w:left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lastRenderedPageBreak/>
              <w:t>17.</w:t>
            </w:r>
            <w:r w:rsidRPr="000C1102">
              <w:rPr>
                <w:rFonts w:ascii="Book Antiqua" w:hAnsi="Book Antiqua"/>
                <w:sz w:val="24"/>
                <w:szCs w:val="24"/>
              </w:rPr>
              <w:lastRenderedPageBreak/>
              <w:t>1</w:t>
            </w:r>
          </w:p>
        </w:tc>
        <w:tc>
          <w:tcPr>
            <w:tcW w:w="1359" w:type="dxa"/>
            <w:tcBorders>
              <w:top w:val="nil"/>
              <w:left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lastRenderedPageBreak/>
              <w:t>0.306</w:t>
            </w:r>
          </w:p>
        </w:tc>
        <w:tc>
          <w:tcPr>
            <w:tcW w:w="901" w:type="dxa"/>
            <w:tcBorders>
              <w:top w:val="nil"/>
              <w:left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875" w:type="dxa"/>
            <w:tcBorders>
              <w:top w:val="nil"/>
              <w:left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1"/>
        </w:trPr>
        <w:tc>
          <w:tcPr>
            <w:tcW w:w="1578" w:type="dxa"/>
            <w:tcBorders>
              <w:left w:val="nil"/>
              <w:bottom w:val="single" w:sz="4" w:space="0" w:color="auto"/>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lastRenderedPageBreak/>
              <w:t>Asian</w:t>
            </w:r>
          </w:p>
        </w:tc>
        <w:tc>
          <w:tcPr>
            <w:tcW w:w="689" w:type="dxa"/>
            <w:tcBorders>
              <w:left w:val="nil"/>
              <w:bottom w:val="single" w:sz="4" w:space="0" w:color="auto"/>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0.976</w:t>
            </w:r>
          </w:p>
        </w:tc>
        <w:tc>
          <w:tcPr>
            <w:tcW w:w="1564" w:type="dxa"/>
            <w:tcBorders>
              <w:left w:val="nil"/>
              <w:bottom w:val="single" w:sz="4" w:space="0" w:color="auto"/>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1.00(0.80-1.260</w:t>
            </w:r>
          </w:p>
        </w:tc>
        <w:tc>
          <w:tcPr>
            <w:tcW w:w="584" w:type="dxa"/>
            <w:tcBorders>
              <w:left w:val="nil"/>
              <w:bottom w:val="single" w:sz="4" w:space="0" w:color="auto"/>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1359" w:type="dxa"/>
            <w:tcBorders>
              <w:left w:val="nil"/>
              <w:bottom w:val="single" w:sz="4" w:space="0" w:color="auto"/>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0.974</w:t>
            </w:r>
          </w:p>
        </w:tc>
        <w:tc>
          <w:tcPr>
            <w:tcW w:w="901" w:type="dxa"/>
            <w:tcBorders>
              <w:left w:val="nil"/>
              <w:bottom w:val="single" w:sz="4" w:space="0" w:color="auto"/>
              <w:right w:val="nil"/>
            </w:tcBorders>
            <w:noWrap/>
            <w:vAlign w:val="center"/>
          </w:tcPr>
          <w:p w:rsidR="00AC73D6" w:rsidRPr="000C1102" w:rsidRDefault="00AC73D6" w:rsidP="00866887">
            <w:pPr>
              <w:spacing w:line="360" w:lineRule="auto"/>
              <w:rPr>
                <w:rFonts w:ascii="Book Antiqua" w:hAnsi="Book Antiqua"/>
                <w:sz w:val="24"/>
                <w:szCs w:val="24"/>
              </w:rPr>
            </w:pPr>
          </w:p>
        </w:tc>
        <w:tc>
          <w:tcPr>
            <w:tcW w:w="875" w:type="dxa"/>
            <w:tcBorders>
              <w:left w:val="nil"/>
              <w:bottom w:val="single" w:sz="4" w:space="0" w:color="auto"/>
              <w:right w:val="nil"/>
            </w:tcBorders>
            <w:noWrap/>
            <w:vAlign w:val="center"/>
          </w:tcPr>
          <w:p w:rsidR="00AC73D6" w:rsidRPr="000C1102" w:rsidRDefault="00AC73D6" w:rsidP="00866887">
            <w:pPr>
              <w:spacing w:line="360" w:lineRule="auto"/>
              <w:rPr>
                <w:rFonts w:ascii="Book Antiqua" w:hAnsi="Book Antiqua"/>
                <w:sz w:val="24"/>
                <w:szCs w:val="24"/>
              </w:rPr>
            </w:pPr>
          </w:p>
        </w:tc>
      </w:tr>
    </w:tbl>
    <w:p w:rsidR="00AC73D6" w:rsidRPr="000C1102" w:rsidRDefault="00AC73D6" w:rsidP="00866887">
      <w:pPr>
        <w:spacing w:line="360" w:lineRule="auto"/>
        <w:rPr>
          <w:rFonts w:ascii="Book Antiqua" w:hAnsi="Book Antiqua"/>
          <w:b/>
          <w:sz w:val="24"/>
          <w:szCs w:val="24"/>
        </w:rPr>
      </w:pPr>
      <w:r w:rsidRPr="000C1102">
        <w:rPr>
          <w:rFonts w:ascii="Book Antiqua" w:hAnsi="Book Antiqua"/>
          <w:sz w:val="24"/>
          <w:szCs w:val="24"/>
        </w:rPr>
        <w:br w:type="page"/>
      </w:r>
      <w:r w:rsidRPr="000C1102">
        <w:rPr>
          <w:rFonts w:ascii="Book Antiqua" w:hAnsi="Book Antiqua"/>
          <w:b/>
          <w:sz w:val="24"/>
          <w:szCs w:val="24"/>
        </w:rPr>
        <w:lastRenderedPageBreak/>
        <w:t>Table 3 Summary odds ratios of rs1800871 polymorphisms with irritable bowel syndrome risk</w:t>
      </w:r>
    </w:p>
    <w:tbl>
      <w:tblPr>
        <w:tblW w:w="0" w:type="auto"/>
        <w:tblInd w:w="93" w:type="dxa"/>
        <w:tblLook w:val="0000" w:firstRow="0" w:lastRow="0" w:firstColumn="0" w:lastColumn="0" w:noHBand="0" w:noVBand="0"/>
      </w:tblPr>
      <w:tblGrid>
        <w:gridCol w:w="1805"/>
        <w:gridCol w:w="756"/>
        <w:gridCol w:w="1716"/>
        <w:gridCol w:w="636"/>
        <w:gridCol w:w="1723"/>
        <w:gridCol w:w="830"/>
        <w:gridCol w:w="1290"/>
      </w:tblGrid>
      <w:tr w:rsidR="00AC73D6" w:rsidRPr="000C1102" w:rsidTr="00995B4C">
        <w:trPr>
          <w:trHeight w:val="285"/>
        </w:trPr>
        <w:tc>
          <w:tcPr>
            <w:tcW w:w="0" w:type="auto"/>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rs1800871</w:t>
            </w:r>
          </w:p>
        </w:tc>
        <w:tc>
          <w:tcPr>
            <w:tcW w:w="0" w:type="auto"/>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i/>
                <w:sz w:val="24"/>
                <w:szCs w:val="24"/>
              </w:rPr>
              <w:t>P</w:t>
            </w:r>
          </w:p>
        </w:tc>
        <w:tc>
          <w:tcPr>
            <w:tcW w:w="0" w:type="auto"/>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OR(95%CI)</w:t>
            </w:r>
          </w:p>
        </w:tc>
        <w:tc>
          <w:tcPr>
            <w:tcW w:w="0" w:type="auto"/>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i/>
                <w:sz w:val="24"/>
                <w:szCs w:val="24"/>
              </w:rPr>
            </w:pPr>
            <w:r w:rsidRPr="000C1102">
              <w:rPr>
                <w:rFonts w:ascii="Book Antiqua" w:hAnsi="Book Antiqua"/>
                <w:b/>
                <w:i/>
                <w:sz w:val="24"/>
                <w:szCs w:val="24"/>
              </w:rPr>
              <w:t>I</w:t>
            </w:r>
            <w:r w:rsidRPr="000C1102">
              <w:rPr>
                <w:rFonts w:ascii="Book Antiqua" w:hAnsi="Book Antiqua"/>
                <w:b/>
                <w:i/>
                <w:sz w:val="24"/>
                <w:szCs w:val="24"/>
                <w:vertAlign w:val="superscript"/>
              </w:rPr>
              <w:t>2</w:t>
            </w:r>
          </w:p>
        </w:tc>
        <w:tc>
          <w:tcPr>
            <w:tcW w:w="0" w:type="auto"/>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i/>
                <w:sz w:val="24"/>
                <w:szCs w:val="24"/>
              </w:rPr>
              <w:t>P</w:t>
            </w:r>
          </w:p>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heterogeneity</w:t>
            </w:r>
          </w:p>
        </w:tc>
        <w:tc>
          <w:tcPr>
            <w:tcW w:w="0" w:type="auto"/>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sz w:val="24"/>
                <w:szCs w:val="24"/>
              </w:rPr>
            </w:pPr>
            <w:proofErr w:type="spellStart"/>
            <w:r w:rsidRPr="000C1102">
              <w:rPr>
                <w:rFonts w:ascii="Book Antiqua" w:hAnsi="Book Antiqua"/>
                <w:b/>
                <w:sz w:val="24"/>
                <w:szCs w:val="24"/>
              </w:rPr>
              <w:t>Begg</w:t>
            </w:r>
            <w:proofErr w:type="spellEnd"/>
            <w:r w:rsidRPr="000C1102">
              <w:rPr>
                <w:rFonts w:ascii="Book Antiqua" w:hAnsi="Book Antiqua"/>
                <w:b/>
                <w:sz w:val="24"/>
                <w:szCs w:val="24"/>
              </w:rPr>
              <w:t>’</w:t>
            </w:r>
          </w:p>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test</w:t>
            </w:r>
          </w:p>
        </w:tc>
        <w:tc>
          <w:tcPr>
            <w:tcW w:w="0" w:type="auto"/>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Egger test</w:t>
            </w:r>
          </w:p>
        </w:tc>
      </w:tr>
      <w:tr w:rsidR="00AC73D6" w:rsidRPr="000C1102" w:rsidTr="00995B4C">
        <w:trPr>
          <w:trHeight w:val="285"/>
        </w:trPr>
        <w:tc>
          <w:tcPr>
            <w:tcW w:w="0" w:type="auto"/>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AA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GG</w:t>
            </w:r>
          </w:p>
        </w:tc>
        <w:tc>
          <w:tcPr>
            <w:tcW w:w="0" w:type="auto"/>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0.698</w:t>
            </w:r>
          </w:p>
        </w:tc>
        <w:tc>
          <w:tcPr>
            <w:tcW w:w="0" w:type="auto"/>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0.90(0.53-1.54)</w:t>
            </w:r>
          </w:p>
        </w:tc>
        <w:tc>
          <w:tcPr>
            <w:tcW w:w="0" w:type="auto"/>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0" w:type="auto"/>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0.440</w:t>
            </w:r>
          </w:p>
        </w:tc>
        <w:tc>
          <w:tcPr>
            <w:tcW w:w="0" w:type="auto"/>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0.308</w:t>
            </w:r>
          </w:p>
        </w:tc>
        <w:tc>
          <w:tcPr>
            <w:tcW w:w="0" w:type="auto"/>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0.326</w:t>
            </w:r>
          </w:p>
        </w:tc>
      </w:tr>
      <w:tr w:rsidR="00AC73D6" w:rsidRPr="000C1102" w:rsidTr="00995B4C">
        <w:trPr>
          <w:trHeight w:val="285"/>
        </w:trPr>
        <w:tc>
          <w:tcPr>
            <w:tcW w:w="0" w:type="auto"/>
            <w:tcBorders>
              <w:top w:val="nil"/>
              <w:left w:val="nil"/>
              <w:bottom w:val="nil"/>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Caucasian</w:t>
            </w:r>
            <w:r w:rsidRPr="000C1102">
              <w:rPr>
                <w:rFonts w:ascii="Book Antiqua" w:hAnsi="Book Antiqua"/>
                <w:sz w:val="24"/>
                <w:szCs w:val="24"/>
                <w:vertAlign w:val="superscript"/>
              </w:rPr>
              <w:t>[18,20]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0.205</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0.56(0.23-1.37)</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22.6</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0.255</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5"/>
        </w:trPr>
        <w:tc>
          <w:tcPr>
            <w:tcW w:w="0" w:type="auto"/>
            <w:tcBorders>
              <w:top w:val="nil"/>
              <w:left w:val="nil"/>
              <w:bottom w:val="nil"/>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Asian</w:t>
            </w:r>
            <w:r w:rsidRPr="000C1102">
              <w:rPr>
                <w:rFonts w:ascii="Book Antiqua" w:hAnsi="Book Antiqua"/>
                <w:sz w:val="24"/>
                <w:szCs w:val="24"/>
                <w:vertAlign w:val="superscript"/>
              </w:rPr>
              <w:t>[23,24]</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0.530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1.25(0.62-2.54)</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0.969</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5"/>
        </w:trPr>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5"/>
        </w:trPr>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AA+GA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GG</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0.969</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0.99(0.61-1.60)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32.4</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0.218</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0.308</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0.146</w:t>
            </w:r>
          </w:p>
        </w:tc>
      </w:tr>
      <w:tr w:rsidR="00AC73D6" w:rsidRPr="000C1102" w:rsidTr="00995B4C">
        <w:trPr>
          <w:trHeight w:val="285"/>
        </w:trPr>
        <w:tc>
          <w:tcPr>
            <w:tcW w:w="0" w:type="auto"/>
            <w:tcBorders>
              <w:top w:val="nil"/>
              <w:left w:val="nil"/>
              <w:bottom w:val="nil"/>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Caucasian</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0.182</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0.58(0.26-1.29)</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0.365</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5"/>
        </w:trPr>
        <w:tc>
          <w:tcPr>
            <w:tcW w:w="0" w:type="auto"/>
            <w:tcBorders>
              <w:top w:val="nil"/>
              <w:left w:val="nil"/>
              <w:bottom w:val="nil"/>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Asian</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0.252</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1.45(0.77-2.76)</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0.364</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5"/>
        </w:trPr>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5"/>
        </w:trPr>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GG+GA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AA</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0.651</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0.92(0.64-1.33)</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0.720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0.734</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0.080</w:t>
            </w:r>
          </w:p>
        </w:tc>
      </w:tr>
      <w:tr w:rsidR="00AC73D6" w:rsidRPr="000C1102" w:rsidTr="00995B4C">
        <w:trPr>
          <w:trHeight w:val="285"/>
        </w:trPr>
        <w:tc>
          <w:tcPr>
            <w:tcW w:w="0" w:type="auto"/>
            <w:tcBorders>
              <w:top w:val="nil"/>
              <w:left w:val="nil"/>
              <w:bottom w:val="nil"/>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Caucasian</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0.985</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1.00(0.68-1.49)</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0.906</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5"/>
        </w:trPr>
        <w:tc>
          <w:tcPr>
            <w:tcW w:w="0" w:type="auto"/>
            <w:tcBorders>
              <w:top w:val="nil"/>
              <w:left w:val="nil"/>
              <w:bottom w:val="nil"/>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Asian</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0.219</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0.54(0.20-1.45)</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0.967</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5"/>
        </w:trPr>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5"/>
        </w:trPr>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G</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0.496</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1.09(0.85-1.38)</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0.809</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1.000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0.924</w:t>
            </w:r>
          </w:p>
        </w:tc>
      </w:tr>
      <w:tr w:rsidR="00AC73D6" w:rsidRPr="000C1102" w:rsidTr="00995B4C">
        <w:trPr>
          <w:trHeight w:val="285"/>
        </w:trPr>
        <w:tc>
          <w:tcPr>
            <w:tcW w:w="0" w:type="auto"/>
            <w:tcBorders>
              <w:top w:val="nil"/>
              <w:left w:val="nil"/>
              <w:bottom w:val="nil"/>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Caucasian</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0.939</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1.01(0.75-1.37)</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0.631</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85"/>
        </w:trPr>
        <w:tc>
          <w:tcPr>
            <w:tcW w:w="0" w:type="auto"/>
            <w:tcBorders>
              <w:top w:val="nil"/>
              <w:left w:val="nil"/>
              <w:bottom w:val="single" w:sz="4" w:space="0" w:color="auto"/>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Asian</w:t>
            </w:r>
          </w:p>
        </w:tc>
        <w:tc>
          <w:tcPr>
            <w:tcW w:w="0" w:type="auto"/>
            <w:tcBorders>
              <w:top w:val="nil"/>
              <w:left w:val="nil"/>
              <w:bottom w:val="single" w:sz="4" w:space="0" w:color="auto"/>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0.314</w:t>
            </w:r>
          </w:p>
        </w:tc>
        <w:tc>
          <w:tcPr>
            <w:tcW w:w="0" w:type="auto"/>
            <w:tcBorders>
              <w:top w:val="nil"/>
              <w:left w:val="nil"/>
              <w:bottom w:val="single" w:sz="4" w:space="0" w:color="auto"/>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1.23(0.83-1.82)</w:t>
            </w:r>
          </w:p>
        </w:tc>
        <w:tc>
          <w:tcPr>
            <w:tcW w:w="0" w:type="auto"/>
            <w:tcBorders>
              <w:top w:val="nil"/>
              <w:left w:val="nil"/>
              <w:bottom w:val="single" w:sz="4" w:space="0" w:color="auto"/>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0" w:type="auto"/>
            <w:tcBorders>
              <w:top w:val="nil"/>
              <w:left w:val="nil"/>
              <w:bottom w:val="single" w:sz="4" w:space="0" w:color="auto"/>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0.671</w:t>
            </w:r>
          </w:p>
        </w:tc>
        <w:tc>
          <w:tcPr>
            <w:tcW w:w="0" w:type="auto"/>
            <w:tcBorders>
              <w:top w:val="nil"/>
              <w:left w:val="nil"/>
              <w:bottom w:val="single" w:sz="4" w:space="0" w:color="auto"/>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single" w:sz="4" w:space="0" w:color="auto"/>
              <w:right w:val="nil"/>
            </w:tcBorders>
            <w:noWrap/>
            <w:vAlign w:val="center"/>
          </w:tcPr>
          <w:p w:rsidR="00AC73D6" w:rsidRPr="000C1102" w:rsidRDefault="00AC73D6" w:rsidP="00866887">
            <w:pPr>
              <w:spacing w:line="360" w:lineRule="auto"/>
              <w:rPr>
                <w:rFonts w:ascii="Book Antiqua" w:hAnsi="Book Antiqua"/>
                <w:sz w:val="24"/>
                <w:szCs w:val="24"/>
              </w:rPr>
            </w:pPr>
          </w:p>
        </w:tc>
      </w:tr>
    </w:tbl>
    <w:p w:rsidR="00AC73D6" w:rsidRPr="000C1102" w:rsidRDefault="00AC73D6" w:rsidP="00866887">
      <w:pPr>
        <w:spacing w:line="360" w:lineRule="auto"/>
        <w:rPr>
          <w:rFonts w:ascii="Book Antiqua" w:hAnsi="Book Antiqua"/>
          <w:b/>
          <w:sz w:val="24"/>
          <w:szCs w:val="24"/>
        </w:rPr>
      </w:pPr>
      <w:r w:rsidRPr="000C1102">
        <w:rPr>
          <w:rFonts w:ascii="Book Antiqua" w:hAnsi="Book Antiqua"/>
          <w:sz w:val="24"/>
          <w:szCs w:val="24"/>
        </w:rPr>
        <w:br w:type="page"/>
      </w:r>
      <w:r w:rsidRPr="000C1102">
        <w:rPr>
          <w:rFonts w:ascii="Book Antiqua" w:hAnsi="Book Antiqua"/>
          <w:b/>
          <w:sz w:val="24"/>
          <w:szCs w:val="24"/>
        </w:rPr>
        <w:lastRenderedPageBreak/>
        <w:t>Table 4 Summary odds ratios of rs1800872 polymorphisms with IBS risk</w:t>
      </w:r>
    </w:p>
    <w:tbl>
      <w:tblPr>
        <w:tblW w:w="0" w:type="auto"/>
        <w:tblInd w:w="93" w:type="dxa"/>
        <w:tblLook w:val="0000" w:firstRow="0" w:lastRow="0" w:firstColumn="0" w:lastColumn="0" w:noHBand="0" w:noVBand="0"/>
      </w:tblPr>
      <w:tblGrid>
        <w:gridCol w:w="1776"/>
        <w:gridCol w:w="756"/>
        <w:gridCol w:w="1716"/>
        <w:gridCol w:w="636"/>
        <w:gridCol w:w="1723"/>
        <w:gridCol w:w="830"/>
        <w:gridCol w:w="1290"/>
      </w:tblGrid>
      <w:tr w:rsidR="00AC73D6" w:rsidRPr="000C1102" w:rsidTr="00995B4C">
        <w:trPr>
          <w:trHeight w:val="294"/>
        </w:trPr>
        <w:tc>
          <w:tcPr>
            <w:tcW w:w="0" w:type="auto"/>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rs1800872</w:t>
            </w:r>
          </w:p>
        </w:tc>
        <w:tc>
          <w:tcPr>
            <w:tcW w:w="0" w:type="auto"/>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i/>
                <w:sz w:val="24"/>
                <w:szCs w:val="24"/>
              </w:rPr>
            </w:pPr>
            <w:r w:rsidRPr="000C1102">
              <w:rPr>
                <w:rFonts w:ascii="Book Antiqua" w:hAnsi="Book Antiqua"/>
                <w:b/>
                <w:i/>
                <w:sz w:val="24"/>
                <w:szCs w:val="24"/>
              </w:rPr>
              <w:t>P</w:t>
            </w:r>
          </w:p>
        </w:tc>
        <w:tc>
          <w:tcPr>
            <w:tcW w:w="0" w:type="auto"/>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OR(95%CI)</w:t>
            </w:r>
          </w:p>
        </w:tc>
        <w:tc>
          <w:tcPr>
            <w:tcW w:w="0" w:type="auto"/>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i/>
                <w:sz w:val="24"/>
                <w:szCs w:val="24"/>
              </w:rPr>
            </w:pPr>
            <w:r w:rsidRPr="000C1102">
              <w:rPr>
                <w:rFonts w:ascii="Book Antiqua" w:hAnsi="Book Antiqua"/>
                <w:b/>
                <w:i/>
                <w:sz w:val="24"/>
                <w:szCs w:val="24"/>
              </w:rPr>
              <w:t>I</w:t>
            </w:r>
            <w:r w:rsidRPr="000C1102">
              <w:rPr>
                <w:rFonts w:ascii="Book Antiqua" w:hAnsi="Book Antiqua"/>
                <w:b/>
                <w:i/>
                <w:sz w:val="24"/>
                <w:szCs w:val="24"/>
                <w:vertAlign w:val="superscript"/>
              </w:rPr>
              <w:t>2</w:t>
            </w:r>
          </w:p>
        </w:tc>
        <w:tc>
          <w:tcPr>
            <w:tcW w:w="0" w:type="auto"/>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i/>
                <w:sz w:val="24"/>
                <w:szCs w:val="24"/>
              </w:rPr>
              <w:t>P</w:t>
            </w:r>
          </w:p>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heterogeneity</w:t>
            </w:r>
          </w:p>
        </w:tc>
        <w:tc>
          <w:tcPr>
            <w:tcW w:w="0" w:type="auto"/>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sz w:val="24"/>
                <w:szCs w:val="24"/>
              </w:rPr>
            </w:pPr>
            <w:proofErr w:type="spellStart"/>
            <w:r w:rsidRPr="000C1102">
              <w:rPr>
                <w:rFonts w:ascii="Book Antiqua" w:hAnsi="Book Antiqua"/>
                <w:b/>
                <w:sz w:val="24"/>
                <w:szCs w:val="24"/>
              </w:rPr>
              <w:t>Begg</w:t>
            </w:r>
            <w:proofErr w:type="spellEnd"/>
            <w:r w:rsidRPr="000C1102">
              <w:rPr>
                <w:rFonts w:ascii="Book Antiqua" w:hAnsi="Book Antiqua"/>
                <w:b/>
                <w:sz w:val="24"/>
                <w:szCs w:val="24"/>
              </w:rPr>
              <w:t>’</w:t>
            </w:r>
          </w:p>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test</w:t>
            </w:r>
          </w:p>
        </w:tc>
        <w:tc>
          <w:tcPr>
            <w:tcW w:w="0" w:type="auto"/>
            <w:tcBorders>
              <w:top w:val="single" w:sz="4" w:space="0" w:color="auto"/>
              <w:left w:val="nil"/>
              <w:bottom w:val="single" w:sz="4" w:space="0" w:color="auto"/>
              <w:right w:val="nil"/>
            </w:tcBorders>
            <w:noWrap/>
            <w:vAlign w:val="center"/>
          </w:tcPr>
          <w:p w:rsidR="00AC73D6" w:rsidRPr="000C1102" w:rsidRDefault="00AC73D6" w:rsidP="00866887">
            <w:pPr>
              <w:spacing w:line="360" w:lineRule="auto"/>
              <w:rPr>
                <w:rFonts w:ascii="Book Antiqua" w:hAnsi="Book Antiqua"/>
                <w:b/>
                <w:sz w:val="24"/>
                <w:szCs w:val="24"/>
              </w:rPr>
            </w:pPr>
            <w:r w:rsidRPr="000C1102">
              <w:rPr>
                <w:rFonts w:ascii="Book Antiqua" w:hAnsi="Book Antiqua"/>
                <w:b/>
                <w:sz w:val="24"/>
                <w:szCs w:val="24"/>
              </w:rPr>
              <w:t>Egger test</w:t>
            </w:r>
          </w:p>
        </w:tc>
      </w:tr>
      <w:tr w:rsidR="00AC73D6" w:rsidRPr="000C1102" w:rsidTr="00995B4C">
        <w:trPr>
          <w:trHeight w:val="294"/>
        </w:trPr>
        <w:tc>
          <w:tcPr>
            <w:tcW w:w="0" w:type="auto"/>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CC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AA</w:t>
            </w:r>
          </w:p>
        </w:tc>
        <w:tc>
          <w:tcPr>
            <w:tcW w:w="0" w:type="auto"/>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0.989</w:t>
            </w:r>
          </w:p>
        </w:tc>
        <w:tc>
          <w:tcPr>
            <w:tcW w:w="0" w:type="auto"/>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1.00(0.77-1.19)</w:t>
            </w:r>
          </w:p>
        </w:tc>
        <w:tc>
          <w:tcPr>
            <w:tcW w:w="0" w:type="auto"/>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0" w:type="auto"/>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0.456</w:t>
            </w:r>
          </w:p>
        </w:tc>
        <w:tc>
          <w:tcPr>
            <w:tcW w:w="0" w:type="auto"/>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0.806</w:t>
            </w:r>
          </w:p>
        </w:tc>
        <w:tc>
          <w:tcPr>
            <w:tcW w:w="0" w:type="auto"/>
            <w:tcBorders>
              <w:top w:val="single" w:sz="4" w:space="0" w:color="auto"/>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0.506</w:t>
            </w:r>
          </w:p>
        </w:tc>
      </w:tr>
      <w:tr w:rsidR="00AC73D6" w:rsidRPr="000C1102" w:rsidTr="00995B4C">
        <w:trPr>
          <w:trHeight w:val="294"/>
        </w:trPr>
        <w:tc>
          <w:tcPr>
            <w:tcW w:w="0" w:type="auto"/>
            <w:tcBorders>
              <w:top w:val="nil"/>
              <w:left w:val="nil"/>
              <w:bottom w:val="nil"/>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Caucasian</w:t>
            </w:r>
            <w:r w:rsidRPr="000C1102">
              <w:rPr>
                <w:rFonts w:ascii="Book Antiqua" w:hAnsi="Book Antiqua"/>
                <w:sz w:val="24"/>
                <w:szCs w:val="24"/>
                <w:vertAlign w:val="superscript"/>
              </w:rPr>
              <w:t>[18,20]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0.379</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0.73(0.37-1.47)</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41.6</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0.191</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94"/>
        </w:trPr>
        <w:tc>
          <w:tcPr>
            <w:tcW w:w="0" w:type="auto"/>
            <w:tcBorders>
              <w:top w:val="nil"/>
              <w:left w:val="nil"/>
              <w:bottom w:val="nil"/>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Asian</w:t>
            </w:r>
            <w:r w:rsidRPr="000C1102">
              <w:rPr>
                <w:rFonts w:ascii="Book Antiqua" w:hAnsi="Book Antiqua"/>
                <w:sz w:val="24"/>
                <w:szCs w:val="24"/>
                <w:vertAlign w:val="superscript"/>
              </w:rPr>
              <w:t>[23,24,32]</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0.730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1.05(0.80-1.38)</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0.466</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94"/>
        </w:trPr>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94"/>
        </w:trPr>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CC+CA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AA</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0.028</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1.29(1.03-1.62)</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0.717</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0.221</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0.196</w:t>
            </w:r>
          </w:p>
        </w:tc>
      </w:tr>
      <w:tr w:rsidR="00AC73D6" w:rsidRPr="000C1102" w:rsidTr="00995B4C">
        <w:trPr>
          <w:trHeight w:val="294"/>
        </w:trPr>
        <w:tc>
          <w:tcPr>
            <w:tcW w:w="0" w:type="auto"/>
            <w:tcBorders>
              <w:top w:val="nil"/>
              <w:left w:val="nil"/>
              <w:bottom w:val="nil"/>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Caucasian</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0.417</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1.27(0.71-2.26)</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0.573</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94"/>
        </w:trPr>
        <w:tc>
          <w:tcPr>
            <w:tcW w:w="0" w:type="auto"/>
            <w:tcBorders>
              <w:top w:val="nil"/>
              <w:left w:val="nil"/>
              <w:bottom w:val="nil"/>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Asian</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0.042</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1.29(1.01-1.66)</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0.410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94"/>
        </w:trPr>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94"/>
        </w:trPr>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AA+CA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CC</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0.833</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0.97(0.72-1.31)</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60.2</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0.040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0.806</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0.384</w:t>
            </w:r>
          </w:p>
        </w:tc>
      </w:tr>
      <w:tr w:rsidR="00AC73D6" w:rsidRPr="000C1102" w:rsidTr="00995B4C">
        <w:trPr>
          <w:trHeight w:val="294"/>
        </w:trPr>
        <w:tc>
          <w:tcPr>
            <w:tcW w:w="0" w:type="auto"/>
            <w:tcBorders>
              <w:top w:val="nil"/>
              <w:left w:val="nil"/>
              <w:bottom w:val="nil"/>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Caucasian</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0.578</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1.13(0.72-1.71)</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3.2</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0.310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94"/>
        </w:trPr>
        <w:tc>
          <w:tcPr>
            <w:tcW w:w="0" w:type="auto"/>
            <w:tcBorders>
              <w:top w:val="nil"/>
              <w:left w:val="nil"/>
              <w:bottom w:val="nil"/>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Asian</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0.382</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0.82(0.53-1.27)</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76.0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0.016</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94"/>
        </w:trPr>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94"/>
        </w:trPr>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 xml:space="preserve">C </w:t>
            </w:r>
            <w:proofErr w:type="spellStart"/>
            <w:r w:rsidRPr="000C1102">
              <w:rPr>
                <w:rFonts w:ascii="Book Antiqua" w:hAnsi="Book Antiqua"/>
                <w:i/>
                <w:sz w:val="24"/>
                <w:szCs w:val="24"/>
              </w:rPr>
              <w:t>vs</w:t>
            </w:r>
            <w:proofErr w:type="spellEnd"/>
            <w:r w:rsidRPr="000C1102">
              <w:rPr>
                <w:rFonts w:ascii="Book Antiqua" w:hAnsi="Book Antiqua"/>
                <w:sz w:val="24"/>
                <w:szCs w:val="24"/>
              </w:rPr>
              <w:t xml:space="preserve"> A</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0.112</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1.12(0.97-1.28)</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0.863</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0.086</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0.266</w:t>
            </w:r>
          </w:p>
        </w:tc>
      </w:tr>
      <w:tr w:rsidR="00AC73D6" w:rsidRPr="000C1102" w:rsidTr="00995B4C">
        <w:trPr>
          <w:trHeight w:val="294"/>
        </w:trPr>
        <w:tc>
          <w:tcPr>
            <w:tcW w:w="0" w:type="auto"/>
            <w:tcBorders>
              <w:top w:val="nil"/>
              <w:left w:val="nil"/>
              <w:bottom w:val="nil"/>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Caucasian</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0.614</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1.12(0.97-1.28)</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0.669</w:t>
            </w: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nil"/>
              <w:right w:val="nil"/>
            </w:tcBorders>
            <w:noWrap/>
            <w:vAlign w:val="center"/>
          </w:tcPr>
          <w:p w:rsidR="00AC73D6" w:rsidRPr="000C1102" w:rsidRDefault="00AC73D6" w:rsidP="00866887">
            <w:pPr>
              <w:spacing w:line="360" w:lineRule="auto"/>
              <w:rPr>
                <w:rFonts w:ascii="Book Antiqua" w:hAnsi="Book Antiqua"/>
                <w:sz w:val="24"/>
                <w:szCs w:val="24"/>
              </w:rPr>
            </w:pPr>
          </w:p>
        </w:tc>
      </w:tr>
      <w:tr w:rsidR="00AC73D6" w:rsidRPr="000C1102" w:rsidTr="00995B4C">
        <w:trPr>
          <w:trHeight w:val="294"/>
        </w:trPr>
        <w:tc>
          <w:tcPr>
            <w:tcW w:w="0" w:type="auto"/>
            <w:tcBorders>
              <w:top w:val="nil"/>
              <w:left w:val="nil"/>
              <w:bottom w:val="single" w:sz="4" w:space="0" w:color="auto"/>
              <w:right w:val="nil"/>
            </w:tcBorders>
            <w:noWrap/>
            <w:vAlign w:val="center"/>
          </w:tcPr>
          <w:p w:rsidR="00AC73D6" w:rsidRPr="000C1102" w:rsidRDefault="00AC73D6" w:rsidP="00866887">
            <w:pPr>
              <w:spacing w:line="360" w:lineRule="auto"/>
              <w:ind w:firstLineChars="100" w:firstLine="240"/>
              <w:rPr>
                <w:rFonts w:ascii="Book Antiqua" w:hAnsi="Book Antiqua"/>
                <w:sz w:val="24"/>
                <w:szCs w:val="24"/>
              </w:rPr>
            </w:pPr>
            <w:r w:rsidRPr="000C1102">
              <w:rPr>
                <w:rFonts w:ascii="Book Antiqua" w:hAnsi="Book Antiqua"/>
                <w:sz w:val="24"/>
                <w:szCs w:val="24"/>
              </w:rPr>
              <w:t>Asian</w:t>
            </w:r>
          </w:p>
        </w:tc>
        <w:tc>
          <w:tcPr>
            <w:tcW w:w="0" w:type="auto"/>
            <w:tcBorders>
              <w:top w:val="nil"/>
              <w:left w:val="nil"/>
              <w:bottom w:val="single" w:sz="4" w:space="0" w:color="auto"/>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0.114</w:t>
            </w:r>
          </w:p>
        </w:tc>
        <w:tc>
          <w:tcPr>
            <w:tcW w:w="0" w:type="auto"/>
            <w:tcBorders>
              <w:top w:val="nil"/>
              <w:left w:val="nil"/>
              <w:bottom w:val="single" w:sz="4" w:space="0" w:color="auto"/>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1.14(0.97-1.33)</w:t>
            </w:r>
          </w:p>
        </w:tc>
        <w:tc>
          <w:tcPr>
            <w:tcW w:w="0" w:type="auto"/>
            <w:tcBorders>
              <w:top w:val="nil"/>
              <w:left w:val="nil"/>
              <w:bottom w:val="single" w:sz="4" w:space="0" w:color="auto"/>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0.0</w:t>
            </w:r>
          </w:p>
        </w:tc>
        <w:tc>
          <w:tcPr>
            <w:tcW w:w="0" w:type="auto"/>
            <w:tcBorders>
              <w:top w:val="nil"/>
              <w:left w:val="nil"/>
              <w:bottom w:val="single" w:sz="4" w:space="0" w:color="auto"/>
              <w:right w:val="nil"/>
            </w:tcBorders>
            <w:noWrap/>
            <w:vAlign w:val="center"/>
          </w:tcPr>
          <w:p w:rsidR="00AC73D6" w:rsidRPr="000C1102" w:rsidRDefault="00AC73D6" w:rsidP="00866887">
            <w:pPr>
              <w:spacing w:line="360" w:lineRule="auto"/>
              <w:rPr>
                <w:rFonts w:ascii="Book Antiqua" w:hAnsi="Book Antiqua"/>
                <w:sz w:val="24"/>
                <w:szCs w:val="24"/>
              </w:rPr>
            </w:pPr>
            <w:r w:rsidRPr="000C1102">
              <w:rPr>
                <w:rFonts w:ascii="Book Antiqua" w:hAnsi="Book Antiqua"/>
                <w:sz w:val="24"/>
                <w:szCs w:val="24"/>
              </w:rPr>
              <w:t>0.618</w:t>
            </w:r>
          </w:p>
        </w:tc>
        <w:tc>
          <w:tcPr>
            <w:tcW w:w="0" w:type="auto"/>
            <w:tcBorders>
              <w:top w:val="nil"/>
              <w:left w:val="nil"/>
              <w:bottom w:val="single" w:sz="4" w:space="0" w:color="auto"/>
              <w:right w:val="nil"/>
            </w:tcBorders>
            <w:noWrap/>
            <w:vAlign w:val="center"/>
          </w:tcPr>
          <w:p w:rsidR="00AC73D6" w:rsidRPr="000C1102" w:rsidRDefault="00AC73D6" w:rsidP="00866887">
            <w:pPr>
              <w:spacing w:line="360" w:lineRule="auto"/>
              <w:rPr>
                <w:rFonts w:ascii="Book Antiqua" w:hAnsi="Book Antiqua"/>
                <w:sz w:val="24"/>
                <w:szCs w:val="24"/>
              </w:rPr>
            </w:pPr>
          </w:p>
        </w:tc>
        <w:tc>
          <w:tcPr>
            <w:tcW w:w="0" w:type="auto"/>
            <w:tcBorders>
              <w:top w:val="nil"/>
              <w:left w:val="nil"/>
              <w:bottom w:val="single" w:sz="4" w:space="0" w:color="auto"/>
              <w:right w:val="nil"/>
            </w:tcBorders>
            <w:noWrap/>
            <w:vAlign w:val="center"/>
          </w:tcPr>
          <w:p w:rsidR="00AC73D6" w:rsidRPr="000C1102" w:rsidRDefault="00AC73D6" w:rsidP="00866887">
            <w:pPr>
              <w:spacing w:line="360" w:lineRule="auto"/>
              <w:rPr>
                <w:rFonts w:ascii="Book Antiqua" w:hAnsi="Book Antiqua"/>
                <w:sz w:val="24"/>
                <w:szCs w:val="24"/>
              </w:rPr>
            </w:pPr>
          </w:p>
        </w:tc>
      </w:tr>
    </w:tbl>
    <w:p w:rsidR="00AC73D6" w:rsidRPr="000C1102" w:rsidRDefault="00AC73D6" w:rsidP="00866887">
      <w:pPr>
        <w:spacing w:line="360" w:lineRule="auto"/>
        <w:rPr>
          <w:rFonts w:ascii="Book Antiqua" w:hAnsi="Book Antiqua"/>
          <w:sz w:val="24"/>
          <w:szCs w:val="24"/>
        </w:rPr>
      </w:pPr>
    </w:p>
    <w:sectPr w:rsidR="00AC73D6" w:rsidRPr="000C1102" w:rsidSect="00D96E51">
      <w:footerReference w:type="even" r:id="rId7"/>
      <w:footerReference w:type="default" r:id="rId8"/>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7EF" w:rsidRDefault="006D17EF">
      <w:r>
        <w:separator/>
      </w:r>
    </w:p>
  </w:endnote>
  <w:endnote w:type="continuationSeparator" w:id="0">
    <w:p w:rsidR="006D17EF" w:rsidRDefault="006D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D6" w:rsidRDefault="00AC73D6">
    <w:pPr>
      <w:pStyle w:val="a3"/>
      <w:framePr w:wrap="around" w:vAnchor="text" w:hAnchor="margin" w:xAlign="right" w:y="1"/>
      <w:rPr>
        <w:rStyle w:val="1"/>
      </w:rPr>
    </w:pPr>
    <w:r>
      <w:rPr>
        <w:rStyle w:val="1"/>
      </w:rPr>
      <w:fldChar w:fldCharType="begin"/>
    </w:r>
    <w:r>
      <w:rPr>
        <w:rStyle w:val="1"/>
      </w:rPr>
      <w:instrText xml:space="preserve">PAGE  </w:instrText>
    </w:r>
    <w:r>
      <w:rPr>
        <w:rStyle w:val="1"/>
      </w:rPr>
      <w:fldChar w:fldCharType="end"/>
    </w:r>
  </w:p>
  <w:p w:rsidR="00AC73D6" w:rsidRDefault="00AC73D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D6" w:rsidRDefault="006D17EF">
    <w:pPr>
      <w:pStyle w:val="a3"/>
      <w:jc w:val="center"/>
    </w:pPr>
    <w:r>
      <w:fldChar w:fldCharType="begin"/>
    </w:r>
    <w:r>
      <w:instrText>PAGE   \* MERGEFORMAT</w:instrText>
    </w:r>
    <w:r>
      <w:fldChar w:fldCharType="separate"/>
    </w:r>
    <w:r w:rsidR="003B0985" w:rsidRPr="003B0985">
      <w:rPr>
        <w:noProof/>
        <w:lang w:val="zh-CN"/>
      </w:rPr>
      <w:t>3</w:t>
    </w:r>
    <w:r>
      <w:rPr>
        <w:noProof/>
        <w:lang w:val="zh-CN"/>
      </w:rPr>
      <w:fldChar w:fldCharType="end"/>
    </w:r>
  </w:p>
  <w:p w:rsidR="00AC73D6" w:rsidRDefault="00AC73D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7EF" w:rsidRDefault="006D17EF">
      <w:r>
        <w:separator/>
      </w:r>
    </w:p>
  </w:footnote>
  <w:footnote w:type="continuationSeparator" w:id="0">
    <w:p w:rsidR="006D17EF" w:rsidRDefault="006D1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86"/>
    <w:rsid w:val="00013C38"/>
    <w:rsid w:val="00017C7E"/>
    <w:rsid w:val="00055F0C"/>
    <w:rsid w:val="00070533"/>
    <w:rsid w:val="000C1102"/>
    <w:rsid w:val="000C2E97"/>
    <w:rsid w:val="000E097A"/>
    <w:rsid w:val="000F4DC0"/>
    <w:rsid w:val="00116749"/>
    <w:rsid w:val="00125A3C"/>
    <w:rsid w:val="00126C1E"/>
    <w:rsid w:val="001278A0"/>
    <w:rsid w:val="00135585"/>
    <w:rsid w:val="00144EF6"/>
    <w:rsid w:val="00151016"/>
    <w:rsid w:val="0016607A"/>
    <w:rsid w:val="00167DEB"/>
    <w:rsid w:val="00171934"/>
    <w:rsid w:val="00171985"/>
    <w:rsid w:val="001733E8"/>
    <w:rsid w:val="001764EE"/>
    <w:rsid w:val="001932CA"/>
    <w:rsid w:val="001A20C8"/>
    <w:rsid w:val="001B2BBD"/>
    <w:rsid w:val="001B7921"/>
    <w:rsid w:val="001C3457"/>
    <w:rsid w:val="001F595B"/>
    <w:rsid w:val="00232B7A"/>
    <w:rsid w:val="0024035E"/>
    <w:rsid w:val="00260962"/>
    <w:rsid w:val="0026574A"/>
    <w:rsid w:val="00271514"/>
    <w:rsid w:val="002A1FAD"/>
    <w:rsid w:val="002C203E"/>
    <w:rsid w:val="002C3DEB"/>
    <w:rsid w:val="002F4B75"/>
    <w:rsid w:val="00306B96"/>
    <w:rsid w:val="0031102C"/>
    <w:rsid w:val="003354D3"/>
    <w:rsid w:val="0034163C"/>
    <w:rsid w:val="00377BE2"/>
    <w:rsid w:val="00380101"/>
    <w:rsid w:val="00386AB8"/>
    <w:rsid w:val="00390E31"/>
    <w:rsid w:val="003A013C"/>
    <w:rsid w:val="003A3D38"/>
    <w:rsid w:val="003B0985"/>
    <w:rsid w:val="003B7E07"/>
    <w:rsid w:val="003C5DB8"/>
    <w:rsid w:val="003D5934"/>
    <w:rsid w:val="003D60CA"/>
    <w:rsid w:val="003D6617"/>
    <w:rsid w:val="003E0067"/>
    <w:rsid w:val="003F319A"/>
    <w:rsid w:val="004004AA"/>
    <w:rsid w:val="00412199"/>
    <w:rsid w:val="00415740"/>
    <w:rsid w:val="00421E83"/>
    <w:rsid w:val="00426391"/>
    <w:rsid w:val="00427FB8"/>
    <w:rsid w:val="0047000E"/>
    <w:rsid w:val="00472F86"/>
    <w:rsid w:val="00473E24"/>
    <w:rsid w:val="00491F5A"/>
    <w:rsid w:val="00493480"/>
    <w:rsid w:val="004A596E"/>
    <w:rsid w:val="004D73C5"/>
    <w:rsid w:val="004E20E2"/>
    <w:rsid w:val="004E3008"/>
    <w:rsid w:val="004F4EA6"/>
    <w:rsid w:val="004F5A46"/>
    <w:rsid w:val="00505308"/>
    <w:rsid w:val="005226BE"/>
    <w:rsid w:val="00527919"/>
    <w:rsid w:val="005516E1"/>
    <w:rsid w:val="00563956"/>
    <w:rsid w:val="00564DD3"/>
    <w:rsid w:val="00564E44"/>
    <w:rsid w:val="00570930"/>
    <w:rsid w:val="00583D65"/>
    <w:rsid w:val="0059722C"/>
    <w:rsid w:val="005976C0"/>
    <w:rsid w:val="005B46BA"/>
    <w:rsid w:val="005B572D"/>
    <w:rsid w:val="005E216B"/>
    <w:rsid w:val="005E58E1"/>
    <w:rsid w:val="005F129C"/>
    <w:rsid w:val="00612176"/>
    <w:rsid w:val="006266C1"/>
    <w:rsid w:val="00635E00"/>
    <w:rsid w:val="00637CF1"/>
    <w:rsid w:val="006A1BDA"/>
    <w:rsid w:val="006A1C64"/>
    <w:rsid w:val="006D17EF"/>
    <w:rsid w:val="00700CC3"/>
    <w:rsid w:val="00724725"/>
    <w:rsid w:val="00727D26"/>
    <w:rsid w:val="0073406C"/>
    <w:rsid w:val="00740911"/>
    <w:rsid w:val="0074520D"/>
    <w:rsid w:val="00746AD3"/>
    <w:rsid w:val="00754A33"/>
    <w:rsid w:val="00771130"/>
    <w:rsid w:val="00774EB1"/>
    <w:rsid w:val="00795438"/>
    <w:rsid w:val="007A7547"/>
    <w:rsid w:val="007B1C2D"/>
    <w:rsid w:val="007D2C5D"/>
    <w:rsid w:val="007F461D"/>
    <w:rsid w:val="00833754"/>
    <w:rsid w:val="008502BA"/>
    <w:rsid w:val="00857E77"/>
    <w:rsid w:val="008645BF"/>
    <w:rsid w:val="00864E61"/>
    <w:rsid w:val="00866887"/>
    <w:rsid w:val="008B4C5C"/>
    <w:rsid w:val="008C4AC0"/>
    <w:rsid w:val="008E55A3"/>
    <w:rsid w:val="008E6DEB"/>
    <w:rsid w:val="00911228"/>
    <w:rsid w:val="00922598"/>
    <w:rsid w:val="00926482"/>
    <w:rsid w:val="00943C3D"/>
    <w:rsid w:val="00951A28"/>
    <w:rsid w:val="00952B3E"/>
    <w:rsid w:val="00961F3C"/>
    <w:rsid w:val="00974A09"/>
    <w:rsid w:val="00995AB5"/>
    <w:rsid w:val="00995B4C"/>
    <w:rsid w:val="009A1EFE"/>
    <w:rsid w:val="009A6394"/>
    <w:rsid w:val="009C5E68"/>
    <w:rsid w:val="009D0B4A"/>
    <w:rsid w:val="009D2589"/>
    <w:rsid w:val="009D42B8"/>
    <w:rsid w:val="009E6507"/>
    <w:rsid w:val="009F0FE0"/>
    <w:rsid w:val="00A5121B"/>
    <w:rsid w:val="00A63151"/>
    <w:rsid w:val="00A86B07"/>
    <w:rsid w:val="00AC11D0"/>
    <w:rsid w:val="00AC73D6"/>
    <w:rsid w:val="00AD1907"/>
    <w:rsid w:val="00AD682D"/>
    <w:rsid w:val="00AE1AE5"/>
    <w:rsid w:val="00B146AB"/>
    <w:rsid w:val="00B24F5E"/>
    <w:rsid w:val="00B26E5C"/>
    <w:rsid w:val="00B41986"/>
    <w:rsid w:val="00B570A0"/>
    <w:rsid w:val="00B75BDD"/>
    <w:rsid w:val="00BA3E7E"/>
    <w:rsid w:val="00BB53B9"/>
    <w:rsid w:val="00BD0F78"/>
    <w:rsid w:val="00BF5706"/>
    <w:rsid w:val="00C4619A"/>
    <w:rsid w:val="00C55D39"/>
    <w:rsid w:val="00C67C1A"/>
    <w:rsid w:val="00C73917"/>
    <w:rsid w:val="00C93E9C"/>
    <w:rsid w:val="00CB03CC"/>
    <w:rsid w:val="00CC71B0"/>
    <w:rsid w:val="00CD5A87"/>
    <w:rsid w:val="00CF78B7"/>
    <w:rsid w:val="00D102AF"/>
    <w:rsid w:val="00D16639"/>
    <w:rsid w:val="00D23434"/>
    <w:rsid w:val="00D24106"/>
    <w:rsid w:val="00D41979"/>
    <w:rsid w:val="00D44B56"/>
    <w:rsid w:val="00D55F2F"/>
    <w:rsid w:val="00D56D7D"/>
    <w:rsid w:val="00D61DA8"/>
    <w:rsid w:val="00D66631"/>
    <w:rsid w:val="00D7742B"/>
    <w:rsid w:val="00D834B6"/>
    <w:rsid w:val="00D9151F"/>
    <w:rsid w:val="00D93A99"/>
    <w:rsid w:val="00D96E51"/>
    <w:rsid w:val="00DA231B"/>
    <w:rsid w:val="00DD1B61"/>
    <w:rsid w:val="00DD306B"/>
    <w:rsid w:val="00DD37C7"/>
    <w:rsid w:val="00DE535A"/>
    <w:rsid w:val="00E048DD"/>
    <w:rsid w:val="00E45DC9"/>
    <w:rsid w:val="00E5701C"/>
    <w:rsid w:val="00E920CC"/>
    <w:rsid w:val="00EA5E03"/>
    <w:rsid w:val="00EA6FF2"/>
    <w:rsid w:val="00EB66B7"/>
    <w:rsid w:val="00ED35D5"/>
    <w:rsid w:val="00F03F1B"/>
    <w:rsid w:val="00F10BEA"/>
    <w:rsid w:val="00F13B78"/>
    <w:rsid w:val="00F14FB5"/>
    <w:rsid w:val="00F16C7C"/>
    <w:rsid w:val="00F205AC"/>
    <w:rsid w:val="00F216AC"/>
    <w:rsid w:val="00F5231A"/>
    <w:rsid w:val="00F5366E"/>
    <w:rsid w:val="00F62217"/>
    <w:rsid w:val="00F76FF5"/>
    <w:rsid w:val="00F966F7"/>
    <w:rsid w:val="00FA04D6"/>
    <w:rsid w:val="00FB442C"/>
    <w:rsid w:val="00FC1A49"/>
    <w:rsid w:val="00FD4529"/>
    <w:rsid w:val="00FF3D55"/>
    <w:rsid w:val="00FF7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51"/>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96E51"/>
    <w:pPr>
      <w:tabs>
        <w:tab w:val="center" w:pos="4153"/>
        <w:tab w:val="right" w:pos="8306"/>
      </w:tabs>
      <w:snapToGrid w:val="0"/>
      <w:jc w:val="left"/>
    </w:pPr>
    <w:rPr>
      <w:kern w:val="0"/>
      <w:sz w:val="18"/>
      <w:szCs w:val="18"/>
    </w:rPr>
  </w:style>
  <w:style w:type="character" w:customStyle="1" w:styleId="Char">
    <w:name w:val="页脚 Char"/>
    <w:basedOn w:val="a0"/>
    <w:link w:val="a3"/>
    <w:uiPriority w:val="99"/>
    <w:locked/>
    <w:rsid w:val="00D96E51"/>
    <w:rPr>
      <w:rFonts w:ascii="Times New Roman" w:eastAsia="宋体" w:hAnsi="Times New Roman"/>
      <w:sz w:val="18"/>
    </w:rPr>
  </w:style>
  <w:style w:type="character" w:styleId="a4">
    <w:name w:val="Hyperlink"/>
    <w:basedOn w:val="a0"/>
    <w:uiPriority w:val="99"/>
    <w:rsid w:val="00D96E51"/>
    <w:rPr>
      <w:rFonts w:cs="Times New Roman"/>
      <w:color w:val="0000FF"/>
      <w:u w:val="single"/>
    </w:rPr>
  </w:style>
  <w:style w:type="paragraph" w:customStyle="1" w:styleId="CharChar">
    <w:name w:val="批注框文本 Char Char"/>
    <w:basedOn w:val="a"/>
    <w:link w:val="CharCharChar"/>
    <w:uiPriority w:val="99"/>
    <w:rsid w:val="00D96E51"/>
    <w:rPr>
      <w:kern w:val="0"/>
      <w:sz w:val="18"/>
      <w:szCs w:val="18"/>
    </w:rPr>
  </w:style>
  <w:style w:type="character" w:customStyle="1" w:styleId="CharCharChar">
    <w:name w:val="批注框文本 Char Char Char"/>
    <w:link w:val="CharChar"/>
    <w:uiPriority w:val="99"/>
    <w:semiHidden/>
    <w:locked/>
    <w:rsid w:val="00D96E51"/>
    <w:rPr>
      <w:rFonts w:ascii="Times New Roman" w:eastAsia="宋体" w:hAnsi="Times New Roman"/>
      <w:sz w:val="18"/>
    </w:rPr>
  </w:style>
  <w:style w:type="character" w:customStyle="1" w:styleId="webdict">
    <w:name w:val="webdict"/>
    <w:uiPriority w:val="99"/>
    <w:rsid w:val="00D96E51"/>
  </w:style>
  <w:style w:type="character" w:customStyle="1" w:styleId="1">
    <w:name w:val="页码1"/>
    <w:basedOn w:val="a0"/>
    <w:uiPriority w:val="99"/>
    <w:rsid w:val="00D96E51"/>
    <w:rPr>
      <w:rFonts w:cs="Times New Roman"/>
    </w:rPr>
  </w:style>
  <w:style w:type="paragraph" w:styleId="a5">
    <w:name w:val="annotation text"/>
    <w:basedOn w:val="a"/>
    <w:link w:val="Char0"/>
    <w:uiPriority w:val="99"/>
    <w:rsid w:val="001278A0"/>
    <w:pPr>
      <w:jc w:val="left"/>
    </w:pPr>
    <w:rPr>
      <w:szCs w:val="24"/>
    </w:rPr>
  </w:style>
  <w:style w:type="character" w:customStyle="1" w:styleId="Char0">
    <w:name w:val="批注文字 Char"/>
    <w:basedOn w:val="a0"/>
    <w:link w:val="a5"/>
    <w:uiPriority w:val="99"/>
    <w:locked/>
    <w:rsid w:val="001278A0"/>
    <w:rPr>
      <w:kern w:val="2"/>
      <w:sz w:val="24"/>
    </w:rPr>
  </w:style>
  <w:style w:type="table" w:styleId="a6">
    <w:name w:val="Table Grid"/>
    <w:basedOn w:val="a1"/>
    <w:uiPriority w:val="99"/>
    <w:rsid w:val="00491F5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rsid w:val="00F205A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locked/>
    <w:rsid w:val="00F205AC"/>
    <w:rPr>
      <w:kern w:val="2"/>
      <w:sz w:val="18"/>
    </w:rPr>
  </w:style>
  <w:style w:type="character" w:styleId="a8">
    <w:name w:val="annotation reference"/>
    <w:basedOn w:val="a0"/>
    <w:uiPriority w:val="99"/>
    <w:semiHidden/>
    <w:rsid w:val="00795438"/>
    <w:rPr>
      <w:rFonts w:cs="Times New Roman"/>
      <w:sz w:val="16"/>
    </w:rPr>
  </w:style>
  <w:style w:type="paragraph" w:styleId="a9">
    <w:name w:val="annotation subject"/>
    <w:basedOn w:val="a5"/>
    <w:next w:val="a5"/>
    <w:link w:val="Char2"/>
    <w:uiPriority w:val="99"/>
    <w:semiHidden/>
    <w:rsid w:val="00795438"/>
    <w:pPr>
      <w:jc w:val="both"/>
    </w:pPr>
    <w:rPr>
      <w:b/>
      <w:bCs/>
    </w:rPr>
  </w:style>
  <w:style w:type="character" w:customStyle="1" w:styleId="Char2">
    <w:name w:val="批注主题 Char"/>
    <w:basedOn w:val="Char0"/>
    <w:link w:val="a9"/>
    <w:uiPriority w:val="99"/>
    <w:semiHidden/>
    <w:locked/>
    <w:rsid w:val="00795438"/>
    <w:rPr>
      <w:b/>
      <w:kern w:val="2"/>
      <w:sz w:val="24"/>
    </w:rPr>
  </w:style>
  <w:style w:type="paragraph" w:styleId="aa">
    <w:name w:val="Balloon Text"/>
    <w:basedOn w:val="a"/>
    <w:link w:val="Char3"/>
    <w:uiPriority w:val="99"/>
    <w:semiHidden/>
    <w:rsid w:val="00795438"/>
    <w:rPr>
      <w:rFonts w:ascii="Tahoma" w:hAnsi="Tahoma"/>
      <w:sz w:val="16"/>
      <w:szCs w:val="16"/>
    </w:rPr>
  </w:style>
  <w:style w:type="character" w:customStyle="1" w:styleId="Char3">
    <w:name w:val="批注框文本 Char"/>
    <w:basedOn w:val="a0"/>
    <w:link w:val="aa"/>
    <w:uiPriority w:val="99"/>
    <w:semiHidden/>
    <w:locked/>
    <w:rsid w:val="00795438"/>
    <w:rPr>
      <w:rFonts w:ascii="Tahoma" w:hAnsi="Tahoma"/>
      <w:kern w:val="2"/>
      <w:sz w:val="16"/>
    </w:rPr>
  </w:style>
  <w:style w:type="paragraph" w:styleId="ab">
    <w:name w:val="Revision"/>
    <w:hidden/>
    <w:uiPriority w:val="99"/>
    <w:semiHidden/>
    <w:rsid w:val="00151016"/>
    <w:rPr>
      <w:szCs w:val="20"/>
    </w:rPr>
  </w:style>
  <w:style w:type="character" w:styleId="ac">
    <w:name w:val="Strong"/>
    <w:basedOn w:val="a0"/>
    <w:uiPriority w:val="99"/>
    <w:qFormat/>
    <w:rsid w:val="001F595B"/>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51"/>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96E51"/>
    <w:pPr>
      <w:tabs>
        <w:tab w:val="center" w:pos="4153"/>
        <w:tab w:val="right" w:pos="8306"/>
      </w:tabs>
      <w:snapToGrid w:val="0"/>
      <w:jc w:val="left"/>
    </w:pPr>
    <w:rPr>
      <w:kern w:val="0"/>
      <w:sz w:val="18"/>
      <w:szCs w:val="18"/>
    </w:rPr>
  </w:style>
  <w:style w:type="character" w:customStyle="1" w:styleId="Char">
    <w:name w:val="页脚 Char"/>
    <w:basedOn w:val="a0"/>
    <w:link w:val="a3"/>
    <w:uiPriority w:val="99"/>
    <w:locked/>
    <w:rsid w:val="00D96E51"/>
    <w:rPr>
      <w:rFonts w:ascii="Times New Roman" w:eastAsia="宋体" w:hAnsi="Times New Roman"/>
      <w:sz w:val="18"/>
    </w:rPr>
  </w:style>
  <w:style w:type="character" w:styleId="a4">
    <w:name w:val="Hyperlink"/>
    <w:basedOn w:val="a0"/>
    <w:uiPriority w:val="99"/>
    <w:rsid w:val="00D96E51"/>
    <w:rPr>
      <w:rFonts w:cs="Times New Roman"/>
      <w:color w:val="0000FF"/>
      <w:u w:val="single"/>
    </w:rPr>
  </w:style>
  <w:style w:type="paragraph" w:customStyle="1" w:styleId="CharChar">
    <w:name w:val="批注框文本 Char Char"/>
    <w:basedOn w:val="a"/>
    <w:link w:val="CharCharChar"/>
    <w:uiPriority w:val="99"/>
    <w:rsid w:val="00D96E51"/>
    <w:rPr>
      <w:kern w:val="0"/>
      <w:sz w:val="18"/>
      <w:szCs w:val="18"/>
    </w:rPr>
  </w:style>
  <w:style w:type="character" w:customStyle="1" w:styleId="CharCharChar">
    <w:name w:val="批注框文本 Char Char Char"/>
    <w:link w:val="CharChar"/>
    <w:uiPriority w:val="99"/>
    <w:semiHidden/>
    <w:locked/>
    <w:rsid w:val="00D96E51"/>
    <w:rPr>
      <w:rFonts w:ascii="Times New Roman" w:eastAsia="宋体" w:hAnsi="Times New Roman"/>
      <w:sz w:val="18"/>
    </w:rPr>
  </w:style>
  <w:style w:type="character" w:customStyle="1" w:styleId="webdict">
    <w:name w:val="webdict"/>
    <w:uiPriority w:val="99"/>
    <w:rsid w:val="00D96E51"/>
  </w:style>
  <w:style w:type="character" w:customStyle="1" w:styleId="1">
    <w:name w:val="页码1"/>
    <w:basedOn w:val="a0"/>
    <w:uiPriority w:val="99"/>
    <w:rsid w:val="00D96E51"/>
    <w:rPr>
      <w:rFonts w:cs="Times New Roman"/>
    </w:rPr>
  </w:style>
  <w:style w:type="paragraph" w:styleId="a5">
    <w:name w:val="annotation text"/>
    <w:basedOn w:val="a"/>
    <w:link w:val="Char0"/>
    <w:uiPriority w:val="99"/>
    <w:rsid w:val="001278A0"/>
    <w:pPr>
      <w:jc w:val="left"/>
    </w:pPr>
    <w:rPr>
      <w:szCs w:val="24"/>
    </w:rPr>
  </w:style>
  <w:style w:type="character" w:customStyle="1" w:styleId="Char0">
    <w:name w:val="批注文字 Char"/>
    <w:basedOn w:val="a0"/>
    <w:link w:val="a5"/>
    <w:uiPriority w:val="99"/>
    <w:locked/>
    <w:rsid w:val="001278A0"/>
    <w:rPr>
      <w:kern w:val="2"/>
      <w:sz w:val="24"/>
    </w:rPr>
  </w:style>
  <w:style w:type="table" w:styleId="a6">
    <w:name w:val="Table Grid"/>
    <w:basedOn w:val="a1"/>
    <w:uiPriority w:val="99"/>
    <w:rsid w:val="00491F5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rsid w:val="00F205A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locked/>
    <w:rsid w:val="00F205AC"/>
    <w:rPr>
      <w:kern w:val="2"/>
      <w:sz w:val="18"/>
    </w:rPr>
  </w:style>
  <w:style w:type="character" w:styleId="a8">
    <w:name w:val="annotation reference"/>
    <w:basedOn w:val="a0"/>
    <w:uiPriority w:val="99"/>
    <w:semiHidden/>
    <w:rsid w:val="00795438"/>
    <w:rPr>
      <w:rFonts w:cs="Times New Roman"/>
      <w:sz w:val="16"/>
    </w:rPr>
  </w:style>
  <w:style w:type="paragraph" w:styleId="a9">
    <w:name w:val="annotation subject"/>
    <w:basedOn w:val="a5"/>
    <w:next w:val="a5"/>
    <w:link w:val="Char2"/>
    <w:uiPriority w:val="99"/>
    <w:semiHidden/>
    <w:rsid w:val="00795438"/>
    <w:pPr>
      <w:jc w:val="both"/>
    </w:pPr>
    <w:rPr>
      <w:b/>
      <w:bCs/>
    </w:rPr>
  </w:style>
  <w:style w:type="character" w:customStyle="1" w:styleId="Char2">
    <w:name w:val="批注主题 Char"/>
    <w:basedOn w:val="Char0"/>
    <w:link w:val="a9"/>
    <w:uiPriority w:val="99"/>
    <w:semiHidden/>
    <w:locked/>
    <w:rsid w:val="00795438"/>
    <w:rPr>
      <w:b/>
      <w:kern w:val="2"/>
      <w:sz w:val="24"/>
    </w:rPr>
  </w:style>
  <w:style w:type="paragraph" w:styleId="aa">
    <w:name w:val="Balloon Text"/>
    <w:basedOn w:val="a"/>
    <w:link w:val="Char3"/>
    <w:uiPriority w:val="99"/>
    <w:semiHidden/>
    <w:rsid w:val="00795438"/>
    <w:rPr>
      <w:rFonts w:ascii="Tahoma" w:hAnsi="Tahoma"/>
      <w:sz w:val="16"/>
      <w:szCs w:val="16"/>
    </w:rPr>
  </w:style>
  <w:style w:type="character" w:customStyle="1" w:styleId="Char3">
    <w:name w:val="批注框文本 Char"/>
    <w:basedOn w:val="a0"/>
    <w:link w:val="aa"/>
    <w:uiPriority w:val="99"/>
    <w:semiHidden/>
    <w:locked/>
    <w:rsid w:val="00795438"/>
    <w:rPr>
      <w:rFonts w:ascii="Tahoma" w:hAnsi="Tahoma"/>
      <w:kern w:val="2"/>
      <w:sz w:val="16"/>
    </w:rPr>
  </w:style>
  <w:style w:type="paragraph" w:styleId="ab">
    <w:name w:val="Revision"/>
    <w:hidden/>
    <w:uiPriority w:val="99"/>
    <w:semiHidden/>
    <w:rsid w:val="00151016"/>
    <w:rPr>
      <w:szCs w:val="20"/>
    </w:rPr>
  </w:style>
  <w:style w:type="character" w:styleId="ac">
    <w:name w:val="Strong"/>
    <w:basedOn w:val="a0"/>
    <w:uiPriority w:val="99"/>
    <w:qFormat/>
    <w:rsid w:val="001F595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5293</Words>
  <Characters>31572</Characters>
  <Application>Microsoft Office Word</Application>
  <DocSecurity>0</DocSecurity>
  <Lines>263</Lines>
  <Paragraphs>73</Paragraphs>
  <ScaleCrop>false</ScaleCrop>
  <LinksUpToDate>false</LinksUpToDate>
  <CharactersWithSpaces>36792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2013-10-19T17:15:00Z</dcterms:created>
  <dcterms:modified xsi:type="dcterms:W3CDTF">2013-10-21T01:58:00Z</dcterms:modified>
</cp:coreProperties>
</file>