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901AC" w14:textId="2914A672" w:rsidR="0040546F"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 xml:space="preserve">Name of </w:t>
      </w:r>
      <w:r w:rsidR="00707674" w:rsidRPr="00DD5245">
        <w:rPr>
          <w:rFonts w:ascii="Book Antiqua" w:hAnsi="Book Antiqua"/>
          <w:b/>
          <w:sz w:val="24"/>
          <w:szCs w:val="24"/>
          <w:lang w:val="en-GB"/>
        </w:rPr>
        <w:t>J</w:t>
      </w:r>
      <w:r w:rsidRPr="00DD5245">
        <w:rPr>
          <w:rFonts w:ascii="Book Antiqua" w:hAnsi="Book Antiqua"/>
          <w:b/>
          <w:sz w:val="24"/>
          <w:szCs w:val="24"/>
          <w:lang w:val="en-GB"/>
        </w:rPr>
        <w:t>ournal:</w:t>
      </w:r>
      <w:r w:rsidRPr="00DD5245">
        <w:rPr>
          <w:rFonts w:ascii="Book Antiqua" w:hAnsi="Book Antiqua"/>
          <w:sz w:val="24"/>
          <w:szCs w:val="24"/>
          <w:lang w:val="en-GB"/>
        </w:rPr>
        <w:t xml:space="preserve"> </w:t>
      </w:r>
      <w:r w:rsidRPr="00DD5245">
        <w:rPr>
          <w:rFonts w:ascii="Book Antiqua" w:hAnsi="Book Antiqua"/>
          <w:b/>
          <w:bCs/>
          <w:i/>
          <w:iCs/>
          <w:sz w:val="24"/>
          <w:szCs w:val="24"/>
          <w:lang w:val="en-GB"/>
        </w:rPr>
        <w:t>World Journal of Cardiology</w:t>
      </w:r>
    </w:p>
    <w:p w14:paraId="18422906" w14:textId="7A340CBD" w:rsidR="00707674" w:rsidRPr="00DD5245" w:rsidRDefault="00707674" w:rsidP="00707674">
      <w:pPr>
        <w:pStyle w:val="1"/>
        <w:adjustRightInd w:val="0"/>
        <w:snapToGrid w:val="0"/>
        <w:spacing w:line="360" w:lineRule="auto"/>
        <w:jc w:val="both"/>
        <w:rPr>
          <w:rFonts w:ascii="Book Antiqua" w:hAnsi="Book Antiqua" w:cs="Times New Roman"/>
          <w:b/>
          <w:i/>
          <w:sz w:val="24"/>
          <w:szCs w:val="24"/>
          <w:lang w:val="en-US" w:eastAsia="zh-CN"/>
        </w:rPr>
      </w:pPr>
      <w:bookmarkStart w:id="0" w:name="OLE_LINK485"/>
      <w:bookmarkStart w:id="1" w:name="OLE_LINK486"/>
      <w:bookmarkStart w:id="2" w:name="OLE_LINK661"/>
      <w:bookmarkStart w:id="3" w:name="OLE_LINK768"/>
      <w:bookmarkStart w:id="4" w:name="OLE_LINK514"/>
      <w:bookmarkStart w:id="5" w:name="OLE_LINK515"/>
      <w:r w:rsidRPr="00DD5245">
        <w:rPr>
          <w:rFonts w:ascii="Book Antiqua" w:hAnsi="Book Antiqua" w:cs="Times New Roman"/>
          <w:b/>
          <w:sz w:val="24"/>
          <w:szCs w:val="24"/>
          <w:lang w:val="en-US" w:eastAsia="zh-CN"/>
        </w:rPr>
        <w:t>Manuscript NO:</w:t>
      </w:r>
      <w:bookmarkEnd w:id="0"/>
      <w:bookmarkEnd w:id="1"/>
      <w:bookmarkEnd w:id="2"/>
      <w:bookmarkEnd w:id="3"/>
      <w:r w:rsidRPr="00DD5245">
        <w:rPr>
          <w:rFonts w:ascii="Book Antiqua" w:hAnsi="Book Antiqua" w:cs="Times New Roman"/>
          <w:b/>
          <w:sz w:val="24"/>
          <w:szCs w:val="24"/>
          <w:lang w:val="en-US" w:eastAsia="zh-CN"/>
        </w:rPr>
        <w:t xml:space="preserve"> </w:t>
      </w:r>
      <w:bookmarkEnd w:id="4"/>
      <w:bookmarkEnd w:id="5"/>
      <w:r w:rsidRPr="00DD5245">
        <w:rPr>
          <w:rFonts w:ascii="Book Antiqua" w:hAnsi="Book Antiqua" w:cs="Times New Roman"/>
          <w:b/>
          <w:sz w:val="24"/>
          <w:szCs w:val="24"/>
          <w:lang w:val="en-US" w:eastAsia="zh-CN"/>
        </w:rPr>
        <w:t>47342</w:t>
      </w:r>
    </w:p>
    <w:p w14:paraId="2F120F9B" w14:textId="5E10A628" w:rsidR="001F4A45" w:rsidRPr="00DD5245" w:rsidRDefault="00150F1C" w:rsidP="00707674">
      <w:pPr>
        <w:adjustRightInd w:val="0"/>
        <w:snapToGrid w:val="0"/>
        <w:spacing w:after="0" w:line="360" w:lineRule="auto"/>
        <w:jc w:val="both"/>
        <w:rPr>
          <w:rFonts w:ascii="Book Antiqua" w:hAnsi="Book Antiqua"/>
          <w:b/>
          <w:bCs/>
          <w:sz w:val="24"/>
          <w:szCs w:val="24"/>
          <w:lang w:val="en-GB"/>
        </w:rPr>
      </w:pPr>
      <w:r w:rsidRPr="00DD5245">
        <w:rPr>
          <w:rFonts w:ascii="Book Antiqua" w:hAnsi="Book Antiqua"/>
          <w:b/>
          <w:sz w:val="24"/>
          <w:szCs w:val="24"/>
          <w:lang w:val="en-GB"/>
        </w:rPr>
        <w:t>Manuscript Type</w:t>
      </w:r>
      <w:r w:rsidRPr="00DD5245">
        <w:rPr>
          <w:rFonts w:ascii="Book Antiqua" w:hAnsi="Book Antiqua"/>
          <w:b/>
          <w:bCs/>
          <w:sz w:val="24"/>
          <w:szCs w:val="24"/>
          <w:lang w:val="en-GB"/>
        </w:rPr>
        <w:t xml:space="preserve">: </w:t>
      </w:r>
      <w:r w:rsidR="009C0FEF" w:rsidRPr="009C0FEF">
        <w:rPr>
          <w:rFonts w:ascii="Book Antiqua" w:hAnsi="Book Antiqua"/>
          <w:b/>
          <w:bCs/>
          <w:sz w:val="24"/>
          <w:szCs w:val="24"/>
          <w:lang w:val="en-GB"/>
        </w:rPr>
        <w:t>MINIREVIEWS</w:t>
      </w:r>
    </w:p>
    <w:p w14:paraId="6E91EBFA" w14:textId="77777777" w:rsidR="00707674" w:rsidRPr="00DD5245" w:rsidRDefault="00707674" w:rsidP="00707674">
      <w:pPr>
        <w:adjustRightInd w:val="0"/>
        <w:snapToGrid w:val="0"/>
        <w:spacing w:after="0" w:line="360" w:lineRule="auto"/>
        <w:jc w:val="both"/>
        <w:rPr>
          <w:rFonts w:ascii="Book Antiqua" w:hAnsi="Book Antiqua"/>
          <w:sz w:val="24"/>
          <w:szCs w:val="24"/>
          <w:lang w:val="en-GB"/>
        </w:rPr>
      </w:pPr>
    </w:p>
    <w:p w14:paraId="62ED8B57" w14:textId="61BB5484" w:rsidR="00A07A2E" w:rsidRPr="00DD5245" w:rsidRDefault="0040546F" w:rsidP="00707674">
      <w:pPr>
        <w:adjustRightInd w:val="0"/>
        <w:snapToGrid w:val="0"/>
        <w:spacing w:after="0" w:line="360" w:lineRule="auto"/>
        <w:jc w:val="both"/>
        <w:rPr>
          <w:rFonts w:ascii="Book Antiqua" w:hAnsi="Book Antiqua"/>
          <w:b/>
          <w:bCs/>
          <w:sz w:val="24"/>
          <w:szCs w:val="24"/>
          <w:lang w:val="en-GB"/>
        </w:rPr>
      </w:pPr>
      <w:bookmarkStart w:id="6" w:name="_Hlk3233022"/>
      <w:r w:rsidRPr="00DD5245">
        <w:rPr>
          <w:rFonts w:ascii="Book Antiqua" w:hAnsi="Book Antiqua"/>
          <w:b/>
          <w:bCs/>
          <w:sz w:val="24"/>
          <w:szCs w:val="24"/>
          <w:lang w:val="en-GB"/>
        </w:rPr>
        <w:t>Myocardial infarction with non</w:t>
      </w:r>
      <w:r w:rsidR="00E90D25" w:rsidRPr="00DD5245">
        <w:rPr>
          <w:rFonts w:ascii="Book Antiqua" w:hAnsi="Book Antiqua"/>
          <w:b/>
          <w:bCs/>
          <w:sz w:val="24"/>
          <w:szCs w:val="24"/>
          <w:lang w:val="en-GB"/>
        </w:rPr>
        <w:t>-</w:t>
      </w:r>
      <w:r w:rsidRPr="00DD5245">
        <w:rPr>
          <w:rFonts w:ascii="Book Antiqua" w:hAnsi="Book Antiqua"/>
          <w:b/>
          <w:bCs/>
          <w:sz w:val="24"/>
          <w:szCs w:val="24"/>
          <w:lang w:val="en-GB"/>
        </w:rPr>
        <w:t>obstructive coronary arteries: A comprehensive review and future research directions</w:t>
      </w:r>
    </w:p>
    <w:p w14:paraId="7ABF596B" w14:textId="77777777" w:rsidR="00707674" w:rsidRPr="00DD5245" w:rsidRDefault="00707674" w:rsidP="00707674">
      <w:pPr>
        <w:adjustRightInd w:val="0"/>
        <w:snapToGrid w:val="0"/>
        <w:spacing w:after="0" w:line="360" w:lineRule="auto"/>
        <w:jc w:val="both"/>
        <w:rPr>
          <w:rFonts w:ascii="Book Antiqua" w:hAnsi="Book Antiqua"/>
          <w:b/>
          <w:bCs/>
          <w:sz w:val="24"/>
          <w:szCs w:val="24"/>
          <w:lang w:val="en-GB"/>
        </w:rPr>
      </w:pPr>
    </w:p>
    <w:p w14:paraId="4E07873C" w14:textId="3F0137ED" w:rsidR="00972EC7" w:rsidRPr="00DD5245" w:rsidRDefault="00627A49" w:rsidP="00707674">
      <w:pPr>
        <w:adjustRightInd w:val="0"/>
        <w:snapToGrid w:val="0"/>
        <w:spacing w:after="0" w:line="360" w:lineRule="auto"/>
        <w:jc w:val="both"/>
        <w:rPr>
          <w:rFonts w:ascii="Book Antiqua" w:hAnsi="Book Antiqua"/>
          <w:sz w:val="24"/>
          <w:szCs w:val="24"/>
        </w:rPr>
      </w:pPr>
      <w:r w:rsidRPr="00DD5245">
        <w:rPr>
          <w:rFonts w:ascii="Book Antiqua" w:hAnsi="Book Antiqua"/>
          <w:sz w:val="24"/>
          <w:szCs w:val="24"/>
          <w:lang w:val="en-GB"/>
        </w:rPr>
        <w:t xml:space="preserve">Vidal-Perez R </w:t>
      </w:r>
      <w:r w:rsidR="006B5099" w:rsidRPr="00DD5245">
        <w:rPr>
          <w:rFonts w:ascii="Book Antiqua" w:hAnsi="Book Antiqua"/>
          <w:i/>
          <w:sz w:val="24"/>
          <w:szCs w:val="24"/>
          <w:lang w:val="en-GB"/>
        </w:rPr>
        <w:t>et al</w:t>
      </w:r>
      <w:r w:rsidR="00A56858" w:rsidRPr="00DD5245">
        <w:rPr>
          <w:rFonts w:ascii="Book Antiqua" w:hAnsi="Book Antiqua"/>
          <w:i/>
          <w:sz w:val="24"/>
          <w:szCs w:val="24"/>
          <w:lang w:val="en-GB"/>
        </w:rPr>
        <w:t>.</w:t>
      </w:r>
      <w:r w:rsidR="00150F1C" w:rsidRPr="00DD5245">
        <w:rPr>
          <w:rFonts w:ascii="Book Antiqua" w:hAnsi="Book Antiqua"/>
          <w:sz w:val="24"/>
          <w:szCs w:val="24"/>
          <w:lang w:val="en-GB"/>
        </w:rPr>
        <w:t xml:space="preserve"> </w:t>
      </w:r>
      <w:r w:rsidR="00150F1C" w:rsidRPr="00DD5245">
        <w:rPr>
          <w:rFonts w:ascii="Book Antiqua" w:hAnsi="Book Antiqua"/>
          <w:sz w:val="24"/>
          <w:szCs w:val="24"/>
        </w:rPr>
        <w:t>MINOCA a comprehensive review</w:t>
      </w:r>
    </w:p>
    <w:p w14:paraId="27143019" w14:textId="77777777" w:rsidR="00707674" w:rsidRPr="00DD5245" w:rsidRDefault="00707674" w:rsidP="00707674">
      <w:pPr>
        <w:adjustRightInd w:val="0"/>
        <w:snapToGrid w:val="0"/>
        <w:spacing w:after="0" w:line="360" w:lineRule="auto"/>
        <w:jc w:val="both"/>
        <w:rPr>
          <w:rFonts w:ascii="Book Antiqua" w:hAnsi="Book Antiqua"/>
          <w:sz w:val="24"/>
          <w:szCs w:val="24"/>
        </w:rPr>
      </w:pPr>
    </w:p>
    <w:bookmarkEnd w:id="6"/>
    <w:p w14:paraId="11DBE197" w14:textId="31026FE1" w:rsidR="0040546F" w:rsidRPr="00DD5245" w:rsidRDefault="00466C5B" w:rsidP="00707674">
      <w:pPr>
        <w:adjustRightInd w:val="0"/>
        <w:snapToGrid w:val="0"/>
        <w:spacing w:after="0" w:line="360" w:lineRule="auto"/>
        <w:jc w:val="both"/>
        <w:rPr>
          <w:rFonts w:ascii="Book Antiqua" w:hAnsi="Book Antiqua"/>
          <w:noProof/>
          <w:sz w:val="24"/>
          <w:szCs w:val="24"/>
        </w:rPr>
      </w:pPr>
      <w:r w:rsidRPr="00DD5245">
        <w:rPr>
          <w:rFonts w:ascii="Book Antiqua" w:hAnsi="Book Antiqua"/>
          <w:noProof/>
          <w:sz w:val="24"/>
          <w:szCs w:val="24"/>
        </w:rPr>
        <w:t xml:space="preserve">Rafael Vidal-Perez, Charigan Abou Jokh Casas, </w:t>
      </w:r>
      <w:r w:rsidRPr="0051397A">
        <w:rPr>
          <w:rFonts w:ascii="Book Antiqua" w:hAnsi="Book Antiqua"/>
          <w:noProof/>
          <w:sz w:val="24"/>
          <w:szCs w:val="24"/>
        </w:rPr>
        <w:t xml:space="preserve">Rosa </w:t>
      </w:r>
      <w:r w:rsidR="00707674" w:rsidRPr="0051397A">
        <w:rPr>
          <w:rFonts w:ascii="Book Antiqua" w:hAnsi="Book Antiqua"/>
          <w:noProof/>
          <w:sz w:val="24"/>
          <w:szCs w:val="24"/>
        </w:rPr>
        <w:t xml:space="preserve">Maria </w:t>
      </w:r>
      <w:r w:rsidRPr="0051397A">
        <w:rPr>
          <w:rFonts w:ascii="Book Antiqua" w:hAnsi="Book Antiqua"/>
          <w:noProof/>
          <w:sz w:val="24"/>
          <w:szCs w:val="24"/>
        </w:rPr>
        <w:t>Agra-Bermejo,</w:t>
      </w:r>
      <w:r w:rsidRPr="00DD5245">
        <w:rPr>
          <w:rFonts w:ascii="Book Antiqua" w:hAnsi="Book Antiqua"/>
          <w:noProof/>
          <w:sz w:val="24"/>
          <w:szCs w:val="24"/>
        </w:rPr>
        <w:t xml:space="preserve"> </w:t>
      </w:r>
      <w:r w:rsidR="00707674" w:rsidRPr="00DD5245">
        <w:rPr>
          <w:rFonts w:ascii="Book Antiqua" w:hAnsi="Book Antiqua"/>
          <w:noProof/>
          <w:sz w:val="24"/>
          <w:szCs w:val="24"/>
        </w:rPr>
        <w:t>Belén</w:t>
      </w:r>
      <w:r w:rsidRPr="00DD5245">
        <w:rPr>
          <w:rFonts w:ascii="Book Antiqua" w:hAnsi="Book Antiqua"/>
          <w:noProof/>
          <w:sz w:val="24"/>
          <w:szCs w:val="24"/>
        </w:rPr>
        <w:t xml:space="preserve"> Alvarez-Alvarez, Julia Grapsa, Ricardo Fontes-Carvalho</w:t>
      </w:r>
      <w:r w:rsidR="00707674" w:rsidRPr="00DD5245">
        <w:rPr>
          <w:rFonts w:ascii="Book Antiqua" w:hAnsi="Book Antiqua" w:hint="eastAsia"/>
          <w:noProof/>
          <w:sz w:val="24"/>
          <w:szCs w:val="24"/>
          <w:lang w:eastAsia="zh-CN"/>
        </w:rPr>
        <w:t>,</w:t>
      </w:r>
      <w:r w:rsidRPr="00DD5245">
        <w:rPr>
          <w:rFonts w:ascii="Book Antiqua" w:hAnsi="Book Antiqua"/>
          <w:noProof/>
          <w:sz w:val="24"/>
          <w:szCs w:val="24"/>
        </w:rPr>
        <w:t xml:space="preserve"> Pedro Rigueiro Veloso, Jose Maria Garcia Acuña, Jose Ramon Gonzalez-Juanatey</w:t>
      </w:r>
    </w:p>
    <w:p w14:paraId="3EF89359" w14:textId="77777777" w:rsidR="00707674" w:rsidRPr="00DD5245" w:rsidRDefault="00707674" w:rsidP="00707674">
      <w:pPr>
        <w:adjustRightInd w:val="0"/>
        <w:snapToGrid w:val="0"/>
        <w:spacing w:after="0" w:line="360" w:lineRule="auto"/>
        <w:jc w:val="both"/>
        <w:rPr>
          <w:rFonts w:ascii="Book Antiqua" w:hAnsi="Book Antiqua"/>
          <w:noProof/>
          <w:sz w:val="24"/>
          <w:szCs w:val="24"/>
        </w:rPr>
      </w:pPr>
    </w:p>
    <w:p w14:paraId="36E61E72" w14:textId="0E019DB2" w:rsidR="00DD5245" w:rsidRPr="00DD5245" w:rsidRDefault="00DD5245" w:rsidP="00DD5245">
      <w:pPr>
        <w:spacing w:line="360" w:lineRule="auto"/>
        <w:jc w:val="both"/>
        <w:rPr>
          <w:rFonts w:ascii="Book Antiqua" w:hAnsi="Book Antiqua"/>
          <w:noProof/>
          <w:sz w:val="24"/>
          <w:szCs w:val="24"/>
        </w:rPr>
      </w:pPr>
      <w:r w:rsidRPr="00DD5245">
        <w:rPr>
          <w:rFonts w:ascii="Book Antiqua" w:hAnsi="Book Antiqua"/>
          <w:b/>
          <w:noProof/>
          <w:sz w:val="24"/>
          <w:szCs w:val="24"/>
        </w:rPr>
        <w:t xml:space="preserve">Rafael Vidal-Perez, Charigan Abou Jokh Casas, </w:t>
      </w:r>
      <w:r w:rsidR="00701A24" w:rsidRPr="00701A24">
        <w:rPr>
          <w:rFonts w:ascii="Book Antiqua" w:hAnsi="Book Antiqua"/>
          <w:b/>
          <w:noProof/>
          <w:sz w:val="24"/>
          <w:szCs w:val="24"/>
        </w:rPr>
        <w:t>Rosa Maria Agra-Bermejo, Bel</w:t>
      </w:r>
      <w:r w:rsidR="00B52E9B" w:rsidRPr="00B52E9B">
        <w:rPr>
          <w:rFonts w:ascii="Book Antiqua" w:hAnsi="Book Antiqua"/>
          <w:b/>
          <w:noProof/>
          <w:sz w:val="24"/>
          <w:szCs w:val="24"/>
        </w:rPr>
        <w:t>é</w:t>
      </w:r>
      <w:r w:rsidR="00701A24" w:rsidRPr="00701A24">
        <w:rPr>
          <w:rFonts w:ascii="Book Antiqua" w:hAnsi="Book Antiqua"/>
          <w:b/>
          <w:noProof/>
          <w:sz w:val="24"/>
          <w:szCs w:val="24"/>
        </w:rPr>
        <w:t>n Alvarez-Alvarez, Pedro Rigueiro Veloso, Jose Maria Garcia Acuña, Jose Ramon Gonzalez-Juanatey,</w:t>
      </w:r>
      <w:r w:rsidR="00701A24">
        <w:rPr>
          <w:rFonts w:ascii="Book Antiqua" w:hAnsi="Book Antiqua"/>
          <w:b/>
          <w:noProof/>
          <w:sz w:val="24"/>
          <w:szCs w:val="24"/>
        </w:rPr>
        <w:t xml:space="preserve"> </w:t>
      </w:r>
      <w:r w:rsidRPr="00701A24">
        <w:rPr>
          <w:rFonts w:ascii="Book Antiqua" w:hAnsi="Book Antiqua"/>
          <w:noProof/>
          <w:sz w:val="24"/>
          <w:szCs w:val="24"/>
        </w:rPr>
        <w:t xml:space="preserve">Cardiology </w:t>
      </w:r>
      <w:r w:rsidR="000B30D3" w:rsidRPr="00701A24">
        <w:rPr>
          <w:rFonts w:ascii="Book Antiqua" w:hAnsi="Book Antiqua"/>
          <w:noProof/>
          <w:sz w:val="24"/>
          <w:szCs w:val="24"/>
        </w:rPr>
        <w:t>D</w:t>
      </w:r>
      <w:r w:rsidRPr="00701A24">
        <w:rPr>
          <w:rFonts w:ascii="Book Antiqua" w:hAnsi="Book Antiqua"/>
          <w:noProof/>
          <w:sz w:val="24"/>
          <w:szCs w:val="24"/>
        </w:rPr>
        <w:t>epartment, Hospital Clinico Universitario de Santiago,</w:t>
      </w:r>
      <w:r w:rsidRPr="00DD5245">
        <w:rPr>
          <w:rFonts w:ascii="Book Antiqua" w:hAnsi="Book Antiqua"/>
          <w:noProof/>
          <w:sz w:val="24"/>
          <w:szCs w:val="24"/>
        </w:rPr>
        <w:t xml:space="preserve"> Santiago de Compostela</w:t>
      </w:r>
      <w:r w:rsidR="00B0328F">
        <w:rPr>
          <w:rFonts w:ascii="Book Antiqua" w:hAnsi="Book Antiqua"/>
          <w:noProof/>
          <w:sz w:val="24"/>
          <w:szCs w:val="24"/>
        </w:rPr>
        <w:t xml:space="preserve"> </w:t>
      </w:r>
      <w:r w:rsidR="00B0328F" w:rsidRPr="00DD5245">
        <w:rPr>
          <w:rFonts w:ascii="Book Antiqua" w:hAnsi="Book Antiqua"/>
          <w:noProof/>
          <w:sz w:val="24"/>
          <w:szCs w:val="24"/>
        </w:rPr>
        <w:t>15706</w:t>
      </w:r>
      <w:r w:rsidRPr="00DD5245">
        <w:rPr>
          <w:rFonts w:ascii="Book Antiqua" w:hAnsi="Book Antiqua"/>
          <w:noProof/>
          <w:sz w:val="24"/>
          <w:szCs w:val="24"/>
        </w:rPr>
        <w:t>, Spain</w:t>
      </w:r>
    </w:p>
    <w:p w14:paraId="352AD687" w14:textId="2063F652" w:rsidR="00DD5245" w:rsidRPr="00DD5245" w:rsidRDefault="00DD5245" w:rsidP="00DD5245">
      <w:pPr>
        <w:spacing w:line="360" w:lineRule="auto"/>
        <w:jc w:val="both"/>
        <w:rPr>
          <w:rFonts w:ascii="Book Antiqua" w:hAnsi="Book Antiqua"/>
          <w:noProof/>
          <w:sz w:val="24"/>
          <w:szCs w:val="24"/>
        </w:rPr>
      </w:pPr>
      <w:r w:rsidRPr="00DD5245">
        <w:rPr>
          <w:rFonts w:ascii="Book Antiqua" w:hAnsi="Book Antiqua"/>
          <w:b/>
          <w:noProof/>
          <w:sz w:val="24"/>
          <w:szCs w:val="24"/>
        </w:rPr>
        <w:t xml:space="preserve">Rosa </w:t>
      </w:r>
      <w:r w:rsidR="0051397A" w:rsidRPr="0051397A">
        <w:rPr>
          <w:rFonts w:ascii="Book Antiqua" w:hAnsi="Book Antiqua"/>
          <w:b/>
          <w:noProof/>
          <w:sz w:val="24"/>
          <w:szCs w:val="24"/>
        </w:rPr>
        <w:t xml:space="preserve">Maria </w:t>
      </w:r>
      <w:r w:rsidRPr="00DD5245">
        <w:rPr>
          <w:rFonts w:ascii="Book Antiqua" w:hAnsi="Book Antiqua"/>
          <w:b/>
          <w:noProof/>
          <w:sz w:val="24"/>
          <w:szCs w:val="24"/>
        </w:rPr>
        <w:t>Agra-Bermejo, Bel</w:t>
      </w:r>
      <w:r w:rsidR="00B52E9B" w:rsidRPr="00B52E9B">
        <w:rPr>
          <w:rFonts w:ascii="Book Antiqua" w:hAnsi="Book Antiqua"/>
          <w:b/>
          <w:noProof/>
          <w:sz w:val="24"/>
          <w:szCs w:val="24"/>
        </w:rPr>
        <w:t>é</w:t>
      </w:r>
      <w:r w:rsidRPr="00DD5245">
        <w:rPr>
          <w:rFonts w:ascii="Book Antiqua" w:hAnsi="Book Antiqua"/>
          <w:b/>
          <w:noProof/>
          <w:sz w:val="24"/>
          <w:szCs w:val="24"/>
        </w:rPr>
        <w:t>n Alvarez-Alvarez, Pedro Rigueiro Veloso, Jose Maria Garcia Acuña, Jose Ramon Gonzalez-Juanatey,</w:t>
      </w:r>
      <w:r w:rsidRPr="00DD5245">
        <w:rPr>
          <w:rFonts w:ascii="Book Antiqua" w:hAnsi="Book Antiqua"/>
          <w:noProof/>
          <w:sz w:val="24"/>
          <w:szCs w:val="24"/>
        </w:rPr>
        <w:t xml:space="preserve"> Centro de Investigación Biomédica en Red de Enfermedades Cardiovasculares (CIBERCV), Santiago de Compostela</w:t>
      </w:r>
      <w:r w:rsidR="00B0328F">
        <w:rPr>
          <w:rFonts w:ascii="Book Antiqua" w:hAnsi="Book Antiqua"/>
          <w:noProof/>
          <w:sz w:val="24"/>
          <w:szCs w:val="24"/>
        </w:rPr>
        <w:t xml:space="preserve"> </w:t>
      </w:r>
      <w:r w:rsidR="00B0328F" w:rsidRPr="00DD5245">
        <w:rPr>
          <w:rFonts w:ascii="Book Antiqua" w:hAnsi="Book Antiqua"/>
          <w:noProof/>
          <w:sz w:val="24"/>
          <w:szCs w:val="24"/>
        </w:rPr>
        <w:t>15706</w:t>
      </w:r>
      <w:r w:rsidRPr="00DD5245">
        <w:rPr>
          <w:rFonts w:ascii="Book Antiqua" w:hAnsi="Book Antiqua"/>
          <w:noProof/>
          <w:sz w:val="24"/>
          <w:szCs w:val="24"/>
        </w:rPr>
        <w:t>, Spain</w:t>
      </w:r>
    </w:p>
    <w:p w14:paraId="4774CE16" w14:textId="7FF0DF18" w:rsidR="00DD5245" w:rsidRPr="00DD5245" w:rsidRDefault="00DD5245" w:rsidP="00DD5245">
      <w:pPr>
        <w:spacing w:line="360" w:lineRule="auto"/>
        <w:jc w:val="both"/>
        <w:rPr>
          <w:rFonts w:ascii="Book Antiqua" w:hAnsi="Book Antiqua"/>
          <w:b/>
          <w:noProof/>
          <w:sz w:val="24"/>
          <w:szCs w:val="24"/>
          <w:lang w:val="en-GB"/>
        </w:rPr>
      </w:pPr>
      <w:r w:rsidRPr="00DD5245">
        <w:rPr>
          <w:rFonts w:ascii="Book Antiqua" w:hAnsi="Book Antiqua"/>
          <w:b/>
          <w:noProof/>
          <w:sz w:val="24"/>
          <w:szCs w:val="24"/>
          <w:lang w:val="en-GB"/>
        </w:rPr>
        <w:t xml:space="preserve">Julia Grapsa, </w:t>
      </w:r>
      <w:r w:rsidRPr="00DD5245">
        <w:rPr>
          <w:rFonts w:ascii="Book Antiqua" w:hAnsi="Book Antiqua"/>
          <w:noProof/>
          <w:sz w:val="24"/>
          <w:szCs w:val="24"/>
          <w:lang w:val="en-GB"/>
        </w:rPr>
        <w:t>Cardiology Department, St Bartholomew Hospital, Barts Health Trust, London</w:t>
      </w:r>
      <w:r w:rsidR="00B0328F" w:rsidRPr="00B0328F">
        <w:rPr>
          <w:rFonts w:ascii="Book Antiqua" w:hAnsi="Book Antiqua"/>
          <w:noProof/>
          <w:sz w:val="24"/>
          <w:szCs w:val="24"/>
          <w:lang w:val="en-GB"/>
        </w:rPr>
        <w:t xml:space="preserve"> </w:t>
      </w:r>
      <w:r w:rsidR="00B0328F" w:rsidRPr="00DD5245">
        <w:rPr>
          <w:rFonts w:ascii="Book Antiqua" w:hAnsi="Book Antiqua"/>
          <w:noProof/>
          <w:sz w:val="24"/>
          <w:szCs w:val="24"/>
          <w:lang w:val="en-GB"/>
        </w:rPr>
        <w:t>EC1A 7BE</w:t>
      </w:r>
      <w:r w:rsidRPr="00DD5245">
        <w:rPr>
          <w:rFonts w:ascii="Book Antiqua" w:hAnsi="Book Antiqua"/>
          <w:noProof/>
          <w:sz w:val="24"/>
          <w:szCs w:val="24"/>
          <w:lang w:val="en-GB"/>
        </w:rPr>
        <w:t>, United Kingdom</w:t>
      </w:r>
    </w:p>
    <w:p w14:paraId="6713020C" w14:textId="45479CE7" w:rsidR="00DD5245" w:rsidRPr="00DD5245" w:rsidRDefault="00DD5245" w:rsidP="00DD5245">
      <w:pPr>
        <w:spacing w:line="360" w:lineRule="auto"/>
        <w:jc w:val="both"/>
        <w:rPr>
          <w:rFonts w:ascii="Book Antiqua" w:hAnsi="Book Antiqua"/>
          <w:noProof/>
          <w:sz w:val="24"/>
          <w:szCs w:val="24"/>
          <w:lang w:val="en-GB"/>
        </w:rPr>
      </w:pPr>
      <w:r w:rsidRPr="00DD5245">
        <w:rPr>
          <w:rFonts w:ascii="Book Antiqua" w:hAnsi="Book Antiqua"/>
          <w:b/>
          <w:noProof/>
          <w:sz w:val="24"/>
          <w:szCs w:val="24"/>
          <w:lang w:val="en-GB"/>
        </w:rPr>
        <w:t xml:space="preserve">Ricardo Fontes-Carvalho, </w:t>
      </w:r>
      <w:r w:rsidRPr="00DD5245">
        <w:rPr>
          <w:rFonts w:ascii="Book Antiqua" w:hAnsi="Book Antiqua"/>
          <w:noProof/>
          <w:sz w:val="24"/>
          <w:szCs w:val="24"/>
          <w:lang w:val="en-GB"/>
        </w:rPr>
        <w:t>Cardiology Department, Centro Hospitalar Gaia, Vila Nova Gaia</w:t>
      </w:r>
      <w:r w:rsidR="00B0328F">
        <w:rPr>
          <w:rFonts w:ascii="Book Antiqua" w:hAnsi="Book Antiqua"/>
          <w:noProof/>
          <w:sz w:val="24"/>
          <w:szCs w:val="24"/>
          <w:lang w:val="en-GB"/>
        </w:rPr>
        <w:t xml:space="preserve"> </w:t>
      </w:r>
      <w:r w:rsidR="00B0328F" w:rsidRPr="00DD5245">
        <w:rPr>
          <w:rFonts w:ascii="Book Antiqua" w:hAnsi="Book Antiqua"/>
          <w:noProof/>
          <w:sz w:val="24"/>
          <w:szCs w:val="24"/>
          <w:lang w:val="en-GB"/>
        </w:rPr>
        <w:t>4434-502</w:t>
      </w:r>
      <w:r w:rsidRPr="00DD5245">
        <w:rPr>
          <w:rFonts w:ascii="Book Antiqua" w:hAnsi="Book Antiqua"/>
          <w:noProof/>
          <w:sz w:val="24"/>
          <w:szCs w:val="24"/>
          <w:lang w:val="en-GB"/>
        </w:rPr>
        <w:t xml:space="preserve">, Portugal </w:t>
      </w:r>
    </w:p>
    <w:p w14:paraId="5F428151" w14:textId="6D292247" w:rsidR="00DD5245" w:rsidRPr="00DD5245" w:rsidRDefault="00DD5245" w:rsidP="00DD5245">
      <w:pPr>
        <w:spacing w:line="360" w:lineRule="auto"/>
        <w:jc w:val="both"/>
        <w:rPr>
          <w:rFonts w:ascii="Book Antiqua" w:hAnsi="Book Antiqua"/>
          <w:noProof/>
          <w:sz w:val="24"/>
          <w:szCs w:val="24"/>
          <w:lang w:val="en-GB"/>
        </w:rPr>
      </w:pPr>
      <w:r w:rsidRPr="00DD5245">
        <w:rPr>
          <w:rFonts w:ascii="Book Antiqua" w:hAnsi="Book Antiqua"/>
          <w:b/>
          <w:noProof/>
          <w:sz w:val="24"/>
          <w:szCs w:val="24"/>
          <w:lang w:val="en-GB"/>
        </w:rPr>
        <w:t>Ricardo Fontes-Carvalho,</w:t>
      </w:r>
      <w:r w:rsidRPr="00DD5245">
        <w:rPr>
          <w:rFonts w:ascii="Book Antiqua" w:hAnsi="Book Antiqua"/>
          <w:noProof/>
          <w:sz w:val="24"/>
          <w:szCs w:val="24"/>
          <w:lang w:val="en-GB"/>
        </w:rPr>
        <w:t xml:space="preserve"> Faculty of Medicine University of Porto, Porto</w:t>
      </w:r>
      <w:r w:rsidR="00B0328F">
        <w:rPr>
          <w:rFonts w:ascii="Book Antiqua" w:hAnsi="Book Antiqua"/>
          <w:noProof/>
          <w:sz w:val="24"/>
          <w:szCs w:val="24"/>
          <w:lang w:val="en-GB"/>
        </w:rPr>
        <w:t xml:space="preserve"> </w:t>
      </w:r>
      <w:r w:rsidR="00B0328F" w:rsidRPr="00DD5245">
        <w:rPr>
          <w:rFonts w:ascii="Book Antiqua" w:hAnsi="Book Antiqua" w:cs="Arial"/>
          <w:color w:val="222222"/>
          <w:sz w:val="24"/>
          <w:szCs w:val="24"/>
          <w:shd w:val="clear" w:color="auto" w:fill="FFFFFF"/>
          <w:lang w:val="en-US"/>
        </w:rPr>
        <w:t>4200-319</w:t>
      </w:r>
      <w:r w:rsidRPr="00DD5245">
        <w:rPr>
          <w:rFonts w:ascii="Book Antiqua" w:hAnsi="Book Antiqua"/>
          <w:noProof/>
          <w:sz w:val="24"/>
          <w:szCs w:val="24"/>
          <w:lang w:val="en-GB"/>
        </w:rPr>
        <w:t>, Portugal</w:t>
      </w:r>
    </w:p>
    <w:p w14:paraId="74637997" w14:textId="77777777" w:rsidR="006D48B7" w:rsidRPr="00DD5245" w:rsidRDefault="006D48B7" w:rsidP="00707674">
      <w:pPr>
        <w:adjustRightInd w:val="0"/>
        <w:snapToGrid w:val="0"/>
        <w:spacing w:after="0" w:line="360" w:lineRule="auto"/>
        <w:jc w:val="both"/>
        <w:rPr>
          <w:rFonts w:ascii="Book Antiqua" w:hAnsi="Book Antiqua"/>
          <w:noProof/>
          <w:sz w:val="24"/>
          <w:szCs w:val="24"/>
          <w:lang w:val="en-GB"/>
        </w:rPr>
      </w:pPr>
    </w:p>
    <w:p w14:paraId="3E1C23C2" w14:textId="2DDD7377" w:rsidR="0095392C" w:rsidRPr="00DD5245" w:rsidRDefault="00150F1C" w:rsidP="00707674">
      <w:pPr>
        <w:adjustRightInd w:val="0"/>
        <w:snapToGrid w:val="0"/>
        <w:spacing w:after="0" w:line="360" w:lineRule="auto"/>
        <w:jc w:val="both"/>
        <w:rPr>
          <w:rFonts w:ascii="Book Antiqua" w:hAnsi="Book Antiqua"/>
          <w:noProof/>
          <w:sz w:val="24"/>
          <w:szCs w:val="24"/>
          <w:lang w:eastAsia="zh-CN"/>
        </w:rPr>
      </w:pPr>
      <w:r w:rsidRPr="00DD5245">
        <w:rPr>
          <w:rFonts w:ascii="Book Antiqua" w:hAnsi="Book Antiqua"/>
          <w:b/>
          <w:noProof/>
          <w:sz w:val="24"/>
          <w:szCs w:val="24"/>
        </w:rPr>
        <w:t>ORCID number</w:t>
      </w:r>
      <w:r w:rsidR="001F4A45" w:rsidRPr="00DD5245">
        <w:rPr>
          <w:rFonts w:ascii="Book Antiqua" w:hAnsi="Book Antiqua"/>
          <w:b/>
          <w:bCs/>
          <w:noProof/>
          <w:sz w:val="24"/>
          <w:szCs w:val="24"/>
        </w:rPr>
        <w:t>:</w:t>
      </w:r>
      <w:r w:rsidR="001F4A45" w:rsidRPr="00DD5245">
        <w:rPr>
          <w:rFonts w:ascii="Book Antiqua" w:hAnsi="Book Antiqua"/>
          <w:noProof/>
          <w:sz w:val="24"/>
          <w:szCs w:val="24"/>
        </w:rPr>
        <w:t xml:space="preserve"> Rafael Vidal-Perez (</w:t>
      </w:r>
      <w:hyperlink r:id="rId9" w:history="1">
        <w:r w:rsidRPr="00DD5245">
          <w:rPr>
            <w:rStyle w:val="a5"/>
            <w:rFonts w:ascii="Book Antiqua" w:hAnsi="Book Antiqua"/>
            <w:noProof/>
            <w:color w:val="auto"/>
            <w:sz w:val="24"/>
            <w:szCs w:val="24"/>
            <w:u w:val="none"/>
          </w:rPr>
          <w:t>0000-0001-9944-8363</w:t>
        </w:r>
      </w:hyperlink>
      <w:r w:rsidR="001C19B2" w:rsidRPr="00DD5245">
        <w:rPr>
          <w:rFonts w:ascii="Book Antiqua" w:hAnsi="Book Antiqua"/>
          <w:noProof/>
          <w:sz w:val="24"/>
          <w:szCs w:val="24"/>
        </w:rPr>
        <w:t>); Charigan Abou Jokh Casas (</w:t>
      </w:r>
      <w:hyperlink r:id="rId10" w:history="1">
        <w:r w:rsidR="001C19B2" w:rsidRPr="00DD5245">
          <w:rPr>
            <w:rStyle w:val="a5"/>
            <w:rFonts w:ascii="Book Antiqua" w:hAnsi="Book Antiqua"/>
            <w:noProof/>
            <w:color w:val="auto"/>
            <w:sz w:val="24"/>
            <w:szCs w:val="24"/>
            <w:u w:val="none"/>
          </w:rPr>
          <w:t>0000-0002-2005-6322</w:t>
        </w:r>
      </w:hyperlink>
      <w:r w:rsidR="001C19B2" w:rsidRPr="00DD5245">
        <w:rPr>
          <w:rFonts w:ascii="Book Antiqua" w:hAnsi="Book Antiqua"/>
          <w:noProof/>
          <w:sz w:val="24"/>
          <w:szCs w:val="24"/>
        </w:rPr>
        <w:t>); Rosa</w:t>
      </w:r>
      <w:r w:rsidR="0070434B" w:rsidRPr="00DD5245">
        <w:rPr>
          <w:rFonts w:ascii="Book Antiqua" w:hAnsi="Book Antiqua"/>
          <w:b/>
          <w:bCs/>
          <w:noProof/>
          <w:sz w:val="24"/>
          <w:szCs w:val="24"/>
        </w:rPr>
        <w:t xml:space="preserve"> </w:t>
      </w:r>
      <w:r w:rsidR="0070434B" w:rsidRPr="00DD5245">
        <w:rPr>
          <w:rFonts w:ascii="Book Antiqua" w:hAnsi="Book Antiqua"/>
          <w:noProof/>
          <w:sz w:val="24"/>
          <w:szCs w:val="24"/>
        </w:rPr>
        <w:t>Maria</w:t>
      </w:r>
      <w:r w:rsidR="001C19B2" w:rsidRPr="00DD5245">
        <w:rPr>
          <w:rFonts w:ascii="Book Antiqua" w:hAnsi="Book Antiqua"/>
          <w:noProof/>
          <w:sz w:val="24"/>
          <w:szCs w:val="24"/>
        </w:rPr>
        <w:t xml:space="preserve"> Agra-Bermejo (</w:t>
      </w:r>
      <w:hyperlink r:id="rId11" w:history="1">
        <w:r w:rsidR="001C19B2" w:rsidRPr="00DD5245">
          <w:rPr>
            <w:rStyle w:val="a5"/>
            <w:rFonts w:ascii="Book Antiqua" w:hAnsi="Book Antiqua"/>
            <w:noProof/>
            <w:color w:val="auto"/>
            <w:sz w:val="24"/>
            <w:szCs w:val="24"/>
            <w:u w:val="none"/>
          </w:rPr>
          <w:t>0000-0002-7244-9099</w:t>
        </w:r>
      </w:hyperlink>
      <w:r w:rsidR="00972EC7" w:rsidRPr="00DD5245">
        <w:rPr>
          <w:rFonts w:ascii="Book Antiqua" w:hAnsi="Book Antiqua"/>
          <w:noProof/>
          <w:sz w:val="24"/>
          <w:szCs w:val="24"/>
        </w:rPr>
        <w:t>); Belen Alvarez-Alvarez (</w:t>
      </w:r>
      <w:hyperlink r:id="rId12" w:history="1">
        <w:r w:rsidR="00972EC7" w:rsidRPr="00DD5245">
          <w:rPr>
            <w:rStyle w:val="a5"/>
            <w:rFonts w:ascii="Book Antiqua" w:hAnsi="Book Antiqua" w:cs="Arial"/>
            <w:noProof/>
            <w:color w:val="auto"/>
            <w:sz w:val="24"/>
            <w:szCs w:val="24"/>
            <w:u w:val="none"/>
            <w:shd w:val="clear" w:color="auto" w:fill="FFFFFF"/>
          </w:rPr>
          <w:t>0000-0003-0851-7728</w:t>
        </w:r>
      </w:hyperlink>
      <w:r w:rsidR="00972EC7" w:rsidRPr="00DD5245">
        <w:rPr>
          <w:rFonts w:ascii="Book Antiqua" w:hAnsi="Book Antiqua" w:cs="Arial"/>
          <w:noProof/>
          <w:sz w:val="24"/>
          <w:szCs w:val="24"/>
          <w:shd w:val="clear" w:color="auto" w:fill="FFFFFF"/>
        </w:rPr>
        <w:t xml:space="preserve">); </w:t>
      </w:r>
      <w:r w:rsidR="00972EC7" w:rsidRPr="00DD5245">
        <w:rPr>
          <w:rFonts w:ascii="Book Antiqua" w:hAnsi="Book Antiqua"/>
          <w:noProof/>
          <w:sz w:val="24"/>
          <w:szCs w:val="24"/>
        </w:rPr>
        <w:t>Julia Grapsa</w:t>
      </w:r>
      <w:r w:rsidRPr="00DD5245">
        <w:rPr>
          <w:rFonts w:ascii="Book Antiqua" w:eastAsia="宋体" w:hAnsi="Book Antiqua" w:cs="Times New Roman"/>
          <w:noProof/>
          <w:sz w:val="24"/>
          <w:szCs w:val="24"/>
        </w:rPr>
        <w:t xml:space="preserve"> </w:t>
      </w:r>
      <w:r w:rsidR="00972EC7" w:rsidRPr="00DD5245">
        <w:rPr>
          <w:rFonts w:ascii="Book Antiqua" w:hAnsi="Book Antiqua"/>
          <w:noProof/>
          <w:sz w:val="24"/>
          <w:szCs w:val="24"/>
        </w:rPr>
        <w:t>(</w:t>
      </w:r>
      <w:hyperlink r:id="rId13" w:history="1">
        <w:r w:rsidR="00972EC7" w:rsidRPr="00DD5245">
          <w:rPr>
            <w:rStyle w:val="a5"/>
            <w:rFonts w:ascii="Book Antiqua" w:hAnsi="Book Antiqua"/>
            <w:noProof/>
            <w:color w:val="auto"/>
            <w:sz w:val="24"/>
            <w:szCs w:val="24"/>
            <w:u w:val="none"/>
          </w:rPr>
          <w:t>0000-0003-4620-6234</w:t>
        </w:r>
      </w:hyperlink>
      <w:r w:rsidR="00972EC7" w:rsidRPr="00DD5245">
        <w:rPr>
          <w:rFonts w:ascii="Book Antiqua" w:hAnsi="Book Antiqua"/>
          <w:noProof/>
          <w:sz w:val="24"/>
          <w:szCs w:val="24"/>
        </w:rPr>
        <w:t>); Ricardo Fontes-Carvalho (</w:t>
      </w:r>
      <w:hyperlink r:id="rId14" w:history="1">
        <w:r w:rsidR="00972EC7" w:rsidRPr="00DD5245">
          <w:rPr>
            <w:rStyle w:val="a5"/>
            <w:rFonts w:ascii="Book Antiqua" w:hAnsi="Book Antiqua"/>
            <w:noProof/>
            <w:color w:val="auto"/>
            <w:sz w:val="24"/>
            <w:szCs w:val="24"/>
            <w:u w:val="none"/>
          </w:rPr>
          <w:t>0000-0003-2306-8393</w:t>
        </w:r>
      </w:hyperlink>
      <w:r w:rsidR="00972EC7" w:rsidRPr="00DD5245">
        <w:rPr>
          <w:rFonts w:ascii="Book Antiqua" w:hAnsi="Book Antiqua"/>
          <w:noProof/>
          <w:sz w:val="24"/>
          <w:szCs w:val="24"/>
        </w:rPr>
        <w:t>)</w:t>
      </w:r>
      <w:r w:rsidR="0070434B" w:rsidRPr="00DD5245">
        <w:rPr>
          <w:rFonts w:ascii="Book Antiqua" w:hAnsi="Book Antiqua"/>
          <w:noProof/>
          <w:sz w:val="24"/>
          <w:szCs w:val="24"/>
        </w:rPr>
        <w:t>;</w:t>
      </w:r>
      <w:r w:rsidR="00972EC7" w:rsidRPr="00DD5245">
        <w:rPr>
          <w:rFonts w:ascii="Book Antiqua" w:hAnsi="Book Antiqua" w:cs="Arial"/>
          <w:noProof/>
          <w:sz w:val="24"/>
          <w:szCs w:val="24"/>
          <w:shd w:val="clear" w:color="auto" w:fill="FFFFFF"/>
        </w:rPr>
        <w:t xml:space="preserve"> </w:t>
      </w:r>
      <w:r w:rsidR="00972EC7" w:rsidRPr="00DD5245">
        <w:rPr>
          <w:rFonts w:ascii="Book Antiqua" w:hAnsi="Book Antiqua"/>
          <w:noProof/>
          <w:sz w:val="24"/>
          <w:szCs w:val="24"/>
        </w:rPr>
        <w:t>Pedro Rigueiro Veloso (</w:t>
      </w:r>
      <w:hyperlink r:id="rId15" w:history="1">
        <w:r w:rsidR="00972EC7" w:rsidRPr="00DD5245">
          <w:rPr>
            <w:rStyle w:val="a5"/>
            <w:rFonts w:ascii="Book Antiqua" w:hAnsi="Book Antiqua"/>
            <w:noProof/>
            <w:color w:val="auto"/>
            <w:sz w:val="24"/>
            <w:szCs w:val="24"/>
            <w:u w:val="none"/>
          </w:rPr>
          <w:t>0000-0003-1879-6601</w:t>
        </w:r>
      </w:hyperlink>
      <w:r w:rsidR="00972EC7" w:rsidRPr="00DD5245">
        <w:rPr>
          <w:rStyle w:val="a5"/>
          <w:rFonts w:ascii="Book Antiqua" w:hAnsi="Book Antiqua"/>
          <w:noProof/>
          <w:color w:val="auto"/>
          <w:sz w:val="24"/>
          <w:szCs w:val="24"/>
          <w:u w:val="none"/>
        </w:rPr>
        <w:t>)</w:t>
      </w:r>
      <w:r w:rsidR="00972EC7" w:rsidRPr="00DD5245">
        <w:rPr>
          <w:rFonts w:ascii="Book Antiqua" w:hAnsi="Book Antiqua"/>
          <w:noProof/>
          <w:sz w:val="24"/>
          <w:szCs w:val="24"/>
        </w:rPr>
        <w:t>; Jose Maria Garcia Acuña (</w:t>
      </w:r>
      <w:hyperlink r:id="rId16" w:history="1">
        <w:r w:rsidR="00972EC7" w:rsidRPr="00DD5245">
          <w:rPr>
            <w:rStyle w:val="a5"/>
            <w:rFonts w:ascii="Book Antiqua" w:hAnsi="Book Antiqua"/>
            <w:noProof/>
            <w:color w:val="auto"/>
            <w:sz w:val="24"/>
            <w:szCs w:val="24"/>
            <w:u w:val="none"/>
          </w:rPr>
          <w:t>0000-0003-0119</w:t>
        </w:r>
        <w:r w:rsidR="0070434B" w:rsidRPr="00DD5245">
          <w:rPr>
            <w:rStyle w:val="a5"/>
            <w:rFonts w:ascii="Book Antiqua" w:hAnsi="Book Antiqua"/>
            <w:noProof/>
            <w:color w:val="auto"/>
            <w:sz w:val="24"/>
            <w:szCs w:val="24"/>
            <w:u w:val="none"/>
          </w:rPr>
          <w:t>-</w:t>
        </w:r>
        <w:r w:rsidR="00972EC7" w:rsidRPr="00DD5245">
          <w:rPr>
            <w:rStyle w:val="a5"/>
            <w:rFonts w:ascii="Book Antiqua" w:hAnsi="Book Antiqua"/>
            <w:noProof/>
            <w:color w:val="auto"/>
            <w:sz w:val="24"/>
            <w:szCs w:val="24"/>
            <w:u w:val="none"/>
          </w:rPr>
          <w:t>1710</w:t>
        </w:r>
      </w:hyperlink>
      <w:r w:rsidR="006868A1" w:rsidRPr="00DD5245">
        <w:rPr>
          <w:rFonts w:ascii="Book Antiqua" w:hAnsi="Book Antiqua"/>
          <w:noProof/>
          <w:sz w:val="24"/>
          <w:szCs w:val="24"/>
        </w:rPr>
        <w:t>); Jose Ramón Gonzalez-Juanatey (</w:t>
      </w:r>
      <w:hyperlink r:id="rId17" w:history="1">
        <w:r w:rsidR="006868A1" w:rsidRPr="00DD5245">
          <w:rPr>
            <w:rStyle w:val="a5"/>
            <w:rFonts w:ascii="Book Antiqua" w:hAnsi="Book Antiqua"/>
            <w:noProof/>
            <w:color w:val="auto"/>
            <w:sz w:val="24"/>
            <w:szCs w:val="24"/>
            <w:u w:val="none"/>
          </w:rPr>
          <w:t>0000-0001-9681-3388</w:t>
        </w:r>
      </w:hyperlink>
      <w:r w:rsidR="006868A1" w:rsidRPr="00DD5245">
        <w:rPr>
          <w:rFonts w:ascii="Book Antiqua" w:hAnsi="Book Antiqua"/>
          <w:noProof/>
          <w:sz w:val="24"/>
          <w:szCs w:val="24"/>
        </w:rPr>
        <w:t>)</w:t>
      </w:r>
      <w:r w:rsidR="0070434B" w:rsidRPr="00DD5245">
        <w:rPr>
          <w:rFonts w:ascii="Book Antiqua" w:hAnsi="Book Antiqua" w:hint="eastAsia"/>
          <w:noProof/>
          <w:sz w:val="24"/>
          <w:szCs w:val="24"/>
          <w:lang w:eastAsia="zh-CN"/>
        </w:rPr>
        <w:t>.</w:t>
      </w:r>
    </w:p>
    <w:p w14:paraId="7FE6CA80" w14:textId="77777777" w:rsidR="0070434B" w:rsidRPr="00DD5245" w:rsidRDefault="0070434B" w:rsidP="00707674">
      <w:pPr>
        <w:adjustRightInd w:val="0"/>
        <w:snapToGrid w:val="0"/>
        <w:spacing w:after="0" w:line="360" w:lineRule="auto"/>
        <w:jc w:val="both"/>
        <w:rPr>
          <w:rFonts w:ascii="Book Antiqua" w:hAnsi="Book Antiqua"/>
          <w:noProof/>
          <w:sz w:val="24"/>
          <w:szCs w:val="24"/>
          <w:lang w:eastAsia="zh-CN"/>
        </w:rPr>
      </w:pPr>
    </w:p>
    <w:p w14:paraId="589490F5" w14:textId="04CDAEE6" w:rsidR="001F4A45" w:rsidRPr="00DD5245" w:rsidRDefault="00150F1C" w:rsidP="00707674">
      <w:pPr>
        <w:adjustRightInd w:val="0"/>
        <w:snapToGrid w:val="0"/>
        <w:spacing w:after="0" w:line="360" w:lineRule="auto"/>
        <w:jc w:val="both"/>
        <w:rPr>
          <w:rFonts w:ascii="Book Antiqua" w:hAnsi="Book Antiqua"/>
          <w:noProof/>
          <w:sz w:val="24"/>
          <w:szCs w:val="24"/>
          <w:lang w:val="en-GB"/>
        </w:rPr>
      </w:pPr>
      <w:r w:rsidRPr="00DD5245">
        <w:rPr>
          <w:rFonts w:ascii="Book Antiqua" w:hAnsi="Book Antiqua"/>
          <w:b/>
          <w:noProof/>
          <w:sz w:val="24"/>
          <w:szCs w:val="24"/>
          <w:lang w:val="en-GB"/>
        </w:rPr>
        <w:t>Author contribution</w:t>
      </w:r>
      <w:r w:rsidR="0070434B" w:rsidRPr="00DD5245">
        <w:rPr>
          <w:rFonts w:ascii="Book Antiqua" w:hAnsi="Book Antiqua"/>
          <w:b/>
          <w:noProof/>
          <w:sz w:val="24"/>
          <w:szCs w:val="24"/>
          <w:lang w:val="en-GB"/>
        </w:rPr>
        <w:t>s</w:t>
      </w:r>
      <w:r w:rsidRPr="00DD5245">
        <w:rPr>
          <w:rFonts w:ascii="Book Antiqua" w:hAnsi="Book Antiqua"/>
          <w:noProof/>
          <w:sz w:val="24"/>
          <w:szCs w:val="24"/>
          <w:lang w:val="en-GB"/>
        </w:rPr>
        <w:t>: Vidal-Perez R and Abou Jokh Casas C contributed equally to this work; Vidal-Perez R and Abou Jokh Casas C designed, edited and wrote the paper; Agra-Bermejo R</w:t>
      </w:r>
      <w:r w:rsidR="00DD1C79" w:rsidRPr="00DD5245">
        <w:rPr>
          <w:rFonts w:ascii="Book Antiqua" w:hAnsi="Book Antiqua"/>
          <w:noProof/>
          <w:sz w:val="24"/>
          <w:szCs w:val="24"/>
          <w:lang w:val="en-GB"/>
        </w:rPr>
        <w:t>M</w:t>
      </w:r>
      <w:r w:rsidRPr="00DD5245">
        <w:rPr>
          <w:rFonts w:ascii="Book Antiqua" w:hAnsi="Book Antiqua"/>
          <w:noProof/>
          <w:sz w:val="24"/>
          <w:szCs w:val="24"/>
          <w:lang w:val="en-GB"/>
        </w:rPr>
        <w:t>, Alvarez -Alvarez B, Grapsa J, Fontes-Carvalho R, Rigueiro Veloso P, Garcia Acuña JM and Gonzalez-Juanatey JR contributed to the critical revision and editing of the paper</w:t>
      </w:r>
      <w:r w:rsidR="00E90D25" w:rsidRPr="00DD5245">
        <w:rPr>
          <w:rFonts w:ascii="Book Antiqua" w:hAnsi="Book Antiqua"/>
          <w:noProof/>
          <w:sz w:val="24"/>
          <w:szCs w:val="24"/>
          <w:lang w:val="en-GB"/>
        </w:rPr>
        <w:t>.</w:t>
      </w:r>
    </w:p>
    <w:p w14:paraId="0A623956" w14:textId="77777777" w:rsidR="004419C5" w:rsidRPr="00DD5245" w:rsidRDefault="004419C5" w:rsidP="00707674">
      <w:pPr>
        <w:adjustRightInd w:val="0"/>
        <w:snapToGrid w:val="0"/>
        <w:spacing w:after="0" w:line="360" w:lineRule="auto"/>
        <w:jc w:val="both"/>
        <w:rPr>
          <w:rFonts w:ascii="Book Antiqua" w:hAnsi="Book Antiqua"/>
          <w:noProof/>
          <w:sz w:val="24"/>
          <w:szCs w:val="24"/>
          <w:lang w:val="en-GB"/>
        </w:rPr>
      </w:pPr>
    </w:p>
    <w:p w14:paraId="04273D43" w14:textId="71FF4B5E" w:rsidR="001F4A45" w:rsidRPr="00DD5245" w:rsidRDefault="00150F1C" w:rsidP="00707674">
      <w:pPr>
        <w:adjustRightInd w:val="0"/>
        <w:snapToGrid w:val="0"/>
        <w:spacing w:after="0" w:line="360" w:lineRule="auto"/>
        <w:jc w:val="both"/>
        <w:rPr>
          <w:rFonts w:ascii="Book Antiqua" w:hAnsi="Book Antiqua"/>
          <w:noProof/>
          <w:sz w:val="24"/>
          <w:szCs w:val="24"/>
          <w:lang w:val="en-GB"/>
        </w:rPr>
      </w:pPr>
      <w:r w:rsidRPr="00DD5245">
        <w:rPr>
          <w:rFonts w:ascii="Book Antiqua" w:hAnsi="Book Antiqua"/>
          <w:b/>
          <w:noProof/>
          <w:sz w:val="24"/>
          <w:szCs w:val="24"/>
          <w:lang w:val="en-GB"/>
        </w:rPr>
        <w:t>Conflict-of-interest statement:</w:t>
      </w:r>
      <w:r w:rsidRPr="00DD5245">
        <w:rPr>
          <w:rFonts w:ascii="Book Antiqua" w:hAnsi="Book Antiqua"/>
          <w:noProof/>
          <w:sz w:val="24"/>
          <w:szCs w:val="24"/>
          <w:lang w:val="en-GB"/>
        </w:rPr>
        <w:t xml:space="preserve"> No potential conflicts of interest.</w:t>
      </w:r>
    </w:p>
    <w:p w14:paraId="69FB5A5E" w14:textId="47761693" w:rsidR="000A0F66" w:rsidRPr="00DD5245" w:rsidRDefault="000A0F66" w:rsidP="00707674">
      <w:pPr>
        <w:adjustRightInd w:val="0"/>
        <w:snapToGrid w:val="0"/>
        <w:spacing w:after="0" w:line="360" w:lineRule="auto"/>
        <w:jc w:val="both"/>
        <w:rPr>
          <w:rFonts w:ascii="Book Antiqua" w:hAnsi="Book Antiqua"/>
          <w:noProof/>
          <w:sz w:val="24"/>
          <w:szCs w:val="24"/>
          <w:lang w:val="en-GB"/>
        </w:rPr>
      </w:pPr>
    </w:p>
    <w:p w14:paraId="2AFBAA86" w14:textId="77777777" w:rsidR="000A0F66" w:rsidRPr="00DD5245" w:rsidRDefault="000A0F66" w:rsidP="000A0F66">
      <w:pPr>
        <w:snapToGrid w:val="0"/>
        <w:spacing w:after="0" w:line="360" w:lineRule="auto"/>
        <w:jc w:val="both"/>
        <w:rPr>
          <w:rFonts w:ascii="Book Antiqua" w:eastAsia="宋体" w:hAnsi="Book Antiqua" w:cs="Times New Roman"/>
          <w:sz w:val="24"/>
          <w:szCs w:val="24"/>
          <w:lang w:val="en-US" w:eastAsia="zh-CN"/>
        </w:rPr>
      </w:pPr>
      <w:bookmarkStart w:id="7" w:name="OLE_LINK25"/>
      <w:bookmarkStart w:id="8" w:name="OLE_LINK26"/>
      <w:bookmarkStart w:id="9" w:name="OLE_LINK375"/>
      <w:bookmarkStart w:id="10" w:name="OLE_LINK32"/>
      <w:bookmarkStart w:id="11" w:name="OLE_LINK381"/>
      <w:bookmarkStart w:id="12" w:name="OLE_LINK413"/>
      <w:bookmarkStart w:id="13" w:name="OLE_LINK61"/>
      <w:bookmarkStart w:id="14" w:name="OLE_LINK615"/>
      <w:bookmarkStart w:id="15" w:name="OLE_LINK69"/>
      <w:bookmarkStart w:id="16" w:name="OLE_LINK140"/>
      <w:r w:rsidRPr="00DD5245">
        <w:rPr>
          <w:rFonts w:ascii="Book Antiqua" w:eastAsia="宋体" w:hAnsi="Book Antiqua" w:cs="Times New Roman"/>
          <w:b/>
          <w:color w:val="000000"/>
          <w:sz w:val="24"/>
          <w:szCs w:val="24"/>
          <w:lang w:val="en-US" w:eastAsia="zh-CN"/>
        </w:rPr>
        <w:t xml:space="preserve">Open-Access: </w:t>
      </w:r>
      <w:r w:rsidRPr="00DD5245">
        <w:rPr>
          <w:rFonts w:ascii="Book Antiqua" w:eastAsia="宋体" w:hAnsi="Book Antiqua" w:cs="Times New Roman"/>
          <w:color w:val="000000"/>
          <w:sz w:val="24"/>
          <w:szCs w:val="24"/>
          <w:lang w:val="en-US" w:eastAsia="zh-CN"/>
        </w:rPr>
        <w:t xml:space="preserve">This is an </w:t>
      </w:r>
      <w:r w:rsidRPr="00DD5245">
        <w:rPr>
          <w:rFonts w:ascii="Book Antiqua" w:eastAsia="宋体" w:hAnsi="Book Antiqua" w:cs="宋体"/>
          <w:sz w:val="24"/>
          <w:szCs w:val="24"/>
          <w:lang w:val="en-US" w:eastAsia="zh-CN"/>
        </w:rPr>
        <w:t xml:space="preserve">open-access article that was </w:t>
      </w:r>
      <w:r w:rsidRPr="00DD5245">
        <w:rPr>
          <w:rFonts w:ascii="Book Antiqua" w:eastAsia="宋体" w:hAnsi="Book Antiqua" w:cs="Times New Roman"/>
          <w:sz w:val="24"/>
          <w:szCs w:val="24"/>
          <w:lang w:val="en-US" w:eastAsia="zh-CN"/>
        </w:rPr>
        <w:t xml:space="preserve">selected by an in-house editor and fully peer-reviewed by external reviewers. It is </w:t>
      </w:r>
      <w:r w:rsidRPr="00DD5245">
        <w:rPr>
          <w:rFonts w:ascii="Book Antiqua" w:eastAsia="宋体" w:hAnsi="Book Antiqua" w:cs="宋体"/>
          <w:sz w:val="24"/>
          <w:szCs w:val="24"/>
          <w:lang w:val="en-US" w:eastAsia="zh-CN"/>
        </w:rPr>
        <w:t xml:space="preserve">distributed in accordance with </w:t>
      </w:r>
      <w:r w:rsidRPr="00DD5245">
        <w:rPr>
          <w:rFonts w:ascii="Book Antiqua" w:eastAsia="宋体" w:hAnsi="Book Antiqua" w:cs="Times New Roman"/>
          <w:sz w:val="24"/>
          <w:szCs w:val="24"/>
          <w:lang w:val="en-US"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8" w:history="1">
        <w:r w:rsidRPr="00DD5245">
          <w:rPr>
            <w:rFonts w:ascii="Book Antiqua" w:eastAsia="宋体" w:hAnsi="Book Antiqua" w:cs="Times New Roman"/>
            <w:color w:val="0000FF"/>
            <w:sz w:val="24"/>
            <w:szCs w:val="24"/>
            <w:u w:val="single"/>
            <w:lang w:val="en-US" w:eastAsia="zh-CN"/>
          </w:rPr>
          <w:t>http://creativecommons.org/licenses/by-nc/4.0/</w:t>
        </w:r>
      </w:hyperlink>
    </w:p>
    <w:p w14:paraId="13C9A5F5" w14:textId="77777777" w:rsidR="000A0F66" w:rsidRPr="00DD5245" w:rsidRDefault="000A0F66" w:rsidP="000A0F66">
      <w:pPr>
        <w:snapToGrid w:val="0"/>
        <w:spacing w:after="0" w:line="360" w:lineRule="auto"/>
        <w:jc w:val="both"/>
        <w:rPr>
          <w:rFonts w:ascii="Book Antiqua" w:eastAsia="宋体" w:hAnsi="Book Antiqua" w:cs="Times New Roman"/>
          <w:sz w:val="24"/>
          <w:szCs w:val="24"/>
          <w:lang w:val="en-US" w:eastAsia="zh-CN"/>
        </w:rPr>
      </w:pPr>
    </w:p>
    <w:p w14:paraId="184CEE9B" w14:textId="6CE27C36" w:rsidR="000A0F66" w:rsidRPr="00DD5245" w:rsidRDefault="000A0F66" w:rsidP="000A0F66">
      <w:pPr>
        <w:adjustRightInd w:val="0"/>
        <w:snapToGrid w:val="0"/>
        <w:spacing w:after="0" w:line="360" w:lineRule="auto"/>
        <w:jc w:val="both"/>
        <w:rPr>
          <w:rFonts w:ascii="Book Antiqua" w:eastAsia="宋体" w:hAnsi="Book Antiqua" w:cs="Times New Roman"/>
          <w:bCs/>
          <w:sz w:val="24"/>
          <w:szCs w:val="24"/>
          <w:lang w:val="en-US" w:eastAsia="zh-CN"/>
        </w:rPr>
      </w:pPr>
      <w:bookmarkStart w:id="17" w:name="OLE_LINK11"/>
      <w:r w:rsidRPr="00DD5245">
        <w:rPr>
          <w:rFonts w:ascii="Book Antiqua" w:eastAsia="宋体" w:hAnsi="Book Antiqua" w:cs="Times New Roman"/>
          <w:b/>
          <w:bCs/>
          <w:sz w:val="24"/>
          <w:szCs w:val="24"/>
          <w:lang w:val="en-US" w:eastAsia="zh-CN"/>
        </w:rPr>
        <w:t>Manuscript source:</w:t>
      </w:r>
      <w:r w:rsidRPr="00DD5245">
        <w:rPr>
          <w:rFonts w:ascii="Book Antiqua" w:eastAsia="宋体" w:hAnsi="Book Antiqua" w:cs="Times New Roman" w:hint="eastAsia"/>
          <w:b/>
          <w:bCs/>
          <w:sz w:val="24"/>
          <w:szCs w:val="24"/>
          <w:lang w:val="en-US" w:eastAsia="zh-CN"/>
        </w:rPr>
        <w:t xml:space="preserve"> </w:t>
      </w:r>
      <w:bookmarkEnd w:id="7"/>
      <w:bookmarkEnd w:id="8"/>
      <w:bookmarkEnd w:id="9"/>
      <w:bookmarkEnd w:id="10"/>
      <w:bookmarkEnd w:id="11"/>
      <w:bookmarkEnd w:id="12"/>
      <w:bookmarkEnd w:id="13"/>
      <w:bookmarkEnd w:id="14"/>
      <w:bookmarkEnd w:id="15"/>
      <w:bookmarkEnd w:id="16"/>
      <w:bookmarkEnd w:id="17"/>
      <w:r w:rsidR="008F4A11" w:rsidRPr="00DD5245">
        <w:rPr>
          <w:rFonts w:ascii="Book Antiqua" w:eastAsia="宋体" w:hAnsi="Book Antiqua" w:cs="Times New Roman"/>
          <w:bCs/>
          <w:sz w:val="24"/>
          <w:szCs w:val="24"/>
          <w:lang w:val="en-US" w:eastAsia="zh-CN"/>
        </w:rPr>
        <w:t>Invited Manuscript</w:t>
      </w:r>
    </w:p>
    <w:p w14:paraId="2BC93254" w14:textId="77777777" w:rsidR="000A0F66" w:rsidRPr="00DD5245" w:rsidRDefault="000A0F66" w:rsidP="000A0F66">
      <w:pPr>
        <w:adjustRightInd w:val="0"/>
        <w:snapToGrid w:val="0"/>
        <w:spacing w:after="0" w:line="360" w:lineRule="auto"/>
        <w:jc w:val="both"/>
        <w:rPr>
          <w:rFonts w:ascii="Book Antiqua" w:hAnsi="Book Antiqua"/>
          <w:noProof/>
          <w:sz w:val="24"/>
          <w:szCs w:val="24"/>
          <w:lang w:val="en-GB"/>
        </w:rPr>
      </w:pPr>
    </w:p>
    <w:p w14:paraId="7065F280" w14:textId="11A0D7F2" w:rsidR="00634AF0" w:rsidRPr="00DD5245" w:rsidRDefault="00150F1C" w:rsidP="00707674">
      <w:pPr>
        <w:adjustRightInd w:val="0"/>
        <w:snapToGrid w:val="0"/>
        <w:spacing w:after="0" w:line="360" w:lineRule="auto"/>
        <w:jc w:val="both"/>
        <w:rPr>
          <w:rFonts w:ascii="Book Antiqua" w:hAnsi="Book Antiqua"/>
          <w:noProof/>
          <w:sz w:val="24"/>
          <w:szCs w:val="24"/>
        </w:rPr>
      </w:pPr>
      <w:r w:rsidRPr="00DD5245">
        <w:rPr>
          <w:rFonts w:ascii="Book Antiqua" w:hAnsi="Book Antiqua"/>
          <w:b/>
          <w:noProof/>
          <w:sz w:val="24"/>
          <w:szCs w:val="24"/>
          <w:lang w:val="en-GB"/>
        </w:rPr>
        <w:t>Correspond</w:t>
      </w:r>
      <w:r w:rsidR="000A0F66" w:rsidRPr="00DD5245">
        <w:rPr>
          <w:rFonts w:ascii="Book Antiqua" w:hAnsi="Book Antiqua"/>
          <w:b/>
          <w:noProof/>
          <w:sz w:val="24"/>
          <w:szCs w:val="24"/>
          <w:lang w:val="en-GB"/>
        </w:rPr>
        <w:t>ing</w:t>
      </w:r>
      <w:r w:rsidRPr="00DD5245">
        <w:rPr>
          <w:rFonts w:ascii="Book Antiqua" w:hAnsi="Book Antiqua"/>
          <w:b/>
          <w:noProof/>
          <w:sz w:val="24"/>
          <w:szCs w:val="24"/>
          <w:lang w:val="en-GB"/>
        </w:rPr>
        <w:t xml:space="preserve"> </w:t>
      </w:r>
      <w:r w:rsidR="000A0F66" w:rsidRPr="00DD5245">
        <w:rPr>
          <w:rFonts w:ascii="Book Antiqua" w:hAnsi="Book Antiqua"/>
          <w:b/>
          <w:noProof/>
          <w:sz w:val="24"/>
          <w:szCs w:val="24"/>
          <w:lang w:val="en-GB"/>
        </w:rPr>
        <w:t>author</w:t>
      </w:r>
      <w:r w:rsidR="0040546F" w:rsidRPr="00DD5245">
        <w:rPr>
          <w:rFonts w:ascii="Book Antiqua" w:hAnsi="Book Antiqua"/>
          <w:b/>
          <w:bCs/>
          <w:noProof/>
          <w:sz w:val="24"/>
          <w:szCs w:val="24"/>
          <w:lang w:val="en-GB"/>
        </w:rPr>
        <w:t xml:space="preserve">: Rafael Vidal-Perez, </w:t>
      </w:r>
      <w:r w:rsidR="000A0F66" w:rsidRPr="00DD5245">
        <w:rPr>
          <w:rFonts w:ascii="Book Antiqua" w:hAnsi="Book Antiqua"/>
          <w:b/>
          <w:bCs/>
          <w:noProof/>
          <w:sz w:val="24"/>
          <w:szCs w:val="24"/>
          <w:lang w:val="en-GB"/>
        </w:rPr>
        <w:t>MD, PhD, Doctor, Reader (Associate Professor), Staff Physician</w:t>
      </w:r>
      <w:r w:rsidR="000A0F66" w:rsidRPr="00DD5245">
        <w:rPr>
          <w:rFonts w:ascii="Book Antiqua" w:hAnsi="Book Antiqua"/>
          <w:noProof/>
          <w:sz w:val="24"/>
          <w:szCs w:val="24"/>
          <w:lang w:val="en-GB"/>
        </w:rPr>
        <w:t xml:space="preserve">, </w:t>
      </w:r>
      <w:r w:rsidR="0040546F" w:rsidRPr="00DD5245">
        <w:rPr>
          <w:rFonts w:ascii="Book Antiqua" w:hAnsi="Book Antiqua"/>
          <w:noProof/>
          <w:sz w:val="24"/>
          <w:szCs w:val="24"/>
          <w:lang w:val="en-GB"/>
        </w:rPr>
        <w:t xml:space="preserve">Heart failure unit, Cardiology department, USC </w:t>
      </w:r>
      <w:r w:rsidR="0040546F" w:rsidRPr="00DD5245">
        <w:rPr>
          <w:rFonts w:ascii="Book Antiqua" w:hAnsi="Book Antiqua"/>
          <w:noProof/>
          <w:sz w:val="24"/>
          <w:szCs w:val="24"/>
          <w:lang w:val="en-GB"/>
        </w:rPr>
        <w:lastRenderedPageBreak/>
        <w:t>University Hospital Complex, Travesía da Choupana s/n,</w:t>
      </w:r>
      <w:r w:rsidR="000A0F66" w:rsidRPr="00DD5245">
        <w:rPr>
          <w:sz w:val="24"/>
          <w:szCs w:val="24"/>
        </w:rPr>
        <w:t xml:space="preserve"> </w:t>
      </w:r>
      <w:r w:rsidR="000A0F66" w:rsidRPr="00DD5245">
        <w:rPr>
          <w:rFonts w:ascii="Book Antiqua" w:hAnsi="Book Antiqua"/>
          <w:noProof/>
          <w:sz w:val="24"/>
          <w:szCs w:val="24"/>
          <w:lang w:val="en-GB"/>
        </w:rPr>
        <w:t>Santiago de Compostela,</w:t>
      </w:r>
      <w:r w:rsidR="0040546F" w:rsidRPr="00DD5245">
        <w:rPr>
          <w:rFonts w:ascii="Book Antiqua" w:hAnsi="Book Antiqua"/>
          <w:noProof/>
          <w:sz w:val="24"/>
          <w:szCs w:val="24"/>
          <w:lang w:val="en-GB"/>
        </w:rPr>
        <w:t xml:space="preserve"> </w:t>
      </w:r>
      <w:r w:rsidR="000A0F66" w:rsidRPr="00DD5245">
        <w:rPr>
          <w:rFonts w:ascii="Book Antiqua" w:hAnsi="Book Antiqua"/>
          <w:noProof/>
          <w:sz w:val="24"/>
          <w:szCs w:val="24"/>
          <w:lang w:val="en-GB"/>
        </w:rPr>
        <w:t>A Coruña</w:t>
      </w:r>
      <w:r w:rsidR="0040546F" w:rsidRPr="00DD5245">
        <w:rPr>
          <w:rFonts w:ascii="Book Antiqua" w:hAnsi="Book Antiqua"/>
          <w:noProof/>
          <w:sz w:val="24"/>
          <w:szCs w:val="24"/>
          <w:lang w:val="en-GB"/>
        </w:rPr>
        <w:t xml:space="preserve"> 15706, Spain. </w:t>
      </w:r>
      <w:hyperlink r:id="rId19" w:history="1">
        <w:r w:rsidR="0040546F" w:rsidRPr="00DD5245">
          <w:rPr>
            <w:rStyle w:val="a5"/>
            <w:rFonts w:ascii="Book Antiqua" w:hAnsi="Book Antiqua" w:cs="Arial"/>
            <w:noProof/>
            <w:color w:val="auto"/>
            <w:sz w:val="24"/>
            <w:szCs w:val="24"/>
          </w:rPr>
          <w:t>rafavidal@hotmail.com</w:t>
        </w:r>
      </w:hyperlink>
    </w:p>
    <w:p w14:paraId="12151D6D" w14:textId="77777777" w:rsidR="0040546F" w:rsidRPr="00DD5245" w:rsidRDefault="00150F1C" w:rsidP="00707674">
      <w:pPr>
        <w:adjustRightInd w:val="0"/>
        <w:snapToGrid w:val="0"/>
        <w:spacing w:after="0" w:line="360" w:lineRule="auto"/>
        <w:jc w:val="both"/>
        <w:rPr>
          <w:rFonts w:ascii="Book Antiqua" w:hAnsi="Book Antiqua"/>
          <w:b/>
          <w:sz w:val="24"/>
          <w:szCs w:val="24"/>
        </w:rPr>
      </w:pPr>
      <w:r w:rsidRPr="00DD5245">
        <w:rPr>
          <w:rFonts w:ascii="Book Antiqua" w:hAnsi="Book Antiqua"/>
          <w:b/>
          <w:sz w:val="24"/>
          <w:szCs w:val="24"/>
        </w:rPr>
        <w:t xml:space="preserve">Telephone: </w:t>
      </w:r>
      <w:r w:rsidRPr="00DD5245">
        <w:rPr>
          <w:rFonts w:ascii="Book Antiqua" w:hAnsi="Book Antiqua"/>
          <w:sz w:val="24"/>
          <w:szCs w:val="24"/>
        </w:rPr>
        <w:t>+34</w:t>
      </w:r>
      <w:r w:rsidRPr="00DD5245">
        <w:rPr>
          <w:rFonts w:ascii="Book Antiqua" w:hAnsi="Book Antiqua"/>
          <w:bCs/>
          <w:sz w:val="24"/>
          <w:szCs w:val="24"/>
        </w:rPr>
        <w:t>-</w:t>
      </w:r>
      <w:r w:rsidR="0094627D" w:rsidRPr="00DD5245">
        <w:rPr>
          <w:rFonts w:ascii="Book Antiqua" w:hAnsi="Book Antiqua"/>
          <w:sz w:val="24"/>
          <w:szCs w:val="24"/>
        </w:rPr>
        <w:t>981950757</w:t>
      </w:r>
    </w:p>
    <w:p w14:paraId="4F169B10" w14:textId="47C40C12" w:rsidR="001F4A45" w:rsidRPr="00DD5245" w:rsidRDefault="001F4A45" w:rsidP="00707674">
      <w:pPr>
        <w:adjustRightInd w:val="0"/>
        <w:snapToGrid w:val="0"/>
        <w:spacing w:after="0" w:line="360" w:lineRule="auto"/>
        <w:jc w:val="both"/>
        <w:rPr>
          <w:rFonts w:ascii="Book Antiqua" w:hAnsi="Book Antiqua"/>
          <w:sz w:val="24"/>
          <w:szCs w:val="24"/>
        </w:rPr>
      </w:pPr>
    </w:p>
    <w:p w14:paraId="32550548" w14:textId="45ECE072" w:rsidR="008F4A11" w:rsidRPr="00DD5245" w:rsidRDefault="008F4A11" w:rsidP="008F4A11">
      <w:pPr>
        <w:adjustRightInd w:val="0"/>
        <w:snapToGrid w:val="0"/>
        <w:spacing w:after="0" w:line="360" w:lineRule="auto"/>
        <w:jc w:val="both"/>
        <w:rPr>
          <w:rFonts w:ascii="Book Antiqua" w:eastAsia="宋体" w:hAnsi="Book Antiqua" w:cs="Times New Roman"/>
          <w:b/>
          <w:sz w:val="24"/>
          <w:szCs w:val="24"/>
          <w:lang w:val="en-US" w:eastAsia="zh-CN"/>
        </w:rPr>
      </w:pPr>
      <w:bookmarkStart w:id="18" w:name="OLE_LINK14"/>
      <w:bookmarkStart w:id="19" w:name="OLE_LINK16"/>
      <w:bookmarkStart w:id="20" w:name="OLE_LINK51"/>
      <w:bookmarkStart w:id="21" w:name="OLE_LINK27"/>
      <w:bookmarkStart w:id="22" w:name="OLE_LINK382"/>
      <w:bookmarkStart w:id="23" w:name="OLE_LINK30"/>
      <w:bookmarkStart w:id="24" w:name="OLE_LINK376"/>
      <w:bookmarkStart w:id="25" w:name="OLE_LINK35"/>
      <w:bookmarkStart w:id="26" w:name="OLE_LINK64"/>
      <w:bookmarkStart w:id="27" w:name="OLE_LINK616"/>
      <w:bookmarkStart w:id="28" w:name="OLE_LINK141"/>
      <w:r w:rsidRPr="00DD5245">
        <w:rPr>
          <w:rFonts w:ascii="Book Antiqua" w:eastAsia="宋体" w:hAnsi="Book Antiqua" w:cs="Times New Roman"/>
          <w:b/>
          <w:sz w:val="24"/>
          <w:szCs w:val="24"/>
          <w:lang w:val="en-US" w:eastAsia="zh-CN"/>
        </w:rPr>
        <w:t xml:space="preserve">Received: </w:t>
      </w:r>
      <w:r w:rsidRPr="00DD5245">
        <w:rPr>
          <w:rFonts w:ascii="Book Antiqua" w:eastAsia="宋体" w:hAnsi="Book Antiqua" w:cs="Times New Roman"/>
          <w:sz w:val="24"/>
          <w:szCs w:val="24"/>
          <w:lang w:val="en-US" w:eastAsia="zh-CN"/>
        </w:rPr>
        <w:t>March</w:t>
      </w:r>
      <w:r w:rsidRPr="00DD5245">
        <w:rPr>
          <w:rFonts w:ascii="Book Antiqua" w:eastAsia="DengXian" w:hAnsi="Book Antiqua" w:cs="Times New Roman"/>
          <w:sz w:val="24"/>
          <w:szCs w:val="24"/>
          <w:lang w:val="en-US" w:eastAsia="zh-CN"/>
        </w:rPr>
        <w:t xml:space="preserve"> 12, 2019</w:t>
      </w:r>
    </w:p>
    <w:p w14:paraId="02B85AB3" w14:textId="4023683B" w:rsidR="008F4A11" w:rsidRPr="00DD5245" w:rsidRDefault="008F4A11" w:rsidP="008F4A11">
      <w:pPr>
        <w:adjustRightInd w:val="0"/>
        <w:snapToGrid w:val="0"/>
        <w:spacing w:after="0" w:line="360" w:lineRule="auto"/>
        <w:jc w:val="both"/>
        <w:rPr>
          <w:rFonts w:ascii="Book Antiqua" w:eastAsia="DengXian" w:hAnsi="Book Antiqua" w:cs="Times New Roman"/>
          <w:b/>
          <w:sz w:val="24"/>
          <w:szCs w:val="24"/>
          <w:lang w:val="en-US" w:eastAsia="zh-CN"/>
        </w:rPr>
      </w:pPr>
      <w:r w:rsidRPr="00DD5245">
        <w:rPr>
          <w:rFonts w:ascii="Book Antiqua" w:eastAsia="宋体" w:hAnsi="Book Antiqua" w:cs="Times New Roman"/>
          <w:b/>
          <w:sz w:val="24"/>
          <w:szCs w:val="24"/>
          <w:lang w:val="en-US" w:eastAsia="zh-CN"/>
        </w:rPr>
        <w:t>Peer-review started:</w:t>
      </w:r>
      <w:r w:rsidRPr="00DD5245">
        <w:rPr>
          <w:rFonts w:ascii="Book Antiqua" w:eastAsia="DengXian" w:hAnsi="Book Antiqua" w:cs="Times New Roman"/>
          <w:b/>
          <w:sz w:val="24"/>
          <w:szCs w:val="24"/>
          <w:lang w:val="en-US" w:eastAsia="zh-CN"/>
        </w:rPr>
        <w:t xml:space="preserve"> </w:t>
      </w:r>
      <w:r w:rsidRPr="00DD5245">
        <w:rPr>
          <w:rFonts w:ascii="Book Antiqua" w:eastAsia="宋体" w:hAnsi="Book Antiqua" w:cs="Times New Roman"/>
          <w:sz w:val="24"/>
          <w:szCs w:val="24"/>
          <w:lang w:val="en-US" w:eastAsia="zh-CN"/>
        </w:rPr>
        <w:t>March 15</w:t>
      </w:r>
      <w:r w:rsidRPr="00DD5245">
        <w:rPr>
          <w:rFonts w:ascii="Book Antiqua" w:eastAsia="DengXian" w:hAnsi="Book Antiqua" w:cs="Times New Roman"/>
          <w:sz w:val="24"/>
          <w:szCs w:val="24"/>
          <w:lang w:val="en-US" w:eastAsia="zh-CN"/>
        </w:rPr>
        <w:t>, 2019</w:t>
      </w:r>
    </w:p>
    <w:p w14:paraId="757C39B3" w14:textId="2549F6F2" w:rsidR="008F4A11" w:rsidRPr="00DD5245" w:rsidRDefault="008F4A11" w:rsidP="008F4A11">
      <w:pPr>
        <w:adjustRightInd w:val="0"/>
        <w:snapToGrid w:val="0"/>
        <w:spacing w:after="0" w:line="360" w:lineRule="auto"/>
        <w:jc w:val="both"/>
        <w:rPr>
          <w:rFonts w:ascii="Book Antiqua" w:eastAsia="DengXian" w:hAnsi="Book Antiqua" w:cs="Times New Roman"/>
          <w:b/>
          <w:sz w:val="24"/>
          <w:szCs w:val="24"/>
          <w:lang w:val="en-US" w:eastAsia="zh-CN"/>
        </w:rPr>
      </w:pPr>
      <w:r w:rsidRPr="00DD5245">
        <w:rPr>
          <w:rFonts w:ascii="Book Antiqua" w:eastAsia="宋体" w:hAnsi="Book Antiqua" w:cs="Times New Roman"/>
          <w:b/>
          <w:sz w:val="24"/>
          <w:szCs w:val="24"/>
          <w:lang w:val="en-US" w:eastAsia="zh-CN"/>
        </w:rPr>
        <w:t>First decision:</w:t>
      </w:r>
      <w:r w:rsidRPr="00DD5245">
        <w:rPr>
          <w:rFonts w:ascii="Book Antiqua" w:eastAsia="DengXian" w:hAnsi="Book Antiqua" w:cs="Times New Roman"/>
          <w:b/>
          <w:sz w:val="24"/>
          <w:szCs w:val="24"/>
          <w:lang w:val="en-US" w:eastAsia="zh-CN"/>
        </w:rPr>
        <w:t xml:space="preserve"> </w:t>
      </w:r>
      <w:r w:rsidRPr="00DD5245">
        <w:rPr>
          <w:rFonts w:ascii="Book Antiqua" w:eastAsia="宋体" w:hAnsi="Book Antiqua" w:cs="Times New Roman"/>
          <w:sz w:val="24"/>
          <w:szCs w:val="24"/>
          <w:lang w:val="en-US" w:eastAsia="zh-CN"/>
        </w:rPr>
        <w:t>June</w:t>
      </w:r>
      <w:r w:rsidRPr="00DD5245">
        <w:rPr>
          <w:rFonts w:ascii="Book Antiqua" w:eastAsia="DengXian" w:hAnsi="Book Antiqua" w:cs="Times New Roman"/>
          <w:sz w:val="24"/>
          <w:szCs w:val="24"/>
          <w:lang w:val="en-US" w:eastAsia="zh-CN"/>
        </w:rPr>
        <w:t xml:space="preserve"> 6, 2019</w:t>
      </w:r>
    </w:p>
    <w:p w14:paraId="39BE7C78" w14:textId="06AF665A" w:rsidR="008F4A11" w:rsidRPr="00DD5245" w:rsidRDefault="008F4A11" w:rsidP="008F4A11">
      <w:pPr>
        <w:adjustRightInd w:val="0"/>
        <w:snapToGrid w:val="0"/>
        <w:spacing w:after="0" w:line="360" w:lineRule="auto"/>
        <w:jc w:val="both"/>
        <w:rPr>
          <w:rFonts w:ascii="Book Antiqua" w:eastAsia="宋体" w:hAnsi="Book Antiqua" w:cs="Times New Roman"/>
          <w:b/>
          <w:sz w:val="24"/>
          <w:szCs w:val="24"/>
          <w:lang w:val="en-US" w:eastAsia="zh-CN"/>
        </w:rPr>
      </w:pPr>
      <w:r w:rsidRPr="00DD5245">
        <w:rPr>
          <w:rFonts w:ascii="Book Antiqua" w:eastAsia="宋体" w:hAnsi="Book Antiqua" w:cs="Times New Roman"/>
          <w:b/>
          <w:sz w:val="24"/>
          <w:szCs w:val="24"/>
          <w:lang w:val="en-US" w:eastAsia="zh-CN"/>
        </w:rPr>
        <w:t xml:space="preserve">Revised: </w:t>
      </w:r>
      <w:r w:rsidRPr="00DD5245">
        <w:rPr>
          <w:rFonts w:ascii="Book Antiqua" w:eastAsia="宋体" w:hAnsi="Book Antiqua" w:cs="Times New Roman"/>
          <w:sz w:val="24"/>
          <w:szCs w:val="24"/>
          <w:lang w:val="en-US" w:eastAsia="zh-CN"/>
        </w:rPr>
        <w:t>September 17, 2019</w:t>
      </w:r>
    </w:p>
    <w:p w14:paraId="5BB9DC7C" w14:textId="1D3339DC" w:rsidR="008F4A11" w:rsidRPr="00DD5245" w:rsidRDefault="008F4A11" w:rsidP="008F4A11">
      <w:pPr>
        <w:adjustRightInd w:val="0"/>
        <w:snapToGrid w:val="0"/>
        <w:spacing w:after="0" w:line="360" w:lineRule="auto"/>
        <w:jc w:val="both"/>
        <w:rPr>
          <w:rFonts w:ascii="Book Antiqua" w:eastAsia="宋体" w:hAnsi="Book Antiqua" w:cs="Times New Roman"/>
          <w:b/>
          <w:sz w:val="24"/>
          <w:szCs w:val="24"/>
          <w:lang w:val="en-US" w:eastAsia="zh-CN"/>
        </w:rPr>
      </w:pPr>
      <w:r w:rsidRPr="00DD5245">
        <w:rPr>
          <w:rFonts w:ascii="Book Antiqua" w:eastAsia="宋体" w:hAnsi="Book Antiqua" w:cs="Times New Roman"/>
          <w:b/>
          <w:sz w:val="24"/>
          <w:szCs w:val="24"/>
          <w:lang w:val="en-US" w:eastAsia="zh-CN"/>
        </w:rPr>
        <w:t xml:space="preserve">Accepted: </w:t>
      </w:r>
      <w:r w:rsidR="00956DCA" w:rsidRPr="00956DCA">
        <w:rPr>
          <w:rFonts w:ascii="Book Antiqua" w:eastAsia="宋体" w:hAnsi="Book Antiqua" w:cs="Times New Roman"/>
          <w:sz w:val="24"/>
          <w:szCs w:val="24"/>
          <w:lang w:val="en-US" w:eastAsia="zh-CN"/>
        </w:rPr>
        <w:t>October 27, 2019</w:t>
      </w:r>
    </w:p>
    <w:p w14:paraId="044C7989" w14:textId="24EA0B85" w:rsidR="008F4A11" w:rsidRPr="00DD5245" w:rsidRDefault="008F4A11" w:rsidP="008F4A11">
      <w:pPr>
        <w:adjustRightInd w:val="0"/>
        <w:snapToGrid w:val="0"/>
        <w:spacing w:after="0" w:line="360" w:lineRule="auto"/>
        <w:jc w:val="both"/>
        <w:rPr>
          <w:rFonts w:ascii="Book Antiqua" w:eastAsia="宋体" w:hAnsi="Book Antiqua" w:cs="Times New Roman"/>
          <w:b/>
          <w:sz w:val="24"/>
          <w:szCs w:val="24"/>
          <w:lang w:val="en-US" w:eastAsia="zh-CN"/>
        </w:rPr>
      </w:pPr>
      <w:r w:rsidRPr="00DD5245">
        <w:rPr>
          <w:rFonts w:ascii="Book Antiqua" w:eastAsia="宋体" w:hAnsi="Book Antiqua" w:cs="Times New Roman"/>
          <w:b/>
          <w:sz w:val="24"/>
          <w:szCs w:val="24"/>
          <w:lang w:val="en-US" w:eastAsia="zh-CN"/>
        </w:rPr>
        <w:t>Article in press:</w:t>
      </w:r>
      <w:r w:rsidR="00DD308A">
        <w:rPr>
          <w:rFonts w:ascii="Book Antiqua" w:eastAsia="宋体" w:hAnsi="Book Antiqua" w:cs="Times New Roman" w:hint="eastAsia"/>
          <w:b/>
          <w:sz w:val="24"/>
          <w:szCs w:val="24"/>
          <w:lang w:val="en-US" w:eastAsia="zh-CN"/>
        </w:rPr>
        <w:t xml:space="preserve"> </w:t>
      </w:r>
      <w:r w:rsidR="00DD308A" w:rsidRPr="00DD308A">
        <w:rPr>
          <w:rFonts w:ascii="Book Antiqua" w:eastAsia="宋体" w:hAnsi="Book Antiqua" w:cs="Times New Roman"/>
          <w:sz w:val="24"/>
          <w:szCs w:val="24"/>
          <w:lang w:val="en-US" w:eastAsia="zh-CN"/>
        </w:rPr>
        <w:t>October 27, 2019</w:t>
      </w:r>
    </w:p>
    <w:p w14:paraId="04DF333F" w14:textId="1AC11A6D" w:rsidR="008F4A11" w:rsidRPr="00DD5245" w:rsidRDefault="008F4A11" w:rsidP="008F4A11">
      <w:pPr>
        <w:snapToGrid w:val="0"/>
        <w:spacing w:after="0" w:line="360" w:lineRule="auto"/>
        <w:jc w:val="both"/>
        <w:rPr>
          <w:rFonts w:ascii="Book Antiqua" w:eastAsia="宋体" w:hAnsi="Book Antiqua" w:cs="Times New Roman"/>
          <w:color w:val="000000"/>
          <w:sz w:val="24"/>
          <w:szCs w:val="24"/>
          <w:lang w:val="en-US" w:eastAsia="zh-CN"/>
        </w:rPr>
      </w:pPr>
      <w:r w:rsidRPr="00DD5245">
        <w:rPr>
          <w:rFonts w:ascii="Book Antiqua" w:eastAsia="宋体" w:hAnsi="Book Antiqua" w:cs="Times New Roman"/>
          <w:b/>
          <w:sz w:val="24"/>
          <w:szCs w:val="24"/>
          <w:lang w:val="en-US" w:eastAsia="zh-CN"/>
        </w:rPr>
        <w:t>Published online:</w:t>
      </w:r>
      <w:bookmarkEnd w:id="18"/>
      <w:bookmarkEnd w:id="19"/>
      <w:bookmarkEnd w:id="20"/>
      <w:bookmarkEnd w:id="21"/>
      <w:bookmarkEnd w:id="22"/>
      <w:r w:rsidR="00DD308A">
        <w:rPr>
          <w:rFonts w:ascii="Book Antiqua" w:eastAsia="宋体" w:hAnsi="Book Antiqua" w:cs="Times New Roman" w:hint="eastAsia"/>
          <w:b/>
          <w:sz w:val="24"/>
          <w:szCs w:val="24"/>
          <w:lang w:val="en-US" w:eastAsia="zh-CN"/>
        </w:rPr>
        <w:t xml:space="preserve"> </w:t>
      </w:r>
      <w:r w:rsidR="00DD308A" w:rsidRPr="00DD308A">
        <w:rPr>
          <w:rFonts w:ascii="Book Antiqua" w:eastAsia="宋体" w:hAnsi="Book Antiqua" w:cs="Times New Roman"/>
          <w:sz w:val="24"/>
          <w:szCs w:val="24"/>
          <w:lang w:val="en-US" w:eastAsia="zh-CN"/>
        </w:rPr>
        <w:t>December 26,2019</w:t>
      </w:r>
    </w:p>
    <w:bookmarkEnd w:id="23"/>
    <w:bookmarkEnd w:id="24"/>
    <w:bookmarkEnd w:id="25"/>
    <w:bookmarkEnd w:id="26"/>
    <w:bookmarkEnd w:id="27"/>
    <w:bookmarkEnd w:id="28"/>
    <w:p w14:paraId="470FE109" w14:textId="1F289E0A" w:rsidR="009A0DF8" w:rsidRPr="00DD5245" w:rsidRDefault="009A0DF8">
      <w:pPr>
        <w:rPr>
          <w:rFonts w:ascii="Book Antiqua" w:hAnsi="Book Antiqua"/>
          <w:sz w:val="24"/>
          <w:szCs w:val="24"/>
        </w:rPr>
      </w:pPr>
      <w:r w:rsidRPr="00DD5245">
        <w:rPr>
          <w:rFonts w:ascii="Book Antiqua" w:hAnsi="Book Antiqua"/>
          <w:sz w:val="24"/>
          <w:szCs w:val="24"/>
        </w:rPr>
        <w:br w:type="page"/>
      </w:r>
    </w:p>
    <w:p w14:paraId="73EB6D62" w14:textId="47844F93" w:rsidR="00634AF0"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lastRenderedPageBreak/>
        <w:t>A</w:t>
      </w:r>
      <w:r w:rsidR="009A0DF8" w:rsidRPr="00DD5245">
        <w:rPr>
          <w:rFonts w:ascii="Book Antiqua" w:hAnsi="Book Antiqua"/>
          <w:b/>
          <w:sz w:val="24"/>
          <w:szCs w:val="24"/>
          <w:lang w:val="en-GB"/>
        </w:rPr>
        <w:t>bstract</w:t>
      </w:r>
    </w:p>
    <w:p w14:paraId="11A94748" w14:textId="1D4CAEAA" w:rsidR="00513789" w:rsidRPr="00DD5245" w:rsidRDefault="00150F1C" w:rsidP="00707674">
      <w:pPr>
        <w:adjustRightInd w:val="0"/>
        <w:snapToGrid w:val="0"/>
        <w:spacing w:after="0" w:line="360" w:lineRule="auto"/>
        <w:jc w:val="both"/>
        <w:rPr>
          <w:rFonts w:ascii="Book Antiqua" w:hAnsi="Book Antiqua"/>
          <w:color w:val="000000"/>
          <w:sz w:val="24"/>
          <w:szCs w:val="24"/>
          <w:shd w:val="clear" w:color="auto" w:fill="FFFFFF"/>
          <w:lang w:val="en-GB"/>
        </w:rPr>
      </w:pPr>
      <w:r w:rsidRPr="00DD5245">
        <w:rPr>
          <w:rFonts w:ascii="Book Antiqua" w:hAnsi="Book Antiqua"/>
          <w:color w:val="000000"/>
          <w:sz w:val="24"/>
          <w:szCs w:val="24"/>
          <w:shd w:val="clear" w:color="auto" w:fill="FFFFFF"/>
          <w:lang w:val="en-GB"/>
        </w:rPr>
        <w:t>Acute coronary syndromes constitute a variety of myocardial injury presentations</w:t>
      </w:r>
      <w:r w:rsidR="00093F23" w:rsidRPr="00DD5245">
        <w:rPr>
          <w:rFonts w:ascii="Book Antiqua" w:hAnsi="Book Antiqua"/>
          <w:color w:val="000000"/>
          <w:sz w:val="24"/>
          <w:szCs w:val="24"/>
          <w:shd w:val="clear" w:color="auto" w:fill="FFFFFF"/>
          <w:lang w:val="en-GB"/>
        </w:rPr>
        <w:t xml:space="preserve"> that</w:t>
      </w:r>
      <w:r w:rsidRPr="00DD5245">
        <w:rPr>
          <w:rFonts w:ascii="Book Antiqua" w:hAnsi="Book Antiqua"/>
          <w:color w:val="000000"/>
          <w:sz w:val="24"/>
          <w:szCs w:val="24"/>
          <w:shd w:val="clear" w:color="auto" w:fill="FFFFFF"/>
          <w:lang w:val="en-GB"/>
        </w:rPr>
        <w:t xml:space="preserve"> </w:t>
      </w:r>
      <w:r w:rsidR="00093F23" w:rsidRPr="00DD5245">
        <w:rPr>
          <w:rFonts w:ascii="Book Antiqua" w:hAnsi="Book Antiqua"/>
          <w:color w:val="000000"/>
          <w:sz w:val="24"/>
          <w:szCs w:val="24"/>
          <w:shd w:val="clear" w:color="auto" w:fill="FFFFFF"/>
          <w:lang w:val="en-GB"/>
        </w:rPr>
        <w:t xml:space="preserve">include </w:t>
      </w:r>
      <w:r w:rsidRPr="00DD5245">
        <w:rPr>
          <w:rFonts w:ascii="Book Antiqua" w:hAnsi="Book Antiqua"/>
          <w:color w:val="000000"/>
          <w:sz w:val="24"/>
          <w:szCs w:val="24"/>
          <w:shd w:val="clear" w:color="auto" w:fill="FFFFFF"/>
          <w:lang w:val="en-GB"/>
        </w:rPr>
        <w:t xml:space="preserve">a subset of patients presenting </w:t>
      </w:r>
      <w:r w:rsidR="00093F23" w:rsidRPr="00DD5245">
        <w:rPr>
          <w:rFonts w:ascii="Book Antiqua" w:hAnsi="Book Antiqua"/>
          <w:color w:val="000000"/>
          <w:sz w:val="24"/>
          <w:szCs w:val="24"/>
          <w:shd w:val="clear" w:color="auto" w:fill="FFFFFF"/>
          <w:lang w:val="en-GB"/>
        </w:rPr>
        <w:t xml:space="preserve">with </w:t>
      </w:r>
      <w:r w:rsidRPr="00DD5245">
        <w:rPr>
          <w:rFonts w:ascii="Book Antiqua" w:hAnsi="Book Antiqua"/>
          <w:color w:val="000000"/>
          <w:sz w:val="24"/>
          <w:szCs w:val="24"/>
          <w:shd w:val="clear" w:color="auto" w:fill="FFFFFF"/>
          <w:lang w:val="en-GB"/>
        </w:rPr>
        <w:t xml:space="preserve">myocardial infarction with non-obstructive coronary arteries (MINOCA). This acute coronary syndrome differs from type 1 myocardial infarction (MI) regarding patient characteristics, presentation, physiopathology, management, treatment, and prognosis. Two-thirds of MINOCA subjects present ST-segment elevation; MINOCA patients are younger, </w:t>
      </w:r>
      <w:r w:rsidR="00093F23" w:rsidRPr="00DD5245">
        <w:rPr>
          <w:rFonts w:ascii="Book Antiqua" w:hAnsi="Book Antiqua"/>
          <w:color w:val="000000"/>
          <w:sz w:val="24"/>
          <w:szCs w:val="24"/>
          <w:shd w:val="clear" w:color="auto" w:fill="FFFFFF"/>
          <w:lang w:val="en-GB"/>
        </w:rPr>
        <w:t xml:space="preserve">are </w:t>
      </w:r>
      <w:r w:rsidRPr="00DD5245">
        <w:rPr>
          <w:rFonts w:ascii="Book Antiqua" w:hAnsi="Book Antiqua"/>
          <w:color w:val="000000"/>
          <w:sz w:val="24"/>
          <w:szCs w:val="24"/>
          <w:shd w:val="clear" w:color="auto" w:fill="FFFFFF"/>
          <w:lang w:val="en-GB"/>
        </w:rPr>
        <w:t xml:space="preserve">more often female and tend to have </w:t>
      </w:r>
      <w:r w:rsidRPr="00DD5245">
        <w:rPr>
          <w:rFonts w:ascii="Book Antiqua" w:eastAsia="宋体" w:hAnsi="Book Antiqua" w:cs="Times New Roman"/>
          <w:color w:val="000000"/>
          <w:sz w:val="24"/>
          <w:szCs w:val="24"/>
          <w:lang w:val="en-GB"/>
        </w:rPr>
        <w:t>fewer</w:t>
      </w:r>
      <w:r w:rsidRPr="00DD5245">
        <w:rPr>
          <w:rFonts w:ascii="Book Antiqua" w:hAnsi="Book Antiqua"/>
          <w:color w:val="000000"/>
          <w:sz w:val="24"/>
          <w:szCs w:val="24"/>
          <w:shd w:val="clear" w:color="auto" w:fill="FFFFFF"/>
          <w:lang w:val="en-GB"/>
        </w:rPr>
        <w:t xml:space="preserve"> cardiovascular risk factors. </w:t>
      </w:r>
      <w:r w:rsidR="00093F23" w:rsidRPr="00DD5245">
        <w:rPr>
          <w:rFonts w:ascii="Book Antiqua" w:hAnsi="Book Antiqua"/>
          <w:color w:val="000000"/>
          <w:sz w:val="24"/>
          <w:szCs w:val="24"/>
          <w:shd w:val="clear" w:color="auto" w:fill="FFFFFF"/>
          <w:lang w:val="en-GB"/>
        </w:rPr>
        <w:t xml:space="preserve">Moreover, </w:t>
      </w:r>
      <w:r w:rsidRPr="00DD5245">
        <w:rPr>
          <w:rFonts w:ascii="Book Antiqua" w:hAnsi="Book Antiqua"/>
          <w:color w:val="000000"/>
          <w:sz w:val="24"/>
          <w:szCs w:val="24"/>
          <w:shd w:val="clear" w:color="auto" w:fill="FFFFFF"/>
          <w:lang w:val="en-GB"/>
        </w:rPr>
        <w:t>MINOCA is a working diagnosis</w:t>
      </w:r>
      <w:r w:rsidRPr="00DD5245">
        <w:rPr>
          <w:rFonts w:ascii="Book Antiqua" w:eastAsia="宋体"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defining the aetiologic mechanism is relevant </w:t>
      </w:r>
      <w:r w:rsidRPr="00DD5245">
        <w:rPr>
          <w:rFonts w:ascii="Book Antiqua" w:eastAsia="宋体" w:hAnsi="Book Antiqua" w:cs="Times New Roman"/>
          <w:color w:val="000000"/>
          <w:sz w:val="24"/>
          <w:szCs w:val="24"/>
          <w:lang w:val="en-GB"/>
        </w:rPr>
        <w:t>because</w:t>
      </w:r>
      <w:r w:rsidRPr="00DD5245">
        <w:rPr>
          <w:rFonts w:ascii="Book Antiqua" w:hAnsi="Book Antiqua"/>
          <w:color w:val="000000"/>
          <w:sz w:val="24"/>
          <w:szCs w:val="24"/>
          <w:shd w:val="clear" w:color="auto" w:fill="FFFFFF"/>
          <w:lang w:val="en-GB"/>
        </w:rPr>
        <w:t xml:space="preserve"> it affect</w:t>
      </w:r>
      <w:r w:rsidR="00093F23" w:rsidRPr="00DD5245">
        <w:rPr>
          <w:rFonts w:ascii="Book Antiqua" w:hAnsi="Book Antiqua"/>
          <w:color w:val="000000"/>
          <w:sz w:val="24"/>
          <w:szCs w:val="24"/>
          <w:shd w:val="clear" w:color="auto" w:fill="FFFFFF"/>
          <w:lang w:val="en-GB"/>
        </w:rPr>
        <w:t>s</w:t>
      </w:r>
      <w:r w:rsidRPr="00DD5245">
        <w:rPr>
          <w:rFonts w:ascii="Book Antiqua" w:hAnsi="Book Antiqua"/>
          <w:color w:val="000000"/>
          <w:sz w:val="24"/>
          <w:szCs w:val="24"/>
          <w:shd w:val="clear" w:color="auto" w:fill="FFFFFF"/>
          <w:lang w:val="en-GB"/>
        </w:rPr>
        <w:t xml:space="preserve"> patient care and prognosis. In the absence of relevant coronary artery disease, myocardial ischaemia might be triggered by an acute event in epicardial coronary arteries, coronary microcirculation, or both. Epicardial causes of MINOCA include coronary plaque disruption, coronary dissection, and coronary spasm. Microvascular MINOCA mechanisms involve microvascular coronary spasm, takotsubo syndrome</w:t>
      </w:r>
      <w:r w:rsidR="00404A21" w:rsidRPr="00DD5245">
        <w:rPr>
          <w:rFonts w:ascii="Book Antiqua" w:hAnsi="Book Antiqua"/>
          <w:color w:val="000000"/>
          <w:sz w:val="24"/>
          <w:szCs w:val="24"/>
          <w:shd w:val="clear" w:color="auto" w:fill="FFFFFF"/>
          <w:lang w:val="en-GB"/>
        </w:rPr>
        <w:t xml:space="preserve"> </w:t>
      </w:r>
      <w:r w:rsidR="00404A21" w:rsidRPr="00DD5245">
        <w:rPr>
          <w:rFonts w:ascii="Book Antiqua" w:hAnsi="Book Antiqua"/>
          <w:sz w:val="24"/>
          <w:szCs w:val="24"/>
          <w:lang w:val="en-GB"/>
        </w:rPr>
        <w:t>(TTS)</w:t>
      </w:r>
      <w:r w:rsidRPr="00DD5245">
        <w:rPr>
          <w:rFonts w:ascii="Book Antiqua" w:hAnsi="Book Antiqua"/>
          <w:color w:val="000000"/>
          <w:sz w:val="24"/>
          <w:szCs w:val="24"/>
          <w:shd w:val="clear" w:color="auto" w:fill="FFFFFF"/>
          <w:lang w:val="en-GB"/>
        </w:rPr>
        <w:t xml:space="preserve">, myocarditis, and coronary thromboembolism. Coronary angiography with non-significant coronary stenosis and left ventriculography are first-line tests in the differential study of MINOCA patients. The diagnostic arsenal includes invasive and non-invasive techniques. Medical history and echocardiography can help indicate vasospasm or thrombosis, if one finite coronary territory is affected, or specify </w:t>
      </w:r>
      <w:r w:rsidR="00404A21" w:rsidRPr="00DD5245">
        <w:rPr>
          <w:rFonts w:ascii="Book Antiqua" w:hAnsi="Book Antiqua"/>
          <w:color w:val="000000"/>
          <w:sz w:val="24"/>
          <w:szCs w:val="24"/>
          <w:shd w:val="clear" w:color="auto" w:fill="FFFFFF"/>
          <w:lang w:val="en-GB"/>
        </w:rPr>
        <w:t>TTS</w:t>
      </w:r>
      <w:r w:rsidRPr="00DD5245">
        <w:rPr>
          <w:rFonts w:ascii="Book Antiqua" w:hAnsi="Book Antiqua"/>
          <w:color w:val="000000"/>
          <w:sz w:val="24"/>
          <w:szCs w:val="24"/>
          <w:shd w:val="clear" w:color="auto" w:fill="FFFFFF"/>
          <w:lang w:val="en-GB"/>
        </w:rPr>
        <w:t xml:space="preserve"> if apical ballooning</w:t>
      </w:r>
      <w:r w:rsidR="00740395" w:rsidRPr="00DD5245">
        <w:rPr>
          <w:rFonts w:ascii="Book Antiqua" w:hAnsi="Book Antiqua"/>
          <w:color w:val="000000"/>
          <w:sz w:val="24"/>
          <w:szCs w:val="24"/>
          <w:shd w:val="clear" w:color="auto" w:fill="FFFFFF"/>
          <w:lang w:val="en-GB"/>
        </w:rPr>
        <w:t xml:space="preserve"> is present</w:t>
      </w:r>
      <w:r w:rsidRPr="00DD5245">
        <w:rPr>
          <w:rFonts w:ascii="Book Antiqua" w:hAnsi="Book Antiqua"/>
          <w:color w:val="000000"/>
          <w:sz w:val="24"/>
          <w:szCs w:val="24"/>
          <w:shd w:val="clear" w:color="auto" w:fill="FFFFFF"/>
          <w:lang w:val="en-GB"/>
        </w:rPr>
        <w:t>. Intravascular ultrasound, optical coherence tomography, and provocative testing are encouraged. Cardiac magnetic resonance is a cornerstone in myocarditis diagnosis. MINOCA is not a benign diagnosis</w:t>
      </w:r>
      <w:r w:rsidRPr="00DD5245">
        <w:rPr>
          <w:rFonts w:ascii="Book Antiqua" w:eastAsia="宋体"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its polymorphic forms differ in prognosis. MINOCA care varies across </w:t>
      </w:r>
      <w:r w:rsidR="00740395" w:rsidRPr="00DD5245">
        <w:rPr>
          <w:rFonts w:ascii="Book Antiqua" w:hAnsi="Book Antiqua"/>
          <w:color w:val="000000"/>
          <w:sz w:val="24"/>
          <w:szCs w:val="24"/>
          <w:shd w:val="clear" w:color="auto" w:fill="FFFFFF"/>
          <w:lang w:val="en-GB"/>
        </w:rPr>
        <w:t>centres</w:t>
      </w:r>
      <w:r w:rsidRPr="00DD5245">
        <w:rPr>
          <w:rFonts w:ascii="Book Antiqua" w:eastAsia="宋体"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future multi-</w:t>
      </w:r>
      <w:r w:rsidR="00740395" w:rsidRPr="00DD5245">
        <w:rPr>
          <w:rFonts w:ascii="Book Antiqua" w:hAnsi="Book Antiqua"/>
          <w:color w:val="000000"/>
          <w:sz w:val="24"/>
          <w:szCs w:val="24"/>
          <w:shd w:val="clear" w:color="auto" w:fill="FFFFFF"/>
          <w:lang w:val="en-GB"/>
        </w:rPr>
        <w:t>centre</w:t>
      </w:r>
      <w:r w:rsidRPr="00DD5245">
        <w:rPr>
          <w:rFonts w:ascii="Book Antiqua" w:hAnsi="Book Antiqua"/>
          <w:color w:val="000000"/>
          <w:sz w:val="24"/>
          <w:szCs w:val="24"/>
          <w:shd w:val="clear" w:color="auto" w:fill="FFFFFF"/>
          <w:lang w:val="en-GB"/>
        </w:rPr>
        <w:t xml:space="preserve"> clinical trials with standardized criteria may have a positive impact on defining optimal cardiovascular care </w:t>
      </w:r>
      <w:r w:rsidR="00740395" w:rsidRPr="00DD5245">
        <w:rPr>
          <w:rFonts w:ascii="Book Antiqua" w:hAnsi="Book Antiqua"/>
          <w:color w:val="000000"/>
          <w:sz w:val="24"/>
          <w:szCs w:val="24"/>
          <w:shd w:val="clear" w:color="auto" w:fill="FFFFFF"/>
          <w:lang w:val="en-GB"/>
        </w:rPr>
        <w:t xml:space="preserve">for </w:t>
      </w:r>
      <w:r w:rsidRPr="00DD5245">
        <w:rPr>
          <w:rFonts w:ascii="Book Antiqua" w:hAnsi="Book Antiqua"/>
          <w:color w:val="000000"/>
          <w:sz w:val="24"/>
          <w:szCs w:val="24"/>
          <w:shd w:val="clear" w:color="auto" w:fill="FFFFFF"/>
          <w:lang w:val="en-GB"/>
        </w:rPr>
        <w:t>MINOCA patients.</w:t>
      </w:r>
    </w:p>
    <w:p w14:paraId="69CA46CA" w14:textId="77777777" w:rsidR="009A0DF8" w:rsidRPr="00DD5245" w:rsidRDefault="009A0DF8" w:rsidP="00707674">
      <w:pPr>
        <w:adjustRightInd w:val="0"/>
        <w:snapToGrid w:val="0"/>
        <w:spacing w:after="0" w:line="360" w:lineRule="auto"/>
        <w:jc w:val="both"/>
        <w:rPr>
          <w:rFonts w:ascii="Book Antiqua" w:hAnsi="Book Antiqua"/>
          <w:color w:val="000000"/>
          <w:sz w:val="24"/>
          <w:szCs w:val="24"/>
          <w:shd w:val="clear" w:color="auto" w:fill="FFFFFF"/>
          <w:lang w:val="en-GB"/>
        </w:rPr>
      </w:pPr>
    </w:p>
    <w:p w14:paraId="262062A2" w14:textId="0EB0D362"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Key words</w:t>
      </w:r>
      <w:r w:rsidRPr="00DD5245">
        <w:rPr>
          <w:rFonts w:ascii="Book Antiqua" w:hAnsi="Book Antiqua"/>
          <w:sz w:val="24"/>
          <w:szCs w:val="24"/>
          <w:lang w:val="en-GB"/>
        </w:rPr>
        <w:t>: Myocardial infarction; Non</w:t>
      </w:r>
      <w:r w:rsidR="00740395" w:rsidRPr="00DD5245">
        <w:rPr>
          <w:rFonts w:ascii="Book Antiqua" w:hAnsi="Book Antiqua"/>
          <w:sz w:val="24"/>
          <w:szCs w:val="24"/>
          <w:lang w:val="en-GB"/>
        </w:rPr>
        <w:t>-</w:t>
      </w:r>
      <w:r w:rsidRPr="00DD5245">
        <w:rPr>
          <w:rFonts w:ascii="Book Antiqua" w:hAnsi="Book Antiqua"/>
          <w:sz w:val="24"/>
          <w:szCs w:val="24"/>
          <w:lang w:val="en-GB"/>
        </w:rPr>
        <w:t>obstructive coronary</w:t>
      </w:r>
      <w:r w:rsidR="00740395" w:rsidRPr="00DD5245">
        <w:rPr>
          <w:rFonts w:ascii="Book Antiqua" w:hAnsi="Book Antiqua"/>
          <w:sz w:val="24"/>
          <w:szCs w:val="24"/>
          <w:lang w:val="en-GB"/>
        </w:rPr>
        <w:t>;</w:t>
      </w:r>
      <w:r w:rsidRPr="00DD5245">
        <w:rPr>
          <w:rFonts w:ascii="Book Antiqua" w:hAnsi="Book Antiqua"/>
          <w:sz w:val="24"/>
          <w:szCs w:val="24"/>
          <w:lang w:val="en-GB"/>
        </w:rPr>
        <w:t xml:space="preserve"> </w:t>
      </w:r>
      <w:r w:rsidR="001627AB" w:rsidRPr="00DD5245">
        <w:rPr>
          <w:rFonts w:ascii="Book Antiqua" w:hAnsi="Book Antiqua"/>
          <w:sz w:val="24"/>
          <w:szCs w:val="24"/>
          <w:lang w:val="en-GB"/>
        </w:rPr>
        <w:t>Myocardial infarction with non-obstructive coronary arteries</w:t>
      </w:r>
      <w:r w:rsidRPr="00DD5245">
        <w:rPr>
          <w:rFonts w:ascii="Book Antiqua" w:hAnsi="Book Antiqua"/>
          <w:sz w:val="24"/>
          <w:szCs w:val="24"/>
          <w:lang w:val="en-GB"/>
        </w:rPr>
        <w:t>; Management; Prognosis</w:t>
      </w:r>
    </w:p>
    <w:p w14:paraId="02879679" w14:textId="41284369" w:rsidR="009A0DF8" w:rsidRPr="00DD5245" w:rsidRDefault="009A0DF8" w:rsidP="00707674">
      <w:pPr>
        <w:adjustRightInd w:val="0"/>
        <w:snapToGrid w:val="0"/>
        <w:spacing w:after="0" w:line="360" w:lineRule="auto"/>
        <w:jc w:val="both"/>
        <w:rPr>
          <w:rFonts w:ascii="Book Antiqua" w:hAnsi="Book Antiqua"/>
          <w:sz w:val="24"/>
          <w:szCs w:val="24"/>
          <w:lang w:val="en-GB"/>
        </w:rPr>
      </w:pPr>
    </w:p>
    <w:p w14:paraId="40AEDA1A" w14:textId="63F3C5EE" w:rsidR="009A0DF8" w:rsidRPr="00DD5245" w:rsidRDefault="009A0DF8" w:rsidP="009A0DF8">
      <w:pPr>
        <w:spacing w:after="0" w:line="360" w:lineRule="auto"/>
        <w:jc w:val="both"/>
        <w:rPr>
          <w:rFonts w:ascii="Book Antiqua" w:eastAsia="宋体" w:hAnsi="Book Antiqua" w:cs="Times New Roman"/>
          <w:sz w:val="24"/>
          <w:szCs w:val="24"/>
          <w:lang w:val="en-US" w:eastAsia="zh-CN"/>
        </w:rPr>
      </w:pPr>
      <w:bookmarkStart w:id="29" w:name="OLE_LINK43"/>
      <w:bookmarkStart w:id="30" w:name="OLE_LINK44"/>
      <w:bookmarkStart w:id="31" w:name="OLE_LINK67"/>
      <w:bookmarkStart w:id="32" w:name="OLE_LINK65"/>
      <w:bookmarkStart w:id="33" w:name="OLE_LINK71"/>
      <w:bookmarkStart w:id="34" w:name="OLE_LINK58"/>
      <w:bookmarkStart w:id="35" w:name="OLE_LINK59"/>
      <w:bookmarkStart w:id="36" w:name="OLE_LINK24"/>
      <w:r w:rsidRPr="00DD5245">
        <w:rPr>
          <w:rFonts w:ascii="Book Antiqua" w:eastAsia="宋体" w:hAnsi="Book Antiqua" w:cs="Times New Roman"/>
          <w:b/>
          <w:sz w:val="24"/>
          <w:szCs w:val="24"/>
          <w:lang w:val="en-US" w:eastAsia="zh-CN"/>
        </w:rPr>
        <w:t>© The Author(s) 201</w:t>
      </w:r>
      <w:r w:rsidRPr="00DD5245">
        <w:rPr>
          <w:rFonts w:ascii="Book Antiqua" w:eastAsia="宋体" w:hAnsi="Book Antiqua" w:cs="Times New Roman" w:hint="eastAsia"/>
          <w:b/>
          <w:sz w:val="24"/>
          <w:szCs w:val="24"/>
          <w:lang w:val="en-US" w:eastAsia="zh-CN"/>
        </w:rPr>
        <w:t>9</w:t>
      </w:r>
      <w:r w:rsidRPr="00DD5245">
        <w:rPr>
          <w:rFonts w:ascii="Book Antiqua" w:eastAsia="宋体" w:hAnsi="Book Antiqua" w:cs="Times New Roman"/>
          <w:b/>
          <w:sz w:val="24"/>
          <w:szCs w:val="24"/>
          <w:lang w:val="en-US" w:eastAsia="zh-CN"/>
        </w:rPr>
        <w:t xml:space="preserve">. </w:t>
      </w:r>
      <w:r w:rsidRPr="00DD5245">
        <w:rPr>
          <w:rFonts w:ascii="Book Antiqua" w:eastAsia="宋体" w:hAnsi="Book Antiqua" w:cs="Times New Roman"/>
          <w:sz w:val="24"/>
          <w:szCs w:val="24"/>
          <w:lang w:val="en-US" w:eastAsia="zh-CN"/>
        </w:rPr>
        <w:t>Published by Baishideng Publishing Group Inc. All rights reserved.</w:t>
      </w:r>
      <w:bookmarkEnd w:id="29"/>
      <w:bookmarkEnd w:id="30"/>
      <w:bookmarkEnd w:id="31"/>
      <w:bookmarkEnd w:id="32"/>
      <w:bookmarkEnd w:id="33"/>
      <w:r w:rsidRPr="00DD5245">
        <w:rPr>
          <w:rFonts w:ascii="Book Antiqua" w:eastAsia="宋体" w:hAnsi="Book Antiqua" w:cs="Times New Roman"/>
          <w:sz w:val="24"/>
          <w:szCs w:val="24"/>
          <w:lang w:val="en-US" w:eastAsia="zh-CN"/>
        </w:rPr>
        <w:t xml:space="preserve"> </w:t>
      </w:r>
      <w:bookmarkEnd w:id="34"/>
      <w:bookmarkEnd w:id="35"/>
      <w:bookmarkEnd w:id="36"/>
    </w:p>
    <w:p w14:paraId="72D66E49" w14:textId="77777777" w:rsidR="009A0DF8" w:rsidRPr="00DD5245" w:rsidRDefault="009A0DF8" w:rsidP="00707674">
      <w:pPr>
        <w:adjustRightInd w:val="0"/>
        <w:snapToGrid w:val="0"/>
        <w:spacing w:after="0" w:line="360" w:lineRule="auto"/>
        <w:jc w:val="both"/>
        <w:rPr>
          <w:rFonts w:ascii="Book Antiqua" w:hAnsi="Book Antiqua"/>
          <w:sz w:val="24"/>
          <w:szCs w:val="24"/>
          <w:lang w:val="en-GB"/>
        </w:rPr>
      </w:pPr>
    </w:p>
    <w:p w14:paraId="29A2E8AA" w14:textId="415D1D21"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C</w:t>
      </w:r>
      <w:r w:rsidR="009A0DF8" w:rsidRPr="00DD5245">
        <w:rPr>
          <w:rFonts w:ascii="Book Antiqua" w:hAnsi="Book Antiqua"/>
          <w:b/>
          <w:sz w:val="24"/>
          <w:szCs w:val="24"/>
          <w:lang w:val="en-GB"/>
        </w:rPr>
        <w:t>ore tip</w:t>
      </w:r>
      <w:r w:rsidR="0040546F" w:rsidRPr="00DD5245">
        <w:rPr>
          <w:rFonts w:ascii="Book Antiqua" w:hAnsi="Book Antiqua"/>
          <w:sz w:val="24"/>
          <w:szCs w:val="24"/>
          <w:lang w:val="en-GB"/>
        </w:rPr>
        <w:t>:</w:t>
      </w:r>
      <w:r w:rsidR="009A0DF8" w:rsidRPr="00DD5245">
        <w:rPr>
          <w:rFonts w:ascii="Book Antiqua" w:hAnsi="Book Antiqua" w:hint="eastAsia"/>
          <w:sz w:val="24"/>
          <w:szCs w:val="24"/>
          <w:lang w:val="en-GB" w:eastAsia="zh-CN"/>
        </w:rPr>
        <w:t xml:space="preserve"> </w:t>
      </w:r>
      <w:r w:rsidRPr="00DD5245">
        <w:rPr>
          <w:rFonts w:ascii="Book Antiqua" w:hAnsi="Book Antiqua"/>
          <w:color w:val="000000"/>
          <w:sz w:val="24"/>
          <w:szCs w:val="24"/>
          <w:shd w:val="clear" w:color="auto" w:fill="FFFFFF"/>
          <w:lang w:val="en-GB"/>
        </w:rPr>
        <w:t>Myocardial infarction with non-obstructive coronary arteries (MINOCA) differs from type 1 myocardial infarction regarding patient characteristics, presentation, physiopathology, management, treatment, and prognosis. In the absence of relevant coronary artery disease, myocardial ischaemia might be triggered by an acute event in epicardial coronary arteries, coronary microcirculation, or both. Epicardial causes of MINOCA include coronary plaque disruption, coronary dissection, and coronary spasm. Diagnostic strategies include invasive and non-invasive techniques recently embracing intravascular ultrasound and cardiac magnetic resonance. MINOCA is not a benign diagnosis</w:t>
      </w:r>
      <w:r w:rsidRPr="00DD5245">
        <w:rPr>
          <w:rFonts w:ascii="Book Antiqua" w:eastAsia="宋体" w:hAnsi="Book Antiqua" w:cs="Times New Roman"/>
          <w:color w:val="000000"/>
          <w:sz w:val="24"/>
          <w:szCs w:val="24"/>
          <w:lang w:val="en-GB"/>
        </w:rPr>
        <w:t>,</w:t>
      </w:r>
      <w:r w:rsidRPr="00DD5245">
        <w:rPr>
          <w:rFonts w:ascii="Book Antiqua" w:hAnsi="Book Antiqua"/>
          <w:color w:val="000000"/>
          <w:sz w:val="24"/>
          <w:szCs w:val="24"/>
          <w:shd w:val="clear" w:color="auto" w:fill="FFFFFF"/>
          <w:lang w:val="en-GB"/>
        </w:rPr>
        <w:t xml:space="preserve"> and its polymorphic forms differ in prognosis.</w:t>
      </w:r>
    </w:p>
    <w:p w14:paraId="2C00F98E" w14:textId="77777777" w:rsidR="00CA6B1F" w:rsidRPr="00DD5245" w:rsidRDefault="00CA6B1F" w:rsidP="00707674">
      <w:pPr>
        <w:adjustRightInd w:val="0"/>
        <w:snapToGrid w:val="0"/>
        <w:spacing w:after="0" w:line="360" w:lineRule="auto"/>
        <w:jc w:val="both"/>
        <w:rPr>
          <w:rFonts w:ascii="Book Antiqua" w:hAnsi="Book Antiqua"/>
          <w:sz w:val="24"/>
          <w:szCs w:val="24"/>
          <w:lang w:val="en-GB"/>
        </w:rPr>
      </w:pPr>
    </w:p>
    <w:p w14:paraId="35908F74" w14:textId="77777777" w:rsidR="00DD308A" w:rsidRDefault="00DD1C79" w:rsidP="00DD1C79">
      <w:pPr>
        <w:adjustRightInd w:val="0"/>
        <w:snapToGrid w:val="0"/>
        <w:spacing w:after="0" w:line="360" w:lineRule="auto"/>
        <w:jc w:val="both"/>
        <w:rPr>
          <w:rFonts w:ascii="Book Antiqua" w:hAnsi="Book Antiqua" w:hint="eastAsia"/>
          <w:sz w:val="24"/>
          <w:szCs w:val="24"/>
          <w:lang w:val="en-GB" w:eastAsia="zh-CN"/>
        </w:rPr>
      </w:pPr>
      <w:r w:rsidRPr="00DD5245">
        <w:rPr>
          <w:rFonts w:ascii="Book Antiqua" w:hAnsi="Book Antiqua"/>
          <w:noProof/>
          <w:sz w:val="24"/>
          <w:szCs w:val="24"/>
          <w:lang w:val="en-GB"/>
        </w:rPr>
        <w:t xml:space="preserve">Vidal-Perez R, Abou Jokh Casas C, Agra-Bermejo RM, Alvarez-Alvarez B, Grapsa J, Fontes-Carvalho R, Rigueiro Veloso P, Garcia Acuña JM, Gonzalez-Juanatey JR. </w:t>
      </w:r>
      <w:r w:rsidR="00544CB5" w:rsidRPr="00544CB5">
        <w:rPr>
          <w:rFonts w:ascii="Book Antiqua" w:hAnsi="Book Antiqua"/>
          <w:sz w:val="24"/>
          <w:szCs w:val="24"/>
          <w:lang w:val="en-GB"/>
        </w:rPr>
        <w:t>Myocardial infarction with non-obstructive coronary arteries: A comprehensive review and future research directions</w:t>
      </w:r>
      <w:r w:rsidRPr="00DD5245">
        <w:rPr>
          <w:rFonts w:ascii="Book Antiqua" w:hAnsi="Book Antiqua"/>
          <w:sz w:val="24"/>
          <w:szCs w:val="24"/>
          <w:lang w:val="en-GB"/>
        </w:rPr>
        <w:t xml:space="preserve">. </w:t>
      </w:r>
      <w:r w:rsidRPr="00DD5245">
        <w:rPr>
          <w:rFonts w:ascii="Book Antiqua" w:hAnsi="Book Antiqua"/>
          <w:i/>
          <w:iCs/>
          <w:sz w:val="24"/>
          <w:szCs w:val="24"/>
          <w:lang w:val="en-GB"/>
        </w:rPr>
        <w:t>World J Cardiol</w:t>
      </w:r>
      <w:r w:rsidRPr="00DD5245">
        <w:rPr>
          <w:rFonts w:ascii="Book Antiqua" w:hAnsi="Book Antiqua"/>
          <w:sz w:val="24"/>
          <w:szCs w:val="24"/>
          <w:lang w:val="en-GB"/>
        </w:rPr>
        <w:t xml:space="preserve"> </w:t>
      </w:r>
      <w:r w:rsidR="00DD308A" w:rsidRPr="00DD308A">
        <w:rPr>
          <w:rFonts w:ascii="Book Antiqua" w:hAnsi="Book Antiqua"/>
          <w:sz w:val="24"/>
          <w:szCs w:val="24"/>
          <w:lang w:val="en-GB"/>
        </w:rPr>
        <w:t xml:space="preserve">2019; 11(12): </w:t>
      </w:r>
      <w:r w:rsidR="00DD308A">
        <w:rPr>
          <w:rFonts w:ascii="Book Antiqua" w:hAnsi="Book Antiqua" w:hint="eastAsia"/>
          <w:sz w:val="24"/>
          <w:szCs w:val="24"/>
          <w:lang w:val="en-GB" w:eastAsia="zh-CN"/>
        </w:rPr>
        <w:t>305</w:t>
      </w:r>
      <w:r w:rsidR="00DD308A" w:rsidRPr="00DD308A">
        <w:rPr>
          <w:rFonts w:ascii="Book Antiqua" w:hAnsi="Book Antiqua"/>
          <w:sz w:val="24"/>
          <w:szCs w:val="24"/>
          <w:lang w:val="en-GB"/>
        </w:rPr>
        <w:t>-</w:t>
      </w:r>
      <w:r w:rsidR="00DD308A">
        <w:rPr>
          <w:rFonts w:ascii="Book Antiqua" w:hAnsi="Book Antiqua" w:hint="eastAsia"/>
          <w:sz w:val="24"/>
          <w:szCs w:val="24"/>
          <w:lang w:val="en-GB" w:eastAsia="zh-CN"/>
        </w:rPr>
        <w:t>315</w:t>
      </w:r>
    </w:p>
    <w:p w14:paraId="66F293AB" w14:textId="7493B39C" w:rsidR="00DD308A" w:rsidRDefault="00DD308A" w:rsidP="00DD1C79">
      <w:pPr>
        <w:adjustRightInd w:val="0"/>
        <w:snapToGrid w:val="0"/>
        <w:spacing w:after="0" w:line="360" w:lineRule="auto"/>
        <w:jc w:val="both"/>
        <w:rPr>
          <w:rFonts w:ascii="Book Antiqua" w:hAnsi="Book Antiqua" w:hint="eastAsia"/>
          <w:sz w:val="24"/>
          <w:szCs w:val="24"/>
          <w:lang w:val="en-GB" w:eastAsia="zh-CN"/>
        </w:rPr>
      </w:pPr>
      <w:r w:rsidRPr="00DD308A">
        <w:rPr>
          <w:rFonts w:ascii="Book Antiqua" w:hAnsi="Book Antiqua"/>
          <w:b/>
          <w:sz w:val="24"/>
          <w:szCs w:val="24"/>
          <w:lang w:val="en-GB"/>
        </w:rPr>
        <w:t>URL:</w:t>
      </w:r>
      <w:r w:rsidRPr="00DD308A">
        <w:rPr>
          <w:rFonts w:ascii="Book Antiqua" w:hAnsi="Book Antiqua"/>
          <w:sz w:val="24"/>
          <w:szCs w:val="24"/>
          <w:lang w:val="en-GB"/>
        </w:rPr>
        <w:t xml:space="preserve"> https://www.wjgnet.com/1949-8462/full/v11/i12/</w:t>
      </w:r>
      <w:r>
        <w:rPr>
          <w:rFonts w:ascii="Book Antiqua" w:hAnsi="Book Antiqua" w:hint="eastAsia"/>
          <w:sz w:val="24"/>
          <w:szCs w:val="24"/>
          <w:lang w:val="en-GB" w:eastAsia="zh-CN"/>
        </w:rPr>
        <w:t>305</w:t>
      </w:r>
      <w:r w:rsidRPr="00DD308A">
        <w:rPr>
          <w:rFonts w:ascii="Book Antiqua" w:hAnsi="Book Antiqua"/>
          <w:sz w:val="24"/>
          <w:szCs w:val="24"/>
          <w:lang w:val="en-GB"/>
        </w:rPr>
        <w:t>.htm</w:t>
      </w:r>
    </w:p>
    <w:p w14:paraId="54EF92CF" w14:textId="0B9CC915" w:rsidR="00DD1C79" w:rsidRPr="00DD5245" w:rsidRDefault="00DD308A" w:rsidP="00DD1C79">
      <w:pPr>
        <w:adjustRightInd w:val="0"/>
        <w:snapToGrid w:val="0"/>
        <w:spacing w:after="0" w:line="360" w:lineRule="auto"/>
        <w:jc w:val="both"/>
        <w:rPr>
          <w:rFonts w:ascii="Book Antiqua" w:hAnsi="Book Antiqua" w:hint="eastAsia"/>
          <w:b/>
          <w:bCs/>
          <w:sz w:val="24"/>
          <w:szCs w:val="24"/>
          <w:lang w:val="en-GB" w:eastAsia="zh-CN"/>
        </w:rPr>
      </w:pPr>
      <w:r w:rsidRPr="00DD308A">
        <w:rPr>
          <w:rFonts w:ascii="Book Antiqua" w:hAnsi="Book Antiqua"/>
          <w:b/>
          <w:sz w:val="24"/>
          <w:szCs w:val="24"/>
          <w:lang w:val="en-GB"/>
        </w:rPr>
        <w:t>DOI:</w:t>
      </w:r>
      <w:r w:rsidRPr="00DD308A">
        <w:rPr>
          <w:rFonts w:ascii="Book Antiqua" w:hAnsi="Book Antiqua"/>
          <w:sz w:val="24"/>
          <w:szCs w:val="24"/>
          <w:lang w:val="en-GB"/>
        </w:rPr>
        <w:t xml:space="preserve"> https://dx.doi.org/10.4330/wjc.v11.i12.</w:t>
      </w:r>
      <w:r>
        <w:rPr>
          <w:rFonts w:ascii="Book Antiqua" w:hAnsi="Book Antiqua" w:hint="eastAsia"/>
          <w:sz w:val="24"/>
          <w:szCs w:val="24"/>
          <w:lang w:val="en-GB" w:eastAsia="zh-CN"/>
        </w:rPr>
        <w:t>305</w:t>
      </w:r>
    </w:p>
    <w:p w14:paraId="670317E3" w14:textId="3C18316A" w:rsidR="00C202EA" w:rsidRPr="00DD5245" w:rsidRDefault="00DD1C79" w:rsidP="00707674">
      <w:pPr>
        <w:adjustRightInd w:val="0"/>
        <w:snapToGrid w:val="0"/>
        <w:spacing w:after="0" w:line="360" w:lineRule="auto"/>
        <w:jc w:val="both"/>
        <w:rPr>
          <w:rFonts w:ascii="Book Antiqua" w:hAnsi="Book Antiqua"/>
          <w:noProof/>
          <w:sz w:val="24"/>
          <w:szCs w:val="24"/>
          <w:lang w:val="en-GB" w:eastAsia="zh-CN"/>
        </w:rPr>
      </w:pPr>
      <w:r w:rsidRPr="00DD5245">
        <w:rPr>
          <w:rFonts w:ascii="Book Antiqua" w:hAnsi="Book Antiqua" w:hint="eastAsia"/>
          <w:noProof/>
          <w:sz w:val="24"/>
          <w:szCs w:val="24"/>
          <w:lang w:val="en-GB" w:eastAsia="zh-CN"/>
        </w:rPr>
        <w:t xml:space="preserve"> </w:t>
      </w:r>
    </w:p>
    <w:p w14:paraId="072C8860" w14:textId="77777777" w:rsidR="00C202EA" w:rsidRPr="00DD5245" w:rsidRDefault="00C202EA">
      <w:pPr>
        <w:rPr>
          <w:rFonts w:ascii="Book Antiqua" w:hAnsi="Book Antiqua"/>
          <w:noProof/>
          <w:sz w:val="24"/>
          <w:szCs w:val="24"/>
          <w:lang w:val="en-GB" w:eastAsia="zh-CN"/>
        </w:rPr>
      </w:pPr>
      <w:r w:rsidRPr="00DD5245">
        <w:rPr>
          <w:rFonts w:ascii="Book Antiqua" w:hAnsi="Book Antiqua"/>
          <w:noProof/>
          <w:sz w:val="24"/>
          <w:szCs w:val="24"/>
          <w:lang w:val="en-GB" w:eastAsia="zh-CN"/>
        </w:rPr>
        <w:br w:type="page"/>
      </w:r>
    </w:p>
    <w:p w14:paraId="5DCEDCA7" w14:textId="77777777" w:rsidR="00A57972"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lastRenderedPageBreak/>
        <w:t>INTRODUCTION</w:t>
      </w:r>
    </w:p>
    <w:p w14:paraId="6FC70C08" w14:textId="78791B14"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 xml:space="preserve">Remarkable progress in medicine regarding the pathogenesis of heart disease has produced lifesaving and life-extending therapies impacting ischaemic patients </w:t>
      </w:r>
      <w:r w:rsidR="00DC6519" w:rsidRPr="00DD5245">
        <w:rPr>
          <w:rFonts w:ascii="Book Antiqua" w:hAnsi="Book Antiqua"/>
          <w:sz w:val="24"/>
          <w:szCs w:val="24"/>
          <w:lang w:val="en-GB"/>
        </w:rPr>
        <w:t>worldwide</w:t>
      </w:r>
      <w:r w:rsidRPr="00DD5245">
        <w:rPr>
          <w:rFonts w:ascii="Book Antiqua" w:hAnsi="Book Antiqua"/>
          <w:sz w:val="24"/>
          <w:szCs w:val="24"/>
          <w:lang w:val="en-GB"/>
        </w:rPr>
        <w:t xml:space="preserve">. </w:t>
      </w:r>
      <w:r w:rsidR="00DC6519" w:rsidRPr="00DD5245">
        <w:rPr>
          <w:rFonts w:ascii="Book Antiqua" w:hAnsi="Book Antiqua"/>
          <w:sz w:val="24"/>
          <w:szCs w:val="24"/>
          <w:lang w:val="en-GB"/>
        </w:rPr>
        <w:t>The definition of a</w:t>
      </w:r>
      <w:r w:rsidRPr="00DD5245">
        <w:rPr>
          <w:rFonts w:ascii="Book Antiqua" w:hAnsi="Book Antiqua"/>
          <w:sz w:val="24"/>
          <w:szCs w:val="24"/>
          <w:lang w:val="en-GB"/>
        </w:rPr>
        <w:t>ngina pectoris is over two hundred years old</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but the controversy about the aetiologic role of coronary arteries has never ceased to hold interest. Acute myocardial infarction (MI) without significant coronary artery disease (CAD) was initially described almost 80 years ago by Gross and Sternberg, whereas the term </w:t>
      </w:r>
      <w:r w:rsidR="001627AB" w:rsidRPr="00DD5245">
        <w:rPr>
          <w:rFonts w:ascii="Book Antiqua" w:hAnsi="Book Antiqua"/>
          <w:sz w:val="24"/>
          <w:szCs w:val="24"/>
          <w:lang w:val="en-GB"/>
        </w:rPr>
        <w:t xml:space="preserve">myocardial infarction with non-obstructive coronary arteries </w:t>
      </w:r>
      <w:r w:rsidRPr="00DD5245">
        <w:rPr>
          <w:rFonts w:ascii="Book Antiqua" w:hAnsi="Book Antiqua"/>
          <w:sz w:val="24"/>
          <w:szCs w:val="24"/>
          <w:lang w:val="en-GB"/>
        </w:rPr>
        <w:t>(</w:t>
      </w:r>
      <w:r w:rsidR="001627AB" w:rsidRPr="00DD5245">
        <w:rPr>
          <w:rFonts w:ascii="Book Antiqua" w:hAnsi="Book Antiqua"/>
          <w:sz w:val="24"/>
          <w:szCs w:val="24"/>
          <w:lang w:val="en-GB"/>
        </w:rPr>
        <w:t>MINOCA</w:t>
      </w:r>
      <w:r w:rsidRPr="00DD5245">
        <w:rPr>
          <w:rFonts w:ascii="Book Antiqua" w:hAnsi="Book Antiqua"/>
          <w:sz w:val="24"/>
          <w:szCs w:val="24"/>
          <w:lang w:val="en-GB"/>
        </w:rPr>
        <w:t xml:space="preserve">) is </w:t>
      </w:r>
      <w:r w:rsidR="005C603D" w:rsidRPr="00DD5245">
        <w:rPr>
          <w:rFonts w:ascii="Book Antiqua" w:hAnsi="Book Antiqua"/>
          <w:sz w:val="24"/>
          <w:szCs w:val="24"/>
          <w:lang w:val="en-GB"/>
        </w:rPr>
        <w:t>recent</w:t>
      </w:r>
      <w:r w:rsidRPr="00DD5245">
        <w:rPr>
          <w:rFonts w:ascii="Book Antiqua" w:hAnsi="Book Antiqua"/>
          <w:sz w:val="24"/>
          <w:szCs w:val="24"/>
          <w:vertAlign w:val="superscript"/>
          <w:lang w:val="en-GB"/>
        </w:rPr>
        <w:t>[1,2]</w:t>
      </w:r>
      <w:r w:rsidRPr="00DD5245">
        <w:rPr>
          <w:rFonts w:ascii="Book Antiqua" w:hAnsi="Book Antiqua"/>
          <w:sz w:val="24"/>
          <w:szCs w:val="24"/>
          <w:lang w:val="en-GB"/>
        </w:rPr>
        <w:t>.</w:t>
      </w:r>
    </w:p>
    <w:p w14:paraId="42257B41" w14:textId="3B48E690" w:rsidR="00513789" w:rsidRPr="00DD5245" w:rsidRDefault="00150F1C" w:rsidP="006B5099">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The diagnosis of an acute coronary syndrome should be established according to the fourth universal definition of </w:t>
      </w:r>
      <w:r w:rsidR="00AF0E90" w:rsidRPr="00DD5245">
        <w:rPr>
          <w:rFonts w:ascii="Book Antiqua" w:hAnsi="Book Antiqua"/>
          <w:sz w:val="24"/>
          <w:szCs w:val="24"/>
          <w:lang w:val="en-GB"/>
        </w:rPr>
        <w:t>MI</w:t>
      </w:r>
      <w:r w:rsidRPr="00DD5245">
        <w:rPr>
          <w:rFonts w:ascii="Book Antiqua" w:hAnsi="Book Antiqua"/>
          <w:sz w:val="24"/>
          <w:szCs w:val="24"/>
          <w:lang w:val="en-GB"/>
        </w:rPr>
        <w:t>, which is when there is evidence of acute myocardial injury accompanied by clinical data suggesting acute myocardial ischaemia such as relevant symptoms, new ischaemic electrocardiogram</w:t>
      </w:r>
      <w:r w:rsidR="002E4486" w:rsidRPr="00DD5245">
        <w:rPr>
          <w:rFonts w:ascii="Book Antiqua" w:hAnsi="Book Antiqua"/>
          <w:sz w:val="24"/>
          <w:szCs w:val="24"/>
          <w:lang w:val="en-GB"/>
        </w:rPr>
        <w:t xml:space="preserve"> (ECG)</w:t>
      </w:r>
      <w:r w:rsidRPr="00DD5245">
        <w:rPr>
          <w:rFonts w:ascii="Book Antiqua" w:hAnsi="Book Antiqua"/>
          <w:sz w:val="24"/>
          <w:szCs w:val="24"/>
          <w:lang w:val="en-GB"/>
        </w:rPr>
        <w:t xml:space="preserve"> changes, loss of viable myocardium </w:t>
      </w:r>
      <w:r w:rsidR="00DC6519" w:rsidRPr="00DD5245">
        <w:rPr>
          <w:rFonts w:ascii="Book Antiqua" w:hAnsi="Book Antiqua"/>
          <w:sz w:val="24"/>
          <w:szCs w:val="24"/>
          <w:lang w:val="en-GB"/>
        </w:rPr>
        <w:t xml:space="preserve">present in </w:t>
      </w:r>
      <w:r w:rsidRPr="00DD5245">
        <w:rPr>
          <w:rFonts w:ascii="Book Antiqua" w:hAnsi="Book Antiqua"/>
          <w:sz w:val="24"/>
          <w:szCs w:val="24"/>
          <w:lang w:val="en-GB"/>
        </w:rPr>
        <w:t>imaging, or identification of coronary thrombus. Several diverse definitions of MI have been used</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leading to unbalanced criteria and confusion. Thus, a general </w:t>
      </w:r>
      <w:r w:rsidR="00DC6519" w:rsidRPr="00DD5245">
        <w:rPr>
          <w:rFonts w:ascii="Book Antiqua" w:hAnsi="Book Antiqua"/>
          <w:sz w:val="24"/>
          <w:szCs w:val="24"/>
          <w:lang w:val="en-GB"/>
        </w:rPr>
        <w:t xml:space="preserve">universal </w:t>
      </w:r>
      <w:r w:rsidRPr="00DD5245">
        <w:rPr>
          <w:rFonts w:ascii="Book Antiqua" w:hAnsi="Book Antiqua"/>
          <w:sz w:val="24"/>
          <w:szCs w:val="24"/>
          <w:lang w:val="en-GB"/>
        </w:rPr>
        <w:t xml:space="preserve">definition of MI was </w:t>
      </w:r>
      <w:r w:rsidR="00DC6519" w:rsidRPr="00DD5245">
        <w:rPr>
          <w:rFonts w:ascii="Book Antiqua" w:hAnsi="Book Antiqua"/>
          <w:sz w:val="24"/>
          <w:szCs w:val="24"/>
          <w:lang w:val="en-GB"/>
        </w:rPr>
        <w:t xml:space="preserve">agreed upon </w:t>
      </w:r>
      <w:r w:rsidRPr="00DD5245">
        <w:rPr>
          <w:rFonts w:ascii="Book Antiqua" w:hAnsi="Book Antiqua"/>
          <w:sz w:val="24"/>
          <w:szCs w:val="24"/>
          <w:lang w:val="en-GB"/>
        </w:rPr>
        <w:t>for the first time over 50 years ago with the collaboration of multiple groups</w:t>
      </w:r>
      <w:r w:rsidR="00D3046F" w:rsidRPr="00DD5245">
        <w:rPr>
          <w:rFonts w:ascii="Book Antiqua" w:hAnsi="Book Antiqua"/>
          <w:sz w:val="24"/>
          <w:szCs w:val="24"/>
          <w:lang w:val="en-GB"/>
        </w:rPr>
        <w:t xml:space="preserve"> that were</w:t>
      </w:r>
      <w:r w:rsidRPr="00DD5245">
        <w:rPr>
          <w:rFonts w:ascii="Book Antiqua" w:hAnsi="Book Antiqua"/>
          <w:sz w:val="24"/>
          <w:szCs w:val="24"/>
          <w:lang w:val="en-GB"/>
        </w:rPr>
        <w:t xml:space="preserve"> initially created for epidemiological reasons. With the discovery of cardiac biomarkers, </w:t>
      </w:r>
      <w:r w:rsidRPr="00DD5245">
        <w:rPr>
          <w:rFonts w:ascii="Book Antiqua" w:eastAsia="宋体" w:hAnsi="Book Antiqua" w:cs="Times New Roman"/>
          <w:sz w:val="24"/>
          <w:szCs w:val="24"/>
          <w:lang w:val="en-GB"/>
        </w:rPr>
        <w:t xml:space="preserve">the </w:t>
      </w:r>
      <w:r w:rsidRPr="00DD5245">
        <w:rPr>
          <w:rFonts w:ascii="Book Antiqua" w:hAnsi="Book Antiqua"/>
          <w:sz w:val="24"/>
          <w:szCs w:val="24"/>
          <w:lang w:val="en-GB"/>
        </w:rPr>
        <w:t>diagnosis of MI has been simplified, but because</w:t>
      </w:r>
      <w:r w:rsidR="00D3046F" w:rsidRPr="00DD5245">
        <w:rPr>
          <w:rFonts w:ascii="Book Antiqua" w:hAnsi="Book Antiqua"/>
          <w:sz w:val="24"/>
          <w:szCs w:val="24"/>
          <w:lang w:val="en-GB"/>
        </w:rPr>
        <w:t xml:space="preserve"> an</w:t>
      </w:r>
      <w:r w:rsidRPr="00DD5245">
        <w:rPr>
          <w:rFonts w:ascii="Book Antiqua" w:hAnsi="Book Antiqua"/>
          <w:sz w:val="24"/>
          <w:szCs w:val="24"/>
          <w:lang w:val="en-GB"/>
        </w:rPr>
        <w:t xml:space="preserve"> </w:t>
      </w:r>
      <w:r w:rsidR="00D3046F" w:rsidRPr="00DD5245">
        <w:rPr>
          <w:rFonts w:ascii="Book Antiqua" w:hAnsi="Book Antiqua"/>
          <w:sz w:val="24"/>
          <w:szCs w:val="24"/>
          <w:lang w:val="en-GB"/>
        </w:rPr>
        <w:t>increase in</w:t>
      </w:r>
      <w:r w:rsidRPr="00DD5245">
        <w:rPr>
          <w:rFonts w:ascii="Book Antiqua" w:hAnsi="Book Antiqua"/>
          <w:sz w:val="24"/>
          <w:szCs w:val="24"/>
          <w:lang w:val="en-GB"/>
        </w:rPr>
        <w:t xml:space="preserve"> cardiac biomarkers is an entity by itself, it is not pathognomonic of an acute coronary syndrome </w:t>
      </w:r>
      <w:r w:rsidR="00D3046F" w:rsidRPr="00DD5245">
        <w:rPr>
          <w:rFonts w:ascii="Book Antiqua" w:hAnsi="Book Antiqua"/>
          <w:sz w:val="24"/>
          <w:szCs w:val="24"/>
          <w:lang w:val="en-GB"/>
        </w:rPr>
        <w:t>in isolation</w:t>
      </w:r>
      <w:r w:rsidRPr="00DD5245">
        <w:rPr>
          <w:rFonts w:ascii="Book Antiqua" w:hAnsi="Book Antiqua"/>
          <w:sz w:val="24"/>
          <w:szCs w:val="24"/>
          <w:lang w:val="en-GB"/>
        </w:rPr>
        <w:t>. Elevation of cardiac biomarkers, such as cardiac troponin I and T, represent</w:t>
      </w:r>
      <w:r w:rsidR="00D3046F" w:rsidRPr="00DD5245">
        <w:rPr>
          <w:rFonts w:ascii="Book Antiqua" w:hAnsi="Book Antiqua"/>
          <w:sz w:val="24"/>
          <w:szCs w:val="24"/>
          <w:lang w:val="en-GB"/>
        </w:rPr>
        <w:t>s</w:t>
      </w:r>
      <w:r w:rsidRPr="00DD5245">
        <w:rPr>
          <w:rFonts w:ascii="Book Antiqua" w:hAnsi="Book Antiqua"/>
          <w:sz w:val="24"/>
          <w:szCs w:val="24"/>
          <w:lang w:val="en-GB"/>
        </w:rPr>
        <w:t xml:space="preserve"> injury to myocardial cells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but </w:t>
      </w:r>
      <w:r w:rsidR="00D3046F" w:rsidRPr="00DD5245">
        <w:rPr>
          <w:rFonts w:ascii="Book Antiqua" w:hAnsi="Book Antiqua"/>
          <w:sz w:val="24"/>
          <w:szCs w:val="24"/>
          <w:lang w:val="en-GB"/>
        </w:rPr>
        <w:t xml:space="preserve">such increases </w:t>
      </w:r>
      <w:r w:rsidRPr="00DD5245">
        <w:rPr>
          <w:rFonts w:ascii="Book Antiqua" w:hAnsi="Book Antiqua"/>
          <w:sz w:val="24"/>
          <w:szCs w:val="24"/>
          <w:lang w:val="en-GB"/>
        </w:rPr>
        <w:t xml:space="preserve">do not reflect the underlying pathophysiology </w:t>
      </w:r>
      <w:r w:rsidRPr="00DD5245">
        <w:rPr>
          <w:rFonts w:ascii="Book Antiqua" w:eastAsia="宋体" w:hAnsi="Book Antiqua" w:cs="Times New Roman"/>
          <w:sz w:val="24"/>
          <w:szCs w:val="24"/>
          <w:lang w:val="en-GB"/>
        </w:rPr>
        <w:t>because</w:t>
      </w:r>
      <w:r w:rsidRPr="00DD5245">
        <w:rPr>
          <w:rFonts w:ascii="Book Antiqua" w:hAnsi="Book Antiqua"/>
          <w:sz w:val="24"/>
          <w:szCs w:val="24"/>
          <w:lang w:val="en-GB"/>
        </w:rPr>
        <w:t xml:space="preserve"> they can arise in a variety of situations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including normal hearts. This</w:t>
      </w:r>
      <w:r w:rsidR="00D3046F" w:rsidRPr="00DD5245">
        <w:rPr>
          <w:rFonts w:ascii="Book Antiqua" w:hAnsi="Book Antiqua"/>
          <w:sz w:val="24"/>
          <w:szCs w:val="24"/>
          <w:lang w:val="en-GB"/>
        </w:rPr>
        <w:t xml:space="preserve"> variability</w:t>
      </w:r>
      <w:r w:rsidRPr="00DD5245">
        <w:rPr>
          <w:rFonts w:ascii="Book Antiqua" w:hAnsi="Book Antiqua"/>
          <w:sz w:val="24"/>
          <w:szCs w:val="24"/>
          <w:lang w:val="en-GB"/>
        </w:rPr>
        <w:t xml:space="preserve"> highlights the need for a </w:t>
      </w:r>
      <w:r w:rsidR="00D3046F" w:rsidRPr="00DD5245">
        <w:rPr>
          <w:rFonts w:ascii="Book Antiqua" w:hAnsi="Book Antiqua"/>
          <w:sz w:val="24"/>
          <w:szCs w:val="24"/>
          <w:lang w:val="en-GB"/>
        </w:rPr>
        <w:t xml:space="preserve">global </w:t>
      </w:r>
      <w:r w:rsidRPr="00DD5245">
        <w:rPr>
          <w:rFonts w:ascii="Book Antiqua" w:hAnsi="Book Antiqua"/>
          <w:sz w:val="24"/>
          <w:szCs w:val="24"/>
          <w:lang w:val="en-GB"/>
        </w:rPr>
        <w:t xml:space="preserve">uniform definition of </w:t>
      </w:r>
      <w:r w:rsidR="00AF0E90" w:rsidRPr="00DD5245">
        <w:rPr>
          <w:rFonts w:ascii="Book Antiqua" w:hAnsi="Book Antiqua"/>
          <w:sz w:val="24"/>
          <w:szCs w:val="24"/>
          <w:lang w:val="en-GB"/>
        </w:rPr>
        <w:t>MI</w:t>
      </w:r>
      <w:r w:rsidRPr="00DD5245">
        <w:rPr>
          <w:rFonts w:ascii="Book Antiqua" w:hAnsi="Book Antiqua"/>
          <w:sz w:val="24"/>
          <w:szCs w:val="24"/>
          <w:lang w:val="en-GB"/>
        </w:rPr>
        <w:t xml:space="preserve"> and myocardial injury</w:t>
      </w:r>
      <w:r w:rsidRPr="00DD5245">
        <w:rPr>
          <w:rFonts w:ascii="Book Antiqua" w:hAnsi="Book Antiqua"/>
          <w:sz w:val="24"/>
          <w:szCs w:val="24"/>
          <w:vertAlign w:val="superscript"/>
          <w:lang w:val="en-GB"/>
        </w:rPr>
        <w:t>[3-5]</w:t>
      </w:r>
      <w:r w:rsidRPr="00DD5245">
        <w:rPr>
          <w:rFonts w:ascii="Book Antiqua" w:hAnsi="Book Antiqua"/>
          <w:sz w:val="24"/>
          <w:szCs w:val="24"/>
          <w:lang w:val="en-GB"/>
        </w:rPr>
        <w:t>.</w:t>
      </w:r>
    </w:p>
    <w:p w14:paraId="32F63944" w14:textId="651397FA" w:rsidR="00513789" w:rsidRPr="00DD5245" w:rsidRDefault="00150F1C" w:rsidP="006B5099">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There are multiple classifications of MI. Classically, for discrimination of immediate or delayed treatment strategies, patients who develop new ST-segment elevation in two contiguous leads or new bundle branch block with ischaemic alterations are designated ST-elevation myocardial infarction (STEMI) patients, </w:t>
      </w:r>
      <w:r w:rsidRPr="00DD5245">
        <w:rPr>
          <w:rFonts w:ascii="Book Antiqua" w:hAnsi="Book Antiqua"/>
          <w:sz w:val="24"/>
          <w:szCs w:val="24"/>
          <w:lang w:val="en-GB"/>
        </w:rPr>
        <w:lastRenderedPageBreak/>
        <w:t>whereas the subgroup without ST-segment elevation is diagnosed as non-ST elevation MI (NSTEMI). In addition to those two categories, MI can be classified pathophysiologically</w:t>
      </w:r>
      <w:r w:rsidRPr="00DD5245">
        <w:rPr>
          <w:rFonts w:ascii="Book Antiqua" w:hAnsi="Book Antiqua"/>
          <w:sz w:val="24"/>
          <w:szCs w:val="24"/>
          <w:vertAlign w:val="superscript"/>
          <w:lang w:val="en-GB"/>
        </w:rPr>
        <w:t>[4,5]</w:t>
      </w:r>
      <w:r w:rsidRPr="00DD5245">
        <w:rPr>
          <w:rFonts w:ascii="Book Antiqua" w:hAnsi="Book Antiqua"/>
          <w:sz w:val="24"/>
          <w:szCs w:val="24"/>
          <w:lang w:val="en-GB"/>
        </w:rPr>
        <w:t>. Evidence of</w:t>
      </w:r>
      <w:r w:rsidR="00D3046F" w:rsidRPr="00DD5245">
        <w:rPr>
          <w:rFonts w:ascii="Book Antiqua" w:hAnsi="Book Antiqua"/>
          <w:sz w:val="24"/>
          <w:szCs w:val="24"/>
          <w:lang w:val="en-GB"/>
        </w:rPr>
        <w:t xml:space="preserve"> an</w:t>
      </w:r>
      <w:r w:rsidRPr="00DD5245">
        <w:rPr>
          <w:rFonts w:ascii="Book Antiqua" w:hAnsi="Book Antiqua"/>
          <w:sz w:val="24"/>
          <w:szCs w:val="24"/>
          <w:lang w:val="en-GB"/>
        </w:rPr>
        <w:t xml:space="preserve"> imbalance between myocardial oxygen supply and demand unrelated to acute atherothrombosis corresponds to type 2 MI; by definition, acute atherothrombotic plaque rupture excludes type 2 MI. Type 1 MI and MINOCA are two separate entities with different underlying mechanisms, management, and prognosis</w:t>
      </w:r>
      <w:r w:rsidRPr="00DD5245">
        <w:rPr>
          <w:rFonts w:ascii="Book Antiqua" w:hAnsi="Book Antiqua"/>
          <w:sz w:val="24"/>
          <w:szCs w:val="24"/>
          <w:vertAlign w:val="superscript"/>
          <w:lang w:val="en-GB"/>
        </w:rPr>
        <w:t>[5,6]</w:t>
      </w:r>
      <w:r w:rsidRPr="00DD5245">
        <w:rPr>
          <w:rFonts w:ascii="Book Antiqua" w:hAnsi="Book Antiqua"/>
          <w:sz w:val="24"/>
          <w:szCs w:val="24"/>
          <w:lang w:val="en-GB"/>
        </w:rPr>
        <w:t>.</w:t>
      </w:r>
    </w:p>
    <w:p w14:paraId="2AFFB893" w14:textId="3CE0DBBF" w:rsidR="00513789" w:rsidRPr="00DD5245" w:rsidRDefault="00150F1C" w:rsidP="006B5099">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MINOCA </w:t>
      </w:r>
      <w:r w:rsidR="00D3046F" w:rsidRPr="00DD5245">
        <w:rPr>
          <w:rFonts w:ascii="Book Antiqua" w:hAnsi="Book Antiqua"/>
          <w:sz w:val="24"/>
          <w:szCs w:val="24"/>
          <w:lang w:val="en-GB"/>
        </w:rPr>
        <w:t xml:space="preserve">is diagnosed in </w:t>
      </w:r>
      <w:r w:rsidRPr="00DD5245">
        <w:rPr>
          <w:rFonts w:ascii="Book Antiqua" w:hAnsi="Book Antiqua"/>
          <w:sz w:val="24"/>
          <w:szCs w:val="24"/>
          <w:lang w:val="en-GB"/>
        </w:rPr>
        <w:t>a patient with features of MI with non-obstructive coronary arteries on angiography,</w:t>
      </w:r>
      <w:r w:rsidR="00D3046F" w:rsidRPr="00DD5245">
        <w:rPr>
          <w:rFonts w:ascii="Book Antiqua" w:hAnsi="Book Antiqua"/>
          <w:sz w:val="24"/>
          <w:szCs w:val="24"/>
          <w:lang w:val="en-GB"/>
        </w:rPr>
        <w:t xml:space="preserve"> is</w:t>
      </w:r>
      <w:r w:rsidRPr="00DD5245">
        <w:rPr>
          <w:rFonts w:ascii="Book Antiqua" w:hAnsi="Book Antiqua"/>
          <w:sz w:val="24"/>
          <w:szCs w:val="24"/>
          <w:lang w:val="en-GB"/>
        </w:rPr>
        <w:t xml:space="preserve"> defined as no coronary artery stenosis </w:t>
      </w:r>
      <w:r w:rsidR="006B5099" w:rsidRPr="00DD5245">
        <w:rPr>
          <w:rFonts w:ascii="Book Antiqua" w:hAnsi="Book Antiqua"/>
          <w:sz w:val="24"/>
          <w:szCs w:val="24"/>
          <w:lang w:val="en-GB"/>
        </w:rPr>
        <w:t>≥</w:t>
      </w:r>
      <w:r w:rsidR="006B5099" w:rsidRPr="00DD5245">
        <w:rPr>
          <w:rFonts w:ascii="Cambria Math" w:hAnsi="Cambria Math" w:cs="Cambria Math"/>
          <w:sz w:val="24"/>
          <w:szCs w:val="24"/>
          <w:lang w:val="en-GB"/>
        </w:rPr>
        <w:t xml:space="preserve"> </w:t>
      </w:r>
      <w:r w:rsidRPr="00DD5245">
        <w:rPr>
          <w:rFonts w:ascii="Book Antiqua" w:hAnsi="Book Antiqua"/>
          <w:sz w:val="24"/>
          <w:szCs w:val="24"/>
          <w:lang w:val="en-GB"/>
        </w:rPr>
        <w:t xml:space="preserve">50% in any potential infarct-related </w:t>
      </w:r>
      <w:r w:rsidR="00E90D25" w:rsidRPr="00DD5245">
        <w:rPr>
          <w:rFonts w:ascii="Book Antiqua" w:hAnsi="Book Antiqua"/>
          <w:sz w:val="24"/>
          <w:szCs w:val="24"/>
          <w:lang w:val="en-GB"/>
        </w:rPr>
        <w:t>artery and</w:t>
      </w:r>
      <w:r w:rsidRPr="00DD5245">
        <w:rPr>
          <w:rFonts w:ascii="Book Antiqua" w:hAnsi="Book Antiqua"/>
          <w:sz w:val="24"/>
          <w:szCs w:val="24"/>
          <w:lang w:val="en-GB"/>
        </w:rPr>
        <w:t xml:space="preserve"> </w:t>
      </w:r>
      <w:r w:rsidR="00D3046F" w:rsidRPr="00DD5245">
        <w:rPr>
          <w:rFonts w:ascii="Book Antiqua" w:hAnsi="Book Antiqua"/>
          <w:sz w:val="24"/>
          <w:szCs w:val="24"/>
          <w:lang w:val="en-GB"/>
        </w:rPr>
        <w:t xml:space="preserve">is characterized by </w:t>
      </w:r>
      <w:r w:rsidRPr="00DD5245">
        <w:rPr>
          <w:rFonts w:ascii="Book Antiqua" w:hAnsi="Book Antiqua"/>
          <w:sz w:val="24"/>
          <w:szCs w:val="24"/>
          <w:lang w:val="en-GB"/>
        </w:rPr>
        <w:t xml:space="preserve">the absence of a clinically specific cause </w:t>
      </w:r>
      <w:r w:rsidR="00D3046F" w:rsidRPr="00DD5245">
        <w:rPr>
          <w:rFonts w:ascii="Book Antiqua" w:hAnsi="Book Antiqua"/>
          <w:sz w:val="24"/>
          <w:szCs w:val="24"/>
          <w:lang w:val="en-GB"/>
        </w:rPr>
        <w:t xml:space="preserve">of </w:t>
      </w:r>
      <w:r w:rsidRPr="00DD5245">
        <w:rPr>
          <w:rFonts w:ascii="Book Antiqua" w:hAnsi="Book Antiqua"/>
          <w:sz w:val="24"/>
          <w:szCs w:val="24"/>
          <w:lang w:val="en-GB"/>
        </w:rPr>
        <w:t>the acute presentation. Clinical criteria and biomarker behaviour of MINOCA remain similar to other acute coronary events</w:t>
      </w:r>
      <w:r w:rsidRPr="00DD5245">
        <w:rPr>
          <w:rFonts w:ascii="Book Antiqua" w:hAnsi="Book Antiqua"/>
          <w:sz w:val="24"/>
          <w:szCs w:val="24"/>
          <w:vertAlign w:val="superscript"/>
          <w:lang w:val="en-GB"/>
        </w:rPr>
        <w:t>[3,6]</w:t>
      </w:r>
      <w:r w:rsidRPr="00DD5245">
        <w:rPr>
          <w:rFonts w:ascii="Book Antiqua" w:hAnsi="Book Antiqua"/>
          <w:sz w:val="24"/>
          <w:szCs w:val="24"/>
          <w:lang w:val="en-GB"/>
        </w:rPr>
        <w:t>.</w:t>
      </w:r>
    </w:p>
    <w:p w14:paraId="2F58B532"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792C182D" w14:textId="1AF69771"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PREVALENCE AND CLINICAL FEATURES</w:t>
      </w:r>
    </w:p>
    <w:p w14:paraId="2BA86E76" w14:textId="02D391CB"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 xml:space="preserve">MINOCA is not an uncommon presentation of acute coronary syndromes. Large MI registries reflect </w:t>
      </w:r>
      <w:r w:rsidR="00D3046F" w:rsidRPr="00DD5245">
        <w:rPr>
          <w:rFonts w:ascii="Book Antiqua" w:hAnsi="Book Antiqua"/>
          <w:sz w:val="24"/>
          <w:szCs w:val="24"/>
          <w:lang w:val="en-GB"/>
        </w:rPr>
        <w:t>the</w:t>
      </w:r>
      <w:r w:rsidRPr="00DD5245">
        <w:rPr>
          <w:rFonts w:ascii="Book Antiqua" w:hAnsi="Book Antiqua"/>
          <w:sz w:val="24"/>
          <w:szCs w:val="24"/>
          <w:lang w:val="en-GB"/>
        </w:rPr>
        <w:t xml:space="preserve"> universal nature of MINOCA with</w:t>
      </w:r>
      <w:r w:rsidR="00D3046F" w:rsidRPr="00DD5245">
        <w:rPr>
          <w:rFonts w:ascii="Book Antiqua" w:hAnsi="Book Antiqua"/>
          <w:sz w:val="24"/>
          <w:szCs w:val="24"/>
          <w:lang w:val="en-GB"/>
        </w:rPr>
        <w:t xml:space="preserve"> the</w:t>
      </w:r>
      <w:r w:rsidRPr="00DD5245">
        <w:rPr>
          <w:rFonts w:ascii="Book Antiqua" w:hAnsi="Book Antiqua"/>
          <w:sz w:val="24"/>
          <w:szCs w:val="24"/>
          <w:lang w:val="en-GB"/>
        </w:rPr>
        <w:t xml:space="preserve"> prevalence ranging between 5% and 25% in different series, with 11% in a recent prospective observational study</w:t>
      </w:r>
      <w:r w:rsidRPr="00DD5245">
        <w:rPr>
          <w:rFonts w:ascii="Book Antiqua" w:hAnsi="Book Antiqua"/>
          <w:sz w:val="24"/>
          <w:szCs w:val="24"/>
          <w:vertAlign w:val="superscript"/>
          <w:lang w:val="en-GB"/>
        </w:rPr>
        <w:t>[7,9]</w:t>
      </w:r>
      <w:r w:rsidRPr="00DD5245">
        <w:rPr>
          <w:rFonts w:ascii="Book Antiqua" w:hAnsi="Book Antiqua"/>
          <w:sz w:val="24"/>
          <w:szCs w:val="24"/>
          <w:lang w:val="en-GB"/>
        </w:rPr>
        <w:t>. Throughout the years, MINOCA has remained prevalent with an increasing incidence</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as was </w:t>
      </w:r>
      <w:r w:rsidRPr="00DD5245">
        <w:rPr>
          <w:rFonts w:ascii="Book Antiqua" w:eastAsia="宋体" w:hAnsi="Book Antiqua" w:cs="Times New Roman"/>
          <w:sz w:val="24"/>
          <w:szCs w:val="24"/>
          <w:lang w:val="en-GB"/>
        </w:rPr>
        <w:t>observed</w:t>
      </w:r>
      <w:r w:rsidRPr="00DD5245">
        <w:rPr>
          <w:rFonts w:ascii="Book Antiqua" w:hAnsi="Book Antiqua"/>
          <w:sz w:val="24"/>
          <w:szCs w:val="24"/>
          <w:lang w:val="en-GB"/>
        </w:rPr>
        <w:t xml:space="preserve"> in a Spanish registry</w:t>
      </w:r>
      <w:r w:rsidRPr="00DD5245">
        <w:rPr>
          <w:rFonts w:ascii="Book Antiqua" w:hAnsi="Book Antiqua"/>
          <w:sz w:val="24"/>
          <w:szCs w:val="24"/>
          <w:vertAlign w:val="superscript"/>
          <w:lang w:val="en-GB"/>
        </w:rPr>
        <w:t>[10]</w:t>
      </w:r>
      <w:r w:rsidRPr="00DD5245">
        <w:rPr>
          <w:rFonts w:ascii="Book Antiqua" w:hAnsi="Book Antiqua"/>
          <w:sz w:val="24"/>
          <w:szCs w:val="24"/>
          <w:lang w:val="en-GB"/>
        </w:rPr>
        <w:t>. MINOCA patient characteristics differ from</w:t>
      </w:r>
      <w:r w:rsidR="00D3046F" w:rsidRPr="00DD5245">
        <w:rPr>
          <w:rFonts w:ascii="Book Antiqua" w:hAnsi="Book Antiqua"/>
          <w:sz w:val="24"/>
          <w:szCs w:val="24"/>
          <w:lang w:val="en-GB"/>
        </w:rPr>
        <w:t xml:space="preserve"> those of</w:t>
      </w:r>
      <w:r w:rsidRPr="00DD5245">
        <w:rPr>
          <w:rFonts w:ascii="Book Antiqua" w:hAnsi="Book Antiqua"/>
          <w:sz w:val="24"/>
          <w:szCs w:val="24"/>
          <w:lang w:val="en-GB"/>
        </w:rPr>
        <w:t xml:space="preserve"> other</w:t>
      </w:r>
      <w:r w:rsidR="003443D1" w:rsidRPr="00DD5245">
        <w:rPr>
          <w:rFonts w:ascii="Book Antiqua" w:hAnsi="Book Antiqua"/>
          <w:sz w:val="24"/>
          <w:szCs w:val="24"/>
          <w:lang w:val="en-GB"/>
        </w:rPr>
        <w:t xml:space="preserve"> Myocardial Infarction and Coronary Artery Disease</w:t>
      </w:r>
      <w:r w:rsidRPr="00DD5245">
        <w:rPr>
          <w:rFonts w:ascii="Book Antiqua" w:hAnsi="Book Antiqua"/>
          <w:sz w:val="24"/>
          <w:szCs w:val="24"/>
          <w:lang w:val="en-GB"/>
        </w:rPr>
        <w:t xml:space="preserve"> </w:t>
      </w:r>
      <w:r w:rsidR="003443D1" w:rsidRPr="00DD5245">
        <w:rPr>
          <w:rFonts w:ascii="Book Antiqua" w:hAnsi="Book Antiqua"/>
          <w:sz w:val="24"/>
          <w:szCs w:val="24"/>
          <w:lang w:val="en-GB"/>
        </w:rPr>
        <w:t>(</w:t>
      </w:r>
      <w:r w:rsidRPr="00DD5245">
        <w:rPr>
          <w:rFonts w:ascii="Book Antiqua" w:hAnsi="Book Antiqua"/>
          <w:sz w:val="24"/>
          <w:szCs w:val="24"/>
          <w:lang w:val="en-GB"/>
        </w:rPr>
        <w:t>MI-CAD</w:t>
      </w:r>
      <w:r w:rsidR="003443D1" w:rsidRPr="00DD5245">
        <w:rPr>
          <w:rFonts w:ascii="Book Antiqua" w:hAnsi="Book Antiqua"/>
          <w:sz w:val="24"/>
          <w:szCs w:val="24"/>
          <w:lang w:val="en-GB"/>
        </w:rPr>
        <w:t>)</w:t>
      </w:r>
      <w:r w:rsidRPr="00DD5245">
        <w:rPr>
          <w:rFonts w:ascii="Book Antiqua" w:hAnsi="Book Antiqua"/>
          <w:sz w:val="24"/>
          <w:szCs w:val="24"/>
          <w:lang w:val="en-GB"/>
        </w:rPr>
        <w:t xml:space="preserve"> patients </w:t>
      </w:r>
      <w:r w:rsidRPr="00DD5245">
        <w:rPr>
          <w:rFonts w:ascii="Book Antiqua" w:eastAsia="宋体" w:hAnsi="Book Antiqua" w:cs="Times New Roman"/>
          <w:sz w:val="24"/>
          <w:szCs w:val="24"/>
          <w:lang w:val="en-GB"/>
        </w:rPr>
        <w:t>because</w:t>
      </w:r>
      <w:r w:rsidRPr="00DD5245">
        <w:rPr>
          <w:rFonts w:ascii="Book Antiqua" w:hAnsi="Book Antiqua"/>
          <w:sz w:val="24"/>
          <w:szCs w:val="24"/>
          <w:lang w:val="en-GB"/>
        </w:rPr>
        <w:t xml:space="preserve"> MINOCA subjects are younger, </w:t>
      </w:r>
      <w:r w:rsidR="00D3046F" w:rsidRPr="00DD5245">
        <w:rPr>
          <w:rFonts w:ascii="Book Antiqua" w:hAnsi="Book Antiqua"/>
          <w:sz w:val="24"/>
          <w:szCs w:val="24"/>
          <w:lang w:val="en-GB"/>
        </w:rPr>
        <w:t xml:space="preserve">are </w:t>
      </w:r>
      <w:r w:rsidRPr="00DD5245">
        <w:rPr>
          <w:rFonts w:ascii="Book Antiqua" w:hAnsi="Book Antiqua"/>
          <w:sz w:val="24"/>
          <w:szCs w:val="24"/>
          <w:lang w:val="en-GB"/>
        </w:rPr>
        <w:t xml:space="preserve">more often female, and tend to have </w:t>
      </w:r>
      <w:r w:rsidRPr="00DD5245">
        <w:rPr>
          <w:rFonts w:ascii="Book Antiqua" w:eastAsia="宋体" w:hAnsi="Book Antiqua" w:cs="Times New Roman"/>
          <w:sz w:val="24"/>
          <w:szCs w:val="24"/>
          <w:lang w:val="en-GB"/>
        </w:rPr>
        <w:t>fewer</w:t>
      </w:r>
      <w:r w:rsidRPr="00DD5245">
        <w:rPr>
          <w:rFonts w:ascii="Book Antiqua" w:hAnsi="Book Antiqua"/>
          <w:sz w:val="24"/>
          <w:szCs w:val="24"/>
          <w:lang w:val="en-GB"/>
        </w:rPr>
        <w:t xml:space="preserve"> traditional cardiovascular risk factors. In the VIRGO study, women had 5</w:t>
      </w:r>
      <w:r w:rsidR="00D3046F" w:rsidRPr="00DD5245">
        <w:rPr>
          <w:rFonts w:ascii="Book Antiqua" w:hAnsi="Book Antiqua"/>
          <w:sz w:val="24"/>
          <w:szCs w:val="24"/>
          <w:lang w:val="en-GB"/>
        </w:rPr>
        <w:t>-fold</w:t>
      </w:r>
      <w:r w:rsidRPr="00DD5245">
        <w:rPr>
          <w:rFonts w:ascii="Book Antiqua" w:hAnsi="Book Antiqua"/>
          <w:sz w:val="24"/>
          <w:szCs w:val="24"/>
          <w:lang w:val="en-GB"/>
        </w:rPr>
        <w:t xml:space="preserve"> higher odds of presenting with MINOCA than men; non-white patients also had </w:t>
      </w:r>
      <w:r w:rsidR="00D3046F" w:rsidRPr="00DD5245">
        <w:rPr>
          <w:rFonts w:ascii="Book Antiqua" w:hAnsi="Book Antiqua"/>
          <w:sz w:val="24"/>
          <w:szCs w:val="24"/>
          <w:lang w:val="en-GB"/>
        </w:rPr>
        <w:t xml:space="preserve">increased rates of </w:t>
      </w:r>
      <w:r w:rsidRPr="00DD5245">
        <w:rPr>
          <w:rFonts w:ascii="Book Antiqua" w:hAnsi="Book Antiqua"/>
          <w:sz w:val="24"/>
          <w:szCs w:val="24"/>
          <w:lang w:val="en-GB"/>
        </w:rPr>
        <w:t xml:space="preserve">MINOCA than white patients. </w:t>
      </w:r>
      <w:r w:rsidR="006B5099" w:rsidRPr="00DD5245">
        <w:rPr>
          <w:rFonts w:ascii="Book Antiqua" w:hAnsi="Book Antiqua"/>
          <w:sz w:val="24"/>
          <w:szCs w:val="24"/>
          <w:lang w:val="en-GB"/>
        </w:rPr>
        <w:t>Pasupathy</w:t>
      </w:r>
      <w:r w:rsidRPr="00DD5245">
        <w:rPr>
          <w:rFonts w:ascii="Book Antiqua" w:hAnsi="Book Antiqua"/>
          <w:sz w:val="24"/>
          <w:szCs w:val="24"/>
          <w:lang w:val="en-GB"/>
        </w:rPr>
        <w:t xml:space="preserve"> </w:t>
      </w:r>
      <w:r w:rsidR="006B5099" w:rsidRPr="00DD5245">
        <w:rPr>
          <w:rFonts w:ascii="Book Antiqua" w:hAnsi="Book Antiqua"/>
          <w:i/>
          <w:sz w:val="24"/>
          <w:szCs w:val="24"/>
          <w:lang w:val="en-GB"/>
        </w:rPr>
        <w:t>et al</w:t>
      </w:r>
      <w:r w:rsidR="006B5099" w:rsidRPr="00DD5245">
        <w:rPr>
          <w:rFonts w:ascii="Book Antiqua" w:hAnsi="Book Antiqua"/>
          <w:sz w:val="24"/>
          <w:szCs w:val="24"/>
          <w:vertAlign w:val="superscript"/>
          <w:lang w:val="en-GB"/>
        </w:rPr>
        <w:t>[11]</w:t>
      </w:r>
      <w:r w:rsidRPr="00DD5245">
        <w:rPr>
          <w:rFonts w:ascii="Book Antiqua" w:eastAsia="宋体" w:hAnsi="Book Antiqua" w:cs="Times New Roman"/>
          <w:sz w:val="24"/>
          <w:szCs w:val="24"/>
          <w:lang w:val="en-GB"/>
        </w:rPr>
        <w:t xml:space="preserve"> reported</w:t>
      </w:r>
      <w:r w:rsidRPr="00DD5245">
        <w:rPr>
          <w:rFonts w:ascii="Book Antiqua" w:hAnsi="Book Antiqua"/>
          <w:sz w:val="24"/>
          <w:szCs w:val="24"/>
          <w:lang w:val="en-GB"/>
        </w:rPr>
        <w:t xml:space="preserve"> that MINOCA patients were less likely to have </w:t>
      </w:r>
      <w:r w:rsidRPr="00DD5245">
        <w:rPr>
          <w:rFonts w:ascii="Book Antiqua" w:hAnsi="Book Antiqua"/>
          <w:color w:val="000000"/>
          <w:sz w:val="24"/>
          <w:szCs w:val="24"/>
          <w:shd w:val="clear" w:color="auto" w:fill="FFFFFF"/>
          <w:lang w:val="en-GB"/>
        </w:rPr>
        <w:t>hyperlipidaemia</w:t>
      </w:r>
      <w:r w:rsidRPr="00DD5245">
        <w:rPr>
          <w:rFonts w:ascii="Book Antiqua" w:hAnsi="Book Antiqua"/>
          <w:sz w:val="24"/>
          <w:szCs w:val="24"/>
          <w:lang w:val="en-GB"/>
        </w:rPr>
        <w:t>, whereas a similar distribution was observed regarding hypertension, diabetes mellitus, smoking</w:t>
      </w:r>
      <w:r w:rsidR="006B5099" w:rsidRPr="00DD5245">
        <w:rPr>
          <w:rFonts w:ascii="Book Antiqua" w:hAnsi="Book Antiqua"/>
          <w:sz w:val="24"/>
          <w:szCs w:val="24"/>
          <w:lang w:val="en-GB"/>
        </w:rPr>
        <w:t>,</w:t>
      </w:r>
      <w:r w:rsidRPr="00DD5245">
        <w:rPr>
          <w:rFonts w:ascii="Book Antiqua" w:hAnsi="Book Antiqua"/>
          <w:sz w:val="24"/>
          <w:szCs w:val="24"/>
          <w:lang w:val="en-GB"/>
        </w:rPr>
        <w:t xml:space="preserve"> and family history of premature coronary disease. Electrocardiographic patterns also differ</w:t>
      </w:r>
      <w:r w:rsidR="00D3046F" w:rsidRPr="00DD5245">
        <w:rPr>
          <w:rFonts w:ascii="Book Antiqua" w:hAnsi="Book Antiqua"/>
          <w:sz w:val="24"/>
          <w:szCs w:val="24"/>
          <w:lang w:val="en-GB"/>
        </w:rPr>
        <w:t>,</w:t>
      </w:r>
      <w:r w:rsidRPr="00DD5245">
        <w:rPr>
          <w:rFonts w:ascii="Book Antiqua" w:hAnsi="Book Antiqua"/>
          <w:sz w:val="24"/>
          <w:szCs w:val="24"/>
          <w:lang w:val="en-GB"/>
        </w:rPr>
        <w:t xml:space="preserve"> generally presenting as STEMI or NSTEMI, with two-thirds of patients having the latter.</w:t>
      </w:r>
      <w:r w:rsidRPr="00DD5245">
        <w:rPr>
          <w:rFonts w:ascii="Book Antiqua" w:eastAsia="宋体" w:hAnsi="Book Antiqua" w:cs="Times New Roman"/>
          <w:sz w:val="24"/>
          <w:szCs w:val="24"/>
          <w:lang w:val="en-GB"/>
        </w:rPr>
        <w:t xml:space="preserve"> It</w:t>
      </w:r>
      <w:r w:rsidRPr="00DD5245">
        <w:rPr>
          <w:rFonts w:ascii="Book Antiqua" w:hAnsi="Book Antiqua"/>
          <w:sz w:val="24"/>
          <w:szCs w:val="24"/>
          <w:lang w:val="en-GB"/>
        </w:rPr>
        <w:t xml:space="preserve"> has also been </w:t>
      </w:r>
      <w:r w:rsidRPr="00DD5245">
        <w:rPr>
          <w:rFonts w:ascii="Book Antiqua" w:hAnsi="Book Antiqua"/>
          <w:sz w:val="24"/>
          <w:szCs w:val="24"/>
          <w:lang w:val="en-GB"/>
        </w:rPr>
        <w:lastRenderedPageBreak/>
        <w:t xml:space="preserve">suggested that hormonal changes, such as </w:t>
      </w:r>
      <w:r w:rsidRPr="00DD5245">
        <w:rPr>
          <w:rFonts w:ascii="Book Antiqua" w:eastAsia="宋体" w:hAnsi="Book Antiqua" w:cs="Times New Roman"/>
          <w:sz w:val="24"/>
          <w:szCs w:val="24"/>
          <w:lang w:val="en-GB"/>
        </w:rPr>
        <w:t xml:space="preserve">the </w:t>
      </w:r>
      <w:r w:rsidRPr="00DD5245">
        <w:rPr>
          <w:rFonts w:ascii="Book Antiqua" w:hAnsi="Book Antiqua"/>
          <w:sz w:val="24"/>
          <w:szCs w:val="24"/>
          <w:lang w:val="en-GB"/>
        </w:rPr>
        <w:t>time of menarche and menopause, may also play a role in MINOCA.</w:t>
      </w:r>
    </w:p>
    <w:p w14:paraId="77A25EEF"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2B20EE43" w14:textId="01CBB7E2"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CLASSIFICATION ACCORDING TO PATHOPHYSIOLOGY</w:t>
      </w:r>
    </w:p>
    <w:p w14:paraId="2961487F" w14:textId="3E434A83"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In the absence of relevant CAD, myocardial ischaemia may be triggered by a disorder of epicardial coronary arteries and/or malfunction in the coronary microcirculation (Table 1). Both have multiple presentations</w:t>
      </w:r>
      <w:r w:rsidRPr="00DD5245">
        <w:rPr>
          <w:rFonts w:ascii="Book Antiqua" w:hAnsi="Book Antiqua"/>
          <w:sz w:val="24"/>
          <w:szCs w:val="24"/>
          <w:vertAlign w:val="superscript"/>
          <w:lang w:val="en-GB"/>
        </w:rPr>
        <w:t>[7,8]</w:t>
      </w:r>
      <w:r w:rsidRPr="00DD5245">
        <w:rPr>
          <w:rFonts w:ascii="Book Antiqua" w:hAnsi="Book Antiqua"/>
          <w:sz w:val="24"/>
          <w:szCs w:val="24"/>
          <w:lang w:val="en-GB"/>
        </w:rPr>
        <w:t>.</w:t>
      </w:r>
    </w:p>
    <w:p w14:paraId="368E57E3" w14:textId="77777777" w:rsidR="006B5099" w:rsidRPr="00DD5245" w:rsidRDefault="006B5099" w:rsidP="00707674">
      <w:pPr>
        <w:adjustRightInd w:val="0"/>
        <w:snapToGrid w:val="0"/>
        <w:spacing w:after="0" w:line="360" w:lineRule="auto"/>
        <w:jc w:val="both"/>
        <w:rPr>
          <w:rFonts w:ascii="Book Antiqua" w:hAnsi="Book Antiqua"/>
          <w:sz w:val="24"/>
          <w:szCs w:val="24"/>
          <w:lang w:val="en-GB"/>
        </w:rPr>
      </w:pPr>
    </w:p>
    <w:p w14:paraId="142706E8" w14:textId="24BF9B30" w:rsidR="00513789" w:rsidRPr="00DD5245" w:rsidRDefault="006B5099" w:rsidP="00707674">
      <w:pPr>
        <w:adjustRightInd w:val="0"/>
        <w:snapToGrid w:val="0"/>
        <w:spacing w:after="0" w:line="360" w:lineRule="auto"/>
        <w:jc w:val="both"/>
        <w:rPr>
          <w:rFonts w:ascii="Book Antiqua" w:hAnsi="Book Antiqua"/>
          <w:b/>
          <w:bCs/>
          <w:sz w:val="24"/>
          <w:szCs w:val="24"/>
          <w:lang w:val="en-GB"/>
        </w:rPr>
      </w:pPr>
      <w:r w:rsidRPr="00DD5245">
        <w:rPr>
          <w:rFonts w:ascii="Book Antiqua" w:hAnsi="Book Antiqua"/>
          <w:b/>
          <w:bCs/>
          <w:i/>
          <w:sz w:val="24"/>
          <w:szCs w:val="24"/>
          <w:lang w:val="en-GB"/>
        </w:rPr>
        <w:t xml:space="preserve">Epicardial causes of </w:t>
      </w:r>
      <w:r w:rsidR="001627AB" w:rsidRPr="00DD5245">
        <w:rPr>
          <w:rFonts w:ascii="Book Antiqua" w:hAnsi="Book Antiqua"/>
          <w:b/>
          <w:bCs/>
          <w:i/>
          <w:sz w:val="24"/>
          <w:szCs w:val="24"/>
          <w:lang w:val="en-GB"/>
        </w:rPr>
        <w:t>MINOCA</w:t>
      </w:r>
    </w:p>
    <w:p w14:paraId="3840B2CC" w14:textId="6C2DB71B" w:rsidR="00513789" w:rsidRPr="00DD5245" w:rsidRDefault="00150F1C" w:rsidP="006B5099">
      <w:pPr>
        <w:pStyle w:val="a4"/>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Coronary plaque disruption:</w:t>
      </w:r>
      <w:r w:rsidRPr="00DD5245">
        <w:rPr>
          <w:rFonts w:ascii="Book Antiqua" w:hAnsi="Book Antiqua"/>
          <w:sz w:val="24"/>
          <w:szCs w:val="24"/>
          <w:lang w:val="en-GB"/>
        </w:rPr>
        <w:t xml:space="preserve"> </w:t>
      </w:r>
      <w:r w:rsidRPr="00DD5245">
        <w:rPr>
          <w:rFonts w:ascii="Book Antiqua" w:eastAsia="宋体" w:hAnsi="Book Antiqua" w:cs="Times New Roman"/>
          <w:sz w:val="24"/>
          <w:szCs w:val="24"/>
          <w:lang w:val="en-GB"/>
        </w:rPr>
        <w:t>Many</w:t>
      </w:r>
      <w:r w:rsidRPr="00DD5245">
        <w:rPr>
          <w:rFonts w:ascii="Book Antiqua" w:hAnsi="Book Antiqua"/>
          <w:sz w:val="24"/>
          <w:szCs w:val="24"/>
          <w:lang w:val="en-GB"/>
        </w:rPr>
        <w:t xml:space="preserve"> atherosclerotic plaques are positively</w:t>
      </w:r>
      <w:r w:rsidR="00D3046F" w:rsidRPr="00DD5245">
        <w:rPr>
          <w:rFonts w:ascii="Book Antiqua" w:hAnsi="Book Antiqua"/>
          <w:sz w:val="24"/>
          <w:szCs w:val="24"/>
          <w:lang w:val="en-GB"/>
        </w:rPr>
        <w:t xml:space="preserve"> </w:t>
      </w:r>
      <w:r w:rsidRPr="00DD5245">
        <w:rPr>
          <w:rFonts w:ascii="Book Antiqua" w:hAnsi="Book Antiqua"/>
          <w:sz w:val="24"/>
          <w:szCs w:val="24"/>
          <w:lang w:val="en-GB"/>
        </w:rPr>
        <w:t xml:space="preserve">remodelled, expand outward, </w:t>
      </w:r>
      <w:r w:rsidR="00D3046F" w:rsidRPr="00DD5245">
        <w:rPr>
          <w:rFonts w:ascii="Book Antiqua" w:hAnsi="Book Antiqua"/>
          <w:sz w:val="24"/>
          <w:szCs w:val="24"/>
          <w:lang w:val="en-GB"/>
        </w:rPr>
        <w:t xml:space="preserve">and </w:t>
      </w:r>
      <w:r w:rsidRPr="00DD5245">
        <w:rPr>
          <w:rFonts w:ascii="Book Antiqua" w:hAnsi="Book Antiqua"/>
          <w:sz w:val="24"/>
          <w:szCs w:val="24"/>
          <w:lang w:val="en-GB"/>
        </w:rPr>
        <w:t>have a lipid-rich body and thin fibrous cap</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making them vulnerable to rupture. The transient and partial thrombosis in this type of plaque causes distal thrombus embolization, with possible superimposed vasospasm, and might be responsible for MINOCA; this mechanism resembles type 1 MI. MINOCA represents 5</w:t>
      </w:r>
      <w:r w:rsidR="006B5099"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-20% of all type 1 MI. Since coronary angiography </w:t>
      </w:r>
      <w:r w:rsidR="00837DCC" w:rsidRPr="00DD5245">
        <w:rPr>
          <w:rFonts w:ascii="Book Antiqua" w:hAnsi="Book Antiqua"/>
          <w:sz w:val="24"/>
          <w:szCs w:val="24"/>
          <w:lang w:val="en-GB"/>
        </w:rPr>
        <w:t>cannot evaluate</w:t>
      </w:r>
      <w:r w:rsidRPr="00DD5245">
        <w:rPr>
          <w:rFonts w:ascii="Book Antiqua" w:hAnsi="Book Antiqua"/>
          <w:sz w:val="24"/>
          <w:szCs w:val="24"/>
          <w:lang w:val="en-GB"/>
        </w:rPr>
        <w:t xml:space="preserve"> the vascular lumen, intracoronary imaging modalities such as intravascular ultrasound (IVUS) might play a determinant role in evaluating the lesion. Ouldzein </w:t>
      </w:r>
      <w:r w:rsidR="006B5099" w:rsidRPr="00DD5245">
        <w:rPr>
          <w:rFonts w:ascii="Book Antiqua" w:hAnsi="Book Antiqua"/>
          <w:i/>
          <w:sz w:val="24"/>
          <w:szCs w:val="24"/>
          <w:lang w:val="en-GB"/>
        </w:rPr>
        <w:t>et al</w:t>
      </w:r>
      <w:r w:rsidR="006B5099" w:rsidRPr="00DD5245">
        <w:rPr>
          <w:rFonts w:ascii="Book Antiqua" w:hAnsi="Book Antiqua"/>
          <w:sz w:val="24"/>
          <w:szCs w:val="24"/>
          <w:vertAlign w:val="superscript"/>
          <w:lang w:val="en-GB"/>
        </w:rPr>
        <w:t>[12]</w:t>
      </w:r>
      <w:r w:rsidRPr="00DD5245">
        <w:rPr>
          <w:rFonts w:ascii="Book Antiqua" w:hAnsi="Book Antiqua"/>
          <w:sz w:val="24"/>
          <w:szCs w:val="24"/>
          <w:lang w:val="en-GB"/>
        </w:rPr>
        <w:t xml:space="preserve"> performed IVUS in MINOCA patients to evaluate the morphological and quantitative characteristics of the culprit lesion and subsequently classified subjects according to the presence or absence of plaque rupture; </w:t>
      </w:r>
      <w:r w:rsidRPr="00DD5245">
        <w:rPr>
          <w:rFonts w:ascii="Book Antiqua" w:eastAsia="宋体" w:hAnsi="Book Antiqua" w:cs="Times New Roman"/>
          <w:sz w:val="24"/>
          <w:szCs w:val="24"/>
          <w:lang w:val="en-GB"/>
        </w:rPr>
        <w:t xml:space="preserve">the </w:t>
      </w:r>
      <w:r w:rsidRPr="00DD5245">
        <w:rPr>
          <w:rFonts w:ascii="Book Antiqua" w:hAnsi="Book Antiqua"/>
          <w:sz w:val="24"/>
          <w:szCs w:val="24"/>
          <w:lang w:val="en-GB"/>
        </w:rPr>
        <w:t>frequency of rupture</w:t>
      </w:r>
      <w:r w:rsidR="00837DCC" w:rsidRPr="00DD5245">
        <w:rPr>
          <w:rFonts w:ascii="Book Antiqua" w:hAnsi="Book Antiqua"/>
          <w:sz w:val="24"/>
          <w:szCs w:val="24"/>
          <w:lang w:val="en-GB"/>
        </w:rPr>
        <w:t>d</w:t>
      </w:r>
      <w:r w:rsidRPr="00DD5245">
        <w:rPr>
          <w:rFonts w:ascii="Book Antiqua" w:hAnsi="Book Antiqua"/>
          <w:sz w:val="24"/>
          <w:szCs w:val="24"/>
          <w:lang w:val="en-GB"/>
        </w:rPr>
        <w:t xml:space="preserve"> plaques in MI patients was estimated to be between 20</w:t>
      </w:r>
      <w:r w:rsidR="00551825"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 and 40%</w:t>
      </w:r>
      <w:r w:rsidR="00837DCC" w:rsidRPr="00DD5245">
        <w:rPr>
          <w:rFonts w:ascii="Book Antiqua" w:hAnsi="Book Antiqua"/>
          <w:sz w:val="24"/>
          <w:szCs w:val="24"/>
          <w:lang w:val="en-GB"/>
        </w:rPr>
        <w:t>, and patients with</w:t>
      </w:r>
      <w:r w:rsidRPr="00DD5245">
        <w:rPr>
          <w:rFonts w:ascii="Book Antiqua" w:hAnsi="Book Antiqua"/>
          <w:sz w:val="24"/>
          <w:szCs w:val="24"/>
          <w:lang w:val="en-GB"/>
        </w:rPr>
        <w:t xml:space="preserve"> plaque rupture had </w:t>
      </w:r>
      <w:r w:rsidR="00837DCC" w:rsidRPr="00DD5245">
        <w:rPr>
          <w:rFonts w:ascii="Book Antiqua" w:hAnsi="Book Antiqua"/>
          <w:sz w:val="24"/>
          <w:szCs w:val="24"/>
          <w:lang w:val="en-GB"/>
        </w:rPr>
        <w:t xml:space="preserve">increased </w:t>
      </w:r>
      <w:r w:rsidRPr="00DD5245">
        <w:rPr>
          <w:rFonts w:ascii="Book Antiqua" w:hAnsi="Book Antiqua"/>
          <w:sz w:val="24"/>
          <w:szCs w:val="24"/>
          <w:lang w:val="en-GB"/>
        </w:rPr>
        <w:t xml:space="preserve">plaque burden, plaque volume and positive arterial remodelling. </w:t>
      </w:r>
    </w:p>
    <w:p w14:paraId="558DCFBE" w14:textId="77777777" w:rsidR="006B5099" w:rsidRPr="00DD5245" w:rsidRDefault="006B5099" w:rsidP="006B5099">
      <w:pPr>
        <w:pStyle w:val="a4"/>
        <w:adjustRightInd w:val="0"/>
        <w:snapToGrid w:val="0"/>
        <w:spacing w:after="0" w:line="360" w:lineRule="auto"/>
        <w:ind w:left="0"/>
        <w:contextualSpacing w:val="0"/>
        <w:jc w:val="both"/>
        <w:rPr>
          <w:rFonts w:ascii="Book Antiqua" w:hAnsi="Book Antiqua"/>
          <w:sz w:val="24"/>
          <w:szCs w:val="24"/>
          <w:lang w:val="en-GB"/>
        </w:rPr>
      </w:pPr>
    </w:p>
    <w:p w14:paraId="2517FEA6" w14:textId="0ECC384E" w:rsidR="00513789" w:rsidRPr="00DD5245" w:rsidRDefault="00150F1C" w:rsidP="006B5099">
      <w:pPr>
        <w:pStyle w:val="a4"/>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Coronary dissection:</w:t>
      </w:r>
      <w:r w:rsidRPr="00DD5245">
        <w:rPr>
          <w:rFonts w:ascii="Book Antiqua" w:hAnsi="Book Antiqua"/>
          <w:sz w:val="24"/>
          <w:szCs w:val="24"/>
          <w:lang w:val="en-GB"/>
        </w:rPr>
        <w:t xml:space="preserve"> Coronary dissection without visible luminal obstruction and coronary artery intramural haematomas constitute 25% of MI in women younger than 50 years of age. IVUS is a cornerstone in the assessment of coronary dissection. </w:t>
      </w:r>
      <w:r w:rsidRPr="00DD5245">
        <w:rPr>
          <w:rFonts w:ascii="Book Antiqua" w:eastAsia="宋体" w:hAnsi="Book Antiqua" w:cs="Times New Roman"/>
          <w:sz w:val="24"/>
          <w:szCs w:val="24"/>
          <w:lang w:val="en-GB"/>
        </w:rPr>
        <w:t>The physiology</w:t>
      </w:r>
      <w:r w:rsidRPr="00DD5245">
        <w:rPr>
          <w:rFonts w:ascii="Book Antiqua" w:hAnsi="Book Antiqua"/>
          <w:sz w:val="24"/>
          <w:szCs w:val="24"/>
          <w:lang w:val="en-GB"/>
        </w:rPr>
        <w:t xml:space="preserve"> of this entity is unclear; however, fibromuscular dysplasia </w:t>
      </w:r>
      <w:r w:rsidR="00837DCC" w:rsidRPr="00DD5245">
        <w:rPr>
          <w:rFonts w:ascii="Book Antiqua" w:hAnsi="Book Antiqua"/>
          <w:sz w:val="24"/>
          <w:szCs w:val="24"/>
          <w:lang w:val="en-GB"/>
        </w:rPr>
        <w:t>is thought to be</w:t>
      </w:r>
      <w:r w:rsidRPr="00DD5245">
        <w:rPr>
          <w:rFonts w:ascii="Book Antiqua" w:hAnsi="Book Antiqua"/>
          <w:sz w:val="24"/>
          <w:szCs w:val="24"/>
          <w:lang w:val="en-GB"/>
        </w:rPr>
        <w:t xml:space="preserve"> related. This presentation has a high rate of recurrence</w:t>
      </w:r>
      <w:r w:rsidRPr="00DD5245">
        <w:rPr>
          <w:rFonts w:ascii="Book Antiqua" w:hAnsi="Book Antiqua"/>
          <w:sz w:val="24"/>
          <w:szCs w:val="24"/>
          <w:vertAlign w:val="superscript"/>
          <w:lang w:val="en-GB"/>
        </w:rPr>
        <w:t>[8,13]</w:t>
      </w:r>
      <w:r w:rsidRPr="00DD5245">
        <w:rPr>
          <w:rFonts w:ascii="Book Antiqua" w:hAnsi="Book Antiqua"/>
          <w:sz w:val="24"/>
          <w:szCs w:val="24"/>
          <w:lang w:val="en-GB"/>
        </w:rPr>
        <w:t>.</w:t>
      </w:r>
    </w:p>
    <w:p w14:paraId="3D663384" w14:textId="77777777" w:rsidR="00551825" w:rsidRPr="00DD5245" w:rsidRDefault="00551825" w:rsidP="006B5099">
      <w:pPr>
        <w:pStyle w:val="a4"/>
        <w:adjustRightInd w:val="0"/>
        <w:snapToGrid w:val="0"/>
        <w:spacing w:after="0" w:line="360" w:lineRule="auto"/>
        <w:ind w:left="0"/>
        <w:contextualSpacing w:val="0"/>
        <w:jc w:val="both"/>
        <w:rPr>
          <w:rFonts w:ascii="Book Antiqua" w:hAnsi="Book Antiqua"/>
          <w:sz w:val="24"/>
          <w:szCs w:val="24"/>
          <w:lang w:val="en-GB"/>
        </w:rPr>
      </w:pPr>
    </w:p>
    <w:p w14:paraId="2490E52C" w14:textId="1A0A80D0" w:rsidR="00513789" w:rsidRPr="00DD5245" w:rsidRDefault="00150F1C" w:rsidP="00551825">
      <w:pPr>
        <w:pStyle w:val="a4"/>
        <w:adjustRightInd w:val="0"/>
        <w:snapToGrid w:val="0"/>
        <w:spacing w:after="0" w:line="360" w:lineRule="auto"/>
        <w:ind w:left="0"/>
        <w:contextualSpacing w:val="0"/>
        <w:jc w:val="both"/>
        <w:rPr>
          <w:rFonts w:ascii="Book Antiqua" w:hAnsi="Book Antiqua"/>
          <w:color w:val="000000"/>
          <w:sz w:val="24"/>
          <w:szCs w:val="24"/>
          <w:bdr w:val="none" w:sz="0" w:space="0" w:color="auto" w:frame="1"/>
          <w:shd w:val="clear" w:color="auto" w:fill="FFFFFF"/>
          <w:lang w:val="en-GB"/>
        </w:rPr>
      </w:pPr>
      <w:r w:rsidRPr="00DD5245">
        <w:rPr>
          <w:rFonts w:ascii="Book Antiqua" w:hAnsi="Book Antiqua"/>
          <w:b/>
          <w:bCs/>
          <w:color w:val="000000"/>
          <w:sz w:val="24"/>
          <w:szCs w:val="24"/>
          <w:bdr w:val="none" w:sz="0" w:space="0" w:color="auto" w:frame="1"/>
          <w:shd w:val="clear" w:color="auto" w:fill="FFFFFF"/>
          <w:lang w:val="en-GB"/>
        </w:rPr>
        <w:t>Coronary artery spasm:</w:t>
      </w:r>
      <w:r w:rsidRPr="00DD5245">
        <w:rPr>
          <w:rFonts w:ascii="Book Antiqua" w:hAnsi="Book Antiqua"/>
          <w:color w:val="000000"/>
          <w:sz w:val="24"/>
          <w:szCs w:val="24"/>
          <w:bdr w:val="none" w:sz="0" w:space="0" w:color="auto" w:frame="1"/>
          <w:shd w:val="clear" w:color="auto" w:fill="FFFFFF"/>
          <w:lang w:val="en-GB"/>
        </w:rPr>
        <w:t xml:space="preserve"> </w:t>
      </w:r>
      <w:r w:rsidR="00C202EA" w:rsidRPr="00DD5245">
        <w:rPr>
          <w:rFonts w:ascii="Book Antiqua" w:hAnsi="Book Antiqua"/>
          <w:color w:val="000000"/>
          <w:sz w:val="24"/>
          <w:szCs w:val="24"/>
          <w:bdr w:val="none" w:sz="0" w:space="0" w:color="auto" w:frame="1"/>
          <w:shd w:val="clear" w:color="auto" w:fill="FFFFFF"/>
          <w:lang w:val="en-GB"/>
        </w:rPr>
        <w:t>Coronary artery spasm (CAS)</w:t>
      </w:r>
      <w:r w:rsidRPr="00DD5245">
        <w:rPr>
          <w:rFonts w:ascii="Book Antiqua" w:hAnsi="Book Antiqua"/>
          <w:color w:val="000000"/>
          <w:sz w:val="24"/>
          <w:szCs w:val="24"/>
          <w:bdr w:val="none" w:sz="0" w:space="0" w:color="auto" w:frame="1"/>
          <w:shd w:val="clear" w:color="auto" w:fill="FFFFFF"/>
          <w:lang w:val="en-GB"/>
        </w:rPr>
        <w:t xml:space="preserve"> represents between 3% and 95% of MINOCA cases depending on the registry. Positive provocative tests with intracoronary, adenosine or ergonovine portend a worse prognosis. The diagnosis does not require confirmation of epicardial coronary spasm</w:t>
      </w:r>
      <w:r w:rsidRPr="00DD5245">
        <w:rPr>
          <w:rFonts w:ascii="Book Antiqua" w:eastAsia="宋体" w:hAnsi="Book Antiqua" w:cs="Times New Roman"/>
          <w:color w:val="000000"/>
          <w:sz w:val="24"/>
          <w:szCs w:val="24"/>
          <w:lang w:val="en-GB"/>
        </w:rPr>
        <w:t>,</w:t>
      </w:r>
      <w:r w:rsidRPr="00DD5245">
        <w:rPr>
          <w:rFonts w:ascii="Book Antiqua" w:hAnsi="Book Antiqua"/>
          <w:color w:val="000000"/>
          <w:sz w:val="24"/>
          <w:szCs w:val="24"/>
          <w:bdr w:val="none" w:sz="0" w:space="0" w:color="auto" w:frame="1"/>
          <w:shd w:val="clear" w:color="auto" w:fill="FFFFFF"/>
          <w:lang w:val="en-GB"/>
        </w:rPr>
        <w:t xml:space="preserve"> and these tests should only be </w:t>
      </w:r>
      <w:r w:rsidR="00837DCC" w:rsidRPr="00DD5245">
        <w:rPr>
          <w:rFonts w:ascii="Book Antiqua" w:hAnsi="Book Antiqua"/>
          <w:color w:val="000000"/>
          <w:sz w:val="24"/>
          <w:szCs w:val="24"/>
          <w:bdr w:val="none" w:sz="0" w:space="0" w:color="auto" w:frame="1"/>
          <w:shd w:val="clear" w:color="auto" w:fill="FFFFFF"/>
          <w:lang w:val="en-GB"/>
        </w:rPr>
        <w:t xml:space="preserve">performed </w:t>
      </w:r>
      <w:r w:rsidRPr="00DD5245">
        <w:rPr>
          <w:rFonts w:ascii="Book Antiqua" w:hAnsi="Book Antiqua"/>
          <w:color w:val="000000"/>
          <w:sz w:val="24"/>
          <w:szCs w:val="24"/>
          <w:bdr w:val="none" w:sz="0" w:space="0" w:color="auto" w:frame="1"/>
          <w:shd w:val="clear" w:color="auto" w:fill="FFFFFF"/>
          <w:lang w:val="en-GB"/>
        </w:rPr>
        <w:t xml:space="preserve">by experienced teams </w:t>
      </w:r>
      <w:r w:rsidRPr="00DD5245">
        <w:rPr>
          <w:rFonts w:ascii="Book Antiqua" w:eastAsia="宋体" w:hAnsi="Book Antiqua" w:cs="Times New Roman"/>
          <w:color w:val="000000"/>
          <w:sz w:val="24"/>
          <w:szCs w:val="24"/>
          <w:lang w:val="en-GB"/>
        </w:rPr>
        <w:t>because</w:t>
      </w:r>
      <w:r w:rsidRPr="00DD5245">
        <w:rPr>
          <w:rFonts w:ascii="Book Antiqua" w:hAnsi="Book Antiqua"/>
          <w:color w:val="000000"/>
          <w:sz w:val="24"/>
          <w:szCs w:val="24"/>
          <w:bdr w:val="none" w:sz="0" w:space="0" w:color="auto" w:frame="1"/>
          <w:shd w:val="clear" w:color="auto" w:fill="FFFFFF"/>
          <w:lang w:val="en-GB"/>
        </w:rPr>
        <w:t xml:space="preserve"> they have a potential risk of arrhythmic complications. Positive testing has been associated with a higher occurrence of death from any cause and cardiac death </w:t>
      </w:r>
      <w:r w:rsidR="00837DCC" w:rsidRPr="00DD5245">
        <w:rPr>
          <w:rFonts w:ascii="Book Antiqua" w:hAnsi="Book Antiqua"/>
          <w:color w:val="000000"/>
          <w:sz w:val="24"/>
          <w:szCs w:val="24"/>
          <w:bdr w:val="none" w:sz="0" w:space="0" w:color="auto" w:frame="1"/>
          <w:shd w:val="clear" w:color="auto" w:fill="FFFFFF"/>
          <w:lang w:val="en-GB"/>
        </w:rPr>
        <w:t xml:space="preserve">during </w:t>
      </w:r>
      <w:r w:rsidRPr="00DD5245">
        <w:rPr>
          <w:rFonts w:ascii="Book Antiqua" w:hAnsi="Book Antiqua"/>
          <w:color w:val="000000"/>
          <w:sz w:val="24"/>
          <w:szCs w:val="24"/>
          <w:bdr w:val="none" w:sz="0" w:space="0" w:color="auto" w:frame="1"/>
          <w:shd w:val="clear" w:color="auto" w:fill="FFFFFF"/>
          <w:lang w:val="en-GB"/>
        </w:rPr>
        <w:t>follow up, a higher rate of MI readmission and inferior control of angina symptoms; epicardial spasm also showed worse clinical outcome</w:t>
      </w:r>
      <w:r w:rsidR="00837DCC" w:rsidRPr="00DD5245">
        <w:rPr>
          <w:rFonts w:ascii="Book Antiqua" w:hAnsi="Book Antiqua"/>
          <w:color w:val="000000"/>
          <w:sz w:val="24"/>
          <w:szCs w:val="24"/>
          <w:bdr w:val="none" w:sz="0" w:space="0" w:color="auto" w:frame="1"/>
          <w:shd w:val="clear" w:color="auto" w:fill="FFFFFF"/>
          <w:lang w:val="en-GB"/>
        </w:rPr>
        <w:t>s</w:t>
      </w:r>
      <w:r w:rsidRPr="00DD5245">
        <w:rPr>
          <w:rFonts w:ascii="Book Antiqua" w:hAnsi="Book Antiqua"/>
          <w:color w:val="000000"/>
          <w:sz w:val="24"/>
          <w:szCs w:val="24"/>
          <w:bdr w:val="none" w:sz="0" w:space="0" w:color="auto" w:frame="1"/>
          <w:shd w:val="clear" w:color="auto" w:fill="FFFFFF"/>
          <w:lang w:val="en-GB"/>
        </w:rPr>
        <w:t xml:space="preserve"> than microvascular spasm</w:t>
      </w:r>
      <w:r w:rsidRPr="00DD5245">
        <w:rPr>
          <w:rFonts w:ascii="Book Antiqua" w:hAnsi="Book Antiqua"/>
          <w:color w:val="000000"/>
          <w:sz w:val="24"/>
          <w:szCs w:val="24"/>
          <w:bdr w:val="none" w:sz="0" w:space="0" w:color="auto" w:frame="1"/>
          <w:shd w:val="clear" w:color="auto" w:fill="FFFFFF"/>
          <w:vertAlign w:val="superscript"/>
          <w:lang w:val="en-GB"/>
        </w:rPr>
        <w:t>[14]</w:t>
      </w:r>
      <w:r w:rsidRPr="00DD5245">
        <w:rPr>
          <w:rFonts w:ascii="Book Antiqua" w:hAnsi="Book Antiqua"/>
          <w:color w:val="000000"/>
          <w:sz w:val="24"/>
          <w:szCs w:val="24"/>
          <w:bdr w:val="none" w:sz="0" w:space="0" w:color="auto" w:frame="1"/>
          <w:shd w:val="clear" w:color="auto" w:fill="FFFFFF"/>
          <w:lang w:val="en-GB"/>
        </w:rPr>
        <w:t>.</w:t>
      </w:r>
    </w:p>
    <w:p w14:paraId="7B135626" w14:textId="77777777" w:rsidR="00551825" w:rsidRPr="00DD5245" w:rsidRDefault="00551825" w:rsidP="00551825">
      <w:pPr>
        <w:pStyle w:val="a4"/>
        <w:adjustRightInd w:val="0"/>
        <w:snapToGrid w:val="0"/>
        <w:spacing w:after="0" w:line="360" w:lineRule="auto"/>
        <w:ind w:left="0"/>
        <w:contextualSpacing w:val="0"/>
        <w:jc w:val="both"/>
        <w:rPr>
          <w:rFonts w:ascii="Book Antiqua" w:hAnsi="Book Antiqua"/>
          <w:sz w:val="24"/>
          <w:szCs w:val="24"/>
          <w:lang w:val="en-GB"/>
        </w:rPr>
      </w:pPr>
    </w:p>
    <w:p w14:paraId="65B48BAB" w14:textId="2E847954" w:rsidR="00513789" w:rsidRPr="00DD5245" w:rsidRDefault="00551825" w:rsidP="00707674">
      <w:pPr>
        <w:adjustRightInd w:val="0"/>
        <w:snapToGrid w:val="0"/>
        <w:spacing w:after="0" w:line="360" w:lineRule="auto"/>
        <w:jc w:val="both"/>
        <w:rPr>
          <w:rFonts w:ascii="Book Antiqua" w:hAnsi="Book Antiqua"/>
          <w:b/>
          <w:bCs/>
          <w:i/>
          <w:sz w:val="24"/>
          <w:szCs w:val="24"/>
          <w:lang w:val="en-GB"/>
        </w:rPr>
      </w:pPr>
      <w:r w:rsidRPr="00DD5245">
        <w:rPr>
          <w:rFonts w:ascii="Book Antiqua" w:hAnsi="Book Antiqua"/>
          <w:b/>
          <w:bCs/>
          <w:i/>
          <w:sz w:val="24"/>
          <w:szCs w:val="24"/>
          <w:lang w:val="en-GB"/>
        </w:rPr>
        <w:t xml:space="preserve">Microvascular causes of </w:t>
      </w:r>
      <w:r w:rsidR="001627AB" w:rsidRPr="00DD5245">
        <w:rPr>
          <w:rFonts w:ascii="Book Antiqua" w:hAnsi="Book Antiqua"/>
          <w:b/>
          <w:bCs/>
          <w:i/>
          <w:sz w:val="24"/>
          <w:szCs w:val="24"/>
          <w:lang w:val="en-GB"/>
        </w:rPr>
        <w:t>MINOCA</w:t>
      </w:r>
    </w:p>
    <w:p w14:paraId="5A5F1249" w14:textId="3FD265D8" w:rsidR="00513789" w:rsidRPr="00DD5245" w:rsidRDefault="00150F1C" w:rsidP="00551825">
      <w:pPr>
        <w:pStyle w:val="a4"/>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Microvascular coronary spasm:</w:t>
      </w:r>
      <w:r w:rsidRPr="00DD5245">
        <w:rPr>
          <w:rFonts w:ascii="Book Antiqua" w:hAnsi="Book Antiqua"/>
          <w:sz w:val="24"/>
          <w:szCs w:val="24"/>
          <w:lang w:val="en-GB"/>
        </w:rPr>
        <w:t xml:space="preserve"> Microcoronary microvascular spasm, also referred to as Syndrome X, can </w:t>
      </w:r>
      <w:r w:rsidR="00837DCC" w:rsidRPr="00DD5245">
        <w:rPr>
          <w:rFonts w:ascii="Book Antiqua" w:hAnsi="Book Antiqua"/>
          <w:sz w:val="24"/>
          <w:szCs w:val="24"/>
          <w:lang w:val="en-GB"/>
        </w:rPr>
        <w:t>occur in up to</w:t>
      </w:r>
      <w:r w:rsidRPr="00DD5245">
        <w:rPr>
          <w:rFonts w:ascii="Book Antiqua" w:hAnsi="Book Antiqua"/>
          <w:sz w:val="24"/>
          <w:szCs w:val="24"/>
          <w:lang w:val="en-GB"/>
        </w:rPr>
        <w:t xml:space="preserve"> 25% of MINOCA patients in some registries and is the cause of persistent angina in up to 36% MINOCA subjects. Catecholamines and endothelin exert transient vasoconstrict</w:t>
      </w:r>
      <w:r w:rsidR="00837DCC" w:rsidRPr="00DD5245">
        <w:rPr>
          <w:rFonts w:ascii="Book Antiqua" w:hAnsi="Book Antiqua"/>
          <w:sz w:val="24"/>
          <w:szCs w:val="24"/>
          <w:lang w:val="en-GB"/>
        </w:rPr>
        <w:t>ive</w:t>
      </w:r>
      <w:r w:rsidRPr="00DD5245">
        <w:rPr>
          <w:rFonts w:ascii="Book Antiqua" w:hAnsi="Book Antiqua"/>
          <w:sz w:val="24"/>
          <w:szCs w:val="24"/>
          <w:lang w:val="en-GB"/>
        </w:rPr>
        <w:t xml:space="preserve"> effects primarily in the coronary microvasculature</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reducing microvascular blood flow in a transient </w:t>
      </w:r>
      <w:r w:rsidR="00837DCC" w:rsidRPr="00DD5245">
        <w:rPr>
          <w:rFonts w:ascii="Book Antiqua" w:hAnsi="Book Antiqua"/>
          <w:sz w:val="24"/>
          <w:szCs w:val="24"/>
          <w:lang w:val="en-GB"/>
        </w:rPr>
        <w:t>manner</w:t>
      </w:r>
      <w:r w:rsidRPr="00DD5245">
        <w:rPr>
          <w:rFonts w:ascii="Book Antiqua" w:hAnsi="Book Antiqua"/>
          <w:sz w:val="24"/>
          <w:szCs w:val="24"/>
          <w:lang w:val="en-GB"/>
        </w:rPr>
        <w:t>. Objective documentation of myocardial ischaemia should be sought.</w:t>
      </w:r>
      <w:r w:rsidRPr="00DD5245">
        <w:rPr>
          <w:rFonts w:ascii="Book Antiqua" w:eastAsia="宋体" w:hAnsi="Book Antiqua" w:cs="Times New Roman"/>
          <w:sz w:val="24"/>
          <w:szCs w:val="24"/>
          <w:lang w:val="en-GB"/>
        </w:rPr>
        <w:t xml:space="preserve"> The presence</w:t>
      </w:r>
      <w:r w:rsidRPr="00DD5245">
        <w:rPr>
          <w:rFonts w:ascii="Book Antiqua" w:hAnsi="Book Antiqua"/>
          <w:sz w:val="24"/>
          <w:szCs w:val="24"/>
          <w:lang w:val="en-GB"/>
        </w:rPr>
        <w:t xml:space="preserve"> of four clinical criteria for microvascular angina </w:t>
      </w:r>
      <w:r w:rsidRPr="00DD5245">
        <w:rPr>
          <w:rFonts w:ascii="Book Antiqua" w:eastAsia="宋体" w:hAnsi="Book Antiqua" w:cs="Times New Roman"/>
          <w:sz w:val="24"/>
          <w:szCs w:val="24"/>
          <w:lang w:val="en-GB"/>
        </w:rPr>
        <w:t>accomplished</w:t>
      </w:r>
      <w:r w:rsidRPr="00DD5245">
        <w:rPr>
          <w:rFonts w:ascii="Book Antiqua" w:hAnsi="Book Antiqua"/>
          <w:sz w:val="24"/>
          <w:szCs w:val="24"/>
          <w:lang w:val="en-GB"/>
        </w:rPr>
        <w:t xml:space="preserve"> a definit</w:t>
      </w:r>
      <w:r w:rsidR="001E760E" w:rsidRPr="00DD5245">
        <w:rPr>
          <w:rFonts w:ascii="Book Antiqua" w:hAnsi="Book Antiqua"/>
          <w:sz w:val="24"/>
          <w:szCs w:val="24"/>
          <w:lang w:val="en-GB"/>
        </w:rPr>
        <w:t>iv</w:t>
      </w:r>
      <w:r w:rsidRPr="00DD5245">
        <w:rPr>
          <w:rFonts w:ascii="Book Antiqua" w:hAnsi="Book Antiqua"/>
          <w:sz w:val="24"/>
          <w:szCs w:val="24"/>
          <w:lang w:val="en-GB"/>
        </w:rPr>
        <w:t xml:space="preserve">e diagnosis: symptoms of myocardial ischaemia, the absence of obstructive CAD </w:t>
      </w:r>
      <w:r w:rsidR="002E4486" w:rsidRPr="00DD5245">
        <w:rPr>
          <w:rFonts w:ascii="Book Antiqua" w:hAnsi="Book Antiqua"/>
          <w:sz w:val="24"/>
          <w:szCs w:val="24"/>
          <w:lang w:val="en-GB"/>
        </w:rPr>
        <w:t>[</w:t>
      </w:r>
      <w:r w:rsidRPr="00DD5245">
        <w:rPr>
          <w:rFonts w:ascii="Book Antiqua" w:hAnsi="Book Antiqua"/>
          <w:sz w:val="24"/>
          <w:szCs w:val="24"/>
          <w:lang w:val="en-GB"/>
        </w:rPr>
        <w:t>&lt;</w:t>
      </w:r>
      <w:r w:rsidR="00551825" w:rsidRPr="00DD5245">
        <w:rPr>
          <w:rFonts w:ascii="Book Antiqua" w:hAnsi="Book Antiqua"/>
          <w:sz w:val="24"/>
          <w:szCs w:val="24"/>
          <w:lang w:val="en-GB"/>
        </w:rPr>
        <w:t xml:space="preserve"> </w:t>
      </w:r>
      <w:r w:rsidRPr="00DD5245">
        <w:rPr>
          <w:rFonts w:ascii="Book Antiqua" w:hAnsi="Book Antiqua"/>
          <w:sz w:val="24"/>
          <w:szCs w:val="24"/>
          <w:lang w:val="en-GB"/>
        </w:rPr>
        <w:t xml:space="preserve">50% diameter reduction </w:t>
      </w:r>
      <w:r w:rsidR="001E760E" w:rsidRPr="00DD5245">
        <w:rPr>
          <w:rFonts w:ascii="Book Antiqua" w:hAnsi="Book Antiqua"/>
          <w:sz w:val="24"/>
          <w:szCs w:val="24"/>
          <w:lang w:val="en-GB"/>
        </w:rPr>
        <w:t xml:space="preserve">in </w:t>
      </w:r>
      <w:r w:rsidR="002E4486" w:rsidRPr="00DD5245">
        <w:rPr>
          <w:rFonts w:ascii="Book Antiqua" w:hAnsi="Book Antiqua"/>
          <w:sz w:val="24"/>
          <w:szCs w:val="24"/>
          <w:lang w:val="en-GB"/>
        </w:rPr>
        <w:t>fractional flow reserve (</w:t>
      </w:r>
      <w:r w:rsidRPr="00DD5245">
        <w:rPr>
          <w:rFonts w:ascii="Book Antiqua" w:hAnsi="Book Antiqua"/>
          <w:sz w:val="24"/>
          <w:szCs w:val="24"/>
          <w:lang w:val="en-GB"/>
        </w:rPr>
        <w:t>FFR</w:t>
      </w:r>
      <w:r w:rsidR="002E4486" w:rsidRPr="00DD5245">
        <w:rPr>
          <w:rFonts w:ascii="Book Antiqua" w:hAnsi="Book Antiqua"/>
          <w:sz w:val="24"/>
          <w:szCs w:val="24"/>
          <w:lang w:val="en-GB"/>
        </w:rPr>
        <w:t>)</w:t>
      </w:r>
      <w:r w:rsidR="00551825" w:rsidRPr="00DD5245">
        <w:rPr>
          <w:rFonts w:ascii="Book Antiqua" w:hAnsi="Book Antiqua"/>
          <w:sz w:val="24"/>
          <w:szCs w:val="24"/>
          <w:lang w:val="en-GB"/>
        </w:rPr>
        <w:t xml:space="preserve"> </w:t>
      </w:r>
      <w:r w:rsidRPr="00DD5245">
        <w:rPr>
          <w:rFonts w:ascii="Book Antiqua" w:hAnsi="Book Antiqua"/>
          <w:sz w:val="24"/>
          <w:szCs w:val="24"/>
          <w:lang w:val="en-GB"/>
        </w:rPr>
        <w:t>&gt; 0.80</w:t>
      </w:r>
      <w:r w:rsidR="002E4486" w:rsidRPr="00DD5245">
        <w:rPr>
          <w:rFonts w:ascii="Book Antiqua" w:hAnsi="Book Antiqua"/>
          <w:sz w:val="24"/>
          <w:szCs w:val="24"/>
          <w:lang w:val="en-GB"/>
        </w:rPr>
        <w:t>]</w:t>
      </w:r>
      <w:r w:rsidRPr="00DD5245">
        <w:rPr>
          <w:rFonts w:ascii="Book Antiqua" w:hAnsi="Book Antiqua"/>
          <w:sz w:val="24"/>
          <w:szCs w:val="24"/>
          <w:lang w:val="en-GB"/>
        </w:rPr>
        <w:t xml:space="preserve">, objective evidence of ischaemia </w:t>
      </w:r>
      <w:r w:rsidR="002E4486" w:rsidRPr="00DD5245">
        <w:rPr>
          <w:rFonts w:ascii="Book Antiqua" w:hAnsi="Book Antiqua"/>
          <w:sz w:val="24"/>
          <w:szCs w:val="24"/>
          <w:lang w:val="en-GB"/>
        </w:rPr>
        <w:t>(</w:t>
      </w:r>
      <w:r w:rsidRPr="00DD5245">
        <w:rPr>
          <w:rFonts w:ascii="Book Antiqua" w:hAnsi="Book Antiqua"/>
          <w:sz w:val="24"/>
          <w:szCs w:val="24"/>
          <w:lang w:val="en-GB"/>
        </w:rPr>
        <w:t>ECG ischaemic changes, wall motion or perfusion abnormalities</w:t>
      </w:r>
      <w:r w:rsidR="002E4486" w:rsidRPr="00DD5245">
        <w:rPr>
          <w:rFonts w:ascii="Book Antiqua" w:hAnsi="Book Antiqua"/>
          <w:sz w:val="24"/>
          <w:szCs w:val="24"/>
          <w:lang w:val="en-GB"/>
        </w:rPr>
        <w:t>)</w:t>
      </w:r>
      <w:r w:rsidRPr="00DD5245">
        <w:rPr>
          <w:rFonts w:ascii="Book Antiqua" w:hAnsi="Book Antiqua"/>
          <w:sz w:val="24"/>
          <w:szCs w:val="24"/>
          <w:lang w:val="en-GB"/>
        </w:rPr>
        <w:t>, and evidence of impaired coronary microvascular function</w:t>
      </w:r>
      <w:r w:rsidRPr="00DD5245">
        <w:rPr>
          <w:rFonts w:ascii="Book Antiqua" w:eastAsia="宋体" w:hAnsi="Book Antiqua" w:cs="Times New Roman"/>
          <w:sz w:val="24"/>
          <w:szCs w:val="24"/>
          <w:lang w:val="en-GB"/>
        </w:rPr>
        <w:t>. This</w:t>
      </w:r>
      <w:r w:rsidRPr="00DD5245">
        <w:rPr>
          <w:rFonts w:ascii="Book Antiqua" w:hAnsi="Book Antiqua"/>
          <w:sz w:val="24"/>
          <w:szCs w:val="24"/>
          <w:lang w:val="en-GB"/>
        </w:rPr>
        <w:t xml:space="preserve"> last parameter includes having a coronary flow reserve ≤</w:t>
      </w:r>
      <w:r w:rsidR="00551825" w:rsidRPr="00DD5245">
        <w:rPr>
          <w:rFonts w:ascii="Book Antiqua" w:hAnsi="Book Antiqua"/>
          <w:sz w:val="24"/>
          <w:szCs w:val="24"/>
          <w:lang w:val="en-GB"/>
        </w:rPr>
        <w:t xml:space="preserve"> </w:t>
      </w:r>
      <w:r w:rsidRPr="00DD5245">
        <w:rPr>
          <w:rFonts w:ascii="Book Antiqua" w:hAnsi="Book Antiqua"/>
          <w:sz w:val="24"/>
          <w:szCs w:val="24"/>
          <w:lang w:val="en-GB"/>
        </w:rPr>
        <w:t xml:space="preserve">2-2.5, coronary microvascular spasm (reproduction of symptoms, ischaemic ECG shifts) without epicardial spasm in acetylcholine testing, abnormal coronary microvascular resistance indices, or coronary slow flow phenomenon. Diagnostic techniques for the evaluation of microvascular disease include invasive and non-invasive measures. Positron emission tomography (PET) is the most accurate non-invasive outlook of coronary </w:t>
      </w:r>
      <w:r w:rsidRPr="00DD5245">
        <w:rPr>
          <w:rFonts w:ascii="Book Antiqua" w:hAnsi="Book Antiqua"/>
          <w:sz w:val="24"/>
          <w:szCs w:val="24"/>
          <w:lang w:val="en-GB"/>
        </w:rPr>
        <w:lastRenderedPageBreak/>
        <w:t>vasomotor function; cardiac magnetic resonance</w:t>
      </w:r>
      <w:r w:rsidR="00C202EA" w:rsidRPr="00DD5245">
        <w:rPr>
          <w:rFonts w:ascii="Book Antiqua" w:hAnsi="Book Antiqua"/>
          <w:sz w:val="24"/>
          <w:szCs w:val="24"/>
          <w:lang w:val="en-GB"/>
        </w:rPr>
        <w:t xml:space="preserve"> (CMR)</w:t>
      </w:r>
      <w:r w:rsidRPr="00DD5245">
        <w:rPr>
          <w:rFonts w:ascii="Book Antiqua" w:hAnsi="Book Antiqua"/>
          <w:sz w:val="24"/>
          <w:szCs w:val="24"/>
          <w:lang w:val="en-GB"/>
        </w:rPr>
        <w:t xml:space="preserve"> can also be applied, although post-processing is technically challenging. Invasive techniques include invasive coronary flow reserve, more recent FFR</w:t>
      </w:r>
      <w:r w:rsidR="00551825"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 and instantaneous wave-free ratio with certain limitations</w:t>
      </w:r>
      <w:r w:rsidRPr="00DD5245">
        <w:rPr>
          <w:rFonts w:ascii="Book Antiqua" w:hAnsi="Book Antiqua"/>
          <w:sz w:val="24"/>
          <w:szCs w:val="24"/>
          <w:vertAlign w:val="superscript"/>
          <w:lang w:val="en-GB"/>
        </w:rPr>
        <w:t>[15]</w:t>
      </w:r>
      <w:r w:rsidRPr="00DD5245">
        <w:rPr>
          <w:rFonts w:ascii="Book Antiqua" w:hAnsi="Book Antiqua"/>
          <w:sz w:val="24"/>
          <w:szCs w:val="24"/>
          <w:lang w:val="en-GB"/>
        </w:rPr>
        <w:t>. Plaque burden can be present or absent in MINOCA patients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a broad spectrum of subtypes have been described</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but these usually overlap. The guarded prognosis of these patients justifies an invasive approach</w:t>
      </w:r>
      <w:r w:rsidRPr="00DD5245">
        <w:rPr>
          <w:rFonts w:ascii="Book Antiqua" w:hAnsi="Book Antiqua"/>
          <w:sz w:val="24"/>
          <w:szCs w:val="24"/>
          <w:vertAlign w:val="superscript"/>
          <w:lang w:val="en-GB"/>
        </w:rPr>
        <w:t>[16]</w:t>
      </w:r>
      <w:r w:rsidRPr="00DD5245">
        <w:rPr>
          <w:rFonts w:ascii="Book Antiqua" w:hAnsi="Book Antiqua"/>
          <w:sz w:val="24"/>
          <w:szCs w:val="24"/>
          <w:lang w:val="en-GB"/>
        </w:rPr>
        <w:t>.</w:t>
      </w:r>
    </w:p>
    <w:p w14:paraId="4A38CF0D" w14:textId="77777777" w:rsidR="00551825" w:rsidRPr="00DD5245" w:rsidRDefault="00551825" w:rsidP="00551825">
      <w:pPr>
        <w:pStyle w:val="a4"/>
        <w:adjustRightInd w:val="0"/>
        <w:snapToGrid w:val="0"/>
        <w:spacing w:after="0" w:line="360" w:lineRule="auto"/>
        <w:ind w:left="0"/>
        <w:contextualSpacing w:val="0"/>
        <w:jc w:val="both"/>
        <w:rPr>
          <w:rFonts w:ascii="Book Antiqua" w:hAnsi="Book Antiqua"/>
          <w:sz w:val="24"/>
          <w:szCs w:val="24"/>
          <w:lang w:val="en-GB"/>
        </w:rPr>
      </w:pPr>
    </w:p>
    <w:p w14:paraId="0C4D5B55" w14:textId="694680B9" w:rsidR="00513789" w:rsidRPr="00DD5245" w:rsidRDefault="00150F1C" w:rsidP="00551825">
      <w:pPr>
        <w:pStyle w:val="a4"/>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Takotsubo syndrome:</w:t>
      </w:r>
      <w:r w:rsidRPr="00DD5245">
        <w:rPr>
          <w:rFonts w:ascii="Book Antiqua" w:hAnsi="Book Antiqua"/>
          <w:sz w:val="24"/>
          <w:szCs w:val="24"/>
          <w:lang w:val="en-GB"/>
        </w:rPr>
        <w:t xml:space="preserve"> This stress cardiomyopathy represents 1</w:t>
      </w:r>
      <w:r w:rsidR="00551825" w:rsidRPr="00DD5245">
        <w:rPr>
          <w:rFonts w:ascii="Book Antiqua" w:hAnsi="Book Antiqua"/>
          <w:sz w:val="24"/>
          <w:szCs w:val="24"/>
          <w:lang w:val="en-GB"/>
        </w:rPr>
        <w:t>%</w:t>
      </w:r>
      <w:r w:rsidRPr="00DD5245">
        <w:rPr>
          <w:rFonts w:ascii="Book Antiqua" w:hAnsi="Book Antiqua"/>
          <w:sz w:val="24"/>
          <w:szCs w:val="24"/>
          <w:lang w:val="en-GB"/>
        </w:rPr>
        <w:t>-3% of all STEMI, with 5</w:t>
      </w:r>
      <w:r w:rsidR="00551825" w:rsidRPr="00DD5245">
        <w:rPr>
          <w:rFonts w:ascii="Book Antiqua" w:hAnsi="Book Antiqua"/>
          <w:sz w:val="24"/>
          <w:szCs w:val="24"/>
          <w:lang w:val="en-GB"/>
        </w:rPr>
        <w:t>%</w:t>
      </w:r>
      <w:r w:rsidRPr="00DD5245">
        <w:rPr>
          <w:rFonts w:ascii="Book Antiqua" w:hAnsi="Book Antiqua"/>
          <w:sz w:val="24"/>
          <w:szCs w:val="24"/>
          <w:lang w:val="en-GB"/>
        </w:rPr>
        <w:t xml:space="preserve">-6% prevalence in </w:t>
      </w:r>
      <w:r w:rsidR="001E760E" w:rsidRPr="00DD5245">
        <w:rPr>
          <w:rFonts w:ascii="Book Antiqua" w:hAnsi="Book Antiqua"/>
          <w:sz w:val="24"/>
          <w:szCs w:val="24"/>
          <w:lang w:val="en-GB"/>
        </w:rPr>
        <w:t xml:space="preserve">female </w:t>
      </w:r>
      <w:r w:rsidRPr="00DD5245">
        <w:rPr>
          <w:rFonts w:ascii="Book Antiqua" w:hAnsi="Book Antiqua"/>
          <w:sz w:val="24"/>
          <w:szCs w:val="24"/>
          <w:lang w:val="en-GB"/>
        </w:rPr>
        <w:t>subgroups</w:t>
      </w:r>
      <w:r w:rsidR="001E760E" w:rsidRPr="00DD5245">
        <w:rPr>
          <w:rFonts w:ascii="Book Antiqua" w:hAnsi="Book Antiqua"/>
          <w:sz w:val="24"/>
          <w:szCs w:val="24"/>
          <w:lang w:val="en-GB"/>
        </w:rPr>
        <w:t>,</w:t>
      </w:r>
      <w:r w:rsidRPr="00DD5245">
        <w:rPr>
          <w:rFonts w:ascii="Book Antiqua" w:hAnsi="Book Antiqua"/>
          <w:sz w:val="24"/>
          <w:szCs w:val="24"/>
          <w:lang w:val="en-GB"/>
        </w:rPr>
        <w:t xml:space="preserve"> and is characterized by apical ballooning of the left ventricle in the absence of occlusive CAD; although concomitant CAD is described in 10</w:t>
      </w:r>
      <w:r w:rsidR="00551825" w:rsidRPr="00DD5245">
        <w:rPr>
          <w:rFonts w:ascii="Book Antiqua" w:hAnsi="Book Antiqua"/>
          <w:sz w:val="24"/>
          <w:szCs w:val="24"/>
          <w:lang w:val="en-GB"/>
        </w:rPr>
        <w:t>%</w:t>
      </w:r>
      <w:r w:rsidRPr="00DD5245">
        <w:rPr>
          <w:rFonts w:ascii="Book Antiqua" w:hAnsi="Book Antiqua"/>
          <w:sz w:val="24"/>
          <w:szCs w:val="24"/>
          <w:lang w:val="en-GB"/>
        </w:rPr>
        <w:t xml:space="preserve">-29% of </w:t>
      </w:r>
      <w:r w:rsidR="00544CB5" w:rsidRPr="00544CB5">
        <w:rPr>
          <w:rFonts w:ascii="Book Antiqua" w:hAnsi="Book Antiqua"/>
          <w:sz w:val="24"/>
          <w:szCs w:val="24"/>
          <w:lang w:val="en-GB"/>
        </w:rPr>
        <w:t>Takotsubo syndrome (TTS)</w:t>
      </w:r>
      <w:r w:rsidR="001E760E" w:rsidRPr="00DD5245">
        <w:rPr>
          <w:rFonts w:ascii="Book Antiqua" w:hAnsi="Book Antiqua"/>
          <w:sz w:val="24"/>
          <w:szCs w:val="24"/>
          <w:lang w:val="en-GB"/>
        </w:rPr>
        <w:t xml:space="preserve"> cases</w:t>
      </w:r>
      <w:r w:rsidRPr="00DD5245">
        <w:rPr>
          <w:rFonts w:ascii="Book Antiqua" w:hAnsi="Book Antiqua"/>
          <w:sz w:val="24"/>
          <w:szCs w:val="24"/>
          <w:lang w:val="en-GB"/>
        </w:rPr>
        <w:t>. The proposed Mayo clinical criteria include transient left ventricle mid-segment wall hypokinesis, akinesis or dyskinesis that extend</w:t>
      </w:r>
      <w:r w:rsidR="001E760E" w:rsidRPr="00DD5245">
        <w:rPr>
          <w:rFonts w:ascii="Book Antiqua" w:hAnsi="Book Antiqua"/>
          <w:sz w:val="24"/>
          <w:szCs w:val="24"/>
          <w:lang w:val="en-GB"/>
        </w:rPr>
        <w:t>s</w:t>
      </w:r>
      <w:r w:rsidRPr="00DD5245">
        <w:rPr>
          <w:rFonts w:ascii="Book Antiqua" w:hAnsi="Book Antiqua"/>
          <w:sz w:val="24"/>
          <w:szCs w:val="24"/>
          <w:lang w:val="en-GB"/>
        </w:rPr>
        <w:t xml:space="preserve"> beyond one vascular territory, absence of significant CAD, new electrocardiographic changes or modest elevation in cardiac biomarkers, and exclusion of pheochromocytoma or myocarditis</w:t>
      </w:r>
      <w:r w:rsidRPr="00DD5245">
        <w:rPr>
          <w:rFonts w:ascii="Book Antiqua" w:hAnsi="Book Antiqua"/>
          <w:sz w:val="24"/>
          <w:szCs w:val="24"/>
          <w:vertAlign w:val="superscript"/>
          <w:lang w:val="en-GB"/>
        </w:rPr>
        <w:t>[17,18]</w:t>
      </w:r>
      <w:r w:rsidRPr="00DD5245">
        <w:rPr>
          <w:rFonts w:ascii="Book Antiqua" w:hAnsi="Book Antiqua"/>
          <w:sz w:val="24"/>
          <w:szCs w:val="24"/>
          <w:lang w:val="en-GB"/>
        </w:rPr>
        <w:t xml:space="preserve">. The more recent international TTS diagnostic criteria (interTAK Diagnostic Criteria) vary from the Mayo criteria by recognizing pheochromocytoma as a secondary cause </w:t>
      </w:r>
      <w:r w:rsidR="001E760E" w:rsidRPr="00DD5245">
        <w:rPr>
          <w:rFonts w:ascii="Book Antiqua" w:hAnsi="Book Antiqua"/>
          <w:sz w:val="24"/>
          <w:szCs w:val="24"/>
          <w:lang w:val="en-GB"/>
        </w:rPr>
        <w:t xml:space="preserve">of </w:t>
      </w:r>
      <w:r w:rsidRPr="00DD5245">
        <w:rPr>
          <w:rFonts w:ascii="Book Antiqua" w:hAnsi="Book Antiqua"/>
          <w:sz w:val="24"/>
          <w:szCs w:val="24"/>
          <w:lang w:val="en-GB"/>
        </w:rPr>
        <w:t>TTS by stating that the presence of CAD should not be an exclusion and that cases with wall motion abnormalities restricted to one vascular territory should not be excluded (</w:t>
      </w:r>
      <w:r w:rsidR="005C603D" w:rsidRPr="00DD5245">
        <w:rPr>
          <w:rFonts w:ascii="Book Antiqua" w:hAnsi="Book Antiqua"/>
          <w:sz w:val="24"/>
          <w:szCs w:val="24"/>
          <w:lang w:val="en-GB"/>
        </w:rPr>
        <w:t>T</w:t>
      </w:r>
      <w:r w:rsidRPr="00DD5245">
        <w:rPr>
          <w:rFonts w:ascii="Book Antiqua" w:hAnsi="Book Antiqua"/>
          <w:sz w:val="24"/>
          <w:szCs w:val="24"/>
          <w:lang w:val="en-GB"/>
        </w:rPr>
        <w:t xml:space="preserve">able </w:t>
      </w:r>
      <w:r w:rsidR="00243740">
        <w:rPr>
          <w:rFonts w:ascii="Book Antiqua" w:hAnsi="Book Antiqua"/>
          <w:sz w:val="24"/>
          <w:szCs w:val="24"/>
          <w:lang w:val="en-GB"/>
        </w:rPr>
        <w:t xml:space="preserve">2 </w:t>
      </w:r>
      <w:r w:rsidR="00243740">
        <w:rPr>
          <w:rFonts w:ascii="Book Antiqua" w:hAnsi="Book Antiqua" w:hint="eastAsia"/>
          <w:sz w:val="24"/>
          <w:szCs w:val="24"/>
          <w:lang w:val="en-GB" w:eastAsia="zh-CN"/>
        </w:rPr>
        <w:t>and</w:t>
      </w:r>
      <w:r w:rsidRPr="00DD5245">
        <w:rPr>
          <w:rFonts w:ascii="Book Antiqua" w:hAnsi="Book Antiqua"/>
          <w:sz w:val="24"/>
          <w:szCs w:val="24"/>
          <w:lang w:val="en-GB"/>
        </w:rPr>
        <w:t xml:space="preserve"> </w:t>
      </w:r>
      <w:r w:rsidR="00243740">
        <w:rPr>
          <w:rFonts w:ascii="Book Antiqua" w:hAnsi="Book Antiqua"/>
          <w:sz w:val="24"/>
          <w:szCs w:val="24"/>
          <w:lang w:val="en-GB"/>
        </w:rPr>
        <w:t>3</w:t>
      </w:r>
      <w:r w:rsidRPr="00DD5245">
        <w:rPr>
          <w:rFonts w:ascii="Book Antiqua" w:hAnsi="Book Antiqua"/>
          <w:sz w:val="24"/>
          <w:szCs w:val="24"/>
          <w:vertAlign w:val="superscript"/>
          <w:lang w:val="en-GB"/>
        </w:rPr>
        <w:t>)[18]</w:t>
      </w:r>
      <w:r w:rsidRPr="00DD5245">
        <w:rPr>
          <w:rFonts w:ascii="Book Antiqua" w:hAnsi="Book Antiqua"/>
          <w:sz w:val="24"/>
          <w:szCs w:val="24"/>
          <w:lang w:val="en-GB"/>
        </w:rPr>
        <w:t>.</w:t>
      </w:r>
      <w:r w:rsidRPr="00DD5245">
        <w:rPr>
          <w:rFonts w:ascii="Book Antiqua" w:eastAsia="宋体" w:hAnsi="Book Antiqua" w:cs="Times New Roman"/>
          <w:sz w:val="24"/>
          <w:szCs w:val="24"/>
          <w:lang w:val="en-GB"/>
        </w:rPr>
        <w:t xml:space="preserve"> The causes</w:t>
      </w:r>
      <w:r w:rsidRPr="00DD5245">
        <w:rPr>
          <w:rFonts w:ascii="Book Antiqua" w:hAnsi="Book Antiqua"/>
          <w:sz w:val="24"/>
          <w:szCs w:val="24"/>
          <w:lang w:val="en-GB"/>
        </w:rPr>
        <w:t xml:space="preserve"> and aetiologic mechanisms of TTS are complex and still in debate, but reversible coronary microvascular vasoconstriction is a common mechanism in </w:t>
      </w:r>
      <w:r w:rsidR="00CE6E9E" w:rsidRPr="00DD5245">
        <w:rPr>
          <w:rFonts w:ascii="Book Antiqua" w:hAnsi="Book Antiqua"/>
          <w:sz w:val="24"/>
          <w:szCs w:val="24"/>
          <w:lang w:val="en-GB"/>
        </w:rPr>
        <w:t>apical ballooning</w:t>
      </w:r>
      <w:r w:rsidRPr="00DD5245">
        <w:rPr>
          <w:rFonts w:ascii="Book Antiqua" w:hAnsi="Book Antiqua"/>
          <w:sz w:val="24"/>
          <w:szCs w:val="24"/>
          <w:vertAlign w:val="superscript"/>
          <w:lang w:val="en-GB"/>
        </w:rPr>
        <w:t>[20]</w:t>
      </w:r>
      <w:r w:rsidRPr="00DD5245">
        <w:rPr>
          <w:rFonts w:ascii="Book Antiqua" w:hAnsi="Book Antiqua"/>
          <w:sz w:val="24"/>
          <w:szCs w:val="24"/>
          <w:lang w:val="en-GB"/>
        </w:rPr>
        <w:t xml:space="preserve">. Diagnostic tools in TTS diagnosis include ventriculography, transthoracic echocardiogram with adenosine and CMR. In the absence of significant CAD, ballooning ventriculography allows </w:t>
      </w:r>
      <w:r w:rsidR="00CE6E9E" w:rsidRPr="00DD5245">
        <w:rPr>
          <w:rFonts w:ascii="Book Antiqua" w:hAnsi="Book Antiqua"/>
          <w:sz w:val="24"/>
          <w:szCs w:val="24"/>
          <w:lang w:val="en-GB"/>
        </w:rPr>
        <w:t xml:space="preserve">a </w:t>
      </w:r>
      <w:r w:rsidRPr="00DD5245">
        <w:rPr>
          <w:rFonts w:ascii="Book Antiqua" w:hAnsi="Book Antiqua"/>
          <w:sz w:val="24"/>
          <w:szCs w:val="24"/>
          <w:lang w:val="en-GB"/>
        </w:rPr>
        <w:t xml:space="preserve">diagnosis. Contrast echocardiography with adenosine may prove microvascular constriction. CMR provides additional findings suggesting takotsubo; the hyperintense signal on T2 sequences, diffuse or transmural </w:t>
      </w:r>
      <w:r w:rsidR="00CE6E9E" w:rsidRPr="00DD5245">
        <w:rPr>
          <w:rFonts w:ascii="Book Antiqua" w:hAnsi="Book Antiqua"/>
          <w:sz w:val="24"/>
          <w:szCs w:val="24"/>
          <w:lang w:val="en-GB"/>
        </w:rPr>
        <w:t>oedema</w:t>
      </w:r>
      <w:r w:rsidRPr="00DD5245">
        <w:rPr>
          <w:rFonts w:ascii="Book Antiqua" w:hAnsi="Book Antiqua"/>
          <w:sz w:val="24"/>
          <w:szCs w:val="24"/>
          <w:lang w:val="en-GB"/>
        </w:rPr>
        <w:t xml:space="preserve">, dysfunctional ventricular contraction matching the TTS </w:t>
      </w:r>
      <w:r w:rsidRPr="00DD5245">
        <w:rPr>
          <w:rFonts w:ascii="Book Antiqua" w:hAnsi="Book Antiqua"/>
          <w:sz w:val="24"/>
          <w:szCs w:val="24"/>
          <w:lang w:val="en-GB"/>
        </w:rPr>
        <w:lastRenderedPageBreak/>
        <w:t>typical ballooning, and alterations not restricted to a particular vascular territory in the absence of myocardial necrosis</w:t>
      </w:r>
      <w:r w:rsidRPr="00DD5245">
        <w:rPr>
          <w:rFonts w:ascii="Book Antiqua" w:hAnsi="Book Antiqua"/>
          <w:sz w:val="24"/>
          <w:szCs w:val="24"/>
          <w:vertAlign w:val="superscript"/>
          <w:lang w:val="en-GB"/>
        </w:rPr>
        <w:t>[8,21]</w:t>
      </w:r>
      <w:r w:rsidRPr="00DD5245">
        <w:rPr>
          <w:rFonts w:ascii="Book Antiqua" w:hAnsi="Book Antiqua"/>
          <w:sz w:val="24"/>
          <w:szCs w:val="24"/>
          <w:lang w:val="en-GB"/>
        </w:rPr>
        <w:t xml:space="preserve">. Strain echocardiography and F-18 fluorodeoxyglucose positron emission have </w:t>
      </w:r>
      <w:r w:rsidR="00CE6E9E" w:rsidRPr="00DD5245">
        <w:rPr>
          <w:rFonts w:ascii="Book Antiqua" w:hAnsi="Book Antiqua"/>
          <w:sz w:val="24"/>
          <w:szCs w:val="24"/>
          <w:lang w:val="en-GB"/>
        </w:rPr>
        <w:t xml:space="preserve">shown </w:t>
      </w:r>
      <w:r w:rsidRPr="00DD5245">
        <w:rPr>
          <w:rFonts w:ascii="Book Antiqua" w:hAnsi="Book Antiqua"/>
          <w:sz w:val="24"/>
          <w:szCs w:val="24"/>
          <w:lang w:val="en-GB"/>
        </w:rPr>
        <w:t>promising results in the diagnosis of TTS and may play a role in the future</w:t>
      </w:r>
      <w:r w:rsidRPr="00DD5245">
        <w:rPr>
          <w:rFonts w:ascii="Book Antiqua" w:hAnsi="Book Antiqua"/>
          <w:sz w:val="24"/>
          <w:szCs w:val="24"/>
          <w:vertAlign w:val="superscript"/>
          <w:lang w:val="en-GB"/>
        </w:rPr>
        <w:t>[22]</w:t>
      </w:r>
      <w:r w:rsidRPr="00DD5245">
        <w:rPr>
          <w:rFonts w:ascii="Book Antiqua" w:hAnsi="Book Antiqua"/>
          <w:sz w:val="24"/>
          <w:szCs w:val="24"/>
          <w:lang w:val="en-GB"/>
        </w:rPr>
        <w:t>.</w:t>
      </w:r>
    </w:p>
    <w:p w14:paraId="1A698965" w14:textId="77777777" w:rsidR="00551825" w:rsidRPr="00DD5245" w:rsidRDefault="00551825" w:rsidP="00551825">
      <w:pPr>
        <w:pStyle w:val="a4"/>
        <w:adjustRightInd w:val="0"/>
        <w:snapToGrid w:val="0"/>
        <w:spacing w:after="0" w:line="360" w:lineRule="auto"/>
        <w:ind w:left="0"/>
        <w:contextualSpacing w:val="0"/>
        <w:jc w:val="both"/>
        <w:rPr>
          <w:rFonts w:ascii="Book Antiqua" w:hAnsi="Book Antiqua"/>
          <w:sz w:val="24"/>
          <w:szCs w:val="24"/>
          <w:lang w:val="en-GB"/>
        </w:rPr>
      </w:pPr>
    </w:p>
    <w:p w14:paraId="0EB57312" w14:textId="359AAC76" w:rsidR="00513789" w:rsidRPr="00DD5245" w:rsidRDefault="00150F1C" w:rsidP="00551825">
      <w:pPr>
        <w:pStyle w:val="a4"/>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Myocarditis:</w:t>
      </w:r>
      <w:r w:rsidRPr="00DD5245">
        <w:rPr>
          <w:rFonts w:ascii="Book Antiqua" w:hAnsi="Book Antiqua"/>
          <w:sz w:val="24"/>
          <w:szCs w:val="24"/>
          <w:lang w:val="en-GB"/>
        </w:rPr>
        <w:t xml:space="preserve"> This polymorphic inflammatory disease can mimic many conditions and can have a prevalence of </w:t>
      </w:r>
      <w:r w:rsidRPr="00DD5245">
        <w:rPr>
          <w:rFonts w:ascii="Book Antiqua" w:eastAsia="宋体" w:hAnsi="Book Antiqua" w:cs="Times New Roman"/>
          <w:sz w:val="24"/>
          <w:szCs w:val="24"/>
          <w:lang w:val="en-GB"/>
        </w:rPr>
        <w:t>approximately</w:t>
      </w:r>
      <w:r w:rsidRPr="00DD5245">
        <w:rPr>
          <w:rFonts w:ascii="Book Antiqua" w:hAnsi="Book Antiqua"/>
          <w:sz w:val="24"/>
          <w:szCs w:val="24"/>
          <w:lang w:val="en-GB"/>
        </w:rPr>
        <w:t xml:space="preserve"> 33% </w:t>
      </w:r>
      <w:r w:rsidR="00CE6E9E" w:rsidRPr="00DD5245">
        <w:rPr>
          <w:rFonts w:ascii="Book Antiqua" w:hAnsi="Book Antiqua"/>
          <w:sz w:val="24"/>
          <w:szCs w:val="24"/>
          <w:lang w:val="en-GB"/>
        </w:rPr>
        <w:t xml:space="preserve">among </w:t>
      </w:r>
      <w:r w:rsidRPr="00DD5245">
        <w:rPr>
          <w:rFonts w:ascii="Book Antiqua" w:hAnsi="Book Antiqua"/>
          <w:sz w:val="24"/>
          <w:szCs w:val="24"/>
          <w:lang w:val="en-GB"/>
        </w:rPr>
        <w:t>MINOCA patients when determined by CMR imaging</w:t>
      </w:r>
      <w:r w:rsidRPr="00DD5245">
        <w:rPr>
          <w:rFonts w:ascii="Book Antiqua" w:hAnsi="Book Antiqua"/>
          <w:sz w:val="24"/>
          <w:szCs w:val="24"/>
          <w:vertAlign w:val="superscript"/>
          <w:lang w:val="en-GB"/>
        </w:rPr>
        <w:t>[24]</w:t>
      </w:r>
      <w:r w:rsidRPr="00DD5245">
        <w:rPr>
          <w:rFonts w:ascii="Book Antiqua" w:hAnsi="Book Antiqua"/>
          <w:sz w:val="24"/>
          <w:szCs w:val="24"/>
          <w:lang w:val="en-GB"/>
        </w:rPr>
        <w:t>. Young patients and high C-reactive protein findings were associated with myocarditis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while male sex, previously treated hyperlipidaemia and high troponin ratio were correlated with type 1 MI. Myocarditis also accounts for 5</w:t>
      </w:r>
      <w:r w:rsidR="00551825" w:rsidRPr="00DD5245">
        <w:rPr>
          <w:rFonts w:ascii="Book Antiqua" w:hAnsi="Book Antiqua"/>
          <w:sz w:val="24"/>
          <w:szCs w:val="24"/>
          <w:lang w:val="en-GB"/>
        </w:rPr>
        <w:t>%</w:t>
      </w:r>
      <w:r w:rsidRPr="00DD5245">
        <w:rPr>
          <w:rFonts w:ascii="Book Antiqua" w:hAnsi="Book Antiqua"/>
          <w:sz w:val="24"/>
          <w:szCs w:val="24"/>
          <w:lang w:val="en-GB"/>
        </w:rPr>
        <w:t>-12% of young athlete sudden cardiovascular death</w:t>
      </w:r>
      <w:r w:rsidRPr="00DD5245">
        <w:rPr>
          <w:rFonts w:ascii="Book Antiqua" w:hAnsi="Book Antiqua"/>
          <w:sz w:val="24"/>
          <w:szCs w:val="24"/>
          <w:vertAlign w:val="superscript"/>
          <w:lang w:val="en-GB"/>
        </w:rPr>
        <w:t>[25]</w:t>
      </w:r>
      <w:r w:rsidRPr="00DD5245">
        <w:rPr>
          <w:rFonts w:ascii="Book Antiqua" w:hAnsi="Book Antiqua"/>
          <w:sz w:val="24"/>
          <w:szCs w:val="24"/>
          <w:lang w:val="en-GB"/>
        </w:rPr>
        <w:t>. The most common pathogens identified in patients are human herpesvirus 6 and parvovirus B19. Diagnosis of myocarditis is challenging</w:t>
      </w:r>
      <w:r w:rsidR="00CE6E9E" w:rsidRPr="00DD5245">
        <w:rPr>
          <w:rFonts w:ascii="Book Antiqua" w:hAnsi="Book Antiqua"/>
          <w:sz w:val="24"/>
          <w:szCs w:val="24"/>
          <w:lang w:val="en-GB"/>
        </w:rPr>
        <w:t>;</w:t>
      </w:r>
      <w:r w:rsidRPr="00DD5245">
        <w:rPr>
          <w:rFonts w:ascii="Book Antiqua" w:hAnsi="Book Antiqua"/>
          <w:sz w:val="24"/>
          <w:szCs w:val="24"/>
          <w:lang w:val="en-GB"/>
        </w:rPr>
        <w:t xml:space="preserve"> </w:t>
      </w:r>
      <w:r w:rsidR="00CE6E9E" w:rsidRPr="00DD5245">
        <w:rPr>
          <w:rFonts w:ascii="Book Antiqua" w:hAnsi="Book Antiqua"/>
          <w:sz w:val="24"/>
          <w:szCs w:val="24"/>
          <w:lang w:val="en-GB"/>
        </w:rPr>
        <w:t xml:space="preserve">thus, </w:t>
      </w:r>
      <w:r w:rsidRPr="00DD5245">
        <w:rPr>
          <w:rFonts w:ascii="Book Antiqua" w:hAnsi="Book Antiqua"/>
          <w:sz w:val="24"/>
          <w:szCs w:val="24"/>
          <w:lang w:val="en-GB"/>
        </w:rPr>
        <w:t xml:space="preserve">given the poor yield of endomyocardial biopsies (EMB) and viral serologies, standard criteria such as the </w:t>
      </w:r>
      <w:r w:rsidR="00952B0D" w:rsidRPr="00DD5245">
        <w:rPr>
          <w:rFonts w:ascii="Book Antiqua" w:hAnsi="Book Antiqua"/>
          <w:sz w:val="24"/>
          <w:szCs w:val="24"/>
          <w:lang w:val="en-GB"/>
        </w:rPr>
        <w:t>European Society of Cardiology</w:t>
      </w:r>
      <w:r w:rsidRPr="00DD5245">
        <w:rPr>
          <w:rFonts w:ascii="Book Antiqua" w:hAnsi="Book Antiqua"/>
          <w:sz w:val="24"/>
          <w:szCs w:val="24"/>
          <w:lang w:val="en-GB"/>
        </w:rPr>
        <w:t xml:space="preserve"> 2013 Myocarditis Task Force criteria were established (</w:t>
      </w:r>
      <w:r w:rsidR="005C603D" w:rsidRPr="00DD5245">
        <w:rPr>
          <w:rFonts w:ascii="Book Antiqua" w:hAnsi="Book Antiqua"/>
          <w:sz w:val="24"/>
          <w:szCs w:val="24"/>
          <w:lang w:val="en-GB"/>
        </w:rPr>
        <w:t>T</w:t>
      </w:r>
      <w:r w:rsidRPr="00DD5245">
        <w:rPr>
          <w:rFonts w:ascii="Book Antiqua" w:hAnsi="Book Antiqua"/>
          <w:sz w:val="24"/>
          <w:szCs w:val="24"/>
          <w:lang w:val="en-GB"/>
        </w:rPr>
        <w:t xml:space="preserve">able </w:t>
      </w:r>
      <w:r w:rsidR="00243740">
        <w:rPr>
          <w:rFonts w:ascii="Book Antiqua" w:hAnsi="Book Antiqua"/>
          <w:sz w:val="24"/>
          <w:szCs w:val="24"/>
          <w:lang w:val="en-GB"/>
        </w:rPr>
        <w:t>4</w:t>
      </w:r>
      <w:r w:rsidRPr="00DD5245">
        <w:rPr>
          <w:rFonts w:ascii="Book Antiqua" w:hAnsi="Book Antiqua"/>
          <w:sz w:val="24"/>
          <w:szCs w:val="24"/>
          <w:lang w:val="en-GB"/>
        </w:rPr>
        <w:t>)</w:t>
      </w:r>
      <w:r w:rsidRPr="00DD5245">
        <w:rPr>
          <w:rFonts w:ascii="Book Antiqua" w:hAnsi="Book Antiqua"/>
          <w:sz w:val="24"/>
          <w:szCs w:val="24"/>
          <w:vertAlign w:val="superscript"/>
          <w:lang w:val="en-GB"/>
        </w:rPr>
        <w:t>[7]</w:t>
      </w:r>
      <w:r w:rsidRPr="00DD5245">
        <w:rPr>
          <w:rFonts w:ascii="Book Antiqua" w:hAnsi="Book Antiqua"/>
          <w:sz w:val="24"/>
          <w:szCs w:val="24"/>
          <w:lang w:val="en-GB"/>
        </w:rPr>
        <w:t xml:space="preserve">. Certain </w:t>
      </w:r>
      <w:r w:rsidRPr="00DD5245">
        <w:rPr>
          <w:rFonts w:ascii="Book Antiqua" w:eastAsia="宋体" w:hAnsi="Book Antiqua" w:cs="Times New Roman"/>
          <w:sz w:val="24"/>
          <w:szCs w:val="24"/>
          <w:lang w:val="en-GB"/>
        </w:rPr>
        <w:t>diagnoses</w:t>
      </w:r>
      <w:r w:rsidRPr="00DD5245">
        <w:rPr>
          <w:rFonts w:ascii="Book Antiqua" w:hAnsi="Book Antiqua"/>
          <w:sz w:val="24"/>
          <w:szCs w:val="24"/>
          <w:lang w:val="en-GB"/>
        </w:rPr>
        <w:t xml:space="preserve"> and </w:t>
      </w:r>
      <w:r w:rsidR="00CE6E9E" w:rsidRPr="00DD5245">
        <w:rPr>
          <w:rFonts w:ascii="Book Antiqua" w:hAnsi="Book Antiqua"/>
          <w:sz w:val="24"/>
          <w:szCs w:val="24"/>
          <w:lang w:val="en-GB"/>
        </w:rPr>
        <w:t>aetiologies</w:t>
      </w:r>
      <w:r w:rsidRPr="00DD5245">
        <w:rPr>
          <w:rFonts w:ascii="Book Antiqua" w:hAnsi="Book Antiqua"/>
          <w:sz w:val="24"/>
          <w:szCs w:val="24"/>
          <w:lang w:val="en-GB"/>
        </w:rPr>
        <w:t xml:space="preserve"> of myocarditis require EMB (histology, immunohistology, infectious agents by p</w:t>
      </w:r>
      <w:r w:rsidR="005C603D" w:rsidRPr="00DD5245">
        <w:rPr>
          <w:rFonts w:ascii="Book Antiqua" w:hAnsi="Book Antiqua"/>
          <w:sz w:val="24"/>
          <w:szCs w:val="24"/>
          <w:lang w:val="en-GB"/>
        </w:rPr>
        <w:t>olymerase</w:t>
      </w:r>
      <w:r w:rsidRPr="00DD5245">
        <w:rPr>
          <w:rFonts w:ascii="Book Antiqua" w:hAnsi="Book Antiqua"/>
          <w:sz w:val="24"/>
          <w:szCs w:val="24"/>
          <w:lang w:val="en-GB"/>
        </w:rPr>
        <w:t xml:space="preserve"> chain reaction). CMR imaging should be included in the workup of myocarditis; it </w:t>
      </w:r>
      <w:r w:rsidR="00CE6E9E" w:rsidRPr="00DD5245">
        <w:rPr>
          <w:rFonts w:ascii="Book Antiqua" w:hAnsi="Book Antiqua"/>
          <w:sz w:val="24"/>
          <w:szCs w:val="24"/>
          <w:lang w:val="en-GB"/>
        </w:rPr>
        <w:t xml:space="preserve">provides </w:t>
      </w:r>
      <w:r w:rsidRPr="00DD5245">
        <w:rPr>
          <w:rFonts w:ascii="Book Antiqua" w:hAnsi="Book Antiqua"/>
          <w:sz w:val="24"/>
          <w:szCs w:val="24"/>
          <w:lang w:val="en-GB"/>
        </w:rPr>
        <w:t>tissue characterization but does not identify the underlying cause. Late gadolinium enhancement is observed in the majority of patients and can have several phenotypes with different prognostic implications</w:t>
      </w:r>
      <w:r w:rsidRPr="00DD5245">
        <w:rPr>
          <w:rFonts w:ascii="Book Antiqua" w:hAnsi="Book Antiqua"/>
          <w:sz w:val="24"/>
          <w:szCs w:val="24"/>
          <w:vertAlign w:val="superscript"/>
          <w:lang w:val="en-GB"/>
        </w:rPr>
        <w:t>[25]</w:t>
      </w:r>
      <w:r w:rsidRPr="00DD5245">
        <w:rPr>
          <w:rFonts w:ascii="Book Antiqua" w:hAnsi="Book Antiqua"/>
          <w:sz w:val="24"/>
          <w:szCs w:val="24"/>
          <w:lang w:val="en-GB"/>
        </w:rPr>
        <w:t>.</w:t>
      </w:r>
    </w:p>
    <w:p w14:paraId="546CE6B0" w14:textId="77777777" w:rsidR="00551825" w:rsidRPr="00DD5245" w:rsidRDefault="00551825" w:rsidP="00551825">
      <w:pPr>
        <w:pStyle w:val="a4"/>
        <w:adjustRightInd w:val="0"/>
        <w:snapToGrid w:val="0"/>
        <w:spacing w:after="0" w:line="360" w:lineRule="auto"/>
        <w:ind w:left="0"/>
        <w:contextualSpacing w:val="0"/>
        <w:jc w:val="both"/>
        <w:rPr>
          <w:rFonts w:ascii="Book Antiqua" w:hAnsi="Book Antiqua"/>
          <w:sz w:val="24"/>
          <w:szCs w:val="24"/>
          <w:lang w:val="en-GB"/>
        </w:rPr>
      </w:pPr>
    </w:p>
    <w:p w14:paraId="620C2CF0" w14:textId="386F5433" w:rsidR="00513789" w:rsidRPr="00DD5245" w:rsidRDefault="00150F1C" w:rsidP="00551825">
      <w:pPr>
        <w:pStyle w:val="a4"/>
        <w:adjustRightInd w:val="0"/>
        <w:snapToGrid w:val="0"/>
        <w:spacing w:after="0" w:line="360" w:lineRule="auto"/>
        <w:ind w:left="0"/>
        <w:contextualSpacing w:val="0"/>
        <w:jc w:val="both"/>
        <w:rPr>
          <w:rFonts w:ascii="Book Antiqua" w:hAnsi="Book Antiqua"/>
          <w:sz w:val="24"/>
          <w:szCs w:val="24"/>
          <w:lang w:val="en-GB"/>
        </w:rPr>
      </w:pPr>
      <w:r w:rsidRPr="00DD5245">
        <w:rPr>
          <w:rFonts w:ascii="Book Antiqua" w:hAnsi="Book Antiqua"/>
          <w:b/>
          <w:bCs/>
          <w:sz w:val="24"/>
          <w:szCs w:val="24"/>
          <w:lang w:val="en-GB"/>
        </w:rPr>
        <w:t>Coronary embolism:</w:t>
      </w:r>
      <w:r w:rsidRPr="00DD5245">
        <w:rPr>
          <w:rFonts w:ascii="Book Antiqua" w:hAnsi="Book Antiqua"/>
          <w:sz w:val="24"/>
          <w:szCs w:val="24"/>
          <w:lang w:val="en-GB"/>
        </w:rPr>
        <w:t xml:space="preserve"> Coronary embolism</w:t>
      </w:r>
      <w:r w:rsidR="00404A21" w:rsidRPr="00DD5245">
        <w:rPr>
          <w:rFonts w:ascii="Book Antiqua" w:hAnsi="Book Antiqua"/>
          <w:sz w:val="24"/>
          <w:szCs w:val="24"/>
          <w:lang w:val="en-GB"/>
        </w:rPr>
        <w:t xml:space="preserve"> (CE)</w:t>
      </w:r>
      <w:r w:rsidRPr="00DD5245">
        <w:rPr>
          <w:rFonts w:ascii="Book Antiqua" w:hAnsi="Book Antiqua"/>
          <w:sz w:val="24"/>
          <w:szCs w:val="24"/>
          <w:lang w:val="en-GB"/>
        </w:rPr>
        <w:t xml:space="preserve"> can affect coronary microcirculation and/or angiographically visible epicardial vessels. Coronary emboli can arise from coronary or systemic arterial thrombi</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coronary thrombosis may be related to thrombotic disorders. The prevalence of de novo CE MINOCA can be 2.9%. Atrial fibrillation is the most common cause of CE. Case definition can be held according to the </w:t>
      </w:r>
      <w:r w:rsidR="00CE6E9E" w:rsidRPr="00DD5245">
        <w:rPr>
          <w:rFonts w:ascii="Book Antiqua" w:hAnsi="Book Antiqua"/>
          <w:sz w:val="24"/>
          <w:szCs w:val="24"/>
          <w:lang w:val="en-GB"/>
        </w:rPr>
        <w:t xml:space="preserve">National Cerebral and Cardiovascular Center </w:t>
      </w:r>
      <w:r w:rsidRPr="00DD5245">
        <w:rPr>
          <w:rFonts w:ascii="Book Antiqua" w:hAnsi="Book Antiqua"/>
          <w:sz w:val="24"/>
          <w:szCs w:val="24"/>
          <w:lang w:val="en-GB"/>
        </w:rPr>
        <w:t xml:space="preserve">criteria </w:t>
      </w:r>
      <w:r w:rsidRPr="00DD5245">
        <w:rPr>
          <w:rFonts w:ascii="Book Antiqua" w:eastAsia="宋体" w:hAnsi="Book Antiqua" w:cs="Times New Roman"/>
          <w:sz w:val="24"/>
          <w:szCs w:val="24"/>
          <w:lang w:val="en-GB"/>
        </w:rPr>
        <w:t xml:space="preserve">for </w:t>
      </w:r>
      <w:r w:rsidRPr="00DD5245">
        <w:rPr>
          <w:rFonts w:ascii="Book Antiqua" w:hAnsi="Book Antiqua"/>
          <w:sz w:val="24"/>
          <w:szCs w:val="24"/>
          <w:lang w:val="en-GB"/>
        </w:rPr>
        <w:t xml:space="preserve">the diagnosis of CE; the 3 major criteria include angiographic </w:t>
      </w:r>
      <w:r w:rsidRPr="00DD5245">
        <w:rPr>
          <w:rFonts w:ascii="Book Antiqua" w:hAnsi="Book Antiqua"/>
          <w:sz w:val="24"/>
          <w:szCs w:val="24"/>
          <w:lang w:val="en-GB"/>
        </w:rPr>
        <w:lastRenderedPageBreak/>
        <w:t>evidence of coronary artery embolism and thrombosis without atherosclerotic components, concomitant multivessel CE and concomitant systemic embolization. Minor criteria include CAD with stenosis &lt;</w:t>
      </w:r>
      <w:r w:rsidR="00551825" w:rsidRPr="00DD5245">
        <w:rPr>
          <w:rFonts w:ascii="Book Antiqua" w:hAnsi="Book Antiqua"/>
          <w:sz w:val="24"/>
          <w:szCs w:val="24"/>
          <w:lang w:val="en-GB"/>
        </w:rPr>
        <w:t xml:space="preserve"> </w:t>
      </w:r>
      <w:r w:rsidRPr="00DD5245">
        <w:rPr>
          <w:rFonts w:ascii="Book Antiqua" w:hAnsi="Book Antiqua"/>
          <w:sz w:val="24"/>
          <w:szCs w:val="24"/>
          <w:lang w:val="en-GB"/>
        </w:rPr>
        <w:t>25%, evidence of embolic source detected by imaging, and coexistence of potential thromboembolic disease. Paradoxical embolism due to right-left shunts is a rare cause of MINOCA</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treatment includes trans-catheter device closure or surgical repair.</w:t>
      </w:r>
      <w:r w:rsidRPr="00DD5245">
        <w:rPr>
          <w:rFonts w:ascii="Book Antiqua" w:hAnsi="Book Antiqua"/>
          <w:color w:val="232323"/>
          <w:sz w:val="24"/>
          <w:szCs w:val="24"/>
          <w:shd w:val="clear" w:color="auto" w:fill="FFFFFF"/>
          <w:lang w:val="en-GB"/>
        </w:rPr>
        <w:t xml:space="preserve"> Transthoracic, </w:t>
      </w:r>
      <w:r w:rsidR="00CE6E9E" w:rsidRPr="00DD5245">
        <w:rPr>
          <w:rFonts w:ascii="Book Antiqua" w:hAnsi="Book Antiqua"/>
          <w:color w:val="232323"/>
          <w:sz w:val="24"/>
          <w:szCs w:val="24"/>
          <w:shd w:val="clear" w:color="auto" w:fill="FFFFFF"/>
          <w:lang w:val="en-GB"/>
        </w:rPr>
        <w:t>transoesophageal</w:t>
      </w:r>
      <w:r w:rsidRPr="00DD5245">
        <w:rPr>
          <w:rFonts w:ascii="Book Antiqua" w:hAnsi="Book Antiqua"/>
          <w:color w:val="232323"/>
          <w:sz w:val="24"/>
          <w:szCs w:val="24"/>
          <w:shd w:val="clear" w:color="auto" w:fill="FFFFFF"/>
          <w:lang w:val="en-GB"/>
        </w:rPr>
        <w:t>, and contrast-enhanced echocardiography are the cornerstone methods for uncovering cardiac sources of embolism</w:t>
      </w:r>
      <w:r w:rsidRPr="00DD5245">
        <w:rPr>
          <w:rFonts w:ascii="Book Antiqua" w:hAnsi="Book Antiqua"/>
          <w:sz w:val="24"/>
          <w:szCs w:val="24"/>
          <w:vertAlign w:val="superscript"/>
          <w:lang w:val="en-GB"/>
        </w:rPr>
        <w:t>[8,27]</w:t>
      </w:r>
      <w:r w:rsidRPr="00DD5245">
        <w:rPr>
          <w:rFonts w:ascii="Book Antiqua" w:hAnsi="Book Antiqua"/>
          <w:sz w:val="24"/>
          <w:szCs w:val="24"/>
          <w:lang w:val="en-GB"/>
        </w:rPr>
        <w:t>.</w:t>
      </w:r>
    </w:p>
    <w:p w14:paraId="0824E442" w14:textId="77777777" w:rsidR="00513789" w:rsidRPr="00DD5245" w:rsidRDefault="00513789" w:rsidP="00707674">
      <w:pPr>
        <w:pStyle w:val="a4"/>
        <w:adjustRightInd w:val="0"/>
        <w:snapToGrid w:val="0"/>
        <w:spacing w:after="0" w:line="360" w:lineRule="auto"/>
        <w:ind w:left="0"/>
        <w:contextualSpacing w:val="0"/>
        <w:jc w:val="both"/>
        <w:rPr>
          <w:rFonts w:ascii="Book Antiqua" w:hAnsi="Book Antiqua"/>
          <w:sz w:val="24"/>
          <w:szCs w:val="24"/>
          <w:lang w:val="en-GB"/>
        </w:rPr>
      </w:pPr>
    </w:p>
    <w:p w14:paraId="0A556F21" w14:textId="0DBB633E" w:rsidR="00513789" w:rsidRPr="00DD5245" w:rsidRDefault="001627AB" w:rsidP="00707674">
      <w:pPr>
        <w:adjustRightInd w:val="0"/>
        <w:snapToGrid w:val="0"/>
        <w:spacing w:after="0" w:line="360" w:lineRule="auto"/>
        <w:jc w:val="both"/>
        <w:rPr>
          <w:rFonts w:ascii="Book Antiqua" w:hAnsi="Book Antiqua"/>
          <w:b/>
          <w:bCs/>
          <w:sz w:val="24"/>
          <w:szCs w:val="24"/>
          <w:lang w:val="en-GB"/>
        </w:rPr>
      </w:pPr>
      <w:r w:rsidRPr="00DD5245">
        <w:rPr>
          <w:rFonts w:ascii="Book Antiqua" w:hAnsi="Book Antiqua"/>
          <w:b/>
          <w:bCs/>
          <w:i/>
          <w:sz w:val="24"/>
          <w:szCs w:val="24"/>
          <w:lang w:val="en-GB"/>
        </w:rPr>
        <w:t>MINOCA</w:t>
      </w:r>
      <w:r w:rsidR="00551825" w:rsidRPr="00DD5245">
        <w:rPr>
          <w:rFonts w:ascii="Book Antiqua" w:hAnsi="Book Antiqua"/>
          <w:b/>
          <w:bCs/>
          <w:i/>
          <w:sz w:val="24"/>
          <w:szCs w:val="24"/>
          <w:lang w:val="en-GB"/>
        </w:rPr>
        <w:t xml:space="preserve"> with uncertain etiology</w:t>
      </w:r>
    </w:p>
    <w:p w14:paraId="0E40D399" w14:textId="38CE769B" w:rsidR="00513789" w:rsidRPr="00DD5245" w:rsidRDefault="00150F1C" w:rsidP="00707674">
      <w:pPr>
        <w:adjustRightInd w:val="0"/>
        <w:snapToGrid w:val="0"/>
        <w:spacing w:after="0" w:line="360" w:lineRule="auto"/>
        <w:jc w:val="both"/>
        <w:rPr>
          <w:rFonts w:ascii="Book Antiqua" w:hAnsi="Book Antiqua"/>
          <w:color w:val="000000"/>
          <w:sz w:val="24"/>
          <w:szCs w:val="24"/>
          <w:shd w:val="clear" w:color="auto" w:fill="FFFFFF"/>
          <w:lang w:val="en-GB"/>
        </w:rPr>
      </w:pPr>
      <w:r w:rsidRPr="00DD5245">
        <w:rPr>
          <w:rFonts w:ascii="Book Antiqua" w:hAnsi="Book Antiqua"/>
          <w:sz w:val="24"/>
          <w:szCs w:val="24"/>
          <w:lang w:val="en-GB"/>
        </w:rPr>
        <w:t>CMR imaging is a cornerstone in determining underlying myocardial tissue pathology. However, 8</w:t>
      </w:r>
      <w:r w:rsidR="00551825" w:rsidRPr="00DD5245">
        <w:rPr>
          <w:rFonts w:ascii="Book Antiqua" w:hAnsi="Book Antiqua"/>
          <w:sz w:val="24"/>
          <w:szCs w:val="24"/>
          <w:lang w:val="en-GB"/>
        </w:rPr>
        <w:t>%</w:t>
      </w:r>
      <w:r w:rsidRPr="00DD5245">
        <w:rPr>
          <w:rFonts w:ascii="Book Antiqua" w:hAnsi="Book Antiqua"/>
          <w:sz w:val="24"/>
          <w:szCs w:val="24"/>
          <w:lang w:val="en-GB"/>
        </w:rPr>
        <w:t xml:space="preserve">-67% of MINOCA </w:t>
      </w:r>
      <w:r w:rsidRPr="00DD5245">
        <w:rPr>
          <w:rFonts w:ascii="Book Antiqua" w:eastAsia="宋体" w:hAnsi="Book Antiqua" w:cs="Times New Roman"/>
          <w:sz w:val="24"/>
          <w:szCs w:val="24"/>
          <w:lang w:val="en-GB"/>
        </w:rPr>
        <w:t xml:space="preserve">patients </w:t>
      </w:r>
      <w:r w:rsidRPr="00DD5245">
        <w:rPr>
          <w:rFonts w:ascii="Book Antiqua" w:hAnsi="Book Antiqua"/>
          <w:sz w:val="24"/>
          <w:szCs w:val="24"/>
          <w:lang w:val="en-GB"/>
        </w:rPr>
        <w:t>have no</w:t>
      </w:r>
      <w:r w:rsidRPr="00DD5245">
        <w:rPr>
          <w:rFonts w:ascii="Book Antiqua" w:eastAsia="宋体" w:hAnsi="Book Antiqua" w:cs="Times New Roman"/>
          <w:sz w:val="24"/>
          <w:szCs w:val="24"/>
          <w:lang w:val="en-GB"/>
        </w:rPr>
        <w:t xml:space="preserve"> </w:t>
      </w:r>
      <w:r w:rsidRPr="00DD5245">
        <w:rPr>
          <w:rFonts w:ascii="Book Antiqua" w:hAnsi="Book Antiqua"/>
          <w:sz w:val="24"/>
          <w:szCs w:val="24"/>
          <w:lang w:val="en-GB"/>
        </w:rPr>
        <w:t xml:space="preserve">late gadolinium enhancement, myocardial </w:t>
      </w:r>
      <w:r w:rsidR="00CE6E9E" w:rsidRPr="00DD5245">
        <w:rPr>
          <w:rFonts w:ascii="Book Antiqua" w:hAnsi="Book Antiqua"/>
          <w:sz w:val="24"/>
          <w:szCs w:val="24"/>
          <w:lang w:val="en-GB"/>
        </w:rPr>
        <w:t>oedema</w:t>
      </w:r>
      <w:r w:rsidRPr="00DD5245">
        <w:rPr>
          <w:rFonts w:ascii="Book Antiqua" w:hAnsi="Book Antiqua"/>
          <w:sz w:val="24"/>
          <w:szCs w:val="24"/>
          <w:lang w:val="en-GB"/>
        </w:rPr>
        <w:t xml:space="preserve">, or wall motion alterations. Vasospastic angina, coronary plaque disease or </w:t>
      </w:r>
      <w:r w:rsidR="00404A21" w:rsidRPr="00DD5245">
        <w:rPr>
          <w:rFonts w:ascii="Book Antiqua" w:hAnsi="Book Antiqua"/>
          <w:sz w:val="24"/>
          <w:szCs w:val="24"/>
          <w:lang w:val="en-GB"/>
        </w:rPr>
        <w:t>CE</w:t>
      </w:r>
      <w:r w:rsidRPr="00DD5245">
        <w:rPr>
          <w:rFonts w:ascii="Book Antiqua" w:hAnsi="Book Antiqua"/>
          <w:sz w:val="24"/>
          <w:szCs w:val="24"/>
          <w:lang w:val="en-GB"/>
        </w:rPr>
        <w:t xml:space="preserve"> can have normal CMR findings; in these cases, intracoronary imaging may help shed light </w:t>
      </w:r>
      <w:r w:rsidRPr="00DD5245">
        <w:rPr>
          <w:rFonts w:ascii="Book Antiqua" w:eastAsia="宋体" w:hAnsi="Book Antiqua" w:cs="Times New Roman"/>
          <w:sz w:val="24"/>
          <w:szCs w:val="24"/>
          <w:lang w:val="en-GB"/>
        </w:rPr>
        <w:t>on</w:t>
      </w:r>
      <w:r w:rsidRPr="00DD5245">
        <w:rPr>
          <w:rFonts w:ascii="Book Antiqua" w:hAnsi="Book Antiqua"/>
          <w:sz w:val="24"/>
          <w:szCs w:val="24"/>
          <w:lang w:val="en-GB"/>
        </w:rPr>
        <w:t xml:space="preserve"> the underlying ischaemic trigger. </w:t>
      </w:r>
      <w:r w:rsidRPr="00DD5245">
        <w:rPr>
          <w:rFonts w:ascii="Book Antiqua" w:hAnsi="Book Antiqua"/>
          <w:color w:val="000000"/>
          <w:sz w:val="24"/>
          <w:szCs w:val="24"/>
          <w:shd w:val="clear" w:color="auto" w:fill="FFFFFF"/>
          <w:lang w:val="en-GB"/>
        </w:rPr>
        <w:t>IVUS and CMR provide complementary mechanistic insights into MINOCA patients and may be useful in identifying potential causes and therapies</w:t>
      </w:r>
      <w:r w:rsidRPr="00DD5245">
        <w:rPr>
          <w:rFonts w:ascii="Book Antiqua" w:hAnsi="Book Antiqua"/>
          <w:color w:val="000000"/>
          <w:sz w:val="24"/>
          <w:szCs w:val="24"/>
          <w:shd w:val="clear" w:color="auto" w:fill="FFFFFF"/>
          <w:vertAlign w:val="superscript"/>
          <w:lang w:val="en-GB"/>
        </w:rPr>
        <w:t>[28]</w:t>
      </w:r>
      <w:r w:rsidRPr="00DD5245">
        <w:rPr>
          <w:rFonts w:ascii="Book Antiqua" w:hAnsi="Book Antiqua"/>
          <w:color w:val="000000"/>
          <w:sz w:val="24"/>
          <w:szCs w:val="24"/>
          <w:shd w:val="clear" w:color="auto" w:fill="FFFFFF"/>
          <w:lang w:val="en-GB"/>
        </w:rPr>
        <w:t>.</w:t>
      </w:r>
    </w:p>
    <w:p w14:paraId="0E7EDB9C" w14:textId="77777777" w:rsidR="00551825" w:rsidRPr="00DD5245" w:rsidRDefault="00551825" w:rsidP="00707674">
      <w:pPr>
        <w:adjustRightInd w:val="0"/>
        <w:snapToGrid w:val="0"/>
        <w:spacing w:after="0" w:line="360" w:lineRule="auto"/>
        <w:jc w:val="both"/>
        <w:rPr>
          <w:rFonts w:ascii="Book Antiqua" w:hAnsi="Book Antiqua"/>
          <w:color w:val="000000"/>
          <w:sz w:val="24"/>
          <w:szCs w:val="24"/>
          <w:shd w:val="clear" w:color="auto" w:fill="FFFFFF"/>
          <w:lang w:val="en-GB"/>
        </w:rPr>
      </w:pPr>
    </w:p>
    <w:p w14:paraId="68024ECD" w14:textId="437C9D93"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MINOCA THERAPY ACCORDING TO PATHOPHYSIOLOGY</w:t>
      </w:r>
    </w:p>
    <w:p w14:paraId="3B95ED7B" w14:textId="1369EECC" w:rsidR="00513789" w:rsidRPr="00DD5245" w:rsidRDefault="00551825" w:rsidP="00707674">
      <w:pPr>
        <w:adjustRightInd w:val="0"/>
        <w:snapToGrid w:val="0"/>
        <w:spacing w:after="0" w:line="360" w:lineRule="auto"/>
        <w:jc w:val="both"/>
        <w:rPr>
          <w:rFonts w:ascii="Book Antiqua" w:hAnsi="Book Antiqua"/>
          <w:b/>
          <w:bCs/>
          <w:i/>
          <w:iCs/>
          <w:sz w:val="24"/>
          <w:szCs w:val="24"/>
          <w:lang w:val="en-GB"/>
        </w:rPr>
      </w:pPr>
      <w:r w:rsidRPr="00DD5245">
        <w:rPr>
          <w:rFonts w:ascii="Book Antiqua" w:hAnsi="Book Antiqua"/>
          <w:b/>
          <w:bCs/>
          <w:i/>
          <w:iCs/>
          <w:sz w:val="24"/>
          <w:szCs w:val="24"/>
          <w:lang w:val="en-GB"/>
        </w:rPr>
        <w:t xml:space="preserve">Epicardial causes of </w:t>
      </w:r>
      <w:r w:rsidR="001627AB" w:rsidRPr="00DD5245">
        <w:rPr>
          <w:rFonts w:ascii="Book Antiqua" w:hAnsi="Book Antiqua"/>
          <w:b/>
          <w:bCs/>
          <w:i/>
          <w:iCs/>
          <w:sz w:val="24"/>
          <w:szCs w:val="24"/>
          <w:lang w:val="en-GB"/>
        </w:rPr>
        <w:t>MINOCA</w:t>
      </w:r>
    </w:p>
    <w:p w14:paraId="01C46DD1" w14:textId="04858127"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 xml:space="preserve">Coronary plaque disruption: </w:t>
      </w:r>
      <w:r w:rsidR="00DF6DB9" w:rsidRPr="00DD5245">
        <w:rPr>
          <w:rFonts w:ascii="Book Antiqua" w:hAnsi="Book Antiqua"/>
          <w:sz w:val="24"/>
          <w:szCs w:val="24"/>
          <w:lang w:val="en-GB"/>
        </w:rPr>
        <w:t xml:space="preserve">Dual </w:t>
      </w:r>
      <w:r w:rsidRPr="00DD5245">
        <w:rPr>
          <w:rFonts w:ascii="Book Antiqua" w:hAnsi="Book Antiqua"/>
          <w:sz w:val="24"/>
          <w:szCs w:val="24"/>
          <w:lang w:val="en-GB"/>
        </w:rPr>
        <w:t xml:space="preserve">antiplatelet treatment for 12 </w:t>
      </w:r>
      <w:r w:rsidR="00551825" w:rsidRPr="00DD5245">
        <w:rPr>
          <w:rFonts w:ascii="Book Antiqua" w:hAnsi="Book Antiqua"/>
          <w:sz w:val="24"/>
          <w:szCs w:val="24"/>
          <w:lang w:val="en-GB"/>
        </w:rPr>
        <w:t>mo</w:t>
      </w:r>
      <w:r w:rsidRPr="00DD5245">
        <w:rPr>
          <w:rFonts w:ascii="Book Antiqua" w:hAnsi="Book Antiqua"/>
          <w:sz w:val="24"/>
          <w:szCs w:val="24"/>
          <w:lang w:val="en-GB"/>
        </w:rPr>
        <w:t xml:space="preserve"> is recommended if allowed by haemorrhage risk, followed by chronic single antiplatelet therapy and statins</w:t>
      </w:r>
      <w:r w:rsidRPr="00DD5245">
        <w:rPr>
          <w:rFonts w:ascii="Book Antiqua" w:hAnsi="Book Antiqua"/>
          <w:sz w:val="24"/>
          <w:szCs w:val="24"/>
          <w:vertAlign w:val="superscript"/>
          <w:lang w:val="en-GB"/>
        </w:rPr>
        <w:t>[8]</w:t>
      </w:r>
      <w:r w:rsidRPr="00DD5245">
        <w:rPr>
          <w:rFonts w:ascii="Book Antiqua" w:hAnsi="Book Antiqua"/>
          <w:sz w:val="24"/>
          <w:szCs w:val="24"/>
          <w:lang w:val="en-GB"/>
        </w:rPr>
        <w:t>. Angiotensin</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converting enzyme inhibitors/angiotensin receptor blockers and beta-blocker treatment have the same indication as STEMI and NSTEMI guidelines</w:t>
      </w:r>
      <w:r w:rsidRPr="00DD5245">
        <w:rPr>
          <w:rFonts w:ascii="Book Antiqua" w:hAnsi="Book Antiqua"/>
          <w:sz w:val="24"/>
          <w:szCs w:val="24"/>
          <w:vertAlign w:val="superscript"/>
          <w:lang w:val="en-GB"/>
        </w:rPr>
        <w:t>[4,5]</w:t>
      </w:r>
      <w:r w:rsidRPr="00DD5245">
        <w:rPr>
          <w:rFonts w:ascii="Book Antiqua" w:hAnsi="Book Antiqua"/>
          <w:sz w:val="24"/>
          <w:szCs w:val="24"/>
          <w:lang w:val="en-GB"/>
        </w:rPr>
        <w:t>.</w:t>
      </w:r>
    </w:p>
    <w:p w14:paraId="10B8680C"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67B58E24" w14:textId="6F440170"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Coronary dissection:</w:t>
      </w:r>
      <w:r w:rsidRPr="00DD5245">
        <w:rPr>
          <w:rFonts w:ascii="Book Antiqua" w:hAnsi="Book Antiqua"/>
          <w:sz w:val="24"/>
          <w:szCs w:val="24"/>
          <w:lang w:val="en-GB"/>
        </w:rPr>
        <w:t xml:space="preserve"> There is no effective treatment to reduce long-term risk. A medical strategy is recommended for coronary interventions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stenting may </w:t>
      </w:r>
      <w:r w:rsidRPr="00DD5245">
        <w:rPr>
          <w:rFonts w:ascii="Book Antiqua" w:hAnsi="Book Antiqua"/>
          <w:sz w:val="24"/>
          <w:szCs w:val="24"/>
          <w:lang w:val="en-GB"/>
        </w:rPr>
        <w:lastRenderedPageBreak/>
        <w:t>cause propagation of the dissection. A conservative strategy along with beta-blockers and single antiplatelet treatment is recommended</w:t>
      </w:r>
      <w:r w:rsidRPr="00DD5245">
        <w:rPr>
          <w:rFonts w:ascii="Book Antiqua" w:hAnsi="Book Antiqua"/>
          <w:sz w:val="24"/>
          <w:szCs w:val="24"/>
          <w:vertAlign w:val="superscript"/>
          <w:lang w:val="en-GB"/>
        </w:rPr>
        <w:t>[8,13]</w:t>
      </w:r>
      <w:r w:rsidRPr="00DD5245">
        <w:rPr>
          <w:rFonts w:ascii="Book Antiqua" w:hAnsi="Book Antiqua"/>
          <w:sz w:val="24"/>
          <w:szCs w:val="24"/>
          <w:lang w:val="en-GB"/>
        </w:rPr>
        <w:t>.</w:t>
      </w:r>
    </w:p>
    <w:p w14:paraId="1EF80D77"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3B1AE328" w14:textId="754561A1" w:rsidR="00513789" w:rsidRPr="00DD5245" w:rsidRDefault="002E4486"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CAS</w:t>
      </w:r>
      <w:r w:rsidR="00150F1C" w:rsidRPr="00DD5245">
        <w:rPr>
          <w:rFonts w:ascii="Book Antiqua" w:hAnsi="Book Antiqua"/>
          <w:b/>
          <w:bCs/>
          <w:sz w:val="24"/>
          <w:szCs w:val="24"/>
          <w:lang w:val="en-GB"/>
        </w:rPr>
        <w:t>:</w:t>
      </w:r>
      <w:r w:rsidR="00150F1C" w:rsidRPr="00DD5245">
        <w:rPr>
          <w:rFonts w:ascii="Book Antiqua" w:hAnsi="Book Antiqua"/>
          <w:sz w:val="24"/>
          <w:szCs w:val="24"/>
          <w:lang w:val="en-GB"/>
        </w:rPr>
        <w:t xml:space="preserve"> Chronic medical treatment includes calcium channel blockers and nitrates. Calcium antagonist dose reduction or discontinuation was associated with worse prognosis regarding mortality, supporting the role of epicardial spasm in the occurrence of adverse events</w:t>
      </w:r>
      <w:r w:rsidR="00150F1C" w:rsidRPr="00DD5245">
        <w:rPr>
          <w:rFonts w:ascii="Book Antiqua" w:hAnsi="Book Antiqua"/>
          <w:sz w:val="24"/>
          <w:szCs w:val="24"/>
          <w:vertAlign w:val="superscript"/>
          <w:lang w:val="en-GB"/>
        </w:rPr>
        <w:t>[8]</w:t>
      </w:r>
      <w:r w:rsidR="005C603D" w:rsidRPr="00DD5245">
        <w:rPr>
          <w:rFonts w:ascii="Book Antiqua" w:hAnsi="Book Antiqua"/>
          <w:sz w:val="24"/>
          <w:szCs w:val="24"/>
          <w:lang w:val="en-GB"/>
        </w:rPr>
        <w:t>.</w:t>
      </w:r>
    </w:p>
    <w:p w14:paraId="74A460D7"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11894B7A" w14:textId="2C142357" w:rsidR="00513789" w:rsidRPr="00DD5245" w:rsidRDefault="00551825" w:rsidP="00707674">
      <w:pPr>
        <w:adjustRightInd w:val="0"/>
        <w:snapToGrid w:val="0"/>
        <w:spacing w:after="0" w:line="360" w:lineRule="auto"/>
        <w:jc w:val="both"/>
        <w:rPr>
          <w:rFonts w:ascii="Book Antiqua" w:hAnsi="Book Antiqua"/>
          <w:b/>
          <w:bCs/>
          <w:i/>
          <w:iCs/>
          <w:sz w:val="24"/>
          <w:szCs w:val="24"/>
          <w:lang w:val="en-GB"/>
        </w:rPr>
      </w:pPr>
      <w:r w:rsidRPr="00DD5245">
        <w:rPr>
          <w:rFonts w:ascii="Book Antiqua" w:hAnsi="Book Antiqua"/>
          <w:b/>
          <w:bCs/>
          <w:i/>
          <w:iCs/>
          <w:sz w:val="24"/>
          <w:szCs w:val="24"/>
          <w:lang w:val="en-GB"/>
        </w:rPr>
        <w:t xml:space="preserve">Microvascular causes of </w:t>
      </w:r>
      <w:r w:rsidR="001627AB" w:rsidRPr="00DD5245">
        <w:rPr>
          <w:rFonts w:ascii="Book Antiqua" w:hAnsi="Book Antiqua"/>
          <w:b/>
          <w:bCs/>
          <w:i/>
          <w:iCs/>
          <w:sz w:val="24"/>
          <w:szCs w:val="24"/>
          <w:lang w:val="en-GB"/>
        </w:rPr>
        <w:t>MINOCA</w:t>
      </w:r>
    </w:p>
    <w:p w14:paraId="5B2147E8" w14:textId="57FBA2CD"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Microvascular coronary spasm:</w:t>
      </w:r>
      <w:r w:rsidRPr="00DD5245">
        <w:rPr>
          <w:rFonts w:ascii="Book Antiqua" w:hAnsi="Book Antiqua"/>
          <w:sz w:val="24"/>
          <w:szCs w:val="24"/>
          <w:lang w:val="en-GB"/>
        </w:rPr>
        <w:t xml:space="preserve"> There are no specific therapies for microvascular dysfunction, and management of underlying cardiovascular risk factors is recommended. Traditional anti-ischaemic drugs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such as beta-blockers and nitrates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should be first-line therapy; calcium antagonists can be added </w:t>
      </w:r>
      <w:r w:rsidR="00261A64" w:rsidRPr="00DD5245">
        <w:rPr>
          <w:rFonts w:ascii="Book Antiqua" w:hAnsi="Book Antiqua"/>
          <w:sz w:val="24"/>
          <w:szCs w:val="24"/>
          <w:lang w:val="en-GB"/>
        </w:rPr>
        <w:t xml:space="preserve">to treat </w:t>
      </w:r>
      <w:r w:rsidRPr="00DD5245">
        <w:rPr>
          <w:rFonts w:ascii="Book Antiqua" w:hAnsi="Book Antiqua"/>
          <w:sz w:val="24"/>
          <w:szCs w:val="24"/>
          <w:lang w:val="en-GB"/>
        </w:rPr>
        <w:t>refractory angina and are recommended when vasomotor tone</w:t>
      </w:r>
      <w:r w:rsidR="00261A64" w:rsidRPr="00DD5245">
        <w:rPr>
          <w:rFonts w:ascii="Book Antiqua" w:hAnsi="Book Antiqua"/>
          <w:sz w:val="24"/>
          <w:szCs w:val="24"/>
          <w:lang w:val="en-GB"/>
        </w:rPr>
        <w:t xml:space="preserve"> is increased</w:t>
      </w:r>
      <w:r w:rsidRPr="00DD5245">
        <w:rPr>
          <w:rFonts w:ascii="Book Antiqua" w:hAnsi="Book Antiqua"/>
          <w:sz w:val="24"/>
          <w:szCs w:val="24"/>
          <w:lang w:val="en-GB"/>
        </w:rPr>
        <w:t xml:space="preserve">. </w:t>
      </w:r>
      <w:r w:rsidR="00DF6DB9" w:rsidRPr="00DD5245">
        <w:rPr>
          <w:rFonts w:ascii="Book Antiqua" w:hAnsi="Book Antiqua"/>
          <w:sz w:val="24"/>
          <w:szCs w:val="24"/>
          <w:lang w:val="en-GB"/>
        </w:rPr>
        <w:t>The data on r</w:t>
      </w:r>
      <w:r w:rsidRPr="00DD5245">
        <w:rPr>
          <w:rFonts w:ascii="Book Antiqua" w:hAnsi="Book Antiqua"/>
          <w:sz w:val="24"/>
          <w:szCs w:val="24"/>
          <w:lang w:val="en-GB"/>
        </w:rPr>
        <w:t xml:space="preserve">anolazine for angina relief </w:t>
      </w:r>
      <w:r w:rsidR="00DF6DB9" w:rsidRPr="00DD5245">
        <w:rPr>
          <w:rFonts w:ascii="Book Antiqua" w:hAnsi="Book Antiqua"/>
          <w:sz w:val="24"/>
          <w:szCs w:val="24"/>
          <w:lang w:val="en-GB"/>
        </w:rPr>
        <w:t xml:space="preserve">are controversial </w:t>
      </w:r>
      <w:r w:rsidRPr="00DD5245">
        <w:rPr>
          <w:rFonts w:ascii="Book Antiqua" w:hAnsi="Book Antiqua"/>
          <w:sz w:val="24"/>
          <w:szCs w:val="24"/>
          <w:lang w:val="en-GB"/>
        </w:rPr>
        <w:t>in this subset</w:t>
      </w:r>
      <w:r w:rsidRPr="00DD5245">
        <w:rPr>
          <w:rFonts w:ascii="Book Antiqua" w:hAnsi="Book Antiqua"/>
          <w:sz w:val="24"/>
          <w:szCs w:val="24"/>
          <w:vertAlign w:val="superscript"/>
          <w:lang w:val="en-GB"/>
        </w:rPr>
        <w:t>[9,15]</w:t>
      </w:r>
      <w:r w:rsidRPr="00DD5245">
        <w:rPr>
          <w:rFonts w:ascii="Book Antiqua" w:hAnsi="Book Antiqua"/>
          <w:sz w:val="24"/>
          <w:szCs w:val="24"/>
          <w:lang w:val="en-GB"/>
        </w:rPr>
        <w:t>.</w:t>
      </w:r>
    </w:p>
    <w:p w14:paraId="6BA16E68"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26D07F27" w14:textId="6FDE22AB"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TTS:</w:t>
      </w:r>
      <w:r w:rsidRPr="00DD5245">
        <w:rPr>
          <w:rFonts w:ascii="Book Antiqua" w:hAnsi="Book Antiqua"/>
          <w:sz w:val="24"/>
          <w:szCs w:val="24"/>
          <w:lang w:val="en-GB"/>
        </w:rPr>
        <w:t xml:space="preserve"> There are no randomized trials to guide evidence-based treatment. Empiric strategies include cardio-selective beta-blockers, avoidance of inotropes, angiotensin-converting enzyme inhibitor</w:t>
      </w:r>
      <w:r w:rsidR="00261A64" w:rsidRPr="00DD5245">
        <w:rPr>
          <w:rFonts w:ascii="Book Antiqua" w:hAnsi="Book Antiqua"/>
          <w:sz w:val="24"/>
          <w:szCs w:val="24"/>
          <w:lang w:val="en-GB"/>
        </w:rPr>
        <w:t>s</w:t>
      </w:r>
      <w:r w:rsidRPr="00DD5245">
        <w:rPr>
          <w:rFonts w:ascii="Book Antiqua" w:hAnsi="Book Antiqua"/>
          <w:sz w:val="24"/>
          <w:szCs w:val="24"/>
          <w:lang w:val="en-GB"/>
        </w:rPr>
        <w:t xml:space="preserve"> </w:t>
      </w:r>
      <w:r w:rsidR="00261A64" w:rsidRPr="00DD5245">
        <w:rPr>
          <w:rFonts w:ascii="Book Antiqua" w:hAnsi="Book Antiqua"/>
          <w:sz w:val="24"/>
          <w:szCs w:val="24"/>
          <w:lang w:val="en-GB"/>
        </w:rPr>
        <w:t xml:space="preserve">for </w:t>
      </w:r>
      <w:r w:rsidRPr="00DD5245">
        <w:rPr>
          <w:rFonts w:ascii="Book Antiqua" w:hAnsi="Book Antiqua"/>
          <w:sz w:val="24"/>
          <w:szCs w:val="24"/>
          <w:lang w:val="en-GB"/>
        </w:rPr>
        <w:t>persistent myocardial dysfunction, mechanical support devices in cardiogenic shock, and antiplatelet treatment with statins if associated with CAD</w:t>
      </w:r>
      <w:r w:rsidRPr="00DD5245">
        <w:rPr>
          <w:rFonts w:ascii="Book Antiqua" w:hAnsi="Book Antiqua"/>
          <w:sz w:val="24"/>
          <w:szCs w:val="24"/>
          <w:vertAlign w:val="superscript"/>
          <w:lang w:val="en-GB"/>
        </w:rPr>
        <w:t>[21]</w:t>
      </w:r>
      <w:r w:rsidRPr="00DD5245">
        <w:rPr>
          <w:rFonts w:ascii="Book Antiqua" w:hAnsi="Book Antiqua"/>
          <w:sz w:val="24"/>
          <w:szCs w:val="24"/>
          <w:lang w:val="en-GB"/>
        </w:rPr>
        <w:t>.</w:t>
      </w:r>
    </w:p>
    <w:p w14:paraId="3DD39FDC"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27AAB5EA" w14:textId="2F834774"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t>Myocarditis:</w:t>
      </w:r>
      <w:r w:rsidRPr="00DD5245">
        <w:rPr>
          <w:rFonts w:ascii="Book Antiqua" w:hAnsi="Book Antiqua"/>
          <w:sz w:val="24"/>
          <w:szCs w:val="24"/>
          <w:lang w:val="en-GB"/>
        </w:rPr>
        <w:t xml:space="preserve"> Myocarditis treatment differs from that of coronary disease </w:t>
      </w:r>
      <w:r w:rsidRPr="00DD5245">
        <w:rPr>
          <w:rFonts w:ascii="Book Antiqua" w:eastAsia="宋体" w:hAnsi="Book Antiqua" w:cs="Times New Roman"/>
          <w:sz w:val="24"/>
          <w:szCs w:val="24"/>
          <w:lang w:val="en-GB"/>
        </w:rPr>
        <w:t>because</w:t>
      </w:r>
      <w:r w:rsidRPr="00DD5245">
        <w:rPr>
          <w:rFonts w:ascii="Book Antiqua" w:hAnsi="Book Antiqua"/>
          <w:sz w:val="24"/>
          <w:szCs w:val="24"/>
          <w:lang w:val="en-GB"/>
        </w:rPr>
        <w:t xml:space="preserve"> it does not require anti-ischaemic therapies. Myocarditis generally has </w:t>
      </w:r>
      <w:r w:rsidR="00261A64" w:rsidRPr="00DD5245">
        <w:rPr>
          <w:rFonts w:ascii="Book Antiqua" w:hAnsi="Book Antiqua"/>
          <w:sz w:val="24"/>
          <w:szCs w:val="24"/>
          <w:lang w:val="en-GB"/>
        </w:rPr>
        <w:t xml:space="preserve">a </w:t>
      </w:r>
      <w:r w:rsidRPr="00DD5245">
        <w:rPr>
          <w:rFonts w:ascii="Book Antiqua" w:hAnsi="Book Antiqua"/>
          <w:sz w:val="24"/>
          <w:szCs w:val="24"/>
          <w:lang w:val="en-GB"/>
        </w:rPr>
        <w:t>favourable prognosis resolving in 2 to 4 wk</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while a minor subgroup develops cardiovascular complications such as heart failure and should be treated correspondingly. Autoimmune forms have negative infection findings </w:t>
      </w:r>
      <w:r w:rsidR="00261A64" w:rsidRPr="00DD5245">
        <w:rPr>
          <w:rFonts w:ascii="Book Antiqua" w:hAnsi="Book Antiqua"/>
          <w:sz w:val="24"/>
          <w:szCs w:val="24"/>
          <w:lang w:val="en-GB"/>
        </w:rPr>
        <w:t xml:space="preserve">on </w:t>
      </w:r>
      <w:r w:rsidRPr="00DD5245">
        <w:rPr>
          <w:rFonts w:ascii="Book Antiqua" w:hAnsi="Book Antiqua"/>
          <w:sz w:val="24"/>
          <w:szCs w:val="24"/>
          <w:lang w:val="en-GB"/>
        </w:rPr>
        <w:t>biopsy</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specific autoimmune therapy is required in these cases</w:t>
      </w:r>
      <w:r w:rsidRPr="00DD5245">
        <w:rPr>
          <w:rFonts w:ascii="Book Antiqua" w:hAnsi="Book Antiqua"/>
          <w:sz w:val="24"/>
          <w:szCs w:val="24"/>
          <w:vertAlign w:val="superscript"/>
          <w:lang w:val="en-GB"/>
        </w:rPr>
        <w:t>[7]</w:t>
      </w:r>
      <w:r w:rsidRPr="00DD5245">
        <w:rPr>
          <w:rFonts w:ascii="Book Antiqua" w:hAnsi="Book Antiqua"/>
          <w:sz w:val="24"/>
          <w:szCs w:val="24"/>
          <w:lang w:val="en-GB"/>
        </w:rPr>
        <w:t>.</w:t>
      </w:r>
    </w:p>
    <w:p w14:paraId="5A58EEA0" w14:textId="77777777" w:rsidR="00551825" w:rsidRPr="00DD5245" w:rsidRDefault="00551825" w:rsidP="00707674">
      <w:pPr>
        <w:adjustRightInd w:val="0"/>
        <w:snapToGrid w:val="0"/>
        <w:spacing w:after="0" w:line="360" w:lineRule="auto"/>
        <w:jc w:val="both"/>
        <w:rPr>
          <w:rFonts w:ascii="Book Antiqua" w:hAnsi="Book Antiqua"/>
          <w:sz w:val="24"/>
          <w:szCs w:val="24"/>
          <w:lang w:val="en-GB"/>
        </w:rPr>
      </w:pPr>
    </w:p>
    <w:p w14:paraId="5B119511" w14:textId="60DD6A51"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bCs/>
          <w:sz w:val="24"/>
          <w:szCs w:val="24"/>
          <w:lang w:val="en-GB"/>
        </w:rPr>
        <w:lastRenderedPageBreak/>
        <w:t>CE:</w:t>
      </w:r>
      <w:r w:rsidRPr="00DD5245">
        <w:rPr>
          <w:rFonts w:ascii="Book Antiqua" w:hAnsi="Book Antiqua"/>
          <w:sz w:val="24"/>
          <w:szCs w:val="24"/>
          <w:lang w:val="en-GB"/>
        </w:rPr>
        <w:t xml:space="preserve"> Standard treatment of thromboembolic events remains individualized. Multiple factors play a role in this entity</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such as</w:t>
      </w:r>
      <w:r w:rsidRPr="00DD5245">
        <w:rPr>
          <w:rFonts w:ascii="Book Antiqua" w:eastAsia="宋体" w:hAnsi="Book Antiqua" w:cs="Times New Roman"/>
          <w:sz w:val="24"/>
          <w:szCs w:val="24"/>
          <w:lang w:val="en-GB"/>
        </w:rPr>
        <w:t xml:space="preserve"> the</w:t>
      </w:r>
      <w:r w:rsidRPr="00DD5245">
        <w:rPr>
          <w:rFonts w:ascii="Book Antiqua" w:hAnsi="Book Antiqua"/>
          <w:sz w:val="24"/>
          <w:szCs w:val="24"/>
          <w:lang w:val="en-GB"/>
        </w:rPr>
        <w:t xml:space="preserve"> time of presentation and the presence or absence of multiple embolic sites. Patients with paroxysmal embolism in the presence of atrial septal </w:t>
      </w:r>
      <w:r w:rsidRPr="00DD5245">
        <w:rPr>
          <w:rFonts w:ascii="Book Antiqua" w:eastAsia="宋体" w:hAnsi="Book Antiqua" w:cs="Times New Roman"/>
          <w:sz w:val="24"/>
          <w:szCs w:val="24"/>
          <w:lang w:val="en-GB"/>
        </w:rPr>
        <w:t>defects</w:t>
      </w:r>
      <w:r w:rsidRPr="00DD5245">
        <w:rPr>
          <w:rFonts w:ascii="Book Antiqua" w:hAnsi="Book Antiqua"/>
          <w:sz w:val="24"/>
          <w:szCs w:val="24"/>
          <w:lang w:val="en-GB"/>
        </w:rPr>
        <w:t xml:space="preserve"> require percutaneous or surgical closure. These patients have a high rate of recurrence and </w:t>
      </w:r>
      <w:r w:rsidR="008308D8" w:rsidRPr="00DD5245">
        <w:rPr>
          <w:rFonts w:ascii="Book Antiqua" w:hAnsi="Book Antiqua"/>
          <w:sz w:val="24"/>
          <w:szCs w:val="24"/>
          <w:lang w:val="en-GB"/>
        </w:rPr>
        <w:t>major adverse cardiovascular events (</w:t>
      </w:r>
      <w:r w:rsidRPr="00DD5245">
        <w:rPr>
          <w:rFonts w:ascii="Book Antiqua" w:hAnsi="Book Antiqua"/>
          <w:sz w:val="24"/>
          <w:szCs w:val="24"/>
          <w:lang w:val="en-GB"/>
        </w:rPr>
        <w:t>MACE</w:t>
      </w:r>
      <w:r w:rsidR="00261A64" w:rsidRPr="00DD5245">
        <w:rPr>
          <w:rFonts w:ascii="Book Antiqua" w:hAnsi="Book Antiqua"/>
          <w:sz w:val="24"/>
          <w:szCs w:val="24"/>
          <w:lang w:val="en-GB"/>
        </w:rPr>
        <w:t>s</w:t>
      </w:r>
      <w:r w:rsidR="008308D8" w:rsidRPr="00DD5245">
        <w:rPr>
          <w:rFonts w:ascii="Book Antiqua" w:hAnsi="Book Antiqua"/>
          <w:sz w:val="24"/>
          <w:szCs w:val="24"/>
          <w:lang w:val="en-GB"/>
        </w:rPr>
        <w:t>)</w:t>
      </w:r>
      <w:r w:rsidRPr="00DD5245">
        <w:rPr>
          <w:rFonts w:ascii="Book Antiqua" w:hAnsi="Book Antiqua"/>
          <w:sz w:val="24"/>
          <w:szCs w:val="24"/>
          <w:lang w:val="en-GB"/>
        </w:rPr>
        <w:t xml:space="preserve"> in the follow-up</w:t>
      </w:r>
      <w:r w:rsidRPr="00DD5245">
        <w:rPr>
          <w:rFonts w:ascii="Book Antiqua" w:hAnsi="Book Antiqua"/>
          <w:sz w:val="24"/>
          <w:szCs w:val="24"/>
          <w:vertAlign w:val="superscript"/>
          <w:lang w:val="en-GB"/>
        </w:rPr>
        <w:t>[8,27]</w:t>
      </w:r>
      <w:r w:rsidRPr="00DD5245">
        <w:rPr>
          <w:rFonts w:ascii="Book Antiqua" w:hAnsi="Book Antiqua"/>
          <w:sz w:val="24"/>
          <w:szCs w:val="24"/>
          <w:lang w:val="en-GB"/>
        </w:rPr>
        <w:t>.</w:t>
      </w:r>
    </w:p>
    <w:p w14:paraId="4C909CD2"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62DCF07D" w14:textId="77777777"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DETERMINING THE CAUSE</w:t>
      </w:r>
    </w:p>
    <w:p w14:paraId="5102E132" w14:textId="7424C316"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MINOCA patients are a conundrum for clinicians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therefore</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 systematic global approach should be pursued, and an attempt must be made to determine the specific aetiologic mechanism as prognosis and management vary. The diagnostic arsenal includes invasive and non-invasive techniques. Medical history can suggest </w:t>
      </w:r>
      <w:r w:rsidRPr="00DD5245">
        <w:rPr>
          <w:rFonts w:ascii="Book Antiqua" w:eastAsia="宋体" w:hAnsi="Book Antiqua" w:cs="Times New Roman"/>
          <w:sz w:val="24"/>
          <w:szCs w:val="24"/>
          <w:lang w:val="en-GB"/>
        </w:rPr>
        <w:t>a</w:t>
      </w:r>
      <w:r w:rsidRPr="00DD5245">
        <w:rPr>
          <w:rFonts w:ascii="Book Antiqua" w:hAnsi="Book Antiqua"/>
          <w:sz w:val="24"/>
          <w:szCs w:val="24"/>
          <w:lang w:val="en-GB"/>
        </w:rPr>
        <w:t xml:space="preserve"> diagnosis </w:t>
      </w:r>
      <w:r w:rsidRPr="00DD5245">
        <w:rPr>
          <w:rFonts w:ascii="Book Antiqua" w:eastAsia="宋体" w:hAnsi="Book Antiqua" w:cs="Times New Roman"/>
          <w:sz w:val="24"/>
          <w:szCs w:val="24"/>
          <w:lang w:val="en-GB"/>
        </w:rPr>
        <w:t>of</w:t>
      </w:r>
      <w:r w:rsidRPr="00DD5245">
        <w:rPr>
          <w:rFonts w:ascii="Book Antiqua" w:hAnsi="Book Antiqua"/>
          <w:sz w:val="24"/>
          <w:szCs w:val="24"/>
          <w:lang w:val="en-GB"/>
        </w:rPr>
        <w:t xml:space="preserve"> vasospasm angina if the patient has a chronic pattern of recurrent episodic angina. Regional LV motion alterations corresponding to a finite vascular territory </w:t>
      </w:r>
      <w:r w:rsidRPr="00DD5245">
        <w:rPr>
          <w:rFonts w:ascii="Book Antiqua" w:eastAsia="宋体" w:hAnsi="Book Antiqua" w:cs="Times New Roman"/>
          <w:sz w:val="24"/>
          <w:szCs w:val="24"/>
          <w:lang w:val="en-GB"/>
        </w:rPr>
        <w:t>suggest</w:t>
      </w:r>
      <w:r w:rsidRPr="00DD5245">
        <w:rPr>
          <w:rFonts w:ascii="Book Antiqua" w:hAnsi="Book Antiqua"/>
          <w:sz w:val="24"/>
          <w:szCs w:val="24"/>
          <w:lang w:val="en-GB"/>
        </w:rPr>
        <w:t xml:space="preserve"> vasospasm or thrombosis. Apical ballooning suggests TTS. A history of atrial fibrillation, dilated cardiomyopathy, prosthetic heart valves, infective endocarditis, atrial myxoma, and patent foramen oval suggest CE. IVUS or optical coherence tomography are encouraged in non-severe coronary angiography </w:t>
      </w:r>
      <w:r w:rsidRPr="00DD5245">
        <w:rPr>
          <w:rFonts w:ascii="Book Antiqua" w:eastAsia="宋体" w:hAnsi="Book Antiqua" w:cs="Times New Roman"/>
          <w:sz w:val="24"/>
          <w:szCs w:val="24"/>
          <w:lang w:val="en-GB"/>
        </w:rPr>
        <w:t>findings</w:t>
      </w:r>
      <w:r w:rsidRPr="00DD5245">
        <w:rPr>
          <w:rFonts w:ascii="Book Antiqua" w:hAnsi="Book Antiqua"/>
          <w:sz w:val="24"/>
          <w:szCs w:val="24"/>
          <w:lang w:val="en-GB"/>
        </w:rPr>
        <w:t xml:space="preserve"> with less than 50% luminal reduction; if intracoronary imaging reveals normal findings, provocative functional testing is recommended. Transthoracic or </w:t>
      </w:r>
      <w:r w:rsidR="00261A64" w:rsidRPr="00DD5245">
        <w:rPr>
          <w:rFonts w:ascii="Book Antiqua" w:hAnsi="Book Antiqua"/>
          <w:sz w:val="24"/>
          <w:szCs w:val="24"/>
          <w:lang w:val="en-GB"/>
        </w:rPr>
        <w:t>transoesophageal</w:t>
      </w:r>
      <w:r w:rsidRPr="00DD5245">
        <w:rPr>
          <w:rFonts w:ascii="Book Antiqua" w:hAnsi="Book Antiqua"/>
          <w:sz w:val="24"/>
          <w:szCs w:val="24"/>
          <w:lang w:val="en-GB"/>
        </w:rPr>
        <w:t xml:space="preserve"> echocardiography, LV ventriculography, and CMR are other well-documented techniques. </w:t>
      </w:r>
      <w:r w:rsidR="00261A64" w:rsidRPr="00DD5245">
        <w:rPr>
          <w:rFonts w:ascii="Book Antiqua" w:hAnsi="Book Antiqua"/>
          <w:sz w:val="24"/>
          <w:szCs w:val="24"/>
          <w:lang w:val="en-GB"/>
        </w:rPr>
        <w:t>The t</w:t>
      </w:r>
      <w:r w:rsidRPr="00DD5245">
        <w:rPr>
          <w:rFonts w:ascii="Book Antiqua" w:hAnsi="Book Antiqua"/>
          <w:sz w:val="24"/>
          <w:szCs w:val="24"/>
          <w:lang w:val="en-GB"/>
        </w:rPr>
        <w:t>est flow-chart</w:t>
      </w:r>
      <w:r w:rsidRPr="00DD5245">
        <w:rPr>
          <w:rFonts w:ascii="Book Antiqua" w:eastAsia="宋体" w:hAnsi="Book Antiqua" w:cs="Times New Roman"/>
          <w:sz w:val="24"/>
          <w:szCs w:val="24"/>
          <w:lang w:val="en-GB"/>
        </w:rPr>
        <w:t xml:space="preserve"> does not</w:t>
      </w:r>
      <w:r w:rsidRPr="00DD5245">
        <w:rPr>
          <w:rFonts w:ascii="Book Antiqua" w:hAnsi="Book Antiqua"/>
          <w:sz w:val="24"/>
          <w:szCs w:val="24"/>
          <w:lang w:val="en-GB"/>
        </w:rPr>
        <w:t xml:space="preserve"> have a specific order and should be performed according to clinical suspicion</w:t>
      </w:r>
      <w:r w:rsidRPr="00DD5245">
        <w:rPr>
          <w:rFonts w:ascii="Book Antiqua" w:hAnsi="Book Antiqua"/>
          <w:sz w:val="24"/>
          <w:szCs w:val="24"/>
          <w:vertAlign w:val="superscript"/>
          <w:lang w:val="en-GB"/>
        </w:rPr>
        <w:t>[4,7</w:t>
      </w:r>
      <w:r w:rsidR="00551825" w:rsidRPr="00DD5245">
        <w:rPr>
          <w:rFonts w:ascii="Book Antiqua" w:hAnsi="Book Antiqua"/>
          <w:sz w:val="24"/>
          <w:szCs w:val="24"/>
          <w:vertAlign w:val="superscript"/>
          <w:lang w:val="en-GB"/>
        </w:rPr>
        <w:t>,</w:t>
      </w:r>
      <w:r w:rsidRPr="00DD5245">
        <w:rPr>
          <w:rFonts w:ascii="Book Antiqua" w:hAnsi="Book Antiqua"/>
          <w:sz w:val="24"/>
          <w:szCs w:val="24"/>
          <w:vertAlign w:val="superscript"/>
          <w:lang w:val="en-GB"/>
        </w:rPr>
        <w:t>8]</w:t>
      </w:r>
      <w:r w:rsidRPr="00DD5245">
        <w:rPr>
          <w:rFonts w:ascii="Book Antiqua" w:hAnsi="Book Antiqua"/>
          <w:sz w:val="24"/>
          <w:szCs w:val="24"/>
          <w:lang w:val="en-GB"/>
        </w:rPr>
        <w:t>.</w:t>
      </w:r>
      <w:r w:rsidRPr="00DD5245">
        <w:rPr>
          <w:rFonts w:ascii="Book Antiqua" w:eastAsia="宋体" w:hAnsi="Book Antiqua" w:cs="Times New Roman"/>
          <w:sz w:val="24"/>
          <w:szCs w:val="24"/>
          <w:lang w:val="en-GB"/>
        </w:rPr>
        <w:t xml:space="preserve"> </w:t>
      </w:r>
      <w:r w:rsidR="003E7396" w:rsidRPr="00DD5245">
        <w:rPr>
          <w:rFonts w:ascii="Book Antiqua" w:hAnsi="Book Antiqua"/>
          <w:sz w:val="24"/>
          <w:szCs w:val="24"/>
          <w:lang w:val="en-GB"/>
        </w:rPr>
        <w:t>In</w:t>
      </w:r>
      <w:r w:rsidR="00551825" w:rsidRPr="00DD5245">
        <w:rPr>
          <w:rFonts w:ascii="Book Antiqua" w:hAnsi="Book Antiqua"/>
          <w:sz w:val="24"/>
          <w:szCs w:val="24"/>
          <w:lang w:val="en-GB"/>
        </w:rPr>
        <w:t xml:space="preserve"> F</w:t>
      </w:r>
      <w:r w:rsidR="003E7396" w:rsidRPr="00DD5245">
        <w:rPr>
          <w:rFonts w:ascii="Book Antiqua" w:hAnsi="Book Antiqua"/>
          <w:sz w:val="24"/>
          <w:szCs w:val="24"/>
          <w:lang w:val="en-GB"/>
        </w:rPr>
        <w:t>igure 1</w:t>
      </w:r>
      <w:r w:rsidRPr="00DD5245">
        <w:rPr>
          <w:rFonts w:ascii="Book Antiqua" w:eastAsia="宋体" w:hAnsi="Book Antiqua" w:cs="Times New Roman"/>
          <w:sz w:val="24"/>
          <w:szCs w:val="24"/>
          <w:lang w:val="en-GB"/>
        </w:rPr>
        <w:t>,</w:t>
      </w:r>
      <w:r w:rsidR="003E7396" w:rsidRPr="00DD5245">
        <w:rPr>
          <w:rFonts w:ascii="Book Antiqua" w:hAnsi="Book Antiqua"/>
          <w:sz w:val="24"/>
          <w:szCs w:val="24"/>
          <w:lang w:val="en-GB"/>
        </w:rPr>
        <w:t xml:space="preserve"> we summarize our diagnostic and therapeutic workup for MINOCA management</w:t>
      </w:r>
      <w:r w:rsidR="00261A64" w:rsidRPr="00DD5245">
        <w:rPr>
          <w:rFonts w:ascii="Book Antiqua" w:hAnsi="Book Antiqua"/>
          <w:sz w:val="24"/>
          <w:szCs w:val="24"/>
          <w:lang w:val="en-GB"/>
        </w:rPr>
        <w:t>.</w:t>
      </w:r>
      <w:r w:rsidR="003E7396" w:rsidRPr="00DD5245">
        <w:rPr>
          <w:rFonts w:ascii="Book Antiqua" w:hAnsi="Book Antiqua"/>
          <w:sz w:val="24"/>
          <w:szCs w:val="24"/>
          <w:lang w:val="en-GB"/>
        </w:rPr>
        <w:t xml:space="preserve"> </w:t>
      </w:r>
    </w:p>
    <w:p w14:paraId="768629AE" w14:textId="77777777" w:rsidR="00513789" w:rsidRPr="00DD5245" w:rsidRDefault="00513789" w:rsidP="00707674">
      <w:pPr>
        <w:adjustRightInd w:val="0"/>
        <w:snapToGrid w:val="0"/>
        <w:spacing w:after="0" w:line="360" w:lineRule="auto"/>
        <w:jc w:val="both"/>
        <w:rPr>
          <w:rFonts w:ascii="Book Antiqua" w:hAnsi="Book Antiqua"/>
          <w:sz w:val="24"/>
          <w:szCs w:val="24"/>
          <w:lang w:val="en-GB"/>
        </w:rPr>
      </w:pPr>
    </w:p>
    <w:p w14:paraId="13F9F558" w14:textId="5DDB0C67"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b/>
          <w:sz w:val="24"/>
          <w:szCs w:val="24"/>
          <w:lang w:val="en-GB"/>
        </w:rPr>
        <w:t>MINOCA PROGNOSIS</w:t>
      </w:r>
    </w:p>
    <w:p w14:paraId="7745F1A1" w14:textId="6335C004"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 xml:space="preserve">The prognosis of MINOCA patients is heterogeneous and not benign. Patients should be carefully informed about their condition and must not be inaccurately </w:t>
      </w:r>
      <w:r w:rsidRPr="00DD5245">
        <w:rPr>
          <w:rFonts w:ascii="Book Antiqua" w:hAnsi="Book Antiqua"/>
          <w:sz w:val="24"/>
          <w:szCs w:val="24"/>
          <w:lang w:val="en-GB"/>
        </w:rPr>
        <w:lastRenderedPageBreak/>
        <w:t>reassured about a favourable course. Because of the aetiological heterogeneity, the extent of MI damage and different inclusion criteria, registries reporting MINOCA prognosis show diverse data regarding major cardiac adverse events during hospitalization and follow</w:t>
      </w:r>
      <w:r w:rsidR="003E3D0D" w:rsidRPr="00DD5245">
        <w:rPr>
          <w:rFonts w:ascii="Book Antiqua" w:hAnsi="Book Antiqua"/>
          <w:sz w:val="24"/>
          <w:szCs w:val="24"/>
          <w:lang w:val="en-GB"/>
        </w:rPr>
        <w:t>-</w:t>
      </w:r>
      <w:r w:rsidRPr="00DD5245">
        <w:rPr>
          <w:rFonts w:ascii="Book Antiqua" w:hAnsi="Book Antiqua"/>
          <w:sz w:val="24"/>
          <w:szCs w:val="24"/>
          <w:lang w:val="en-GB"/>
        </w:rPr>
        <w:t>up</w:t>
      </w:r>
      <w:r w:rsidRPr="00DD5245">
        <w:rPr>
          <w:rFonts w:ascii="Book Antiqua" w:hAnsi="Book Antiqua"/>
          <w:sz w:val="24"/>
          <w:szCs w:val="24"/>
          <w:vertAlign w:val="superscript"/>
          <w:lang w:val="en-GB"/>
        </w:rPr>
        <w:t>[10]</w:t>
      </w:r>
      <w:r w:rsidRPr="00DD5245">
        <w:rPr>
          <w:rFonts w:ascii="Book Antiqua" w:hAnsi="Book Antiqua"/>
          <w:sz w:val="24"/>
          <w:szCs w:val="24"/>
          <w:lang w:val="en-GB"/>
        </w:rPr>
        <w:t xml:space="preserve">. In the VIRGO study, similar proportions of cardiac arrest, reduced ejection fraction, and heart failure </w:t>
      </w:r>
      <w:r w:rsidRPr="00DD5245">
        <w:rPr>
          <w:rFonts w:ascii="Book Antiqua" w:eastAsia="宋体" w:hAnsi="Book Antiqua" w:cs="Times New Roman"/>
          <w:sz w:val="24"/>
          <w:szCs w:val="24"/>
          <w:lang w:val="en-GB"/>
        </w:rPr>
        <w:t>were</w:t>
      </w:r>
      <w:r w:rsidRPr="00DD5245">
        <w:rPr>
          <w:rFonts w:ascii="Book Antiqua" w:hAnsi="Book Antiqua"/>
          <w:sz w:val="24"/>
          <w:szCs w:val="24"/>
          <w:lang w:val="en-GB"/>
        </w:rPr>
        <w:t xml:space="preserve"> observed in patients with MINOCA and MI-CAD, whereas the mortality rates </w:t>
      </w:r>
      <w:r w:rsidR="003E3D0D" w:rsidRPr="00DD5245">
        <w:rPr>
          <w:rFonts w:ascii="Book Antiqua" w:hAnsi="Book Antiqua"/>
          <w:sz w:val="24"/>
          <w:szCs w:val="24"/>
          <w:lang w:val="en-GB"/>
        </w:rPr>
        <w:t xml:space="preserve">during </w:t>
      </w:r>
      <w:r w:rsidRPr="00DD5245">
        <w:rPr>
          <w:rFonts w:ascii="Book Antiqua" w:hAnsi="Book Antiqua"/>
          <w:sz w:val="24"/>
          <w:szCs w:val="24"/>
          <w:lang w:val="en-GB"/>
        </w:rPr>
        <w:t xml:space="preserve">follow-up were not </w:t>
      </w:r>
      <w:r w:rsidRPr="00DD5245">
        <w:rPr>
          <w:rFonts w:ascii="Book Antiqua" w:eastAsia="宋体" w:hAnsi="Book Antiqua" w:cs="Times New Roman"/>
          <w:sz w:val="24"/>
          <w:szCs w:val="24"/>
          <w:lang w:val="en-GB"/>
        </w:rPr>
        <w:t>significantly</w:t>
      </w:r>
      <w:r w:rsidRPr="00DD5245">
        <w:rPr>
          <w:rFonts w:ascii="Book Antiqua" w:hAnsi="Book Antiqua"/>
          <w:sz w:val="24"/>
          <w:szCs w:val="24"/>
          <w:lang w:val="en-GB"/>
        </w:rPr>
        <w:t xml:space="preserve"> different. According to a meta-analysis of eight studies that reported all-cause mortality in patients with MINOCA, both in-hospital and 12-month mortality were c</w:t>
      </w:r>
      <w:r w:rsidR="003443D1" w:rsidRPr="00DD5245">
        <w:rPr>
          <w:rFonts w:ascii="Book Antiqua" w:hAnsi="Book Antiqua"/>
          <w:sz w:val="24"/>
          <w:szCs w:val="24"/>
          <w:lang w:val="en-GB"/>
        </w:rPr>
        <w:t xml:space="preserve">omparable </w:t>
      </w:r>
      <w:r w:rsidRPr="00DD5245">
        <w:rPr>
          <w:rFonts w:ascii="Book Antiqua" w:hAnsi="Book Antiqua"/>
          <w:sz w:val="24"/>
          <w:szCs w:val="24"/>
          <w:lang w:val="en-GB"/>
        </w:rPr>
        <w:t>to MI-CAD</w:t>
      </w:r>
      <w:r w:rsidRPr="00DD5245">
        <w:rPr>
          <w:rFonts w:ascii="Book Antiqua" w:hAnsi="Book Antiqua"/>
          <w:sz w:val="24"/>
          <w:szCs w:val="24"/>
          <w:vertAlign w:val="superscript"/>
          <w:lang w:val="en-GB"/>
        </w:rPr>
        <w:t>[9]</w:t>
      </w:r>
      <w:r w:rsidRPr="00DD5245">
        <w:rPr>
          <w:rFonts w:ascii="Book Antiqua" w:hAnsi="Book Antiqua"/>
          <w:sz w:val="24"/>
          <w:szCs w:val="24"/>
          <w:lang w:val="en-GB"/>
        </w:rPr>
        <w:t>.</w:t>
      </w:r>
    </w:p>
    <w:p w14:paraId="5153A453" w14:textId="40266A4D"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Moreover, different secondary prevention strategies at discharge have been published with discrepancies regarding medical treatment with proven prognostic value, thus possibly interfering with prognosis. In addition, it may be speculated that within the vast spectrum of MINOCA patients, the multiple categories can have </w:t>
      </w:r>
      <w:r w:rsidR="003E3D0D" w:rsidRPr="00DD5245">
        <w:rPr>
          <w:rFonts w:ascii="Book Antiqua" w:hAnsi="Book Antiqua"/>
          <w:sz w:val="24"/>
          <w:szCs w:val="24"/>
          <w:lang w:val="en-GB"/>
        </w:rPr>
        <w:t xml:space="preserve">dissimilar </w:t>
      </w:r>
      <w:r w:rsidRPr="00DD5245">
        <w:rPr>
          <w:rFonts w:ascii="Book Antiqua" w:hAnsi="Book Antiqua"/>
          <w:sz w:val="24"/>
          <w:szCs w:val="24"/>
          <w:lang w:val="en-GB"/>
        </w:rPr>
        <w:t>prognos</w:t>
      </w:r>
      <w:r w:rsidR="003E3D0D" w:rsidRPr="00DD5245">
        <w:rPr>
          <w:rFonts w:ascii="Book Antiqua" w:hAnsi="Book Antiqua"/>
          <w:sz w:val="24"/>
          <w:szCs w:val="24"/>
          <w:lang w:val="en-GB"/>
        </w:rPr>
        <w:t>es</w:t>
      </w:r>
      <w:r w:rsidRPr="00DD5245">
        <w:rPr>
          <w:rFonts w:ascii="Book Antiqua" w:hAnsi="Book Antiqua"/>
          <w:sz w:val="24"/>
          <w:szCs w:val="24"/>
          <w:lang w:val="en-GB"/>
        </w:rPr>
        <w:t xml:space="preserve"> and may be under</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or overestimated by grouping them together.</w:t>
      </w:r>
    </w:p>
    <w:p w14:paraId="10D3E14B" w14:textId="3E702DB6"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Nordenskjöld </w:t>
      </w:r>
      <w:r w:rsidR="006B5099" w:rsidRPr="00DD5245">
        <w:rPr>
          <w:rFonts w:ascii="Book Antiqua" w:hAnsi="Book Antiqua"/>
          <w:i/>
          <w:sz w:val="24"/>
          <w:szCs w:val="24"/>
          <w:lang w:val="en-GB"/>
        </w:rPr>
        <w:t>et al</w:t>
      </w:r>
      <w:r w:rsidR="00551825" w:rsidRPr="00DD5245">
        <w:rPr>
          <w:rFonts w:ascii="Book Antiqua" w:hAnsi="Book Antiqua"/>
          <w:sz w:val="24"/>
          <w:szCs w:val="24"/>
          <w:vertAlign w:val="superscript"/>
          <w:lang w:val="en-GB"/>
        </w:rPr>
        <w:t>[29]</w:t>
      </w:r>
      <w:r w:rsidRPr="00DD5245">
        <w:rPr>
          <w:rFonts w:ascii="Book Antiqua" w:hAnsi="Book Antiqua"/>
          <w:sz w:val="24"/>
          <w:szCs w:val="24"/>
          <w:lang w:val="en-GB"/>
        </w:rPr>
        <w:t xml:space="preserve"> conducted an observational study with 9092 MINOCA subjects and found that 24% of the patients presented a new MACE and 14% died during follow-up. Multiple predictors for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and death </w:t>
      </w:r>
      <w:r w:rsidR="003E3D0D" w:rsidRPr="00DD5245">
        <w:rPr>
          <w:rFonts w:ascii="Book Antiqua" w:hAnsi="Book Antiqua"/>
          <w:sz w:val="24"/>
          <w:szCs w:val="24"/>
          <w:lang w:val="en-GB"/>
        </w:rPr>
        <w:t xml:space="preserve">among </w:t>
      </w:r>
      <w:r w:rsidRPr="00DD5245">
        <w:rPr>
          <w:rFonts w:ascii="Book Antiqua" w:hAnsi="Book Antiqua"/>
          <w:sz w:val="24"/>
          <w:szCs w:val="24"/>
          <w:lang w:val="en-GB"/>
        </w:rPr>
        <w:t xml:space="preserve">MINOCA patients are similar to those previously shown to </w:t>
      </w:r>
      <w:r w:rsidR="003E3D0D" w:rsidRPr="00DD5245">
        <w:rPr>
          <w:rFonts w:ascii="Book Antiqua" w:hAnsi="Book Antiqua"/>
          <w:sz w:val="24"/>
          <w:szCs w:val="24"/>
          <w:lang w:val="en-GB"/>
        </w:rPr>
        <w:t xml:space="preserve">predict </w:t>
      </w:r>
      <w:r w:rsidRPr="00DD5245">
        <w:rPr>
          <w:rFonts w:ascii="Book Antiqua" w:hAnsi="Book Antiqua"/>
          <w:sz w:val="24"/>
          <w:szCs w:val="24"/>
          <w:lang w:val="en-GB"/>
        </w:rPr>
        <w:t>new events in MI-CAD patients,</w:t>
      </w:r>
      <w:r w:rsidRPr="00DD5245">
        <w:rPr>
          <w:rFonts w:ascii="Book Antiqua" w:eastAsia="宋体" w:hAnsi="Book Antiqua" w:cs="Times New Roman"/>
          <w:sz w:val="24"/>
          <w:szCs w:val="24"/>
          <w:lang w:val="en-GB"/>
        </w:rPr>
        <w:t xml:space="preserve"> </w:t>
      </w:r>
      <w:r w:rsidRPr="00DD5245">
        <w:rPr>
          <w:rFonts w:ascii="Book Antiqua" w:hAnsi="Book Antiqua"/>
          <w:sz w:val="24"/>
          <w:szCs w:val="24"/>
          <w:lang w:val="en-GB"/>
        </w:rPr>
        <w:t>some of which are older age, diabetes, hypertension, current smoking, previous MI, previous stroke, and reduced LVEF. In this study, a cholesterol paradox was observed, where low levels of total cholesterol were significantly associated with the composite endpoint of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and long-term mortality; this phenomenon was primarily observed in the statin-naive group who received statin treatment after MINOCA.</w:t>
      </w:r>
    </w:p>
    <w:p w14:paraId="2B76A542" w14:textId="2E953969"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Nordenskjöld </w:t>
      </w:r>
      <w:r w:rsidR="006B5099" w:rsidRPr="00DD5245">
        <w:rPr>
          <w:rFonts w:ascii="Book Antiqua" w:hAnsi="Book Antiqua"/>
          <w:i/>
          <w:sz w:val="24"/>
          <w:szCs w:val="24"/>
          <w:lang w:val="en-GB"/>
        </w:rPr>
        <w:t>et al</w:t>
      </w:r>
      <w:r w:rsidR="003B06C6" w:rsidRPr="00DD5245">
        <w:rPr>
          <w:rFonts w:ascii="Book Antiqua" w:hAnsi="Book Antiqua"/>
          <w:sz w:val="24"/>
          <w:szCs w:val="24"/>
          <w:vertAlign w:val="superscript"/>
          <w:lang w:val="en-GB"/>
        </w:rPr>
        <w:t>[30]</w:t>
      </w:r>
      <w:r w:rsidRPr="00DD5245">
        <w:rPr>
          <w:rFonts w:ascii="Book Antiqua" w:hAnsi="Book Antiqua"/>
          <w:sz w:val="24"/>
          <w:szCs w:val="24"/>
          <w:lang w:val="en-GB"/>
        </w:rPr>
        <w:t xml:space="preserve"> also studied the possible mechanisms and prognosis for reinfarction in MINOCA patients, describing </w:t>
      </w:r>
      <w:r w:rsidRPr="00DD5245">
        <w:rPr>
          <w:rFonts w:ascii="Book Antiqua" w:eastAsia="宋体" w:hAnsi="Book Antiqua" w:cs="Times New Roman"/>
          <w:sz w:val="24"/>
          <w:szCs w:val="24"/>
          <w:lang w:val="en-GB"/>
        </w:rPr>
        <w:t xml:space="preserve">an </w:t>
      </w:r>
      <w:r w:rsidRPr="00DD5245">
        <w:rPr>
          <w:rFonts w:ascii="Book Antiqua" w:hAnsi="Book Antiqua"/>
          <w:sz w:val="24"/>
          <w:szCs w:val="24"/>
          <w:lang w:val="en-GB"/>
        </w:rPr>
        <w:t>average time</w:t>
      </w:r>
      <w:r w:rsidR="003E3D0D" w:rsidRPr="00DD5245">
        <w:rPr>
          <w:rFonts w:ascii="Book Antiqua" w:hAnsi="Book Antiqua"/>
          <w:sz w:val="24"/>
          <w:szCs w:val="24"/>
          <w:lang w:val="en-GB"/>
        </w:rPr>
        <w:t xml:space="preserve"> </w:t>
      </w:r>
      <w:r w:rsidRPr="00DD5245">
        <w:rPr>
          <w:rFonts w:ascii="Book Antiqua" w:hAnsi="Book Antiqua"/>
          <w:sz w:val="24"/>
          <w:szCs w:val="24"/>
          <w:lang w:val="en-GB"/>
        </w:rPr>
        <w:t xml:space="preserve">to readmission of 17 </w:t>
      </w:r>
      <w:r w:rsidR="00551825" w:rsidRPr="00DD5245">
        <w:rPr>
          <w:rFonts w:ascii="Book Antiqua" w:hAnsi="Book Antiqua"/>
          <w:sz w:val="24"/>
          <w:szCs w:val="24"/>
          <w:lang w:val="en-GB"/>
        </w:rPr>
        <w:t>mo</w:t>
      </w:r>
      <w:r w:rsidRPr="00DD5245">
        <w:rPr>
          <w:rFonts w:ascii="Book Antiqua" w:hAnsi="Book Antiqua"/>
          <w:sz w:val="24"/>
          <w:szCs w:val="24"/>
          <w:lang w:val="en-GB"/>
        </w:rPr>
        <w:t xml:space="preserve">. With a median follow-up of 38 </w:t>
      </w:r>
      <w:r w:rsidR="00551825" w:rsidRPr="00DD5245">
        <w:rPr>
          <w:rFonts w:ascii="Book Antiqua" w:hAnsi="Book Antiqua"/>
          <w:sz w:val="24"/>
          <w:szCs w:val="24"/>
          <w:lang w:val="en-GB"/>
        </w:rPr>
        <w:t>mo</w:t>
      </w:r>
      <w:r w:rsidRPr="00DD5245">
        <w:rPr>
          <w:rFonts w:ascii="Book Antiqua" w:hAnsi="Book Antiqua"/>
          <w:sz w:val="24"/>
          <w:szCs w:val="24"/>
          <w:lang w:val="en-GB"/>
        </w:rPr>
        <w:t xml:space="preserve">, mortality was similar whether the reinfarction event was MINOCA or </w:t>
      </w:r>
      <w:r w:rsidR="003443D1" w:rsidRPr="00DD5245">
        <w:rPr>
          <w:rFonts w:ascii="Book Antiqua" w:hAnsi="Book Antiqua"/>
          <w:sz w:val="24"/>
          <w:szCs w:val="24"/>
          <w:lang w:val="en-GB"/>
        </w:rPr>
        <w:t>MI-CAD</w:t>
      </w:r>
      <w:r w:rsidRPr="00DD5245">
        <w:rPr>
          <w:rFonts w:ascii="Book Antiqua" w:hAnsi="Book Antiqua"/>
          <w:sz w:val="24"/>
          <w:szCs w:val="24"/>
          <w:lang w:val="en-GB"/>
        </w:rPr>
        <w:t xml:space="preserve">. A progression of coronary stenosis is </w:t>
      </w:r>
      <w:r w:rsidRPr="00DD5245">
        <w:rPr>
          <w:rFonts w:ascii="Book Antiqua" w:hAnsi="Book Antiqua"/>
          <w:sz w:val="24"/>
          <w:szCs w:val="24"/>
          <w:lang w:val="en-GB"/>
        </w:rPr>
        <w:lastRenderedPageBreak/>
        <w:t xml:space="preserve">described in </w:t>
      </w:r>
      <w:r w:rsidRPr="00DD5245">
        <w:rPr>
          <w:rFonts w:ascii="Book Antiqua" w:eastAsia="宋体" w:hAnsi="Book Antiqua" w:cs="Times New Roman"/>
          <w:sz w:val="24"/>
          <w:szCs w:val="24"/>
          <w:lang w:val="en-GB"/>
        </w:rPr>
        <w:t>approximately</w:t>
      </w:r>
      <w:r w:rsidRPr="00DD5245">
        <w:rPr>
          <w:rFonts w:ascii="Book Antiqua" w:hAnsi="Book Antiqua"/>
          <w:sz w:val="24"/>
          <w:szCs w:val="24"/>
          <w:lang w:val="en-GB"/>
        </w:rPr>
        <w:t xml:space="preserve"> half of the patients, </w:t>
      </w:r>
      <w:r w:rsidR="004E070B" w:rsidRPr="00DD5245">
        <w:rPr>
          <w:rFonts w:ascii="Book Antiqua" w:hAnsi="Book Antiqua"/>
          <w:sz w:val="24"/>
          <w:szCs w:val="24"/>
          <w:lang w:val="en-GB"/>
        </w:rPr>
        <w:t xml:space="preserve">and thus, </w:t>
      </w:r>
      <w:r w:rsidRPr="00DD5245">
        <w:rPr>
          <w:rFonts w:ascii="Book Antiqua" w:hAnsi="Book Antiqua"/>
          <w:sz w:val="24"/>
          <w:szCs w:val="24"/>
          <w:lang w:val="en-GB"/>
        </w:rPr>
        <w:t>the performance of another angiography in the MI event following MINOCA</w:t>
      </w:r>
      <w:r w:rsidR="004E070B" w:rsidRPr="00DD5245">
        <w:rPr>
          <w:rFonts w:ascii="Book Antiqua" w:hAnsi="Book Antiqua"/>
          <w:sz w:val="24"/>
          <w:szCs w:val="24"/>
          <w:lang w:val="en-GB"/>
        </w:rPr>
        <w:t xml:space="preserve"> was relevant</w:t>
      </w:r>
      <w:r w:rsidRPr="00DD5245">
        <w:rPr>
          <w:rFonts w:ascii="Book Antiqua" w:hAnsi="Book Antiqua"/>
          <w:sz w:val="24"/>
          <w:szCs w:val="24"/>
          <w:lang w:val="en-GB"/>
        </w:rPr>
        <w:t xml:space="preserve">; all-cause mortality and cardiovascular mortality were higher among patients who did not undergo a new coronary angiography </w:t>
      </w:r>
      <w:r w:rsidR="004E070B" w:rsidRPr="00DD5245">
        <w:rPr>
          <w:rFonts w:ascii="Book Antiqua" w:hAnsi="Book Antiqua"/>
          <w:sz w:val="24"/>
          <w:szCs w:val="24"/>
          <w:lang w:val="en-GB"/>
        </w:rPr>
        <w:t>than among</w:t>
      </w:r>
      <w:r w:rsidRPr="00DD5245">
        <w:rPr>
          <w:rFonts w:ascii="Book Antiqua" w:hAnsi="Book Antiqua"/>
          <w:sz w:val="24"/>
          <w:szCs w:val="24"/>
          <w:lang w:val="en-GB"/>
        </w:rPr>
        <w:t xml:space="preserve"> those who did. Repeated episodes of MINOCA are not harmless.</w:t>
      </w:r>
    </w:p>
    <w:p w14:paraId="01AE927F" w14:textId="668CC348"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In a recent study </w:t>
      </w:r>
      <w:r w:rsidR="004E070B" w:rsidRPr="00DD5245">
        <w:rPr>
          <w:rFonts w:ascii="Book Antiqua" w:hAnsi="Book Antiqua"/>
          <w:sz w:val="24"/>
          <w:szCs w:val="24"/>
          <w:lang w:val="en-GB"/>
        </w:rPr>
        <w:t xml:space="preserve">of </w:t>
      </w:r>
      <w:r w:rsidRPr="00DD5245">
        <w:rPr>
          <w:rFonts w:ascii="Book Antiqua" w:hAnsi="Book Antiqua"/>
          <w:sz w:val="24"/>
          <w:szCs w:val="24"/>
          <w:lang w:val="en-GB"/>
        </w:rPr>
        <w:t>the Chinese population,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in MINOCA patients at </w:t>
      </w:r>
      <w:r w:rsidRPr="00DD5245">
        <w:rPr>
          <w:rFonts w:ascii="Book Antiqua" w:eastAsia="宋体" w:hAnsi="Book Antiqua" w:cs="Times New Roman"/>
          <w:sz w:val="24"/>
          <w:szCs w:val="24"/>
          <w:lang w:val="en-GB"/>
        </w:rPr>
        <w:t xml:space="preserve">the </w:t>
      </w:r>
      <w:r w:rsidRPr="00DD5245">
        <w:rPr>
          <w:rFonts w:ascii="Book Antiqua" w:hAnsi="Book Antiqua"/>
          <w:sz w:val="24"/>
          <w:szCs w:val="24"/>
          <w:lang w:val="en-GB"/>
        </w:rPr>
        <w:t xml:space="preserve">1-year follow-up </w:t>
      </w:r>
      <w:r w:rsidR="004E070B" w:rsidRPr="00DD5245">
        <w:rPr>
          <w:rFonts w:ascii="Book Antiqua" w:hAnsi="Book Antiqua"/>
          <w:sz w:val="24"/>
          <w:szCs w:val="24"/>
          <w:lang w:val="en-GB"/>
        </w:rPr>
        <w:t xml:space="preserve">were </w:t>
      </w:r>
      <w:r w:rsidRPr="00DD5245">
        <w:rPr>
          <w:rFonts w:ascii="Book Antiqua" w:hAnsi="Book Antiqua"/>
          <w:sz w:val="24"/>
          <w:szCs w:val="24"/>
          <w:lang w:val="en-GB"/>
        </w:rPr>
        <w:t xml:space="preserve">lower than </w:t>
      </w:r>
      <w:r w:rsidR="004E070B" w:rsidRPr="00DD5245">
        <w:rPr>
          <w:rFonts w:ascii="Book Antiqua" w:hAnsi="Book Antiqua"/>
          <w:sz w:val="24"/>
          <w:szCs w:val="24"/>
          <w:lang w:val="en-GB"/>
        </w:rPr>
        <w:t xml:space="preserve">those </w:t>
      </w:r>
      <w:r w:rsidRPr="00DD5245">
        <w:rPr>
          <w:rFonts w:ascii="Book Antiqua" w:hAnsi="Book Antiqua"/>
          <w:sz w:val="24"/>
          <w:szCs w:val="24"/>
          <w:lang w:val="en-GB"/>
        </w:rPr>
        <w:t>in MI-CAD patients. Multi-facto</w:t>
      </w:r>
      <w:r w:rsidR="004E070B" w:rsidRPr="00DD5245">
        <w:rPr>
          <w:rFonts w:ascii="Book Antiqua" w:hAnsi="Book Antiqua"/>
          <w:sz w:val="24"/>
          <w:szCs w:val="24"/>
          <w:lang w:val="en-GB"/>
        </w:rPr>
        <w:t>rial</w:t>
      </w:r>
      <w:r w:rsidRPr="00DD5245">
        <w:rPr>
          <w:rFonts w:ascii="Book Antiqua" w:hAnsi="Book Antiqua"/>
          <w:sz w:val="24"/>
          <w:szCs w:val="24"/>
          <w:lang w:val="en-GB"/>
        </w:rPr>
        <w:t xml:space="preserve"> survival analysis showed that older age (≥</w:t>
      </w:r>
      <w:r w:rsidR="003B06C6" w:rsidRPr="00DD5245">
        <w:rPr>
          <w:rFonts w:ascii="Book Antiqua" w:hAnsi="Book Antiqua"/>
          <w:sz w:val="24"/>
          <w:szCs w:val="24"/>
          <w:lang w:val="en-GB"/>
        </w:rPr>
        <w:t xml:space="preserve"> </w:t>
      </w:r>
      <w:r w:rsidRPr="00DD5245">
        <w:rPr>
          <w:rFonts w:ascii="Book Antiqua" w:hAnsi="Book Antiqua"/>
          <w:sz w:val="24"/>
          <w:szCs w:val="24"/>
          <w:lang w:val="en-GB"/>
        </w:rPr>
        <w:t>60 years old), female sex, atrial fibrillation, and reduced LVEF are independent risk factors for MACE</w:t>
      </w:r>
      <w:r w:rsidR="004E070B" w:rsidRPr="00DD5245">
        <w:rPr>
          <w:rFonts w:ascii="Book Antiqua" w:hAnsi="Book Antiqua"/>
          <w:sz w:val="24"/>
          <w:szCs w:val="24"/>
          <w:lang w:val="en-GB"/>
        </w:rPr>
        <w:t>s</w:t>
      </w:r>
      <w:r w:rsidRPr="00DD5245">
        <w:rPr>
          <w:rFonts w:ascii="Book Antiqua" w:hAnsi="Book Antiqua"/>
          <w:sz w:val="24"/>
          <w:szCs w:val="24"/>
          <w:lang w:val="en-GB"/>
        </w:rPr>
        <w:t xml:space="preserve"> in MINOCA patients within one year</w:t>
      </w:r>
      <w:r w:rsidRPr="00DD5245">
        <w:rPr>
          <w:rFonts w:ascii="Book Antiqua" w:hAnsi="Book Antiqua"/>
          <w:sz w:val="24"/>
          <w:szCs w:val="24"/>
          <w:vertAlign w:val="superscript"/>
          <w:lang w:val="en-GB"/>
        </w:rPr>
        <w:t>[31]</w:t>
      </w:r>
      <w:r w:rsidRPr="00DD5245">
        <w:rPr>
          <w:rFonts w:ascii="Book Antiqua" w:hAnsi="Book Antiqua"/>
          <w:sz w:val="24"/>
          <w:szCs w:val="24"/>
          <w:lang w:val="en-GB"/>
        </w:rPr>
        <w:t>. The atherosclerotic burden in MINOCA patients may also have an additional role in their prognosis and represents a promising research target in the following years</w:t>
      </w:r>
      <w:r w:rsidRPr="00DD5245">
        <w:rPr>
          <w:rFonts w:ascii="Book Antiqua" w:hAnsi="Book Antiqua"/>
          <w:sz w:val="24"/>
          <w:szCs w:val="24"/>
          <w:vertAlign w:val="superscript"/>
          <w:lang w:val="en-GB"/>
        </w:rPr>
        <w:t>[23]</w:t>
      </w:r>
      <w:r w:rsidRPr="00DD5245">
        <w:rPr>
          <w:rFonts w:ascii="Book Antiqua" w:hAnsi="Book Antiqua"/>
          <w:sz w:val="24"/>
          <w:szCs w:val="24"/>
          <w:lang w:val="en-GB"/>
        </w:rPr>
        <w:t>.</w:t>
      </w:r>
    </w:p>
    <w:p w14:paraId="2136CA7C" w14:textId="412C9286" w:rsidR="00513789" w:rsidRPr="00DD5245" w:rsidRDefault="00150F1C" w:rsidP="00551825">
      <w:pPr>
        <w:adjustRightInd w:val="0"/>
        <w:snapToGrid w:val="0"/>
        <w:spacing w:after="0" w:line="360" w:lineRule="auto"/>
        <w:ind w:firstLineChars="100" w:firstLine="240"/>
        <w:jc w:val="both"/>
        <w:rPr>
          <w:rFonts w:ascii="Book Antiqua" w:hAnsi="Book Antiqua"/>
          <w:sz w:val="24"/>
          <w:szCs w:val="24"/>
          <w:lang w:val="en-GB"/>
        </w:rPr>
      </w:pPr>
      <w:r w:rsidRPr="00DD5245">
        <w:rPr>
          <w:rFonts w:ascii="Book Antiqua" w:hAnsi="Book Antiqua"/>
          <w:sz w:val="24"/>
          <w:szCs w:val="24"/>
          <w:lang w:val="en-GB"/>
        </w:rPr>
        <w:t xml:space="preserve">TTS is a special subset of MINOCA patients </w:t>
      </w:r>
      <w:r w:rsidR="004E070B" w:rsidRPr="00DD5245">
        <w:rPr>
          <w:rFonts w:ascii="Book Antiqua" w:hAnsi="Book Antiqua"/>
          <w:sz w:val="24"/>
          <w:szCs w:val="24"/>
          <w:lang w:val="en-GB"/>
        </w:rPr>
        <w:t xml:space="preserve">with regard to </w:t>
      </w:r>
      <w:r w:rsidRPr="00DD5245">
        <w:rPr>
          <w:rFonts w:ascii="Book Antiqua" w:hAnsi="Book Antiqua"/>
          <w:sz w:val="24"/>
          <w:szCs w:val="24"/>
          <w:lang w:val="en-GB"/>
        </w:rPr>
        <w:t xml:space="preserve">triggers </w:t>
      </w:r>
      <w:r w:rsidRPr="00DD5245">
        <w:rPr>
          <w:rFonts w:ascii="Book Antiqua" w:eastAsia="宋体" w:hAnsi="Book Antiqua" w:cs="Times New Roman"/>
          <w:sz w:val="24"/>
          <w:szCs w:val="24"/>
          <w:lang w:val="en-GB"/>
        </w:rPr>
        <w:t xml:space="preserve">that </w:t>
      </w:r>
      <w:r w:rsidRPr="00DD5245">
        <w:rPr>
          <w:rFonts w:ascii="Book Antiqua" w:hAnsi="Book Antiqua"/>
          <w:sz w:val="24"/>
          <w:szCs w:val="24"/>
          <w:lang w:val="en-GB"/>
        </w:rPr>
        <w:t>can be identified in two-thirds of cases and should be exposed because they can influence prognosis. Generally, long-term outcomes</w:t>
      </w:r>
      <w:r w:rsidR="004E070B" w:rsidRPr="00DD5245">
        <w:rPr>
          <w:rFonts w:ascii="Book Antiqua" w:hAnsi="Book Antiqua"/>
          <w:sz w:val="24"/>
          <w:szCs w:val="24"/>
          <w:lang w:val="en-GB"/>
        </w:rPr>
        <w:t xml:space="preserve"> of TTS</w:t>
      </w:r>
      <w:r w:rsidRPr="00DD5245">
        <w:rPr>
          <w:rFonts w:ascii="Book Antiqua" w:hAnsi="Book Antiqua"/>
          <w:sz w:val="24"/>
          <w:szCs w:val="24"/>
          <w:lang w:val="en-GB"/>
        </w:rPr>
        <w:t xml:space="preserve"> are comparable to</w:t>
      </w:r>
      <w:r w:rsidR="004E070B" w:rsidRPr="00DD5245">
        <w:rPr>
          <w:rFonts w:ascii="Book Antiqua" w:hAnsi="Book Antiqua"/>
          <w:sz w:val="24"/>
          <w:szCs w:val="24"/>
          <w:lang w:val="en-GB"/>
        </w:rPr>
        <w:t xml:space="preserve"> those of</w:t>
      </w:r>
      <w:r w:rsidRPr="00DD5245">
        <w:rPr>
          <w:rFonts w:ascii="Book Antiqua" w:hAnsi="Book Antiqua"/>
          <w:sz w:val="24"/>
          <w:szCs w:val="24"/>
          <w:lang w:val="en-GB"/>
        </w:rPr>
        <w:t xml:space="preserve"> age</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sex-matched MI patients. TTS related to emotional stress have a favourable short- and long-term prognosis, whereas those secondary to physical stress or medical conditions such as neurological events are associated with higher mortality in follow up; patients with neurological triggers tend to have higher mortality</w:t>
      </w:r>
      <w:r w:rsidRPr="00DD5245">
        <w:rPr>
          <w:rFonts w:ascii="Book Antiqua" w:hAnsi="Book Antiqua"/>
          <w:sz w:val="24"/>
          <w:szCs w:val="24"/>
          <w:vertAlign w:val="superscript"/>
          <w:lang w:val="en-GB"/>
        </w:rPr>
        <w:t>[23]</w:t>
      </w:r>
      <w:r w:rsidRPr="00DD5245">
        <w:rPr>
          <w:rFonts w:ascii="Book Antiqua" w:hAnsi="Book Antiqua"/>
          <w:sz w:val="24"/>
          <w:szCs w:val="24"/>
          <w:lang w:val="en-GB"/>
        </w:rPr>
        <w:t xml:space="preserve">. </w:t>
      </w:r>
    </w:p>
    <w:p w14:paraId="4E02C14D" w14:textId="77777777" w:rsidR="00513789" w:rsidRPr="00DD5245" w:rsidRDefault="00513789" w:rsidP="00707674">
      <w:pPr>
        <w:adjustRightInd w:val="0"/>
        <w:snapToGrid w:val="0"/>
        <w:spacing w:after="0" w:line="360" w:lineRule="auto"/>
        <w:jc w:val="both"/>
        <w:rPr>
          <w:rFonts w:ascii="Book Antiqua" w:hAnsi="Book Antiqua"/>
          <w:b/>
          <w:sz w:val="24"/>
          <w:szCs w:val="24"/>
          <w:lang w:val="en-GB"/>
        </w:rPr>
      </w:pPr>
    </w:p>
    <w:p w14:paraId="5ABE980A" w14:textId="77777777"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KNOWLEDGE GAPS AND FUTURE PERSPECTIVE</w:t>
      </w:r>
    </w:p>
    <w:p w14:paraId="5CDB9524" w14:textId="34AB9878" w:rsidR="00513789" w:rsidRPr="00DD5245" w:rsidRDefault="00150F1C"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 xml:space="preserve">The present </w:t>
      </w:r>
      <w:r w:rsidRPr="00DD5245">
        <w:rPr>
          <w:rFonts w:ascii="Book Antiqua" w:eastAsia="宋体" w:hAnsi="Book Antiqua" w:cs="Times New Roman"/>
          <w:sz w:val="24"/>
          <w:szCs w:val="24"/>
          <w:lang w:val="en-GB"/>
        </w:rPr>
        <w:t xml:space="preserve">study </w:t>
      </w:r>
      <w:r w:rsidRPr="00DD5245">
        <w:rPr>
          <w:rFonts w:ascii="Book Antiqua" w:hAnsi="Book Antiqua"/>
          <w:sz w:val="24"/>
          <w:szCs w:val="24"/>
          <w:lang w:val="en-GB"/>
        </w:rPr>
        <w:t xml:space="preserve">shows a knowledge gap and heterogeneous management </w:t>
      </w:r>
      <w:r w:rsidR="004E070B" w:rsidRPr="00DD5245">
        <w:rPr>
          <w:rFonts w:ascii="Book Antiqua" w:hAnsi="Book Antiqua"/>
          <w:sz w:val="24"/>
          <w:szCs w:val="24"/>
          <w:lang w:val="en-GB"/>
        </w:rPr>
        <w:t xml:space="preserve">of </w:t>
      </w:r>
      <w:r w:rsidRPr="00DD5245">
        <w:rPr>
          <w:rFonts w:ascii="Book Antiqua" w:hAnsi="Book Antiqua"/>
          <w:sz w:val="24"/>
          <w:szCs w:val="24"/>
          <w:lang w:val="en-GB"/>
        </w:rPr>
        <w:t>MINOCA patients that need attention. MINOCA is a polymorphic aggregate with much more to</w:t>
      </w:r>
      <w:r w:rsidR="004E070B" w:rsidRPr="00DD5245">
        <w:rPr>
          <w:rFonts w:ascii="Book Antiqua" w:hAnsi="Book Antiqua"/>
          <w:sz w:val="24"/>
          <w:szCs w:val="24"/>
          <w:lang w:val="en-GB"/>
        </w:rPr>
        <w:t xml:space="preserve"> be</w:t>
      </w:r>
      <w:r w:rsidRPr="00DD5245">
        <w:rPr>
          <w:rFonts w:ascii="Book Antiqua" w:hAnsi="Book Antiqua"/>
          <w:sz w:val="24"/>
          <w:szCs w:val="24"/>
          <w:lang w:val="en-GB"/>
        </w:rPr>
        <w:t xml:space="preserve"> uncover</w:t>
      </w:r>
      <w:r w:rsidR="004E070B" w:rsidRPr="00DD5245">
        <w:rPr>
          <w:rFonts w:ascii="Book Antiqua" w:hAnsi="Book Antiqua"/>
          <w:sz w:val="24"/>
          <w:szCs w:val="24"/>
          <w:lang w:val="en-GB"/>
        </w:rPr>
        <w:t>ed,</w:t>
      </w:r>
      <w:r w:rsidRPr="00DD5245">
        <w:rPr>
          <w:rFonts w:ascii="Book Antiqua" w:hAnsi="Book Antiqua"/>
          <w:sz w:val="24"/>
          <w:szCs w:val="24"/>
          <w:lang w:val="en-GB"/>
        </w:rPr>
        <w:t xml:space="preserve"> with special emphasis on the pathophysiology. Standard MI protocols do not apply systematically to all MINOCA patients. </w:t>
      </w:r>
      <w:r w:rsidRPr="00DD5245">
        <w:rPr>
          <w:rFonts w:ascii="Book Antiqua" w:eastAsia="宋体" w:hAnsi="Book Antiqua" w:cs="Times New Roman"/>
          <w:sz w:val="24"/>
          <w:szCs w:val="24"/>
          <w:lang w:val="en-GB"/>
        </w:rPr>
        <w:t xml:space="preserve">Variations </w:t>
      </w:r>
      <w:r w:rsidRPr="00DD5245">
        <w:rPr>
          <w:rFonts w:ascii="Book Antiqua" w:hAnsi="Book Antiqua"/>
          <w:sz w:val="24"/>
          <w:szCs w:val="24"/>
          <w:lang w:val="en-GB"/>
        </w:rPr>
        <w:t xml:space="preserve">in revascularization </w:t>
      </w:r>
      <w:r w:rsidRPr="00DD5245">
        <w:rPr>
          <w:rFonts w:ascii="Book Antiqua" w:eastAsia="宋体" w:hAnsi="Book Antiqua" w:cs="Times New Roman"/>
          <w:sz w:val="24"/>
          <w:szCs w:val="24"/>
          <w:lang w:val="en-GB"/>
        </w:rPr>
        <w:t>strategies</w:t>
      </w:r>
      <w:r w:rsidRPr="00DD5245">
        <w:rPr>
          <w:rFonts w:ascii="Book Antiqua" w:hAnsi="Book Antiqua"/>
          <w:sz w:val="24"/>
          <w:szCs w:val="24"/>
          <w:lang w:val="en-GB"/>
        </w:rPr>
        <w:t xml:space="preserve"> and </w:t>
      </w:r>
      <w:r w:rsidRPr="00DD5245">
        <w:rPr>
          <w:rFonts w:ascii="Book Antiqua" w:eastAsia="宋体" w:hAnsi="Book Antiqua" w:cs="Times New Roman"/>
          <w:sz w:val="24"/>
          <w:szCs w:val="24"/>
          <w:lang w:val="en-GB"/>
        </w:rPr>
        <w:t xml:space="preserve">the </w:t>
      </w:r>
      <w:r w:rsidRPr="00DD5245">
        <w:rPr>
          <w:rFonts w:ascii="Book Antiqua" w:hAnsi="Book Antiqua"/>
          <w:sz w:val="24"/>
          <w:szCs w:val="24"/>
          <w:lang w:val="en-GB"/>
        </w:rPr>
        <w:t xml:space="preserve">use of proven medical therapies </w:t>
      </w:r>
      <w:r w:rsidRPr="00DD5245">
        <w:rPr>
          <w:rFonts w:ascii="Book Antiqua" w:eastAsia="宋体" w:hAnsi="Book Antiqua" w:cs="Times New Roman"/>
          <w:sz w:val="24"/>
          <w:szCs w:val="24"/>
          <w:lang w:val="en-GB"/>
        </w:rPr>
        <w:t>exist</w:t>
      </w:r>
      <w:r w:rsidRPr="00DD5245">
        <w:rPr>
          <w:rFonts w:ascii="Book Antiqua" w:hAnsi="Book Antiqua"/>
          <w:sz w:val="24"/>
          <w:szCs w:val="24"/>
          <w:vertAlign w:val="superscript"/>
          <w:lang w:val="en-GB"/>
        </w:rPr>
        <w:t>[9]</w:t>
      </w:r>
      <w:r w:rsidRPr="00DD5245">
        <w:rPr>
          <w:rFonts w:ascii="Book Antiqua" w:hAnsi="Book Antiqua"/>
          <w:sz w:val="24"/>
          <w:szCs w:val="24"/>
          <w:lang w:val="en-GB"/>
        </w:rPr>
        <w:t>. The era of eyeball angiographic quantification is evolving</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measuring only the degree of stenosis is insufficient. </w:t>
      </w:r>
      <w:r w:rsidR="004E070B" w:rsidRPr="00DD5245">
        <w:rPr>
          <w:rFonts w:ascii="Book Antiqua" w:hAnsi="Book Antiqua"/>
          <w:sz w:val="24"/>
          <w:szCs w:val="24"/>
          <w:lang w:val="en-GB"/>
        </w:rPr>
        <w:t>The p</w:t>
      </w:r>
      <w:r w:rsidRPr="00DD5245">
        <w:rPr>
          <w:rFonts w:ascii="Book Antiqua" w:hAnsi="Book Antiqua"/>
          <w:sz w:val="24"/>
          <w:szCs w:val="24"/>
          <w:lang w:val="en-GB"/>
        </w:rPr>
        <w:t>laque burden is multi-faceted</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w:t>
      </w:r>
      <w:r w:rsidRPr="00DD5245">
        <w:rPr>
          <w:rFonts w:ascii="Book Antiqua" w:hAnsi="Book Antiqua"/>
          <w:sz w:val="24"/>
          <w:szCs w:val="24"/>
          <w:lang w:val="en-GB"/>
        </w:rPr>
        <w:lastRenderedPageBreak/>
        <w:t>different plaque content, volume,</w:t>
      </w:r>
      <w:r w:rsidR="004E070B" w:rsidRPr="00DD5245">
        <w:rPr>
          <w:rFonts w:ascii="Book Antiqua" w:hAnsi="Book Antiqua"/>
          <w:sz w:val="24"/>
          <w:szCs w:val="24"/>
          <w:lang w:val="en-GB"/>
        </w:rPr>
        <w:t xml:space="preserve"> and</w:t>
      </w:r>
      <w:r w:rsidRPr="00DD5245">
        <w:rPr>
          <w:rFonts w:ascii="Book Antiqua" w:hAnsi="Book Antiqua"/>
          <w:sz w:val="24"/>
          <w:szCs w:val="24"/>
          <w:lang w:val="en-GB"/>
        </w:rPr>
        <w:t xml:space="preserve"> distribution </w:t>
      </w:r>
      <w:r w:rsidR="004E070B" w:rsidRPr="00DD5245">
        <w:rPr>
          <w:rFonts w:ascii="Book Antiqua" w:hAnsi="Book Antiqua"/>
          <w:sz w:val="24"/>
          <w:szCs w:val="24"/>
          <w:lang w:val="en-GB"/>
        </w:rPr>
        <w:t xml:space="preserve">along with luminal </w:t>
      </w:r>
      <w:r w:rsidRPr="00DD5245">
        <w:rPr>
          <w:rFonts w:ascii="Book Antiqua" w:hAnsi="Book Antiqua"/>
          <w:sz w:val="24"/>
          <w:szCs w:val="24"/>
          <w:lang w:val="en-GB"/>
        </w:rPr>
        <w:t>stenosis can have</w:t>
      </w:r>
      <w:r w:rsidR="004E070B" w:rsidRPr="00DD5245">
        <w:rPr>
          <w:rFonts w:ascii="Book Antiqua" w:hAnsi="Book Antiqua"/>
          <w:sz w:val="24"/>
          <w:szCs w:val="24"/>
          <w:lang w:val="en-GB"/>
        </w:rPr>
        <w:t xml:space="preserve"> a</w:t>
      </w:r>
      <w:r w:rsidRPr="00DD5245">
        <w:rPr>
          <w:rFonts w:ascii="Book Antiqua" w:hAnsi="Book Antiqua"/>
          <w:sz w:val="24"/>
          <w:szCs w:val="24"/>
          <w:lang w:val="en-GB"/>
        </w:rPr>
        <w:t xml:space="preserve"> divergent clinical impact and prognosis</w:t>
      </w:r>
      <w:r w:rsidRPr="00DD5245">
        <w:rPr>
          <w:rFonts w:ascii="Book Antiqua" w:hAnsi="Book Antiqua"/>
          <w:sz w:val="24"/>
          <w:szCs w:val="24"/>
          <w:vertAlign w:val="superscript"/>
          <w:lang w:val="en-GB"/>
        </w:rPr>
        <w:t>[29]</w:t>
      </w:r>
      <w:r w:rsidRPr="00DD5245">
        <w:rPr>
          <w:rFonts w:ascii="Book Antiqua" w:hAnsi="Book Antiqua"/>
          <w:sz w:val="24"/>
          <w:szCs w:val="24"/>
          <w:lang w:val="en-GB"/>
        </w:rPr>
        <w:t>. There is a demand for the use of standard criteria in MINOCA research for effective worldwide communication</w:t>
      </w:r>
      <w:r w:rsidR="004E070B" w:rsidRPr="00DD5245">
        <w:rPr>
          <w:rFonts w:ascii="Book Antiqua" w:hAnsi="Book Antiqua"/>
          <w:sz w:val="24"/>
          <w:szCs w:val="24"/>
          <w:lang w:val="en-GB"/>
        </w:rPr>
        <w:t>,</w:t>
      </w:r>
      <w:r w:rsidRPr="00DD5245">
        <w:rPr>
          <w:rFonts w:ascii="Book Antiqua" w:hAnsi="Book Antiqua"/>
          <w:sz w:val="24"/>
          <w:szCs w:val="24"/>
          <w:lang w:val="en-GB"/>
        </w:rPr>
        <w:t xml:space="preserve"> </w:t>
      </w:r>
      <w:r w:rsidR="004E070B" w:rsidRPr="00DD5245">
        <w:rPr>
          <w:rFonts w:ascii="Book Antiqua" w:hAnsi="Book Antiqua"/>
          <w:sz w:val="24"/>
          <w:szCs w:val="24"/>
          <w:lang w:val="en-GB"/>
        </w:rPr>
        <w:t xml:space="preserve">as such criteria </w:t>
      </w:r>
      <w:r w:rsidRPr="00DD5245">
        <w:rPr>
          <w:rFonts w:ascii="Book Antiqua" w:hAnsi="Book Antiqua"/>
          <w:sz w:val="24"/>
          <w:szCs w:val="24"/>
          <w:lang w:val="en-GB"/>
        </w:rPr>
        <w:t>may help understand and compare international registries. Standardized criteria may provide an investigative structure for mechanistic, diagnostic, prognostic and clinical trial studies aimed at developing MINOCA evidence-based guidelines.</w:t>
      </w:r>
    </w:p>
    <w:p w14:paraId="6EF57A4A" w14:textId="77777777" w:rsidR="00513789" w:rsidRPr="00DD5245" w:rsidRDefault="00513789" w:rsidP="00707674">
      <w:pPr>
        <w:adjustRightInd w:val="0"/>
        <w:snapToGrid w:val="0"/>
        <w:spacing w:after="0" w:line="360" w:lineRule="auto"/>
        <w:jc w:val="both"/>
        <w:rPr>
          <w:rFonts w:ascii="Book Antiqua" w:hAnsi="Book Antiqua"/>
          <w:b/>
          <w:sz w:val="24"/>
          <w:szCs w:val="24"/>
          <w:lang w:val="en-GB"/>
        </w:rPr>
      </w:pPr>
    </w:p>
    <w:p w14:paraId="5A615E85" w14:textId="77777777" w:rsidR="00513789" w:rsidRPr="00DD5245" w:rsidRDefault="00150F1C" w:rsidP="00707674">
      <w:pPr>
        <w:adjustRightInd w:val="0"/>
        <w:snapToGrid w:val="0"/>
        <w:spacing w:after="0" w:line="360" w:lineRule="auto"/>
        <w:jc w:val="both"/>
        <w:rPr>
          <w:rFonts w:ascii="Book Antiqua" w:hAnsi="Book Antiqua"/>
          <w:b/>
          <w:sz w:val="24"/>
          <w:szCs w:val="24"/>
          <w:lang w:val="en-GB"/>
        </w:rPr>
      </w:pPr>
      <w:r w:rsidRPr="00DD5245">
        <w:rPr>
          <w:rFonts w:ascii="Book Antiqua" w:hAnsi="Book Antiqua"/>
          <w:b/>
          <w:sz w:val="24"/>
          <w:szCs w:val="24"/>
          <w:lang w:val="en-GB"/>
        </w:rPr>
        <w:t>CONCLUSION</w:t>
      </w:r>
    </w:p>
    <w:p w14:paraId="6473F50C" w14:textId="6BDAD647" w:rsidR="00513789" w:rsidRPr="00DD5245" w:rsidRDefault="00150F1C" w:rsidP="00707674">
      <w:pPr>
        <w:adjustRightInd w:val="0"/>
        <w:snapToGrid w:val="0"/>
        <w:spacing w:after="0" w:line="360" w:lineRule="auto"/>
        <w:jc w:val="both"/>
        <w:rPr>
          <w:rFonts w:ascii="Book Antiqua" w:hAnsi="Book Antiqua"/>
          <w:iCs/>
          <w:sz w:val="24"/>
          <w:szCs w:val="24"/>
          <w:lang w:val="en-GB"/>
        </w:rPr>
      </w:pPr>
      <w:r w:rsidRPr="00DD5245">
        <w:rPr>
          <w:rFonts w:ascii="Book Antiqua" w:hAnsi="Book Antiqua"/>
          <w:sz w:val="24"/>
          <w:szCs w:val="24"/>
          <w:lang w:val="en-GB"/>
        </w:rPr>
        <w:t>MINOCA should be considered a working diagnosis</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challenges must be overcome to identify </w:t>
      </w:r>
      <w:r w:rsidR="004E070B" w:rsidRPr="00DD5245">
        <w:rPr>
          <w:rFonts w:ascii="Book Antiqua" w:hAnsi="Book Antiqua"/>
          <w:sz w:val="24"/>
          <w:szCs w:val="24"/>
          <w:lang w:val="en-GB"/>
        </w:rPr>
        <w:t xml:space="preserve">its </w:t>
      </w:r>
      <w:r w:rsidRPr="00DD5245">
        <w:rPr>
          <w:rFonts w:ascii="Book Antiqua" w:hAnsi="Book Antiqua"/>
          <w:sz w:val="24"/>
          <w:szCs w:val="24"/>
          <w:lang w:val="en-GB"/>
        </w:rPr>
        <w:t>underlying cause</w:t>
      </w:r>
      <w:r w:rsidRPr="00DD5245">
        <w:rPr>
          <w:rFonts w:ascii="Book Antiqua" w:eastAsia="宋体" w:hAnsi="Book Antiqua" w:cs="Times New Roman"/>
          <w:sz w:val="24"/>
          <w:szCs w:val="24"/>
          <w:lang w:val="en-GB"/>
        </w:rPr>
        <w:t xml:space="preserve"> because</w:t>
      </w:r>
      <w:r w:rsidRPr="00DD5245">
        <w:rPr>
          <w:rFonts w:ascii="Book Antiqua" w:hAnsi="Book Antiqua"/>
          <w:sz w:val="24"/>
          <w:szCs w:val="24"/>
          <w:lang w:val="en-GB"/>
        </w:rPr>
        <w:t xml:space="preserve"> its polymorphic nature has various implications. MINOCA is a prevalent, not benign pathology</w:t>
      </w:r>
      <w:r w:rsidRPr="00DD5245">
        <w:rPr>
          <w:rFonts w:ascii="Book Antiqua" w:eastAsia="宋体" w:hAnsi="Book Antiqua" w:cs="Times New Roman"/>
          <w:sz w:val="24"/>
          <w:szCs w:val="24"/>
          <w:lang w:val="en-GB"/>
        </w:rPr>
        <w:t>,</w:t>
      </w:r>
      <w:r w:rsidRPr="00DD5245">
        <w:rPr>
          <w:rFonts w:ascii="Book Antiqua" w:hAnsi="Book Antiqua"/>
          <w:sz w:val="24"/>
          <w:szCs w:val="24"/>
          <w:lang w:val="en-GB"/>
        </w:rPr>
        <w:t xml:space="preserve"> and misconceptions regarding this condition must be reviewed. Variable practice patterns and disparities in MINOCA care exist. Future multicentric clinical trials will have a </w:t>
      </w:r>
      <w:r w:rsidR="00D614B9" w:rsidRPr="00DD5245">
        <w:rPr>
          <w:rFonts w:ascii="Book Antiqua" w:hAnsi="Book Antiqua"/>
          <w:sz w:val="24"/>
          <w:szCs w:val="24"/>
          <w:lang w:val="en-GB"/>
        </w:rPr>
        <w:t xml:space="preserve">strong </w:t>
      </w:r>
      <w:r w:rsidRPr="00DD5245">
        <w:rPr>
          <w:rFonts w:ascii="Book Antiqua" w:hAnsi="Book Antiqua"/>
          <w:sz w:val="24"/>
          <w:szCs w:val="24"/>
          <w:lang w:val="en-GB"/>
        </w:rPr>
        <w:t xml:space="preserve">impact and refine </w:t>
      </w:r>
      <w:r w:rsidRPr="00DD5245">
        <w:rPr>
          <w:rFonts w:ascii="Book Antiqua" w:eastAsia="宋体" w:hAnsi="Book Antiqua" w:cs="Times New Roman"/>
          <w:sz w:val="24"/>
          <w:szCs w:val="24"/>
          <w:lang w:val="en-GB"/>
        </w:rPr>
        <w:t xml:space="preserve">the </w:t>
      </w:r>
      <w:r w:rsidRPr="00DD5245">
        <w:rPr>
          <w:rFonts w:ascii="Book Antiqua" w:hAnsi="Book Antiqua"/>
          <w:sz w:val="24"/>
          <w:szCs w:val="24"/>
          <w:lang w:val="en-GB"/>
        </w:rPr>
        <w:t>optimal cardiovascular care of MINOCA patients.</w:t>
      </w:r>
    </w:p>
    <w:p w14:paraId="4F8CBA4E" w14:textId="3604F65B" w:rsidR="003B06C6" w:rsidRPr="00DD5245" w:rsidRDefault="003B06C6">
      <w:pPr>
        <w:rPr>
          <w:rFonts w:ascii="Book Antiqua" w:hAnsi="Book Antiqua"/>
          <w:iCs/>
          <w:sz w:val="24"/>
          <w:szCs w:val="24"/>
          <w:lang w:val="en-GB"/>
        </w:rPr>
      </w:pPr>
      <w:r w:rsidRPr="00DD5245">
        <w:rPr>
          <w:rFonts w:ascii="Book Antiqua" w:hAnsi="Book Antiqua"/>
          <w:iCs/>
          <w:sz w:val="24"/>
          <w:szCs w:val="24"/>
          <w:lang w:val="en-GB"/>
        </w:rPr>
        <w:br w:type="page"/>
      </w:r>
    </w:p>
    <w:p w14:paraId="3A5C1E02" w14:textId="6E662D79" w:rsidR="00513789" w:rsidRPr="00DD5245" w:rsidRDefault="00150F1C" w:rsidP="00707674">
      <w:pPr>
        <w:adjustRightInd w:val="0"/>
        <w:snapToGrid w:val="0"/>
        <w:spacing w:after="0" w:line="360" w:lineRule="auto"/>
        <w:jc w:val="both"/>
        <w:rPr>
          <w:rFonts w:ascii="Book Antiqua" w:hAnsi="Book Antiqua"/>
          <w:noProof/>
          <w:sz w:val="24"/>
          <w:szCs w:val="24"/>
          <w:lang w:val="en-GB"/>
        </w:rPr>
      </w:pPr>
      <w:r w:rsidRPr="00DD5245">
        <w:rPr>
          <w:rFonts w:ascii="Book Antiqua" w:hAnsi="Book Antiqua"/>
          <w:b/>
          <w:noProof/>
          <w:sz w:val="24"/>
          <w:szCs w:val="24"/>
          <w:lang w:val="en-GB"/>
        </w:rPr>
        <w:lastRenderedPageBreak/>
        <w:t>REFERENCES</w:t>
      </w:r>
    </w:p>
    <w:p w14:paraId="72F3FB12" w14:textId="72ABE073"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 </w:t>
      </w:r>
      <w:r w:rsidRPr="009232CD">
        <w:rPr>
          <w:rFonts w:ascii="Book Antiqua" w:eastAsia="宋体" w:hAnsi="Book Antiqua" w:cs="宋体"/>
          <w:b/>
          <w:bCs/>
          <w:sz w:val="24"/>
          <w:szCs w:val="24"/>
          <w:lang w:val="en-US" w:eastAsia="zh-CN"/>
        </w:rPr>
        <w:t>GrossH</w:t>
      </w:r>
      <w:r w:rsidRPr="009232CD">
        <w:rPr>
          <w:rFonts w:ascii="Book Antiqua" w:eastAsia="宋体" w:hAnsi="Book Antiqua" w:cs="宋体"/>
          <w:sz w:val="24"/>
          <w:szCs w:val="24"/>
          <w:lang w:val="en-US" w:eastAsia="zh-CN"/>
        </w:rPr>
        <w:t xml:space="preserve">, Sternberg WH. Myocardial infarction without significant lesions of coronary arteries. </w:t>
      </w:r>
      <w:r w:rsidRPr="009232CD">
        <w:rPr>
          <w:rFonts w:ascii="Book Antiqua" w:eastAsia="宋体" w:hAnsi="Book Antiqua" w:cs="宋体"/>
          <w:i/>
          <w:iCs/>
          <w:sz w:val="24"/>
          <w:szCs w:val="24"/>
          <w:lang w:val="en-US" w:eastAsia="zh-CN"/>
        </w:rPr>
        <w:t>Arch Intern Med</w:t>
      </w:r>
      <w:r w:rsidRPr="009232CD">
        <w:rPr>
          <w:rFonts w:ascii="Book Antiqua" w:eastAsia="宋体" w:hAnsi="Book Antiqua" w:cs="宋体"/>
          <w:sz w:val="24"/>
          <w:szCs w:val="24"/>
          <w:lang w:val="en-US" w:eastAsia="zh-CN"/>
        </w:rPr>
        <w:t xml:space="preserve"> (</w:t>
      </w:r>
      <w:r w:rsidRPr="009232CD">
        <w:rPr>
          <w:rFonts w:ascii="Book Antiqua" w:eastAsia="宋体" w:hAnsi="Book Antiqua" w:cs="宋体"/>
          <w:i/>
          <w:iCs/>
          <w:sz w:val="24"/>
          <w:szCs w:val="24"/>
          <w:lang w:val="en-US" w:eastAsia="zh-CN"/>
        </w:rPr>
        <w:t>Chic</w:t>
      </w:r>
      <w:r w:rsidRPr="009232CD">
        <w:rPr>
          <w:rFonts w:ascii="Book Antiqua" w:eastAsia="宋体" w:hAnsi="Book Antiqua" w:cs="宋体"/>
          <w:sz w:val="24"/>
          <w:szCs w:val="24"/>
          <w:lang w:val="en-US" w:eastAsia="zh-CN"/>
        </w:rPr>
        <w:t xml:space="preserve">). 1939; </w:t>
      </w:r>
      <w:r w:rsidRPr="009232CD">
        <w:rPr>
          <w:rFonts w:ascii="Book Antiqua" w:eastAsia="宋体" w:hAnsi="Book Antiqua" w:cs="宋体"/>
          <w:b/>
          <w:bCs/>
          <w:sz w:val="24"/>
          <w:szCs w:val="24"/>
          <w:lang w:val="en-US" w:eastAsia="zh-CN"/>
        </w:rPr>
        <w:t>64</w:t>
      </w:r>
      <w:r w:rsidRPr="009232CD">
        <w:rPr>
          <w:rFonts w:ascii="Book Antiqua" w:eastAsia="宋体" w:hAnsi="Book Antiqua" w:cs="宋体"/>
          <w:sz w:val="24"/>
          <w:szCs w:val="24"/>
          <w:lang w:val="en-US" w:eastAsia="zh-CN"/>
        </w:rPr>
        <w:t>:</w:t>
      </w:r>
      <w:r>
        <w:rPr>
          <w:rFonts w:ascii="Book Antiqua" w:eastAsia="宋体" w:hAnsi="Book Antiqua" w:cs="宋体"/>
          <w:sz w:val="24"/>
          <w:szCs w:val="24"/>
          <w:lang w:val="en-US" w:eastAsia="zh-CN"/>
        </w:rPr>
        <w:t xml:space="preserve"> </w:t>
      </w:r>
      <w:r w:rsidRPr="009232CD">
        <w:rPr>
          <w:rFonts w:ascii="Book Antiqua" w:eastAsia="宋体" w:hAnsi="Book Antiqua" w:cs="宋体"/>
          <w:sz w:val="24"/>
          <w:szCs w:val="24"/>
          <w:lang w:val="en-US" w:eastAsia="zh-CN"/>
        </w:rPr>
        <w:t>249–267 [</w:t>
      </w:r>
      <w:r>
        <w:rPr>
          <w:rFonts w:ascii="Book Antiqua" w:eastAsia="宋体" w:hAnsi="Book Antiqua" w:cs="宋体"/>
          <w:sz w:val="24"/>
          <w:szCs w:val="24"/>
          <w:lang w:val="en-US" w:eastAsia="zh-CN"/>
        </w:rPr>
        <w:t>DOI</w:t>
      </w:r>
      <w:r w:rsidRPr="009232CD">
        <w:rPr>
          <w:rFonts w:ascii="Book Antiqua" w:eastAsia="宋体" w:hAnsi="Book Antiqua" w:cs="宋体"/>
          <w:sz w:val="24"/>
          <w:szCs w:val="24"/>
          <w:lang w:val="en-US" w:eastAsia="zh-CN"/>
        </w:rPr>
        <w:t>:10.1001/archinte.1939.00190020035003]</w:t>
      </w:r>
    </w:p>
    <w:p w14:paraId="14F3CE90" w14:textId="54188D0E"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 </w:t>
      </w:r>
      <w:r w:rsidRPr="009232CD">
        <w:rPr>
          <w:rFonts w:ascii="Book Antiqua" w:eastAsia="宋体" w:hAnsi="Book Antiqua" w:cs="宋体"/>
          <w:b/>
          <w:bCs/>
          <w:sz w:val="24"/>
          <w:szCs w:val="24"/>
          <w:lang w:val="en-US" w:eastAsia="zh-CN"/>
        </w:rPr>
        <w:t>Alpert JS</w:t>
      </w:r>
      <w:r w:rsidRPr="009232CD">
        <w:rPr>
          <w:rFonts w:ascii="Book Antiqua" w:eastAsia="宋体" w:hAnsi="Book Antiqua" w:cs="宋体"/>
          <w:sz w:val="24"/>
          <w:szCs w:val="24"/>
          <w:lang w:val="en-US" w:eastAsia="zh-CN"/>
        </w:rPr>
        <w:t xml:space="preserve">, Thygesen K, Antman E, Bassand JP. Myocardial infarction redefined--a consensus document of The Joint European Society of Cardiology/American College of Cardiology Committee for the redefinition of myocardial infarction. </w:t>
      </w:r>
      <w:r w:rsidRPr="009232CD">
        <w:rPr>
          <w:rFonts w:ascii="Book Antiqua" w:eastAsia="宋体" w:hAnsi="Book Antiqua" w:cs="宋体"/>
          <w:i/>
          <w:iCs/>
          <w:sz w:val="24"/>
          <w:szCs w:val="24"/>
          <w:lang w:val="en-US" w:eastAsia="zh-CN"/>
        </w:rPr>
        <w:t>J Am Coll Cardiol</w:t>
      </w:r>
      <w:r w:rsidRPr="009232CD">
        <w:rPr>
          <w:rFonts w:ascii="Book Antiqua" w:eastAsia="宋体" w:hAnsi="Book Antiqua" w:cs="宋体"/>
          <w:sz w:val="24"/>
          <w:szCs w:val="24"/>
          <w:lang w:val="en-US" w:eastAsia="zh-CN"/>
        </w:rPr>
        <w:t xml:space="preserve"> 2000; </w:t>
      </w:r>
      <w:r w:rsidRPr="009232CD">
        <w:rPr>
          <w:rFonts w:ascii="Book Antiqua" w:eastAsia="宋体" w:hAnsi="Book Antiqua" w:cs="宋体"/>
          <w:b/>
          <w:bCs/>
          <w:sz w:val="24"/>
          <w:szCs w:val="24"/>
          <w:lang w:val="en-US" w:eastAsia="zh-CN"/>
        </w:rPr>
        <w:t>36</w:t>
      </w:r>
      <w:r w:rsidRPr="009232CD">
        <w:rPr>
          <w:rFonts w:ascii="Book Antiqua" w:eastAsia="宋体" w:hAnsi="Book Antiqua" w:cs="宋体"/>
          <w:sz w:val="24"/>
          <w:szCs w:val="24"/>
          <w:lang w:val="en-US" w:eastAsia="zh-CN"/>
        </w:rPr>
        <w:t>: 959-969 [PMID: 10987628 DOI: 10.1016/s0735-1097(00)00804-4]</w:t>
      </w:r>
    </w:p>
    <w:p w14:paraId="684828E0" w14:textId="4CE83B96"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3 </w:t>
      </w:r>
      <w:r w:rsidRPr="009232CD">
        <w:rPr>
          <w:rFonts w:ascii="Book Antiqua" w:eastAsia="宋体" w:hAnsi="Book Antiqua" w:cs="宋体"/>
          <w:b/>
          <w:bCs/>
          <w:sz w:val="24"/>
          <w:szCs w:val="24"/>
          <w:lang w:val="en-US" w:eastAsia="zh-CN"/>
        </w:rPr>
        <w:t>Thygesen K</w:t>
      </w:r>
      <w:r w:rsidRPr="009232CD">
        <w:rPr>
          <w:rFonts w:ascii="Book Antiqua" w:eastAsia="宋体" w:hAnsi="Book Antiqua" w:cs="宋体"/>
          <w:sz w:val="24"/>
          <w:szCs w:val="24"/>
          <w:lang w:val="en-US" w:eastAsia="zh-CN"/>
        </w:rPr>
        <w:t xml:space="preserve">, Alpert JS, Jaffe AS, Chaitman BR, Bax JJ, Morrow DA, White HD; Executive Group on behalf of the Joint European Society of Cardiology (ESC)/American College of Cardiology (ACC)/American Heart Association (AHA)/World Heart Federation (WHF) Task Force for the Universal Definition of Myocardial Infarction. Fourth Universal Definition of Myocardial Infarction (2018). </w:t>
      </w:r>
      <w:r w:rsidRPr="009232CD">
        <w:rPr>
          <w:rFonts w:ascii="Book Antiqua" w:eastAsia="宋体" w:hAnsi="Book Antiqua" w:cs="宋体"/>
          <w:i/>
          <w:iCs/>
          <w:sz w:val="24"/>
          <w:szCs w:val="24"/>
          <w:lang w:val="en-US" w:eastAsia="zh-CN"/>
        </w:rPr>
        <w:t>J Am Coll Cardiol</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72</w:t>
      </w:r>
      <w:r w:rsidRPr="009232CD">
        <w:rPr>
          <w:rFonts w:ascii="Book Antiqua" w:eastAsia="宋体" w:hAnsi="Book Antiqua" w:cs="宋体"/>
          <w:sz w:val="24"/>
          <w:szCs w:val="24"/>
          <w:lang w:val="en-US" w:eastAsia="zh-CN"/>
        </w:rPr>
        <w:t>: 2231-2264 [PMID: 30153967 DOI: 10.1016/j.jacc.2018.08.1038]</w:t>
      </w:r>
    </w:p>
    <w:p w14:paraId="33550CEA" w14:textId="0442B9BF"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4 </w:t>
      </w:r>
      <w:r w:rsidRPr="009232CD">
        <w:rPr>
          <w:rFonts w:ascii="Book Antiqua" w:eastAsia="宋体" w:hAnsi="Book Antiqua" w:cs="宋体"/>
          <w:b/>
          <w:bCs/>
          <w:sz w:val="24"/>
          <w:szCs w:val="24"/>
          <w:lang w:val="en-US" w:eastAsia="zh-CN"/>
        </w:rPr>
        <w:t>Ibanez B</w:t>
      </w:r>
      <w:r w:rsidRPr="009232CD">
        <w:rPr>
          <w:rFonts w:ascii="Book Antiqua" w:eastAsia="宋体" w:hAnsi="Book Antiqua" w:cs="宋体"/>
          <w:sz w:val="24"/>
          <w:szCs w:val="24"/>
          <w:lang w:val="en-US" w:eastAsia="zh-CN"/>
        </w:rPr>
        <w:t xml:space="preserve">, James S, Agewall S, Antunes MJ, Bucciarelli-Ducci C, Bueno H, Caforio ALP, Crea F, Goudevenos JA, Halvorsen S, Hindricks G, Kastrati A, Lenzen MJ, Prescott E, Roffi M, Valgimigli M, Varenhorst C, Vranckx P, Widimský P; ESC Scientific Document Group. 2017 ESC Guidelines for the management of acute myocardial infarction in patients presenting with ST-segment elevation: The Task Force for the management of acute myocardial infarction in patients presenting with ST-segment elevation of the European Society of Cardiology (ESC).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39</w:t>
      </w:r>
      <w:r w:rsidRPr="009232CD">
        <w:rPr>
          <w:rFonts w:ascii="Book Antiqua" w:eastAsia="宋体" w:hAnsi="Book Antiqua" w:cs="宋体"/>
          <w:sz w:val="24"/>
          <w:szCs w:val="24"/>
          <w:lang w:val="en-US" w:eastAsia="zh-CN"/>
        </w:rPr>
        <w:t>: 119-177 [PMID: 28886621 DOI: 10.1093/eurheartj/ehx393]</w:t>
      </w:r>
    </w:p>
    <w:p w14:paraId="60DD4A4B" w14:textId="3AABB99C"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5 </w:t>
      </w:r>
      <w:r w:rsidRPr="009232CD">
        <w:rPr>
          <w:rFonts w:ascii="Book Antiqua" w:eastAsia="宋体" w:hAnsi="Book Antiqua" w:cs="宋体"/>
          <w:b/>
          <w:bCs/>
          <w:sz w:val="24"/>
          <w:szCs w:val="24"/>
          <w:lang w:val="en-US" w:eastAsia="zh-CN"/>
        </w:rPr>
        <w:t>Roffi M</w:t>
      </w:r>
      <w:r w:rsidRPr="009232CD">
        <w:rPr>
          <w:rFonts w:ascii="Book Antiqua" w:eastAsia="宋体" w:hAnsi="Book Antiqua" w:cs="宋体"/>
          <w:sz w:val="24"/>
          <w:szCs w:val="24"/>
          <w:lang w:val="en-US" w:eastAsia="zh-CN"/>
        </w:rPr>
        <w:t xml:space="preserve">, Patrono C, Collet JP, Mueller C, Valgimigli M, Andreotti F, Bax JJ, Borger MA, Brotons C, Chew DP, Gencer B, Hasenfuss G, Kjeldsen K, Lancellotti P, Landmesser U, Mehilli J, Mukherjee D, Storey RF, Windecker S; ESC Scientific Document Group. 2015 ESC Guidelines for the management of acute coronary syndromes in patients presenting without persistent ST-segment elevation: Task </w:t>
      </w:r>
      <w:r w:rsidRPr="009232CD">
        <w:rPr>
          <w:rFonts w:ascii="Book Antiqua" w:eastAsia="宋体" w:hAnsi="Book Antiqua" w:cs="宋体"/>
          <w:sz w:val="24"/>
          <w:szCs w:val="24"/>
          <w:lang w:val="en-US" w:eastAsia="zh-CN"/>
        </w:rPr>
        <w:lastRenderedPageBreak/>
        <w:t xml:space="preserve">Force for the Management of Acute Coronary Syndromes in Patients Presenting without Persistent ST-Segment Elevation of the European Society of Cardiology (ESC).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2016; </w:t>
      </w:r>
      <w:r w:rsidRPr="009232CD">
        <w:rPr>
          <w:rFonts w:ascii="Book Antiqua" w:eastAsia="宋体" w:hAnsi="Book Antiqua" w:cs="宋体"/>
          <w:b/>
          <w:bCs/>
          <w:sz w:val="24"/>
          <w:szCs w:val="24"/>
          <w:lang w:val="en-US" w:eastAsia="zh-CN"/>
        </w:rPr>
        <w:t>37</w:t>
      </w:r>
      <w:r w:rsidRPr="009232CD">
        <w:rPr>
          <w:rFonts w:ascii="Book Antiqua" w:eastAsia="宋体" w:hAnsi="Book Antiqua" w:cs="宋体"/>
          <w:sz w:val="24"/>
          <w:szCs w:val="24"/>
          <w:lang w:val="en-US" w:eastAsia="zh-CN"/>
        </w:rPr>
        <w:t>: 267-315 [PMID: 26320110 DOI: 10.1093/eurheartj/ehv320]</w:t>
      </w:r>
    </w:p>
    <w:p w14:paraId="2477FE8F" w14:textId="68FC5A4E"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6 </w:t>
      </w:r>
      <w:r w:rsidRPr="009232CD">
        <w:rPr>
          <w:rFonts w:ascii="Book Antiqua" w:eastAsia="宋体" w:hAnsi="Book Antiqua" w:cs="宋体"/>
          <w:b/>
          <w:bCs/>
          <w:sz w:val="24"/>
          <w:szCs w:val="24"/>
          <w:lang w:val="en-US" w:eastAsia="zh-CN"/>
        </w:rPr>
        <w:t>Thygesen K</w:t>
      </w:r>
      <w:r w:rsidRPr="009232CD">
        <w:rPr>
          <w:rFonts w:ascii="Book Antiqua" w:eastAsia="宋体" w:hAnsi="Book Antiqua" w:cs="宋体"/>
          <w:sz w:val="24"/>
          <w:szCs w:val="24"/>
          <w:lang w:val="en-US" w:eastAsia="zh-CN"/>
        </w:rPr>
        <w:t xml:space="preserve">, Mair J, Katus H, Plebani M, Venge P, Collinson P, Lindahl B, Giannitsis E, Hasin Y, Galvani M, Tubaro M, Alpert JS, Biasucci LM, Koenig W, Mueller C, Huber K, Hamm C, Jaffe AS; Study Group on Biomarkers in Cardiology of the ESC Working Group on Acute Cardiac Care. Recommendations for the use of cardiac troponin measurement in acute cardiac care.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2010; </w:t>
      </w:r>
      <w:r w:rsidRPr="009232CD">
        <w:rPr>
          <w:rFonts w:ascii="Book Antiqua" w:eastAsia="宋体" w:hAnsi="Book Antiqua" w:cs="宋体"/>
          <w:b/>
          <w:bCs/>
          <w:sz w:val="24"/>
          <w:szCs w:val="24"/>
          <w:lang w:val="en-US" w:eastAsia="zh-CN"/>
        </w:rPr>
        <w:t>31</w:t>
      </w:r>
      <w:r w:rsidRPr="009232CD">
        <w:rPr>
          <w:rFonts w:ascii="Book Antiqua" w:eastAsia="宋体" w:hAnsi="Book Antiqua" w:cs="宋体"/>
          <w:sz w:val="24"/>
          <w:szCs w:val="24"/>
          <w:lang w:val="en-US" w:eastAsia="zh-CN"/>
        </w:rPr>
        <w:t>: 2197-2204 [PMID: 20685679 DOI: 10.1093/eurheartj/ehq251]</w:t>
      </w:r>
    </w:p>
    <w:p w14:paraId="2A6D693A" w14:textId="34214ADD"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7 </w:t>
      </w:r>
      <w:r w:rsidRPr="009232CD">
        <w:rPr>
          <w:rFonts w:ascii="Book Antiqua" w:eastAsia="宋体" w:hAnsi="Book Antiqua" w:cs="宋体"/>
          <w:b/>
          <w:bCs/>
          <w:sz w:val="24"/>
          <w:szCs w:val="24"/>
          <w:lang w:val="en-US" w:eastAsia="zh-CN"/>
        </w:rPr>
        <w:t>Agewall S</w:t>
      </w:r>
      <w:r w:rsidRPr="009232CD">
        <w:rPr>
          <w:rFonts w:ascii="Book Antiqua" w:eastAsia="宋体" w:hAnsi="Book Antiqua" w:cs="宋体"/>
          <w:sz w:val="24"/>
          <w:szCs w:val="24"/>
          <w:lang w:val="en-US" w:eastAsia="zh-CN"/>
        </w:rPr>
        <w:t xml:space="preserve">, Beltrame JF, Reynolds HR, Niessner A, Rosano G, Caforio AL, De Caterina R, Zimarino M, Roffi M, Kjeldsen K, Atar D, Kaski JC, Sechtem U, Tornvall P; WG on Cardiovascular Pharmacotherapy. ESC working group position paper on myocardial infarction with non-obstructive coronary arteries.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2017; </w:t>
      </w:r>
      <w:r w:rsidRPr="009232CD">
        <w:rPr>
          <w:rFonts w:ascii="Book Antiqua" w:eastAsia="宋体" w:hAnsi="Book Antiqua" w:cs="宋体"/>
          <w:b/>
          <w:bCs/>
          <w:sz w:val="24"/>
          <w:szCs w:val="24"/>
          <w:lang w:val="en-US" w:eastAsia="zh-CN"/>
        </w:rPr>
        <w:t>38</w:t>
      </w:r>
      <w:r w:rsidRPr="009232CD">
        <w:rPr>
          <w:rFonts w:ascii="Book Antiqua" w:eastAsia="宋体" w:hAnsi="Book Antiqua" w:cs="宋体"/>
          <w:sz w:val="24"/>
          <w:szCs w:val="24"/>
          <w:lang w:val="en-US" w:eastAsia="zh-CN"/>
        </w:rPr>
        <w:t>: 143-153 [PMID: 28158518 DOI: 10.1093/eurheartj/ehw149]</w:t>
      </w:r>
    </w:p>
    <w:p w14:paraId="426A8F2A" w14:textId="7C41C2AB"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8 </w:t>
      </w:r>
      <w:r w:rsidRPr="009232CD">
        <w:rPr>
          <w:rFonts w:ascii="Book Antiqua" w:eastAsia="宋体" w:hAnsi="Book Antiqua" w:cs="宋体"/>
          <w:b/>
          <w:bCs/>
          <w:sz w:val="24"/>
          <w:szCs w:val="24"/>
          <w:lang w:val="en-US" w:eastAsia="zh-CN"/>
        </w:rPr>
        <w:t>Scalone G</w:t>
      </w:r>
      <w:r w:rsidRPr="009232CD">
        <w:rPr>
          <w:rFonts w:ascii="Book Antiqua" w:eastAsia="宋体" w:hAnsi="Book Antiqua" w:cs="宋体"/>
          <w:sz w:val="24"/>
          <w:szCs w:val="24"/>
          <w:lang w:val="en-US" w:eastAsia="zh-CN"/>
        </w:rPr>
        <w:t xml:space="preserve">, Niccoli G, Crea F. Editor's Choice- Pathophysiology, diagnosis and management of MINOCA: an update. </w:t>
      </w:r>
      <w:r w:rsidRPr="009232CD">
        <w:rPr>
          <w:rFonts w:ascii="Book Antiqua" w:eastAsia="宋体" w:hAnsi="Book Antiqua" w:cs="宋体"/>
          <w:i/>
          <w:iCs/>
          <w:sz w:val="24"/>
          <w:szCs w:val="24"/>
          <w:lang w:val="en-US" w:eastAsia="zh-CN"/>
        </w:rPr>
        <w:t>Eur Heart J Acute Cardiovasc Care</w:t>
      </w:r>
      <w:r w:rsidRPr="009232CD">
        <w:rPr>
          <w:rFonts w:ascii="Book Antiqua" w:eastAsia="宋体" w:hAnsi="Book Antiqua" w:cs="宋体"/>
          <w:sz w:val="24"/>
          <w:szCs w:val="24"/>
          <w:lang w:val="en-US" w:eastAsia="zh-CN"/>
        </w:rPr>
        <w:t xml:space="preserve"> 2019; </w:t>
      </w:r>
      <w:r w:rsidRPr="009232CD">
        <w:rPr>
          <w:rFonts w:ascii="Book Antiqua" w:eastAsia="宋体" w:hAnsi="Book Antiqua" w:cs="宋体"/>
          <w:b/>
          <w:bCs/>
          <w:sz w:val="24"/>
          <w:szCs w:val="24"/>
          <w:lang w:val="en-US" w:eastAsia="zh-CN"/>
        </w:rPr>
        <w:t>8</w:t>
      </w:r>
      <w:r w:rsidRPr="009232CD">
        <w:rPr>
          <w:rFonts w:ascii="Book Antiqua" w:eastAsia="宋体" w:hAnsi="Book Antiqua" w:cs="宋体"/>
          <w:sz w:val="24"/>
          <w:szCs w:val="24"/>
          <w:lang w:val="en-US" w:eastAsia="zh-CN"/>
        </w:rPr>
        <w:t>: 54-62 [PMID: 29952633 DOI: 10.1177/2048872618782414]</w:t>
      </w:r>
    </w:p>
    <w:p w14:paraId="0D0327D6" w14:textId="01D617C8"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9 </w:t>
      </w:r>
      <w:r w:rsidRPr="009232CD">
        <w:rPr>
          <w:rFonts w:ascii="Book Antiqua" w:eastAsia="宋体" w:hAnsi="Book Antiqua" w:cs="宋体"/>
          <w:b/>
          <w:bCs/>
          <w:sz w:val="24"/>
          <w:szCs w:val="24"/>
          <w:lang w:val="en-US" w:eastAsia="zh-CN"/>
        </w:rPr>
        <w:t>Safdar B</w:t>
      </w:r>
      <w:r w:rsidRPr="009232CD">
        <w:rPr>
          <w:rFonts w:ascii="Book Antiqua" w:eastAsia="宋体" w:hAnsi="Book Antiqua" w:cs="宋体"/>
          <w:sz w:val="24"/>
          <w:szCs w:val="24"/>
          <w:lang w:val="en-US" w:eastAsia="zh-CN"/>
        </w:rPr>
        <w:t xml:space="preserve">, Spatz ES, Dreyer RP, Beltrame JF, Lichtman JH, Spertus JA, Reynolds HR, Geda M, Bueno H, Dziura JD, Krumholz HM, D'Onofrio G. Presentation, Clinical Profile, and Prognosis of Young Patients With Myocardial Infarction With Nonobstructive Coronary Arteries (MINOCA): Results From the VIRGO Study. </w:t>
      </w:r>
      <w:r w:rsidRPr="009232CD">
        <w:rPr>
          <w:rFonts w:ascii="Book Antiqua" w:eastAsia="宋体" w:hAnsi="Book Antiqua" w:cs="宋体"/>
          <w:i/>
          <w:iCs/>
          <w:sz w:val="24"/>
          <w:szCs w:val="24"/>
          <w:lang w:val="en-US" w:eastAsia="zh-CN"/>
        </w:rPr>
        <w:t>J Am Heart Assoc</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7</w:t>
      </w:r>
      <w:r w:rsidRPr="009232CD">
        <w:rPr>
          <w:rFonts w:ascii="Book Antiqua" w:eastAsia="宋体" w:hAnsi="Book Antiqua" w:cs="宋体"/>
          <w:sz w:val="24"/>
          <w:szCs w:val="24"/>
          <w:lang w:val="en-US" w:eastAsia="zh-CN"/>
        </w:rPr>
        <w:t>: [PMID: 29954744 DOI: 10.1161/JAHA.118.009174]</w:t>
      </w:r>
    </w:p>
    <w:p w14:paraId="4D1BED98" w14:textId="6AD3F891"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10 </w:t>
      </w:r>
      <w:r w:rsidRPr="009232CD">
        <w:rPr>
          <w:rFonts w:ascii="Book Antiqua" w:eastAsia="宋体" w:hAnsi="Book Antiqua" w:cs="宋体"/>
          <w:b/>
          <w:bCs/>
          <w:sz w:val="24"/>
          <w:szCs w:val="24"/>
          <w:lang w:val="en-US" w:eastAsia="zh-CN"/>
        </w:rPr>
        <w:t>Redondo-Diéguez A</w:t>
      </w:r>
      <w:r w:rsidRPr="009232CD">
        <w:rPr>
          <w:rFonts w:ascii="Book Antiqua" w:eastAsia="宋体" w:hAnsi="Book Antiqua" w:cs="宋体"/>
          <w:sz w:val="24"/>
          <w:szCs w:val="24"/>
          <w:lang w:val="en-US" w:eastAsia="zh-CN"/>
        </w:rPr>
        <w:t xml:space="preserve">, Gonzalez-Ferreiro R, Abu-Assi E, Raposeiras-Roubin S, Aidhodjayeva O, López-López A, Castiñeira-Busto M, Peña-Gil C, García-Acuña JM, González-Juanatey JR. Long-term Prognosis of Patients With Non-ST-segment Elevation Acute Myocardial Infarction and Coronary Arteries Without Significant Stenosis. </w:t>
      </w:r>
      <w:r w:rsidRPr="009232CD">
        <w:rPr>
          <w:rFonts w:ascii="Book Antiqua" w:eastAsia="宋体" w:hAnsi="Book Antiqua" w:cs="宋体"/>
          <w:i/>
          <w:iCs/>
          <w:sz w:val="24"/>
          <w:szCs w:val="24"/>
          <w:lang w:val="en-US" w:eastAsia="zh-CN"/>
        </w:rPr>
        <w:t>Rev Esp Cardiol (Engl Ed)</w:t>
      </w:r>
      <w:r w:rsidRPr="009232CD">
        <w:rPr>
          <w:rFonts w:ascii="Book Antiqua" w:eastAsia="宋体" w:hAnsi="Book Antiqua" w:cs="宋体"/>
          <w:sz w:val="24"/>
          <w:szCs w:val="24"/>
          <w:lang w:val="en-US" w:eastAsia="zh-CN"/>
        </w:rPr>
        <w:t xml:space="preserve"> 2015; </w:t>
      </w:r>
      <w:r w:rsidRPr="009232CD">
        <w:rPr>
          <w:rFonts w:ascii="Book Antiqua" w:eastAsia="宋体" w:hAnsi="Book Antiqua" w:cs="宋体"/>
          <w:b/>
          <w:bCs/>
          <w:sz w:val="24"/>
          <w:szCs w:val="24"/>
          <w:lang w:val="en-US" w:eastAsia="zh-CN"/>
        </w:rPr>
        <w:t>68</w:t>
      </w:r>
      <w:r w:rsidRPr="009232CD">
        <w:rPr>
          <w:rFonts w:ascii="Book Antiqua" w:eastAsia="宋体" w:hAnsi="Book Antiqua" w:cs="宋体"/>
          <w:sz w:val="24"/>
          <w:szCs w:val="24"/>
          <w:lang w:val="en-US" w:eastAsia="zh-CN"/>
        </w:rPr>
        <w:t>: 777-784 [PMID: 25682572 DOI: 10.1016/j.rec.2014.09.022]</w:t>
      </w:r>
    </w:p>
    <w:p w14:paraId="4376CA8B" w14:textId="60F3CA09"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lastRenderedPageBreak/>
        <w:t xml:space="preserve">11 </w:t>
      </w:r>
      <w:r w:rsidRPr="009232CD">
        <w:rPr>
          <w:rFonts w:ascii="Book Antiqua" w:eastAsia="宋体" w:hAnsi="Book Antiqua" w:cs="宋体"/>
          <w:b/>
          <w:bCs/>
          <w:sz w:val="24"/>
          <w:szCs w:val="24"/>
          <w:lang w:val="en-US" w:eastAsia="zh-CN"/>
        </w:rPr>
        <w:t>Pasupathy S</w:t>
      </w:r>
      <w:r w:rsidRPr="009232CD">
        <w:rPr>
          <w:rFonts w:ascii="Book Antiqua" w:eastAsia="宋体" w:hAnsi="Book Antiqua" w:cs="宋体"/>
          <w:sz w:val="24"/>
          <w:szCs w:val="24"/>
          <w:lang w:val="en-US" w:eastAsia="zh-CN"/>
        </w:rPr>
        <w:t xml:space="preserve">, Air T, Dreyer RP, Tavella R, Beltrame JF. Systematic review of patients presenting with suspected myocardial infarction and nonobstructive coronary arteries. </w:t>
      </w:r>
      <w:r w:rsidRPr="009232CD">
        <w:rPr>
          <w:rFonts w:ascii="Book Antiqua" w:eastAsia="宋体" w:hAnsi="Book Antiqua" w:cs="宋体"/>
          <w:i/>
          <w:iCs/>
          <w:sz w:val="24"/>
          <w:szCs w:val="24"/>
          <w:lang w:val="en-US" w:eastAsia="zh-CN"/>
        </w:rPr>
        <w:t>Circulation</w:t>
      </w:r>
      <w:r w:rsidRPr="009232CD">
        <w:rPr>
          <w:rFonts w:ascii="Book Antiqua" w:eastAsia="宋体" w:hAnsi="Book Antiqua" w:cs="宋体"/>
          <w:sz w:val="24"/>
          <w:szCs w:val="24"/>
          <w:lang w:val="en-US" w:eastAsia="zh-CN"/>
        </w:rPr>
        <w:t xml:space="preserve"> 2015; </w:t>
      </w:r>
      <w:r w:rsidRPr="009232CD">
        <w:rPr>
          <w:rFonts w:ascii="Book Antiqua" w:eastAsia="宋体" w:hAnsi="Book Antiqua" w:cs="宋体"/>
          <w:b/>
          <w:bCs/>
          <w:sz w:val="24"/>
          <w:szCs w:val="24"/>
          <w:lang w:val="en-US" w:eastAsia="zh-CN"/>
        </w:rPr>
        <w:t>131</w:t>
      </w:r>
      <w:r w:rsidRPr="009232CD">
        <w:rPr>
          <w:rFonts w:ascii="Book Antiqua" w:eastAsia="宋体" w:hAnsi="Book Antiqua" w:cs="宋体"/>
          <w:sz w:val="24"/>
          <w:szCs w:val="24"/>
          <w:lang w:val="en-US" w:eastAsia="zh-CN"/>
        </w:rPr>
        <w:t>: 861-870 [PMID: 25587100 DOI: 10.1161/CIRCULATIONAHA.114.011201]</w:t>
      </w:r>
    </w:p>
    <w:p w14:paraId="3F4506AB" w14:textId="7966A7C0"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12 </w:t>
      </w:r>
      <w:r w:rsidRPr="009232CD">
        <w:rPr>
          <w:rFonts w:ascii="Book Antiqua" w:eastAsia="宋体" w:hAnsi="Book Antiqua" w:cs="宋体"/>
          <w:b/>
          <w:bCs/>
          <w:sz w:val="24"/>
          <w:szCs w:val="24"/>
          <w:lang w:val="en-US" w:eastAsia="zh-CN"/>
        </w:rPr>
        <w:t>Ouldzein H</w:t>
      </w:r>
      <w:r w:rsidRPr="009232CD">
        <w:rPr>
          <w:rFonts w:ascii="Book Antiqua" w:eastAsia="宋体" w:hAnsi="Book Antiqua" w:cs="宋体"/>
          <w:sz w:val="24"/>
          <w:szCs w:val="24"/>
          <w:lang w:val="en-US" w:eastAsia="zh-CN"/>
        </w:rPr>
        <w:t xml:space="preserve">, Elbaz M, Roncalli J, Cagnac R, Carrié D, Puel J, Alibelli-Chemarin MJ. Plaque rupture and morphological characteristics of the culprit lesion in acute coronary syndromes without significant angiographic lesion: analysis by intravascular ultrasound. </w:t>
      </w:r>
      <w:r w:rsidRPr="009232CD">
        <w:rPr>
          <w:rFonts w:ascii="Book Antiqua" w:eastAsia="宋体" w:hAnsi="Book Antiqua" w:cs="宋体"/>
          <w:i/>
          <w:iCs/>
          <w:sz w:val="24"/>
          <w:szCs w:val="24"/>
          <w:lang w:val="en-US" w:eastAsia="zh-CN"/>
        </w:rPr>
        <w:t>Ann Cardiol Angeiol (Paris)</w:t>
      </w:r>
      <w:r w:rsidRPr="009232CD">
        <w:rPr>
          <w:rFonts w:ascii="Book Antiqua" w:eastAsia="宋体" w:hAnsi="Book Antiqua" w:cs="宋体"/>
          <w:sz w:val="24"/>
          <w:szCs w:val="24"/>
          <w:lang w:val="en-US" w:eastAsia="zh-CN"/>
        </w:rPr>
        <w:t xml:space="preserve"> 2012; </w:t>
      </w:r>
      <w:r w:rsidRPr="009232CD">
        <w:rPr>
          <w:rFonts w:ascii="Book Antiqua" w:eastAsia="宋体" w:hAnsi="Book Antiqua" w:cs="宋体"/>
          <w:b/>
          <w:bCs/>
          <w:sz w:val="24"/>
          <w:szCs w:val="24"/>
          <w:lang w:val="en-US" w:eastAsia="zh-CN"/>
        </w:rPr>
        <w:t>61</w:t>
      </w:r>
      <w:r w:rsidRPr="009232CD">
        <w:rPr>
          <w:rFonts w:ascii="Book Antiqua" w:eastAsia="宋体" w:hAnsi="Book Antiqua" w:cs="宋体"/>
          <w:sz w:val="24"/>
          <w:szCs w:val="24"/>
          <w:lang w:val="en-US" w:eastAsia="zh-CN"/>
        </w:rPr>
        <w:t xml:space="preserve">: 20-26 [PMID: 21903196 DOI: </w:t>
      </w:r>
      <w:r w:rsidR="00863858" w:rsidRPr="00863858">
        <w:rPr>
          <w:rFonts w:ascii="Book Antiqua" w:eastAsia="宋体" w:hAnsi="Book Antiqua" w:cs="宋体"/>
          <w:sz w:val="24"/>
          <w:szCs w:val="24"/>
          <w:lang w:val="en-US" w:eastAsia="zh-CN"/>
        </w:rPr>
        <w:t>10.1016/j.ancard.2011.07.011</w:t>
      </w:r>
      <w:r w:rsidRPr="009232CD">
        <w:rPr>
          <w:rFonts w:ascii="Book Antiqua" w:eastAsia="宋体" w:hAnsi="Book Antiqua" w:cs="宋体"/>
          <w:sz w:val="24"/>
          <w:szCs w:val="24"/>
          <w:lang w:val="en-US" w:eastAsia="zh-CN"/>
        </w:rPr>
        <w:t>]</w:t>
      </w:r>
    </w:p>
    <w:p w14:paraId="561DB599" w14:textId="5E624D4E"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13 </w:t>
      </w:r>
      <w:r w:rsidRPr="009232CD">
        <w:rPr>
          <w:rFonts w:ascii="Book Antiqua" w:eastAsia="宋体" w:hAnsi="Book Antiqua" w:cs="宋体"/>
          <w:b/>
          <w:bCs/>
          <w:sz w:val="24"/>
          <w:szCs w:val="24"/>
          <w:lang w:val="en-US" w:eastAsia="zh-CN"/>
        </w:rPr>
        <w:t>Hayes SN</w:t>
      </w:r>
      <w:r w:rsidRPr="009232CD">
        <w:rPr>
          <w:rFonts w:ascii="Book Antiqua" w:eastAsia="宋体" w:hAnsi="Book Antiqua" w:cs="宋体"/>
          <w:sz w:val="24"/>
          <w:szCs w:val="24"/>
          <w:lang w:val="en-US" w:eastAsia="zh-CN"/>
        </w:rPr>
        <w:t xml:space="preserve">, Kim ESH, Saw J, Adlam D, Arslanian-Engoren C, Economy KE, Ganesh SK, Gulati R, Lindsay ME, Mieres JH, Naderi S, Shah S, Thaler DE, Tweet MS, Wood MJ; American Heart Association Council on Peripheral Vascular Disease; Council on Clinical Cardiology; Council on Cardiovascular and Stroke Nursing; Council on Genomic and Precision Medicine; and Stroke Council. Spontaneous Coronary Artery Dissection: Current State of the Science: A Scientific Statement From the American Heart Association. </w:t>
      </w:r>
      <w:r w:rsidRPr="009232CD">
        <w:rPr>
          <w:rFonts w:ascii="Book Antiqua" w:eastAsia="宋体" w:hAnsi="Book Antiqua" w:cs="宋体"/>
          <w:i/>
          <w:iCs/>
          <w:sz w:val="24"/>
          <w:szCs w:val="24"/>
          <w:lang w:val="en-US" w:eastAsia="zh-CN"/>
        </w:rPr>
        <w:t>Circulation</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137</w:t>
      </w:r>
      <w:r w:rsidRPr="009232CD">
        <w:rPr>
          <w:rFonts w:ascii="Book Antiqua" w:eastAsia="宋体" w:hAnsi="Book Antiqua" w:cs="宋体"/>
          <w:sz w:val="24"/>
          <w:szCs w:val="24"/>
          <w:lang w:val="en-US" w:eastAsia="zh-CN"/>
        </w:rPr>
        <w:t>: e523-e557 [PMID: 29472380 DOI: 10.1161/CIR.0000000000000564]</w:t>
      </w:r>
    </w:p>
    <w:p w14:paraId="4CCC8280" w14:textId="7C3C93F5"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14 </w:t>
      </w:r>
      <w:r w:rsidRPr="009232CD">
        <w:rPr>
          <w:rFonts w:ascii="Book Antiqua" w:eastAsia="宋体" w:hAnsi="Book Antiqua" w:cs="宋体"/>
          <w:b/>
          <w:bCs/>
          <w:sz w:val="24"/>
          <w:szCs w:val="24"/>
          <w:lang w:val="en-US" w:eastAsia="zh-CN"/>
        </w:rPr>
        <w:t>Montone RA</w:t>
      </w:r>
      <w:r w:rsidRPr="009232CD">
        <w:rPr>
          <w:rFonts w:ascii="Book Antiqua" w:eastAsia="宋体" w:hAnsi="Book Antiqua" w:cs="宋体"/>
          <w:sz w:val="24"/>
          <w:szCs w:val="24"/>
          <w:lang w:val="en-US" w:eastAsia="zh-CN"/>
        </w:rPr>
        <w:t xml:space="preserve">, Niccoli G, Fracassi F, Russo M, Gurgoglione F, Cammà G, Lanza GA, Crea F. Patients with acute myocardial infarction and non-obstructive coronary arteries: safety and prognostic relevance of invasive coronary provocative tests.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39</w:t>
      </w:r>
      <w:r w:rsidRPr="009232CD">
        <w:rPr>
          <w:rFonts w:ascii="Book Antiqua" w:eastAsia="宋体" w:hAnsi="Book Antiqua" w:cs="宋体"/>
          <w:sz w:val="24"/>
          <w:szCs w:val="24"/>
          <w:lang w:val="en-US" w:eastAsia="zh-CN"/>
        </w:rPr>
        <w:t>: 91-98 [PMID: 29228159 DOI: 10.1093/eurheartj/ehx667]</w:t>
      </w:r>
    </w:p>
    <w:p w14:paraId="5CB7531F" w14:textId="3B050A0D"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15 </w:t>
      </w:r>
      <w:r w:rsidRPr="009232CD">
        <w:rPr>
          <w:rFonts w:ascii="Book Antiqua" w:eastAsia="宋体" w:hAnsi="Book Antiqua" w:cs="宋体"/>
          <w:b/>
          <w:bCs/>
          <w:sz w:val="24"/>
          <w:szCs w:val="24"/>
          <w:lang w:val="en-US" w:eastAsia="zh-CN"/>
        </w:rPr>
        <w:t>Taqueti VR</w:t>
      </w:r>
      <w:r w:rsidRPr="009232CD">
        <w:rPr>
          <w:rFonts w:ascii="Book Antiqua" w:eastAsia="宋体" w:hAnsi="Book Antiqua" w:cs="宋体"/>
          <w:sz w:val="24"/>
          <w:szCs w:val="24"/>
          <w:lang w:val="en-US" w:eastAsia="zh-CN"/>
        </w:rPr>
        <w:t xml:space="preserve">, Di Carli MF. Coronary Microvascular Disease Pathogenic Mechanisms and Therapeutic Options: JACC State-of-the-Art Review. </w:t>
      </w:r>
      <w:r w:rsidRPr="009232CD">
        <w:rPr>
          <w:rFonts w:ascii="Book Antiqua" w:eastAsia="宋体" w:hAnsi="Book Antiqua" w:cs="宋体"/>
          <w:i/>
          <w:iCs/>
          <w:sz w:val="24"/>
          <w:szCs w:val="24"/>
          <w:lang w:val="en-US" w:eastAsia="zh-CN"/>
        </w:rPr>
        <w:t>J Am Coll Cardiol</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72</w:t>
      </w:r>
      <w:r w:rsidRPr="009232CD">
        <w:rPr>
          <w:rFonts w:ascii="Book Antiqua" w:eastAsia="宋体" w:hAnsi="Book Antiqua" w:cs="宋体"/>
          <w:sz w:val="24"/>
          <w:szCs w:val="24"/>
          <w:lang w:val="en-US" w:eastAsia="zh-CN"/>
        </w:rPr>
        <w:t>: 2625-2641 [PMID: 30466521 DOI: 10.1016/j.jacc.2018.09.042]</w:t>
      </w:r>
    </w:p>
    <w:p w14:paraId="7FFCB84E" w14:textId="4B5F6BDD"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16 </w:t>
      </w:r>
      <w:r w:rsidRPr="009232CD">
        <w:rPr>
          <w:rFonts w:ascii="Book Antiqua" w:eastAsia="宋体" w:hAnsi="Book Antiqua" w:cs="宋体"/>
          <w:b/>
          <w:bCs/>
          <w:sz w:val="24"/>
          <w:szCs w:val="24"/>
          <w:lang w:val="en-US" w:eastAsia="zh-CN"/>
        </w:rPr>
        <w:t>Ong P</w:t>
      </w:r>
      <w:r w:rsidRPr="009232CD">
        <w:rPr>
          <w:rFonts w:ascii="Book Antiqua" w:eastAsia="宋体" w:hAnsi="Book Antiqua" w:cs="宋体"/>
          <w:sz w:val="24"/>
          <w:szCs w:val="24"/>
          <w:lang w:val="en-US" w:eastAsia="zh-CN"/>
        </w:rPr>
        <w:t xml:space="preserve">, Camici PG, Beltrame JF, Crea F, Shimokawa H, Sechtem U, Kaski JC, Bairey Merz CN; Coronary Vasomotion Disorders International Study Group (COVADIS). International standardization of diagnostic criteria for microvascular angina. </w:t>
      </w:r>
      <w:r w:rsidRPr="009232CD">
        <w:rPr>
          <w:rFonts w:ascii="Book Antiqua" w:eastAsia="宋体" w:hAnsi="Book Antiqua" w:cs="宋体"/>
          <w:i/>
          <w:iCs/>
          <w:sz w:val="24"/>
          <w:szCs w:val="24"/>
          <w:lang w:val="en-US" w:eastAsia="zh-CN"/>
        </w:rPr>
        <w:t>Int J Cardiol</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250</w:t>
      </w:r>
      <w:r w:rsidRPr="009232CD">
        <w:rPr>
          <w:rFonts w:ascii="Book Antiqua" w:eastAsia="宋体" w:hAnsi="Book Antiqua" w:cs="宋体"/>
          <w:sz w:val="24"/>
          <w:szCs w:val="24"/>
          <w:lang w:val="en-US" w:eastAsia="zh-CN"/>
        </w:rPr>
        <w:t>: 16-20 [PMID: 29031990 DOI: 10.1016/j.ijcard.2017.08.068]</w:t>
      </w:r>
    </w:p>
    <w:p w14:paraId="1D3785B2" w14:textId="26B9E0A4"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lastRenderedPageBreak/>
        <w:t xml:space="preserve">17 </w:t>
      </w:r>
      <w:r w:rsidRPr="009232CD">
        <w:rPr>
          <w:rFonts w:ascii="Book Antiqua" w:eastAsia="宋体" w:hAnsi="Book Antiqua" w:cs="宋体"/>
          <w:b/>
          <w:bCs/>
          <w:sz w:val="24"/>
          <w:szCs w:val="24"/>
          <w:lang w:val="en-US" w:eastAsia="zh-CN"/>
        </w:rPr>
        <w:t>Prasad A</w:t>
      </w:r>
      <w:r w:rsidRPr="009232CD">
        <w:rPr>
          <w:rFonts w:ascii="Book Antiqua" w:eastAsia="宋体" w:hAnsi="Book Antiqua" w:cs="宋体"/>
          <w:sz w:val="24"/>
          <w:szCs w:val="24"/>
          <w:lang w:val="en-US" w:eastAsia="zh-CN"/>
        </w:rPr>
        <w:t xml:space="preserve">, Lerman A, Rihal CS. Apical ballooning syndrome (Tako-Tsubo or stress cardiomyopathy): a mimic of acute myocardial infarction. </w:t>
      </w:r>
      <w:r w:rsidRPr="009232CD">
        <w:rPr>
          <w:rFonts w:ascii="Book Antiqua" w:eastAsia="宋体" w:hAnsi="Book Antiqua" w:cs="宋体"/>
          <w:i/>
          <w:iCs/>
          <w:sz w:val="24"/>
          <w:szCs w:val="24"/>
          <w:lang w:val="en-US" w:eastAsia="zh-CN"/>
        </w:rPr>
        <w:t>Am Heart J</w:t>
      </w:r>
      <w:r w:rsidRPr="009232CD">
        <w:rPr>
          <w:rFonts w:ascii="Book Antiqua" w:eastAsia="宋体" w:hAnsi="Book Antiqua" w:cs="宋体"/>
          <w:sz w:val="24"/>
          <w:szCs w:val="24"/>
          <w:lang w:val="en-US" w:eastAsia="zh-CN"/>
        </w:rPr>
        <w:t xml:space="preserve"> 2008; </w:t>
      </w:r>
      <w:r w:rsidRPr="009232CD">
        <w:rPr>
          <w:rFonts w:ascii="Book Antiqua" w:eastAsia="宋体" w:hAnsi="Book Antiqua" w:cs="宋体"/>
          <w:b/>
          <w:bCs/>
          <w:sz w:val="24"/>
          <w:szCs w:val="24"/>
          <w:lang w:val="en-US" w:eastAsia="zh-CN"/>
        </w:rPr>
        <w:t>155</w:t>
      </w:r>
      <w:r w:rsidRPr="009232CD">
        <w:rPr>
          <w:rFonts w:ascii="Book Antiqua" w:eastAsia="宋体" w:hAnsi="Book Antiqua" w:cs="宋体"/>
          <w:sz w:val="24"/>
          <w:szCs w:val="24"/>
          <w:lang w:val="en-US" w:eastAsia="zh-CN"/>
        </w:rPr>
        <w:t>: 408-417 [PMID: 18294473 DOI: 10.1016/j.ahj.2007.11.008]</w:t>
      </w:r>
    </w:p>
    <w:p w14:paraId="7610ACCA" w14:textId="43EBC7DF"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18 </w:t>
      </w:r>
      <w:r w:rsidRPr="009232CD">
        <w:rPr>
          <w:rFonts w:ascii="Book Antiqua" w:eastAsia="宋体" w:hAnsi="Book Antiqua" w:cs="宋体"/>
          <w:b/>
          <w:bCs/>
          <w:sz w:val="24"/>
          <w:szCs w:val="24"/>
          <w:lang w:val="en-US" w:eastAsia="zh-CN"/>
        </w:rPr>
        <w:t>Sachdev E</w:t>
      </w:r>
      <w:r w:rsidRPr="009232CD">
        <w:rPr>
          <w:rFonts w:ascii="Book Antiqua" w:eastAsia="宋体" w:hAnsi="Book Antiqua" w:cs="宋体"/>
          <w:sz w:val="24"/>
          <w:szCs w:val="24"/>
          <w:lang w:val="en-US" w:eastAsia="zh-CN"/>
        </w:rPr>
        <w:t xml:space="preserve">, Bairey Merz CN, Mehta PK. Takotsubo Cardiomyopathy. </w:t>
      </w:r>
      <w:r w:rsidRPr="009232CD">
        <w:rPr>
          <w:rFonts w:ascii="Book Antiqua" w:eastAsia="宋体" w:hAnsi="Book Antiqua" w:cs="宋体"/>
          <w:i/>
          <w:iCs/>
          <w:sz w:val="24"/>
          <w:szCs w:val="24"/>
          <w:lang w:val="en-US" w:eastAsia="zh-CN"/>
        </w:rPr>
        <w:t>Eur Cardiol</w:t>
      </w:r>
      <w:r w:rsidRPr="009232CD">
        <w:rPr>
          <w:rFonts w:ascii="Book Antiqua" w:eastAsia="宋体" w:hAnsi="Book Antiqua" w:cs="宋体"/>
          <w:sz w:val="24"/>
          <w:szCs w:val="24"/>
          <w:lang w:val="en-US" w:eastAsia="zh-CN"/>
        </w:rPr>
        <w:t xml:space="preserve"> 2015; </w:t>
      </w:r>
      <w:r w:rsidRPr="009232CD">
        <w:rPr>
          <w:rFonts w:ascii="Book Antiqua" w:eastAsia="宋体" w:hAnsi="Book Antiqua" w:cs="宋体"/>
          <w:b/>
          <w:bCs/>
          <w:sz w:val="24"/>
          <w:szCs w:val="24"/>
          <w:lang w:val="en-US" w:eastAsia="zh-CN"/>
        </w:rPr>
        <w:t>10</w:t>
      </w:r>
      <w:r w:rsidRPr="009232CD">
        <w:rPr>
          <w:rFonts w:ascii="Book Antiqua" w:eastAsia="宋体" w:hAnsi="Book Antiqua" w:cs="宋体"/>
          <w:sz w:val="24"/>
          <w:szCs w:val="24"/>
          <w:lang w:val="en-US" w:eastAsia="zh-CN"/>
        </w:rPr>
        <w:t>: 25-30 [PMID: 30310419 DOI: 10.15420/ecr.2015.10.01.25]</w:t>
      </w:r>
    </w:p>
    <w:p w14:paraId="78C1CB3F" w14:textId="475F9D1D"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19 </w:t>
      </w:r>
      <w:r w:rsidRPr="009232CD">
        <w:rPr>
          <w:rFonts w:ascii="Book Antiqua" w:eastAsia="宋体" w:hAnsi="Book Antiqua" w:cs="宋体"/>
          <w:b/>
          <w:bCs/>
          <w:sz w:val="24"/>
          <w:szCs w:val="24"/>
          <w:lang w:val="en-US" w:eastAsia="zh-CN"/>
        </w:rPr>
        <w:t>Ghadri JR</w:t>
      </w:r>
      <w:r w:rsidRPr="009232CD">
        <w:rPr>
          <w:rFonts w:ascii="Book Antiqua" w:eastAsia="宋体" w:hAnsi="Book Antiqua" w:cs="宋体"/>
          <w:sz w:val="24"/>
          <w:szCs w:val="24"/>
          <w:lang w:val="en-US" w:eastAsia="zh-CN"/>
        </w:rPr>
        <w:t xml:space="preserve">, Wittstein IS, Prasad A, Sharkey S, Dote K, Akashi YJ, Cammann VL, Crea F, Galiuto L, Desmet W, Yoshida T, Manfredini R, Eitel I, Kosuge M, Nef HM, Deshmukh A, Lerman A, Bossone E, Citro R, Ueyama T, Corrado D, Kurisu S, Ruschitzka F, Winchester D, Lyon AR, Omerovic E, Bax JJ, Meimoun P, Tarantini G, Rihal C, Y-Hassan S, Migliore F, Horowitz JD, Shimokawa H, Lüscher TF, Templin C. International Expert Consensus Document on Takotsubo Syndrome (Part I): Clinical Characteristics, Diagnostic Criteria, and Pathophysiology.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39</w:t>
      </w:r>
      <w:r w:rsidRPr="009232CD">
        <w:rPr>
          <w:rFonts w:ascii="Book Antiqua" w:eastAsia="宋体" w:hAnsi="Book Antiqua" w:cs="宋体"/>
          <w:sz w:val="24"/>
          <w:szCs w:val="24"/>
          <w:lang w:val="en-US" w:eastAsia="zh-CN"/>
        </w:rPr>
        <w:t>: 2032-2046 [PMID: 29850871 DOI: 10.1093/eurheartj/ehy076]</w:t>
      </w:r>
    </w:p>
    <w:p w14:paraId="3D9F387B" w14:textId="3A1B38FA"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20 </w:t>
      </w:r>
      <w:r w:rsidRPr="009232CD">
        <w:rPr>
          <w:rFonts w:ascii="Book Antiqua" w:eastAsia="宋体" w:hAnsi="Book Antiqua" w:cs="宋体"/>
          <w:b/>
          <w:bCs/>
          <w:sz w:val="24"/>
          <w:szCs w:val="24"/>
          <w:lang w:val="en-US" w:eastAsia="zh-CN"/>
        </w:rPr>
        <w:t>Galiuto L</w:t>
      </w:r>
      <w:r w:rsidRPr="009232CD">
        <w:rPr>
          <w:rFonts w:ascii="Book Antiqua" w:eastAsia="宋体" w:hAnsi="Book Antiqua" w:cs="宋体"/>
          <w:sz w:val="24"/>
          <w:szCs w:val="24"/>
          <w:lang w:val="en-US" w:eastAsia="zh-CN"/>
        </w:rPr>
        <w:t xml:space="preserve">, De Caterina AR, Porfidia A, Paraggio L, Barchetta S, Locorotondo G, Rebuzzi AG, Crea F. Reversible coronary microvascular dysfunction: a common pathogenetic mechanism in Apical Ballooning or Tako-Tsubo Syndrome.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2010; </w:t>
      </w:r>
      <w:r w:rsidRPr="009232CD">
        <w:rPr>
          <w:rFonts w:ascii="Book Antiqua" w:eastAsia="宋体" w:hAnsi="Book Antiqua" w:cs="宋体"/>
          <w:b/>
          <w:bCs/>
          <w:sz w:val="24"/>
          <w:szCs w:val="24"/>
          <w:lang w:val="en-US" w:eastAsia="zh-CN"/>
        </w:rPr>
        <w:t>31</w:t>
      </w:r>
      <w:r w:rsidRPr="009232CD">
        <w:rPr>
          <w:rFonts w:ascii="Book Antiqua" w:eastAsia="宋体" w:hAnsi="Book Antiqua" w:cs="宋体"/>
          <w:sz w:val="24"/>
          <w:szCs w:val="24"/>
          <w:lang w:val="en-US" w:eastAsia="zh-CN"/>
        </w:rPr>
        <w:t>: 1319-1327 [PMID: 20215125 DOI: 10.1093/eurheartj/ehq039]</w:t>
      </w:r>
    </w:p>
    <w:p w14:paraId="2046A59F" w14:textId="4165A7AF"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21 </w:t>
      </w:r>
      <w:r w:rsidRPr="009232CD">
        <w:rPr>
          <w:rFonts w:ascii="Book Antiqua" w:eastAsia="宋体" w:hAnsi="Book Antiqua" w:cs="宋体"/>
          <w:b/>
          <w:bCs/>
          <w:sz w:val="24"/>
          <w:szCs w:val="24"/>
          <w:lang w:val="en-US" w:eastAsia="zh-CN"/>
        </w:rPr>
        <w:t>Plácido R</w:t>
      </w:r>
      <w:r w:rsidRPr="009232CD">
        <w:rPr>
          <w:rFonts w:ascii="Book Antiqua" w:eastAsia="宋体" w:hAnsi="Book Antiqua" w:cs="宋体"/>
          <w:sz w:val="24"/>
          <w:szCs w:val="24"/>
          <w:lang w:val="en-US" w:eastAsia="zh-CN"/>
        </w:rPr>
        <w:t xml:space="preserve">, Cunha Lopes B, Almeida AG, Rochitte CE. The role of cardiovascular magnetic resonance in takotsubo syndrome. </w:t>
      </w:r>
      <w:r w:rsidRPr="009232CD">
        <w:rPr>
          <w:rFonts w:ascii="Book Antiqua" w:eastAsia="宋体" w:hAnsi="Book Antiqua" w:cs="宋体"/>
          <w:i/>
          <w:iCs/>
          <w:sz w:val="24"/>
          <w:szCs w:val="24"/>
          <w:lang w:val="en-US" w:eastAsia="zh-CN"/>
        </w:rPr>
        <w:t>J Cardiovasc Magn Reson</w:t>
      </w:r>
      <w:r w:rsidRPr="009232CD">
        <w:rPr>
          <w:rFonts w:ascii="Book Antiqua" w:eastAsia="宋体" w:hAnsi="Book Antiqua" w:cs="宋体"/>
          <w:sz w:val="24"/>
          <w:szCs w:val="24"/>
          <w:lang w:val="en-US" w:eastAsia="zh-CN"/>
        </w:rPr>
        <w:t xml:space="preserve"> 2016; </w:t>
      </w:r>
      <w:r w:rsidRPr="009232CD">
        <w:rPr>
          <w:rFonts w:ascii="Book Antiqua" w:eastAsia="宋体" w:hAnsi="Book Antiqua" w:cs="宋体"/>
          <w:b/>
          <w:bCs/>
          <w:sz w:val="24"/>
          <w:szCs w:val="24"/>
          <w:lang w:val="en-US" w:eastAsia="zh-CN"/>
        </w:rPr>
        <w:t>18</w:t>
      </w:r>
      <w:r w:rsidRPr="009232CD">
        <w:rPr>
          <w:rFonts w:ascii="Book Antiqua" w:eastAsia="宋体" w:hAnsi="Book Antiqua" w:cs="宋体"/>
          <w:sz w:val="24"/>
          <w:szCs w:val="24"/>
          <w:lang w:val="en-US" w:eastAsia="zh-CN"/>
        </w:rPr>
        <w:t>: 68 [PMID: 27729054 DOI: 10.1186/s12968-016-0279-5]</w:t>
      </w:r>
    </w:p>
    <w:p w14:paraId="514C7D8E" w14:textId="73DECEBF"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22 </w:t>
      </w:r>
      <w:r w:rsidRPr="009232CD">
        <w:rPr>
          <w:rFonts w:ascii="Book Antiqua" w:eastAsia="宋体" w:hAnsi="Book Antiqua" w:cs="宋体"/>
          <w:b/>
          <w:bCs/>
          <w:sz w:val="24"/>
          <w:szCs w:val="24"/>
          <w:lang w:val="en-US" w:eastAsia="zh-CN"/>
        </w:rPr>
        <w:t>Ghadri JR</w:t>
      </w:r>
      <w:r w:rsidRPr="009232CD">
        <w:rPr>
          <w:rFonts w:ascii="Book Antiqua" w:eastAsia="宋体" w:hAnsi="Book Antiqua" w:cs="宋体"/>
          <w:sz w:val="24"/>
          <w:szCs w:val="24"/>
          <w:lang w:val="en-US" w:eastAsia="zh-CN"/>
        </w:rPr>
        <w:t xml:space="preserve">, Wittstein IS, Prasad A, Sharkey S, Dote K, Akashi YJ, Cammann VL, Crea F, Galiuto L, Desmet W, Yoshida T, Manfredini R, Eitel I, Kosuge M, Nef HM, Deshmukh A, Lerman A, Bossone E, Citro R, Ueyama T, Corrado D, Kurisu S, Ruschitzka F, Winchester D, Lyon AR, Omerovic E, Bax JJ, Meimoun P, Tarantini G, Rihal C, Y-Hassan S, Migliore F, Horowitz JD, Shimokawa H, Lüscher TF, Templin C. International Expert Consensus Document on Takotsubo Syndrome (Part II): Diagnostic Workup, Outcome, and Management. </w:t>
      </w:r>
      <w:r w:rsidRPr="009232CD">
        <w:rPr>
          <w:rFonts w:ascii="Book Antiqua" w:eastAsia="宋体" w:hAnsi="Book Antiqua" w:cs="宋体"/>
          <w:i/>
          <w:iCs/>
          <w:sz w:val="24"/>
          <w:szCs w:val="24"/>
          <w:lang w:val="en-US" w:eastAsia="zh-CN"/>
        </w:rPr>
        <w:t>Eur Heart J</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39</w:t>
      </w:r>
      <w:r w:rsidRPr="009232CD">
        <w:rPr>
          <w:rFonts w:ascii="Book Antiqua" w:eastAsia="宋体" w:hAnsi="Book Antiqua" w:cs="宋体"/>
          <w:sz w:val="24"/>
          <w:szCs w:val="24"/>
          <w:lang w:val="en-US" w:eastAsia="zh-CN"/>
        </w:rPr>
        <w:t>: 2047-2062 [PMID: 29850820 DOI: 10.1093/eurheartj/ehy077]</w:t>
      </w:r>
    </w:p>
    <w:p w14:paraId="7E79A4A5" w14:textId="45AE5DFD"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lastRenderedPageBreak/>
        <w:t xml:space="preserve">23 </w:t>
      </w:r>
      <w:r w:rsidRPr="009232CD">
        <w:rPr>
          <w:rFonts w:ascii="Book Antiqua" w:eastAsia="宋体" w:hAnsi="Book Antiqua" w:cs="宋体"/>
          <w:b/>
          <w:bCs/>
          <w:sz w:val="24"/>
          <w:szCs w:val="24"/>
          <w:lang w:val="en-US" w:eastAsia="zh-CN"/>
        </w:rPr>
        <w:t>Ghadri JR</w:t>
      </w:r>
      <w:r w:rsidRPr="009232CD">
        <w:rPr>
          <w:rFonts w:ascii="Book Antiqua" w:eastAsia="宋体" w:hAnsi="Book Antiqua" w:cs="宋体"/>
          <w:sz w:val="24"/>
          <w:szCs w:val="24"/>
          <w:lang w:val="en-US" w:eastAsia="zh-CN"/>
        </w:rPr>
        <w:t xml:space="preserve">, Kato K, Cammann VL, Gili S, Jurisic S, Di Vece D, Candreva A, Ding KJ, Micek J, Szawan KA, Bacchi B, Bianchi R, Levinson RA, Wischnewsky M, Seifert B, Schlossbauer SA, Citro R, Bossone E, Münzel T, Knorr M, Heiner S, D'Ascenzo F, Franke J, Sarcon A, Napp LC, Jaguszewski M, Noutsias M, Katus HA, Burgdorf C, Schunkert H, Thiele H, Bauersachs J, Tschöpe C, Pieske BM, Rajan L, Michels G, Pfister R, Cuneo A, Jacobshagen C, Hasenfuß G, Karakas M, Koenig W, Rottbauer W, Said SM, Braun-Dullaeus RC, Banning A, Cuculi F, Kobza R, Fischer TA, Vasankari T, Airaksinen KEJ, Opolski G, Dworakowski R, MacCarthy P, Kaiser C, Osswald S, Galiuto L, Crea F, Dichtl W, Empen K, Felix SB, Delmas C, Lairez O, El-Battrawy I, Akin I, Borggrefe M, Horowitz J, Kozel M, Tousek P, Widimský P, Gilyarova E, Shilova A, Gilyarov M, Winchester DE, Ukena C, Bax JJ, Prasad A, Böhm M, Lüscher TF, Ruschitzka F, Templin C. Long-Term Prognosis of Patients With Takotsubo Syndrome. </w:t>
      </w:r>
      <w:r w:rsidRPr="009232CD">
        <w:rPr>
          <w:rFonts w:ascii="Book Antiqua" w:eastAsia="宋体" w:hAnsi="Book Antiqua" w:cs="宋体"/>
          <w:i/>
          <w:iCs/>
          <w:sz w:val="24"/>
          <w:szCs w:val="24"/>
          <w:lang w:val="en-US" w:eastAsia="zh-CN"/>
        </w:rPr>
        <w:t>J Am Coll Cardiol</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72</w:t>
      </w:r>
      <w:r w:rsidRPr="009232CD">
        <w:rPr>
          <w:rFonts w:ascii="Book Antiqua" w:eastAsia="宋体" w:hAnsi="Book Antiqua" w:cs="宋体"/>
          <w:sz w:val="24"/>
          <w:szCs w:val="24"/>
          <w:lang w:val="en-US" w:eastAsia="zh-CN"/>
        </w:rPr>
        <w:t>: 874-882 [PMID: 30115226 DOI: 10.1016/j.jacc.2018.06.016]</w:t>
      </w:r>
    </w:p>
    <w:p w14:paraId="1BAE5C02" w14:textId="4D587C44"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24 </w:t>
      </w:r>
      <w:r w:rsidRPr="009232CD">
        <w:rPr>
          <w:rFonts w:ascii="Book Antiqua" w:eastAsia="宋体" w:hAnsi="Book Antiqua" w:cs="宋体"/>
          <w:b/>
          <w:bCs/>
          <w:sz w:val="24"/>
          <w:szCs w:val="24"/>
          <w:lang w:val="en-US" w:eastAsia="zh-CN"/>
        </w:rPr>
        <w:t>Tornvall P</w:t>
      </w:r>
      <w:r w:rsidRPr="009232CD">
        <w:rPr>
          <w:rFonts w:ascii="Book Antiqua" w:eastAsia="宋体" w:hAnsi="Book Antiqua" w:cs="宋体"/>
          <w:sz w:val="24"/>
          <w:szCs w:val="24"/>
          <w:lang w:val="en-US" w:eastAsia="zh-CN"/>
        </w:rPr>
        <w:t xml:space="preserve">, Gerbaud E, Behaghel A, Chopard R, Collste O, Laraudogoitia E, Leurent G, Meneveau N, Montaudon M, Perez-David E, Sörensson P, Agewall S. Myocarditis or "true" infarction by cardiac magnetic resonance in patients with a clinical diagnosis of myocardial infarction without obstructive coronary disease: A meta-analysis of individual patient data. </w:t>
      </w:r>
      <w:r w:rsidRPr="009232CD">
        <w:rPr>
          <w:rFonts w:ascii="Book Antiqua" w:eastAsia="宋体" w:hAnsi="Book Antiqua" w:cs="宋体"/>
          <w:i/>
          <w:iCs/>
          <w:sz w:val="24"/>
          <w:szCs w:val="24"/>
          <w:lang w:val="en-US" w:eastAsia="zh-CN"/>
        </w:rPr>
        <w:t>Atherosclerosis</w:t>
      </w:r>
      <w:r w:rsidRPr="009232CD">
        <w:rPr>
          <w:rFonts w:ascii="Book Antiqua" w:eastAsia="宋体" w:hAnsi="Book Antiqua" w:cs="宋体"/>
          <w:sz w:val="24"/>
          <w:szCs w:val="24"/>
          <w:lang w:val="en-US" w:eastAsia="zh-CN"/>
        </w:rPr>
        <w:t xml:space="preserve"> 2015; </w:t>
      </w:r>
      <w:r w:rsidRPr="009232CD">
        <w:rPr>
          <w:rFonts w:ascii="Book Antiqua" w:eastAsia="宋体" w:hAnsi="Book Antiqua" w:cs="宋体"/>
          <w:b/>
          <w:bCs/>
          <w:sz w:val="24"/>
          <w:szCs w:val="24"/>
          <w:lang w:val="en-US" w:eastAsia="zh-CN"/>
        </w:rPr>
        <w:t>241</w:t>
      </w:r>
      <w:r w:rsidRPr="009232CD">
        <w:rPr>
          <w:rFonts w:ascii="Book Antiqua" w:eastAsia="宋体" w:hAnsi="Book Antiqua" w:cs="宋体"/>
          <w:sz w:val="24"/>
          <w:szCs w:val="24"/>
          <w:lang w:val="en-US" w:eastAsia="zh-CN"/>
        </w:rPr>
        <w:t>: 87-91 [PMID: 25967935 DOI: 10.1016/j.atherosclerosis.2015.04.816]</w:t>
      </w:r>
    </w:p>
    <w:p w14:paraId="0B0C7B31" w14:textId="56A40FDF"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25 </w:t>
      </w:r>
      <w:r w:rsidRPr="009232CD">
        <w:rPr>
          <w:rFonts w:ascii="Book Antiqua" w:eastAsia="宋体" w:hAnsi="Book Antiqua" w:cs="宋体"/>
          <w:b/>
          <w:bCs/>
          <w:sz w:val="24"/>
          <w:szCs w:val="24"/>
          <w:lang w:val="en-US" w:eastAsia="zh-CN"/>
        </w:rPr>
        <w:t>Maron BJ</w:t>
      </w:r>
      <w:r w:rsidRPr="009232CD">
        <w:rPr>
          <w:rFonts w:ascii="Book Antiqua" w:eastAsia="宋体" w:hAnsi="Book Antiqua" w:cs="宋体"/>
          <w:sz w:val="24"/>
          <w:szCs w:val="24"/>
          <w:lang w:val="en-US" w:eastAsia="zh-CN"/>
        </w:rPr>
        <w:t xml:space="preserve">, Udelson JE, Bonow RO, Nishimura RA, Ackerman MJ, Estes NA 3rd, Cooper LT Jr, Link MS, Maron MS; American Heart Association Electrocardiography and Arrhythmias Committee of Council on Clinical Cardiology, Council on Cardiovascular Disease in Young, Council on Cardiovascular and Stroke Nursing, Council on Functional Genomics and Translational Biology, and American College of Cardiology. Eligibility and Disqualification Recommendations for Competitive Athletes With Cardiovascular Abnormalities: Task Force 3: Hypertrophic Cardiomyopathy, Arrhythmogenic Right Ventricular Cardiomyopathy and Other Cardiomyopathies, and Myocarditis: </w:t>
      </w:r>
      <w:r w:rsidRPr="009232CD">
        <w:rPr>
          <w:rFonts w:ascii="Book Antiqua" w:eastAsia="宋体" w:hAnsi="Book Antiqua" w:cs="宋体"/>
          <w:sz w:val="24"/>
          <w:szCs w:val="24"/>
          <w:lang w:val="en-US" w:eastAsia="zh-CN"/>
        </w:rPr>
        <w:lastRenderedPageBreak/>
        <w:t xml:space="preserve">A Scientific Statement From the American Heart Association and American College of Cardiology. </w:t>
      </w:r>
      <w:r w:rsidRPr="009232CD">
        <w:rPr>
          <w:rFonts w:ascii="Book Antiqua" w:eastAsia="宋体" w:hAnsi="Book Antiqua" w:cs="宋体"/>
          <w:i/>
          <w:iCs/>
          <w:sz w:val="24"/>
          <w:szCs w:val="24"/>
          <w:lang w:val="en-US" w:eastAsia="zh-CN"/>
        </w:rPr>
        <w:t>Circulation</w:t>
      </w:r>
      <w:r w:rsidRPr="009232CD">
        <w:rPr>
          <w:rFonts w:ascii="Book Antiqua" w:eastAsia="宋体" w:hAnsi="Book Antiqua" w:cs="宋体"/>
          <w:sz w:val="24"/>
          <w:szCs w:val="24"/>
          <w:lang w:val="en-US" w:eastAsia="zh-CN"/>
        </w:rPr>
        <w:t xml:space="preserve"> 2015; </w:t>
      </w:r>
      <w:r w:rsidRPr="009232CD">
        <w:rPr>
          <w:rFonts w:ascii="Book Antiqua" w:eastAsia="宋体" w:hAnsi="Book Antiqua" w:cs="宋体"/>
          <w:b/>
          <w:bCs/>
          <w:sz w:val="24"/>
          <w:szCs w:val="24"/>
          <w:lang w:val="en-US" w:eastAsia="zh-CN"/>
        </w:rPr>
        <w:t>132</w:t>
      </w:r>
      <w:r w:rsidRPr="009232CD">
        <w:rPr>
          <w:rFonts w:ascii="Book Antiqua" w:eastAsia="宋体" w:hAnsi="Book Antiqua" w:cs="宋体"/>
          <w:sz w:val="24"/>
          <w:szCs w:val="24"/>
          <w:lang w:val="en-US" w:eastAsia="zh-CN"/>
        </w:rPr>
        <w:t>: e273-e280 [PMID: 26621644 DOI: 10.1161/CIR.0000000000000239]</w:t>
      </w:r>
    </w:p>
    <w:p w14:paraId="78DEBEB2" w14:textId="77777777"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26 </w:t>
      </w:r>
      <w:r w:rsidRPr="009232CD">
        <w:rPr>
          <w:rFonts w:ascii="Book Antiqua" w:eastAsia="宋体" w:hAnsi="Book Antiqua" w:cs="宋体"/>
          <w:b/>
          <w:bCs/>
          <w:sz w:val="24"/>
          <w:szCs w:val="24"/>
          <w:lang w:val="en-US" w:eastAsia="zh-CN"/>
        </w:rPr>
        <w:t>Aquaro GD</w:t>
      </w:r>
      <w:r w:rsidRPr="009232CD">
        <w:rPr>
          <w:rFonts w:ascii="Book Antiqua" w:eastAsia="宋体" w:hAnsi="Book Antiqua" w:cs="宋体"/>
          <w:sz w:val="24"/>
          <w:szCs w:val="24"/>
          <w:lang w:val="en-US" w:eastAsia="zh-CN"/>
        </w:rPr>
        <w:t xml:space="preserve">, Perfetti M, Camastra G, Monti L, Dellegrottaglie S, Moro C, Pepe A, Todiere G, Lanzillo C, Scatteia A, Di Roma M, Pontone G, Perazzolo Marra M, Barison A, Di Bella G; Cardiac Magnetic Resonance Working Group of the Italian Society of Cardiology. Cardiac MR With Late Gadolinium Enhancement in Acute Myocarditis With Preserved Systolic Function: ITAMY Study. </w:t>
      </w:r>
      <w:r w:rsidRPr="009232CD">
        <w:rPr>
          <w:rFonts w:ascii="Book Antiqua" w:eastAsia="宋体" w:hAnsi="Book Antiqua" w:cs="宋体"/>
          <w:i/>
          <w:iCs/>
          <w:sz w:val="24"/>
          <w:szCs w:val="24"/>
          <w:lang w:val="en-US" w:eastAsia="zh-CN"/>
        </w:rPr>
        <w:t>J Am Coll Cardiol</w:t>
      </w:r>
      <w:r w:rsidRPr="009232CD">
        <w:rPr>
          <w:rFonts w:ascii="Book Antiqua" w:eastAsia="宋体" w:hAnsi="Book Antiqua" w:cs="宋体"/>
          <w:sz w:val="24"/>
          <w:szCs w:val="24"/>
          <w:lang w:val="en-US" w:eastAsia="zh-CN"/>
        </w:rPr>
        <w:t xml:space="preserve"> 2017; </w:t>
      </w:r>
      <w:r w:rsidRPr="009232CD">
        <w:rPr>
          <w:rFonts w:ascii="Book Antiqua" w:eastAsia="宋体" w:hAnsi="Book Antiqua" w:cs="宋体"/>
          <w:b/>
          <w:bCs/>
          <w:sz w:val="24"/>
          <w:szCs w:val="24"/>
          <w:lang w:val="en-US" w:eastAsia="zh-CN"/>
        </w:rPr>
        <w:t>70</w:t>
      </w:r>
      <w:r w:rsidRPr="009232CD">
        <w:rPr>
          <w:rFonts w:ascii="Book Antiqua" w:eastAsia="宋体" w:hAnsi="Book Antiqua" w:cs="宋体"/>
          <w:sz w:val="24"/>
          <w:szCs w:val="24"/>
          <w:lang w:val="en-US" w:eastAsia="zh-CN"/>
        </w:rPr>
        <w:t>: 1977-1987 [PMID: 29025554 DOI: 10.1016/j.jacc.2017.08.044]</w:t>
      </w:r>
    </w:p>
    <w:p w14:paraId="14469FD6" w14:textId="6F01CFAD"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27 </w:t>
      </w:r>
      <w:r w:rsidRPr="009232CD">
        <w:rPr>
          <w:rFonts w:ascii="Book Antiqua" w:eastAsia="宋体" w:hAnsi="Book Antiqua" w:cs="宋体"/>
          <w:b/>
          <w:bCs/>
          <w:sz w:val="24"/>
          <w:szCs w:val="24"/>
          <w:lang w:val="en-US" w:eastAsia="zh-CN"/>
        </w:rPr>
        <w:t>Shibata T</w:t>
      </w:r>
      <w:r w:rsidRPr="009232CD">
        <w:rPr>
          <w:rFonts w:ascii="Book Antiqua" w:eastAsia="宋体" w:hAnsi="Book Antiqua" w:cs="宋体"/>
          <w:sz w:val="24"/>
          <w:szCs w:val="24"/>
          <w:lang w:val="en-US" w:eastAsia="zh-CN"/>
        </w:rPr>
        <w:t xml:space="preserve">, Kawakami S, Noguchi T, Tanaka T, Asaumi Y, Kanaya T, Nagai T, Nakao K, Fujino M, Nagatsuka K, Ishibashi-Ueda H, Nishimura K, Miyamoto Y, Kusano K, Anzai T, Goto Y, Ogawa H, Yasuda S. Prevalence, Clinical Features, and Prognosis of Acute Myocardial Infarction Attributable to Coronary Artery Embolism. </w:t>
      </w:r>
      <w:r w:rsidRPr="009232CD">
        <w:rPr>
          <w:rFonts w:ascii="Book Antiqua" w:eastAsia="宋体" w:hAnsi="Book Antiqua" w:cs="宋体"/>
          <w:i/>
          <w:iCs/>
          <w:sz w:val="24"/>
          <w:szCs w:val="24"/>
          <w:lang w:val="en-US" w:eastAsia="zh-CN"/>
        </w:rPr>
        <w:t>Circulation</w:t>
      </w:r>
      <w:r w:rsidRPr="009232CD">
        <w:rPr>
          <w:rFonts w:ascii="Book Antiqua" w:eastAsia="宋体" w:hAnsi="Book Antiqua" w:cs="宋体"/>
          <w:sz w:val="24"/>
          <w:szCs w:val="24"/>
          <w:lang w:val="en-US" w:eastAsia="zh-CN"/>
        </w:rPr>
        <w:t xml:space="preserve"> 2015; </w:t>
      </w:r>
      <w:r w:rsidRPr="009232CD">
        <w:rPr>
          <w:rFonts w:ascii="Book Antiqua" w:eastAsia="宋体" w:hAnsi="Book Antiqua" w:cs="宋体"/>
          <w:b/>
          <w:bCs/>
          <w:sz w:val="24"/>
          <w:szCs w:val="24"/>
          <w:lang w:val="en-US" w:eastAsia="zh-CN"/>
        </w:rPr>
        <w:t>132</w:t>
      </w:r>
      <w:r w:rsidRPr="009232CD">
        <w:rPr>
          <w:rFonts w:ascii="Book Antiqua" w:eastAsia="宋体" w:hAnsi="Book Antiqua" w:cs="宋体"/>
          <w:sz w:val="24"/>
          <w:szCs w:val="24"/>
          <w:lang w:val="en-US" w:eastAsia="zh-CN"/>
        </w:rPr>
        <w:t>: 241-250 [PMID: 26216084 DOI: 10.1161/CIRCULATIONAHA.114.015134]</w:t>
      </w:r>
    </w:p>
    <w:p w14:paraId="746EA13E" w14:textId="33890EBE"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28 </w:t>
      </w:r>
      <w:r w:rsidRPr="009232CD">
        <w:rPr>
          <w:rFonts w:ascii="Book Antiqua" w:eastAsia="宋体" w:hAnsi="Book Antiqua" w:cs="宋体"/>
          <w:b/>
          <w:bCs/>
          <w:sz w:val="24"/>
          <w:szCs w:val="24"/>
          <w:lang w:val="en-US" w:eastAsia="zh-CN"/>
        </w:rPr>
        <w:t>Reynolds HR</w:t>
      </w:r>
      <w:r w:rsidRPr="009232CD">
        <w:rPr>
          <w:rFonts w:ascii="Book Antiqua" w:eastAsia="宋体" w:hAnsi="Book Antiqua" w:cs="宋体"/>
          <w:sz w:val="24"/>
          <w:szCs w:val="24"/>
          <w:lang w:val="en-US" w:eastAsia="zh-CN"/>
        </w:rPr>
        <w:t xml:space="preserve">, Srichai MB, Iqbal SN, Slater JN, Mancini GB, Feit F, Pena-Sing I, Axel L, Attubato MJ, Yatskar L, Kalhorn RT, Wood DA, Lobach IV, Hochman JS. Mechanisms of myocardial infarction in women without angiographically obstructive coronary artery disease. </w:t>
      </w:r>
      <w:r w:rsidRPr="009232CD">
        <w:rPr>
          <w:rFonts w:ascii="Book Antiqua" w:eastAsia="宋体" w:hAnsi="Book Antiqua" w:cs="宋体"/>
          <w:i/>
          <w:iCs/>
          <w:sz w:val="24"/>
          <w:szCs w:val="24"/>
          <w:lang w:val="en-US" w:eastAsia="zh-CN"/>
        </w:rPr>
        <w:t>Circulation</w:t>
      </w:r>
      <w:r w:rsidRPr="009232CD">
        <w:rPr>
          <w:rFonts w:ascii="Book Antiqua" w:eastAsia="宋体" w:hAnsi="Book Antiqua" w:cs="宋体"/>
          <w:sz w:val="24"/>
          <w:szCs w:val="24"/>
          <w:lang w:val="en-US" w:eastAsia="zh-CN"/>
        </w:rPr>
        <w:t xml:space="preserve"> 2011; </w:t>
      </w:r>
      <w:r w:rsidRPr="009232CD">
        <w:rPr>
          <w:rFonts w:ascii="Book Antiqua" w:eastAsia="宋体" w:hAnsi="Book Antiqua" w:cs="宋体"/>
          <w:b/>
          <w:bCs/>
          <w:sz w:val="24"/>
          <w:szCs w:val="24"/>
          <w:lang w:val="en-US" w:eastAsia="zh-CN"/>
        </w:rPr>
        <w:t>124</w:t>
      </w:r>
      <w:r w:rsidRPr="009232CD">
        <w:rPr>
          <w:rFonts w:ascii="Book Antiqua" w:eastAsia="宋体" w:hAnsi="Book Antiqua" w:cs="宋体"/>
          <w:sz w:val="24"/>
          <w:szCs w:val="24"/>
          <w:lang w:val="en-US" w:eastAsia="zh-CN"/>
        </w:rPr>
        <w:t>: 1414-1425 [PMID: 21900087 DOI: 10.1161/CIRCULATIONAHA.111.026542]</w:t>
      </w:r>
    </w:p>
    <w:p w14:paraId="532CB2D2" w14:textId="2C076245"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29 </w:t>
      </w:r>
      <w:r w:rsidRPr="009232CD">
        <w:rPr>
          <w:rFonts w:ascii="Book Antiqua" w:eastAsia="宋体" w:hAnsi="Book Antiqua" w:cs="宋体"/>
          <w:b/>
          <w:bCs/>
          <w:sz w:val="24"/>
          <w:szCs w:val="24"/>
          <w:lang w:val="en-US" w:eastAsia="zh-CN"/>
        </w:rPr>
        <w:t>Nordenskjöld AM</w:t>
      </w:r>
      <w:r w:rsidRPr="009232CD">
        <w:rPr>
          <w:rFonts w:ascii="Book Antiqua" w:eastAsia="宋体" w:hAnsi="Book Antiqua" w:cs="宋体"/>
          <w:sz w:val="24"/>
          <w:szCs w:val="24"/>
          <w:lang w:val="en-US" w:eastAsia="zh-CN"/>
        </w:rPr>
        <w:t xml:space="preserve">, Baron T, Eggers KM, Jernberg T, Lindahl B. Predictors of adverse outcome in patients with myocardial infarction with non-obstructive coronary artery (MINOCA) disease. </w:t>
      </w:r>
      <w:r w:rsidRPr="009232CD">
        <w:rPr>
          <w:rFonts w:ascii="Book Antiqua" w:eastAsia="宋体" w:hAnsi="Book Antiqua" w:cs="宋体"/>
          <w:i/>
          <w:iCs/>
          <w:sz w:val="24"/>
          <w:szCs w:val="24"/>
          <w:lang w:val="en-US" w:eastAsia="zh-CN"/>
        </w:rPr>
        <w:t>Int J Cardiol</w:t>
      </w:r>
      <w:r w:rsidRPr="009232CD">
        <w:rPr>
          <w:rFonts w:ascii="Book Antiqua" w:eastAsia="宋体" w:hAnsi="Book Antiqua" w:cs="宋体"/>
          <w:sz w:val="24"/>
          <w:szCs w:val="24"/>
          <w:lang w:val="en-US" w:eastAsia="zh-CN"/>
        </w:rPr>
        <w:t xml:space="preserve"> 2018; </w:t>
      </w:r>
      <w:r w:rsidRPr="009232CD">
        <w:rPr>
          <w:rFonts w:ascii="Book Antiqua" w:eastAsia="宋体" w:hAnsi="Book Antiqua" w:cs="宋体"/>
          <w:b/>
          <w:bCs/>
          <w:sz w:val="24"/>
          <w:szCs w:val="24"/>
          <w:lang w:val="en-US" w:eastAsia="zh-CN"/>
        </w:rPr>
        <w:t>261</w:t>
      </w:r>
      <w:r w:rsidRPr="009232CD">
        <w:rPr>
          <w:rFonts w:ascii="Book Antiqua" w:eastAsia="宋体" w:hAnsi="Book Antiqua" w:cs="宋体"/>
          <w:sz w:val="24"/>
          <w:szCs w:val="24"/>
          <w:lang w:val="en-US" w:eastAsia="zh-CN"/>
        </w:rPr>
        <w:t>: 18-23 [PMID: 29563017 DOI: 10.1016/j.ijcard.2018.03.056]</w:t>
      </w:r>
    </w:p>
    <w:p w14:paraId="74D50052" w14:textId="3251C357"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30 </w:t>
      </w:r>
      <w:r w:rsidRPr="009232CD">
        <w:rPr>
          <w:rFonts w:ascii="Book Antiqua" w:eastAsia="宋体" w:hAnsi="Book Antiqua" w:cs="宋体"/>
          <w:b/>
          <w:bCs/>
          <w:sz w:val="24"/>
          <w:szCs w:val="24"/>
          <w:lang w:val="en-US" w:eastAsia="zh-CN"/>
        </w:rPr>
        <w:t>Nordenskjöld AM</w:t>
      </w:r>
      <w:r w:rsidRPr="009232CD">
        <w:rPr>
          <w:rFonts w:ascii="Book Antiqua" w:eastAsia="宋体" w:hAnsi="Book Antiqua" w:cs="宋体"/>
          <w:sz w:val="24"/>
          <w:szCs w:val="24"/>
          <w:lang w:val="en-US" w:eastAsia="zh-CN"/>
        </w:rPr>
        <w:t xml:space="preserve">, Lagerqvist B, Baron T, Jernberg T, Hadziosmanovic N, Reynolds HR, Tornvall P, Lindahl B. Reinfarction in Patients with Myocardial Infarction with Nonobstructive Coronary Arteries (MINOCA): Coronary Findings and Prognosis. </w:t>
      </w:r>
      <w:r w:rsidRPr="009232CD">
        <w:rPr>
          <w:rFonts w:ascii="Book Antiqua" w:eastAsia="宋体" w:hAnsi="Book Antiqua" w:cs="宋体"/>
          <w:i/>
          <w:iCs/>
          <w:sz w:val="24"/>
          <w:szCs w:val="24"/>
          <w:lang w:val="en-US" w:eastAsia="zh-CN"/>
        </w:rPr>
        <w:t>Am J Med</w:t>
      </w:r>
      <w:r w:rsidRPr="009232CD">
        <w:rPr>
          <w:rFonts w:ascii="Book Antiqua" w:eastAsia="宋体" w:hAnsi="Book Antiqua" w:cs="宋体"/>
          <w:sz w:val="24"/>
          <w:szCs w:val="24"/>
          <w:lang w:val="en-US" w:eastAsia="zh-CN"/>
        </w:rPr>
        <w:t xml:space="preserve"> 2019; </w:t>
      </w:r>
      <w:r w:rsidRPr="009232CD">
        <w:rPr>
          <w:rFonts w:ascii="Book Antiqua" w:eastAsia="宋体" w:hAnsi="Book Antiqua" w:cs="宋体"/>
          <w:b/>
          <w:bCs/>
          <w:sz w:val="24"/>
          <w:szCs w:val="24"/>
          <w:lang w:val="en-US" w:eastAsia="zh-CN"/>
        </w:rPr>
        <w:t>132</w:t>
      </w:r>
      <w:r w:rsidRPr="009232CD">
        <w:rPr>
          <w:rFonts w:ascii="Book Antiqua" w:eastAsia="宋体" w:hAnsi="Book Antiqua" w:cs="宋体"/>
          <w:sz w:val="24"/>
          <w:szCs w:val="24"/>
          <w:lang w:val="en-US" w:eastAsia="zh-CN"/>
        </w:rPr>
        <w:t>: 335-346 [PMID: 30367850 DOI: 10.1016/j.amjmed.2018.10.007]</w:t>
      </w:r>
    </w:p>
    <w:p w14:paraId="2A7A486B" w14:textId="05BFA505"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lastRenderedPageBreak/>
        <w:t xml:space="preserve">31 </w:t>
      </w:r>
      <w:r w:rsidRPr="009232CD">
        <w:rPr>
          <w:rFonts w:ascii="Book Antiqua" w:eastAsia="宋体" w:hAnsi="Book Antiqua" w:cs="宋体"/>
          <w:b/>
          <w:bCs/>
          <w:sz w:val="24"/>
          <w:szCs w:val="24"/>
          <w:lang w:val="en-US" w:eastAsia="zh-CN"/>
        </w:rPr>
        <w:t>Abdu FA</w:t>
      </w:r>
      <w:r w:rsidRPr="009232CD">
        <w:rPr>
          <w:rFonts w:ascii="Book Antiqua" w:eastAsia="宋体" w:hAnsi="Book Antiqua" w:cs="宋体"/>
          <w:sz w:val="24"/>
          <w:szCs w:val="24"/>
          <w:lang w:val="en-US" w:eastAsia="zh-CN"/>
        </w:rPr>
        <w:t>, Liu L, Mohammed AQ, Luo Y, Xu S, Auckle R, Xu Y, Che W. Myocardial infarction with non-obstructive coronary arteries (MINOCA) in Chinese patients: Clinical features, treatment and 1</w:t>
      </w:r>
      <w:r w:rsidRPr="009232CD">
        <w:rPr>
          <w:rFonts w:ascii="Times New Roman" w:eastAsia="宋体" w:hAnsi="Times New Roman" w:cs="Times New Roman"/>
          <w:sz w:val="24"/>
          <w:szCs w:val="24"/>
          <w:lang w:val="en-US" w:eastAsia="zh-CN"/>
        </w:rPr>
        <w:t> </w:t>
      </w:r>
      <w:r w:rsidRPr="009232CD">
        <w:rPr>
          <w:rFonts w:ascii="Book Antiqua" w:eastAsia="宋体" w:hAnsi="Book Antiqua" w:cs="宋体"/>
          <w:sz w:val="24"/>
          <w:szCs w:val="24"/>
          <w:lang w:val="en-US" w:eastAsia="zh-CN"/>
        </w:rPr>
        <w:t xml:space="preserve">year follow-up. </w:t>
      </w:r>
      <w:r w:rsidRPr="009232CD">
        <w:rPr>
          <w:rFonts w:ascii="Book Antiqua" w:eastAsia="宋体" w:hAnsi="Book Antiqua" w:cs="宋体"/>
          <w:i/>
          <w:iCs/>
          <w:sz w:val="24"/>
          <w:szCs w:val="24"/>
          <w:lang w:val="en-US" w:eastAsia="zh-CN"/>
        </w:rPr>
        <w:t>Int J Cardiol</w:t>
      </w:r>
      <w:r w:rsidRPr="009232CD">
        <w:rPr>
          <w:rFonts w:ascii="Book Antiqua" w:eastAsia="宋体" w:hAnsi="Book Antiqua" w:cs="宋体"/>
          <w:sz w:val="24"/>
          <w:szCs w:val="24"/>
          <w:lang w:val="en-US" w:eastAsia="zh-CN"/>
        </w:rPr>
        <w:t xml:space="preserve"> 2019; </w:t>
      </w:r>
      <w:r w:rsidRPr="009232CD">
        <w:rPr>
          <w:rFonts w:ascii="Book Antiqua" w:eastAsia="宋体" w:hAnsi="Book Antiqua" w:cs="宋体"/>
          <w:b/>
          <w:bCs/>
          <w:sz w:val="24"/>
          <w:szCs w:val="24"/>
          <w:lang w:val="en-US" w:eastAsia="zh-CN"/>
        </w:rPr>
        <w:t>287</w:t>
      </w:r>
      <w:r w:rsidRPr="009232CD">
        <w:rPr>
          <w:rFonts w:ascii="Book Antiqua" w:eastAsia="宋体" w:hAnsi="Book Antiqua" w:cs="宋体"/>
          <w:sz w:val="24"/>
          <w:szCs w:val="24"/>
          <w:lang w:val="en-US" w:eastAsia="zh-CN"/>
        </w:rPr>
        <w:t>: 27-31 [PMID: 30826195 DOI: 10.1016/j.ijcard.2019.02.036]</w:t>
      </w:r>
    </w:p>
    <w:p w14:paraId="303909D0" w14:textId="242A5E13" w:rsidR="009232CD" w:rsidRPr="009232CD" w:rsidRDefault="009232CD" w:rsidP="009232CD">
      <w:pPr>
        <w:adjustRightInd w:val="0"/>
        <w:snapToGrid w:val="0"/>
        <w:spacing w:after="0" w:line="360" w:lineRule="auto"/>
        <w:jc w:val="both"/>
        <w:rPr>
          <w:rFonts w:ascii="Book Antiqua" w:eastAsia="宋体" w:hAnsi="Book Antiqua" w:cs="宋体"/>
          <w:sz w:val="24"/>
          <w:szCs w:val="24"/>
          <w:lang w:val="en-US" w:eastAsia="zh-CN"/>
        </w:rPr>
      </w:pPr>
      <w:r w:rsidRPr="009232CD">
        <w:rPr>
          <w:rFonts w:ascii="Book Antiqua" w:eastAsia="宋体" w:hAnsi="Book Antiqua" w:cs="宋体"/>
          <w:sz w:val="24"/>
          <w:szCs w:val="24"/>
          <w:lang w:val="en-US" w:eastAsia="zh-CN"/>
        </w:rPr>
        <w:t xml:space="preserve">32 </w:t>
      </w:r>
      <w:r w:rsidRPr="009232CD">
        <w:rPr>
          <w:rFonts w:ascii="Book Antiqua" w:eastAsia="宋体" w:hAnsi="Book Antiqua" w:cs="宋体"/>
          <w:b/>
          <w:bCs/>
          <w:sz w:val="24"/>
          <w:szCs w:val="24"/>
          <w:lang w:val="en-US" w:eastAsia="zh-CN"/>
        </w:rPr>
        <w:t>Ghanem AM</w:t>
      </w:r>
      <w:r w:rsidRPr="009232CD">
        <w:rPr>
          <w:rFonts w:ascii="Book Antiqua" w:eastAsia="宋体" w:hAnsi="Book Antiqua" w:cs="宋体"/>
          <w:sz w:val="24"/>
          <w:szCs w:val="24"/>
          <w:lang w:val="en-US" w:eastAsia="zh-CN"/>
        </w:rPr>
        <w:t xml:space="preserve">, Hamimi AH, Matta JR, Carass A, Elgarf RM, Gharib AM, Abd-Elmoniem KZ. Automatic Coronary Wall and Atherosclerotic Plaque Segmentation from 3D Coronary CT Angiography. </w:t>
      </w:r>
      <w:r w:rsidRPr="009232CD">
        <w:rPr>
          <w:rFonts w:ascii="Book Antiqua" w:eastAsia="宋体" w:hAnsi="Book Antiqua" w:cs="宋体"/>
          <w:i/>
          <w:iCs/>
          <w:sz w:val="24"/>
          <w:szCs w:val="24"/>
          <w:lang w:val="en-US" w:eastAsia="zh-CN"/>
        </w:rPr>
        <w:t>Sci Rep</w:t>
      </w:r>
      <w:r w:rsidRPr="009232CD">
        <w:rPr>
          <w:rFonts w:ascii="Book Antiqua" w:eastAsia="宋体" w:hAnsi="Book Antiqua" w:cs="宋体"/>
          <w:sz w:val="24"/>
          <w:szCs w:val="24"/>
          <w:lang w:val="en-US" w:eastAsia="zh-CN"/>
        </w:rPr>
        <w:t xml:space="preserve"> 2019; </w:t>
      </w:r>
      <w:r w:rsidRPr="009232CD">
        <w:rPr>
          <w:rFonts w:ascii="Book Antiqua" w:eastAsia="宋体" w:hAnsi="Book Antiqua" w:cs="宋体"/>
          <w:b/>
          <w:bCs/>
          <w:sz w:val="24"/>
          <w:szCs w:val="24"/>
          <w:lang w:val="en-US" w:eastAsia="zh-CN"/>
        </w:rPr>
        <w:t>9</w:t>
      </w:r>
      <w:r w:rsidRPr="009232CD">
        <w:rPr>
          <w:rFonts w:ascii="Book Antiqua" w:eastAsia="宋体" w:hAnsi="Book Antiqua" w:cs="宋体"/>
          <w:sz w:val="24"/>
          <w:szCs w:val="24"/>
          <w:lang w:val="en-US" w:eastAsia="zh-CN"/>
        </w:rPr>
        <w:t>: 47 [PMID: 30631101 DOI: 10.1038/s41598-018-37168-4]</w:t>
      </w:r>
    </w:p>
    <w:p w14:paraId="104A3A1B" w14:textId="0AA3DB2E" w:rsidR="005A40A8" w:rsidRPr="00DD5245" w:rsidRDefault="005A40A8" w:rsidP="005A40A8">
      <w:pPr>
        <w:pStyle w:val="a4"/>
        <w:adjustRightInd w:val="0"/>
        <w:snapToGrid w:val="0"/>
        <w:spacing w:after="0" w:line="360" w:lineRule="auto"/>
        <w:ind w:left="0"/>
        <w:contextualSpacing w:val="0"/>
        <w:jc w:val="both"/>
        <w:rPr>
          <w:rFonts w:ascii="Book Antiqua" w:hAnsi="Book Antiqua"/>
          <w:b/>
          <w:noProof/>
          <w:sz w:val="24"/>
          <w:szCs w:val="24"/>
          <w:lang w:val="en-GB"/>
        </w:rPr>
      </w:pPr>
    </w:p>
    <w:p w14:paraId="2B602A1D" w14:textId="7719AF76" w:rsidR="005A40A8" w:rsidRPr="00DD5245" w:rsidRDefault="005A40A8" w:rsidP="005A40A8">
      <w:pPr>
        <w:wordWrap w:val="0"/>
        <w:snapToGrid w:val="0"/>
        <w:spacing w:after="0" w:line="360" w:lineRule="auto"/>
        <w:jc w:val="right"/>
        <w:rPr>
          <w:rFonts w:ascii="Book Antiqua" w:eastAsia="宋体" w:hAnsi="Book Antiqua" w:cs="Times New Roman"/>
          <w:b/>
          <w:bCs/>
          <w:sz w:val="24"/>
          <w:szCs w:val="24"/>
          <w:lang w:val="en-US" w:eastAsia="zh-CN"/>
        </w:rPr>
      </w:pPr>
      <w:bookmarkStart w:id="37" w:name="OLE_LINK148"/>
      <w:bookmarkStart w:id="38" w:name="OLE_LINK320"/>
      <w:bookmarkStart w:id="39" w:name="OLE_LINK387"/>
      <w:bookmarkStart w:id="40" w:name="OLE_LINK254"/>
      <w:bookmarkStart w:id="41" w:name="OLE_LINK149"/>
      <w:bookmarkStart w:id="42" w:name="OLE_LINK225"/>
      <w:bookmarkStart w:id="43" w:name="OLE_LINK207"/>
      <w:bookmarkStart w:id="44" w:name="OLE_LINK226"/>
      <w:bookmarkStart w:id="45" w:name="OLE_LINK212"/>
      <w:bookmarkStart w:id="46" w:name="OLE_LINK250"/>
      <w:bookmarkStart w:id="47" w:name="OLE_LINK281"/>
      <w:bookmarkStart w:id="48" w:name="OLE_LINK282"/>
      <w:bookmarkStart w:id="49" w:name="OLE_LINK313"/>
      <w:bookmarkStart w:id="50" w:name="OLE_LINK304"/>
      <w:bookmarkStart w:id="51" w:name="OLE_LINK321"/>
      <w:bookmarkStart w:id="52" w:name="OLE_LINK385"/>
      <w:bookmarkStart w:id="53" w:name="OLE_LINK400"/>
      <w:bookmarkStart w:id="54" w:name="OLE_LINK346"/>
      <w:bookmarkStart w:id="55" w:name="OLE_LINK371"/>
      <w:bookmarkStart w:id="56" w:name="OLE_LINK334"/>
      <w:bookmarkStart w:id="57" w:name="OLE_LINK1830"/>
      <w:bookmarkStart w:id="58" w:name="OLE_LINK457"/>
      <w:bookmarkStart w:id="59" w:name="OLE_LINK288"/>
      <w:bookmarkStart w:id="60" w:name="OLE_LINK384"/>
      <w:bookmarkStart w:id="61" w:name="OLE_LINK379"/>
      <w:bookmarkStart w:id="62" w:name="OLE_LINK303"/>
      <w:bookmarkStart w:id="63" w:name="OLE_LINK450"/>
      <w:bookmarkStart w:id="64" w:name="OLE_LINK489"/>
      <w:bookmarkStart w:id="65" w:name="OLE_LINK535"/>
      <w:bookmarkStart w:id="66" w:name="OLE_LINK648"/>
      <w:bookmarkStart w:id="67" w:name="OLE_LINK686"/>
      <w:bookmarkStart w:id="68" w:name="OLE_LINK471"/>
      <w:bookmarkStart w:id="69" w:name="OLE_LINK462"/>
      <w:bookmarkStart w:id="70" w:name="OLE_LINK519"/>
      <w:bookmarkStart w:id="71" w:name="OLE_LINK575"/>
      <w:bookmarkStart w:id="72" w:name="OLE_LINK491"/>
      <w:bookmarkStart w:id="73" w:name="OLE_LINK532"/>
      <w:bookmarkStart w:id="74" w:name="OLE_LINK572"/>
      <w:bookmarkStart w:id="75" w:name="OLE_LINK574"/>
      <w:bookmarkStart w:id="76" w:name="OLE_LINK480"/>
      <w:bookmarkStart w:id="77" w:name="OLE_LINK567"/>
      <w:bookmarkStart w:id="78" w:name="OLE_LINK2700"/>
      <w:bookmarkStart w:id="79" w:name="OLE_LINK581"/>
      <w:bookmarkStart w:id="80" w:name="OLE_LINK639"/>
      <w:bookmarkStart w:id="81" w:name="OLE_LINK688"/>
      <w:bookmarkStart w:id="82" w:name="OLE_LINK722"/>
      <w:bookmarkStart w:id="83" w:name="OLE_LINK542"/>
      <w:bookmarkStart w:id="84" w:name="OLE_LINK589"/>
      <w:bookmarkStart w:id="85" w:name="OLE_LINK582"/>
      <w:bookmarkStart w:id="86" w:name="OLE_LINK640"/>
      <w:bookmarkStart w:id="87" w:name="OLE_LINK714"/>
      <w:bookmarkStart w:id="88" w:name="OLE_LINK593"/>
      <w:bookmarkStart w:id="89" w:name="OLE_LINK716"/>
      <w:bookmarkStart w:id="90" w:name="OLE_LINK770"/>
      <w:bookmarkStart w:id="91" w:name="OLE_LINK801"/>
      <w:bookmarkStart w:id="92" w:name="OLE_LINK660"/>
      <w:bookmarkStart w:id="93" w:name="OLE_LINK781"/>
      <w:bookmarkStart w:id="94" w:name="OLE_LINK833"/>
      <w:bookmarkStart w:id="95" w:name="OLE_LINK642"/>
      <w:bookmarkStart w:id="96" w:name="OLE_LINK700"/>
      <w:bookmarkStart w:id="97" w:name="OLE_LINK792"/>
      <w:bookmarkStart w:id="98" w:name="OLE_LINK2882"/>
      <w:bookmarkStart w:id="99" w:name="OLE_LINK836"/>
      <w:bookmarkStart w:id="100" w:name="OLE_LINK889"/>
      <w:bookmarkStart w:id="101" w:name="OLE_LINK782"/>
      <w:bookmarkStart w:id="102" w:name="OLE_LINK826"/>
      <w:bookmarkStart w:id="103" w:name="OLE_LINK865"/>
      <w:bookmarkStart w:id="104" w:name="OLE_LINK856"/>
      <w:bookmarkStart w:id="105" w:name="OLE_LINK908"/>
      <w:bookmarkStart w:id="106" w:name="OLE_LINK980"/>
      <w:bookmarkStart w:id="107" w:name="OLE_LINK1018"/>
      <w:bookmarkStart w:id="108" w:name="OLE_LINK1049"/>
      <w:bookmarkStart w:id="109" w:name="OLE_LINK1076"/>
      <w:bookmarkStart w:id="110" w:name="OLE_LINK1106"/>
      <w:bookmarkStart w:id="111" w:name="OLE_LINK891"/>
      <w:bookmarkStart w:id="112" w:name="OLE_LINK943"/>
      <w:bookmarkStart w:id="113" w:name="OLE_LINK981"/>
      <w:bookmarkStart w:id="114" w:name="OLE_LINK1030"/>
      <w:bookmarkStart w:id="115" w:name="OLE_LINK847"/>
      <w:bookmarkStart w:id="116" w:name="OLE_LINK909"/>
      <w:bookmarkStart w:id="117" w:name="OLE_LINK906"/>
      <w:bookmarkStart w:id="118" w:name="OLE_LINK992"/>
      <w:bookmarkStart w:id="119" w:name="OLE_LINK993"/>
      <w:bookmarkStart w:id="120" w:name="OLE_LINK1052"/>
      <w:bookmarkStart w:id="121" w:name="OLE_LINK946"/>
      <w:bookmarkStart w:id="122" w:name="OLE_LINK911"/>
      <w:bookmarkStart w:id="123" w:name="OLE_LINK930"/>
      <w:bookmarkStart w:id="124" w:name="OLE_LINK1059"/>
      <w:bookmarkStart w:id="125" w:name="OLE_LINK1174"/>
      <w:bookmarkStart w:id="126" w:name="OLE_LINK1137"/>
      <w:bookmarkStart w:id="127" w:name="OLE_LINK1167"/>
      <w:bookmarkStart w:id="128" w:name="OLE_LINK1200"/>
      <w:bookmarkStart w:id="129" w:name="OLE_LINK1241"/>
      <w:bookmarkStart w:id="130" w:name="OLE_LINK1288"/>
      <w:bookmarkStart w:id="131" w:name="OLE_LINK1056"/>
      <w:bookmarkStart w:id="132" w:name="OLE_LINK1158"/>
      <w:bookmarkStart w:id="133" w:name="OLE_LINK1175"/>
      <w:bookmarkStart w:id="134" w:name="OLE_LINK1074"/>
      <w:bookmarkStart w:id="135" w:name="OLE_LINK1169"/>
      <w:bookmarkStart w:id="136" w:name="OLE_LINK386"/>
      <w:bookmarkStart w:id="137" w:name="OLE_LINK33"/>
      <w:bookmarkStart w:id="138" w:name="OLE_LINK34"/>
      <w:bookmarkStart w:id="139" w:name="OLE_LINK599"/>
      <w:bookmarkStart w:id="140" w:name="OLE_LINK87"/>
      <w:r w:rsidRPr="00DD5245">
        <w:rPr>
          <w:rFonts w:ascii="Book Antiqua" w:eastAsia="宋体" w:hAnsi="Book Antiqua" w:cs="Times New Roman"/>
          <w:b/>
          <w:bCs/>
          <w:sz w:val="24"/>
          <w:szCs w:val="24"/>
          <w:lang w:val="en-US" w:eastAsia="zh-CN"/>
        </w:rPr>
        <w:t>P-Reviewer:</w:t>
      </w:r>
      <w:r w:rsidRPr="00DD5245">
        <w:rPr>
          <w:rFonts w:ascii="Book Antiqua" w:eastAsia="宋体" w:hAnsi="Book Antiqua" w:cs="Times New Roman" w:hint="eastAsia"/>
          <w:b/>
          <w:bCs/>
          <w:sz w:val="24"/>
          <w:szCs w:val="24"/>
          <w:lang w:val="en-US" w:eastAsia="zh-CN"/>
        </w:rPr>
        <w:t xml:space="preserve"> </w:t>
      </w:r>
      <w:r w:rsidRPr="00DD5245">
        <w:rPr>
          <w:rFonts w:ascii="Book Antiqua" w:eastAsia="宋体" w:hAnsi="Book Antiqua" w:cs="Times New Roman"/>
          <w:bCs/>
          <w:sz w:val="24"/>
          <w:szCs w:val="24"/>
          <w:lang w:val="en-US" w:eastAsia="zh-CN"/>
        </w:rPr>
        <w:t>L</w:t>
      </w:r>
      <w:r w:rsidRPr="00DD5245">
        <w:rPr>
          <w:rFonts w:ascii="Book Antiqua" w:eastAsia="宋体" w:hAnsi="Book Antiqua" w:cs="Times New Roman" w:hint="eastAsia"/>
          <w:bCs/>
          <w:sz w:val="24"/>
          <w:szCs w:val="24"/>
          <w:lang w:val="en-US" w:eastAsia="zh-CN"/>
        </w:rPr>
        <w:t>i</w:t>
      </w:r>
      <w:r w:rsidRPr="00DD5245">
        <w:rPr>
          <w:rFonts w:ascii="Book Antiqua" w:eastAsia="宋体" w:hAnsi="Book Antiqua" w:cs="Times New Roman"/>
          <w:bCs/>
          <w:sz w:val="24"/>
          <w:szCs w:val="24"/>
          <w:lang w:val="en-US" w:eastAsia="zh-CN"/>
        </w:rPr>
        <w:t xml:space="preserve"> JJ, Lin GM, Petix NR</w:t>
      </w:r>
    </w:p>
    <w:p w14:paraId="233C664A" w14:textId="541EDEF3" w:rsidR="005A40A8" w:rsidRPr="00DD5245" w:rsidRDefault="005A40A8" w:rsidP="00DD308A">
      <w:pPr>
        <w:wordWrap w:val="0"/>
        <w:snapToGrid w:val="0"/>
        <w:spacing w:after="0" w:line="360" w:lineRule="auto"/>
        <w:jc w:val="right"/>
        <w:rPr>
          <w:rFonts w:ascii="Book Antiqua" w:eastAsia="宋体" w:hAnsi="Book Antiqua" w:cs="Times New Roman"/>
          <w:sz w:val="24"/>
          <w:szCs w:val="24"/>
          <w:lang w:val="en-US" w:eastAsia="zh-CN"/>
        </w:rPr>
      </w:pPr>
      <w:r w:rsidRPr="00DD5245">
        <w:rPr>
          <w:rFonts w:ascii="Book Antiqua" w:eastAsia="宋体" w:hAnsi="Book Antiqua" w:cs="Times New Roman"/>
          <w:b/>
          <w:bCs/>
          <w:sz w:val="24"/>
          <w:szCs w:val="24"/>
          <w:lang w:val="en-US" w:eastAsia="zh-CN"/>
        </w:rPr>
        <w:t>S-Editor:</w:t>
      </w:r>
      <w:r w:rsidRPr="00DD5245">
        <w:rPr>
          <w:rFonts w:ascii="Book Antiqua" w:eastAsia="宋体" w:hAnsi="Book Antiqua" w:cs="Times New Roman" w:hint="eastAsia"/>
          <w:sz w:val="24"/>
          <w:szCs w:val="24"/>
          <w:lang w:val="en-US" w:eastAsia="zh-CN"/>
        </w:rPr>
        <w:t xml:space="preserve"> </w:t>
      </w:r>
      <w:r w:rsidRPr="00DD5245">
        <w:rPr>
          <w:rFonts w:ascii="Book Antiqua" w:eastAsia="宋体" w:hAnsi="Book Antiqua" w:cs="Times New Roman"/>
          <w:sz w:val="24"/>
          <w:szCs w:val="24"/>
          <w:lang w:val="en-US" w:eastAsia="zh-CN"/>
        </w:rPr>
        <w:t>T</w:t>
      </w:r>
      <w:r w:rsidRPr="00DD5245">
        <w:rPr>
          <w:rFonts w:ascii="Book Antiqua" w:eastAsia="宋体" w:hAnsi="Book Antiqua" w:cs="Times New Roman" w:hint="eastAsia"/>
          <w:sz w:val="24"/>
          <w:szCs w:val="24"/>
          <w:lang w:val="en-US" w:eastAsia="zh-CN"/>
        </w:rPr>
        <w:t>ang</w:t>
      </w:r>
      <w:r w:rsidRPr="00DD5245">
        <w:rPr>
          <w:rFonts w:ascii="Book Antiqua" w:eastAsia="宋体" w:hAnsi="Book Antiqua" w:cs="Times New Roman"/>
          <w:sz w:val="24"/>
          <w:szCs w:val="24"/>
          <w:lang w:val="en-US" w:eastAsia="zh-CN"/>
        </w:rPr>
        <w:t xml:space="preserve"> JZ</w:t>
      </w:r>
      <w:r w:rsidRPr="00DD5245">
        <w:rPr>
          <w:rFonts w:ascii="Book Antiqua" w:eastAsia="宋体" w:hAnsi="Book Antiqua" w:cs="Times New Roman" w:hint="eastAsia"/>
          <w:sz w:val="24"/>
          <w:szCs w:val="24"/>
          <w:lang w:val="en-US" w:eastAsia="zh-CN"/>
        </w:rPr>
        <w:t xml:space="preserve"> </w:t>
      </w:r>
      <w:r w:rsidRPr="00DD5245">
        <w:rPr>
          <w:rFonts w:ascii="Book Antiqua" w:eastAsia="宋体" w:hAnsi="Book Antiqua" w:cs="Times New Roman"/>
          <w:b/>
          <w:bCs/>
          <w:sz w:val="24"/>
          <w:szCs w:val="24"/>
          <w:lang w:val="en-US" w:eastAsia="zh-CN"/>
        </w:rPr>
        <w:t>L-Editor:</w:t>
      </w:r>
      <w:r w:rsidRPr="00DD5245">
        <w:rPr>
          <w:rFonts w:ascii="Book Antiqua" w:eastAsia="宋体" w:hAnsi="Book Antiqua" w:cs="Times New Roman"/>
          <w:sz w:val="24"/>
          <w:szCs w:val="24"/>
          <w:lang w:val="en-US" w:eastAsia="zh-CN"/>
        </w:rPr>
        <w:t xml:space="preserve"> </w:t>
      </w:r>
      <w:bookmarkStart w:id="141" w:name="_GoBack"/>
      <w:bookmarkEnd w:id="141"/>
      <w:r w:rsidR="00DD308A" w:rsidRPr="00DD308A">
        <w:rPr>
          <w:rFonts w:ascii="Book Antiqua" w:eastAsia="宋体" w:hAnsi="Book Antiqua" w:cs="Times New Roman"/>
          <w:sz w:val="24"/>
          <w:szCs w:val="24"/>
          <w:lang w:val="en-US" w:eastAsia="zh-CN"/>
        </w:rPr>
        <w:t>A</w:t>
      </w:r>
      <w:r w:rsidR="00DD308A" w:rsidRPr="00DD308A">
        <w:rPr>
          <w:rFonts w:ascii="Book Antiqua" w:eastAsia="宋体" w:hAnsi="Book Antiqua" w:cs="Times New Roman" w:hint="eastAsia"/>
          <w:sz w:val="24"/>
          <w:szCs w:val="24"/>
          <w:lang w:val="en-US" w:eastAsia="zh-CN"/>
        </w:rPr>
        <w:t xml:space="preserve"> </w:t>
      </w:r>
      <w:r w:rsidRPr="00DD5245">
        <w:rPr>
          <w:rFonts w:ascii="Book Antiqua" w:eastAsia="宋体" w:hAnsi="Book Antiqua" w:cs="Times New Roman"/>
          <w:b/>
          <w:bCs/>
          <w:sz w:val="24"/>
          <w:szCs w:val="24"/>
          <w:lang w:val="en-US" w:eastAsia="zh-CN"/>
        </w:rPr>
        <w:t>E-Editor:</w:t>
      </w:r>
      <w:r w:rsidR="00DD308A">
        <w:rPr>
          <w:rFonts w:ascii="Book Antiqua" w:eastAsia="宋体" w:hAnsi="Book Antiqua" w:cs="Times New Roman" w:hint="eastAsia"/>
          <w:b/>
          <w:bCs/>
          <w:sz w:val="24"/>
          <w:szCs w:val="24"/>
          <w:lang w:val="en-US" w:eastAsia="zh-CN"/>
        </w:rPr>
        <w:t xml:space="preserve"> </w:t>
      </w:r>
      <w:r w:rsidR="00DD308A" w:rsidRPr="00DD308A">
        <w:rPr>
          <w:rFonts w:ascii="Book Antiqua" w:eastAsia="宋体" w:hAnsi="Book Antiqua" w:cs="Times New Roman"/>
          <w:bCs/>
          <w:sz w:val="24"/>
          <w:szCs w:val="24"/>
          <w:lang w:val="en-US" w:eastAsia="zh-CN"/>
        </w:rPr>
        <w:t>Zhang YL</w:t>
      </w:r>
    </w:p>
    <w:p w14:paraId="5F2CF0DC" w14:textId="02AEC512" w:rsidR="005A40A8" w:rsidRPr="00DD5245" w:rsidRDefault="005A40A8" w:rsidP="005A40A8">
      <w:pPr>
        <w:shd w:val="clear" w:color="auto" w:fill="FFFFFF"/>
        <w:snapToGrid w:val="0"/>
        <w:spacing w:after="0" w:line="360" w:lineRule="auto"/>
        <w:jc w:val="both"/>
        <w:rPr>
          <w:rFonts w:ascii="Book Antiqua" w:eastAsia="宋体" w:hAnsi="Book Antiqua" w:cs="Helvetica"/>
          <w:b/>
          <w:sz w:val="24"/>
          <w:szCs w:val="24"/>
          <w:lang w:val="en-US" w:eastAsia="zh-CN"/>
        </w:rPr>
      </w:pPr>
      <w:bookmarkStart w:id="142" w:name="OLE_LINK880"/>
      <w:bookmarkStart w:id="143" w:name="OLE_LINK881"/>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D5245">
        <w:rPr>
          <w:rFonts w:ascii="Book Antiqua" w:eastAsia="宋体" w:hAnsi="Book Antiqua" w:cs="Helvetica"/>
          <w:b/>
          <w:sz w:val="24"/>
          <w:szCs w:val="24"/>
          <w:lang w:val="en-US" w:eastAsia="zh-CN"/>
        </w:rPr>
        <w:t xml:space="preserve">Specialty type: </w:t>
      </w:r>
      <w:r w:rsidRPr="00DD5245">
        <w:rPr>
          <w:rFonts w:ascii="Book Antiqua" w:eastAsia="宋体" w:hAnsi="Book Antiqua" w:cs="Helvetica"/>
          <w:sz w:val="24"/>
          <w:szCs w:val="24"/>
          <w:lang w:val="en-US" w:eastAsia="zh-CN"/>
        </w:rPr>
        <w:t>Cardiac and cardiovascular systems</w:t>
      </w:r>
    </w:p>
    <w:p w14:paraId="5A2108CE" w14:textId="42715C19" w:rsidR="005A40A8" w:rsidRPr="00DD5245" w:rsidRDefault="005A40A8" w:rsidP="005A40A8">
      <w:pPr>
        <w:shd w:val="clear" w:color="auto" w:fill="FFFFFF"/>
        <w:snapToGrid w:val="0"/>
        <w:spacing w:after="0" w:line="360" w:lineRule="auto"/>
        <w:jc w:val="both"/>
        <w:rPr>
          <w:rFonts w:ascii="Book Antiqua" w:eastAsia="宋体" w:hAnsi="Book Antiqua" w:cs="Helvetica"/>
          <w:b/>
          <w:sz w:val="24"/>
          <w:szCs w:val="24"/>
          <w:lang w:val="en-US" w:eastAsia="zh-CN"/>
        </w:rPr>
      </w:pPr>
      <w:r w:rsidRPr="00DD5245">
        <w:rPr>
          <w:rFonts w:ascii="Book Antiqua" w:eastAsia="宋体" w:hAnsi="Book Antiqua" w:cs="Helvetica"/>
          <w:b/>
          <w:sz w:val="24"/>
          <w:szCs w:val="24"/>
          <w:lang w:val="en-US" w:eastAsia="zh-CN"/>
        </w:rPr>
        <w:t xml:space="preserve">Country of origin: </w:t>
      </w:r>
      <w:r w:rsidRPr="00DD5245">
        <w:rPr>
          <w:rFonts w:ascii="Book Antiqua" w:eastAsia="宋体" w:hAnsi="Book Antiqua" w:cs="Helvetica"/>
          <w:sz w:val="24"/>
          <w:szCs w:val="24"/>
          <w:lang w:val="en-US" w:eastAsia="zh-CN"/>
        </w:rPr>
        <w:t>Spain</w:t>
      </w:r>
    </w:p>
    <w:p w14:paraId="405B9B5B" w14:textId="77777777" w:rsidR="005A40A8" w:rsidRPr="00DD5245" w:rsidRDefault="005A40A8" w:rsidP="005A40A8">
      <w:pPr>
        <w:shd w:val="clear" w:color="auto" w:fill="FFFFFF"/>
        <w:snapToGrid w:val="0"/>
        <w:spacing w:after="0" w:line="360" w:lineRule="auto"/>
        <w:jc w:val="both"/>
        <w:rPr>
          <w:rFonts w:ascii="Book Antiqua" w:eastAsia="宋体" w:hAnsi="Book Antiqua" w:cs="Helvetica"/>
          <w:b/>
          <w:sz w:val="24"/>
          <w:szCs w:val="24"/>
          <w:lang w:val="en-US" w:eastAsia="zh-CN"/>
        </w:rPr>
      </w:pPr>
      <w:r w:rsidRPr="00DD5245">
        <w:rPr>
          <w:rFonts w:ascii="Book Antiqua" w:eastAsia="宋体" w:hAnsi="Book Antiqua" w:cs="Helvetica"/>
          <w:b/>
          <w:sz w:val="24"/>
          <w:szCs w:val="24"/>
          <w:lang w:val="en-US" w:eastAsia="zh-CN"/>
        </w:rPr>
        <w:t>Peer-review report classification</w:t>
      </w:r>
    </w:p>
    <w:p w14:paraId="1563C7B4" w14:textId="77777777" w:rsidR="005A40A8" w:rsidRPr="00DD5245" w:rsidRDefault="005A40A8" w:rsidP="005A40A8">
      <w:pPr>
        <w:shd w:val="clear" w:color="auto" w:fill="FFFFFF"/>
        <w:snapToGrid w:val="0"/>
        <w:spacing w:after="0" w:line="360" w:lineRule="auto"/>
        <w:jc w:val="both"/>
        <w:rPr>
          <w:rFonts w:ascii="Book Antiqua" w:eastAsia="宋体" w:hAnsi="Book Antiqua" w:cs="Helvetica"/>
          <w:sz w:val="24"/>
          <w:szCs w:val="24"/>
          <w:lang w:val="en-US" w:eastAsia="zh-CN"/>
        </w:rPr>
      </w:pPr>
      <w:r w:rsidRPr="00DD5245">
        <w:rPr>
          <w:rFonts w:ascii="Book Antiqua" w:eastAsia="宋体" w:hAnsi="Book Antiqua" w:cs="Helvetica"/>
          <w:sz w:val="24"/>
          <w:szCs w:val="24"/>
          <w:lang w:val="en-US" w:eastAsia="zh-CN"/>
        </w:rPr>
        <w:t xml:space="preserve">Grade A (Excellent): </w:t>
      </w:r>
      <w:r w:rsidRPr="00DD5245">
        <w:rPr>
          <w:rFonts w:ascii="Book Antiqua" w:eastAsia="宋体" w:hAnsi="Book Antiqua" w:cs="Helvetica" w:hint="eastAsia"/>
          <w:sz w:val="24"/>
          <w:szCs w:val="24"/>
          <w:lang w:val="en-US" w:eastAsia="zh-CN"/>
        </w:rPr>
        <w:t>0</w:t>
      </w:r>
    </w:p>
    <w:p w14:paraId="2FF10F78" w14:textId="66220A00" w:rsidR="005A40A8" w:rsidRPr="00DD5245" w:rsidRDefault="005A40A8" w:rsidP="005A40A8">
      <w:pPr>
        <w:shd w:val="clear" w:color="auto" w:fill="FFFFFF"/>
        <w:snapToGrid w:val="0"/>
        <w:spacing w:after="0" w:line="360" w:lineRule="auto"/>
        <w:jc w:val="both"/>
        <w:rPr>
          <w:rFonts w:ascii="Book Antiqua" w:eastAsia="宋体" w:hAnsi="Book Antiqua" w:cs="Helvetica"/>
          <w:sz w:val="24"/>
          <w:szCs w:val="24"/>
          <w:lang w:val="en-US" w:eastAsia="zh-CN"/>
        </w:rPr>
      </w:pPr>
      <w:r w:rsidRPr="00DD5245">
        <w:rPr>
          <w:rFonts w:ascii="Book Antiqua" w:eastAsia="宋体" w:hAnsi="Book Antiqua" w:cs="Helvetica"/>
          <w:sz w:val="24"/>
          <w:szCs w:val="24"/>
          <w:lang w:val="en-US" w:eastAsia="zh-CN"/>
        </w:rPr>
        <w:t>Grade B (Very good): 0</w:t>
      </w:r>
    </w:p>
    <w:p w14:paraId="4DEB4895" w14:textId="125F5F8E" w:rsidR="005A40A8" w:rsidRPr="00DD5245" w:rsidRDefault="005A40A8" w:rsidP="005A40A8">
      <w:pPr>
        <w:shd w:val="clear" w:color="auto" w:fill="FFFFFF"/>
        <w:snapToGrid w:val="0"/>
        <w:spacing w:after="0" w:line="360" w:lineRule="auto"/>
        <w:jc w:val="both"/>
        <w:rPr>
          <w:rFonts w:ascii="Book Antiqua" w:eastAsia="宋体" w:hAnsi="Book Antiqua" w:cs="Helvetica"/>
          <w:sz w:val="24"/>
          <w:szCs w:val="24"/>
          <w:lang w:val="en-US" w:eastAsia="zh-CN"/>
        </w:rPr>
      </w:pPr>
      <w:r w:rsidRPr="00DD5245">
        <w:rPr>
          <w:rFonts w:ascii="Book Antiqua" w:eastAsia="宋体" w:hAnsi="Book Antiqua" w:cs="Helvetica"/>
          <w:sz w:val="24"/>
          <w:szCs w:val="24"/>
          <w:lang w:val="en-US" w:eastAsia="zh-CN"/>
        </w:rPr>
        <w:t xml:space="preserve">Grade C (Good): </w:t>
      </w:r>
      <w:r w:rsidRPr="00DD5245">
        <w:rPr>
          <w:rFonts w:ascii="Book Antiqua" w:eastAsia="宋体" w:hAnsi="Book Antiqua" w:cs="Helvetica" w:hint="eastAsia"/>
          <w:sz w:val="24"/>
          <w:szCs w:val="24"/>
          <w:lang w:val="en-US" w:eastAsia="zh-CN"/>
        </w:rPr>
        <w:t>C, C</w:t>
      </w:r>
      <w:r w:rsidRPr="00DD5245">
        <w:rPr>
          <w:rFonts w:ascii="Book Antiqua" w:eastAsia="宋体" w:hAnsi="Book Antiqua" w:cs="Helvetica"/>
          <w:sz w:val="24"/>
          <w:szCs w:val="24"/>
          <w:lang w:val="en-US" w:eastAsia="zh-CN"/>
        </w:rPr>
        <w:t>, C</w:t>
      </w:r>
    </w:p>
    <w:p w14:paraId="564C5BBD" w14:textId="77777777" w:rsidR="005A40A8" w:rsidRPr="00DD5245" w:rsidRDefault="005A40A8" w:rsidP="005A40A8">
      <w:pPr>
        <w:shd w:val="clear" w:color="auto" w:fill="FFFFFF"/>
        <w:snapToGrid w:val="0"/>
        <w:spacing w:after="0" w:line="360" w:lineRule="auto"/>
        <w:jc w:val="both"/>
        <w:rPr>
          <w:rFonts w:ascii="Book Antiqua" w:eastAsia="宋体" w:hAnsi="Book Antiqua" w:cs="Helvetica"/>
          <w:sz w:val="24"/>
          <w:szCs w:val="24"/>
          <w:lang w:val="en-US" w:eastAsia="zh-CN"/>
        </w:rPr>
      </w:pPr>
      <w:r w:rsidRPr="00DD5245">
        <w:rPr>
          <w:rFonts w:ascii="Book Antiqua" w:eastAsia="宋体" w:hAnsi="Book Antiqua" w:cs="Helvetica"/>
          <w:sz w:val="24"/>
          <w:szCs w:val="24"/>
          <w:lang w:val="en-US" w:eastAsia="zh-CN"/>
        </w:rPr>
        <w:t xml:space="preserve">Grade D (Fair): </w:t>
      </w:r>
      <w:r w:rsidRPr="00DD5245">
        <w:rPr>
          <w:rFonts w:ascii="Book Antiqua" w:eastAsia="宋体" w:hAnsi="Book Antiqua" w:cs="Helvetica" w:hint="eastAsia"/>
          <w:sz w:val="24"/>
          <w:szCs w:val="24"/>
          <w:lang w:val="en-US" w:eastAsia="zh-CN"/>
        </w:rPr>
        <w:t>0</w:t>
      </w:r>
    </w:p>
    <w:p w14:paraId="4A6832CF" w14:textId="77777777" w:rsidR="005A40A8" w:rsidRPr="00DD5245" w:rsidRDefault="005A40A8" w:rsidP="005A40A8">
      <w:pPr>
        <w:snapToGrid w:val="0"/>
        <w:spacing w:after="0" w:line="360" w:lineRule="auto"/>
        <w:jc w:val="both"/>
        <w:rPr>
          <w:rFonts w:ascii="Book Antiqua" w:eastAsia="宋体" w:hAnsi="Book Antiqua" w:cs="Times New Roman"/>
          <w:b/>
          <w:iCs/>
          <w:sz w:val="24"/>
          <w:szCs w:val="24"/>
          <w:lang w:val="en-US" w:eastAsia="zh-CN"/>
        </w:rPr>
      </w:pPr>
      <w:r w:rsidRPr="00DD5245">
        <w:rPr>
          <w:rFonts w:ascii="Book Antiqua" w:eastAsia="宋体" w:hAnsi="Book Antiqua" w:cs="Helvetica"/>
          <w:sz w:val="24"/>
          <w:szCs w:val="24"/>
          <w:lang w:val="en-US" w:eastAsia="zh-CN"/>
        </w:rPr>
        <w:t xml:space="preserve">Grade E (Poor): </w:t>
      </w:r>
      <w:r w:rsidRPr="00DD5245">
        <w:rPr>
          <w:rFonts w:ascii="Book Antiqua" w:eastAsia="宋体" w:hAnsi="Book Antiqua" w:cs="Helvetica" w:hint="eastAsia"/>
          <w:sz w:val="24"/>
          <w:szCs w:val="24"/>
          <w:lang w:val="en-US" w:eastAsia="zh-CN"/>
        </w:rPr>
        <w:t>0</w:t>
      </w:r>
      <w:bookmarkEnd w:id="136"/>
      <w:bookmarkEnd w:id="142"/>
      <w:bookmarkEnd w:id="143"/>
    </w:p>
    <w:bookmarkEnd w:id="137"/>
    <w:bookmarkEnd w:id="138"/>
    <w:bookmarkEnd w:id="139"/>
    <w:bookmarkEnd w:id="140"/>
    <w:p w14:paraId="4B1C1E1F" w14:textId="77777777" w:rsidR="005A40A8" w:rsidRPr="00DD5245" w:rsidRDefault="005A40A8" w:rsidP="005A40A8">
      <w:pPr>
        <w:pStyle w:val="a4"/>
        <w:adjustRightInd w:val="0"/>
        <w:snapToGrid w:val="0"/>
        <w:spacing w:after="0" w:line="360" w:lineRule="auto"/>
        <w:ind w:left="0"/>
        <w:contextualSpacing w:val="0"/>
        <w:jc w:val="both"/>
        <w:rPr>
          <w:rFonts w:ascii="Book Antiqua" w:hAnsi="Book Antiqua"/>
          <w:noProof/>
          <w:sz w:val="24"/>
          <w:szCs w:val="24"/>
          <w:lang w:val="en-GB"/>
        </w:rPr>
      </w:pPr>
    </w:p>
    <w:p w14:paraId="41E3337C" w14:textId="443AE780" w:rsidR="005A40A8" w:rsidRPr="00DD5245" w:rsidRDefault="005A40A8">
      <w:pPr>
        <w:rPr>
          <w:rFonts w:ascii="Book Antiqua" w:hAnsi="Book Antiqua"/>
          <w:b/>
          <w:noProof/>
          <w:sz w:val="24"/>
          <w:szCs w:val="24"/>
          <w:lang w:val="en-GB"/>
        </w:rPr>
      </w:pPr>
      <w:r w:rsidRPr="00DD5245">
        <w:rPr>
          <w:rFonts w:ascii="Book Antiqua" w:hAnsi="Book Antiqua"/>
          <w:b/>
          <w:noProof/>
          <w:sz w:val="24"/>
          <w:szCs w:val="24"/>
          <w:lang w:val="en-GB"/>
        </w:rPr>
        <w:br w:type="page"/>
      </w:r>
    </w:p>
    <w:p w14:paraId="502CA570" w14:textId="60A2A05C" w:rsidR="00764DEA" w:rsidRPr="00DD5245" w:rsidRDefault="00150F1C" w:rsidP="00707674">
      <w:pPr>
        <w:pStyle w:val="a8"/>
        <w:keepNext/>
        <w:adjustRightInd w:val="0"/>
        <w:snapToGrid w:val="0"/>
        <w:spacing w:after="0" w:line="360" w:lineRule="auto"/>
        <w:jc w:val="both"/>
        <w:rPr>
          <w:rFonts w:ascii="Book Antiqua" w:hAnsi="Book Antiqua"/>
          <w:b w:val="0"/>
          <w:color w:val="auto"/>
          <w:sz w:val="24"/>
          <w:szCs w:val="24"/>
          <w:lang w:val="en-GB"/>
        </w:rPr>
      </w:pPr>
      <w:r w:rsidRPr="00DD5245">
        <w:rPr>
          <w:rFonts w:ascii="Book Antiqua" w:hAnsi="Book Antiqua"/>
          <w:bCs w:val="0"/>
          <w:color w:val="auto"/>
          <w:sz w:val="24"/>
          <w:szCs w:val="24"/>
          <w:lang w:val="en-GB"/>
        </w:rPr>
        <w:lastRenderedPageBreak/>
        <w:t xml:space="preserve">Table </w:t>
      </w:r>
      <w:r w:rsidRPr="00DD5245">
        <w:rPr>
          <w:rFonts w:ascii="Book Antiqua" w:hAnsi="Book Antiqua"/>
          <w:bCs w:val="0"/>
          <w:color w:val="auto"/>
          <w:sz w:val="24"/>
          <w:szCs w:val="24"/>
          <w:lang w:val="en-GB"/>
        </w:rPr>
        <w:fldChar w:fldCharType="begin"/>
      </w:r>
      <w:r w:rsidRPr="00DD5245">
        <w:rPr>
          <w:rFonts w:ascii="Book Antiqua" w:hAnsi="Book Antiqua"/>
          <w:bCs w:val="0"/>
          <w:color w:val="auto"/>
          <w:sz w:val="24"/>
          <w:szCs w:val="24"/>
          <w:lang w:val="en-GB"/>
        </w:rPr>
        <w:instrText xml:space="preserve"> SEQ Tabla \* ARABIC </w:instrText>
      </w:r>
      <w:r w:rsidRPr="00DD5245">
        <w:rPr>
          <w:rFonts w:ascii="Book Antiqua" w:hAnsi="Book Antiqua"/>
          <w:bCs w:val="0"/>
          <w:color w:val="auto"/>
          <w:sz w:val="24"/>
          <w:szCs w:val="24"/>
          <w:lang w:val="en-GB"/>
        </w:rPr>
        <w:fldChar w:fldCharType="separate"/>
      </w:r>
      <w:r w:rsidRPr="00DD5245">
        <w:rPr>
          <w:rFonts w:ascii="Book Antiqua" w:hAnsi="Book Antiqua"/>
          <w:bCs w:val="0"/>
          <w:color w:val="auto"/>
          <w:sz w:val="24"/>
          <w:szCs w:val="24"/>
          <w:lang w:val="en-GB"/>
        </w:rPr>
        <w:t>1</w:t>
      </w:r>
      <w:r w:rsidRPr="00DD5245">
        <w:rPr>
          <w:rFonts w:ascii="Book Antiqua" w:hAnsi="Book Antiqua"/>
          <w:bCs w:val="0"/>
          <w:color w:val="auto"/>
          <w:sz w:val="24"/>
          <w:szCs w:val="24"/>
          <w:lang w:val="en-GB"/>
        </w:rPr>
        <w:fldChar w:fldCharType="end"/>
      </w:r>
      <w:r w:rsidRPr="00DD5245">
        <w:rPr>
          <w:rFonts w:ascii="Book Antiqua" w:hAnsi="Book Antiqua"/>
          <w:b w:val="0"/>
          <w:color w:val="auto"/>
          <w:sz w:val="24"/>
          <w:szCs w:val="24"/>
          <w:lang w:val="en-GB"/>
        </w:rPr>
        <w:t xml:space="preserve"> </w:t>
      </w:r>
      <w:r w:rsidR="001627AB" w:rsidRPr="00DD5245">
        <w:rPr>
          <w:rFonts w:ascii="Book Antiqua" w:hAnsi="Book Antiqua"/>
          <w:bCs w:val="0"/>
          <w:color w:val="auto"/>
          <w:sz w:val="24"/>
          <w:szCs w:val="24"/>
          <w:lang w:val="en-GB"/>
        </w:rPr>
        <w:t>Myocardial infarction with non-obstructive coronary arteries</w:t>
      </w:r>
      <w:r w:rsidRPr="00DD5245">
        <w:rPr>
          <w:rFonts w:ascii="Book Antiqua" w:hAnsi="Book Antiqua"/>
          <w:bCs w:val="0"/>
          <w:color w:val="auto"/>
          <w:sz w:val="24"/>
          <w:szCs w:val="24"/>
          <w:lang w:val="en-GB"/>
        </w:rPr>
        <w:t xml:space="preserve"> </w:t>
      </w:r>
      <w:r w:rsidR="00D614B9" w:rsidRPr="00DD5245">
        <w:rPr>
          <w:rFonts w:ascii="Book Antiqua" w:hAnsi="Book Antiqua"/>
          <w:bCs w:val="0"/>
          <w:color w:val="auto"/>
          <w:sz w:val="24"/>
          <w:szCs w:val="24"/>
          <w:lang w:val="en-GB"/>
        </w:rPr>
        <w:t>classification</w:t>
      </w:r>
      <w:r w:rsidRPr="00DD5245">
        <w:rPr>
          <w:rFonts w:ascii="Book Antiqua" w:hAnsi="Book Antiqua"/>
          <w:bCs w:val="0"/>
          <w:color w:val="auto"/>
          <w:sz w:val="24"/>
          <w:szCs w:val="24"/>
          <w:lang w:val="en-GB"/>
        </w:rPr>
        <w:t>, management overview, prevalence and suggested therapy</w:t>
      </w:r>
    </w:p>
    <w:tbl>
      <w:tblPr>
        <w:tblStyle w:val="Cuadrculaclara1"/>
        <w:tblW w:w="9126"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shd w:val="clear" w:color="auto" w:fill="CCE8CF" w:themeFill="background1"/>
        <w:tblLayout w:type="fixed"/>
        <w:tblLook w:val="04A0" w:firstRow="1" w:lastRow="0" w:firstColumn="1" w:lastColumn="0" w:noHBand="0" w:noVBand="1"/>
      </w:tblPr>
      <w:tblGrid>
        <w:gridCol w:w="1875"/>
        <w:gridCol w:w="2969"/>
        <w:gridCol w:w="1977"/>
        <w:gridCol w:w="2305"/>
      </w:tblGrid>
      <w:tr w:rsidR="00C849D8" w:rsidRPr="00DD5245" w14:paraId="2ABD9B03" w14:textId="77777777" w:rsidTr="006A71B8">
        <w:trPr>
          <w:cnfStyle w:val="100000000000" w:firstRow="1" w:lastRow="0" w:firstColumn="0" w:lastColumn="0" w:oddVBand="0" w:evenVBand="0" w:oddHBand="0"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single" w:sz="4" w:space="0" w:color="auto"/>
              <w:left w:val="none" w:sz="0" w:space="0" w:color="auto"/>
              <w:bottom w:val="single" w:sz="4" w:space="0" w:color="auto"/>
              <w:right w:val="none" w:sz="0" w:space="0" w:color="auto"/>
            </w:tcBorders>
            <w:shd w:val="clear" w:color="auto" w:fill="CCE8CF" w:themeFill="background1"/>
            <w:vAlign w:val="center"/>
            <w:hideMark/>
          </w:tcPr>
          <w:p w14:paraId="5BD39254" w14:textId="77777777" w:rsidR="00764DEA" w:rsidRPr="00DD5245" w:rsidRDefault="00150F1C" w:rsidP="00707674">
            <w:pPr>
              <w:adjustRightInd w:val="0"/>
              <w:snapToGrid w:val="0"/>
              <w:spacing w:line="360" w:lineRule="auto"/>
              <w:jc w:val="both"/>
              <w:rPr>
                <w:rFonts w:ascii="Book Antiqua" w:hAnsi="Book Antiqua"/>
                <w:sz w:val="24"/>
                <w:szCs w:val="24"/>
                <w:lang w:val="en-GB"/>
              </w:rPr>
            </w:pPr>
            <w:r w:rsidRPr="00DD5245">
              <w:rPr>
                <w:rFonts w:ascii="Book Antiqua" w:hAnsi="Book Antiqua"/>
                <w:sz w:val="24"/>
                <w:szCs w:val="24"/>
                <w:lang w:val="en-GB"/>
              </w:rPr>
              <w:t>Mechanism</w:t>
            </w:r>
          </w:p>
        </w:tc>
        <w:tc>
          <w:tcPr>
            <w:tcW w:w="2969" w:type="dxa"/>
            <w:tcBorders>
              <w:top w:val="single" w:sz="4" w:space="0" w:color="auto"/>
              <w:left w:val="none" w:sz="0" w:space="0" w:color="auto"/>
              <w:bottom w:val="single" w:sz="4" w:space="0" w:color="auto"/>
              <w:right w:val="none" w:sz="0" w:space="0" w:color="auto"/>
            </w:tcBorders>
            <w:shd w:val="clear" w:color="auto" w:fill="CCE8CF" w:themeFill="background1"/>
            <w:vAlign w:val="center"/>
            <w:hideMark/>
          </w:tcPr>
          <w:p w14:paraId="5EA175C8" w14:textId="77777777" w:rsidR="00764DEA" w:rsidRPr="00DD5245" w:rsidRDefault="00150F1C" w:rsidP="00744B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Diagnosis</w:t>
            </w:r>
          </w:p>
        </w:tc>
        <w:tc>
          <w:tcPr>
            <w:tcW w:w="1977" w:type="dxa"/>
            <w:tcBorders>
              <w:top w:val="single" w:sz="4" w:space="0" w:color="auto"/>
              <w:left w:val="none" w:sz="0" w:space="0" w:color="auto"/>
              <w:bottom w:val="single" w:sz="4" w:space="0" w:color="auto"/>
              <w:right w:val="none" w:sz="0" w:space="0" w:color="auto"/>
            </w:tcBorders>
            <w:shd w:val="clear" w:color="auto" w:fill="CCE8CF" w:themeFill="background1"/>
            <w:vAlign w:val="center"/>
            <w:hideMark/>
          </w:tcPr>
          <w:p w14:paraId="73306E9E" w14:textId="77777777" w:rsidR="00764DEA" w:rsidRPr="00DD5245" w:rsidRDefault="00150F1C" w:rsidP="00744B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Prevalence in coronary syndromes</w:t>
            </w:r>
          </w:p>
        </w:tc>
        <w:tc>
          <w:tcPr>
            <w:tcW w:w="2305" w:type="dxa"/>
            <w:tcBorders>
              <w:top w:val="single" w:sz="4" w:space="0" w:color="auto"/>
              <w:left w:val="none" w:sz="0" w:space="0" w:color="auto"/>
              <w:bottom w:val="single" w:sz="4" w:space="0" w:color="auto"/>
              <w:right w:val="none" w:sz="0" w:space="0" w:color="auto"/>
            </w:tcBorders>
            <w:shd w:val="clear" w:color="auto" w:fill="CCE8CF" w:themeFill="background1"/>
            <w:vAlign w:val="center"/>
            <w:hideMark/>
          </w:tcPr>
          <w:p w14:paraId="241091FF" w14:textId="77777777" w:rsidR="00764DEA" w:rsidRPr="00DD5245" w:rsidRDefault="00150F1C" w:rsidP="00744B0B">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Therapy</w:t>
            </w:r>
          </w:p>
        </w:tc>
      </w:tr>
      <w:tr w:rsidR="00C849D8" w:rsidRPr="00DD5245" w14:paraId="13311DF6"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126" w:type="dxa"/>
            <w:gridSpan w:val="4"/>
            <w:tcBorders>
              <w:top w:val="single" w:sz="4" w:space="0" w:color="auto"/>
              <w:left w:val="none" w:sz="0" w:space="0" w:color="auto"/>
              <w:bottom w:val="none" w:sz="0" w:space="0" w:color="auto"/>
              <w:right w:val="none" w:sz="0" w:space="0" w:color="auto"/>
            </w:tcBorders>
            <w:shd w:val="clear" w:color="auto" w:fill="CCE8CF" w:themeFill="background1"/>
            <w:vAlign w:val="center"/>
            <w:hideMark/>
          </w:tcPr>
          <w:p w14:paraId="46F07E7B" w14:textId="77777777" w:rsidR="00764DEA" w:rsidRPr="00DD5245" w:rsidRDefault="00150F1C" w:rsidP="00744B0B">
            <w:pPr>
              <w:adjustRightInd w:val="0"/>
              <w:snapToGrid w:val="0"/>
              <w:spacing w:line="360" w:lineRule="auto"/>
              <w:rPr>
                <w:rFonts w:ascii="Book Antiqua" w:hAnsi="Book Antiqua"/>
                <w:b w:val="0"/>
                <w:bCs w:val="0"/>
                <w:sz w:val="24"/>
                <w:szCs w:val="24"/>
                <w:lang w:val="en-GB"/>
              </w:rPr>
            </w:pPr>
            <w:r w:rsidRPr="00DD5245">
              <w:rPr>
                <w:rFonts w:ascii="Book Antiqua" w:hAnsi="Book Antiqua"/>
                <w:b w:val="0"/>
                <w:bCs w:val="0"/>
                <w:sz w:val="24"/>
                <w:szCs w:val="24"/>
                <w:lang w:val="en-GB"/>
              </w:rPr>
              <w:t>Epicardial causes</w:t>
            </w:r>
          </w:p>
        </w:tc>
      </w:tr>
      <w:tr w:rsidR="00C849D8" w:rsidRPr="00DD5245" w14:paraId="4FCEA5DC"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5E5721B5"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artery disease</w:t>
            </w:r>
          </w:p>
        </w:tc>
        <w:tc>
          <w:tcPr>
            <w:tcW w:w="2969"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4FB51790" w14:textId="1D886B7C"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IVUS/OCT</w:t>
            </w:r>
            <w:r w:rsidR="00D614B9" w:rsidRPr="00DD5245">
              <w:rPr>
                <w:rFonts w:ascii="Book Antiqua" w:hAnsi="Book Antiqua"/>
                <w:sz w:val="24"/>
                <w:szCs w:val="24"/>
                <w:lang w:val="en-GB"/>
              </w:rPr>
              <w:t>,</w:t>
            </w:r>
            <w:r w:rsidRPr="00DD5245">
              <w:rPr>
                <w:rFonts w:ascii="Book Antiqua" w:hAnsi="Book Antiqua"/>
                <w:sz w:val="24"/>
                <w:szCs w:val="24"/>
                <w:lang w:val="en-GB"/>
              </w:rPr>
              <w:t xml:space="preserve"> FFR/iFR</w:t>
            </w:r>
          </w:p>
        </w:tc>
        <w:tc>
          <w:tcPr>
            <w:tcW w:w="1977"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7155BDFC" w14:textId="1ED0C545"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5</w:t>
            </w:r>
            <w:r w:rsidR="00744B0B" w:rsidRPr="00DD5245">
              <w:rPr>
                <w:rFonts w:ascii="Book Antiqua" w:hAnsi="Book Antiqua"/>
                <w:sz w:val="24"/>
                <w:szCs w:val="24"/>
                <w:lang w:val="en-GB"/>
              </w:rPr>
              <w:t>%</w:t>
            </w:r>
            <w:r w:rsidRPr="00DD5245">
              <w:rPr>
                <w:rFonts w:ascii="Book Antiqua" w:hAnsi="Book Antiqua"/>
                <w:sz w:val="24"/>
                <w:szCs w:val="24"/>
                <w:lang w:val="en-GB"/>
              </w:rPr>
              <w:t>-20% of MI</w:t>
            </w:r>
          </w:p>
        </w:tc>
        <w:tc>
          <w:tcPr>
            <w:tcW w:w="230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0166621D" w14:textId="0E97BAE6"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Antiplatelet therapy</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statins</w:t>
            </w:r>
            <w:r w:rsidRPr="00DD5245">
              <w:rPr>
                <w:rFonts w:ascii="Book Antiqua" w:hAnsi="Book Antiqua"/>
                <w:sz w:val="24"/>
                <w:szCs w:val="24"/>
                <w:lang w:val="en-GB"/>
              </w:rPr>
              <w:t>, ACEi/ARB, beta-blockers</w:t>
            </w:r>
          </w:p>
        </w:tc>
      </w:tr>
      <w:tr w:rsidR="00C849D8" w:rsidRPr="00DD5245" w14:paraId="026F42FF"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45BDD305"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dissection</w:t>
            </w:r>
          </w:p>
        </w:tc>
        <w:tc>
          <w:tcPr>
            <w:tcW w:w="2969"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1E5553EA" w14:textId="6DE9B65C"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IVUS/OCT</w:t>
            </w:r>
          </w:p>
        </w:tc>
        <w:tc>
          <w:tcPr>
            <w:tcW w:w="1977"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4A80FD77" w14:textId="416E105E"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25% of MI in women under 50 yr of age.</w:t>
            </w:r>
          </w:p>
        </w:tc>
        <w:tc>
          <w:tcPr>
            <w:tcW w:w="230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5188A6AE"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Beta-blocker and simple antiplatelet therapy.</w:t>
            </w:r>
          </w:p>
        </w:tc>
      </w:tr>
      <w:tr w:rsidR="00C849D8" w:rsidRPr="00DD5245" w14:paraId="6DB51FD2"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0169E5B1"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artery spasm</w:t>
            </w:r>
          </w:p>
        </w:tc>
        <w:tc>
          <w:tcPr>
            <w:tcW w:w="2969"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569D5B7E" w14:textId="4A28505E"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Intracoronary nitrates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i</w:t>
            </w:r>
            <w:r w:rsidRPr="00DD5245">
              <w:rPr>
                <w:rFonts w:ascii="Book Antiqua" w:hAnsi="Book Antiqua"/>
                <w:sz w:val="24"/>
                <w:szCs w:val="24"/>
                <w:lang w:val="en-GB"/>
              </w:rPr>
              <w:t>ntracoronary Ach or ergonovine test by experienced teams.</w:t>
            </w:r>
          </w:p>
        </w:tc>
        <w:tc>
          <w:tcPr>
            <w:tcW w:w="1977"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6DCBD758" w14:textId="4E955A8E"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3</w:t>
            </w:r>
            <w:r w:rsidR="006A71B8" w:rsidRPr="00DD5245">
              <w:rPr>
                <w:rFonts w:ascii="Book Antiqua" w:hAnsi="Book Antiqua"/>
                <w:sz w:val="24"/>
                <w:szCs w:val="24"/>
                <w:lang w:val="en-GB"/>
              </w:rPr>
              <w:t>%</w:t>
            </w:r>
            <w:r w:rsidRPr="00DD5245">
              <w:rPr>
                <w:rFonts w:ascii="Book Antiqua" w:hAnsi="Book Antiqua"/>
                <w:sz w:val="24"/>
                <w:szCs w:val="24"/>
                <w:lang w:val="en-GB"/>
              </w:rPr>
              <w:t>–95% of MI depending on the registry.</w:t>
            </w:r>
          </w:p>
        </w:tc>
        <w:tc>
          <w:tcPr>
            <w:tcW w:w="230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40112B40" w14:textId="420C63DB"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Calcium antagonists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nitrates</w:t>
            </w:r>
            <w:r w:rsidRPr="00DD5245">
              <w:rPr>
                <w:rFonts w:ascii="Book Antiqua" w:hAnsi="Book Antiqua"/>
                <w:sz w:val="24"/>
                <w:szCs w:val="24"/>
                <w:lang w:val="en-GB"/>
              </w:rPr>
              <w:t>.</w:t>
            </w:r>
          </w:p>
        </w:tc>
      </w:tr>
      <w:tr w:rsidR="00C849D8" w:rsidRPr="00DD5245" w14:paraId="0FCB06FA"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9126" w:type="dxa"/>
            <w:gridSpan w:val="4"/>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5892B8DE" w14:textId="77777777" w:rsidR="00764DEA" w:rsidRPr="00DD5245" w:rsidRDefault="00150F1C" w:rsidP="00744B0B">
            <w:pPr>
              <w:adjustRightInd w:val="0"/>
              <w:snapToGrid w:val="0"/>
              <w:spacing w:line="360" w:lineRule="auto"/>
              <w:rPr>
                <w:rFonts w:ascii="Book Antiqua" w:hAnsi="Book Antiqua"/>
                <w:b w:val="0"/>
                <w:bCs w:val="0"/>
                <w:sz w:val="24"/>
                <w:szCs w:val="24"/>
                <w:lang w:val="en-GB"/>
              </w:rPr>
            </w:pPr>
            <w:r w:rsidRPr="00DD5245">
              <w:rPr>
                <w:rFonts w:ascii="Book Antiqua" w:hAnsi="Book Antiqua"/>
                <w:b w:val="0"/>
                <w:bCs w:val="0"/>
                <w:sz w:val="24"/>
                <w:szCs w:val="24"/>
                <w:lang w:val="en-GB"/>
              </w:rPr>
              <w:t>Microvascular causes</w:t>
            </w:r>
          </w:p>
        </w:tc>
      </w:tr>
      <w:tr w:rsidR="00C849D8" w:rsidRPr="00DD5245" w14:paraId="7563DC08"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7AD74EA1"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Microvascular coronary spasm</w:t>
            </w:r>
          </w:p>
        </w:tc>
        <w:tc>
          <w:tcPr>
            <w:tcW w:w="2969"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30F05DF7" w14:textId="705F9DD3"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Objective evidence of ischaemia (ECG, LV wall motion abnormalities, PET). Impaired microvascular function (CFR, intracoronary Ach test, abnormal CMR, slow coronary flow).</w:t>
            </w:r>
          </w:p>
        </w:tc>
        <w:tc>
          <w:tcPr>
            <w:tcW w:w="1977"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1051A0BA" w14:textId="12E6CF8D"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As high as 25% depending on the registry.</w:t>
            </w:r>
          </w:p>
        </w:tc>
        <w:tc>
          <w:tcPr>
            <w:tcW w:w="230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268FCACD" w14:textId="0D2321B5"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Beta-blockers and nitrates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calcium antagonist, possibly</w:t>
            </w:r>
            <w:r w:rsidRPr="00DD5245">
              <w:rPr>
                <w:rFonts w:ascii="Book Antiqua" w:hAnsi="Book Antiqua"/>
                <w:sz w:val="24"/>
                <w:szCs w:val="24"/>
                <w:lang w:val="en-GB"/>
              </w:rPr>
              <w:t xml:space="preserve"> ranolazine.</w:t>
            </w:r>
          </w:p>
        </w:tc>
      </w:tr>
      <w:tr w:rsidR="00C849D8" w:rsidRPr="00DD5245" w14:paraId="4DA560C0"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12FD1CA4"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Takotsubo syndrome</w:t>
            </w:r>
          </w:p>
        </w:tc>
        <w:tc>
          <w:tcPr>
            <w:tcW w:w="2969"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13406B44"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 xml:space="preserve">Ventriculography, echocardiography, </w:t>
            </w:r>
            <w:r w:rsidRPr="00DD5245">
              <w:rPr>
                <w:rFonts w:ascii="Book Antiqua" w:hAnsi="Book Antiqua"/>
                <w:sz w:val="24"/>
                <w:szCs w:val="24"/>
                <w:lang w:val="en-GB"/>
              </w:rPr>
              <w:lastRenderedPageBreak/>
              <w:t>troponin, B-natriuretic peptide, CMR</w:t>
            </w:r>
          </w:p>
        </w:tc>
        <w:tc>
          <w:tcPr>
            <w:tcW w:w="1977"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295FBF36" w14:textId="7CCF774D"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lastRenderedPageBreak/>
              <w:t>1</w:t>
            </w:r>
            <w:r w:rsidR="006A71B8" w:rsidRPr="00DD5245">
              <w:rPr>
                <w:rFonts w:ascii="Book Antiqua" w:hAnsi="Book Antiqua"/>
                <w:sz w:val="24"/>
                <w:szCs w:val="24"/>
                <w:lang w:val="en-GB"/>
              </w:rPr>
              <w:t>%</w:t>
            </w:r>
            <w:r w:rsidRPr="00DD5245">
              <w:rPr>
                <w:rFonts w:ascii="Book Antiqua" w:hAnsi="Book Antiqua"/>
                <w:sz w:val="24"/>
                <w:szCs w:val="24"/>
                <w:lang w:val="en-GB"/>
              </w:rPr>
              <w:t>-3% of general STEMI</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Pr="00DD5245">
              <w:rPr>
                <w:rFonts w:ascii="Book Antiqua" w:hAnsi="Book Antiqua"/>
                <w:sz w:val="24"/>
                <w:szCs w:val="24"/>
                <w:lang w:val="en-GB"/>
              </w:rPr>
              <w:lastRenderedPageBreak/>
              <w:t>5</w:t>
            </w:r>
            <w:r w:rsidR="006A71B8" w:rsidRPr="00DD5245">
              <w:rPr>
                <w:rFonts w:ascii="Book Antiqua" w:hAnsi="Book Antiqua"/>
                <w:sz w:val="24"/>
                <w:szCs w:val="24"/>
                <w:lang w:val="en-GB"/>
              </w:rPr>
              <w:t>%</w:t>
            </w:r>
            <w:r w:rsidRPr="00DD5245">
              <w:rPr>
                <w:rFonts w:ascii="Book Antiqua" w:hAnsi="Book Antiqua"/>
                <w:sz w:val="24"/>
                <w:szCs w:val="24"/>
                <w:lang w:val="en-GB"/>
              </w:rPr>
              <w:t xml:space="preserve">-6% women </w:t>
            </w:r>
            <w:r w:rsidR="00D614B9" w:rsidRPr="00DD5245">
              <w:rPr>
                <w:rFonts w:ascii="Book Antiqua" w:hAnsi="Book Antiqua"/>
                <w:sz w:val="24"/>
                <w:szCs w:val="24"/>
                <w:lang w:val="en-GB"/>
              </w:rPr>
              <w:t xml:space="preserve">with </w:t>
            </w:r>
            <w:r w:rsidRPr="00DD5245">
              <w:rPr>
                <w:rFonts w:ascii="Book Antiqua" w:hAnsi="Book Antiqua"/>
                <w:sz w:val="24"/>
                <w:szCs w:val="24"/>
                <w:lang w:val="en-GB"/>
              </w:rPr>
              <w:t>STEMI</w:t>
            </w:r>
            <w:r w:rsidR="00D614B9" w:rsidRPr="00DD5245">
              <w:rPr>
                <w:rFonts w:ascii="Book Antiqua" w:hAnsi="Book Antiqua"/>
                <w:sz w:val="24"/>
                <w:szCs w:val="24"/>
                <w:lang w:val="en-GB"/>
              </w:rPr>
              <w:t>,</w:t>
            </w:r>
          </w:p>
          <w:p w14:paraId="5937343C" w14:textId="3E20C001" w:rsidR="00764DEA" w:rsidRPr="00DD5245" w:rsidRDefault="00D614B9"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 xml:space="preserve">concomitant </w:t>
            </w:r>
            <w:r w:rsidR="00150F1C" w:rsidRPr="00DD5245">
              <w:rPr>
                <w:rFonts w:ascii="Book Antiqua" w:hAnsi="Book Antiqua"/>
                <w:sz w:val="24"/>
                <w:szCs w:val="24"/>
                <w:lang w:val="en-GB"/>
              </w:rPr>
              <w:t>CAD 10</w:t>
            </w:r>
            <w:r w:rsidR="006A71B8" w:rsidRPr="00DD5245">
              <w:rPr>
                <w:rFonts w:ascii="Book Antiqua" w:hAnsi="Book Antiqua"/>
                <w:sz w:val="24"/>
                <w:szCs w:val="24"/>
                <w:lang w:val="en-GB"/>
              </w:rPr>
              <w:t>%</w:t>
            </w:r>
            <w:r w:rsidR="00150F1C" w:rsidRPr="00DD5245">
              <w:rPr>
                <w:rFonts w:ascii="Book Antiqua" w:hAnsi="Book Antiqua"/>
                <w:sz w:val="24"/>
                <w:szCs w:val="24"/>
                <w:lang w:val="en-GB"/>
              </w:rPr>
              <w:t>-29%.</w:t>
            </w:r>
          </w:p>
        </w:tc>
        <w:tc>
          <w:tcPr>
            <w:tcW w:w="230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35DBD5C9" w14:textId="479DF50F"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lastRenderedPageBreak/>
              <w:t>Heart failure treatment</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lastRenderedPageBreak/>
              <w:t xml:space="preserve">mechanical </w:t>
            </w:r>
            <w:r w:rsidRPr="00DD5245">
              <w:rPr>
                <w:rFonts w:ascii="Book Antiqua" w:hAnsi="Book Antiqua"/>
                <w:sz w:val="24"/>
                <w:szCs w:val="24"/>
                <w:lang w:val="en-GB"/>
              </w:rPr>
              <w:t>support in cardiogenic shock.</w:t>
            </w:r>
          </w:p>
        </w:tc>
      </w:tr>
      <w:tr w:rsidR="00C849D8" w:rsidRPr="00DD5245" w14:paraId="21B5C112" w14:textId="77777777" w:rsidTr="006A71B8">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5C7D92B2"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lastRenderedPageBreak/>
              <w:t>Myocarditis</w:t>
            </w:r>
          </w:p>
        </w:tc>
        <w:tc>
          <w:tcPr>
            <w:tcW w:w="2969"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5871948C" w14:textId="77777777"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CMR, EMB, viral serologies, high c-reactive protein</w:t>
            </w:r>
          </w:p>
        </w:tc>
        <w:tc>
          <w:tcPr>
            <w:tcW w:w="1977"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185CAF8E" w14:textId="2DDAC5F0"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33% of MINOCA when determined by CMR.</w:t>
            </w:r>
          </w:p>
        </w:tc>
        <w:tc>
          <w:tcPr>
            <w:tcW w:w="230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36C79541" w14:textId="5BFEDA6B" w:rsidR="00764DEA" w:rsidRPr="00DD5245" w:rsidRDefault="00150F1C" w:rsidP="00744B0B">
            <w:pPr>
              <w:adjustRightInd w:val="0"/>
              <w:snapToGri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Heart failure treatment if complication</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autoimmune</w:t>
            </w:r>
            <w:r w:rsidRPr="00DD5245">
              <w:rPr>
                <w:rFonts w:ascii="Book Antiqua" w:hAnsi="Book Antiqua"/>
                <w:sz w:val="24"/>
                <w:szCs w:val="24"/>
                <w:lang w:val="en-GB"/>
              </w:rPr>
              <w:t xml:space="preserve"> therapy in </w:t>
            </w:r>
            <w:r w:rsidR="00D614B9" w:rsidRPr="00DD5245">
              <w:rPr>
                <w:rFonts w:ascii="Book Antiqua" w:hAnsi="Book Antiqua"/>
                <w:sz w:val="24"/>
                <w:szCs w:val="24"/>
                <w:lang w:val="en-GB"/>
              </w:rPr>
              <w:t>autoimmune</w:t>
            </w:r>
            <w:r w:rsidRPr="00DD5245">
              <w:rPr>
                <w:rFonts w:ascii="Book Antiqua" w:hAnsi="Book Antiqua"/>
                <w:sz w:val="24"/>
                <w:szCs w:val="24"/>
                <w:lang w:val="en-GB"/>
              </w:rPr>
              <w:t xml:space="preserve"> forms.</w:t>
            </w:r>
          </w:p>
        </w:tc>
      </w:tr>
      <w:tr w:rsidR="00C849D8" w:rsidRPr="00DD5245" w14:paraId="5ED4F6A2" w14:textId="77777777" w:rsidTr="006A71B8">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7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54BC9CF0"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Coronary embolism</w:t>
            </w:r>
          </w:p>
        </w:tc>
        <w:tc>
          <w:tcPr>
            <w:tcW w:w="2969"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62DD9560" w14:textId="2512783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History of potential thromboembolic sources</w:t>
            </w:r>
            <w:r w:rsidR="00D614B9" w:rsidRPr="00DD5245">
              <w:rPr>
                <w:rFonts w:ascii="Book Antiqua" w:hAnsi="Book Antiqua"/>
                <w:sz w:val="24"/>
                <w:szCs w:val="24"/>
                <w:lang w:val="en-GB"/>
              </w:rPr>
              <w:t>,</w:t>
            </w:r>
            <w:r w:rsidRPr="00DD5245">
              <w:rPr>
                <w:rFonts w:ascii="Book Antiqua" w:hAnsi="Book Antiqua"/>
                <w:sz w:val="24"/>
                <w:szCs w:val="24"/>
                <w:lang w:val="en-GB"/>
              </w:rPr>
              <w:t xml:space="preserve"> </w:t>
            </w:r>
            <w:r w:rsidR="00D614B9" w:rsidRPr="00DD5245">
              <w:rPr>
                <w:rFonts w:ascii="Book Antiqua" w:hAnsi="Book Antiqua"/>
                <w:sz w:val="24"/>
                <w:szCs w:val="24"/>
                <w:lang w:val="en-GB"/>
              </w:rPr>
              <w:t xml:space="preserve">thrombophilia </w:t>
            </w:r>
            <w:r w:rsidRPr="00DD5245">
              <w:rPr>
                <w:rFonts w:ascii="Book Antiqua" w:hAnsi="Book Antiqua"/>
                <w:sz w:val="24"/>
                <w:szCs w:val="24"/>
                <w:lang w:val="en-GB"/>
              </w:rPr>
              <w:t>screen</w:t>
            </w:r>
            <w:r w:rsidR="00D614B9" w:rsidRPr="00DD5245">
              <w:rPr>
                <w:rFonts w:ascii="Book Antiqua" w:hAnsi="Book Antiqua"/>
                <w:sz w:val="24"/>
                <w:szCs w:val="24"/>
                <w:lang w:val="en-GB"/>
              </w:rPr>
              <w:t>,</w:t>
            </w:r>
            <w:r w:rsidRPr="00DD5245">
              <w:rPr>
                <w:rFonts w:ascii="Book Antiqua" w:hAnsi="Book Antiqua"/>
                <w:sz w:val="24"/>
                <w:szCs w:val="24"/>
                <w:lang w:val="en-GB"/>
              </w:rPr>
              <w:t xml:space="preserve"> TTE, TOE, bubble contrast echography</w:t>
            </w:r>
          </w:p>
        </w:tc>
        <w:tc>
          <w:tcPr>
            <w:tcW w:w="1977"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69B87D2F"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2.9% MI</w:t>
            </w:r>
          </w:p>
        </w:tc>
        <w:tc>
          <w:tcPr>
            <w:tcW w:w="2305" w:type="dxa"/>
            <w:tcBorders>
              <w:top w:val="none" w:sz="0" w:space="0" w:color="auto"/>
              <w:left w:val="none" w:sz="0" w:space="0" w:color="auto"/>
              <w:bottom w:val="none" w:sz="0" w:space="0" w:color="auto"/>
              <w:right w:val="none" w:sz="0" w:space="0" w:color="auto"/>
            </w:tcBorders>
            <w:shd w:val="clear" w:color="auto" w:fill="CCE8CF" w:themeFill="background1"/>
            <w:vAlign w:val="center"/>
            <w:hideMark/>
          </w:tcPr>
          <w:p w14:paraId="65A750D5" w14:textId="77777777" w:rsidR="00764DEA" w:rsidRPr="00DD5245" w:rsidRDefault="00150F1C" w:rsidP="00744B0B">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Antiplatelet therapy, anticoagulation, transcatheter closure or surgical repair.</w:t>
            </w:r>
          </w:p>
        </w:tc>
      </w:tr>
    </w:tbl>
    <w:p w14:paraId="2B069D56" w14:textId="30F4A48E" w:rsidR="00764DEA" w:rsidRPr="00DD5245" w:rsidRDefault="001627AB"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MINOCA</w:t>
      </w:r>
      <w:r w:rsidRPr="00DD5245">
        <w:rPr>
          <w:rFonts w:ascii="Book Antiqua" w:hAnsi="Book Antiqua" w:hint="eastAsia"/>
          <w:sz w:val="24"/>
          <w:szCs w:val="24"/>
          <w:lang w:val="en-GB" w:eastAsia="zh-CN"/>
        </w:rPr>
        <w:t>:</w:t>
      </w:r>
      <w:r w:rsidRPr="00DD5245">
        <w:rPr>
          <w:rFonts w:ascii="Book Antiqua" w:hAnsi="Book Antiqua"/>
          <w:sz w:val="24"/>
          <w:szCs w:val="24"/>
          <w:lang w:val="en-GB" w:eastAsia="zh-CN"/>
        </w:rPr>
        <w:t xml:space="preserve"> </w:t>
      </w:r>
      <w:r w:rsidRPr="00DD5245">
        <w:rPr>
          <w:rFonts w:ascii="Book Antiqua" w:hAnsi="Book Antiqua"/>
          <w:color w:val="000000"/>
          <w:sz w:val="24"/>
          <w:szCs w:val="24"/>
          <w:shd w:val="clear" w:color="auto" w:fill="FFFFFF"/>
          <w:lang w:val="en-GB"/>
        </w:rPr>
        <w:t xml:space="preserve">Myocardial infarction with non-obstructive coronary arteries; MI: Myocardial infarction; </w:t>
      </w:r>
      <w:r w:rsidR="00AF0E90" w:rsidRPr="00DD5245">
        <w:rPr>
          <w:rFonts w:ascii="Book Antiqua" w:hAnsi="Book Antiqua"/>
          <w:color w:val="000000"/>
          <w:sz w:val="24"/>
          <w:szCs w:val="24"/>
          <w:shd w:val="clear" w:color="auto" w:fill="FFFFFF"/>
          <w:lang w:val="en-GB"/>
        </w:rPr>
        <w:t>CAD: Coronary artery disease;</w:t>
      </w:r>
      <w:r w:rsidR="00C202EA" w:rsidRPr="00DD5245">
        <w:rPr>
          <w:rFonts w:ascii="Book Antiqua" w:hAnsi="Book Antiqua"/>
          <w:color w:val="000000"/>
          <w:sz w:val="24"/>
          <w:szCs w:val="24"/>
          <w:shd w:val="clear" w:color="auto" w:fill="FFFFFF"/>
          <w:lang w:val="en-GB"/>
        </w:rPr>
        <w:t xml:space="preserve"> IVUS: Intravascular ultrasound; OCT: Optical coherence tomography; CMR: </w:t>
      </w:r>
      <w:r w:rsidR="00C202EA" w:rsidRPr="00DD5245">
        <w:rPr>
          <w:rFonts w:ascii="Book Antiqua" w:hAnsi="Book Antiqua"/>
          <w:sz w:val="24"/>
          <w:szCs w:val="24"/>
          <w:lang w:val="en-GB"/>
        </w:rPr>
        <w:t>Cardiac magnetic resonance; STEMI: ST segment elevation myocardial infarction</w:t>
      </w:r>
      <w:r w:rsidR="002E4486" w:rsidRPr="00DD5245">
        <w:rPr>
          <w:rFonts w:ascii="Book Antiqua" w:hAnsi="Book Antiqua"/>
          <w:sz w:val="24"/>
          <w:szCs w:val="24"/>
          <w:lang w:val="en-GB"/>
        </w:rPr>
        <w:t xml:space="preserve">; PET: Positron emission tomography; FFR: Fractional flow reserve; ECG: Electrocardiogram; </w:t>
      </w:r>
      <w:r w:rsidR="00404A21" w:rsidRPr="00DD5245">
        <w:rPr>
          <w:rFonts w:ascii="Book Antiqua" w:hAnsi="Book Antiqua"/>
          <w:sz w:val="24"/>
          <w:szCs w:val="24"/>
          <w:lang w:val="en-GB"/>
        </w:rPr>
        <w:t>iFR</w:t>
      </w:r>
      <w:r w:rsidR="002E4486" w:rsidRPr="00DD5245">
        <w:rPr>
          <w:rFonts w:ascii="Book Antiqua" w:hAnsi="Book Antiqua"/>
          <w:sz w:val="24"/>
          <w:szCs w:val="24"/>
          <w:lang w:val="en-GB"/>
        </w:rPr>
        <w:t xml:space="preserve">: </w:t>
      </w:r>
      <w:r w:rsidR="00404A21" w:rsidRPr="00DD5245">
        <w:rPr>
          <w:rFonts w:ascii="Book Antiqua" w:hAnsi="Book Antiqua"/>
          <w:sz w:val="24"/>
          <w:szCs w:val="24"/>
          <w:lang w:val="en-GB"/>
        </w:rPr>
        <w:t>I</w:t>
      </w:r>
      <w:r w:rsidR="002E4486" w:rsidRPr="00DD5245">
        <w:rPr>
          <w:rFonts w:ascii="Book Antiqua" w:hAnsi="Book Antiqua"/>
          <w:sz w:val="24"/>
          <w:szCs w:val="24"/>
          <w:lang w:val="en-GB"/>
        </w:rPr>
        <w:t>nstantaneous wave-free ratio</w:t>
      </w:r>
      <w:r w:rsidR="00404A21" w:rsidRPr="00DD5245">
        <w:rPr>
          <w:rFonts w:ascii="Book Antiqua" w:hAnsi="Book Antiqua"/>
          <w:sz w:val="24"/>
          <w:szCs w:val="24"/>
          <w:lang w:val="en-GB"/>
        </w:rPr>
        <w:t>; EMB: Endomyocardial biopsies; ACEi: Angiotensin-converting-enzyme inhibitors</w:t>
      </w:r>
      <w:r w:rsidR="00727E68">
        <w:rPr>
          <w:rFonts w:ascii="Book Antiqua" w:hAnsi="Book Antiqua"/>
          <w:sz w:val="24"/>
          <w:szCs w:val="24"/>
          <w:lang w:val="en-GB"/>
        </w:rPr>
        <w:t>.</w:t>
      </w:r>
    </w:p>
    <w:p w14:paraId="37CEC914" w14:textId="3BE8D639" w:rsidR="006A71B8" w:rsidRPr="00DD5245" w:rsidRDefault="006A71B8">
      <w:pPr>
        <w:rPr>
          <w:rFonts w:ascii="Book Antiqua" w:hAnsi="Book Antiqua"/>
          <w:sz w:val="24"/>
          <w:szCs w:val="24"/>
          <w:lang w:val="en-GB"/>
        </w:rPr>
      </w:pPr>
      <w:r w:rsidRPr="00DD5245">
        <w:rPr>
          <w:rFonts w:ascii="Book Antiqua" w:hAnsi="Book Antiqua"/>
          <w:sz w:val="24"/>
          <w:szCs w:val="24"/>
          <w:lang w:val="en-GB"/>
        </w:rPr>
        <w:br w:type="page"/>
      </w:r>
    </w:p>
    <w:p w14:paraId="460A45BE" w14:textId="5F3B3506" w:rsidR="00764DEA" w:rsidRPr="00DD5245" w:rsidRDefault="00150F1C" w:rsidP="00707674">
      <w:pPr>
        <w:pStyle w:val="a8"/>
        <w:keepNext/>
        <w:adjustRightInd w:val="0"/>
        <w:snapToGrid w:val="0"/>
        <w:spacing w:after="0" w:line="360" w:lineRule="auto"/>
        <w:jc w:val="both"/>
        <w:rPr>
          <w:rFonts w:ascii="Book Antiqua" w:hAnsi="Book Antiqua"/>
          <w:bCs w:val="0"/>
          <w:color w:val="auto"/>
          <w:sz w:val="24"/>
          <w:szCs w:val="24"/>
          <w:lang w:val="en-GB"/>
        </w:rPr>
      </w:pPr>
      <w:r w:rsidRPr="00DD5245">
        <w:rPr>
          <w:rFonts w:ascii="Book Antiqua" w:hAnsi="Book Antiqua"/>
          <w:bCs w:val="0"/>
          <w:color w:val="auto"/>
          <w:sz w:val="24"/>
          <w:szCs w:val="24"/>
          <w:lang w:val="en-GB"/>
        </w:rPr>
        <w:lastRenderedPageBreak/>
        <w:t xml:space="preserve">Table </w:t>
      </w:r>
      <w:r w:rsidR="00243740">
        <w:rPr>
          <w:rFonts w:ascii="Book Antiqua" w:hAnsi="Book Antiqua"/>
          <w:bCs w:val="0"/>
          <w:color w:val="auto"/>
          <w:sz w:val="24"/>
          <w:szCs w:val="24"/>
          <w:lang w:val="en-GB"/>
        </w:rPr>
        <w:t>2</w:t>
      </w:r>
      <w:r w:rsidRPr="00DD5245">
        <w:rPr>
          <w:rFonts w:ascii="Book Antiqua" w:hAnsi="Book Antiqua"/>
          <w:bCs w:val="0"/>
          <w:color w:val="auto"/>
          <w:sz w:val="24"/>
          <w:szCs w:val="24"/>
          <w:lang w:val="en-GB"/>
        </w:rPr>
        <w:t xml:space="preserve"> </w:t>
      </w:r>
      <w:bookmarkStart w:id="144" w:name="_Hlk22574072"/>
      <w:r w:rsidR="00404A21" w:rsidRPr="00DD5245">
        <w:rPr>
          <w:rFonts w:ascii="Book Antiqua" w:hAnsi="Book Antiqua"/>
          <w:bCs w:val="0"/>
          <w:color w:val="auto"/>
          <w:sz w:val="24"/>
          <w:szCs w:val="24"/>
          <w:lang w:val="en-GB"/>
        </w:rPr>
        <w:t>International takotsubo syndrome</w:t>
      </w:r>
      <w:bookmarkEnd w:id="144"/>
      <w:r w:rsidR="00404A21" w:rsidRPr="00DD5245">
        <w:rPr>
          <w:rFonts w:ascii="Book Antiqua" w:hAnsi="Book Antiqua"/>
          <w:bCs w:val="0"/>
          <w:color w:val="auto"/>
          <w:sz w:val="24"/>
          <w:szCs w:val="24"/>
          <w:lang w:val="en-GB"/>
        </w:rPr>
        <w:t xml:space="preserve"> </w:t>
      </w:r>
      <w:r w:rsidR="006A71B8" w:rsidRPr="00DD5245">
        <w:rPr>
          <w:rFonts w:ascii="Book Antiqua" w:hAnsi="Book Antiqua"/>
          <w:bCs w:val="0"/>
          <w:color w:val="auto"/>
          <w:sz w:val="24"/>
          <w:szCs w:val="24"/>
          <w:lang w:val="en-GB"/>
        </w:rPr>
        <w:t>diagnostic criteri</w:t>
      </w:r>
      <w:r w:rsidRPr="00DD5245">
        <w:rPr>
          <w:rFonts w:ascii="Book Antiqua" w:hAnsi="Book Antiqua"/>
          <w:bCs w:val="0"/>
          <w:color w:val="auto"/>
          <w:sz w:val="24"/>
          <w:szCs w:val="24"/>
          <w:lang w:val="en-GB"/>
        </w:rPr>
        <w:t>a</w:t>
      </w:r>
    </w:p>
    <w:tbl>
      <w:tblPr>
        <w:tblStyle w:val="Sombreadoclaro1"/>
        <w:tblW w:w="0" w:type="auto"/>
        <w:tblBorders>
          <w:top w:val="single" w:sz="4" w:space="0" w:color="auto"/>
          <w:bottom w:val="single" w:sz="4" w:space="0" w:color="auto"/>
          <w:insideV w:val="single" w:sz="4" w:space="0" w:color="auto"/>
        </w:tblBorders>
        <w:shd w:val="clear" w:color="auto" w:fill="CCE8CF" w:themeFill="background1"/>
        <w:tblLook w:val="04A0" w:firstRow="1" w:lastRow="0" w:firstColumn="1" w:lastColumn="0" w:noHBand="0" w:noVBand="1"/>
      </w:tblPr>
      <w:tblGrid>
        <w:gridCol w:w="8912"/>
      </w:tblGrid>
      <w:tr w:rsidR="006A71B8" w:rsidRPr="00DD5245" w14:paraId="7DA06561" w14:textId="77777777" w:rsidTr="006A71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bottom w:val="single" w:sz="4" w:space="0" w:color="auto"/>
              <w:right w:val="none" w:sz="0" w:space="0" w:color="auto"/>
            </w:tcBorders>
            <w:shd w:val="clear" w:color="auto" w:fill="CCE8CF" w:themeFill="background1"/>
          </w:tcPr>
          <w:p w14:paraId="6E02D488" w14:textId="350CEAFE" w:rsidR="006A71B8" w:rsidRPr="00DD5245" w:rsidRDefault="006A71B8" w:rsidP="00707674">
            <w:pPr>
              <w:pStyle w:val="a4"/>
              <w:adjustRightInd w:val="0"/>
              <w:snapToGrid w:val="0"/>
              <w:spacing w:line="360" w:lineRule="auto"/>
              <w:ind w:left="0"/>
              <w:contextualSpacing w:val="0"/>
              <w:jc w:val="both"/>
              <w:rPr>
                <w:rFonts w:ascii="Book Antiqua" w:hAnsi="Book Antiqua"/>
                <w:sz w:val="24"/>
                <w:szCs w:val="24"/>
                <w:lang w:val="en-GB"/>
              </w:rPr>
            </w:pPr>
            <w:r w:rsidRPr="00DD5245">
              <w:rPr>
                <w:rFonts w:ascii="Book Antiqua" w:hAnsi="Book Antiqua"/>
                <w:bCs w:val="0"/>
                <w:color w:val="auto"/>
                <w:sz w:val="24"/>
                <w:szCs w:val="24"/>
                <w:lang w:val="en-GB"/>
              </w:rPr>
              <w:t>Diagnostic criteria</w:t>
            </w:r>
          </w:p>
        </w:tc>
      </w:tr>
      <w:tr w:rsidR="00C849D8" w:rsidRPr="00DD5245" w14:paraId="2807D659"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left w:val="none" w:sz="0" w:space="0" w:color="auto"/>
              <w:right w:val="none" w:sz="0" w:space="0" w:color="auto"/>
            </w:tcBorders>
            <w:shd w:val="clear" w:color="auto" w:fill="CCE8CF" w:themeFill="background1"/>
          </w:tcPr>
          <w:p w14:paraId="13225AF3" w14:textId="1D327018"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Left ventricular dysfunction usually extending beyond a single coronary territory. </w:t>
            </w:r>
          </w:p>
        </w:tc>
      </w:tr>
      <w:tr w:rsidR="00C849D8" w:rsidRPr="00DD5245" w14:paraId="368B8ECA"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CCE8CF" w:themeFill="background1"/>
          </w:tcPr>
          <w:p w14:paraId="4FB6E567" w14:textId="77777777"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Sometimes triggered by emotional, physical or combined stress. </w:t>
            </w:r>
          </w:p>
        </w:tc>
      </w:tr>
      <w:tr w:rsidR="00C849D8" w:rsidRPr="00DD5245" w14:paraId="2B359ABD"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CCE8CF" w:themeFill="background1"/>
          </w:tcPr>
          <w:p w14:paraId="22F1A437" w14:textId="77777777"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Acute neurologic disorders, including pheochromocytoma, may become triggers. </w:t>
            </w:r>
          </w:p>
        </w:tc>
      </w:tr>
      <w:tr w:rsidR="00C849D8" w:rsidRPr="00DD5245" w14:paraId="77CA2FAF"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CCE8CF" w:themeFill="background1"/>
          </w:tcPr>
          <w:p w14:paraId="427E0673" w14:textId="77777777"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New ECG abnormalities. Rare cases can present with without ECG shifts. </w:t>
            </w:r>
          </w:p>
        </w:tc>
      </w:tr>
      <w:tr w:rsidR="00C849D8" w:rsidRPr="00DD5245" w14:paraId="2B474304"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CCE8CF" w:themeFill="background1"/>
          </w:tcPr>
          <w:p w14:paraId="22943879" w14:textId="509AAC4C"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Moderate troponin elevation. Usually, significant</w:t>
            </w:r>
            <w:r w:rsidR="00D614B9" w:rsidRPr="00DD5245">
              <w:rPr>
                <w:rFonts w:ascii="Book Antiqua" w:hAnsi="Book Antiqua"/>
                <w:b w:val="0"/>
                <w:bCs w:val="0"/>
                <w:sz w:val="24"/>
                <w:szCs w:val="24"/>
                <w:lang w:val="en-GB"/>
              </w:rPr>
              <w:t>ly</w:t>
            </w:r>
            <w:r w:rsidRPr="00DD5245">
              <w:rPr>
                <w:rFonts w:ascii="Book Antiqua" w:hAnsi="Book Antiqua"/>
                <w:b w:val="0"/>
                <w:bCs w:val="0"/>
                <w:sz w:val="24"/>
                <w:szCs w:val="24"/>
                <w:lang w:val="en-GB"/>
              </w:rPr>
              <w:t xml:space="preserve"> high brain natriuretic peptide. </w:t>
            </w:r>
          </w:p>
        </w:tc>
      </w:tr>
      <w:tr w:rsidR="00C849D8" w:rsidRPr="00DD5245" w14:paraId="7D4A4C89"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CCE8CF" w:themeFill="background1"/>
          </w:tcPr>
          <w:p w14:paraId="67E2A7C0" w14:textId="77777777"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Can have concomitant CAD. </w:t>
            </w:r>
          </w:p>
        </w:tc>
      </w:tr>
      <w:tr w:rsidR="00C849D8" w:rsidRPr="00DD5245" w14:paraId="5B0A5997"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CCE8CF" w:themeFill="background1"/>
          </w:tcPr>
          <w:p w14:paraId="2667112B" w14:textId="77777777"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No evidence of infectious myocarditis usually excluded by CMR. </w:t>
            </w:r>
          </w:p>
        </w:tc>
      </w:tr>
      <w:tr w:rsidR="00C849D8" w:rsidRPr="00DD5245" w14:paraId="40B3D492"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CCE8CF" w:themeFill="background1"/>
          </w:tcPr>
          <w:p w14:paraId="371BCDD2" w14:textId="77777777" w:rsidR="00764DEA" w:rsidRPr="00DD5245" w:rsidRDefault="00150F1C" w:rsidP="00707674">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Mostly present in postmenopausal women. </w:t>
            </w:r>
          </w:p>
        </w:tc>
      </w:tr>
    </w:tbl>
    <w:p w14:paraId="4DEEB25D" w14:textId="659E260D" w:rsidR="00764DEA" w:rsidRPr="00DD5245" w:rsidRDefault="00AF0E90"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color w:val="000000"/>
          <w:sz w:val="24"/>
          <w:szCs w:val="24"/>
          <w:shd w:val="clear" w:color="auto" w:fill="FFFFFF"/>
          <w:lang w:val="en-GB"/>
        </w:rPr>
        <w:t>CAD: Coronary artery disease;</w:t>
      </w:r>
      <w:r w:rsidR="00C202EA" w:rsidRPr="00DD5245">
        <w:rPr>
          <w:rFonts w:ascii="Book Antiqua" w:hAnsi="Book Antiqua"/>
          <w:color w:val="000000"/>
          <w:sz w:val="24"/>
          <w:szCs w:val="24"/>
          <w:shd w:val="clear" w:color="auto" w:fill="FFFFFF"/>
          <w:lang w:val="en-GB"/>
        </w:rPr>
        <w:t xml:space="preserve"> CMR: </w:t>
      </w:r>
      <w:r w:rsidR="00C202EA" w:rsidRPr="00DD5245">
        <w:rPr>
          <w:rFonts w:ascii="Book Antiqua" w:hAnsi="Book Antiqua"/>
          <w:sz w:val="24"/>
          <w:szCs w:val="24"/>
          <w:lang w:val="en-GB"/>
        </w:rPr>
        <w:t>Cardiac magnetic resonance</w:t>
      </w:r>
      <w:r w:rsidR="002E4486" w:rsidRPr="00DD5245">
        <w:rPr>
          <w:rFonts w:ascii="Book Antiqua" w:hAnsi="Book Antiqua"/>
          <w:sz w:val="24"/>
          <w:szCs w:val="24"/>
          <w:lang w:val="en-GB"/>
        </w:rPr>
        <w:t>; ECG: Electrocardiogram</w:t>
      </w:r>
      <w:r w:rsidR="00404A21" w:rsidRPr="00DD5245">
        <w:rPr>
          <w:rFonts w:ascii="Book Antiqua" w:hAnsi="Book Antiqua"/>
          <w:sz w:val="24"/>
          <w:szCs w:val="24"/>
          <w:lang w:val="en-GB"/>
        </w:rPr>
        <w:t>.</w:t>
      </w:r>
    </w:p>
    <w:p w14:paraId="593D8502" w14:textId="2E096938" w:rsidR="006A71B8" w:rsidRPr="00DD5245" w:rsidRDefault="006A71B8">
      <w:pPr>
        <w:rPr>
          <w:rFonts w:ascii="Book Antiqua" w:hAnsi="Book Antiqua"/>
          <w:sz w:val="24"/>
          <w:szCs w:val="24"/>
          <w:lang w:val="en-GB"/>
        </w:rPr>
      </w:pPr>
      <w:r w:rsidRPr="00DD5245">
        <w:rPr>
          <w:rFonts w:ascii="Book Antiqua" w:hAnsi="Book Antiqua"/>
          <w:sz w:val="24"/>
          <w:szCs w:val="24"/>
          <w:lang w:val="en-GB"/>
        </w:rPr>
        <w:br w:type="page"/>
      </w:r>
    </w:p>
    <w:p w14:paraId="57F5A9B7" w14:textId="04063787" w:rsidR="00764DEA" w:rsidRPr="00DD5245" w:rsidRDefault="00150F1C" w:rsidP="00707674">
      <w:pPr>
        <w:pStyle w:val="a8"/>
        <w:keepNext/>
        <w:adjustRightInd w:val="0"/>
        <w:snapToGrid w:val="0"/>
        <w:spacing w:after="0" w:line="360" w:lineRule="auto"/>
        <w:jc w:val="both"/>
        <w:rPr>
          <w:rFonts w:ascii="Book Antiqua" w:hAnsi="Book Antiqua"/>
          <w:b w:val="0"/>
          <w:color w:val="auto"/>
          <w:sz w:val="24"/>
          <w:szCs w:val="24"/>
          <w:lang w:val="en-GB"/>
        </w:rPr>
      </w:pPr>
      <w:r w:rsidRPr="00DD5245">
        <w:rPr>
          <w:rFonts w:ascii="Book Antiqua" w:hAnsi="Book Antiqua"/>
          <w:bCs w:val="0"/>
          <w:color w:val="auto"/>
          <w:sz w:val="24"/>
          <w:szCs w:val="24"/>
          <w:lang w:val="en-GB"/>
        </w:rPr>
        <w:lastRenderedPageBreak/>
        <w:t>Table</w:t>
      </w:r>
      <w:r w:rsidR="00243740">
        <w:rPr>
          <w:rFonts w:ascii="Book Antiqua" w:hAnsi="Book Antiqua"/>
          <w:bCs w:val="0"/>
          <w:color w:val="auto"/>
          <w:sz w:val="24"/>
          <w:szCs w:val="24"/>
          <w:lang w:val="en-GB"/>
        </w:rPr>
        <w:t xml:space="preserve"> 3</w:t>
      </w:r>
      <w:r w:rsidRPr="00DD5245">
        <w:rPr>
          <w:rFonts w:ascii="Book Antiqua" w:hAnsi="Book Antiqua"/>
          <w:bCs w:val="0"/>
          <w:color w:val="auto"/>
          <w:sz w:val="24"/>
          <w:szCs w:val="24"/>
          <w:lang w:val="en-GB"/>
        </w:rPr>
        <w:t xml:space="preserve"> </w:t>
      </w:r>
      <w:r w:rsidR="00952B0D" w:rsidRPr="00DD5245">
        <w:rPr>
          <w:rFonts w:ascii="Book Antiqua" w:hAnsi="Book Antiqua"/>
          <w:bCs w:val="0"/>
          <w:color w:val="auto"/>
          <w:sz w:val="24"/>
          <w:szCs w:val="24"/>
          <w:lang w:val="en-GB"/>
        </w:rPr>
        <w:t>International takotsubo syndrome</w:t>
      </w:r>
      <w:r w:rsidRPr="00DD5245">
        <w:rPr>
          <w:rFonts w:ascii="Book Antiqua" w:hAnsi="Book Antiqua"/>
          <w:bCs w:val="0"/>
          <w:color w:val="auto"/>
          <w:sz w:val="24"/>
          <w:szCs w:val="24"/>
          <w:lang w:val="en-GB"/>
        </w:rPr>
        <w:t xml:space="preserve"> </w:t>
      </w:r>
      <w:r w:rsidR="00952B0D" w:rsidRPr="00DD5245">
        <w:rPr>
          <w:rFonts w:ascii="Book Antiqua" w:hAnsi="Book Antiqua"/>
          <w:bCs w:val="0"/>
          <w:color w:val="auto"/>
          <w:sz w:val="24"/>
          <w:szCs w:val="24"/>
          <w:lang w:val="en-GB"/>
        </w:rPr>
        <w:t>diagnostic s</w:t>
      </w:r>
      <w:r w:rsidRPr="00DD5245">
        <w:rPr>
          <w:rFonts w:ascii="Book Antiqua" w:hAnsi="Book Antiqua"/>
          <w:bCs w:val="0"/>
          <w:color w:val="auto"/>
          <w:sz w:val="24"/>
          <w:szCs w:val="24"/>
          <w:lang w:val="en-GB"/>
        </w:rPr>
        <w:t>core</w:t>
      </w:r>
    </w:p>
    <w:tbl>
      <w:tblPr>
        <w:tblStyle w:val="Sombreadoclaro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E8CF" w:themeFill="background1"/>
        <w:tblLook w:val="04A0" w:firstRow="1" w:lastRow="0" w:firstColumn="1" w:lastColumn="0" w:noHBand="0" w:noVBand="1"/>
      </w:tblPr>
      <w:tblGrid>
        <w:gridCol w:w="3074"/>
        <w:gridCol w:w="1181"/>
        <w:gridCol w:w="2623"/>
      </w:tblGrid>
      <w:tr w:rsidR="005E2933" w:rsidRPr="00DD5245" w14:paraId="0054692F" w14:textId="77777777" w:rsidTr="005E2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CCE8CF" w:themeFill="background1"/>
            <w:vAlign w:val="center"/>
          </w:tcPr>
          <w:p w14:paraId="7A3D49E1" w14:textId="5E3A560F" w:rsidR="005E2933" w:rsidRPr="00DD5245" w:rsidRDefault="00DD5245" w:rsidP="00707674">
            <w:pPr>
              <w:adjustRightInd w:val="0"/>
              <w:snapToGrid w:val="0"/>
              <w:spacing w:line="360" w:lineRule="auto"/>
              <w:jc w:val="both"/>
              <w:rPr>
                <w:rFonts w:ascii="Book Antiqua" w:hAnsi="Book Antiqua"/>
                <w:sz w:val="24"/>
                <w:szCs w:val="24"/>
                <w:lang w:val="en-GB"/>
              </w:rPr>
            </w:pPr>
            <w:r>
              <w:rPr>
                <w:rFonts w:ascii="Book Antiqua" w:hAnsi="Book Antiqua"/>
                <w:sz w:val="24"/>
                <w:szCs w:val="24"/>
                <w:lang w:val="en-GB"/>
              </w:rPr>
              <w:t>Criteria</w:t>
            </w:r>
          </w:p>
        </w:tc>
        <w:tc>
          <w:tcPr>
            <w:tcW w:w="0" w:type="auto"/>
            <w:tcBorders>
              <w:top w:val="none" w:sz="0" w:space="0" w:color="auto"/>
              <w:left w:val="none" w:sz="0" w:space="0" w:color="auto"/>
              <w:bottom w:val="none" w:sz="0" w:space="0" w:color="auto"/>
              <w:right w:val="none" w:sz="0" w:space="0" w:color="auto"/>
            </w:tcBorders>
            <w:shd w:val="clear" w:color="auto" w:fill="CCE8CF" w:themeFill="background1"/>
            <w:vAlign w:val="center"/>
          </w:tcPr>
          <w:p w14:paraId="1C48451C" w14:textId="7B5F3CD5" w:rsidR="005E2933" w:rsidRPr="00DD5245" w:rsidRDefault="00DD5245" w:rsidP="00DD524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Pr>
                <w:rFonts w:ascii="Book Antiqua" w:hAnsi="Book Antiqua"/>
                <w:sz w:val="24"/>
                <w:szCs w:val="24"/>
                <w:lang w:val="en-GB"/>
              </w:rPr>
              <w:t>Points</w:t>
            </w:r>
          </w:p>
        </w:tc>
        <w:tc>
          <w:tcPr>
            <w:tcW w:w="0" w:type="auto"/>
            <w:tcBorders>
              <w:top w:val="none" w:sz="0" w:space="0" w:color="auto"/>
              <w:left w:val="none" w:sz="0" w:space="0" w:color="auto"/>
              <w:bottom w:val="none" w:sz="0" w:space="0" w:color="auto"/>
              <w:right w:val="none" w:sz="0" w:space="0" w:color="auto"/>
            </w:tcBorders>
            <w:shd w:val="clear" w:color="auto" w:fill="CCE8CF" w:themeFill="background1"/>
            <w:vAlign w:val="center"/>
          </w:tcPr>
          <w:p w14:paraId="1B900D21" w14:textId="5C107728" w:rsidR="005E2933" w:rsidRPr="00DD5245" w:rsidRDefault="00DD5245" w:rsidP="00DD524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val="en-GB"/>
              </w:rPr>
            </w:pPr>
            <w:r>
              <w:rPr>
                <w:rFonts w:ascii="Book Antiqua" w:hAnsi="Book Antiqua"/>
                <w:sz w:val="24"/>
                <w:szCs w:val="24"/>
                <w:lang w:val="en-GB"/>
              </w:rPr>
              <w:t>Diagnosis probability</w:t>
            </w:r>
          </w:p>
        </w:tc>
      </w:tr>
      <w:tr w:rsidR="00C849D8" w:rsidRPr="00DD5245" w14:paraId="14E20292" w14:textId="77777777" w:rsidTr="006A7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CCE8CF" w:themeFill="background1"/>
            <w:vAlign w:val="center"/>
          </w:tcPr>
          <w:p w14:paraId="067CC879" w14:textId="017139EA"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Female </w:t>
            </w:r>
            <w:r w:rsidR="00D92117">
              <w:rPr>
                <w:rFonts w:ascii="Book Antiqua" w:hAnsi="Book Antiqua"/>
                <w:b w:val="0"/>
                <w:bCs w:val="0"/>
                <w:sz w:val="24"/>
                <w:szCs w:val="24"/>
                <w:lang w:val="en-GB"/>
              </w:rPr>
              <w:t>s</w:t>
            </w:r>
            <w:r w:rsidRPr="00DD5245">
              <w:rPr>
                <w:rFonts w:ascii="Book Antiqua" w:hAnsi="Book Antiqua"/>
                <w:b w:val="0"/>
                <w:bCs w:val="0"/>
                <w:sz w:val="24"/>
                <w:szCs w:val="24"/>
                <w:lang w:val="en-GB"/>
              </w:rPr>
              <w:t>ex</w:t>
            </w:r>
          </w:p>
        </w:tc>
        <w:tc>
          <w:tcPr>
            <w:tcW w:w="0" w:type="auto"/>
            <w:tcBorders>
              <w:left w:val="none" w:sz="0" w:space="0" w:color="auto"/>
              <w:right w:val="none" w:sz="0" w:space="0" w:color="auto"/>
            </w:tcBorders>
            <w:shd w:val="clear" w:color="auto" w:fill="CCE8CF" w:themeFill="background1"/>
            <w:vAlign w:val="center"/>
          </w:tcPr>
          <w:p w14:paraId="7C237F27"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25 points</w:t>
            </w:r>
          </w:p>
        </w:tc>
        <w:tc>
          <w:tcPr>
            <w:tcW w:w="0" w:type="auto"/>
            <w:vMerge w:val="restart"/>
            <w:tcBorders>
              <w:left w:val="none" w:sz="0" w:space="0" w:color="auto"/>
              <w:right w:val="none" w:sz="0" w:space="0" w:color="auto"/>
            </w:tcBorders>
            <w:shd w:val="clear" w:color="auto" w:fill="CCE8CF" w:themeFill="background1"/>
            <w:vAlign w:val="center"/>
          </w:tcPr>
          <w:p w14:paraId="78D1FA05" w14:textId="5A118E59"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w:t>
            </w:r>
            <w:r w:rsidR="006A71B8" w:rsidRPr="00DD5245">
              <w:rPr>
                <w:rFonts w:ascii="Book Antiqua" w:hAnsi="Book Antiqua"/>
                <w:sz w:val="24"/>
                <w:szCs w:val="24"/>
                <w:lang w:val="en-GB"/>
              </w:rPr>
              <w:t xml:space="preserve"> </w:t>
            </w:r>
            <w:r w:rsidRPr="00DD5245">
              <w:rPr>
                <w:rFonts w:ascii="Book Antiqua" w:hAnsi="Book Antiqua"/>
                <w:sz w:val="24"/>
                <w:szCs w:val="24"/>
                <w:lang w:val="en-GB"/>
              </w:rPr>
              <w:t>70 points</w:t>
            </w:r>
          </w:p>
          <w:p w14:paraId="2A717F97" w14:textId="094BAB41"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Low/intermediate</w:t>
            </w:r>
          </w:p>
          <w:p w14:paraId="5F387B60"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TTS probability</w:t>
            </w:r>
          </w:p>
        </w:tc>
      </w:tr>
      <w:tr w:rsidR="00C849D8" w:rsidRPr="00DD5245" w14:paraId="729CF7A4"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CCE8CF" w:themeFill="background1"/>
            <w:vAlign w:val="center"/>
          </w:tcPr>
          <w:p w14:paraId="3D8955B5"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Emotional stress</w:t>
            </w:r>
          </w:p>
        </w:tc>
        <w:tc>
          <w:tcPr>
            <w:tcW w:w="0" w:type="auto"/>
            <w:shd w:val="clear" w:color="auto" w:fill="CCE8CF" w:themeFill="background1"/>
            <w:vAlign w:val="center"/>
          </w:tcPr>
          <w:p w14:paraId="58A9E335" w14:textId="77777777" w:rsidR="00764DEA" w:rsidRPr="00DD5245" w:rsidRDefault="00150F1C"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24 points</w:t>
            </w:r>
          </w:p>
        </w:tc>
        <w:tc>
          <w:tcPr>
            <w:tcW w:w="0" w:type="auto"/>
            <w:vMerge/>
            <w:shd w:val="clear" w:color="auto" w:fill="CCE8CF" w:themeFill="background1"/>
            <w:vAlign w:val="center"/>
          </w:tcPr>
          <w:p w14:paraId="087E5C06" w14:textId="77777777" w:rsidR="00764DEA" w:rsidRPr="00DD5245" w:rsidRDefault="00764DEA"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C849D8" w:rsidRPr="00DD5245" w14:paraId="3F959CBE" w14:textId="77777777" w:rsidTr="005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CCE8CF" w:themeFill="background1"/>
            <w:vAlign w:val="center"/>
          </w:tcPr>
          <w:p w14:paraId="0AD547E4"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Physical stress</w:t>
            </w:r>
          </w:p>
        </w:tc>
        <w:tc>
          <w:tcPr>
            <w:tcW w:w="0" w:type="auto"/>
            <w:tcBorders>
              <w:left w:val="none" w:sz="0" w:space="0" w:color="auto"/>
              <w:right w:val="none" w:sz="0" w:space="0" w:color="auto"/>
            </w:tcBorders>
            <w:shd w:val="clear" w:color="auto" w:fill="CCE8CF" w:themeFill="background1"/>
            <w:vAlign w:val="center"/>
          </w:tcPr>
          <w:p w14:paraId="3333AC4D"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13 points</w:t>
            </w:r>
          </w:p>
        </w:tc>
        <w:tc>
          <w:tcPr>
            <w:tcW w:w="0" w:type="auto"/>
            <w:vMerge/>
            <w:tcBorders>
              <w:left w:val="none" w:sz="0" w:space="0" w:color="auto"/>
              <w:right w:val="none" w:sz="0" w:space="0" w:color="auto"/>
            </w:tcBorders>
            <w:shd w:val="clear" w:color="auto" w:fill="CCE8CF" w:themeFill="background1"/>
            <w:vAlign w:val="center"/>
          </w:tcPr>
          <w:p w14:paraId="6065E1D5" w14:textId="77777777" w:rsidR="00764DEA" w:rsidRPr="00DD5245" w:rsidRDefault="00764DEA"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p>
        </w:tc>
      </w:tr>
      <w:tr w:rsidR="00C849D8" w:rsidRPr="00DD5245" w14:paraId="7E31F70A"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CCE8CF" w:themeFill="background1"/>
            <w:vAlign w:val="center"/>
          </w:tcPr>
          <w:p w14:paraId="69AB023B"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No ST-segment depression</w:t>
            </w:r>
          </w:p>
        </w:tc>
        <w:tc>
          <w:tcPr>
            <w:tcW w:w="0" w:type="auto"/>
            <w:shd w:val="clear" w:color="auto" w:fill="CCE8CF" w:themeFill="background1"/>
            <w:vAlign w:val="center"/>
          </w:tcPr>
          <w:p w14:paraId="60819023" w14:textId="77777777" w:rsidR="00764DEA" w:rsidRPr="00DD5245" w:rsidRDefault="00150F1C"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12 points</w:t>
            </w:r>
          </w:p>
        </w:tc>
        <w:tc>
          <w:tcPr>
            <w:tcW w:w="0" w:type="auto"/>
            <w:vMerge/>
            <w:shd w:val="clear" w:color="auto" w:fill="CCE8CF" w:themeFill="background1"/>
            <w:vAlign w:val="center"/>
          </w:tcPr>
          <w:p w14:paraId="65836E79" w14:textId="77777777" w:rsidR="00764DEA" w:rsidRPr="00DD5245" w:rsidRDefault="00764DEA"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C849D8" w:rsidRPr="00DD5245" w14:paraId="4FC8EA50" w14:textId="77777777" w:rsidTr="005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CCE8CF" w:themeFill="background1"/>
            <w:vAlign w:val="center"/>
          </w:tcPr>
          <w:p w14:paraId="5DDF27BA"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Psychiatric disorders</w:t>
            </w:r>
          </w:p>
        </w:tc>
        <w:tc>
          <w:tcPr>
            <w:tcW w:w="0" w:type="auto"/>
            <w:tcBorders>
              <w:left w:val="none" w:sz="0" w:space="0" w:color="auto"/>
              <w:right w:val="none" w:sz="0" w:space="0" w:color="auto"/>
            </w:tcBorders>
            <w:shd w:val="clear" w:color="auto" w:fill="CCE8CF" w:themeFill="background1"/>
            <w:vAlign w:val="center"/>
          </w:tcPr>
          <w:p w14:paraId="5503F664"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11 points</w:t>
            </w:r>
          </w:p>
        </w:tc>
        <w:tc>
          <w:tcPr>
            <w:tcW w:w="0" w:type="auto"/>
            <w:vMerge w:val="restart"/>
            <w:tcBorders>
              <w:left w:val="none" w:sz="0" w:space="0" w:color="auto"/>
              <w:right w:val="none" w:sz="0" w:space="0" w:color="auto"/>
            </w:tcBorders>
            <w:shd w:val="clear" w:color="auto" w:fill="CCE8CF" w:themeFill="background1"/>
            <w:vAlign w:val="center"/>
          </w:tcPr>
          <w:p w14:paraId="141042C8" w14:textId="6E8EDC33"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&gt;</w:t>
            </w:r>
            <w:r w:rsidR="006A71B8" w:rsidRPr="00DD5245">
              <w:rPr>
                <w:rFonts w:ascii="Book Antiqua" w:hAnsi="Book Antiqua"/>
                <w:sz w:val="24"/>
                <w:szCs w:val="24"/>
                <w:lang w:val="en-GB"/>
              </w:rPr>
              <w:t xml:space="preserve"> </w:t>
            </w:r>
            <w:r w:rsidRPr="00DD5245">
              <w:rPr>
                <w:rFonts w:ascii="Book Antiqua" w:hAnsi="Book Antiqua"/>
                <w:sz w:val="24"/>
                <w:szCs w:val="24"/>
                <w:lang w:val="en-GB"/>
              </w:rPr>
              <w:t>70 points</w:t>
            </w:r>
          </w:p>
          <w:p w14:paraId="4EDEAE13" w14:textId="36F58EE4"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High TTS probability</w:t>
            </w:r>
          </w:p>
        </w:tc>
      </w:tr>
      <w:tr w:rsidR="00C849D8" w:rsidRPr="00DD5245" w14:paraId="6AF06E90" w14:textId="77777777" w:rsidTr="006A71B8">
        <w:tc>
          <w:tcPr>
            <w:cnfStyle w:val="001000000000" w:firstRow="0" w:lastRow="0" w:firstColumn="1" w:lastColumn="0" w:oddVBand="0" w:evenVBand="0" w:oddHBand="0" w:evenHBand="0" w:firstRowFirstColumn="0" w:firstRowLastColumn="0" w:lastRowFirstColumn="0" w:lastRowLastColumn="0"/>
            <w:tcW w:w="0" w:type="auto"/>
            <w:shd w:val="clear" w:color="auto" w:fill="CCE8CF" w:themeFill="background1"/>
            <w:vAlign w:val="center"/>
          </w:tcPr>
          <w:p w14:paraId="69D1EFFA" w14:textId="775E7883"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Neurologic disorders</w:t>
            </w:r>
          </w:p>
        </w:tc>
        <w:tc>
          <w:tcPr>
            <w:tcW w:w="0" w:type="auto"/>
            <w:shd w:val="clear" w:color="auto" w:fill="CCE8CF" w:themeFill="background1"/>
            <w:vAlign w:val="center"/>
          </w:tcPr>
          <w:p w14:paraId="35F03FC2" w14:textId="77777777" w:rsidR="00764DEA" w:rsidRPr="00DD5245" w:rsidRDefault="00150F1C"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9 points</w:t>
            </w:r>
          </w:p>
        </w:tc>
        <w:tc>
          <w:tcPr>
            <w:tcW w:w="0" w:type="auto"/>
            <w:vMerge/>
            <w:shd w:val="clear" w:color="auto" w:fill="CCE8CF" w:themeFill="background1"/>
            <w:vAlign w:val="center"/>
          </w:tcPr>
          <w:p w14:paraId="5CCACB91" w14:textId="77777777" w:rsidR="00764DEA" w:rsidRPr="00DD5245" w:rsidRDefault="00764DEA" w:rsidP="00DD524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GB"/>
              </w:rPr>
            </w:pPr>
          </w:p>
        </w:tc>
      </w:tr>
      <w:tr w:rsidR="00C849D8" w:rsidRPr="00DD5245" w14:paraId="79B8B78F" w14:textId="77777777" w:rsidTr="005E29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shd w:val="clear" w:color="auto" w:fill="CCE8CF" w:themeFill="background1"/>
            <w:vAlign w:val="center"/>
          </w:tcPr>
          <w:p w14:paraId="24CE71F1" w14:textId="77777777" w:rsidR="00764DEA" w:rsidRPr="00DD5245" w:rsidRDefault="00150F1C" w:rsidP="00707674">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QTc prolongation</w:t>
            </w:r>
          </w:p>
        </w:tc>
        <w:tc>
          <w:tcPr>
            <w:tcW w:w="0" w:type="auto"/>
            <w:tcBorders>
              <w:left w:val="none" w:sz="0" w:space="0" w:color="auto"/>
              <w:right w:val="none" w:sz="0" w:space="0" w:color="auto"/>
            </w:tcBorders>
            <w:shd w:val="clear" w:color="auto" w:fill="CCE8CF" w:themeFill="background1"/>
            <w:vAlign w:val="center"/>
          </w:tcPr>
          <w:p w14:paraId="1EF5E61F" w14:textId="77777777" w:rsidR="00764DEA" w:rsidRPr="00DD5245" w:rsidRDefault="00150F1C"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r w:rsidRPr="00DD5245">
              <w:rPr>
                <w:rFonts w:ascii="Book Antiqua" w:hAnsi="Book Antiqua"/>
                <w:sz w:val="24"/>
                <w:szCs w:val="24"/>
                <w:lang w:val="en-GB"/>
              </w:rPr>
              <w:t>6 points</w:t>
            </w:r>
          </w:p>
        </w:tc>
        <w:tc>
          <w:tcPr>
            <w:tcW w:w="0" w:type="auto"/>
            <w:vMerge/>
            <w:tcBorders>
              <w:left w:val="none" w:sz="0" w:space="0" w:color="auto"/>
              <w:right w:val="none" w:sz="0" w:space="0" w:color="auto"/>
            </w:tcBorders>
            <w:shd w:val="clear" w:color="auto" w:fill="CCE8CF" w:themeFill="background1"/>
            <w:vAlign w:val="center"/>
          </w:tcPr>
          <w:p w14:paraId="5A89F63F" w14:textId="77777777" w:rsidR="00764DEA" w:rsidRPr="00DD5245" w:rsidRDefault="00764DEA" w:rsidP="00DD524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GB"/>
              </w:rPr>
            </w:pPr>
          </w:p>
        </w:tc>
      </w:tr>
    </w:tbl>
    <w:p w14:paraId="3E66DFA3" w14:textId="6F10B999" w:rsidR="006A71B8" w:rsidRPr="00DD5245" w:rsidRDefault="00404A21"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sz w:val="24"/>
          <w:szCs w:val="24"/>
          <w:lang w:val="en-GB"/>
        </w:rPr>
        <w:t>TTS</w:t>
      </w:r>
      <w:r w:rsidRPr="00DD5245">
        <w:rPr>
          <w:rFonts w:ascii="Book Antiqua" w:hAnsi="Book Antiqua" w:hint="eastAsia"/>
          <w:sz w:val="24"/>
          <w:szCs w:val="24"/>
          <w:lang w:val="en-GB" w:eastAsia="zh-CN"/>
        </w:rPr>
        <w:t>:</w:t>
      </w:r>
      <w:r w:rsidRPr="00DD5245">
        <w:rPr>
          <w:rFonts w:ascii="Book Antiqua" w:hAnsi="Book Antiqua"/>
          <w:sz w:val="24"/>
          <w:szCs w:val="24"/>
          <w:lang w:val="en-GB"/>
        </w:rPr>
        <w:t xml:space="preserve"> Takotsubo syndrome</w:t>
      </w:r>
      <w:r w:rsidR="00727E68">
        <w:rPr>
          <w:rFonts w:ascii="Book Antiqua" w:hAnsi="Book Antiqua"/>
          <w:sz w:val="24"/>
          <w:szCs w:val="24"/>
          <w:lang w:val="en-GB"/>
        </w:rPr>
        <w:t>.</w:t>
      </w:r>
    </w:p>
    <w:p w14:paraId="7A1FE85C" w14:textId="27153464" w:rsidR="006A71B8" w:rsidRDefault="006A71B8">
      <w:pPr>
        <w:rPr>
          <w:rFonts w:ascii="Book Antiqua" w:hAnsi="Book Antiqua"/>
          <w:sz w:val="24"/>
          <w:szCs w:val="24"/>
          <w:lang w:val="en-GB"/>
        </w:rPr>
      </w:pPr>
      <w:r w:rsidRPr="00DD5245">
        <w:rPr>
          <w:rFonts w:ascii="Book Antiqua" w:hAnsi="Book Antiqua"/>
          <w:sz w:val="24"/>
          <w:szCs w:val="24"/>
          <w:lang w:val="en-GB"/>
        </w:rPr>
        <w:br w:type="page"/>
      </w:r>
    </w:p>
    <w:p w14:paraId="35E341B9" w14:textId="247F671E" w:rsidR="00243740" w:rsidRPr="00DD5245" w:rsidRDefault="00243740" w:rsidP="00243740">
      <w:pPr>
        <w:pStyle w:val="a8"/>
        <w:keepNext/>
        <w:adjustRightInd w:val="0"/>
        <w:snapToGrid w:val="0"/>
        <w:spacing w:after="0" w:line="360" w:lineRule="auto"/>
        <w:jc w:val="both"/>
        <w:rPr>
          <w:rFonts w:ascii="Book Antiqua" w:hAnsi="Book Antiqua"/>
          <w:b w:val="0"/>
          <w:color w:val="auto"/>
          <w:sz w:val="24"/>
          <w:szCs w:val="24"/>
          <w:lang w:val="en-GB"/>
        </w:rPr>
      </w:pPr>
      <w:r w:rsidRPr="00DD5245">
        <w:rPr>
          <w:rFonts w:ascii="Book Antiqua" w:hAnsi="Book Antiqua"/>
          <w:bCs w:val="0"/>
          <w:color w:val="auto"/>
          <w:sz w:val="24"/>
          <w:szCs w:val="24"/>
          <w:lang w:val="en-GB"/>
        </w:rPr>
        <w:lastRenderedPageBreak/>
        <w:t xml:space="preserve">Table </w:t>
      </w:r>
      <w:r>
        <w:rPr>
          <w:rFonts w:ascii="Book Antiqua" w:hAnsi="Book Antiqua"/>
          <w:bCs w:val="0"/>
          <w:color w:val="auto"/>
          <w:sz w:val="24"/>
          <w:szCs w:val="24"/>
          <w:lang w:val="en-GB"/>
        </w:rPr>
        <w:t>4</w:t>
      </w:r>
      <w:r w:rsidRPr="00DD5245">
        <w:rPr>
          <w:rFonts w:ascii="Book Antiqua" w:hAnsi="Book Antiqua"/>
          <w:b w:val="0"/>
          <w:color w:val="auto"/>
          <w:sz w:val="24"/>
          <w:szCs w:val="24"/>
          <w:lang w:val="en-GB"/>
        </w:rPr>
        <w:t xml:space="preserve"> </w:t>
      </w:r>
      <w:r w:rsidRPr="00DD5245">
        <w:rPr>
          <w:rFonts w:ascii="Book Antiqua" w:hAnsi="Book Antiqua"/>
          <w:bCs w:val="0"/>
          <w:color w:val="auto"/>
          <w:sz w:val="24"/>
          <w:szCs w:val="24"/>
          <w:lang w:val="en-GB"/>
        </w:rPr>
        <w:t>European Society of Cardiology 2013 Myocarditis Task Force definition of clinically suspected myocarditis.</w:t>
      </w:r>
    </w:p>
    <w:tbl>
      <w:tblPr>
        <w:tblStyle w:val="Sombreadoclaro1"/>
        <w:tblW w:w="0" w:type="auto"/>
        <w:tblBorders>
          <w:top w:val="single" w:sz="4" w:space="0" w:color="auto"/>
          <w:bottom w:val="single" w:sz="4" w:space="0" w:color="auto"/>
          <w:insideV w:val="single" w:sz="4" w:space="0" w:color="auto"/>
        </w:tblBorders>
        <w:shd w:val="clear" w:color="auto" w:fill="CCE8CF" w:themeFill="background1"/>
        <w:tblLook w:val="04A0" w:firstRow="1" w:lastRow="0" w:firstColumn="1" w:lastColumn="0" w:noHBand="0" w:noVBand="1"/>
      </w:tblPr>
      <w:tblGrid>
        <w:gridCol w:w="8838"/>
      </w:tblGrid>
      <w:tr w:rsidR="00243740" w:rsidRPr="00DD5245" w14:paraId="14AFC689" w14:textId="77777777" w:rsidTr="002822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none" w:sz="0" w:space="0" w:color="auto"/>
              <w:bottom w:val="single" w:sz="4" w:space="0" w:color="auto"/>
              <w:right w:val="none" w:sz="0" w:space="0" w:color="auto"/>
            </w:tcBorders>
            <w:shd w:val="clear" w:color="auto" w:fill="CCE8CF" w:themeFill="background1"/>
          </w:tcPr>
          <w:p w14:paraId="6A5D3464" w14:textId="77777777" w:rsidR="00243740" w:rsidRPr="00DD5245" w:rsidRDefault="00243740" w:rsidP="00282275">
            <w:pPr>
              <w:adjustRightInd w:val="0"/>
              <w:snapToGrid w:val="0"/>
              <w:spacing w:line="360" w:lineRule="auto"/>
              <w:jc w:val="both"/>
              <w:rPr>
                <w:rFonts w:ascii="Book Antiqua" w:hAnsi="Book Antiqua"/>
                <w:sz w:val="24"/>
                <w:szCs w:val="24"/>
                <w:lang w:val="en-GB"/>
              </w:rPr>
            </w:pPr>
            <w:r w:rsidRPr="00DD5245">
              <w:rPr>
                <w:rFonts w:ascii="Book Antiqua" w:hAnsi="Book Antiqua"/>
                <w:sz w:val="24"/>
                <w:szCs w:val="24"/>
                <w:lang w:val="en-GB"/>
              </w:rPr>
              <w:t>Presence of ≥ 1 clinical presentation and ≥ 1 diagnostic criteria:</w:t>
            </w:r>
          </w:p>
        </w:tc>
      </w:tr>
      <w:tr w:rsidR="00243740" w:rsidRPr="00DD5245" w14:paraId="48F5FFEE" w14:textId="77777777" w:rsidTr="002822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left w:val="none" w:sz="0" w:space="0" w:color="auto"/>
              <w:right w:val="none" w:sz="0" w:space="0" w:color="auto"/>
            </w:tcBorders>
            <w:shd w:val="clear" w:color="auto" w:fill="CCE8CF" w:themeFill="background1"/>
          </w:tcPr>
          <w:p w14:paraId="36601FF4" w14:textId="77777777" w:rsidR="00243740" w:rsidRPr="00DD5245" w:rsidRDefault="00243740" w:rsidP="00282275">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Clinical presentation:</w:t>
            </w:r>
          </w:p>
          <w:p w14:paraId="20B6B799" w14:textId="77777777"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Acute coronary-like syndrome. </w:t>
            </w:r>
          </w:p>
          <w:p w14:paraId="1CAE27E6" w14:textId="6C840D34"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New onset or worsening unexplained hea</w:t>
            </w:r>
            <w:r w:rsidR="00956DCA">
              <w:rPr>
                <w:rFonts w:ascii="Book Antiqua" w:hAnsi="Book Antiqua"/>
                <w:b w:val="0"/>
                <w:bCs w:val="0"/>
                <w:sz w:val="24"/>
                <w:szCs w:val="24"/>
                <w:lang w:val="en-GB"/>
              </w:rPr>
              <w:t>r</w:t>
            </w:r>
            <w:r w:rsidRPr="00DD5245">
              <w:rPr>
                <w:rFonts w:ascii="Book Antiqua" w:hAnsi="Book Antiqua"/>
                <w:b w:val="0"/>
                <w:bCs w:val="0"/>
                <w:sz w:val="24"/>
                <w:szCs w:val="24"/>
                <w:lang w:val="en-GB"/>
              </w:rPr>
              <w:t xml:space="preserve">t failure. </w:t>
            </w:r>
          </w:p>
          <w:p w14:paraId="603D68B0" w14:textId="77777777"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Chronic unexpected heart failure over 3 mo duration. </w:t>
            </w:r>
          </w:p>
          <w:p w14:paraId="2EE60261" w14:textId="77777777"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Life-threatening unexplained conditions (including arrhythmias, aborted sudden death, cardiogenic shock). </w:t>
            </w:r>
          </w:p>
        </w:tc>
      </w:tr>
      <w:tr w:rsidR="00243740" w:rsidRPr="00DD5245" w14:paraId="485DE2DB" w14:textId="77777777" w:rsidTr="00282275">
        <w:tc>
          <w:tcPr>
            <w:cnfStyle w:val="001000000000" w:firstRow="0" w:lastRow="0" w:firstColumn="1" w:lastColumn="0" w:oddVBand="0" w:evenVBand="0" w:oddHBand="0" w:evenHBand="0" w:firstRowFirstColumn="0" w:firstRowLastColumn="0" w:lastRowFirstColumn="0" w:lastRowLastColumn="0"/>
            <w:tcW w:w="8838" w:type="dxa"/>
            <w:shd w:val="clear" w:color="auto" w:fill="CCE8CF" w:themeFill="background1"/>
          </w:tcPr>
          <w:p w14:paraId="20682C3F" w14:textId="77777777" w:rsidR="00243740" w:rsidRPr="00DD5245" w:rsidRDefault="00243740" w:rsidP="00282275">
            <w:pPr>
              <w:adjustRightInd w:val="0"/>
              <w:snapToGrid w:val="0"/>
              <w:spacing w:line="360" w:lineRule="auto"/>
              <w:jc w:val="both"/>
              <w:rPr>
                <w:rFonts w:ascii="Book Antiqua" w:hAnsi="Book Antiqua"/>
                <w:b w:val="0"/>
                <w:bCs w:val="0"/>
                <w:sz w:val="24"/>
                <w:szCs w:val="24"/>
                <w:lang w:val="en-GB"/>
              </w:rPr>
            </w:pPr>
            <w:r w:rsidRPr="00DD5245">
              <w:rPr>
                <w:rFonts w:ascii="Book Antiqua" w:hAnsi="Book Antiqua"/>
                <w:b w:val="0"/>
                <w:bCs w:val="0"/>
                <w:sz w:val="24"/>
                <w:szCs w:val="24"/>
                <w:lang w:val="en-GB"/>
              </w:rPr>
              <w:t>Diagnostic criteria:</w:t>
            </w:r>
          </w:p>
          <w:p w14:paraId="57763E1C" w14:textId="77777777"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ECG/Holter/stress test shifts: any degree atrioventricular block or bundle branch block, ST/T or Q wave changes, sinus arrest, cardiac arrest rhythms, low voltage, frequent premature beat or supraventricular tachycardia. </w:t>
            </w:r>
          </w:p>
          <w:p w14:paraId="6E398E1D" w14:textId="77777777"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Elevated cardiac troponins. </w:t>
            </w:r>
          </w:p>
          <w:p w14:paraId="310DD57D" w14:textId="77777777"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Functional and structural abnormalities on cardiac imaging. </w:t>
            </w:r>
          </w:p>
          <w:p w14:paraId="7AC3E610" w14:textId="77777777" w:rsidR="00243740" w:rsidRPr="00DD5245" w:rsidRDefault="00243740" w:rsidP="00282275">
            <w:pPr>
              <w:pStyle w:val="a4"/>
              <w:adjustRightInd w:val="0"/>
              <w:snapToGrid w:val="0"/>
              <w:spacing w:line="360" w:lineRule="auto"/>
              <w:ind w:left="0"/>
              <w:contextualSpacing w:val="0"/>
              <w:jc w:val="both"/>
              <w:rPr>
                <w:rFonts w:ascii="Book Antiqua" w:hAnsi="Book Antiqua"/>
                <w:b w:val="0"/>
                <w:bCs w:val="0"/>
                <w:sz w:val="24"/>
                <w:szCs w:val="24"/>
                <w:lang w:val="en-GB"/>
              </w:rPr>
            </w:pPr>
            <w:r w:rsidRPr="00DD5245">
              <w:rPr>
                <w:rFonts w:ascii="Book Antiqua" w:hAnsi="Book Antiqua"/>
                <w:b w:val="0"/>
                <w:bCs w:val="0"/>
                <w:sz w:val="24"/>
                <w:szCs w:val="24"/>
                <w:lang w:val="en-GB"/>
              </w:rPr>
              <w:t xml:space="preserve">Oedema and/or late gadolinium enhancement of myocarditis pattern in CMR. </w:t>
            </w:r>
          </w:p>
        </w:tc>
      </w:tr>
    </w:tbl>
    <w:p w14:paraId="54D4CCE4" w14:textId="77777777" w:rsidR="00243740" w:rsidRPr="00DD5245" w:rsidRDefault="00243740" w:rsidP="00243740">
      <w:pPr>
        <w:adjustRightInd w:val="0"/>
        <w:snapToGrid w:val="0"/>
        <w:spacing w:after="0" w:line="360" w:lineRule="auto"/>
        <w:jc w:val="both"/>
        <w:rPr>
          <w:rFonts w:ascii="Book Antiqua" w:hAnsi="Book Antiqua"/>
          <w:sz w:val="24"/>
          <w:szCs w:val="24"/>
          <w:lang w:val="en-GB"/>
        </w:rPr>
      </w:pPr>
      <w:r w:rsidRPr="00DD5245">
        <w:rPr>
          <w:rFonts w:ascii="Book Antiqua" w:hAnsi="Book Antiqua"/>
          <w:color w:val="000000"/>
          <w:sz w:val="24"/>
          <w:szCs w:val="24"/>
          <w:shd w:val="clear" w:color="auto" w:fill="FFFFFF"/>
          <w:lang w:val="en-GB"/>
        </w:rPr>
        <w:t xml:space="preserve">CMR: </w:t>
      </w:r>
      <w:r w:rsidRPr="00DD5245">
        <w:rPr>
          <w:rFonts w:ascii="Book Antiqua" w:hAnsi="Book Antiqua"/>
          <w:sz w:val="24"/>
          <w:szCs w:val="24"/>
          <w:lang w:val="en-GB"/>
        </w:rPr>
        <w:t>Cardiac magnetic resonance; ECG: Electrocardiogram.</w:t>
      </w:r>
    </w:p>
    <w:p w14:paraId="4ADDB12F" w14:textId="77777777" w:rsidR="00243740" w:rsidRPr="00243740" w:rsidRDefault="00243740">
      <w:pPr>
        <w:rPr>
          <w:rFonts w:ascii="Book Antiqua" w:hAnsi="Book Antiqua"/>
          <w:sz w:val="24"/>
          <w:szCs w:val="24"/>
          <w:lang w:val="en-GB"/>
        </w:rPr>
      </w:pPr>
    </w:p>
    <w:p w14:paraId="7387B598" w14:textId="4D8A39F1" w:rsidR="00243740" w:rsidRDefault="00243740">
      <w:pPr>
        <w:rPr>
          <w:rFonts w:ascii="Book Antiqua" w:hAnsi="Book Antiqua"/>
          <w:sz w:val="24"/>
          <w:szCs w:val="24"/>
          <w:lang w:val="en-GB"/>
        </w:rPr>
      </w:pPr>
      <w:r>
        <w:rPr>
          <w:rFonts w:ascii="Book Antiqua" w:hAnsi="Book Antiqua"/>
          <w:sz w:val="24"/>
          <w:szCs w:val="24"/>
          <w:lang w:val="en-GB"/>
        </w:rPr>
        <w:br w:type="page"/>
      </w:r>
    </w:p>
    <w:p w14:paraId="3A3AB583" w14:textId="78456C23" w:rsidR="003E7396" w:rsidRPr="00DD5245" w:rsidRDefault="00425BE4" w:rsidP="00707674">
      <w:pPr>
        <w:adjustRightInd w:val="0"/>
        <w:snapToGrid w:val="0"/>
        <w:spacing w:after="0" w:line="360" w:lineRule="auto"/>
        <w:jc w:val="both"/>
        <w:rPr>
          <w:rFonts w:ascii="Book Antiqua" w:hAnsi="Book Antiqua"/>
          <w:sz w:val="24"/>
          <w:szCs w:val="24"/>
          <w:lang w:val="en-GB"/>
        </w:rPr>
      </w:pPr>
      <w:r w:rsidRPr="00DD5245">
        <w:rPr>
          <w:rFonts w:ascii="Book Antiqua" w:hAnsi="Book Antiqua"/>
          <w:noProof/>
          <w:sz w:val="24"/>
          <w:szCs w:val="24"/>
          <w:lang w:val="en-US" w:eastAsia="zh-CN"/>
        </w:rPr>
        <w:lastRenderedPageBreak/>
        <w:drawing>
          <wp:inline distT="0" distB="0" distL="0" distR="0" wp14:anchorId="377E4601" wp14:editId="44547CD2">
            <wp:extent cx="5612130" cy="42094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4209415"/>
                    </a:xfrm>
                    <a:prstGeom prst="rect">
                      <a:avLst/>
                    </a:prstGeom>
                    <a:noFill/>
                    <a:ln>
                      <a:noFill/>
                    </a:ln>
                  </pic:spPr>
                </pic:pic>
              </a:graphicData>
            </a:graphic>
          </wp:inline>
        </w:drawing>
      </w:r>
    </w:p>
    <w:p w14:paraId="216952FD" w14:textId="42F7AD8A" w:rsidR="00952B0D" w:rsidRPr="00DD5245" w:rsidRDefault="007E371A" w:rsidP="00952B0D">
      <w:pPr>
        <w:adjustRightInd w:val="0"/>
        <w:snapToGrid w:val="0"/>
        <w:spacing w:after="0" w:line="360" w:lineRule="auto"/>
        <w:jc w:val="both"/>
        <w:rPr>
          <w:sz w:val="24"/>
          <w:szCs w:val="24"/>
        </w:rPr>
      </w:pPr>
      <w:r w:rsidRPr="00DD5245">
        <w:rPr>
          <w:rFonts w:ascii="Book Antiqua" w:hAnsi="Book Antiqua"/>
          <w:b/>
          <w:bCs/>
          <w:sz w:val="24"/>
          <w:szCs w:val="24"/>
          <w:lang w:val="en-GB"/>
        </w:rPr>
        <w:t>Figure 1</w:t>
      </w:r>
      <w:r w:rsidRPr="00DD5245">
        <w:rPr>
          <w:rFonts w:ascii="Book Antiqua" w:hAnsi="Book Antiqua"/>
          <w:sz w:val="24"/>
          <w:szCs w:val="24"/>
          <w:lang w:val="en-GB"/>
        </w:rPr>
        <w:t xml:space="preserve"> </w:t>
      </w:r>
      <w:r w:rsidRPr="00DD5245">
        <w:rPr>
          <w:rFonts w:ascii="Book Antiqua" w:hAnsi="Book Antiqua"/>
          <w:b/>
          <w:bCs/>
          <w:sz w:val="24"/>
          <w:szCs w:val="24"/>
          <w:lang w:val="en-GB"/>
        </w:rPr>
        <w:t xml:space="preserve">Diagnostic and therapeutic workup for </w:t>
      </w:r>
      <w:r w:rsidR="001627AB" w:rsidRPr="00DD5245">
        <w:rPr>
          <w:rFonts w:ascii="Book Antiqua" w:hAnsi="Book Antiqua"/>
          <w:b/>
          <w:bCs/>
          <w:sz w:val="24"/>
          <w:szCs w:val="24"/>
          <w:lang w:val="en-GB"/>
        </w:rPr>
        <w:t>myocardial infarction with non-obstructive coronary arteries</w:t>
      </w:r>
      <w:r w:rsidRPr="00DD5245">
        <w:rPr>
          <w:rFonts w:ascii="Book Antiqua" w:hAnsi="Book Antiqua"/>
          <w:b/>
          <w:bCs/>
          <w:sz w:val="24"/>
          <w:szCs w:val="24"/>
          <w:lang w:val="en-GB"/>
        </w:rPr>
        <w:t>.</w:t>
      </w:r>
      <w:r w:rsidRPr="00DD5245">
        <w:rPr>
          <w:rFonts w:ascii="Book Antiqua" w:hAnsi="Book Antiqua" w:hint="eastAsia"/>
          <w:sz w:val="24"/>
          <w:szCs w:val="24"/>
          <w:lang w:val="en-GB" w:eastAsia="zh-CN"/>
        </w:rPr>
        <w:t xml:space="preserve"> </w:t>
      </w:r>
      <w:r w:rsidR="00150F1C" w:rsidRPr="00DD5245">
        <w:rPr>
          <w:rFonts w:ascii="Book Antiqua" w:hAnsi="Book Antiqua"/>
          <w:sz w:val="24"/>
          <w:szCs w:val="24"/>
          <w:lang w:val="en-GB"/>
        </w:rPr>
        <w:t xml:space="preserve">STEMI: ST segment elevation myocardial infarction; NSTEMI: Non-ST segment elevation myocardial infarction; Ach: </w:t>
      </w:r>
      <w:r w:rsidRPr="00DD5245">
        <w:rPr>
          <w:rFonts w:ascii="Book Antiqua" w:hAnsi="Book Antiqua"/>
          <w:sz w:val="24"/>
          <w:szCs w:val="24"/>
          <w:lang w:val="en-GB"/>
        </w:rPr>
        <w:t>A</w:t>
      </w:r>
      <w:r w:rsidR="00150F1C" w:rsidRPr="00DD5245">
        <w:rPr>
          <w:rFonts w:ascii="Book Antiqua" w:hAnsi="Book Antiqua"/>
          <w:sz w:val="24"/>
          <w:szCs w:val="24"/>
          <w:lang w:val="en-GB"/>
        </w:rPr>
        <w:t>cetylcholine; CMR: Cardiac magnetic resonance</w:t>
      </w:r>
      <w:r w:rsidRPr="00DD5245">
        <w:rPr>
          <w:rFonts w:ascii="Book Antiqua" w:hAnsi="Book Antiqua"/>
          <w:sz w:val="24"/>
          <w:szCs w:val="24"/>
          <w:lang w:val="en-GB"/>
        </w:rPr>
        <w:t>;</w:t>
      </w:r>
      <w:r w:rsidR="00150F1C" w:rsidRPr="00DD5245">
        <w:rPr>
          <w:rFonts w:ascii="Book Antiqua" w:hAnsi="Book Antiqua"/>
          <w:sz w:val="24"/>
          <w:szCs w:val="24"/>
          <w:lang w:val="en-GB"/>
        </w:rPr>
        <w:t xml:space="preserve"> EMB: </w:t>
      </w:r>
      <w:r w:rsidR="00D614B9" w:rsidRPr="00DD5245">
        <w:rPr>
          <w:rFonts w:ascii="Book Antiqua" w:hAnsi="Book Antiqua"/>
          <w:sz w:val="24"/>
          <w:szCs w:val="24"/>
          <w:lang w:val="en-GB"/>
        </w:rPr>
        <w:t>Endomyocardial</w:t>
      </w:r>
      <w:r w:rsidR="00150F1C" w:rsidRPr="00DD5245">
        <w:rPr>
          <w:rFonts w:ascii="Book Antiqua" w:hAnsi="Book Antiqua"/>
          <w:sz w:val="24"/>
          <w:szCs w:val="24"/>
          <w:lang w:val="en-GB"/>
        </w:rPr>
        <w:t xml:space="preserve"> biopsy; TTE: </w:t>
      </w:r>
      <w:r w:rsidR="00D614B9" w:rsidRPr="00DD5245">
        <w:rPr>
          <w:rFonts w:ascii="Book Antiqua" w:hAnsi="Book Antiqua"/>
          <w:sz w:val="24"/>
          <w:szCs w:val="24"/>
          <w:lang w:val="en-GB"/>
        </w:rPr>
        <w:t>Transthoracic</w:t>
      </w:r>
      <w:r w:rsidR="00150F1C" w:rsidRPr="00DD5245">
        <w:rPr>
          <w:rFonts w:ascii="Book Antiqua" w:hAnsi="Book Antiqua"/>
          <w:sz w:val="24"/>
          <w:szCs w:val="24"/>
          <w:lang w:val="en-GB"/>
        </w:rPr>
        <w:t xml:space="preserve"> echocardiography; TOE: </w:t>
      </w:r>
      <w:r w:rsidR="00D614B9" w:rsidRPr="00DD5245">
        <w:rPr>
          <w:rFonts w:ascii="Book Antiqua" w:hAnsi="Book Antiqua"/>
          <w:sz w:val="24"/>
          <w:szCs w:val="24"/>
          <w:lang w:val="en-GB"/>
        </w:rPr>
        <w:t>Transoesophageal</w:t>
      </w:r>
      <w:r w:rsidR="00150F1C" w:rsidRPr="00DD5245">
        <w:rPr>
          <w:rFonts w:ascii="Book Antiqua" w:hAnsi="Book Antiqua"/>
          <w:sz w:val="24"/>
          <w:szCs w:val="24"/>
          <w:lang w:val="en-GB"/>
        </w:rPr>
        <w:t xml:space="preserve"> </w:t>
      </w:r>
      <w:r w:rsidRPr="00DD5245">
        <w:rPr>
          <w:rFonts w:ascii="Book Antiqua" w:hAnsi="Book Antiqua"/>
          <w:sz w:val="24"/>
          <w:szCs w:val="24"/>
          <w:lang w:val="en-GB"/>
        </w:rPr>
        <w:t>e</w:t>
      </w:r>
      <w:r w:rsidR="00150F1C" w:rsidRPr="00DD5245">
        <w:rPr>
          <w:rFonts w:ascii="Book Antiqua" w:hAnsi="Book Antiqua"/>
          <w:sz w:val="24"/>
          <w:szCs w:val="24"/>
          <w:lang w:val="en-GB"/>
        </w:rPr>
        <w:t xml:space="preserve">chocardiography; ACEi: </w:t>
      </w:r>
      <w:r w:rsidR="00D614B9" w:rsidRPr="00DD5245">
        <w:rPr>
          <w:rFonts w:ascii="Book Antiqua" w:hAnsi="Book Antiqua"/>
          <w:sz w:val="24"/>
          <w:szCs w:val="24"/>
          <w:lang w:val="en-GB"/>
        </w:rPr>
        <w:t>Angiotensin</w:t>
      </w:r>
      <w:r w:rsidR="00150F1C" w:rsidRPr="00DD5245">
        <w:rPr>
          <w:rFonts w:ascii="Book Antiqua" w:hAnsi="Book Antiqua"/>
          <w:sz w:val="24"/>
          <w:szCs w:val="24"/>
          <w:lang w:val="en-GB"/>
        </w:rPr>
        <w:t>-converting-enzyme inhibitors; ARB: Angiotensin II receptor blockers</w:t>
      </w:r>
      <w:r w:rsidR="00952B0D" w:rsidRPr="00DD5245">
        <w:rPr>
          <w:rFonts w:ascii="Book Antiqua" w:hAnsi="Book Antiqua"/>
          <w:sz w:val="24"/>
          <w:szCs w:val="24"/>
          <w:lang w:val="en-GB"/>
        </w:rPr>
        <w:t>; MINOCA</w:t>
      </w:r>
      <w:r w:rsidR="00952B0D" w:rsidRPr="00DD5245">
        <w:rPr>
          <w:rFonts w:ascii="Book Antiqua" w:hAnsi="Book Antiqua" w:hint="eastAsia"/>
          <w:sz w:val="24"/>
          <w:szCs w:val="24"/>
          <w:lang w:val="en-GB" w:eastAsia="zh-CN"/>
        </w:rPr>
        <w:t>:</w:t>
      </w:r>
      <w:r w:rsidR="00952B0D" w:rsidRPr="00DD5245">
        <w:rPr>
          <w:rFonts w:ascii="Book Antiqua" w:hAnsi="Book Antiqua"/>
          <w:sz w:val="24"/>
          <w:szCs w:val="24"/>
          <w:lang w:val="en-GB" w:eastAsia="zh-CN"/>
        </w:rPr>
        <w:t xml:space="preserve"> </w:t>
      </w:r>
      <w:r w:rsidR="00952B0D" w:rsidRPr="00DD5245">
        <w:rPr>
          <w:rFonts w:ascii="Book Antiqua" w:hAnsi="Book Antiqua"/>
          <w:color w:val="000000"/>
          <w:sz w:val="24"/>
          <w:szCs w:val="24"/>
          <w:shd w:val="clear" w:color="auto" w:fill="FFFFFF"/>
          <w:lang w:val="en-GB"/>
        </w:rPr>
        <w:t xml:space="preserve">Myocardial infarction with non-obstructive coronary arteries; </w:t>
      </w:r>
      <w:r w:rsidR="00952B0D" w:rsidRPr="00DD5245">
        <w:rPr>
          <w:rFonts w:ascii="Book Antiqua" w:hAnsi="Book Antiqua"/>
          <w:sz w:val="24"/>
          <w:szCs w:val="24"/>
          <w:lang w:val="en-GB"/>
        </w:rPr>
        <w:t xml:space="preserve">ECG: Electrocardiogram; iFR: Instantaneous wave-free ratio; </w:t>
      </w:r>
      <w:r w:rsidR="00952B0D" w:rsidRPr="00DD5245">
        <w:rPr>
          <w:rFonts w:ascii="Book Antiqua" w:hAnsi="Book Antiqua"/>
          <w:color w:val="000000"/>
          <w:sz w:val="24"/>
          <w:szCs w:val="24"/>
          <w:shd w:val="clear" w:color="auto" w:fill="FFFFFF"/>
          <w:lang w:val="en-GB"/>
        </w:rPr>
        <w:t>OCT: Optical coherence tomography</w:t>
      </w:r>
      <w:r w:rsidR="00952B0D" w:rsidRPr="00DD5245">
        <w:rPr>
          <w:rFonts w:hint="eastAsia"/>
          <w:sz w:val="24"/>
          <w:szCs w:val="24"/>
          <w:lang w:eastAsia="zh-CN"/>
        </w:rPr>
        <w:t>;</w:t>
      </w:r>
      <w:r w:rsidR="00952B0D" w:rsidRPr="00DD5245">
        <w:rPr>
          <w:sz w:val="24"/>
          <w:szCs w:val="24"/>
          <w:lang w:eastAsia="zh-CN"/>
        </w:rPr>
        <w:t xml:space="preserve"> </w:t>
      </w:r>
      <w:r w:rsidR="00952B0D" w:rsidRPr="00DD5245">
        <w:rPr>
          <w:rFonts w:ascii="Book Antiqua" w:hAnsi="Book Antiqua"/>
          <w:sz w:val="24"/>
          <w:szCs w:val="24"/>
          <w:lang w:val="en-GB"/>
        </w:rPr>
        <w:t xml:space="preserve">FFR: Fractional flow reserve; </w:t>
      </w:r>
      <w:r w:rsidR="00952B0D" w:rsidRPr="00DD5245">
        <w:rPr>
          <w:rFonts w:ascii="Book Antiqua" w:hAnsi="Book Antiqua"/>
          <w:color w:val="000000"/>
          <w:sz w:val="24"/>
          <w:szCs w:val="24"/>
          <w:shd w:val="clear" w:color="auto" w:fill="FFFFFF"/>
          <w:lang w:val="en-GB"/>
        </w:rPr>
        <w:t xml:space="preserve">IVUS: Intravascular ultrasound; </w:t>
      </w:r>
      <w:r w:rsidR="00952B0D" w:rsidRPr="00DD5245">
        <w:rPr>
          <w:rFonts w:ascii="Book Antiqua" w:hAnsi="Book Antiqua"/>
          <w:sz w:val="24"/>
          <w:szCs w:val="24"/>
          <w:lang w:val="en-GB"/>
        </w:rPr>
        <w:t>PET: Positron emission tomography</w:t>
      </w:r>
      <w:r w:rsidR="00A56858" w:rsidRPr="00DD5245">
        <w:rPr>
          <w:rFonts w:ascii="Book Antiqua" w:hAnsi="Book Antiqua"/>
          <w:sz w:val="24"/>
          <w:szCs w:val="24"/>
          <w:lang w:val="en-GB"/>
        </w:rPr>
        <w:t>.</w:t>
      </w:r>
    </w:p>
    <w:p w14:paraId="7DE0BE15" w14:textId="2BE59CCE" w:rsidR="003E7396" w:rsidRPr="00DD5245" w:rsidRDefault="003E7396" w:rsidP="00707674">
      <w:pPr>
        <w:adjustRightInd w:val="0"/>
        <w:snapToGrid w:val="0"/>
        <w:spacing w:after="0" w:line="360" w:lineRule="auto"/>
        <w:jc w:val="both"/>
        <w:rPr>
          <w:rFonts w:ascii="Book Antiqua" w:hAnsi="Book Antiqua"/>
          <w:sz w:val="24"/>
          <w:szCs w:val="24"/>
          <w:lang w:val="en-GB"/>
        </w:rPr>
      </w:pPr>
    </w:p>
    <w:p w14:paraId="2AABEBDC" w14:textId="77777777" w:rsidR="003E7396" w:rsidRPr="00DD5245" w:rsidRDefault="003E7396" w:rsidP="00707674">
      <w:pPr>
        <w:adjustRightInd w:val="0"/>
        <w:snapToGrid w:val="0"/>
        <w:spacing w:after="0" w:line="360" w:lineRule="auto"/>
        <w:jc w:val="both"/>
        <w:rPr>
          <w:rFonts w:ascii="Book Antiqua" w:hAnsi="Book Antiqua"/>
          <w:sz w:val="24"/>
          <w:szCs w:val="24"/>
          <w:lang w:val="en-GB"/>
        </w:rPr>
      </w:pPr>
    </w:p>
    <w:sectPr w:rsidR="003E7396" w:rsidRPr="00DD5245" w:rsidSect="00463895">
      <w:footerReference w:type="default" r:id="rId2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8073D" w14:textId="77777777" w:rsidR="00C66345" w:rsidRDefault="00C66345">
      <w:pPr>
        <w:spacing w:after="0" w:line="240" w:lineRule="auto"/>
      </w:pPr>
      <w:r>
        <w:separator/>
      </w:r>
    </w:p>
  </w:endnote>
  <w:endnote w:type="continuationSeparator" w:id="0">
    <w:p w14:paraId="34D4EFF3" w14:textId="77777777" w:rsidR="00C66345" w:rsidRDefault="00C6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1E0D7" w14:textId="740591B4" w:rsidR="00C202EA" w:rsidRDefault="00C202EA">
    <w:pPr>
      <w:pStyle w:val="af"/>
      <w:jc w:val="right"/>
    </w:pPr>
  </w:p>
  <w:p w14:paraId="2B5EBECE" w14:textId="77777777" w:rsidR="00C202EA" w:rsidRDefault="00C202E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DA0D3" w14:textId="77777777" w:rsidR="00C66345" w:rsidRDefault="00C66345">
      <w:pPr>
        <w:spacing w:after="0" w:line="240" w:lineRule="auto"/>
      </w:pPr>
      <w:r>
        <w:separator/>
      </w:r>
    </w:p>
  </w:footnote>
  <w:footnote w:type="continuationSeparator" w:id="0">
    <w:p w14:paraId="63C4FF1A" w14:textId="77777777" w:rsidR="00C66345" w:rsidRDefault="00C66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686E"/>
    <w:multiLevelType w:val="hybridMultilevel"/>
    <w:tmpl w:val="3210F360"/>
    <w:lvl w:ilvl="0" w:tplc="82DA761E">
      <w:start w:val="1"/>
      <w:numFmt w:val="decimal"/>
      <w:lvlText w:val="%1."/>
      <w:lvlJc w:val="left"/>
      <w:pPr>
        <w:ind w:left="720" w:hanging="360"/>
      </w:pPr>
    </w:lvl>
    <w:lvl w:ilvl="1" w:tplc="B786FD10" w:tentative="1">
      <w:start w:val="1"/>
      <w:numFmt w:val="lowerLetter"/>
      <w:lvlText w:val="%2."/>
      <w:lvlJc w:val="left"/>
      <w:pPr>
        <w:ind w:left="1440" w:hanging="360"/>
      </w:pPr>
    </w:lvl>
    <w:lvl w:ilvl="2" w:tplc="D89EA54C" w:tentative="1">
      <w:start w:val="1"/>
      <w:numFmt w:val="lowerRoman"/>
      <w:lvlText w:val="%3."/>
      <w:lvlJc w:val="right"/>
      <w:pPr>
        <w:ind w:left="2160" w:hanging="180"/>
      </w:pPr>
    </w:lvl>
    <w:lvl w:ilvl="3" w:tplc="E21A7A3E" w:tentative="1">
      <w:start w:val="1"/>
      <w:numFmt w:val="decimal"/>
      <w:lvlText w:val="%4."/>
      <w:lvlJc w:val="left"/>
      <w:pPr>
        <w:ind w:left="2880" w:hanging="360"/>
      </w:pPr>
    </w:lvl>
    <w:lvl w:ilvl="4" w:tplc="FF6A0C78" w:tentative="1">
      <w:start w:val="1"/>
      <w:numFmt w:val="lowerLetter"/>
      <w:lvlText w:val="%5."/>
      <w:lvlJc w:val="left"/>
      <w:pPr>
        <w:ind w:left="3600" w:hanging="360"/>
      </w:pPr>
    </w:lvl>
    <w:lvl w:ilvl="5" w:tplc="C088A78A" w:tentative="1">
      <w:start w:val="1"/>
      <w:numFmt w:val="lowerRoman"/>
      <w:lvlText w:val="%6."/>
      <w:lvlJc w:val="right"/>
      <w:pPr>
        <w:ind w:left="4320" w:hanging="180"/>
      </w:pPr>
    </w:lvl>
    <w:lvl w:ilvl="6" w:tplc="EFF656EC" w:tentative="1">
      <w:start w:val="1"/>
      <w:numFmt w:val="decimal"/>
      <w:lvlText w:val="%7."/>
      <w:lvlJc w:val="left"/>
      <w:pPr>
        <w:ind w:left="5040" w:hanging="360"/>
      </w:pPr>
    </w:lvl>
    <w:lvl w:ilvl="7" w:tplc="0E120AA0" w:tentative="1">
      <w:start w:val="1"/>
      <w:numFmt w:val="lowerLetter"/>
      <w:lvlText w:val="%8."/>
      <w:lvlJc w:val="left"/>
      <w:pPr>
        <w:ind w:left="5760" w:hanging="360"/>
      </w:pPr>
    </w:lvl>
    <w:lvl w:ilvl="8" w:tplc="18C0FE9C" w:tentative="1">
      <w:start w:val="1"/>
      <w:numFmt w:val="lowerRoman"/>
      <w:lvlText w:val="%9."/>
      <w:lvlJc w:val="right"/>
      <w:pPr>
        <w:ind w:left="6480" w:hanging="180"/>
      </w:pPr>
    </w:lvl>
  </w:abstractNum>
  <w:abstractNum w:abstractNumId="1">
    <w:nsid w:val="146B6E55"/>
    <w:multiLevelType w:val="hybridMultilevel"/>
    <w:tmpl w:val="EB72246E"/>
    <w:lvl w:ilvl="0" w:tplc="B98CA9C2">
      <w:start w:val="1"/>
      <w:numFmt w:val="bullet"/>
      <w:lvlText w:val=""/>
      <w:lvlJc w:val="left"/>
      <w:pPr>
        <w:ind w:left="720" w:hanging="360"/>
      </w:pPr>
      <w:rPr>
        <w:rFonts w:ascii="Symbol" w:hAnsi="Symbol" w:hint="default"/>
      </w:rPr>
    </w:lvl>
    <w:lvl w:ilvl="1" w:tplc="FDC29AD0" w:tentative="1">
      <w:start w:val="1"/>
      <w:numFmt w:val="bullet"/>
      <w:lvlText w:val="o"/>
      <w:lvlJc w:val="left"/>
      <w:pPr>
        <w:ind w:left="1440" w:hanging="360"/>
      </w:pPr>
      <w:rPr>
        <w:rFonts w:ascii="Courier New" w:hAnsi="Courier New" w:cs="Courier New" w:hint="default"/>
      </w:rPr>
    </w:lvl>
    <w:lvl w:ilvl="2" w:tplc="8BB63090" w:tentative="1">
      <w:start w:val="1"/>
      <w:numFmt w:val="bullet"/>
      <w:lvlText w:val=""/>
      <w:lvlJc w:val="left"/>
      <w:pPr>
        <w:ind w:left="2160" w:hanging="360"/>
      </w:pPr>
      <w:rPr>
        <w:rFonts w:ascii="Wingdings" w:hAnsi="Wingdings" w:hint="default"/>
      </w:rPr>
    </w:lvl>
    <w:lvl w:ilvl="3" w:tplc="9084AA7C" w:tentative="1">
      <w:start w:val="1"/>
      <w:numFmt w:val="bullet"/>
      <w:lvlText w:val=""/>
      <w:lvlJc w:val="left"/>
      <w:pPr>
        <w:ind w:left="2880" w:hanging="360"/>
      </w:pPr>
      <w:rPr>
        <w:rFonts w:ascii="Symbol" w:hAnsi="Symbol" w:hint="default"/>
      </w:rPr>
    </w:lvl>
    <w:lvl w:ilvl="4" w:tplc="E0B2D148" w:tentative="1">
      <w:start w:val="1"/>
      <w:numFmt w:val="bullet"/>
      <w:lvlText w:val="o"/>
      <w:lvlJc w:val="left"/>
      <w:pPr>
        <w:ind w:left="3600" w:hanging="360"/>
      </w:pPr>
      <w:rPr>
        <w:rFonts w:ascii="Courier New" w:hAnsi="Courier New" w:cs="Courier New" w:hint="default"/>
      </w:rPr>
    </w:lvl>
    <w:lvl w:ilvl="5" w:tplc="42A2D3E0" w:tentative="1">
      <w:start w:val="1"/>
      <w:numFmt w:val="bullet"/>
      <w:lvlText w:val=""/>
      <w:lvlJc w:val="left"/>
      <w:pPr>
        <w:ind w:left="4320" w:hanging="360"/>
      </w:pPr>
      <w:rPr>
        <w:rFonts w:ascii="Wingdings" w:hAnsi="Wingdings" w:hint="default"/>
      </w:rPr>
    </w:lvl>
    <w:lvl w:ilvl="6" w:tplc="AF5A8268" w:tentative="1">
      <w:start w:val="1"/>
      <w:numFmt w:val="bullet"/>
      <w:lvlText w:val=""/>
      <w:lvlJc w:val="left"/>
      <w:pPr>
        <w:ind w:left="5040" w:hanging="360"/>
      </w:pPr>
      <w:rPr>
        <w:rFonts w:ascii="Symbol" w:hAnsi="Symbol" w:hint="default"/>
      </w:rPr>
    </w:lvl>
    <w:lvl w:ilvl="7" w:tplc="6C3CDC58" w:tentative="1">
      <w:start w:val="1"/>
      <w:numFmt w:val="bullet"/>
      <w:lvlText w:val="o"/>
      <w:lvlJc w:val="left"/>
      <w:pPr>
        <w:ind w:left="5760" w:hanging="360"/>
      </w:pPr>
      <w:rPr>
        <w:rFonts w:ascii="Courier New" w:hAnsi="Courier New" w:cs="Courier New" w:hint="default"/>
      </w:rPr>
    </w:lvl>
    <w:lvl w:ilvl="8" w:tplc="BE228F36" w:tentative="1">
      <w:start w:val="1"/>
      <w:numFmt w:val="bullet"/>
      <w:lvlText w:val=""/>
      <w:lvlJc w:val="left"/>
      <w:pPr>
        <w:ind w:left="6480" w:hanging="360"/>
      </w:pPr>
      <w:rPr>
        <w:rFonts w:ascii="Wingdings" w:hAnsi="Wingdings" w:hint="default"/>
      </w:rPr>
    </w:lvl>
  </w:abstractNum>
  <w:abstractNum w:abstractNumId="2">
    <w:nsid w:val="169879EC"/>
    <w:multiLevelType w:val="hybridMultilevel"/>
    <w:tmpl w:val="370AC932"/>
    <w:lvl w:ilvl="0" w:tplc="6FA0C988">
      <w:start w:val="1"/>
      <w:numFmt w:val="decimal"/>
      <w:lvlText w:val="%1."/>
      <w:lvlJc w:val="left"/>
      <w:pPr>
        <w:ind w:left="720" w:hanging="360"/>
      </w:pPr>
    </w:lvl>
    <w:lvl w:ilvl="1" w:tplc="156AEC52" w:tentative="1">
      <w:start w:val="1"/>
      <w:numFmt w:val="lowerLetter"/>
      <w:lvlText w:val="%2."/>
      <w:lvlJc w:val="left"/>
      <w:pPr>
        <w:ind w:left="1440" w:hanging="360"/>
      </w:pPr>
    </w:lvl>
    <w:lvl w:ilvl="2" w:tplc="B622C6C4" w:tentative="1">
      <w:start w:val="1"/>
      <w:numFmt w:val="lowerRoman"/>
      <w:lvlText w:val="%3."/>
      <w:lvlJc w:val="right"/>
      <w:pPr>
        <w:ind w:left="2160" w:hanging="180"/>
      </w:pPr>
    </w:lvl>
    <w:lvl w:ilvl="3" w:tplc="E79A9CAA" w:tentative="1">
      <w:start w:val="1"/>
      <w:numFmt w:val="decimal"/>
      <w:lvlText w:val="%4."/>
      <w:lvlJc w:val="left"/>
      <w:pPr>
        <w:ind w:left="2880" w:hanging="360"/>
      </w:pPr>
    </w:lvl>
    <w:lvl w:ilvl="4" w:tplc="AEA20946" w:tentative="1">
      <w:start w:val="1"/>
      <w:numFmt w:val="lowerLetter"/>
      <w:lvlText w:val="%5."/>
      <w:lvlJc w:val="left"/>
      <w:pPr>
        <w:ind w:left="3600" w:hanging="360"/>
      </w:pPr>
    </w:lvl>
    <w:lvl w:ilvl="5" w:tplc="1EF04170" w:tentative="1">
      <w:start w:val="1"/>
      <w:numFmt w:val="lowerRoman"/>
      <w:lvlText w:val="%6."/>
      <w:lvlJc w:val="right"/>
      <w:pPr>
        <w:ind w:left="4320" w:hanging="180"/>
      </w:pPr>
    </w:lvl>
    <w:lvl w:ilvl="6" w:tplc="EEC47800" w:tentative="1">
      <w:start w:val="1"/>
      <w:numFmt w:val="decimal"/>
      <w:lvlText w:val="%7."/>
      <w:lvlJc w:val="left"/>
      <w:pPr>
        <w:ind w:left="5040" w:hanging="360"/>
      </w:pPr>
    </w:lvl>
    <w:lvl w:ilvl="7" w:tplc="FDC4FC52" w:tentative="1">
      <w:start w:val="1"/>
      <w:numFmt w:val="lowerLetter"/>
      <w:lvlText w:val="%8."/>
      <w:lvlJc w:val="left"/>
      <w:pPr>
        <w:ind w:left="5760" w:hanging="360"/>
      </w:pPr>
    </w:lvl>
    <w:lvl w:ilvl="8" w:tplc="7D78047C" w:tentative="1">
      <w:start w:val="1"/>
      <w:numFmt w:val="lowerRoman"/>
      <w:lvlText w:val="%9."/>
      <w:lvlJc w:val="right"/>
      <w:pPr>
        <w:ind w:left="6480" w:hanging="180"/>
      </w:pPr>
    </w:lvl>
  </w:abstractNum>
  <w:abstractNum w:abstractNumId="3">
    <w:nsid w:val="17E73806"/>
    <w:multiLevelType w:val="hybridMultilevel"/>
    <w:tmpl w:val="FA3C60EA"/>
    <w:lvl w:ilvl="0" w:tplc="0D18A406">
      <w:start w:val="1"/>
      <w:numFmt w:val="bullet"/>
      <w:lvlText w:val=""/>
      <w:lvlJc w:val="left"/>
      <w:pPr>
        <w:ind w:left="720" w:hanging="360"/>
      </w:pPr>
      <w:rPr>
        <w:rFonts w:ascii="Symbol" w:hAnsi="Symbol" w:hint="default"/>
      </w:rPr>
    </w:lvl>
    <w:lvl w:ilvl="1" w:tplc="EDDC9476" w:tentative="1">
      <w:start w:val="1"/>
      <w:numFmt w:val="bullet"/>
      <w:lvlText w:val="o"/>
      <w:lvlJc w:val="left"/>
      <w:pPr>
        <w:ind w:left="1440" w:hanging="360"/>
      </w:pPr>
      <w:rPr>
        <w:rFonts w:ascii="Courier New" w:hAnsi="Courier New" w:cs="Courier New" w:hint="default"/>
      </w:rPr>
    </w:lvl>
    <w:lvl w:ilvl="2" w:tplc="0EAC4340" w:tentative="1">
      <w:start w:val="1"/>
      <w:numFmt w:val="bullet"/>
      <w:lvlText w:val=""/>
      <w:lvlJc w:val="left"/>
      <w:pPr>
        <w:ind w:left="2160" w:hanging="360"/>
      </w:pPr>
      <w:rPr>
        <w:rFonts w:ascii="Wingdings" w:hAnsi="Wingdings" w:hint="default"/>
      </w:rPr>
    </w:lvl>
    <w:lvl w:ilvl="3" w:tplc="71EA8F0A" w:tentative="1">
      <w:start w:val="1"/>
      <w:numFmt w:val="bullet"/>
      <w:lvlText w:val=""/>
      <w:lvlJc w:val="left"/>
      <w:pPr>
        <w:ind w:left="2880" w:hanging="360"/>
      </w:pPr>
      <w:rPr>
        <w:rFonts w:ascii="Symbol" w:hAnsi="Symbol" w:hint="default"/>
      </w:rPr>
    </w:lvl>
    <w:lvl w:ilvl="4" w:tplc="EA5EDA88" w:tentative="1">
      <w:start w:val="1"/>
      <w:numFmt w:val="bullet"/>
      <w:lvlText w:val="o"/>
      <w:lvlJc w:val="left"/>
      <w:pPr>
        <w:ind w:left="3600" w:hanging="360"/>
      </w:pPr>
      <w:rPr>
        <w:rFonts w:ascii="Courier New" w:hAnsi="Courier New" w:cs="Courier New" w:hint="default"/>
      </w:rPr>
    </w:lvl>
    <w:lvl w:ilvl="5" w:tplc="32A438D6" w:tentative="1">
      <w:start w:val="1"/>
      <w:numFmt w:val="bullet"/>
      <w:lvlText w:val=""/>
      <w:lvlJc w:val="left"/>
      <w:pPr>
        <w:ind w:left="4320" w:hanging="360"/>
      </w:pPr>
      <w:rPr>
        <w:rFonts w:ascii="Wingdings" w:hAnsi="Wingdings" w:hint="default"/>
      </w:rPr>
    </w:lvl>
    <w:lvl w:ilvl="6" w:tplc="E02813A2" w:tentative="1">
      <w:start w:val="1"/>
      <w:numFmt w:val="bullet"/>
      <w:lvlText w:val=""/>
      <w:lvlJc w:val="left"/>
      <w:pPr>
        <w:ind w:left="5040" w:hanging="360"/>
      </w:pPr>
      <w:rPr>
        <w:rFonts w:ascii="Symbol" w:hAnsi="Symbol" w:hint="default"/>
      </w:rPr>
    </w:lvl>
    <w:lvl w:ilvl="7" w:tplc="AFB405F2" w:tentative="1">
      <w:start w:val="1"/>
      <w:numFmt w:val="bullet"/>
      <w:lvlText w:val="o"/>
      <w:lvlJc w:val="left"/>
      <w:pPr>
        <w:ind w:left="5760" w:hanging="360"/>
      </w:pPr>
      <w:rPr>
        <w:rFonts w:ascii="Courier New" w:hAnsi="Courier New" w:cs="Courier New" w:hint="default"/>
      </w:rPr>
    </w:lvl>
    <w:lvl w:ilvl="8" w:tplc="524A69E2" w:tentative="1">
      <w:start w:val="1"/>
      <w:numFmt w:val="bullet"/>
      <w:lvlText w:val=""/>
      <w:lvlJc w:val="left"/>
      <w:pPr>
        <w:ind w:left="6480" w:hanging="360"/>
      </w:pPr>
      <w:rPr>
        <w:rFonts w:ascii="Wingdings" w:hAnsi="Wingdings" w:hint="default"/>
      </w:rPr>
    </w:lvl>
  </w:abstractNum>
  <w:abstractNum w:abstractNumId="4">
    <w:nsid w:val="2EB21CD4"/>
    <w:multiLevelType w:val="hybridMultilevel"/>
    <w:tmpl w:val="1A3E31CE"/>
    <w:lvl w:ilvl="0" w:tplc="6382EF34">
      <w:start w:val="1"/>
      <w:numFmt w:val="decimal"/>
      <w:lvlText w:val="%1."/>
      <w:lvlJc w:val="left"/>
      <w:pPr>
        <w:ind w:left="720" w:hanging="360"/>
      </w:pPr>
    </w:lvl>
    <w:lvl w:ilvl="1" w:tplc="4A9CC2CC" w:tentative="1">
      <w:start w:val="1"/>
      <w:numFmt w:val="lowerLetter"/>
      <w:lvlText w:val="%2."/>
      <w:lvlJc w:val="left"/>
      <w:pPr>
        <w:ind w:left="1440" w:hanging="360"/>
      </w:pPr>
    </w:lvl>
    <w:lvl w:ilvl="2" w:tplc="91AAAB18" w:tentative="1">
      <w:start w:val="1"/>
      <w:numFmt w:val="lowerRoman"/>
      <w:lvlText w:val="%3."/>
      <w:lvlJc w:val="right"/>
      <w:pPr>
        <w:ind w:left="2160" w:hanging="180"/>
      </w:pPr>
    </w:lvl>
    <w:lvl w:ilvl="3" w:tplc="42A290DE" w:tentative="1">
      <w:start w:val="1"/>
      <w:numFmt w:val="decimal"/>
      <w:lvlText w:val="%4."/>
      <w:lvlJc w:val="left"/>
      <w:pPr>
        <w:ind w:left="2880" w:hanging="360"/>
      </w:pPr>
    </w:lvl>
    <w:lvl w:ilvl="4" w:tplc="1772BA8A" w:tentative="1">
      <w:start w:val="1"/>
      <w:numFmt w:val="lowerLetter"/>
      <w:lvlText w:val="%5."/>
      <w:lvlJc w:val="left"/>
      <w:pPr>
        <w:ind w:left="3600" w:hanging="360"/>
      </w:pPr>
    </w:lvl>
    <w:lvl w:ilvl="5" w:tplc="D1A07026" w:tentative="1">
      <w:start w:val="1"/>
      <w:numFmt w:val="lowerRoman"/>
      <w:lvlText w:val="%6."/>
      <w:lvlJc w:val="right"/>
      <w:pPr>
        <w:ind w:left="4320" w:hanging="180"/>
      </w:pPr>
    </w:lvl>
    <w:lvl w:ilvl="6" w:tplc="DF30CDE2" w:tentative="1">
      <w:start w:val="1"/>
      <w:numFmt w:val="decimal"/>
      <w:lvlText w:val="%7."/>
      <w:lvlJc w:val="left"/>
      <w:pPr>
        <w:ind w:left="5040" w:hanging="360"/>
      </w:pPr>
    </w:lvl>
    <w:lvl w:ilvl="7" w:tplc="DB94804A" w:tentative="1">
      <w:start w:val="1"/>
      <w:numFmt w:val="lowerLetter"/>
      <w:lvlText w:val="%8."/>
      <w:lvlJc w:val="left"/>
      <w:pPr>
        <w:ind w:left="5760" w:hanging="360"/>
      </w:pPr>
    </w:lvl>
    <w:lvl w:ilvl="8" w:tplc="3FC859BA" w:tentative="1">
      <w:start w:val="1"/>
      <w:numFmt w:val="lowerRoman"/>
      <w:lvlText w:val="%9."/>
      <w:lvlJc w:val="right"/>
      <w:pPr>
        <w:ind w:left="6480" w:hanging="180"/>
      </w:pPr>
    </w:lvl>
  </w:abstractNum>
  <w:abstractNum w:abstractNumId="5">
    <w:nsid w:val="31C5072F"/>
    <w:multiLevelType w:val="hybridMultilevel"/>
    <w:tmpl w:val="80A25FEA"/>
    <w:lvl w:ilvl="0" w:tplc="6B4A569A">
      <w:start w:val="1"/>
      <w:numFmt w:val="bullet"/>
      <w:lvlText w:val=""/>
      <w:lvlJc w:val="left"/>
      <w:pPr>
        <w:ind w:left="720" w:hanging="360"/>
      </w:pPr>
      <w:rPr>
        <w:rFonts w:ascii="Symbol" w:hAnsi="Symbol" w:hint="default"/>
      </w:rPr>
    </w:lvl>
    <w:lvl w:ilvl="1" w:tplc="B4909C44" w:tentative="1">
      <w:start w:val="1"/>
      <w:numFmt w:val="bullet"/>
      <w:lvlText w:val="o"/>
      <w:lvlJc w:val="left"/>
      <w:pPr>
        <w:ind w:left="1440" w:hanging="360"/>
      </w:pPr>
      <w:rPr>
        <w:rFonts w:ascii="Courier New" w:hAnsi="Courier New" w:cs="Courier New" w:hint="default"/>
      </w:rPr>
    </w:lvl>
    <w:lvl w:ilvl="2" w:tplc="463AAA64" w:tentative="1">
      <w:start w:val="1"/>
      <w:numFmt w:val="bullet"/>
      <w:lvlText w:val=""/>
      <w:lvlJc w:val="left"/>
      <w:pPr>
        <w:ind w:left="2160" w:hanging="360"/>
      </w:pPr>
      <w:rPr>
        <w:rFonts w:ascii="Wingdings" w:hAnsi="Wingdings" w:hint="default"/>
      </w:rPr>
    </w:lvl>
    <w:lvl w:ilvl="3" w:tplc="501246D8" w:tentative="1">
      <w:start w:val="1"/>
      <w:numFmt w:val="bullet"/>
      <w:lvlText w:val=""/>
      <w:lvlJc w:val="left"/>
      <w:pPr>
        <w:ind w:left="2880" w:hanging="360"/>
      </w:pPr>
      <w:rPr>
        <w:rFonts w:ascii="Symbol" w:hAnsi="Symbol" w:hint="default"/>
      </w:rPr>
    </w:lvl>
    <w:lvl w:ilvl="4" w:tplc="36A0FC88" w:tentative="1">
      <w:start w:val="1"/>
      <w:numFmt w:val="bullet"/>
      <w:lvlText w:val="o"/>
      <w:lvlJc w:val="left"/>
      <w:pPr>
        <w:ind w:left="3600" w:hanging="360"/>
      </w:pPr>
      <w:rPr>
        <w:rFonts w:ascii="Courier New" w:hAnsi="Courier New" w:cs="Courier New" w:hint="default"/>
      </w:rPr>
    </w:lvl>
    <w:lvl w:ilvl="5" w:tplc="AADC272A" w:tentative="1">
      <w:start w:val="1"/>
      <w:numFmt w:val="bullet"/>
      <w:lvlText w:val=""/>
      <w:lvlJc w:val="left"/>
      <w:pPr>
        <w:ind w:left="4320" w:hanging="360"/>
      </w:pPr>
      <w:rPr>
        <w:rFonts w:ascii="Wingdings" w:hAnsi="Wingdings" w:hint="default"/>
      </w:rPr>
    </w:lvl>
    <w:lvl w:ilvl="6" w:tplc="E6304142" w:tentative="1">
      <w:start w:val="1"/>
      <w:numFmt w:val="bullet"/>
      <w:lvlText w:val=""/>
      <w:lvlJc w:val="left"/>
      <w:pPr>
        <w:ind w:left="5040" w:hanging="360"/>
      </w:pPr>
      <w:rPr>
        <w:rFonts w:ascii="Symbol" w:hAnsi="Symbol" w:hint="default"/>
      </w:rPr>
    </w:lvl>
    <w:lvl w:ilvl="7" w:tplc="DAEAC2C8" w:tentative="1">
      <w:start w:val="1"/>
      <w:numFmt w:val="bullet"/>
      <w:lvlText w:val="o"/>
      <w:lvlJc w:val="left"/>
      <w:pPr>
        <w:ind w:left="5760" w:hanging="360"/>
      </w:pPr>
      <w:rPr>
        <w:rFonts w:ascii="Courier New" w:hAnsi="Courier New" w:cs="Courier New" w:hint="default"/>
      </w:rPr>
    </w:lvl>
    <w:lvl w:ilvl="8" w:tplc="E74620A8" w:tentative="1">
      <w:start w:val="1"/>
      <w:numFmt w:val="bullet"/>
      <w:lvlText w:val=""/>
      <w:lvlJc w:val="left"/>
      <w:pPr>
        <w:ind w:left="6480" w:hanging="360"/>
      </w:pPr>
      <w:rPr>
        <w:rFonts w:ascii="Wingdings" w:hAnsi="Wingdings" w:hint="default"/>
      </w:rPr>
    </w:lvl>
  </w:abstractNum>
  <w:abstractNum w:abstractNumId="6">
    <w:nsid w:val="3A2322D5"/>
    <w:multiLevelType w:val="hybridMultilevel"/>
    <w:tmpl w:val="9DDA2CFA"/>
    <w:lvl w:ilvl="0" w:tplc="693A2CF2">
      <w:numFmt w:val="bullet"/>
      <w:lvlText w:val="-"/>
      <w:lvlJc w:val="left"/>
      <w:pPr>
        <w:ind w:left="720" w:hanging="360"/>
      </w:pPr>
      <w:rPr>
        <w:rFonts w:ascii="Calibri" w:eastAsiaTheme="minorHAnsi" w:hAnsi="Calibri" w:cs="Calibri" w:hint="default"/>
      </w:rPr>
    </w:lvl>
    <w:lvl w:ilvl="1" w:tplc="92A06D8A">
      <w:start w:val="1"/>
      <w:numFmt w:val="bullet"/>
      <w:lvlText w:val="o"/>
      <w:lvlJc w:val="left"/>
      <w:pPr>
        <w:ind w:left="1440" w:hanging="360"/>
      </w:pPr>
      <w:rPr>
        <w:rFonts w:ascii="Courier New" w:hAnsi="Courier New" w:cs="Courier New" w:hint="default"/>
      </w:rPr>
    </w:lvl>
    <w:lvl w:ilvl="2" w:tplc="B5E6BB70">
      <w:start w:val="1"/>
      <w:numFmt w:val="bullet"/>
      <w:lvlText w:val=""/>
      <w:lvlJc w:val="left"/>
      <w:pPr>
        <w:ind w:left="2160" w:hanging="360"/>
      </w:pPr>
      <w:rPr>
        <w:rFonts w:ascii="Wingdings" w:hAnsi="Wingdings" w:hint="default"/>
      </w:rPr>
    </w:lvl>
    <w:lvl w:ilvl="3" w:tplc="30441310" w:tentative="1">
      <w:start w:val="1"/>
      <w:numFmt w:val="bullet"/>
      <w:lvlText w:val=""/>
      <w:lvlJc w:val="left"/>
      <w:pPr>
        <w:ind w:left="2880" w:hanging="360"/>
      </w:pPr>
      <w:rPr>
        <w:rFonts w:ascii="Symbol" w:hAnsi="Symbol" w:hint="default"/>
      </w:rPr>
    </w:lvl>
    <w:lvl w:ilvl="4" w:tplc="8D824BF4" w:tentative="1">
      <w:start w:val="1"/>
      <w:numFmt w:val="bullet"/>
      <w:lvlText w:val="o"/>
      <w:lvlJc w:val="left"/>
      <w:pPr>
        <w:ind w:left="3600" w:hanging="360"/>
      </w:pPr>
      <w:rPr>
        <w:rFonts w:ascii="Courier New" w:hAnsi="Courier New" w:cs="Courier New" w:hint="default"/>
      </w:rPr>
    </w:lvl>
    <w:lvl w:ilvl="5" w:tplc="59849B3A" w:tentative="1">
      <w:start w:val="1"/>
      <w:numFmt w:val="bullet"/>
      <w:lvlText w:val=""/>
      <w:lvlJc w:val="left"/>
      <w:pPr>
        <w:ind w:left="4320" w:hanging="360"/>
      </w:pPr>
      <w:rPr>
        <w:rFonts w:ascii="Wingdings" w:hAnsi="Wingdings" w:hint="default"/>
      </w:rPr>
    </w:lvl>
    <w:lvl w:ilvl="6" w:tplc="8426315C" w:tentative="1">
      <w:start w:val="1"/>
      <w:numFmt w:val="bullet"/>
      <w:lvlText w:val=""/>
      <w:lvlJc w:val="left"/>
      <w:pPr>
        <w:ind w:left="5040" w:hanging="360"/>
      </w:pPr>
      <w:rPr>
        <w:rFonts w:ascii="Symbol" w:hAnsi="Symbol" w:hint="default"/>
      </w:rPr>
    </w:lvl>
    <w:lvl w:ilvl="7" w:tplc="253A7934" w:tentative="1">
      <w:start w:val="1"/>
      <w:numFmt w:val="bullet"/>
      <w:lvlText w:val="o"/>
      <w:lvlJc w:val="left"/>
      <w:pPr>
        <w:ind w:left="5760" w:hanging="360"/>
      </w:pPr>
      <w:rPr>
        <w:rFonts w:ascii="Courier New" w:hAnsi="Courier New" w:cs="Courier New" w:hint="default"/>
      </w:rPr>
    </w:lvl>
    <w:lvl w:ilvl="8" w:tplc="59428B96" w:tentative="1">
      <w:start w:val="1"/>
      <w:numFmt w:val="bullet"/>
      <w:lvlText w:val=""/>
      <w:lvlJc w:val="left"/>
      <w:pPr>
        <w:ind w:left="6480" w:hanging="360"/>
      </w:pPr>
      <w:rPr>
        <w:rFonts w:ascii="Wingdings" w:hAnsi="Wingdings" w:hint="default"/>
      </w:rPr>
    </w:lvl>
  </w:abstractNum>
  <w:abstractNum w:abstractNumId="7">
    <w:nsid w:val="5338553D"/>
    <w:multiLevelType w:val="hybridMultilevel"/>
    <w:tmpl w:val="94F2AD4A"/>
    <w:lvl w:ilvl="0" w:tplc="99EEC71A">
      <w:start w:val="1"/>
      <w:numFmt w:val="decimal"/>
      <w:lvlText w:val="%1."/>
      <w:lvlJc w:val="left"/>
      <w:pPr>
        <w:ind w:left="720" w:hanging="360"/>
      </w:pPr>
    </w:lvl>
    <w:lvl w:ilvl="1" w:tplc="DE6EC784" w:tentative="1">
      <w:start w:val="1"/>
      <w:numFmt w:val="lowerLetter"/>
      <w:lvlText w:val="%2."/>
      <w:lvlJc w:val="left"/>
      <w:pPr>
        <w:ind w:left="1440" w:hanging="360"/>
      </w:pPr>
    </w:lvl>
    <w:lvl w:ilvl="2" w:tplc="9C18D690" w:tentative="1">
      <w:start w:val="1"/>
      <w:numFmt w:val="lowerRoman"/>
      <w:lvlText w:val="%3."/>
      <w:lvlJc w:val="right"/>
      <w:pPr>
        <w:ind w:left="2160" w:hanging="180"/>
      </w:pPr>
    </w:lvl>
    <w:lvl w:ilvl="3" w:tplc="D0E45064" w:tentative="1">
      <w:start w:val="1"/>
      <w:numFmt w:val="decimal"/>
      <w:lvlText w:val="%4."/>
      <w:lvlJc w:val="left"/>
      <w:pPr>
        <w:ind w:left="2880" w:hanging="360"/>
      </w:pPr>
    </w:lvl>
    <w:lvl w:ilvl="4" w:tplc="9B324A8C" w:tentative="1">
      <w:start w:val="1"/>
      <w:numFmt w:val="lowerLetter"/>
      <w:lvlText w:val="%5."/>
      <w:lvlJc w:val="left"/>
      <w:pPr>
        <w:ind w:left="3600" w:hanging="360"/>
      </w:pPr>
    </w:lvl>
    <w:lvl w:ilvl="5" w:tplc="694E4050" w:tentative="1">
      <w:start w:val="1"/>
      <w:numFmt w:val="lowerRoman"/>
      <w:lvlText w:val="%6."/>
      <w:lvlJc w:val="right"/>
      <w:pPr>
        <w:ind w:left="4320" w:hanging="180"/>
      </w:pPr>
    </w:lvl>
    <w:lvl w:ilvl="6" w:tplc="8DDE11CA" w:tentative="1">
      <w:start w:val="1"/>
      <w:numFmt w:val="decimal"/>
      <w:lvlText w:val="%7."/>
      <w:lvlJc w:val="left"/>
      <w:pPr>
        <w:ind w:left="5040" w:hanging="360"/>
      </w:pPr>
    </w:lvl>
    <w:lvl w:ilvl="7" w:tplc="C8BA3706" w:tentative="1">
      <w:start w:val="1"/>
      <w:numFmt w:val="lowerLetter"/>
      <w:lvlText w:val="%8."/>
      <w:lvlJc w:val="left"/>
      <w:pPr>
        <w:ind w:left="5760" w:hanging="360"/>
      </w:pPr>
    </w:lvl>
    <w:lvl w:ilvl="8" w:tplc="569865C4" w:tentative="1">
      <w:start w:val="1"/>
      <w:numFmt w:val="lowerRoman"/>
      <w:lvlText w:val="%9."/>
      <w:lvlJc w:val="right"/>
      <w:pPr>
        <w:ind w:left="6480" w:hanging="180"/>
      </w:pPr>
    </w:lvl>
  </w:abstractNum>
  <w:abstractNum w:abstractNumId="8">
    <w:nsid w:val="719C4591"/>
    <w:multiLevelType w:val="hybridMultilevel"/>
    <w:tmpl w:val="FCEEE4CC"/>
    <w:lvl w:ilvl="0" w:tplc="DA988BC0">
      <w:start w:val="1"/>
      <w:numFmt w:val="decimal"/>
      <w:lvlText w:val="%1."/>
      <w:lvlJc w:val="left"/>
      <w:pPr>
        <w:ind w:left="720" w:hanging="360"/>
      </w:pPr>
    </w:lvl>
    <w:lvl w:ilvl="1" w:tplc="D7E65064" w:tentative="1">
      <w:start w:val="1"/>
      <w:numFmt w:val="lowerLetter"/>
      <w:lvlText w:val="%2."/>
      <w:lvlJc w:val="left"/>
      <w:pPr>
        <w:ind w:left="1440" w:hanging="360"/>
      </w:pPr>
    </w:lvl>
    <w:lvl w:ilvl="2" w:tplc="8BB40684" w:tentative="1">
      <w:start w:val="1"/>
      <w:numFmt w:val="lowerRoman"/>
      <w:lvlText w:val="%3."/>
      <w:lvlJc w:val="right"/>
      <w:pPr>
        <w:ind w:left="2160" w:hanging="180"/>
      </w:pPr>
    </w:lvl>
    <w:lvl w:ilvl="3" w:tplc="7A80116E" w:tentative="1">
      <w:start w:val="1"/>
      <w:numFmt w:val="decimal"/>
      <w:lvlText w:val="%4."/>
      <w:lvlJc w:val="left"/>
      <w:pPr>
        <w:ind w:left="2880" w:hanging="360"/>
      </w:pPr>
    </w:lvl>
    <w:lvl w:ilvl="4" w:tplc="E6C80822" w:tentative="1">
      <w:start w:val="1"/>
      <w:numFmt w:val="lowerLetter"/>
      <w:lvlText w:val="%5."/>
      <w:lvlJc w:val="left"/>
      <w:pPr>
        <w:ind w:left="3600" w:hanging="360"/>
      </w:pPr>
    </w:lvl>
    <w:lvl w:ilvl="5" w:tplc="4A503C90" w:tentative="1">
      <w:start w:val="1"/>
      <w:numFmt w:val="lowerRoman"/>
      <w:lvlText w:val="%6."/>
      <w:lvlJc w:val="right"/>
      <w:pPr>
        <w:ind w:left="4320" w:hanging="180"/>
      </w:pPr>
    </w:lvl>
    <w:lvl w:ilvl="6" w:tplc="BC7ED218" w:tentative="1">
      <w:start w:val="1"/>
      <w:numFmt w:val="decimal"/>
      <w:lvlText w:val="%7."/>
      <w:lvlJc w:val="left"/>
      <w:pPr>
        <w:ind w:left="5040" w:hanging="360"/>
      </w:pPr>
    </w:lvl>
    <w:lvl w:ilvl="7" w:tplc="960839CC" w:tentative="1">
      <w:start w:val="1"/>
      <w:numFmt w:val="lowerLetter"/>
      <w:lvlText w:val="%8."/>
      <w:lvlJc w:val="left"/>
      <w:pPr>
        <w:ind w:left="5760" w:hanging="360"/>
      </w:pPr>
    </w:lvl>
    <w:lvl w:ilvl="8" w:tplc="C7E4F3B0" w:tentative="1">
      <w:start w:val="1"/>
      <w:numFmt w:val="lowerRoman"/>
      <w:lvlText w:val="%9."/>
      <w:lvlJc w:val="right"/>
      <w:pPr>
        <w:ind w:left="6480" w:hanging="180"/>
      </w:pPr>
    </w:lvl>
  </w:abstractNum>
  <w:abstractNum w:abstractNumId="9">
    <w:nsid w:val="72A72ECC"/>
    <w:multiLevelType w:val="hybridMultilevel"/>
    <w:tmpl w:val="01A42DA4"/>
    <w:lvl w:ilvl="0" w:tplc="175CA2C8">
      <w:start w:val="1"/>
      <w:numFmt w:val="decimal"/>
      <w:lvlText w:val="%1."/>
      <w:lvlJc w:val="left"/>
      <w:pPr>
        <w:ind w:left="1440" w:hanging="360"/>
      </w:pPr>
    </w:lvl>
    <w:lvl w:ilvl="1" w:tplc="5E6814D2" w:tentative="1">
      <w:start w:val="1"/>
      <w:numFmt w:val="lowerLetter"/>
      <w:lvlText w:val="%2."/>
      <w:lvlJc w:val="left"/>
      <w:pPr>
        <w:ind w:left="2160" w:hanging="360"/>
      </w:pPr>
    </w:lvl>
    <w:lvl w:ilvl="2" w:tplc="34C4B06E" w:tentative="1">
      <w:start w:val="1"/>
      <w:numFmt w:val="lowerRoman"/>
      <w:lvlText w:val="%3."/>
      <w:lvlJc w:val="right"/>
      <w:pPr>
        <w:ind w:left="2880" w:hanging="180"/>
      </w:pPr>
    </w:lvl>
    <w:lvl w:ilvl="3" w:tplc="FD766252" w:tentative="1">
      <w:start w:val="1"/>
      <w:numFmt w:val="decimal"/>
      <w:lvlText w:val="%4."/>
      <w:lvlJc w:val="left"/>
      <w:pPr>
        <w:ind w:left="3600" w:hanging="360"/>
      </w:pPr>
    </w:lvl>
    <w:lvl w:ilvl="4" w:tplc="3ED262FA" w:tentative="1">
      <w:start w:val="1"/>
      <w:numFmt w:val="lowerLetter"/>
      <w:lvlText w:val="%5."/>
      <w:lvlJc w:val="left"/>
      <w:pPr>
        <w:ind w:left="4320" w:hanging="360"/>
      </w:pPr>
    </w:lvl>
    <w:lvl w:ilvl="5" w:tplc="96522B48" w:tentative="1">
      <w:start w:val="1"/>
      <w:numFmt w:val="lowerRoman"/>
      <w:lvlText w:val="%6."/>
      <w:lvlJc w:val="right"/>
      <w:pPr>
        <w:ind w:left="5040" w:hanging="180"/>
      </w:pPr>
    </w:lvl>
    <w:lvl w:ilvl="6" w:tplc="B65EEB86" w:tentative="1">
      <w:start w:val="1"/>
      <w:numFmt w:val="decimal"/>
      <w:lvlText w:val="%7."/>
      <w:lvlJc w:val="left"/>
      <w:pPr>
        <w:ind w:left="5760" w:hanging="360"/>
      </w:pPr>
    </w:lvl>
    <w:lvl w:ilvl="7" w:tplc="F378DB52" w:tentative="1">
      <w:start w:val="1"/>
      <w:numFmt w:val="lowerLetter"/>
      <w:lvlText w:val="%8."/>
      <w:lvlJc w:val="left"/>
      <w:pPr>
        <w:ind w:left="6480" w:hanging="360"/>
      </w:pPr>
    </w:lvl>
    <w:lvl w:ilvl="8" w:tplc="7320339E" w:tentative="1">
      <w:start w:val="1"/>
      <w:numFmt w:val="lowerRoman"/>
      <w:lvlText w:val="%9."/>
      <w:lvlJc w:val="right"/>
      <w:pPr>
        <w:ind w:left="7200" w:hanging="180"/>
      </w:pPr>
    </w:lvl>
  </w:abstractNum>
  <w:abstractNum w:abstractNumId="10">
    <w:nsid w:val="73776C9C"/>
    <w:multiLevelType w:val="hybridMultilevel"/>
    <w:tmpl w:val="3874191E"/>
    <w:lvl w:ilvl="0" w:tplc="C20021D2">
      <w:start w:val="24"/>
      <w:numFmt w:val="bullet"/>
      <w:lvlText w:val=""/>
      <w:lvlJc w:val="left"/>
      <w:pPr>
        <w:ind w:left="720" w:hanging="360"/>
      </w:pPr>
      <w:rPr>
        <w:rFonts w:ascii="Wingdings" w:eastAsiaTheme="minorHAnsi" w:hAnsi="Wingdings" w:cs="Arial" w:hint="default"/>
      </w:rPr>
    </w:lvl>
    <w:lvl w:ilvl="1" w:tplc="BA90B738" w:tentative="1">
      <w:start w:val="1"/>
      <w:numFmt w:val="bullet"/>
      <w:lvlText w:val="o"/>
      <w:lvlJc w:val="left"/>
      <w:pPr>
        <w:ind w:left="1440" w:hanging="360"/>
      </w:pPr>
      <w:rPr>
        <w:rFonts w:ascii="Courier New" w:hAnsi="Courier New" w:cs="Courier New" w:hint="default"/>
      </w:rPr>
    </w:lvl>
    <w:lvl w:ilvl="2" w:tplc="53C08044" w:tentative="1">
      <w:start w:val="1"/>
      <w:numFmt w:val="bullet"/>
      <w:lvlText w:val=""/>
      <w:lvlJc w:val="left"/>
      <w:pPr>
        <w:ind w:left="2160" w:hanging="360"/>
      </w:pPr>
      <w:rPr>
        <w:rFonts w:ascii="Wingdings" w:hAnsi="Wingdings" w:hint="default"/>
      </w:rPr>
    </w:lvl>
    <w:lvl w:ilvl="3" w:tplc="12D27D2C" w:tentative="1">
      <w:start w:val="1"/>
      <w:numFmt w:val="bullet"/>
      <w:lvlText w:val=""/>
      <w:lvlJc w:val="left"/>
      <w:pPr>
        <w:ind w:left="2880" w:hanging="360"/>
      </w:pPr>
      <w:rPr>
        <w:rFonts w:ascii="Symbol" w:hAnsi="Symbol" w:hint="default"/>
      </w:rPr>
    </w:lvl>
    <w:lvl w:ilvl="4" w:tplc="A502D1FA" w:tentative="1">
      <w:start w:val="1"/>
      <w:numFmt w:val="bullet"/>
      <w:lvlText w:val="o"/>
      <w:lvlJc w:val="left"/>
      <w:pPr>
        <w:ind w:left="3600" w:hanging="360"/>
      </w:pPr>
      <w:rPr>
        <w:rFonts w:ascii="Courier New" w:hAnsi="Courier New" w:cs="Courier New" w:hint="default"/>
      </w:rPr>
    </w:lvl>
    <w:lvl w:ilvl="5" w:tplc="EF842E7A" w:tentative="1">
      <w:start w:val="1"/>
      <w:numFmt w:val="bullet"/>
      <w:lvlText w:val=""/>
      <w:lvlJc w:val="left"/>
      <w:pPr>
        <w:ind w:left="4320" w:hanging="360"/>
      </w:pPr>
      <w:rPr>
        <w:rFonts w:ascii="Wingdings" w:hAnsi="Wingdings" w:hint="default"/>
      </w:rPr>
    </w:lvl>
    <w:lvl w:ilvl="6" w:tplc="64DE341C" w:tentative="1">
      <w:start w:val="1"/>
      <w:numFmt w:val="bullet"/>
      <w:lvlText w:val=""/>
      <w:lvlJc w:val="left"/>
      <w:pPr>
        <w:ind w:left="5040" w:hanging="360"/>
      </w:pPr>
      <w:rPr>
        <w:rFonts w:ascii="Symbol" w:hAnsi="Symbol" w:hint="default"/>
      </w:rPr>
    </w:lvl>
    <w:lvl w:ilvl="7" w:tplc="A73C2248" w:tentative="1">
      <w:start w:val="1"/>
      <w:numFmt w:val="bullet"/>
      <w:lvlText w:val="o"/>
      <w:lvlJc w:val="left"/>
      <w:pPr>
        <w:ind w:left="5760" w:hanging="360"/>
      </w:pPr>
      <w:rPr>
        <w:rFonts w:ascii="Courier New" w:hAnsi="Courier New" w:cs="Courier New" w:hint="default"/>
      </w:rPr>
    </w:lvl>
    <w:lvl w:ilvl="8" w:tplc="9A32203C" w:tentative="1">
      <w:start w:val="1"/>
      <w:numFmt w:val="bullet"/>
      <w:lvlText w:val=""/>
      <w:lvlJc w:val="left"/>
      <w:pPr>
        <w:ind w:left="6480" w:hanging="360"/>
      </w:pPr>
      <w:rPr>
        <w:rFonts w:ascii="Wingdings" w:hAnsi="Wingdings" w:hint="default"/>
      </w:rPr>
    </w:lvl>
  </w:abstractNum>
  <w:abstractNum w:abstractNumId="11">
    <w:nsid w:val="788E299D"/>
    <w:multiLevelType w:val="hybridMultilevel"/>
    <w:tmpl w:val="3154DC4E"/>
    <w:lvl w:ilvl="0" w:tplc="5CAE008C">
      <w:start w:val="1"/>
      <w:numFmt w:val="decimal"/>
      <w:lvlText w:val="%1"/>
      <w:lvlJc w:val="left"/>
      <w:pPr>
        <w:ind w:left="720" w:hanging="360"/>
      </w:pPr>
      <w:rPr>
        <w:rFonts w:ascii="Helvetica" w:hAnsi="Helvetica" w:hint="default"/>
        <w:color w:val="333333"/>
        <w:sz w:val="23"/>
      </w:rPr>
    </w:lvl>
    <w:lvl w:ilvl="1" w:tplc="5DCA62C0" w:tentative="1">
      <w:start w:val="1"/>
      <w:numFmt w:val="lowerLetter"/>
      <w:lvlText w:val="%2."/>
      <w:lvlJc w:val="left"/>
      <w:pPr>
        <w:ind w:left="1440" w:hanging="360"/>
      </w:pPr>
    </w:lvl>
    <w:lvl w:ilvl="2" w:tplc="B622D118" w:tentative="1">
      <w:start w:val="1"/>
      <w:numFmt w:val="lowerRoman"/>
      <w:lvlText w:val="%3."/>
      <w:lvlJc w:val="right"/>
      <w:pPr>
        <w:ind w:left="2160" w:hanging="180"/>
      </w:pPr>
    </w:lvl>
    <w:lvl w:ilvl="3" w:tplc="31ACE1C0" w:tentative="1">
      <w:start w:val="1"/>
      <w:numFmt w:val="decimal"/>
      <w:lvlText w:val="%4."/>
      <w:lvlJc w:val="left"/>
      <w:pPr>
        <w:ind w:left="2880" w:hanging="360"/>
      </w:pPr>
    </w:lvl>
    <w:lvl w:ilvl="4" w:tplc="135E55A0" w:tentative="1">
      <w:start w:val="1"/>
      <w:numFmt w:val="lowerLetter"/>
      <w:lvlText w:val="%5."/>
      <w:lvlJc w:val="left"/>
      <w:pPr>
        <w:ind w:left="3600" w:hanging="360"/>
      </w:pPr>
    </w:lvl>
    <w:lvl w:ilvl="5" w:tplc="5ABAF42A" w:tentative="1">
      <w:start w:val="1"/>
      <w:numFmt w:val="lowerRoman"/>
      <w:lvlText w:val="%6."/>
      <w:lvlJc w:val="right"/>
      <w:pPr>
        <w:ind w:left="4320" w:hanging="180"/>
      </w:pPr>
    </w:lvl>
    <w:lvl w:ilvl="6" w:tplc="77AC81D4" w:tentative="1">
      <w:start w:val="1"/>
      <w:numFmt w:val="decimal"/>
      <w:lvlText w:val="%7."/>
      <w:lvlJc w:val="left"/>
      <w:pPr>
        <w:ind w:left="5040" w:hanging="360"/>
      </w:pPr>
    </w:lvl>
    <w:lvl w:ilvl="7" w:tplc="368E5D46" w:tentative="1">
      <w:start w:val="1"/>
      <w:numFmt w:val="lowerLetter"/>
      <w:lvlText w:val="%8."/>
      <w:lvlJc w:val="left"/>
      <w:pPr>
        <w:ind w:left="5760" w:hanging="360"/>
      </w:pPr>
    </w:lvl>
    <w:lvl w:ilvl="8" w:tplc="9D9870D4" w:tentative="1">
      <w:start w:val="1"/>
      <w:numFmt w:val="lowerRoman"/>
      <w:lvlText w:val="%9."/>
      <w:lvlJc w:val="right"/>
      <w:pPr>
        <w:ind w:left="6480" w:hanging="180"/>
      </w:pPr>
    </w:lvl>
  </w:abstractNum>
  <w:abstractNum w:abstractNumId="12">
    <w:nsid w:val="7BD90F9D"/>
    <w:multiLevelType w:val="hybridMultilevel"/>
    <w:tmpl w:val="1A94EA60"/>
    <w:lvl w:ilvl="0" w:tplc="45F64B2C">
      <w:start w:val="24"/>
      <w:numFmt w:val="bullet"/>
      <w:lvlText w:val=""/>
      <w:lvlJc w:val="left"/>
      <w:pPr>
        <w:ind w:left="720" w:hanging="360"/>
      </w:pPr>
      <w:rPr>
        <w:rFonts w:ascii="Wingdings" w:eastAsiaTheme="minorHAnsi" w:hAnsi="Wingdings" w:cs="Arial" w:hint="default"/>
      </w:rPr>
    </w:lvl>
    <w:lvl w:ilvl="1" w:tplc="5A74A3BC" w:tentative="1">
      <w:start w:val="1"/>
      <w:numFmt w:val="bullet"/>
      <w:lvlText w:val="o"/>
      <w:lvlJc w:val="left"/>
      <w:pPr>
        <w:ind w:left="1440" w:hanging="360"/>
      </w:pPr>
      <w:rPr>
        <w:rFonts w:ascii="Courier New" w:hAnsi="Courier New" w:cs="Courier New" w:hint="default"/>
      </w:rPr>
    </w:lvl>
    <w:lvl w:ilvl="2" w:tplc="EB54816A" w:tentative="1">
      <w:start w:val="1"/>
      <w:numFmt w:val="bullet"/>
      <w:lvlText w:val=""/>
      <w:lvlJc w:val="left"/>
      <w:pPr>
        <w:ind w:left="2160" w:hanging="360"/>
      </w:pPr>
      <w:rPr>
        <w:rFonts w:ascii="Wingdings" w:hAnsi="Wingdings" w:hint="default"/>
      </w:rPr>
    </w:lvl>
    <w:lvl w:ilvl="3" w:tplc="3C2E0EB0" w:tentative="1">
      <w:start w:val="1"/>
      <w:numFmt w:val="bullet"/>
      <w:lvlText w:val=""/>
      <w:lvlJc w:val="left"/>
      <w:pPr>
        <w:ind w:left="2880" w:hanging="360"/>
      </w:pPr>
      <w:rPr>
        <w:rFonts w:ascii="Symbol" w:hAnsi="Symbol" w:hint="default"/>
      </w:rPr>
    </w:lvl>
    <w:lvl w:ilvl="4" w:tplc="C30EABAA" w:tentative="1">
      <w:start w:val="1"/>
      <w:numFmt w:val="bullet"/>
      <w:lvlText w:val="o"/>
      <w:lvlJc w:val="left"/>
      <w:pPr>
        <w:ind w:left="3600" w:hanging="360"/>
      </w:pPr>
      <w:rPr>
        <w:rFonts w:ascii="Courier New" w:hAnsi="Courier New" w:cs="Courier New" w:hint="default"/>
      </w:rPr>
    </w:lvl>
    <w:lvl w:ilvl="5" w:tplc="218EC736" w:tentative="1">
      <w:start w:val="1"/>
      <w:numFmt w:val="bullet"/>
      <w:lvlText w:val=""/>
      <w:lvlJc w:val="left"/>
      <w:pPr>
        <w:ind w:left="4320" w:hanging="360"/>
      </w:pPr>
      <w:rPr>
        <w:rFonts w:ascii="Wingdings" w:hAnsi="Wingdings" w:hint="default"/>
      </w:rPr>
    </w:lvl>
    <w:lvl w:ilvl="6" w:tplc="F726EECE" w:tentative="1">
      <w:start w:val="1"/>
      <w:numFmt w:val="bullet"/>
      <w:lvlText w:val=""/>
      <w:lvlJc w:val="left"/>
      <w:pPr>
        <w:ind w:left="5040" w:hanging="360"/>
      </w:pPr>
      <w:rPr>
        <w:rFonts w:ascii="Symbol" w:hAnsi="Symbol" w:hint="default"/>
      </w:rPr>
    </w:lvl>
    <w:lvl w:ilvl="7" w:tplc="01DA52E0" w:tentative="1">
      <w:start w:val="1"/>
      <w:numFmt w:val="bullet"/>
      <w:lvlText w:val="o"/>
      <w:lvlJc w:val="left"/>
      <w:pPr>
        <w:ind w:left="5760" w:hanging="360"/>
      </w:pPr>
      <w:rPr>
        <w:rFonts w:ascii="Courier New" w:hAnsi="Courier New" w:cs="Courier New" w:hint="default"/>
      </w:rPr>
    </w:lvl>
    <w:lvl w:ilvl="8" w:tplc="F3521E5A"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12"/>
  </w:num>
  <w:num w:numId="8">
    <w:abstractNumId w:val="10"/>
  </w:num>
  <w:num w:numId="9">
    <w:abstractNumId w:val="3"/>
  </w:num>
  <w:num w:numId="10">
    <w:abstractNumId w:val="2"/>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szAxMTAzMrC0MDdW0lEKTi0uzszPAykwrgUAs7R60iwAAAA="/>
    <w:docVar w:name="MachineID" w:val="207|207|197|185|203|197|199|187|197|190|189|197|201|204|197|185|189|"/>
    <w:docVar w:name="Username" w:val="Editor"/>
  </w:docVars>
  <w:rsids>
    <w:rsidRoot w:val="00A57972"/>
    <w:rsid w:val="0001024D"/>
    <w:rsid w:val="00012BB7"/>
    <w:rsid w:val="00016889"/>
    <w:rsid w:val="0003178B"/>
    <w:rsid w:val="00044F37"/>
    <w:rsid w:val="00093F23"/>
    <w:rsid w:val="000A0F66"/>
    <w:rsid w:val="000A65CC"/>
    <w:rsid w:val="000B30D3"/>
    <w:rsid w:val="000D6B46"/>
    <w:rsid w:val="000E162E"/>
    <w:rsid w:val="000E4454"/>
    <w:rsid w:val="001025BC"/>
    <w:rsid w:val="001040B0"/>
    <w:rsid w:val="00125E66"/>
    <w:rsid w:val="00131076"/>
    <w:rsid w:val="00131DA4"/>
    <w:rsid w:val="00147A1C"/>
    <w:rsid w:val="00150F1C"/>
    <w:rsid w:val="00151C62"/>
    <w:rsid w:val="001620C8"/>
    <w:rsid w:val="001627AB"/>
    <w:rsid w:val="00163EBE"/>
    <w:rsid w:val="00180846"/>
    <w:rsid w:val="00193503"/>
    <w:rsid w:val="001A57F8"/>
    <w:rsid w:val="001B4275"/>
    <w:rsid w:val="001C19B2"/>
    <w:rsid w:val="001D213E"/>
    <w:rsid w:val="001E175A"/>
    <w:rsid w:val="001E760E"/>
    <w:rsid w:val="001F4A45"/>
    <w:rsid w:val="001F7B3C"/>
    <w:rsid w:val="0022573E"/>
    <w:rsid w:val="00235C3F"/>
    <w:rsid w:val="002427E9"/>
    <w:rsid w:val="00243740"/>
    <w:rsid w:val="00260830"/>
    <w:rsid w:val="00261A64"/>
    <w:rsid w:val="002A7526"/>
    <w:rsid w:val="002B2DD3"/>
    <w:rsid w:val="002B799B"/>
    <w:rsid w:val="002E1FE9"/>
    <w:rsid w:val="002E4486"/>
    <w:rsid w:val="003039E0"/>
    <w:rsid w:val="00307028"/>
    <w:rsid w:val="00311536"/>
    <w:rsid w:val="00320FFF"/>
    <w:rsid w:val="003276D1"/>
    <w:rsid w:val="003443D1"/>
    <w:rsid w:val="00344E2D"/>
    <w:rsid w:val="00377D85"/>
    <w:rsid w:val="00386820"/>
    <w:rsid w:val="003B06C6"/>
    <w:rsid w:val="003B78EF"/>
    <w:rsid w:val="003E3D0D"/>
    <w:rsid w:val="003E7396"/>
    <w:rsid w:val="003F51B8"/>
    <w:rsid w:val="00404A21"/>
    <w:rsid w:val="0040546F"/>
    <w:rsid w:val="0041232C"/>
    <w:rsid w:val="00423331"/>
    <w:rsid w:val="004248F6"/>
    <w:rsid w:val="00425BE4"/>
    <w:rsid w:val="004340F1"/>
    <w:rsid w:val="004419C5"/>
    <w:rsid w:val="004452F9"/>
    <w:rsid w:val="00447E9C"/>
    <w:rsid w:val="00456ABC"/>
    <w:rsid w:val="00463895"/>
    <w:rsid w:val="00466C5B"/>
    <w:rsid w:val="004764B8"/>
    <w:rsid w:val="0048678D"/>
    <w:rsid w:val="004A2471"/>
    <w:rsid w:val="004A2D1D"/>
    <w:rsid w:val="004A5F6D"/>
    <w:rsid w:val="004C21A4"/>
    <w:rsid w:val="004C7F99"/>
    <w:rsid w:val="004E070B"/>
    <w:rsid w:val="004F56ED"/>
    <w:rsid w:val="004F7CCA"/>
    <w:rsid w:val="00506D55"/>
    <w:rsid w:val="00513789"/>
    <w:rsid w:val="0051397A"/>
    <w:rsid w:val="00524DCA"/>
    <w:rsid w:val="005315E0"/>
    <w:rsid w:val="00541470"/>
    <w:rsid w:val="00543F80"/>
    <w:rsid w:val="00544CB5"/>
    <w:rsid w:val="005469C9"/>
    <w:rsid w:val="00551825"/>
    <w:rsid w:val="0056056D"/>
    <w:rsid w:val="00562F9C"/>
    <w:rsid w:val="00563D34"/>
    <w:rsid w:val="005A40A8"/>
    <w:rsid w:val="005B4359"/>
    <w:rsid w:val="005C3E42"/>
    <w:rsid w:val="005C603D"/>
    <w:rsid w:val="005D73F8"/>
    <w:rsid w:val="005E2933"/>
    <w:rsid w:val="005E2EDA"/>
    <w:rsid w:val="005E5315"/>
    <w:rsid w:val="005E5F35"/>
    <w:rsid w:val="006168E1"/>
    <w:rsid w:val="00627A49"/>
    <w:rsid w:val="00634AF0"/>
    <w:rsid w:val="0066353B"/>
    <w:rsid w:val="006868A1"/>
    <w:rsid w:val="00687096"/>
    <w:rsid w:val="0069216F"/>
    <w:rsid w:val="006A4CF6"/>
    <w:rsid w:val="006A71B8"/>
    <w:rsid w:val="006B5099"/>
    <w:rsid w:val="006B5DAB"/>
    <w:rsid w:val="006B6934"/>
    <w:rsid w:val="006B6B95"/>
    <w:rsid w:val="006D48B7"/>
    <w:rsid w:val="006E06FA"/>
    <w:rsid w:val="00701A24"/>
    <w:rsid w:val="0070434B"/>
    <w:rsid w:val="007060BE"/>
    <w:rsid w:val="00707674"/>
    <w:rsid w:val="0071417E"/>
    <w:rsid w:val="00727E68"/>
    <w:rsid w:val="00734245"/>
    <w:rsid w:val="007344EE"/>
    <w:rsid w:val="007375E2"/>
    <w:rsid w:val="00740395"/>
    <w:rsid w:val="00744B0B"/>
    <w:rsid w:val="00755945"/>
    <w:rsid w:val="00764DEA"/>
    <w:rsid w:val="00773253"/>
    <w:rsid w:val="007772A8"/>
    <w:rsid w:val="00797C30"/>
    <w:rsid w:val="007A2E64"/>
    <w:rsid w:val="007B5063"/>
    <w:rsid w:val="007D0651"/>
    <w:rsid w:val="007D3718"/>
    <w:rsid w:val="007E371A"/>
    <w:rsid w:val="007E6C90"/>
    <w:rsid w:val="00803DB0"/>
    <w:rsid w:val="008308D8"/>
    <w:rsid w:val="008311AC"/>
    <w:rsid w:val="00837DCC"/>
    <w:rsid w:val="0084464A"/>
    <w:rsid w:val="00863858"/>
    <w:rsid w:val="008661D3"/>
    <w:rsid w:val="0087312F"/>
    <w:rsid w:val="0088496A"/>
    <w:rsid w:val="008F4A11"/>
    <w:rsid w:val="008F64F1"/>
    <w:rsid w:val="008F6DAC"/>
    <w:rsid w:val="00900AED"/>
    <w:rsid w:val="00900E1C"/>
    <w:rsid w:val="00901B4F"/>
    <w:rsid w:val="00915307"/>
    <w:rsid w:val="00920BEA"/>
    <w:rsid w:val="009232CD"/>
    <w:rsid w:val="00926630"/>
    <w:rsid w:val="009460BA"/>
    <w:rsid w:val="0094627D"/>
    <w:rsid w:val="00950511"/>
    <w:rsid w:val="00952B0D"/>
    <w:rsid w:val="0095392C"/>
    <w:rsid w:val="00956DCA"/>
    <w:rsid w:val="00957645"/>
    <w:rsid w:val="0096060C"/>
    <w:rsid w:val="00972EC7"/>
    <w:rsid w:val="0098338B"/>
    <w:rsid w:val="009A0B73"/>
    <w:rsid w:val="009A0DF8"/>
    <w:rsid w:val="009A2A3D"/>
    <w:rsid w:val="009B4EEE"/>
    <w:rsid w:val="009B6F19"/>
    <w:rsid w:val="009C0FEF"/>
    <w:rsid w:val="009D12AF"/>
    <w:rsid w:val="009D7D59"/>
    <w:rsid w:val="009F03F9"/>
    <w:rsid w:val="00A07A2E"/>
    <w:rsid w:val="00A13DE5"/>
    <w:rsid w:val="00A325FC"/>
    <w:rsid w:val="00A554B8"/>
    <w:rsid w:val="00A56858"/>
    <w:rsid w:val="00A57972"/>
    <w:rsid w:val="00A64BCF"/>
    <w:rsid w:val="00A65E03"/>
    <w:rsid w:val="00A75C83"/>
    <w:rsid w:val="00A8570E"/>
    <w:rsid w:val="00AA3113"/>
    <w:rsid w:val="00AB4BC7"/>
    <w:rsid w:val="00AF0E90"/>
    <w:rsid w:val="00AF78FE"/>
    <w:rsid w:val="00B0328F"/>
    <w:rsid w:val="00B11B0C"/>
    <w:rsid w:val="00B127AD"/>
    <w:rsid w:val="00B33AD0"/>
    <w:rsid w:val="00B36B3A"/>
    <w:rsid w:val="00B37E50"/>
    <w:rsid w:val="00B462FC"/>
    <w:rsid w:val="00B52E9B"/>
    <w:rsid w:val="00B5397C"/>
    <w:rsid w:val="00B76295"/>
    <w:rsid w:val="00B87C40"/>
    <w:rsid w:val="00BA1038"/>
    <w:rsid w:val="00BB35A7"/>
    <w:rsid w:val="00BB53ED"/>
    <w:rsid w:val="00BE732A"/>
    <w:rsid w:val="00C16F0B"/>
    <w:rsid w:val="00C202EA"/>
    <w:rsid w:val="00C226B1"/>
    <w:rsid w:val="00C372A8"/>
    <w:rsid w:val="00C66345"/>
    <w:rsid w:val="00C7204E"/>
    <w:rsid w:val="00C73BBF"/>
    <w:rsid w:val="00C74482"/>
    <w:rsid w:val="00C75B91"/>
    <w:rsid w:val="00C8285B"/>
    <w:rsid w:val="00C848D9"/>
    <w:rsid w:val="00C849D8"/>
    <w:rsid w:val="00CA51C1"/>
    <w:rsid w:val="00CA6B1F"/>
    <w:rsid w:val="00CB3DF6"/>
    <w:rsid w:val="00CB40C4"/>
    <w:rsid w:val="00CD2BF2"/>
    <w:rsid w:val="00CD5D6C"/>
    <w:rsid w:val="00CE6E9E"/>
    <w:rsid w:val="00CE7D0F"/>
    <w:rsid w:val="00D3046F"/>
    <w:rsid w:val="00D45A24"/>
    <w:rsid w:val="00D47D57"/>
    <w:rsid w:val="00D5367B"/>
    <w:rsid w:val="00D614B9"/>
    <w:rsid w:val="00D66CA0"/>
    <w:rsid w:val="00D676EA"/>
    <w:rsid w:val="00D75178"/>
    <w:rsid w:val="00D92117"/>
    <w:rsid w:val="00DA68D1"/>
    <w:rsid w:val="00DC6519"/>
    <w:rsid w:val="00DD1C79"/>
    <w:rsid w:val="00DD308A"/>
    <w:rsid w:val="00DD4D43"/>
    <w:rsid w:val="00DD5245"/>
    <w:rsid w:val="00DE3E42"/>
    <w:rsid w:val="00DE72BA"/>
    <w:rsid w:val="00DF0AFA"/>
    <w:rsid w:val="00DF6DB9"/>
    <w:rsid w:val="00E0330D"/>
    <w:rsid w:val="00E03EBC"/>
    <w:rsid w:val="00E41054"/>
    <w:rsid w:val="00E516B6"/>
    <w:rsid w:val="00E66C3C"/>
    <w:rsid w:val="00E87040"/>
    <w:rsid w:val="00E9048A"/>
    <w:rsid w:val="00E90D25"/>
    <w:rsid w:val="00EB446E"/>
    <w:rsid w:val="00EC3257"/>
    <w:rsid w:val="00EC492C"/>
    <w:rsid w:val="00EF0862"/>
    <w:rsid w:val="00EF30F0"/>
    <w:rsid w:val="00EF4184"/>
    <w:rsid w:val="00F06882"/>
    <w:rsid w:val="00F21A7A"/>
    <w:rsid w:val="00F52E9D"/>
    <w:rsid w:val="00F57F09"/>
    <w:rsid w:val="00F641FC"/>
    <w:rsid w:val="00F7589A"/>
    <w:rsid w:val="00F81750"/>
    <w:rsid w:val="00F855DE"/>
    <w:rsid w:val="00F94E70"/>
    <w:rsid w:val="00F953A0"/>
    <w:rsid w:val="00FA3F8C"/>
    <w:rsid w:val="00FD24EA"/>
    <w:rsid w:val="00FD7CE0"/>
    <w:rsid w:val="00FE0404"/>
    <w:rsid w:val="00FF4DED"/>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6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972"/>
    <w:pPr>
      <w:spacing w:after="0" w:line="240" w:lineRule="auto"/>
    </w:pPr>
    <w:rPr>
      <w:rFonts w:ascii="Tahoma" w:hAnsi="Tahoma" w:cs="Tahoma"/>
      <w:sz w:val="16"/>
      <w:szCs w:val="16"/>
      <w:lang w:val="en-US"/>
    </w:rPr>
  </w:style>
  <w:style w:type="character" w:customStyle="1" w:styleId="Char">
    <w:name w:val="批注框文本 Char"/>
    <w:basedOn w:val="a0"/>
    <w:link w:val="a3"/>
    <w:uiPriority w:val="99"/>
    <w:semiHidden/>
    <w:rsid w:val="00A57972"/>
    <w:rPr>
      <w:rFonts w:ascii="Tahoma" w:hAnsi="Tahoma" w:cs="Tahoma"/>
      <w:sz w:val="16"/>
      <w:szCs w:val="16"/>
      <w:lang w:val="en-US"/>
    </w:rPr>
  </w:style>
  <w:style w:type="paragraph" w:styleId="a4">
    <w:name w:val="List Paragraph"/>
    <w:basedOn w:val="a"/>
    <w:uiPriority w:val="34"/>
    <w:qFormat/>
    <w:rsid w:val="00EC492C"/>
    <w:pPr>
      <w:ind w:left="720"/>
      <w:contextualSpacing/>
    </w:pPr>
  </w:style>
  <w:style w:type="character" w:styleId="a5">
    <w:name w:val="Hyperlink"/>
    <w:basedOn w:val="a0"/>
    <w:uiPriority w:val="99"/>
    <w:unhideWhenUsed/>
    <w:rsid w:val="001A57F8"/>
    <w:rPr>
      <w:color w:val="0000FF"/>
      <w:u w:val="single"/>
    </w:rPr>
  </w:style>
  <w:style w:type="table" w:styleId="a6">
    <w:name w:val="Table Grid"/>
    <w:basedOn w:val="a1"/>
    <w:uiPriority w:val="59"/>
    <w:rsid w:val="00CB4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94E7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Sombreadoclaro1">
    <w:name w:val="Sombreado claro1"/>
    <w:basedOn w:val="a1"/>
    <w:uiPriority w:val="60"/>
    <w:rsid w:val="00C75B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caption"/>
    <w:basedOn w:val="a"/>
    <w:next w:val="a"/>
    <w:uiPriority w:val="35"/>
    <w:unhideWhenUsed/>
    <w:qFormat/>
    <w:rsid w:val="00C75B91"/>
    <w:pPr>
      <w:spacing w:line="240" w:lineRule="auto"/>
    </w:pPr>
    <w:rPr>
      <w:b/>
      <w:bCs/>
      <w:color w:val="4F81BD" w:themeColor="accent1"/>
      <w:sz w:val="18"/>
      <w:szCs w:val="18"/>
    </w:rPr>
  </w:style>
  <w:style w:type="table" w:customStyle="1" w:styleId="Cuadrculaclara1">
    <w:name w:val="Cuadrícula clara1"/>
    <w:basedOn w:val="a1"/>
    <w:uiPriority w:val="62"/>
    <w:rsid w:val="00147A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9">
    <w:name w:val="Emphasis"/>
    <w:basedOn w:val="a0"/>
    <w:uiPriority w:val="20"/>
    <w:qFormat/>
    <w:rsid w:val="001025BC"/>
    <w:rPr>
      <w:i/>
      <w:iCs/>
    </w:rPr>
  </w:style>
  <w:style w:type="character" w:customStyle="1" w:styleId="ref-title">
    <w:name w:val="ref-title"/>
    <w:basedOn w:val="a0"/>
    <w:rsid w:val="001025BC"/>
  </w:style>
  <w:style w:type="character" w:customStyle="1" w:styleId="ref-journal">
    <w:name w:val="ref-journal"/>
    <w:basedOn w:val="a0"/>
    <w:rsid w:val="001025BC"/>
  </w:style>
  <w:style w:type="character" w:customStyle="1" w:styleId="ref-vol">
    <w:name w:val="ref-vol"/>
    <w:basedOn w:val="a0"/>
    <w:rsid w:val="001025BC"/>
  </w:style>
  <w:style w:type="character" w:customStyle="1" w:styleId="ref-iss">
    <w:name w:val="ref-iss"/>
    <w:basedOn w:val="a0"/>
    <w:rsid w:val="001025BC"/>
  </w:style>
  <w:style w:type="character" w:customStyle="1" w:styleId="Mencinsinresolver1">
    <w:name w:val="Mención sin resolver1"/>
    <w:basedOn w:val="a0"/>
    <w:uiPriority w:val="99"/>
    <w:semiHidden/>
    <w:unhideWhenUsed/>
    <w:rsid w:val="0095392C"/>
    <w:rPr>
      <w:color w:val="605E5C"/>
      <w:shd w:val="clear" w:color="auto" w:fill="E1DFDD"/>
    </w:rPr>
  </w:style>
  <w:style w:type="character" w:styleId="aa">
    <w:name w:val="annotation reference"/>
    <w:basedOn w:val="a0"/>
    <w:uiPriority w:val="99"/>
    <w:semiHidden/>
    <w:unhideWhenUsed/>
    <w:rsid w:val="00C226B1"/>
    <w:rPr>
      <w:rFonts w:ascii="Tahoma" w:hAnsi="Tahoma" w:cs="Tahoma"/>
      <w:b w:val="0"/>
      <w:i w:val="0"/>
      <w:caps w:val="0"/>
      <w:strike w:val="0"/>
      <w:sz w:val="16"/>
      <w:szCs w:val="16"/>
      <w:u w:val="none"/>
    </w:rPr>
  </w:style>
  <w:style w:type="paragraph" w:styleId="ab">
    <w:name w:val="annotation text"/>
    <w:basedOn w:val="a"/>
    <w:link w:val="Char0"/>
    <w:uiPriority w:val="99"/>
    <w:semiHidden/>
    <w:unhideWhenUsed/>
    <w:qFormat/>
    <w:rsid w:val="00C226B1"/>
    <w:pPr>
      <w:spacing w:line="240" w:lineRule="auto"/>
    </w:pPr>
    <w:rPr>
      <w:rFonts w:ascii="Tahoma" w:hAnsi="Tahoma" w:cs="Tahoma"/>
      <w:sz w:val="16"/>
      <w:szCs w:val="20"/>
      <w:lang w:val="en-US"/>
    </w:rPr>
  </w:style>
  <w:style w:type="character" w:customStyle="1" w:styleId="Char0">
    <w:name w:val="批注文字 Char"/>
    <w:basedOn w:val="a0"/>
    <w:link w:val="ab"/>
    <w:uiPriority w:val="99"/>
    <w:semiHidden/>
    <w:qFormat/>
    <w:rsid w:val="00C226B1"/>
    <w:rPr>
      <w:rFonts w:ascii="Tahoma" w:hAnsi="Tahoma" w:cs="Tahoma"/>
      <w:sz w:val="16"/>
      <w:szCs w:val="20"/>
      <w:lang w:val="en-US"/>
    </w:rPr>
  </w:style>
  <w:style w:type="paragraph" w:styleId="ac">
    <w:name w:val="annotation subject"/>
    <w:basedOn w:val="ab"/>
    <w:next w:val="ab"/>
    <w:link w:val="Char1"/>
    <w:uiPriority w:val="99"/>
    <w:semiHidden/>
    <w:unhideWhenUsed/>
    <w:rsid w:val="00C226B1"/>
    <w:rPr>
      <w:b/>
      <w:bCs/>
    </w:rPr>
  </w:style>
  <w:style w:type="character" w:customStyle="1" w:styleId="Char1">
    <w:name w:val="批注主题 Char"/>
    <w:basedOn w:val="Char0"/>
    <w:link w:val="ac"/>
    <w:uiPriority w:val="99"/>
    <w:semiHidden/>
    <w:rsid w:val="00C226B1"/>
    <w:rPr>
      <w:rFonts w:ascii="Tahoma" w:hAnsi="Tahoma" w:cs="Tahoma"/>
      <w:b/>
      <w:bCs/>
      <w:sz w:val="16"/>
      <w:szCs w:val="20"/>
      <w:lang w:val="en-US"/>
    </w:rPr>
  </w:style>
  <w:style w:type="character" w:styleId="ad">
    <w:name w:val="FollowedHyperlink"/>
    <w:basedOn w:val="a0"/>
    <w:uiPriority w:val="99"/>
    <w:semiHidden/>
    <w:unhideWhenUsed/>
    <w:rsid w:val="001C19B2"/>
    <w:rPr>
      <w:color w:val="800080" w:themeColor="followedHyperlink"/>
      <w:u w:val="single"/>
    </w:rPr>
  </w:style>
  <w:style w:type="character" w:customStyle="1" w:styleId="Mencinsinresolver2">
    <w:name w:val="Mención sin resolver2"/>
    <w:basedOn w:val="a0"/>
    <w:uiPriority w:val="99"/>
    <w:semiHidden/>
    <w:unhideWhenUsed/>
    <w:rsid w:val="00972EC7"/>
    <w:rPr>
      <w:color w:val="605E5C"/>
      <w:shd w:val="clear" w:color="auto" w:fill="E1DFDD"/>
    </w:rPr>
  </w:style>
  <w:style w:type="paragraph" w:styleId="ae">
    <w:name w:val="header"/>
    <w:basedOn w:val="a"/>
    <w:link w:val="Char2"/>
    <w:uiPriority w:val="99"/>
    <w:unhideWhenUsed/>
    <w:rsid w:val="00797C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797C30"/>
    <w:rPr>
      <w:sz w:val="18"/>
      <w:szCs w:val="18"/>
    </w:rPr>
  </w:style>
  <w:style w:type="paragraph" w:styleId="af">
    <w:name w:val="footer"/>
    <w:basedOn w:val="a"/>
    <w:link w:val="Char3"/>
    <w:uiPriority w:val="99"/>
    <w:unhideWhenUsed/>
    <w:rsid w:val="00797C30"/>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797C30"/>
    <w:rPr>
      <w:sz w:val="18"/>
      <w:szCs w:val="18"/>
    </w:rPr>
  </w:style>
  <w:style w:type="character" w:styleId="af0">
    <w:name w:val="Strong"/>
    <w:uiPriority w:val="22"/>
    <w:qFormat/>
    <w:rsid w:val="00797C30"/>
    <w:rPr>
      <w:b/>
      <w:bCs/>
    </w:rPr>
  </w:style>
  <w:style w:type="paragraph" w:customStyle="1" w:styleId="1">
    <w:name w:val="正文1"/>
    <w:uiPriority w:val="99"/>
    <w:rsid w:val="00707674"/>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9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57972"/>
    <w:pPr>
      <w:spacing w:after="0" w:line="240" w:lineRule="auto"/>
    </w:pPr>
    <w:rPr>
      <w:rFonts w:ascii="Tahoma" w:hAnsi="Tahoma" w:cs="Tahoma"/>
      <w:sz w:val="16"/>
      <w:szCs w:val="16"/>
      <w:lang w:val="en-US"/>
    </w:rPr>
  </w:style>
  <w:style w:type="character" w:customStyle="1" w:styleId="Char">
    <w:name w:val="批注框文本 Char"/>
    <w:basedOn w:val="a0"/>
    <w:link w:val="a3"/>
    <w:uiPriority w:val="99"/>
    <w:semiHidden/>
    <w:rsid w:val="00A57972"/>
    <w:rPr>
      <w:rFonts w:ascii="Tahoma" w:hAnsi="Tahoma" w:cs="Tahoma"/>
      <w:sz w:val="16"/>
      <w:szCs w:val="16"/>
      <w:lang w:val="en-US"/>
    </w:rPr>
  </w:style>
  <w:style w:type="paragraph" w:styleId="a4">
    <w:name w:val="List Paragraph"/>
    <w:basedOn w:val="a"/>
    <w:uiPriority w:val="34"/>
    <w:qFormat/>
    <w:rsid w:val="00EC492C"/>
    <w:pPr>
      <w:ind w:left="720"/>
      <w:contextualSpacing/>
    </w:pPr>
  </w:style>
  <w:style w:type="character" w:styleId="a5">
    <w:name w:val="Hyperlink"/>
    <w:basedOn w:val="a0"/>
    <w:uiPriority w:val="99"/>
    <w:unhideWhenUsed/>
    <w:rsid w:val="001A57F8"/>
    <w:rPr>
      <w:color w:val="0000FF"/>
      <w:u w:val="single"/>
    </w:rPr>
  </w:style>
  <w:style w:type="table" w:styleId="a6">
    <w:name w:val="Table Grid"/>
    <w:basedOn w:val="a1"/>
    <w:uiPriority w:val="59"/>
    <w:rsid w:val="00CB4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uiPriority w:val="99"/>
    <w:unhideWhenUsed/>
    <w:rsid w:val="00F94E7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Sombreadoclaro1">
    <w:name w:val="Sombreado claro1"/>
    <w:basedOn w:val="a1"/>
    <w:uiPriority w:val="60"/>
    <w:rsid w:val="00C75B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caption"/>
    <w:basedOn w:val="a"/>
    <w:next w:val="a"/>
    <w:uiPriority w:val="35"/>
    <w:unhideWhenUsed/>
    <w:qFormat/>
    <w:rsid w:val="00C75B91"/>
    <w:pPr>
      <w:spacing w:line="240" w:lineRule="auto"/>
    </w:pPr>
    <w:rPr>
      <w:b/>
      <w:bCs/>
      <w:color w:val="4F81BD" w:themeColor="accent1"/>
      <w:sz w:val="18"/>
      <w:szCs w:val="18"/>
    </w:rPr>
  </w:style>
  <w:style w:type="table" w:customStyle="1" w:styleId="Cuadrculaclara1">
    <w:name w:val="Cuadrícula clara1"/>
    <w:basedOn w:val="a1"/>
    <w:uiPriority w:val="62"/>
    <w:rsid w:val="00147A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9">
    <w:name w:val="Emphasis"/>
    <w:basedOn w:val="a0"/>
    <w:uiPriority w:val="20"/>
    <w:qFormat/>
    <w:rsid w:val="001025BC"/>
    <w:rPr>
      <w:i/>
      <w:iCs/>
    </w:rPr>
  </w:style>
  <w:style w:type="character" w:customStyle="1" w:styleId="ref-title">
    <w:name w:val="ref-title"/>
    <w:basedOn w:val="a0"/>
    <w:rsid w:val="001025BC"/>
  </w:style>
  <w:style w:type="character" w:customStyle="1" w:styleId="ref-journal">
    <w:name w:val="ref-journal"/>
    <w:basedOn w:val="a0"/>
    <w:rsid w:val="001025BC"/>
  </w:style>
  <w:style w:type="character" w:customStyle="1" w:styleId="ref-vol">
    <w:name w:val="ref-vol"/>
    <w:basedOn w:val="a0"/>
    <w:rsid w:val="001025BC"/>
  </w:style>
  <w:style w:type="character" w:customStyle="1" w:styleId="ref-iss">
    <w:name w:val="ref-iss"/>
    <w:basedOn w:val="a0"/>
    <w:rsid w:val="001025BC"/>
  </w:style>
  <w:style w:type="character" w:customStyle="1" w:styleId="Mencinsinresolver1">
    <w:name w:val="Mención sin resolver1"/>
    <w:basedOn w:val="a0"/>
    <w:uiPriority w:val="99"/>
    <w:semiHidden/>
    <w:unhideWhenUsed/>
    <w:rsid w:val="0095392C"/>
    <w:rPr>
      <w:color w:val="605E5C"/>
      <w:shd w:val="clear" w:color="auto" w:fill="E1DFDD"/>
    </w:rPr>
  </w:style>
  <w:style w:type="character" w:styleId="aa">
    <w:name w:val="annotation reference"/>
    <w:basedOn w:val="a0"/>
    <w:uiPriority w:val="99"/>
    <w:semiHidden/>
    <w:unhideWhenUsed/>
    <w:rsid w:val="00C226B1"/>
    <w:rPr>
      <w:rFonts w:ascii="Tahoma" w:hAnsi="Tahoma" w:cs="Tahoma"/>
      <w:b w:val="0"/>
      <w:i w:val="0"/>
      <w:caps w:val="0"/>
      <w:strike w:val="0"/>
      <w:sz w:val="16"/>
      <w:szCs w:val="16"/>
      <w:u w:val="none"/>
    </w:rPr>
  </w:style>
  <w:style w:type="paragraph" w:styleId="ab">
    <w:name w:val="annotation text"/>
    <w:basedOn w:val="a"/>
    <w:link w:val="Char0"/>
    <w:uiPriority w:val="99"/>
    <w:semiHidden/>
    <w:unhideWhenUsed/>
    <w:qFormat/>
    <w:rsid w:val="00C226B1"/>
    <w:pPr>
      <w:spacing w:line="240" w:lineRule="auto"/>
    </w:pPr>
    <w:rPr>
      <w:rFonts w:ascii="Tahoma" w:hAnsi="Tahoma" w:cs="Tahoma"/>
      <w:sz w:val="16"/>
      <w:szCs w:val="20"/>
      <w:lang w:val="en-US"/>
    </w:rPr>
  </w:style>
  <w:style w:type="character" w:customStyle="1" w:styleId="Char0">
    <w:name w:val="批注文字 Char"/>
    <w:basedOn w:val="a0"/>
    <w:link w:val="ab"/>
    <w:uiPriority w:val="99"/>
    <w:semiHidden/>
    <w:qFormat/>
    <w:rsid w:val="00C226B1"/>
    <w:rPr>
      <w:rFonts w:ascii="Tahoma" w:hAnsi="Tahoma" w:cs="Tahoma"/>
      <w:sz w:val="16"/>
      <w:szCs w:val="20"/>
      <w:lang w:val="en-US"/>
    </w:rPr>
  </w:style>
  <w:style w:type="paragraph" w:styleId="ac">
    <w:name w:val="annotation subject"/>
    <w:basedOn w:val="ab"/>
    <w:next w:val="ab"/>
    <w:link w:val="Char1"/>
    <w:uiPriority w:val="99"/>
    <w:semiHidden/>
    <w:unhideWhenUsed/>
    <w:rsid w:val="00C226B1"/>
    <w:rPr>
      <w:b/>
      <w:bCs/>
    </w:rPr>
  </w:style>
  <w:style w:type="character" w:customStyle="1" w:styleId="Char1">
    <w:name w:val="批注主题 Char"/>
    <w:basedOn w:val="Char0"/>
    <w:link w:val="ac"/>
    <w:uiPriority w:val="99"/>
    <w:semiHidden/>
    <w:rsid w:val="00C226B1"/>
    <w:rPr>
      <w:rFonts w:ascii="Tahoma" w:hAnsi="Tahoma" w:cs="Tahoma"/>
      <w:b/>
      <w:bCs/>
      <w:sz w:val="16"/>
      <w:szCs w:val="20"/>
      <w:lang w:val="en-US"/>
    </w:rPr>
  </w:style>
  <w:style w:type="character" w:styleId="ad">
    <w:name w:val="FollowedHyperlink"/>
    <w:basedOn w:val="a0"/>
    <w:uiPriority w:val="99"/>
    <w:semiHidden/>
    <w:unhideWhenUsed/>
    <w:rsid w:val="001C19B2"/>
    <w:rPr>
      <w:color w:val="800080" w:themeColor="followedHyperlink"/>
      <w:u w:val="single"/>
    </w:rPr>
  </w:style>
  <w:style w:type="character" w:customStyle="1" w:styleId="Mencinsinresolver2">
    <w:name w:val="Mención sin resolver2"/>
    <w:basedOn w:val="a0"/>
    <w:uiPriority w:val="99"/>
    <w:semiHidden/>
    <w:unhideWhenUsed/>
    <w:rsid w:val="00972EC7"/>
    <w:rPr>
      <w:color w:val="605E5C"/>
      <w:shd w:val="clear" w:color="auto" w:fill="E1DFDD"/>
    </w:rPr>
  </w:style>
  <w:style w:type="paragraph" w:styleId="ae">
    <w:name w:val="header"/>
    <w:basedOn w:val="a"/>
    <w:link w:val="Char2"/>
    <w:uiPriority w:val="99"/>
    <w:unhideWhenUsed/>
    <w:rsid w:val="00797C3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e"/>
    <w:uiPriority w:val="99"/>
    <w:rsid w:val="00797C30"/>
    <w:rPr>
      <w:sz w:val="18"/>
      <w:szCs w:val="18"/>
    </w:rPr>
  </w:style>
  <w:style w:type="paragraph" w:styleId="af">
    <w:name w:val="footer"/>
    <w:basedOn w:val="a"/>
    <w:link w:val="Char3"/>
    <w:uiPriority w:val="99"/>
    <w:unhideWhenUsed/>
    <w:rsid w:val="00797C30"/>
    <w:pPr>
      <w:tabs>
        <w:tab w:val="center" w:pos="4153"/>
        <w:tab w:val="right" w:pos="8306"/>
      </w:tabs>
      <w:snapToGrid w:val="0"/>
      <w:spacing w:line="240" w:lineRule="auto"/>
    </w:pPr>
    <w:rPr>
      <w:sz w:val="18"/>
      <w:szCs w:val="18"/>
    </w:rPr>
  </w:style>
  <w:style w:type="character" w:customStyle="1" w:styleId="Char3">
    <w:name w:val="页脚 Char"/>
    <w:basedOn w:val="a0"/>
    <w:link w:val="af"/>
    <w:uiPriority w:val="99"/>
    <w:rsid w:val="00797C30"/>
    <w:rPr>
      <w:sz w:val="18"/>
      <w:szCs w:val="18"/>
    </w:rPr>
  </w:style>
  <w:style w:type="character" w:styleId="af0">
    <w:name w:val="Strong"/>
    <w:uiPriority w:val="22"/>
    <w:qFormat/>
    <w:rsid w:val="00797C30"/>
    <w:rPr>
      <w:b/>
      <w:bCs/>
    </w:rPr>
  </w:style>
  <w:style w:type="paragraph" w:customStyle="1" w:styleId="1">
    <w:name w:val="正文1"/>
    <w:uiPriority w:val="99"/>
    <w:rsid w:val="00707674"/>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76012">
      <w:bodyDiv w:val="1"/>
      <w:marLeft w:val="0"/>
      <w:marRight w:val="0"/>
      <w:marTop w:val="0"/>
      <w:marBottom w:val="0"/>
      <w:divBdr>
        <w:top w:val="none" w:sz="0" w:space="0" w:color="auto"/>
        <w:left w:val="none" w:sz="0" w:space="0" w:color="auto"/>
        <w:bottom w:val="none" w:sz="0" w:space="0" w:color="auto"/>
        <w:right w:val="none" w:sz="0" w:space="0" w:color="auto"/>
      </w:divBdr>
    </w:div>
    <w:div w:id="1124733519">
      <w:bodyDiv w:val="1"/>
      <w:marLeft w:val="0"/>
      <w:marRight w:val="0"/>
      <w:marTop w:val="0"/>
      <w:marBottom w:val="0"/>
      <w:divBdr>
        <w:top w:val="none" w:sz="0" w:space="0" w:color="auto"/>
        <w:left w:val="none" w:sz="0" w:space="0" w:color="auto"/>
        <w:bottom w:val="none" w:sz="0" w:space="0" w:color="auto"/>
        <w:right w:val="none" w:sz="0" w:space="0" w:color="auto"/>
      </w:divBdr>
    </w:div>
    <w:div w:id="15870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3-4620-6234" TargetMode="External"/><Relationship Id="rId18" Type="http://schemas.openxmlformats.org/officeDocument/2006/relationships/hyperlink" Target="http://creativecommons.org/licenses/by-nc/4.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orcid.org/0000-0003-0851-7728" TargetMode="External"/><Relationship Id="rId17" Type="http://schemas.openxmlformats.org/officeDocument/2006/relationships/hyperlink" Target="https://orcid.org/0000-0001-9681-3388" TargetMode="External"/><Relationship Id="rId2" Type="http://schemas.openxmlformats.org/officeDocument/2006/relationships/numbering" Target="numbering.xml"/><Relationship Id="rId16" Type="http://schemas.openxmlformats.org/officeDocument/2006/relationships/hyperlink" Target="https://orcid.org/0000-0003-0119%201710" TargetMode="External"/><Relationship Id="rId20"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7244-9099" TargetMode="External"/><Relationship Id="rId5" Type="http://schemas.openxmlformats.org/officeDocument/2006/relationships/settings" Target="settings.xml"/><Relationship Id="rId15" Type="http://schemas.openxmlformats.org/officeDocument/2006/relationships/hyperlink" Target="https://orcid.org/0000-0003-1879-6601" TargetMode="External"/><Relationship Id="rId23" Type="http://schemas.openxmlformats.org/officeDocument/2006/relationships/theme" Target="theme/theme1.xml"/><Relationship Id="rId10" Type="http://schemas.openxmlformats.org/officeDocument/2006/relationships/hyperlink" Target="https://orcid.org/0000-0002-2005-6322" TargetMode="External"/><Relationship Id="rId19" Type="http://schemas.openxmlformats.org/officeDocument/2006/relationships/hyperlink" Target="mailto:rafavidal@hotmail.com" TargetMode="External"/><Relationship Id="rId4" Type="http://schemas.microsoft.com/office/2007/relationships/stylesWithEffects" Target="stylesWithEffects.xml"/><Relationship Id="rId9" Type="http://schemas.openxmlformats.org/officeDocument/2006/relationships/hyperlink" Target="https://orcid.org/0000-0001-9944-8363" TargetMode="External"/><Relationship Id="rId14" Type="http://schemas.openxmlformats.org/officeDocument/2006/relationships/hyperlink" Target="https://orcid.org/0000-0003-2306-8393"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4CE8-65B5-4E92-BCAE-75EEE0BF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30</Pages>
  <Words>7164</Words>
  <Characters>40839</Characters>
  <Application>Microsoft Office Word</Application>
  <DocSecurity>0</DocSecurity>
  <Lines>340</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Charigan Abou Jokh Casas</dc:creator>
  <cp:keywords/>
  <dc:description/>
  <cp:lastModifiedBy>User</cp:lastModifiedBy>
  <cp:revision>4</cp:revision>
  <dcterms:created xsi:type="dcterms:W3CDTF">2019-10-27T21:48:00Z</dcterms:created>
  <dcterms:modified xsi:type="dcterms:W3CDTF">2019-12-17T09:46:00Z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43656.0226041667</vt:r8>
  </property>
  <property fmtid="{D5CDD505-2E9C-101B-9397-08002B2CF9AE}" pid="4" name="EditTimer">
    <vt:i4>4865</vt:i4>
  </property>
</Properties>
</file>