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25BC6" w:rsidRPr="00650485" w:rsidRDefault="00625BC6" w:rsidP="00650485">
      <w:pPr>
        <w:pStyle w:val="Standard"/>
        <w:spacing w:line="360" w:lineRule="auto"/>
        <w:jc w:val="both"/>
        <w:rPr>
          <w:rFonts w:ascii="Book Antiqua" w:hAnsi="Book Antiqua" w:cs="Tahoma"/>
          <w:bCs/>
          <w:i/>
          <w:color w:val="000000"/>
          <w:kern w:val="0"/>
          <w:lang w:val="en-US" w:eastAsia="it-IT"/>
        </w:rPr>
      </w:pPr>
      <w:bookmarkStart w:id="0" w:name="_GoBack"/>
      <w:bookmarkEnd w:id="0"/>
      <w:r w:rsidRPr="00650485">
        <w:rPr>
          <w:rFonts w:ascii="Book Antiqua" w:hAnsi="Book Antiqua" w:cs="Tahoma"/>
          <w:b/>
          <w:bCs/>
          <w:color w:val="000000"/>
          <w:kern w:val="0"/>
          <w:lang w:val="en-US" w:eastAsia="it-IT"/>
        </w:rPr>
        <w:t xml:space="preserve">Name of Journal: </w:t>
      </w:r>
      <w:r w:rsidRPr="00650485">
        <w:rPr>
          <w:rFonts w:ascii="Book Antiqua" w:hAnsi="Book Antiqua" w:cs="Tahoma"/>
          <w:bCs/>
          <w:i/>
          <w:color w:val="000000"/>
          <w:kern w:val="0"/>
          <w:lang w:val="en-US" w:eastAsia="it-IT"/>
        </w:rPr>
        <w:t>World Journal of Clinical Cases</w:t>
      </w:r>
    </w:p>
    <w:p w:rsidR="00625BC6" w:rsidRPr="00650485" w:rsidRDefault="00625BC6" w:rsidP="00650485">
      <w:pPr>
        <w:widowControl/>
        <w:suppressAutoHyphens w:val="0"/>
        <w:spacing w:line="360" w:lineRule="auto"/>
        <w:jc w:val="both"/>
        <w:textAlignment w:val="auto"/>
        <w:rPr>
          <w:rFonts w:ascii="Book Antiqua" w:eastAsia="Times New Roman" w:hAnsi="Book Antiqua" w:cs="Times New Roman"/>
          <w:kern w:val="0"/>
          <w:sz w:val="24"/>
          <w:szCs w:val="24"/>
          <w:lang w:val="en-US" w:eastAsia="it-IT"/>
        </w:rPr>
      </w:pPr>
      <w:r w:rsidRPr="00650485">
        <w:rPr>
          <w:rFonts w:ascii="Book Antiqua" w:hAnsi="Book Antiqua" w:cs="Tahoma"/>
          <w:b/>
          <w:bCs/>
          <w:color w:val="000000"/>
          <w:kern w:val="0"/>
          <w:sz w:val="24"/>
          <w:szCs w:val="24"/>
          <w:lang w:val="en-US" w:eastAsia="it-IT"/>
        </w:rPr>
        <w:t xml:space="preserve">Manuscript NO: </w:t>
      </w:r>
      <w:r w:rsidRPr="00650485">
        <w:rPr>
          <w:rFonts w:ascii="Book Antiqua" w:eastAsia="Times New Roman" w:hAnsi="Book Antiqua" w:cs="Times New Roman"/>
          <w:color w:val="000000"/>
          <w:kern w:val="0"/>
          <w:sz w:val="24"/>
          <w:szCs w:val="24"/>
          <w:lang w:val="en-US" w:eastAsia="it-IT"/>
        </w:rPr>
        <w:t>47373</w:t>
      </w:r>
    </w:p>
    <w:p w:rsidR="00B84833" w:rsidRPr="00650485" w:rsidRDefault="00625BC6" w:rsidP="00650485">
      <w:pPr>
        <w:pStyle w:val="Standard"/>
        <w:spacing w:line="360" w:lineRule="auto"/>
        <w:jc w:val="both"/>
        <w:rPr>
          <w:rFonts w:ascii="Book Antiqua" w:hAnsi="Book Antiqua" w:cs="Arial"/>
          <w:lang w:val="en-US"/>
        </w:rPr>
      </w:pPr>
      <w:r w:rsidRPr="00650485">
        <w:rPr>
          <w:rFonts w:ascii="Book Antiqua" w:hAnsi="Book Antiqua" w:cs="Tahoma"/>
          <w:b/>
          <w:bCs/>
          <w:color w:val="000000"/>
          <w:kern w:val="0"/>
          <w:lang w:val="en-US" w:eastAsia="it-IT"/>
        </w:rPr>
        <w:t xml:space="preserve">Manuscript Type: </w:t>
      </w:r>
      <w:r w:rsidRPr="00650485">
        <w:rPr>
          <w:rFonts w:ascii="Book Antiqua" w:hAnsi="Book Antiqua" w:cs="Tahoma"/>
          <w:bCs/>
          <w:color w:val="000000"/>
          <w:kern w:val="0"/>
          <w:lang w:val="en-US" w:eastAsia="it-IT"/>
        </w:rPr>
        <w:t>CASE REPORT</w:t>
      </w:r>
    </w:p>
    <w:p w:rsidR="00625BC6" w:rsidRPr="00650485" w:rsidRDefault="00625BC6" w:rsidP="00650485">
      <w:pPr>
        <w:pStyle w:val="Standard"/>
        <w:spacing w:line="360" w:lineRule="auto"/>
        <w:jc w:val="both"/>
        <w:rPr>
          <w:rFonts w:ascii="Book Antiqua" w:hAnsi="Book Antiqua" w:cs="Arial"/>
          <w:b/>
          <w:lang w:val="en-US"/>
        </w:rPr>
      </w:pPr>
    </w:p>
    <w:p w:rsidR="00A3222E" w:rsidRPr="00650485" w:rsidRDefault="00A3222E" w:rsidP="00650485">
      <w:pPr>
        <w:pStyle w:val="Standard"/>
        <w:spacing w:line="360" w:lineRule="auto"/>
        <w:jc w:val="both"/>
        <w:rPr>
          <w:rFonts w:ascii="Book Antiqua" w:hAnsi="Book Antiqua" w:cs="Arial"/>
          <w:b/>
          <w:lang w:val="en-US"/>
        </w:rPr>
      </w:pPr>
      <w:bookmarkStart w:id="1" w:name="OLE_LINK19"/>
      <w:r w:rsidRPr="00650485">
        <w:rPr>
          <w:rFonts w:ascii="Book Antiqua" w:hAnsi="Book Antiqua" w:cs="Arial"/>
          <w:b/>
          <w:lang w:val="en-US"/>
        </w:rPr>
        <w:t>Adrenal metastasis from endometrial cancer</w:t>
      </w:r>
      <w:r w:rsidR="008E1DA6" w:rsidRPr="00650485">
        <w:rPr>
          <w:rFonts w:ascii="Book Antiqua" w:hAnsi="Book Antiqua" w:cs="Arial"/>
          <w:b/>
          <w:lang w:val="en-US"/>
        </w:rPr>
        <w:t>:</w:t>
      </w:r>
      <w:r w:rsidR="005E07D1" w:rsidRPr="00650485">
        <w:rPr>
          <w:rFonts w:ascii="Book Antiqua" w:hAnsi="Book Antiqua" w:cs="Arial"/>
          <w:b/>
          <w:lang w:val="en-US"/>
        </w:rPr>
        <w:t xml:space="preserve"> </w:t>
      </w:r>
      <w:r w:rsidRPr="00650485">
        <w:rPr>
          <w:rFonts w:ascii="Book Antiqua" w:hAnsi="Book Antiqua" w:cs="Arial"/>
          <w:b/>
          <w:lang w:val="en-US"/>
        </w:rPr>
        <w:t>A case report</w:t>
      </w:r>
    </w:p>
    <w:bookmarkEnd w:id="1"/>
    <w:p w:rsidR="00707989" w:rsidRPr="00650485" w:rsidRDefault="00707989" w:rsidP="00650485">
      <w:pPr>
        <w:pStyle w:val="Standard"/>
        <w:spacing w:line="360" w:lineRule="auto"/>
        <w:jc w:val="both"/>
        <w:rPr>
          <w:rFonts w:ascii="Book Antiqua" w:hAnsi="Book Antiqua"/>
          <w:lang w:val="en-US"/>
        </w:rPr>
      </w:pPr>
    </w:p>
    <w:p w:rsidR="00707989" w:rsidRPr="00650485" w:rsidRDefault="008927DC" w:rsidP="00650485">
      <w:pPr>
        <w:adjustRightInd w:val="0"/>
        <w:snapToGrid w:val="0"/>
        <w:spacing w:line="360" w:lineRule="auto"/>
        <w:jc w:val="both"/>
        <w:rPr>
          <w:rFonts w:ascii="Book Antiqua" w:hAnsi="Book Antiqua"/>
          <w:sz w:val="24"/>
          <w:szCs w:val="24"/>
          <w:lang w:val="en-US"/>
        </w:rPr>
      </w:pPr>
      <w:bookmarkStart w:id="2" w:name="_Hlk6583281"/>
      <w:r w:rsidRPr="00650485">
        <w:rPr>
          <w:rFonts w:ascii="Book Antiqua" w:hAnsi="Book Antiqua" w:cs="Garamond-Bold"/>
          <w:bCs/>
          <w:sz w:val="24"/>
          <w:szCs w:val="24"/>
          <w:lang w:val="en-US"/>
        </w:rPr>
        <w:t xml:space="preserve">Da Dalt G </w:t>
      </w:r>
      <w:r w:rsidRPr="00650485">
        <w:rPr>
          <w:rFonts w:ascii="Book Antiqua" w:hAnsi="Book Antiqua" w:cs="Garamond-Bold"/>
          <w:bCs/>
          <w:i/>
          <w:sz w:val="24"/>
          <w:szCs w:val="24"/>
          <w:lang w:val="en-US"/>
        </w:rPr>
        <w:t>et al</w:t>
      </w:r>
      <w:r w:rsidRPr="00650485">
        <w:rPr>
          <w:rFonts w:ascii="Book Antiqua" w:hAnsi="Book Antiqua" w:cs="Garamond-Bold"/>
          <w:bCs/>
          <w:sz w:val="24"/>
          <w:szCs w:val="24"/>
          <w:lang w:val="en-US"/>
        </w:rPr>
        <w:t xml:space="preserve">. </w:t>
      </w:r>
      <w:r w:rsidR="00EB4A64" w:rsidRPr="00650485">
        <w:rPr>
          <w:rFonts w:ascii="Book Antiqua" w:hAnsi="Book Antiqua" w:cs="Arial"/>
          <w:sz w:val="24"/>
          <w:szCs w:val="24"/>
          <w:lang w:val="en-US"/>
        </w:rPr>
        <w:t>Adrenal metastasis from endometrial cancer</w:t>
      </w:r>
    </w:p>
    <w:bookmarkEnd w:id="2"/>
    <w:p w:rsidR="00A3222E" w:rsidRPr="00650485" w:rsidRDefault="00A3222E" w:rsidP="00650485">
      <w:pPr>
        <w:pStyle w:val="Standard"/>
        <w:spacing w:line="360" w:lineRule="auto"/>
        <w:jc w:val="both"/>
        <w:rPr>
          <w:rFonts w:ascii="Book Antiqua" w:hAnsi="Book Antiqua" w:cs="Arial"/>
          <w:i/>
          <w:lang w:val="en-US"/>
        </w:rPr>
      </w:pPr>
    </w:p>
    <w:p w:rsidR="00A3222E" w:rsidRPr="00650485" w:rsidRDefault="00A3222E" w:rsidP="00650485">
      <w:pPr>
        <w:pStyle w:val="Standard"/>
        <w:spacing w:line="360" w:lineRule="auto"/>
        <w:jc w:val="both"/>
        <w:rPr>
          <w:rFonts w:ascii="Book Antiqua" w:hAnsi="Book Antiqua"/>
          <w:lang w:val="en-US"/>
        </w:rPr>
      </w:pPr>
      <w:r w:rsidRPr="00650485">
        <w:rPr>
          <w:rFonts w:ascii="Book Antiqua" w:hAnsi="Book Antiqua" w:cs="Arial"/>
          <w:lang w:val="en-US"/>
        </w:rPr>
        <w:t>Gianfranco Da Dalt, Alberto Friziero, Andrea Grego, Simone Serafini, Ambrogio Fassina, Stella Blandamura, Cosimo Sperti</w:t>
      </w:r>
    </w:p>
    <w:p w:rsidR="00625BC6" w:rsidRPr="00650485" w:rsidRDefault="00625BC6" w:rsidP="00650485">
      <w:pPr>
        <w:pStyle w:val="Standard"/>
        <w:spacing w:line="360" w:lineRule="auto"/>
        <w:jc w:val="both"/>
        <w:rPr>
          <w:rFonts w:ascii="Book Antiqua" w:hAnsi="Book Antiqua" w:cs="Arial"/>
          <w:lang w:val="en-US"/>
        </w:rPr>
      </w:pPr>
    </w:p>
    <w:p w:rsidR="00A3222E" w:rsidRPr="00650485" w:rsidRDefault="00A3222E" w:rsidP="00650485">
      <w:pPr>
        <w:pStyle w:val="P12"/>
        <w:spacing w:line="360" w:lineRule="auto"/>
        <w:jc w:val="both"/>
        <w:rPr>
          <w:rStyle w:val="T2"/>
          <w:rFonts w:ascii="Book Antiqua" w:hAnsi="Book Antiqua" w:cs="Arial"/>
          <w:szCs w:val="24"/>
          <w:lang w:val="en-US"/>
        </w:rPr>
      </w:pPr>
      <w:r w:rsidRPr="00650485">
        <w:rPr>
          <w:rFonts w:ascii="Book Antiqua" w:hAnsi="Book Antiqua" w:cs="Arial"/>
          <w:b/>
          <w:szCs w:val="24"/>
          <w:lang w:val="en-US"/>
        </w:rPr>
        <w:t>Gianfranco Da Dalt, Alberto Friziero, Andrea Grego, Simone Serafini, Cosimo Sperti</w:t>
      </w:r>
      <w:r w:rsidR="008E1DA6" w:rsidRPr="00650485">
        <w:rPr>
          <w:rFonts w:ascii="Book Antiqua" w:hAnsi="Book Antiqua" w:cs="Arial"/>
          <w:b/>
          <w:szCs w:val="24"/>
          <w:lang w:val="en-US"/>
        </w:rPr>
        <w:t xml:space="preserve">, </w:t>
      </w:r>
      <w:r w:rsidRPr="00650485">
        <w:rPr>
          <w:rStyle w:val="T2"/>
          <w:rFonts w:ascii="Book Antiqua" w:hAnsi="Book Antiqua" w:cs="Arial"/>
          <w:szCs w:val="24"/>
          <w:lang w:val="en-US"/>
        </w:rPr>
        <w:t>Department of Surgery, Oncology and Gastroenterology, 3</w:t>
      </w:r>
      <w:r w:rsidRPr="00650485">
        <w:rPr>
          <w:rStyle w:val="T2"/>
          <w:rFonts w:ascii="Book Antiqua" w:hAnsi="Book Antiqua" w:cs="Arial"/>
          <w:szCs w:val="24"/>
          <w:vertAlign w:val="superscript"/>
          <w:lang w:val="en-US"/>
        </w:rPr>
        <w:t>rd</w:t>
      </w:r>
      <w:r w:rsidRPr="00650485">
        <w:rPr>
          <w:rStyle w:val="T2"/>
          <w:rFonts w:ascii="Book Antiqua" w:hAnsi="Book Antiqua" w:cs="Arial"/>
          <w:szCs w:val="24"/>
          <w:lang w:val="en-US"/>
        </w:rPr>
        <w:t xml:space="preserve"> Surgical Clinic, University of Padua</w:t>
      </w:r>
      <w:r w:rsidR="008E1DA6" w:rsidRPr="00650485">
        <w:rPr>
          <w:rStyle w:val="T2"/>
          <w:rFonts w:ascii="Book Antiqua" w:hAnsi="Book Antiqua" w:cs="Arial"/>
          <w:szCs w:val="24"/>
          <w:lang w:val="en-US"/>
        </w:rPr>
        <w:t>, Padua 35128, Italy</w:t>
      </w:r>
    </w:p>
    <w:p w:rsidR="008E1DA6" w:rsidRPr="00650485" w:rsidRDefault="008E1DA6" w:rsidP="00650485">
      <w:pPr>
        <w:pStyle w:val="P12"/>
        <w:spacing w:line="360" w:lineRule="auto"/>
        <w:jc w:val="both"/>
        <w:rPr>
          <w:rFonts w:ascii="Book Antiqua" w:hAnsi="Book Antiqua"/>
          <w:szCs w:val="24"/>
          <w:lang w:val="en-US"/>
        </w:rPr>
      </w:pPr>
    </w:p>
    <w:p w:rsidR="00A3222E" w:rsidRPr="00650485" w:rsidRDefault="00A3222E" w:rsidP="00650485">
      <w:pPr>
        <w:pStyle w:val="P12"/>
        <w:spacing w:line="360" w:lineRule="auto"/>
        <w:jc w:val="both"/>
        <w:rPr>
          <w:rFonts w:ascii="Book Antiqua" w:hAnsi="Book Antiqua"/>
          <w:szCs w:val="24"/>
          <w:lang w:val="en-US"/>
        </w:rPr>
      </w:pPr>
      <w:r w:rsidRPr="00650485">
        <w:rPr>
          <w:rFonts w:ascii="Book Antiqua" w:hAnsi="Book Antiqua" w:cs="Arial"/>
          <w:b/>
          <w:szCs w:val="24"/>
          <w:lang w:val="en-US"/>
        </w:rPr>
        <w:t>Ambrogio Fassina, Stella Blandamura,</w:t>
      </w:r>
      <w:r w:rsidR="008E1DA6" w:rsidRPr="00EC7DEB">
        <w:rPr>
          <w:rFonts w:ascii="Book Antiqua" w:eastAsia="等线" w:hAnsi="Book Antiqua"/>
          <w:szCs w:val="24"/>
          <w:lang w:val="en-US"/>
        </w:rPr>
        <w:t xml:space="preserve"> </w:t>
      </w:r>
      <w:r w:rsidRPr="00650485">
        <w:rPr>
          <w:rFonts w:ascii="Book Antiqua" w:hAnsi="Book Antiqua" w:cs="Arial"/>
          <w:szCs w:val="24"/>
          <w:lang w:val="en-US"/>
        </w:rPr>
        <w:t>Department of Medicine, Surgical Pathology</w:t>
      </w:r>
      <w:r w:rsidR="008E1DA6" w:rsidRPr="00650485">
        <w:rPr>
          <w:rFonts w:ascii="Book Antiqua" w:hAnsi="Book Antiqua" w:cs="Arial"/>
          <w:szCs w:val="24"/>
          <w:lang w:val="en-US"/>
        </w:rPr>
        <w:t xml:space="preserve"> </w:t>
      </w:r>
      <w:r w:rsidRPr="00650485">
        <w:rPr>
          <w:rFonts w:ascii="Book Antiqua" w:hAnsi="Book Antiqua" w:cs="Arial"/>
          <w:szCs w:val="24"/>
          <w:lang w:val="en-US"/>
        </w:rPr>
        <w:t>and Cytopathology, University of Padua</w:t>
      </w:r>
      <w:r w:rsidR="008E1DA6" w:rsidRPr="00650485">
        <w:rPr>
          <w:rFonts w:ascii="Book Antiqua" w:hAnsi="Book Antiqua" w:cs="Arial"/>
          <w:szCs w:val="24"/>
          <w:lang w:val="en-US"/>
        </w:rPr>
        <w:t>, Padua 35128, Italy</w:t>
      </w:r>
    </w:p>
    <w:p w:rsidR="00625BC6" w:rsidRPr="00650485" w:rsidRDefault="00625BC6" w:rsidP="00650485">
      <w:pPr>
        <w:pStyle w:val="P12"/>
        <w:spacing w:line="360" w:lineRule="auto"/>
        <w:jc w:val="both"/>
        <w:rPr>
          <w:rFonts w:ascii="Book Antiqua" w:hAnsi="Book Antiqua"/>
          <w:szCs w:val="24"/>
          <w:lang w:val="en-US"/>
        </w:rPr>
      </w:pPr>
    </w:p>
    <w:p w:rsidR="00A3222E" w:rsidRPr="005623F3" w:rsidRDefault="008E1DA6" w:rsidP="00650485">
      <w:pPr>
        <w:pStyle w:val="P14"/>
        <w:spacing w:line="360" w:lineRule="auto"/>
        <w:jc w:val="both"/>
        <w:rPr>
          <w:rFonts w:ascii="Book Antiqua" w:hAnsi="Book Antiqua"/>
          <w:color w:val="000000"/>
          <w:szCs w:val="24"/>
          <w:lang w:val="en-US"/>
        </w:rPr>
      </w:pPr>
      <w:r w:rsidRPr="005623F3">
        <w:rPr>
          <w:rFonts w:ascii="Book Antiqua" w:hAnsi="Book Antiqua"/>
          <w:b/>
          <w:color w:val="000000"/>
          <w:szCs w:val="24"/>
        </w:rPr>
        <w:t xml:space="preserve">ORCID number: </w:t>
      </w:r>
      <w:r w:rsidR="003573E2" w:rsidRPr="005623F3">
        <w:rPr>
          <w:rFonts w:ascii="Book Antiqua" w:hAnsi="Book Antiqua" w:cs="Arial"/>
          <w:color w:val="000000"/>
          <w:szCs w:val="24"/>
          <w:lang w:val="en-US"/>
        </w:rPr>
        <w:t>Gianfranco Da Dalt (</w:t>
      </w:r>
      <w:r w:rsidR="003573E2" w:rsidRPr="005623F3">
        <w:rPr>
          <w:rStyle w:val="orcid-id-https2"/>
          <w:rFonts w:ascii="Book Antiqua" w:hAnsi="Book Antiqua" w:cs="Arial"/>
          <w:color w:val="000000"/>
          <w:sz w:val="24"/>
          <w:szCs w:val="24"/>
          <w:lang w:val="en-US"/>
        </w:rPr>
        <w:t>0000-0002-4246-9128)</w:t>
      </w:r>
      <w:r w:rsidRPr="005623F3">
        <w:rPr>
          <w:rStyle w:val="orcid-id-https2"/>
          <w:rFonts w:ascii="Book Antiqua" w:hAnsi="Book Antiqua" w:cs="Arial"/>
          <w:color w:val="000000"/>
          <w:sz w:val="24"/>
          <w:szCs w:val="24"/>
          <w:lang w:val="en-US"/>
        </w:rPr>
        <w:t>;</w:t>
      </w:r>
      <w:r w:rsidR="00A3222E" w:rsidRPr="005623F3">
        <w:rPr>
          <w:rFonts w:ascii="Book Antiqua" w:hAnsi="Book Antiqua" w:cs="Arial"/>
          <w:color w:val="000000"/>
          <w:szCs w:val="24"/>
          <w:lang w:val="en-US"/>
        </w:rPr>
        <w:t xml:space="preserve"> Cosimo Sperti (0000-0002-7869-8715); Alberto Friziero (0000-0003-0431-6</w:t>
      </w:r>
      <w:r w:rsidR="00B84833" w:rsidRPr="005623F3">
        <w:rPr>
          <w:rFonts w:ascii="Book Antiqua" w:hAnsi="Book Antiqua" w:cs="Arial"/>
          <w:color w:val="000000"/>
          <w:szCs w:val="24"/>
          <w:lang w:val="en-US"/>
        </w:rPr>
        <w:t>5</w:t>
      </w:r>
      <w:r w:rsidR="00A3222E" w:rsidRPr="005623F3">
        <w:rPr>
          <w:rFonts w:ascii="Book Antiqua" w:hAnsi="Book Antiqua" w:cs="Arial"/>
          <w:color w:val="000000"/>
          <w:szCs w:val="24"/>
          <w:lang w:val="en-US"/>
        </w:rPr>
        <w:t>66); Andrea Grego (0000-0002-7217-3184); Simone Serafini (0000-0001-8392-7714); Stella Blandamura (0000-0002-0466-6948); Ambrogio Fassina (0000-0002-5737-2249)</w:t>
      </w:r>
      <w:r w:rsidRPr="005623F3">
        <w:rPr>
          <w:rFonts w:ascii="Book Antiqua" w:hAnsi="Book Antiqua" w:cs="Arial"/>
          <w:color w:val="000000"/>
          <w:szCs w:val="24"/>
          <w:lang w:val="en-US"/>
        </w:rPr>
        <w:t>.</w:t>
      </w:r>
    </w:p>
    <w:p w:rsidR="00A3222E" w:rsidRPr="00650485" w:rsidRDefault="00A3222E" w:rsidP="00650485">
      <w:pPr>
        <w:pStyle w:val="P14"/>
        <w:spacing w:line="360" w:lineRule="auto"/>
        <w:jc w:val="both"/>
        <w:rPr>
          <w:rFonts w:ascii="Book Antiqua" w:hAnsi="Book Antiqua" w:cs="Arial"/>
          <w:color w:val="000000"/>
          <w:szCs w:val="24"/>
          <w:lang w:val="en-US"/>
        </w:rPr>
      </w:pPr>
    </w:p>
    <w:p w:rsidR="00A3222E" w:rsidRPr="00650485" w:rsidRDefault="008E1DA6" w:rsidP="00650485">
      <w:pPr>
        <w:pStyle w:val="Standard"/>
        <w:spacing w:line="360" w:lineRule="auto"/>
        <w:jc w:val="both"/>
        <w:rPr>
          <w:rFonts w:ascii="Book Antiqua" w:hAnsi="Book Antiqua"/>
          <w:lang w:val="en-US"/>
        </w:rPr>
      </w:pPr>
      <w:r w:rsidRPr="00650485">
        <w:rPr>
          <w:rFonts w:ascii="Book Antiqua" w:eastAsia="黑体" w:hAnsi="Book Antiqua"/>
          <w:b/>
        </w:rPr>
        <w:t>Author contributions:</w:t>
      </w:r>
      <w:r w:rsidRPr="00650485">
        <w:rPr>
          <w:rFonts w:ascii="Book Antiqua" w:hAnsi="Book Antiqua" w:cs="Arial"/>
          <w:lang w:val="en-US"/>
        </w:rPr>
        <w:t xml:space="preserve"> Da Dalt</w:t>
      </w:r>
      <w:r w:rsidRPr="00650485">
        <w:rPr>
          <w:rFonts w:ascii="Book Antiqua" w:eastAsia="华文中宋" w:hAnsi="Book Antiqua"/>
        </w:rPr>
        <w:t xml:space="preserve"> </w:t>
      </w:r>
      <w:r w:rsidR="00A3222E" w:rsidRPr="00650485">
        <w:rPr>
          <w:rFonts w:ascii="Book Antiqua" w:hAnsi="Book Antiqua" w:cs="Arial"/>
          <w:lang w:val="en-US"/>
        </w:rPr>
        <w:t xml:space="preserve">G and </w:t>
      </w:r>
      <w:r w:rsidRPr="00650485">
        <w:rPr>
          <w:rFonts w:ascii="Book Antiqua" w:hAnsi="Book Antiqua" w:cs="Arial"/>
          <w:lang w:val="en-US"/>
        </w:rPr>
        <w:t xml:space="preserve">Friziero </w:t>
      </w:r>
      <w:r w:rsidR="00A3222E" w:rsidRPr="00650485">
        <w:rPr>
          <w:rFonts w:ascii="Book Antiqua" w:hAnsi="Book Antiqua" w:cs="Arial"/>
          <w:lang w:val="en-US"/>
        </w:rPr>
        <w:t xml:space="preserve">A conceived the study, conducted the literature search, and drafted the manuscript; </w:t>
      </w:r>
      <w:r w:rsidRPr="00650485">
        <w:rPr>
          <w:rFonts w:ascii="Book Antiqua" w:hAnsi="Book Antiqua" w:cs="Arial"/>
          <w:lang w:val="en-US"/>
        </w:rPr>
        <w:t xml:space="preserve">Grego </w:t>
      </w:r>
      <w:r w:rsidR="00A3222E" w:rsidRPr="00650485">
        <w:rPr>
          <w:rFonts w:ascii="Book Antiqua" w:hAnsi="Book Antiqua" w:cs="Arial"/>
          <w:lang w:val="en-US"/>
        </w:rPr>
        <w:t xml:space="preserve">A and </w:t>
      </w:r>
      <w:r w:rsidRPr="00650485">
        <w:rPr>
          <w:rFonts w:ascii="Book Antiqua" w:hAnsi="Book Antiqua" w:cs="Arial"/>
          <w:lang w:val="en-US"/>
        </w:rPr>
        <w:t xml:space="preserve">Serafini </w:t>
      </w:r>
      <w:r w:rsidR="00A3222E" w:rsidRPr="00650485">
        <w:rPr>
          <w:rFonts w:ascii="Book Antiqua" w:hAnsi="Book Antiqua" w:cs="Arial"/>
          <w:lang w:val="en-US"/>
        </w:rPr>
        <w:t xml:space="preserve">S helped with patient management; </w:t>
      </w:r>
      <w:r w:rsidRPr="00650485">
        <w:rPr>
          <w:rFonts w:ascii="Book Antiqua" w:hAnsi="Book Antiqua" w:cs="Arial"/>
          <w:lang w:val="en-US"/>
        </w:rPr>
        <w:t xml:space="preserve">Friziero </w:t>
      </w:r>
      <w:r w:rsidR="00A3222E" w:rsidRPr="00650485">
        <w:rPr>
          <w:rFonts w:ascii="Book Antiqua" w:hAnsi="Book Antiqua" w:cs="Arial"/>
          <w:lang w:val="en-US"/>
        </w:rPr>
        <w:t xml:space="preserve">A and </w:t>
      </w:r>
      <w:r w:rsidRPr="00650485">
        <w:rPr>
          <w:rFonts w:ascii="Book Antiqua" w:hAnsi="Book Antiqua" w:cs="Arial"/>
          <w:lang w:val="en-US"/>
        </w:rPr>
        <w:t xml:space="preserve">Blandamura </w:t>
      </w:r>
      <w:r w:rsidR="00A3222E" w:rsidRPr="00650485">
        <w:rPr>
          <w:rFonts w:ascii="Book Antiqua" w:hAnsi="Book Antiqua" w:cs="Arial"/>
          <w:lang w:val="en-US"/>
        </w:rPr>
        <w:t xml:space="preserve">S completed the pathological diagnosis and immunoassays; </w:t>
      </w:r>
      <w:r w:rsidRPr="00650485">
        <w:rPr>
          <w:rFonts w:ascii="Book Antiqua" w:hAnsi="Book Antiqua" w:cs="Arial"/>
          <w:lang w:val="en-US"/>
        </w:rPr>
        <w:t xml:space="preserve">Sperti </w:t>
      </w:r>
      <w:r w:rsidR="00A3222E" w:rsidRPr="00650485">
        <w:rPr>
          <w:rFonts w:ascii="Book Antiqua" w:hAnsi="Book Antiqua" w:cs="Arial"/>
          <w:lang w:val="en-US"/>
        </w:rPr>
        <w:t>C</w:t>
      </w:r>
      <w:r w:rsidRPr="00650485">
        <w:rPr>
          <w:rFonts w:ascii="Book Antiqua" w:hAnsi="Book Antiqua" w:cs="Arial"/>
          <w:lang w:val="en-US"/>
        </w:rPr>
        <w:t xml:space="preserve"> </w:t>
      </w:r>
      <w:r w:rsidR="00A3222E" w:rsidRPr="00650485">
        <w:rPr>
          <w:rFonts w:ascii="Book Antiqua" w:hAnsi="Book Antiqua" w:cs="Arial"/>
          <w:lang w:val="en-US"/>
        </w:rPr>
        <w:t>supervised the study and critically revised the paper. All Authors read and approved the final manuscript.</w:t>
      </w:r>
    </w:p>
    <w:p w:rsidR="00A3222E" w:rsidRPr="00650485" w:rsidRDefault="00A3222E" w:rsidP="00650485">
      <w:pPr>
        <w:pStyle w:val="P14"/>
        <w:spacing w:line="360" w:lineRule="auto"/>
        <w:jc w:val="both"/>
        <w:rPr>
          <w:rFonts w:ascii="Book Antiqua" w:hAnsi="Book Antiqua" w:cs="Arial"/>
          <w:szCs w:val="24"/>
          <w:lang w:val="en-US"/>
        </w:rPr>
      </w:pPr>
    </w:p>
    <w:p w:rsidR="00625BC6" w:rsidRPr="00650485" w:rsidRDefault="008E1DA6" w:rsidP="00650485">
      <w:pPr>
        <w:pStyle w:val="P14"/>
        <w:spacing w:line="360" w:lineRule="auto"/>
        <w:jc w:val="both"/>
        <w:rPr>
          <w:rFonts w:ascii="Book Antiqua" w:hAnsi="Book Antiqua" w:cs="Arial"/>
          <w:szCs w:val="24"/>
          <w:lang w:val="en-US"/>
        </w:rPr>
      </w:pPr>
      <w:r w:rsidRPr="00650485">
        <w:rPr>
          <w:rFonts w:ascii="Book Antiqua" w:hAnsi="Book Antiqua"/>
          <w:b/>
          <w:szCs w:val="24"/>
        </w:rPr>
        <w:t>Informed consent statement:</w:t>
      </w:r>
      <w:r w:rsidRPr="00650485">
        <w:rPr>
          <w:rFonts w:ascii="Book Antiqua" w:eastAsia="华文中宋" w:hAnsi="Book Antiqua"/>
          <w:szCs w:val="24"/>
        </w:rPr>
        <w:t xml:space="preserve"> </w:t>
      </w:r>
      <w:r w:rsidR="00625BC6" w:rsidRPr="00650485">
        <w:rPr>
          <w:rFonts w:ascii="Book Antiqua" w:hAnsi="Book Antiqua" w:cs="Arial"/>
          <w:szCs w:val="24"/>
          <w:lang w:val="en-US"/>
        </w:rPr>
        <w:t xml:space="preserve">Informed written consent was obtained from </w:t>
      </w:r>
      <w:r w:rsidR="00625BC6" w:rsidRPr="00650485">
        <w:rPr>
          <w:rFonts w:ascii="Book Antiqua" w:hAnsi="Book Antiqua" w:cs="Arial"/>
          <w:szCs w:val="24"/>
          <w:lang w:val="en-US"/>
        </w:rPr>
        <w:lastRenderedPageBreak/>
        <w:t>the patient for publication of this report and any accompanying images.</w:t>
      </w:r>
    </w:p>
    <w:p w:rsidR="00625BC6" w:rsidRPr="00650485" w:rsidRDefault="00625BC6" w:rsidP="00650485">
      <w:pPr>
        <w:pStyle w:val="P14"/>
        <w:spacing w:line="360" w:lineRule="auto"/>
        <w:jc w:val="both"/>
        <w:rPr>
          <w:rFonts w:ascii="Book Antiqua" w:hAnsi="Book Antiqua" w:cs="Arial"/>
          <w:szCs w:val="24"/>
          <w:lang w:val="en-US"/>
        </w:rPr>
      </w:pPr>
    </w:p>
    <w:p w:rsidR="00625BC6" w:rsidRPr="00650485" w:rsidRDefault="008E1DA6" w:rsidP="00650485">
      <w:pPr>
        <w:pStyle w:val="P14"/>
        <w:spacing w:line="360" w:lineRule="auto"/>
        <w:jc w:val="both"/>
        <w:rPr>
          <w:rFonts w:ascii="Book Antiqua" w:hAnsi="Book Antiqua" w:cs="Arial"/>
          <w:szCs w:val="24"/>
          <w:lang w:val="en-US"/>
        </w:rPr>
      </w:pPr>
      <w:r w:rsidRPr="00650485">
        <w:rPr>
          <w:rFonts w:ascii="Book Antiqua" w:hAnsi="Book Antiqua"/>
          <w:b/>
          <w:szCs w:val="24"/>
        </w:rPr>
        <w:t>Conflict-of-interest statement:</w:t>
      </w:r>
      <w:r w:rsidRPr="00650485">
        <w:rPr>
          <w:rFonts w:ascii="Book Antiqua" w:eastAsia="华文中宋" w:hAnsi="Book Antiqua"/>
          <w:szCs w:val="24"/>
        </w:rPr>
        <w:t xml:space="preserve"> </w:t>
      </w:r>
      <w:r w:rsidR="00625BC6" w:rsidRPr="00650485">
        <w:rPr>
          <w:rFonts w:ascii="Book Antiqua" w:hAnsi="Book Antiqua" w:cs="Arial"/>
          <w:szCs w:val="24"/>
          <w:lang w:val="en-US"/>
        </w:rPr>
        <w:t>The authors declare that they have no conflict of interest.</w:t>
      </w:r>
    </w:p>
    <w:p w:rsidR="00625BC6" w:rsidRPr="00650485" w:rsidRDefault="00625BC6" w:rsidP="00650485">
      <w:pPr>
        <w:pStyle w:val="P14"/>
        <w:spacing w:line="360" w:lineRule="auto"/>
        <w:jc w:val="both"/>
        <w:rPr>
          <w:rFonts w:ascii="Book Antiqua" w:hAnsi="Book Antiqua" w:cs="Arial"/>
          <w:szCs w:val="24"/>
          <w:lang w:val="en-US"/>
        </w:rPr>
      </w:pPr>
    </w:p>
    <w:p w:rsidR="00625BC6" w:rsidRPr="00650485" w:rsidRDefault="008E1DA6" w:rsidP="00650485">
      <w:pPr>
        <w:pStyle w:val="P14"/>
        <w:spacing w:line="360" w:lineRule="auto"/>
        <w:jc w:val="both"/>
        <w:rPr>
          <w:rFonts w:ascii="Book Antiqua" w:hAnsi="Book Antiqua" w:cs="Arial"/>
          <w:szCs w:val="24"/>
          <w:lang w:val="en-US"/>
        </w:rPr>
      </w:pPr>
      <w:r w:rsidRPr="00650485">
        <w:rPr>
          <w:rFonts w:ascii="Book Antiqua" w:hAnsi="Book Antiqua"/>
          <w:b/>
          <w:szCs w:val="24"/>
        </w:rPr>
        <w:t>CARE Checklist (2016) statement:</w:t>
      </w:r>
      <w:r w:rsidRPr="00650485">
        <w:rPr>
          <w:rFonts w:ascii="Book Antiqua" w:eastAsia="华文中宋" w:hAnsi="Book Antiqua"/>
          <w:szCs w:val="24"/>
        </w:rPr>
        <w:t xml:space="preserve"> </w:t>
      </w:r>
      <w:r w:rsidR="00625BC6" w:rsidRPr="00650485">
        <w:rPr>
          <w:rFonts w:ascii="Book Antiqua" w:hAnsi="Book Antiqua" w:cs="Arial"/>
          <w:szCs w:val="24"/>
          <w:lang w:val="en-US"/>
        </w:rPr>
        <w:t>The authors have read the CARE Checklist (2013), and the manuscript was prepared and revised according to the CARE Checklist (2016).</w:t>
      </w:r>
    </w:p>
    <w:p w:rsidR="00625BC6" w:rsidRPr="00650485" w:rsidRDefault="00625BC6" w:rsidP="00650485">
      <w:pPr>
        <w:pStyle w:val="P14"/>
        <w:spacing w:line="360" w:lineRule="auto"/>
        <w:jc w:val="both"/>
        <w:rPr>
          <w:rFonts w:ascii="Book Antiqua" w:hAnsi="Book Antiqua" w:cs="Arial"/>
          <w:szCs w:val="24"/>
          <w:lang w:val="en-US"/>
        </w:rPr>
      </w:pPr>
    </w:p>
    <w:p w:rsidR="008E1DA6" w:rsidRPr="00650485" w:rsidRDefault="008E1DA6" w:rsidP="00650485">
      <w:pPr>
        <w:spacing w:line="360" w:lineRule="auto"/>
        <w:jc w:val="both"/>
        <w:rPr>
          <w:rFonts w:ascii="Book Antiqua" w:eastAsia="等线" w:hAnsi="Book Antiqua"/>
          <w:sz w:val="24"/>
          <w:szCs w:val="24"/>
        </w:rPr>
      </w:pPr>
      <w:r w:rsidRPr="00650485">
        <w:rPr>
          <w:rFonts w:ascii="Book Antiqua" w:hAnsi="Book Antiqua"/>
          <w:b/>
          <w:sz w:val="24"/>
          <w:szCs w:val="24"/>
        </w:rPr>
        <w:t xml:space="preserve">Open-Access: </w:t>
      </w:r>
      <w:bookmarkStart w:id="3" w:name="OLE_LINK4"/>
      <w:r w:rsidRPr="0065048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p w:rsidR="008E1DA6" w:rsidRPr="00650485" w:rsidRDefault="008E1DA6" w:rsidP="00650485">
      <w:pPr>
        <w:spacing w:line="360" w:lineRule="auto"/>
        <w:jc w:val="both"/>
        <w:rPr>
          <w:rFonts w:ascii="Book Antiqua" w:hAnsi="Book Antiqua"/>
          <w:sz w:val="24"/>
          <w:szCs w:val="24"/>
        </w:rPr>
      </w:pPr>
    </w:p>
    <w:p w:rsidR="008E1DA6" w:rsidRPr="00650485" w:rsidRDefault="008E1DA6" w:rsidP="00650485">
      <w:pPr>
        <w:spacing w:line="360" w:lineRule="auto"/>
        <w:jc w:val="both"/>
        <w:rPr>
          <w:rFonts w:ascii="Book Antiqua" w:hAnsi="Book Antiqua"/>
          <w:bCs/>
          <w:iCs/>
          <w:sz w:val="24"/>
          <w:szCs w:val="24"/>
        </w:rPr>
      </w:pPr>
      <w:r w:rsidRPr="00650485">
        <w:rPr>
          <w:rFonts w:ascii="Book Antiqua" w:hAnsi="Book Antiqua"/>
          <w:b/>
          <w:bCs/>
          <w:iCs/>
          <w:sz w:val="24"/>
          <w:szCs w:val="24"/>
        </w:rPr>
        <w:t>Manuscript source:</w:t>
      </w:r>
      <w:r w:rsidRPr="00650485">
        <w:rPr>
          <w:rFonts w:ascii="Book Antiqua" w:hAnsi="Book Antiqua"/>
          <w:bCs/>
          <w:iCs/>
          <w:sz w:val="24"/>
          <w:szCs w:val="24"/>
        </w:rPr>
        <w:t xml:space="preserve"> Invited Manuscript</w:t>
      </w:r>
    </w:p>
    <w:p w:rsidR="008E1DA6" w:rsidRPr="00650485" w:rsidRDefault="008E1DA6" w:rsidP="00650485">
      <w:pPr>
        <w:spacing w:line="360" w:lineRule="auto"/>
        <w:jc w:val="both"/>
        <w:rPr>
          <w:rFonts w:ascii="Book Antiqua" w:hAnsi="Book Antiqua"/>
          <w:sz w:val="24"/>
          <w:szCs w:val="24"/>
        </w:rPr>
      </w:pPr>
    </w:p>
    <w:p w:rsidR="00A3222E" w:rsidRPr="005623F3" w:rsidRDefault="008E1DA6" w:rsidP="00650485">
      <w:pPr>
        <w:pStyle w:val="P12"/>
        <w:spacing w:line="360" w:lineRule="auto"/>
        <w:jc w:val="both"/>
        <w:rPr>
          <w:rFonts w:ascii="Book Antiqua" w:eastAsia="宋体" w:hAnsi="Book Antiqua" w:hint="eastAsia"/>
          <w:szCs w:val="24"/>
          <w:lang w:val="en-US"/>
        </w:rPr>
      </w:pPr>
      <w:r w:rsidRPr="00650485">
        <w:rPr>
          <w:rFonts w:ascii="Book Antiqua" w:hAnsi="Book Antiqua" w:cs="Arial"/>
          <w:b/>
          <w:szCs w:val="24"/>
        </w:rPr>
        <w:t>Corresponding author</w:t>
      </w:r>
      <w:r w:rsidRPr="00650485">
        <w:rPr>
          <w:rFonts w:ascii="Book Antiqua" w:hAnsi="Book Antiqua"/>
          <w:b/>
          <w:iCs/>
          <w:szCs w:val="24"/>
        </w:rPr>
        <w:t xml:space="preserve">: </w:t>
      </w:r>
      <w:r w:rsidR="00A3222E" w:rsidRPr="00650485">
        <w:rPr>
          <w:rStyle w:val="T2"/>
          <w:rFonts w:ascii="Book Antiqua" w:hAnsi="Book Antiqua" w:cs="Arial"/>
          <w:b/>
          <w:szCs w:val="24"/>
          <w:lang w:val="en-US"/>
        </w:rPr>
        <w:t xml:space="preserve">Cosimo Sperti, </w:t>
      </w:r>
      <w:r w:rsidR="005E07D1" w:rsidRPr="00650485">
        <w:rPr>
          <w:rStyle w:val="T2"/>
          <w:rFonts w:ascii="Book Antiqua" w:hAnsi="Book Antiqua" w:cs="Arial"/>
          <w:b/>
          <w:szCs w:val="24"/>
          <w:lang w:val="en-US"/>
        </w:rPr>
        <w:t>MD, Professor,</w:t>
      </w:r>
      <w:r w:rsidR="00A3222E" w:rsidRPr="00650485">
        <w:rPr>
          <w:rStyle w:val="T2"/>
          <w:rFonts w:ascii="Book Antiqua" w:hAnsi="Book Antiqua" w:cs="Arial"/>
          <w:b/>
          <w:szCs w:val="24"/>
          <w:lang w:val="en-US"/>
        </w:rPr>
        <w:t xml:space="preserve"> </w:t>
      </w:r>
      <w:bookmarkStart w:id="4" w:name="OLE_LINK16"/>
      <w:r w:rsidR="00A3222E" w:rsidRPr="00650485">
        <w:rPr>
          <w:rStyle w:val="T2"/>
          <w:rFonts w:ascii="Book Antiqua" w:hAnsi="Book Antiqua" w:cs="Arial"/>
          <w:szCs w:val="24"/>
          <w:lang w:val="en-US"/>
        </w:rPr>
        <w:t>D</w:t>
      </w:r>
      <w:bookmarkStart w:id="5" w:name="OLE_LINK15"/>
      <w:r w:rsidR="00A3222E" w:rsidRPr="00650485">
        <w:rPr>
          <w:rStyle w:val="T2"/>
          <w:rFonts w:ascii="Book Antiqua" w:hAnsi="Book Antiqua" w:cs="Arial"/>
          <w:szCs w:val="24"/>
          <w:lang w:val="en-US"/>
        </w:rPr>
        <w:t>epartment of Surgery,</w:t>
      </w:r>
      <w:r w:rsidRPr="00650485">
        <w:rPr>
          <w:rStyle w:val="T2"/>
          <w:rFonts w:ascii="Book Antiqua" w:hAnsi="Book Antiqua" w:cs="Arial"/>
          <w:szCs w:val="24"/>
          <w:lang w:val="en-US"/>
        </w:rPr>
        <w:t xml:space="preserve"> </w:t>
      </w:r>
      <w:r w:rsidR="00A3222E" w:rsidRPr="00650485">
        <w:rPr>
          <w:rStyle w:val="T2"/>
          <w:rFonts w:ascii="Book Antiqua" w:hAnsi="Book Antiqua" w:cs="Arial"/>
          <w:szCs w:val="24"/>
          <w:lang w:val="en-US"/>
        </w:rPr>
        <w:t>Oncology and Gastroenterology, 3</w:t>
      </w:r>
      <w:r w:rsidR="00A3222E" w:rsidRPr="00650485">
        <w:rPr>
          <w:rStyle w:val="T17"/>
          <w:rFonts w:ascii="Book Antiqua" w:hAnsi="Book Antiqua" w:cs="Arial"/>
          <w:szCs w:val="24"/>
          <w:lang w:val="en-US"/>
        </w:rPr>
        <w:t>rd</w:t>
      </w:r>
      <w:r w:rsidR="00A3222E" w:rsidRPr="00650485">
        <w:rPr>
          <w:rStyle w:val="T2"/>
          <w:rFonts w:ascii="Book Antiqua" w:hAnsi="Book Antiqua" w:cs="Arial"/>
          <w:szCs w:val="24"/>
          <w:lang w:val="en-US"/>
        </w:rPr>
        <w:t xml:space="preserve"> Surgical Clinic</w:t>
      </w:r>
      <w:bookmarkEnd w:id="4"/>
      <w:r w:rsidR="00A3222E" w:rsidRPr="00650485">
        <w:rPr>
          <w:rStyle w:val="T2"/>
          <w:rFonts w:ascii="Book Antiqua" w:hAnsi="Book Antiqua" w:cs="Arial"/>
          <w:szCs w:val="24"/>
          <w:lang w:val="en-US"/>
        </w:rPr>
        <w:t>, University of Pad</w:t>
      </w:r>
      <w:bookmarkEnd w:id="5"/>
      <w:r w:rsidR="00A3222E" w:rsidRPr="00650485">
        <w:rPr>
          <w:rStyle w:val="T2"/>
          <w:rFonts w:ascii="Book Antiqua" w:hAnsi="Book Antiqua" w:cs="Arial"/>
          <w:szCs w:val="24"/>
          <w:lang w:val="en-US"/>
        </w:rPr>
        <w:t xml:space="preserve">ua, </w:t>
      </w:r>
      <w:bookmarkStart w:id="6" w:name="OLE_LINK17"/>
      <w:bookmarkStart w:id="7" w:name="OLE_LINK18"/>
      <w:r w:rsidR="00A3222E" w:rsidRPr="00650485">
        <w:rPr>
          <w:rStyle w:val="T2"/>
          <w:rFonts w:ascii="Book Antiqua" w:hAnsi="Book Antiqua" w:cs="Arial"/>
          <w:szCs w:val="24"/>
          <w:lang w:val="en-US"/>
        </w:rPr>
        <w:t>via Giustiniani 2</w:t>
      </w:r>
      <w:bookmarkEnd w:id="6"/>
      <w:bookmarkEnd w:id="7"/>
      <w:r w:rsidR="00A3222E" w:rsidRPr="00650485">
        <w:rPr>
          <w:rStyle w:val="T2"/>
          <w:rFonts w:ascii="Book Antiqua" w:hAnsi="Book Antiqua" w:cs="Arial"/>
          <w:szCs w:val="24"/>
          <w:lang w:val="en-US"/>
        </w:rPr>
        <w:t>, Pad</w:t>
      </w:r>
      <w:r w:rsidR="005E07D1" w:rsidRPr="00650485">
        <w:rPr>
          <w:rStyle w:val="T2"/>
          <w:rFonts w:ascii="Book Antiqua" w:hAnsi="Book Antiqua" w:cs="Arial"/>
          <w:szCs w:val="24"/>
          <w:lang w:val="en-US"/>
        </w:rPr>
        <w:t>ua</w:t>
      </w:r>
      <w:r w:rsidRPr="00650485">
        <w:rPr>
          <w:rStyle w:val="T2"/>
          <w:rFonts w:ascii="Book Antiqua" w:hAnsi="Book Antiqua" w:cs="Arial"/>
          <w:szCs w:val="24"/>
          <w:lang w:val="en-US"/>
        </w:rPr>
        <w:t xml:space="preserve"> 35128</w:t>
      </w:r>
      <w:r w:rsidR="00A3222E" w:rsidRPr="00650485">
        <w:rPr>
          <w:rStyle w:val="T2"/>
          <w:rFonts w:ascii="Book Antiqua" w:hAnsi="Book Antiqua" w:cs="Arial"/>
          <w:szCs w:val="24"/>
          <w:lang w:val="en-US"/>
        </w:rPr>
        <w:t>, Italy.</w:t>
      </w:r>
      <w:r w:rsidRPr="00650485">
        <w:rPr>
          <w:rStyle w:val="T2"/>
          <w:rFonts w:ascii="Book Antiqua" w:hAnsi="Book Antiqua" w:cs="Arial"/>
          <w:szCs w:val="24"/>
          <w:lang w:val="en-US"/>
        </w:rPr>
        <w:t xml:space="preserve"> </w:t>
      </w:r>
      <w:r w:rsidR="0036351E" w:rsidRPr="00D35E4A">
        <w:rPr>
          <w:rStyle w:val="T2"/>
          <w:rFonts w:ascii="Book Antiqua" w:hAnsi="Book Antiqua" w:cs="Arial"/>
          <w:szCs w:val="24"/>
          <w:lang w:val="en-US"/>
        </w:rPr>
        <w:t>cosimo.sperti@unipd.it</w:t>
      </w:r>
    </w:p>
    <w:p w:rsidR="008E1DA6" w:rsidRPr="00650485" w:rsidRDefault="008E1DA6" w:rsidP="00650485">
      <w:pPr>
        <w:pStyle w:val="P12"/>
        <w:spacing w:line="360" w:lineRule="auto"/>
        <w:jc w:val="both"/>
        <w:rPr>
          <w:rStyle w:val="T2"/>
          <w:rFonts w:ascii="Book Antiqua" w:hAnsi="Book Antiqua" w:cs="Arial"/>
          <w:szCs w:val="24"/>
          <w:lang w:val="en-US"/>
        </w:rPr>
      </w:pPr>
      <w:r w:rsidRPr="00650485">
        <w:rPr>
          <w:rFonts w:ascii="Book Antiqua" w:eastAsia="Book Antiqua" w:hAnsi="Book Antiqua"/>
          <w:b/>
          <w:szCs w:val="24"/>
        </w:rPr>
        <w:t>Telephone:</w:t>
      </w:r>
      <w:r w:rsidRPr="00650485">
        <w:rPr>
          <w:rFonts w:ascii="Book Antiqua" w:eastAsia="Book Antiqua" w:hAnsi="Book Antiqua"/>
          <w:szCs w:val="24"/>
        </w:rPr>
        <w:t xml:space="preserve"> </w:t>
      </w:r>
      <w:r w:rsidR="00A3222E" w:rsidRPr="00650485">
        <w:rPr>
          <w:rStyle w:val="T2"/>
          <w:rFonts w:ascii="Book Antiqua" w:hAnsi="Book Antiqua" w:cs="Arial"/>
          <w:szCs w:val="24"/>
          <w:lang w:val="en-US"/>
        </w:rPr>
        <w:t>+39</w:t>
      </w:r>
      <w:r w:rsidRPr="00650485">
        <w:rPr>
          <w:rStyle w:val="T2"/>
          <w:rFonts w:ascii="Book Antiqua" w:hAnsi="Book Antiqua" w:cs="Arial"/>
          <w:szCs w:val="24"/>
          <w:lang w:val="en-US"/>
        </w:rPr>
        <w:t>-</w:t>
      </w:r>
      <w:r w:rsidR="00A3222E" w:rsidRPr="00650485">
        <w:rPr>
          <w:rStyle w:val="T2"/>
          <w:rFonts w:ascii="Book Antiqua" w:hAnsi="Book Antiqua" w:cs="Arial"/>
          <w:szCs w:val="24"/>
          <w:lang w:val="en-US"/>
        </w:rPr>
        <w:t>49</w:t>
      </w:r>
      <w:r w:rsidRPr="00650485">
        <w:rPr>
          <w:rStyle w:val="T2"/>
          <w:rFonts w:ascii="Book Antiqua" w:hAnsi="Book Antiqua" w:cs="Arial"/>
          <w:szCs w:val="24"/>
          <w:lang w:val="en-US"/>
        </w:rPr>
        <w:t>-</w:t>
      </w:r>
      <w:r w:rsidR="00A3222E" w:rsidRPr="00650485">
        <w:rPr>
          <w:rStyle w:val="T2"/>
          <w:rFonts w:ascii="Book Antiqua" w:hAnsi="Book Antiqua" w:cs="Arial"/>
          <w:szCs w:val="24"/>
          <w:lang w:val="en-US"/>
        </w:rPr>
        <w:t>8218845</w:t>
      </w:r>
    </w:p>
    <w:p w:rsidR="00A3222E" w:rsidRPr="00650485" w:rsidRDefault="008E1DA6" w:rsidP="00650485">
      <w:pPr>
        <w:pStyle w:val="P12"/>
        <w:spacing w:line="360" w:lineRule="auto"/>
        <w:jc w:val="both"/>
        <w:rPr>
          <w:rStyle w:val="T2"/>
          <w:rFonts w:ascii="Book Antiqua" w:hAnsi="Book Antiqua" w:cs="Arial"/>
          <w:szCs w:val="24"/>
          <w:lang w:val="en-US"/>
        </w:rPr>
      </w:pPr>
      <w:r w:rsidRPr="00650485">
        <w:rPr>
          <w:rFonts w:ascii="Book Antiqua" w:eastAsia="Book Antiqua" w:hAnsi="Book Antiqua"/>
          <w:b/>
          <w:szCs w:val="24"/>
        </w:rPr>
        <w:t>Fax:</w:t>
      </w:r>
      <w:r w:rsidRPr="00650485">
        <w:rPr>
          <w:rFonts w:ascii="Book Antiqua" w:eastAsia="Book Antiqua" w:hAnsi="Book Antiqua"/>
          <w:szCs w:val="24"/>
        </w:rPr>
        <w:t xml:space="preserve"> </w:t>
      </w:r>
      <w:r w:rsidR="00A3222E" w:rsidRPr="00650485">
        <w:rPr>
          <w:rStyle w:val="T2"/>
          <w:rFonts w:ascii="Book Antiqua" w:hAnsi="Book Antiqua" w:cs="Arial"/>
          <w:szCs w:val="24"/>
          <w:lang w:val="en-US"/>
        </w:rPr>
        <w:t>+39</w:t>
      </w:r>
      <w:r w:rsidRPr="00650485">
        <w:rPr>
          <w:rStyle w:val="T2"/>
          <w:rFonts w:ascii="Book Antiqua" w:hAnsi="Book Antiqua" w:cs="Arial"/>
          <w:szCs w:val="24"/>
          <w:lang w:val="en-US"/>
        </w:rPr>
        <w:t>-</w:t>
      </w:r>
      <w:r w:rsidR="00A3222E" w:rsidRPr="00650485">
        <w:rPr>
          <w:rStyle w:val="T2"/>
          <w:rFonts w:ascii="Book Antiqua" w:hAnsi="Book Antiqua" w:cs="Arial"/>
          <w:szCs w:val="24"/>
          <w:lang w:val="en-US"/>
        </w:rPr>
        <w:t>49</w:t>
      </w:r>
      <w:r w:rsidRPr="00650485">
        <w:rPr>
          <w:rStyle w:val="T2"/>
          <w:rFonts w:ascii="Book Antiqua" w:hAnsi="Book Antiqua" w:cs="Arial"/>
          <w:szCs w:val="24"/>
          <w:lang w:val="en-US"/>
        </w:rPr>
        <w:t>-</w:t>
      </w:r>
      <w:r w:rsidR="00A3222E" w:rsidRPr="00650485">
        <w:rPr>
          <w:rStyle w:val="T2"/>
          <w:rFonts w:ascii="Book Antiqua" w:hAnsi="Book Antiqua" w:cs="Arial"/>
          <w:szCs w:val="24"/>
          <w:lang w:val="en-US"/>
        </w:rPr>
        <w:t>8218821</w:t>
      </w:r>
    </w:p>
    <w:p w:rsidR="008E1DA6" w:rsidRPr="00EC7DEB" w:rsidRDefault="008E1DA6" w:rsidP="00650485">
      <w:pPr>
        <w:pStyle w:val="P12"/>
        <w:spacing w:line="360" w:lineRule="auto"/>
        <w:jc w:val="both"/>
        <w:rPr>
          <w:rStyle w:val="T2"/>
          <w:rFonts w:ascii="Book Antiqua" w:eastAsia="等线" w:hAnsi="Book Antiqua" w:cs="Arial"/>
          <w:szCs w:val="24"/>
          <w:lang w:val="en-US"/>
        </w:rPr>
      </w:pPr>
    </w:p>
    <w:p w:rsidR="008E1DA6" w:rsidRPr="00650485" w:rsidRDefault="008E1DA6" w:rsidP="00650485">
      <w:pPr>
        <w:spacing w:line="360" w:lineRule="auto"/>
        <w:jc w:val="both"/>
        <w:rPr>
          <w:rFonts w:ascii="Book Antiqua" w:hAnsi="Book Antiqua"/>
          <w:sz w:val="24"/>
          <w:szCs w:val="24"/>
        </w:rPr>
      </w:pPr>
      <w:r w:rsidRPr="00650485">
        <w:rPr>
          <w:rFonts w:ascii="Book Antiqua" w:hAnsi="Book Antiqua"/>
          <w:b/>
          <w:sz w:val="24"/>
          <w:szCs w:val="24"/>
        </w:rPr>
        <w:t xml:space="preserve">Received: </w:t>
      </w:r>
      <w:r w:rsidRPr="00650485">
        <w:rPr>
          <w:rFonts w:ascii="Book Antiqua" w:hAnsi="Book Antiqua"/>
          <w:sz w:val="24"/>
          <w:szCs w:val="24"/>
        </w:rPr>
        <w:t>March 19, 2019</w:t>
      </w:r>
    </w:p>
    <w:p w:rsidR="008E1DA6" w:rsidRPr="00650485" w:rsidRDefault="008E1DA6" w:rsidP="00650485">
      <w:pPr>
        <w:spacing w:line="360" w:lineRule="auto"/>
        <w:jc w:val="both"/>
        <w:rPr>
          <w:rFonts w:ascii="Book Antiqua" w:hAnsi="Book Antiqua"/>
          <w:sz w:val="24"/>
          <w:szCs w:val="24"/>
        </w:rPr>
      </w:pPr>
      <w:r w:rsidRPr="00650485">
        <w:rPr>
          <w:rFonts w:ascii="Book Antiqua" w:hAnsi="Book Antiqua"/>
          <w:b/>
          <w:sz w:val="24"/>
          <w:szCs w:val="24"/>
        </w:rPr>
        <w:t>Peer-review started:</w:t>
      </w:r>
      <w:r w:rsidRPr="00650485">
        <w:rPr>
          <w:rFonts w:ascii="Book Antiqua" w:hAnsi="Book Antiqua"/>
          <w:sz w:val="24"/>
          <w:szCs w:val="24"/>
        </w:rPr>
        <w:t xml:space="preserve"> March 19, 2019</w:t>
      </w:r>
    </w:p>
    <w:p w:rsidR="008E1DA6" w:rsidRPr="00650485" w:rsidRDefault="008E1DA6" w:rsidP="00650485">
      <w:pPr>
        <w:spacing w:line="360" w:lineRule="auto"/>
        <w:jc w:val="both"/>
        <w:rPr>
          <w:rFonts w:ascii="Book Antiqua" w:hAnsi="Book Antiqua"/>
          <w:sz w:val="24"/>
          <w:szCs w:val="24"/>
        </w:rPr>
      </w:pPr>
      <w:r w:rsidRPr="00650485">
        <w:rPr>
          <w:rFonts w:ascii="Book Antiqua" w:hAnsi="Book Antiqua"/>
          <w:b/>
          <w:sz w:val="24"/>
          <w:szCs w:val="24"/>
        </w:rPr>
        <w:t>First decision:</w:t>
      </w:r>
      <w:r w:rsidRPr="00650485">
        <w:rPr>
          <w:rFonts w:ascii="Book Antiqua" w:hAnsi="Book Antiqua"/>
          <w:sz w:val="24"/>
          <w:szCs w:val="24"/>
        </w:rPr>
        <w:t xml:space="preserve"> April 18, 2019</w:t>
      </w:r>
    </w:p>
    <w:p w:rsidR="008E1DA6" w:rsidRPr="00650485" w:rsidRDefault="008E1DA6" w:rsidP="00650485">
      <w:pPr>
        <w:spacing w:line="360" w:lineRule="auto"/>
        <w:jc w:val="both"/>
        <w:rPr>
          <w:rFonts w:ascii="Book Antiqua" w:hAnsi="Book Antiqua"/>
          <w:sz w:val="24"/>
          <w:szCs w:val="24"/>
        </w:rPr>
      </w:pPr>
      <w:r w:rsidRPr="00650485">
        <w:rPr>
          <w:rFonts w:ascii="Book Antiqua" w:hAnsi="Book Antiqua"/>
          <w:b/>
          <w:sz w:val="24"/>
          <w:szCs w:val="24"/>
        </w:rPr>
        <w:t xml:space="preserve">Revised: </w:t>
      </w:r>
      <w:r w:rsidRPr="00650485">
        <w:rPr>
          <w:rFonts w:ascii="Book Antiqua" w:hAnsi="Book Antiqua"/>
          <w:sz w:val="24"/>
          <w:szCs w:val="24"/>
        </w:rPr>
        <w:t>April 30, 2019</w:t>
      </w:r>
    </w:p>
    <w:p w:rsidR="008E1DA6" w:rsidRPr="00650485" w:rsidRDefault="008E1DA6" w:rsidP="00650485">
      <w:pPr>
        <w:spacing w:line="360" w:lineRule="auto"/>
        <w:jc w:val="both"/>
        <w:rPr>
          <w:rFonts w:ascii="Book Antiqua" w:hAnsi="Book Antiqua"/>
          <w:b/>
          <w:sz w:val="24"/>
          <w:szCs w:val="24"/>
        </w:rPr>
      </w:pPr>
      <w:r w:rsidRPr="00650485">
        <w:rPr>
          <w:rFonts w:ascii="Book Antiqua" w:hAnsi="Book Antiqua"/>
          <w:b/>
          <w:sz w:val="24"/>
          <w:szCs w:val="24"/>
        </w:rPr>
        <w:t xml:space="preserve">Accepted: </w:t>
      </w:r>
      <w:r w:rsidR="00D35E4A">
        <w:rPr>
          <w:rFonts w:ascii="Book Antiqua" w:hAnsi="Book Antiqua" w:hint="eastAsia"/>
          <w:sz w:val="24"/>
          <w:szCs w:val="24"/>
        </w:rPr>
        <w:t>May</w:t>
      </w:r>
      <w:r w:rsidR="00D35E4A" w:rsidRPr="00650485">
        <w:rPr>
          <w:rFonts w:ascii="Book Antiqua" w:hAnsi="Book Antiqua"/>
          <w:sz w:val="24"/>
          <w:szCs w:val="24"/>
        </w:rPr>
        <w:t xml:space="preserve"> </w:t>
      </w:r>
      <w:r w:rsidR="00D35E4A">
        <w:rPr>
          <w:rFonts w:ascii="Book Antiqua" w:hAnsi="Book Antiqua" w:hint="eastAsia"/>
          <w:sz w:val="24"/>
          <w:szCs w:val="24"/>
        </w:rPr>
        <w:t>11</w:t>
      </w:r>
      <w:r w:rsidR="00D35E4A" w:rsidRPr="00650485">
        <w:rPr>
          <w:rFonts w:ascii="Book Antiqua" w:hAnsi="Book Antiqua"/>
          <w:sz w:val="24"/>
          <w:szCs w:val="24"/>
        </w:rPr>
        <w:t>, 2019</w:t>
      </w:r>
    </w:p>
    <w:p w:rsidR="008E1DA6" w:rsidRPr="00650485" w:rsidRDefault="008E1DA6" w:rsidP="00650485">
      <w:pPr>
        <w:spacing w:line="360" w:lineRule="auto"/>
        <w:jc w:val="both"/>
        <w:rPr>
          <w:rFonts w:ascii="Book Antiqua" w:hAnsi="Book Antiqua"/>
          <w:b/>
          <w:sz w:val="24"/>
          <w:szCs w:val="24"/>
        </w:rPr>
      </w:pPr>
      <w:r w:rsidRPr="00650485">
        <w:rPr>
          <w:rFonts w:ascii="Book Antiqua" w:hAnsi="Book Antiqua"/>
          <w:b/>
          <w:sz w:val="24"/>
          <w:szCs w:val="24"/>
        </w:rPr>
        <w:t xml:space="preserve">Article in press: </w:t>
      </w:r>
      <w:r w:rsidR="00D35E4A">
        <w:rPr>
          <w:rFonts w:ascii="Book Antiqua" w:hAnsi="Book Antiqua" w:hint="eastAsia"/>
          <w:sz w:val="24"/>
          <w:szCs w:val="24"/>
        </w:rPr>
        <w:t>May</w:t>
      </w:r>
      <w:r w:rsidR="00D35E4A" w:rsidRPr="00650485">
        <w:rPr>
          <w:rFonts w:ascii="Book Antiqua" w:hAnsi="Book Antiqua"/>
          <w:sz w:val="24"/>
          <w:szCs w:val="24"/>
        </w:rPr>
        <w:t xml:space="preserve"> </w:t>
      </w:r>
      <w:r w:rsidR="00D35E4A">
        <w:rPr>
          <w:rFonts w:ascii="Book Antiqua" w:hAnsi="Book Antiqua" w:hint="eastAsia"/>
          <w:sz w:val="24"/>
          <w:szCs w:val="24"/>
        </w:rPr>
        <w:t>11</w:t>
      </w:r>
      <w:r w:rsidR="00D35E4A" w:rsidRPr="00650485">
        <w:rPr>
          <w:rFonts w:ascii="Book Antiqua" w:hAnsi="Book Antiqua"/>
          <w:sz w:val="24"/>
          <w:szCs w:val="24"/>
        </w:rPr>
        <w:t>, 2019</w:t>
      </w:r>
    </w:p>
    <w:p w:rsidR="008E1DA6" w:rsidRPr="00650485" w:rsidRDefault="008E1DA6" w:rsidP="00650485">
      <w:pPr>
        <w:spacing w:line="360" w:lineRule="auto"/>
        <w:jc w:val="both"/>
        <w:rPr>
          <w:rFonts w:ascii="Book Antiqua" w:eastAsia="等线" w:hAnsi="Book Antiqua"/>
          <w:bCs/>
          <w:sz w:val="24"/>
          <w:szCs w:val="24"/>
        </w:rPr>
      </w:pPr>
      <w:r w:rsidRPr="00650485">
        <w:rPr>
          <w:rFonts w:ascii="Book Antiqua" w:hAnsi="Book Antiqua"/>
          <w:b/>
          <w:sz w:val="24"/>
          <w:szCs w:val="24"/>
        </w:rPr>
        <w:t>Published online:</w:t>
      </w:r>
      <w:r w:rsidRPr="00650485">
        <w:rPr>
          <w:rFonts w:ascii="Book Antiqua" w:eastAsia="Times New Roman" w:hAnsi="Book Antiqua"/>
          <w:b/>
          <w:bCs/>
          <w:sz w:val="24"/>
          <w:szCs w:val="24"/>
        </w:rPr>
        <w:t xml:space="preserve"> </w:t>
      </w:r>
      <w:r w:rsidR="00D35E4A">
        <w:rPr>
          <w:rFonts w:ascii="Book Antiqua" w:hAnsi="Book Antiqua" w:hint="eastAsia"/>
          <w:sz w:val="24"/>
          <w:szCs w:val="24"/>
        </w:rPr>
        <w:t>July</w:t>
      </w:r>
      <w:r w:rsidR="00D35E4A" w:rsidRPr="00650485">
        <w:rPr>
          <w:rFonts w:ascii="Book Antiqua" w:hAnsi="Book Antiqua"/>
          <w:sz w:val="24"/>
          <w:szCs w:val="24"/>
        </w:rPr>
        <w:t xml:space="preserve"> </w:t>
      </w:r>
      <w:r w:rsidR="00D35E4A">
        <w:rPr>
          <w:rFonts w:ascii="Book Antiqua" w:hAnsi="Book Antiqua" w:hint="eastAsia"/>
          <w:sz w:val="24"/>
          <w:szCs w:val="24"/>
        </w:rPr>
        <w:t>26</w:t>
      </w:r>
      <w:r w:rsidR="00D35E4A" w:rsidRPr="00650485">
        <w:rPr>
          <w:rFonts w:ascii="Book Antiqua" w:hAnsi="Book Antiqua"/>
          <w:sz w:val="24"/>
          <w:szCs w:val="24"/>
        </w:rPr>
        <w:t>, 2019</w:t>
      </w:r>
    </w:p>
    <w:p w:rsidR="008E1DA6" w:rsidRPr="00EC7DEB" w:rsidRDefault="008E1DA6" w:rsidP="00650485">
      <w:pPr>
        <w:pStyle w:val="P12"/>
        <w:spacing w:line="360" w:lineRule="auto"/>
        <w:jc w:val="both"/>
        <w:rPr>
          <w:rFonts w:ascii="Book Antiqua" w:eastAsia="等线" w:hAnsi="Book Antiqua"/>
          <w:szCs w:val="24"/>
        </w:rPr>
      </w:pPr>
    </w:p>
    <w:p w:rsidR="008E1DA6" w:rsidRPr="00650485" w:rsidRDefault="005E07D1" w:rsidP="00650485">
      <w:pPr>
        <w:spacing w:line="360" w:lineRule="auto"/>
        <w:jc w:val="both"/>
        <w:rPr>
          <w:rFonts w:ascii="Book Antiqua" w:hAnsi="Book Antiqua"/>
          <w:b/>
          <w:sz w:val="24"/>
          <w:szCs w:val="24"/>
        </w:rPr>
      </w:pPr>
      <w:r w:rsidRPr="00650485">
        <w:rPr>
          <w:rFonts w:ascii="Book Antiqua" w:hAnsi="Book Antiqua"/>
          <w:b/>
          <w:sz w:val="24"/>
          <w:szCs w:val="24"/>
        </w:rPr>
        <w:br w:type="page"/>
      </w:r>
      <w:r w:rsidR="008E1DA6" w:rsidRPr="00650485">
        <w:rPr>
          <w:rFonts w:ascii="Book Antiqua" w:hAnsi="Book Antiqua"/>
          <w:b/>
          <w:sz w:val="24"/>
          <w:szCs w:val="24"/>
        </w:rPr>
        <w:t>Abstract</w:t>
      </w:r>
    </w:p>
    <w:p w:rsidR="008E1DA6" w:rsidRPr="00650485" w:rsidRDefault="008E1DA6" w:rsidP="00650485">
      <w:pPr>
        <w:spacing w:line="360" w:lineRule="auto"/>
        <w:jc w:val="both"/>
        <w:rPr>
          <w:rFonts w:ascii="Book Antiqua" w:hAnsi="Book Antiqua"/>
          <w:i/>
          <w:sz w:val="24"/>
          <w:szCs w:val="24"/>
        </w:rPr>
      </w:pPr>
      <w:r w:rsidRPr="00650485">
        <w:rPr>
          <w:rFonts w:ascii="Book Antiqua" w:hAnsi="Book Antiqua"/>
          <w:b/>
          <w:i/>
          <w:sz w:val="24"/>
          <w:szCs w:val="24"/>
        </w:rPr>
        <w:t>BACKGROUND</w:t>
      </w:r>
    </w:p>
    <w:p w:rsidR="00A3222E"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Metastases to adrenal glands originate principally from lung, breast, or gastrointestinal cancers, followed by malignant melanoma and thyroid neoplasms. We present an unusual case of uterine cancer metastasizing to the adrenal glands with a review of the English literature on the management of this rare disease.</w:t>
      </w:r>
    </w:p>
    <w:p w:rsidR="008E1DA6" w:rsidRPr="00650485" w:rsidRDefault="008E1DA6" w:rsidP="00650485">
      <w:pPr>
        <w:pStyle w:val="Standard"/>
        <w:spacing w:line="360" w:lineRule="auto"/>
        <w:jc w:val="both"/>
        <w:rPr>
          <w:rFonts w:ascii="Book Antiqua" w:hAnsi="Book Antiqua"/>
          <w:lang w:val="en-US"/>
        </w:rPr>
      </w:pPr>
    </w:p>
    <w:p w:rsidR="008E1DA6" w:rsidRPr="00650485" w:rsidRDefault="008E1DA6" w:rsidP="00650485">
      <w:pPr>
        <w:spacing w:line="360" w:lineRule="auto"/>
        <w:jc w:val="both"/>
        <w:rPr>
          <w:rFonts w:ascii="Book Antiqua" w:hAnsi="Book Antiqua"/>
          <w:b/>
          <w:i/>
          <w:sz w:val="24"/>
          <w:szCs w:val="24"/>
        </w:rPr>
      </w:pPr>
      <w:r w:rsidRPr="00650485">
        <w:rPr>
          <w:rFonts w:ascii="Book Antiqua" w:hAnsi="Book Antiqua"/>
          <w:b/>
          <w:i/>
          <w:sz w:val="24"/>
          <w:szCs w:val="24"/>
        </w:rPr>
        <w:t>CASE SUMMARY</w:t>
      </w:r>
    </w:p>
    <w:p w:rsidR="00A3222E"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 xml:space="preserve"> A 53-year-old Caucasian woman with a history of endometrial cancer (grade 2; International Federation of Gynecology and Obstetrics III A) was hospitalized in November 2017 for a left adrenal mass found on a follow-up </w:t>
      </w:r>
      <w:r w:rsidR="008E1DA6" w:rsidRPr="00650485">
        <w:rPr>
          <w:rFonts w:ascii="Book Antiqua" w:hAnsi="Book Antiqua" w:cs="Arial"/>
          <w:lang w:val="en-US"/>
        </w:rPr>
        <w:t>computed tomography</w:t>
      </w:r>
      <w:r w:rsidRPr="00650485">
        <w:rPr>
          <w:rFonts w:ascii="Book Antiqua" w:hAnsi="Book Antiqua" w:cs="Arial"/>
          <w:lang w:val="en-US"/>
        </w:rPr>
        <w:t xml:space="preserve"> scan 3</w:t>
      </w:r>
      <w:r w:rsidRPr="00650485">
        <w:rPr>
          <w:rFonts w:ascii="Book Antiqua" w:hAnsi="Book Antiqua" w:cs="Arial"/>
          <w:i/>
          <w:lang w:val="en-US"/>
        </w:rPr>
        <w:t xml:space="preserve"> </w:t>
      </w:r>
      <w:r w:rsidRPr="00650485">
        <w:rPr>
          <w:rFonts w:ascii="Book Antiqua" w:hAnsi="Book Antiqua" w:cs="Arial"/>
          <w:lang w:val="en-US"/>
        </w:rPr>
        <w:t>years after her gynecological surgery. Laboratory test results were normal. A laparoscopic left adrenalectomy was performed. The postoperative course was uneventful, and no chemotherapy was administered. The pathological report confirmed an adrenal endometrioid metastasis. At 36 mo of follow-up, the patient is alive and well, with no evidence of recurrent disease. A literature review identified only 11 previously-published cases of adrenal metastases from uterine cancer.</w:t>
      </w:r>
    </w:p>
    <w:p w:rsidR="008E1DA6" w:rsidRPr="00650485" w:rsidRDefault="008E1DA6" w:rsidP="00650485">
      <w:pPr>
        <w:pStyle w:val="Standard"/>
        <w:spacing w:line="360" w:lineRule="auto"/>
        <w:jc w:val="both"/>
        <w:rPr>
          <w:rFonts w:ascii="Book Antiqua" w:hAnsi="Book Antiqua"/>
          <w:lang w:val="en-US"/>
        </w:rPr>
      </w:pPr>
    </w:p>
    <w:p w:rsidR="008E1DA6" w:rsidRPr="00650485" w:rsidRDefault="008E1DA6" w:rsidP="00650485">
      <w:pPr>
        <w:spacing w:line="360" w:lineRule="auto"/>
        <w:jc w:val="both"/>
        <w:rPr>
          <w:rFonts w:ascii="Book Antiqua" w:hAnsi="Book Antiqua"/>
          <w:b/>
          <w:i/>
          <w:sz w:val="24"/>
          <w:szCs w:val="24"/>
        </w:rPr>
      </w:pPr>
      <w:r w:rsidRPr="00650485">
        <w:rPr>
          <w:rFonts w:ascii="Book Antiqua" w:hAnsi="Book Antiqua"/>
          <w:b/>
          <w:i/>
          <w:sz w:val="24"/>
          <w:szCs w:val="24"/>
        </w:rPr>
        <w:t>CONCLUSION</w:t>
      </w:r>
    </w:p>
    <w:p w:rsidR="00A3222E" w:rsidRPr="00650485" w:rsidRDefault="00A3222E" w:rsidP="00650485">
      <w:pPr>
        <w:pStyle w:val="Standard"/>
        <w:spacing w:line="360" w:lineRule="auto"/>
        <w:jc w:val="both"/>
        <w:rPr>
          <w:rFonts w:ascii="Book Antiqua" w:hAnsi="Book Antiqua"/>
          <w:lang w:val="en-US"/>
        </w:rPr>
      </w:pPr>
      <w:r w:rsidRPr="00650485">
        <w:rPr>
          <w:rFonts w:ascii="Book Antiqua" w:hAnsi="Book Antiqua" w:cs="Arial"/>
          <w:lang w:val="en-US"/>
        </w:rPr>
        <w:t>Adrenal metastasis from uterine cancer is very rare. Laparoscopic adrenalectomy may be an effective treatment in selected cases of localized adrenal metastasis.</w:t>
      </w:r>
    </w:p>
    <w:p w:rsidR="00A3222E" w:rsidRPr="00650485" w:rsidRDefault="00A3222E" w:rsidP="00650485">
      <w:pPr>
        <w:pStyle w:val="Standard"/>
        <w:spacing w:line="360" w:lineRule="auto"/>
        <w:jc w:val="both"/>
        <w:rPr>
          <w:rFonts w:ascii="Book Antiqua" w:hAnsi="Book Antiqua" w:cs="Arial"/>
          <w:lang w:val="en-US"/>
        </w:rPr>
      </w:pPr>
    </w:p>
    <w:p w:rsidR="00A3222E" w:rsidRPr="00650485" w:rsidRDefault="008E1DA6" w:rsidP="00650485">
      <w:pPr>
        <w:pStyle w:val="Standard"/>
        <w:spacing w:line="360" w:lineRule="auto"/>
        <w:jc w:val="both"/>
        <w:rPr>
          <w:rFonts w:ascii="Book Antiqua" w:hAnsi="Book Antiqua"/>
          <w:lang w:val="en-US"/>
        </w:rPr>
      </w:pPr>
      <w:r w:rsidRPr="00650485">
        <w:rPr>
          <w:rFonts w:ascii="Book Antiqua" w:hAnsi="Book Antiqua"/>
          <w:b/>
          <w:bCs/>
        </w:rPr>
        <w:t>Key words</w:t>
      </w:r>
      <w:r w:rsidRPr="00650485">
        <w:rPr>
          <w:rFonts w:ascii="Book Antiqua" w:hAnsi="Book Antiqua"/>
        </w:rPr>
        <w:t>:</w:t>
      </w:r>
      <w:r w:rsidRPr="00650485">
        <w:rPr>
          <w:rFonts w:ascii="Book Antiqua" w:eastAsia="华文中宋" w:hAnsi="Book Antiqua"/>
        </w:rPr>
        <w:t xml:space="preserve"> </w:t>
      </w:r>
      <w:bookmarkStart w:id="8" w:name="OLE_LINK20"/>
      <w:r w:rsidR="00A3222E" w:rsidRPr="00650485">
        <w:rPr>
          <w:rFonts w:ascii="Book Antiqua" w:hAnsi="Book Antiqua" w:cs="Arial"/>
          <w:lang w:val="en-US"/>
        </w:rPr>
        <w:t>Adrenal gland</w:t>
      </w:r>
      <w:r w:rsidRPr="00650485">
        <w:rPr>
          <w:rFonts w:ascii="Book Antiqua" w:hAnsi="Book Antiqua" w:cs="Arial"/>
          <w:lang w:val="en-US"/>
        </w:rPr>
        <w:t xml:space="preserve">; Adrenal </w:t>
      </w:r>
      <w:r w:rsidR="00A3222E" w:rsidRPr="00650485">
        <w:rPr>
          <w:rFonts w:ascii="Book Antiqua" w:hAnsi="Book Antiqua" w:cs="Arial"/>
          <w:lang w:val="en-US"/>
        </w:rPr>
        <w:t>neoplasms</w:t>
      </w:r>
      <w:r w:rsidRPr="00650485">
        <w:rPr>
          <w:rFonts w:ascii="Book Antiqua" w:hAnsi="Book Antiqua" w:cs="Arial"/>
          <w:lang w:val="en-US"/>
        </w:rPr>
        <w:t>;</w:t>
      </w:r>
      <w:r w:rsidR="00A3222E" w:rsidRPr="00650485">
        <w:rPr>
          <w:rFonts w:ascii="Book Antiqua" w:hAnsi="Book Antiqua" w:cs="Arial"/>
          <w:lang w:val="en-US"/>
        </w:rPr>
        <w:t xml:space="preserve"> </w:t>
      </w:r>
      <w:r w:rsidRPr="00650485">
        <w:rPr>
          <w:rFonts w:ascii="Book Antiqua" w:hAnsi="Book Antiqua" w:cs="Arial"/>
          <w:lang w:val="en-US"/>
        </w:rPr>
        <w:t xml:space="preserve">Uterine </w:t>
      </w:r>
      <w:r w:rsidR="00A3222E" w:rsidRPr="00650485">
        <w:rPr>
          <w:rFonts w:ascii="Book Antiqua" w:hAnsi="Book Antiqua" w:cs="Arial"/>
          <w:lang w:val="en-US"/>
        </w:rPr>
        <w:t>cancer</w:t>
      </w:r>
      <w:r w:rsidRPr="00650485">
        <w:rPr>
          <w:rFonts w:ascii="Book Antiqua" w:hAnsi="Book Antiqua" w:cs="Arial"/>
          <w:lang w:val="en-US"/>
        </w:rPr>
        <w:t>;</w:t>
      </w:r>
      <w:r w:rsidR="00A3222E" w:rsidRPr="00650485">
        <w:rPr>
          <w:rFonts w:ascii="Book Antiqua" w:hAnsi="Book Antiqua" w:cs="Arial"/>
          <w:lang w:val="en-US"/>
        </w:rPr>
        <w:t xml:space="preserve"> </w:t>
      </w:r>
      <w:r w:rsidRPr="00650485">
        <w:rPr>
          <w:rFonts w:ascii="Book Antiqua" w:hAnsi="Book Antiqua" w:cs="Arial"/>
          <w:lang w:val="en-US"/>
        </w:rPr>
        <w:t>Laparoscopy;</w:t>
      </w:r>
      <w:r w:rsidR="00A3222E" w:rsidRPr="00650485">
        <w:rPr>
          <w:rFonts w:ascii="Book Antiqua" w:hAnsi="Book Antiqua" w:cs="Arial"/>
          <w:lang w:val="en-US"/>
        </w:rPr>
        <w:t xml:space="preserve"> </w:t>
      </w:r>
      <w:r w:rsidRPr="00650485">
        <w:rPr>
          <w:rFonts w:ascii="Book Antiqua" w:hAnsi="Book Antiqua" w:cs="Arial"/>
          <w:lang w:val="en-US"/>
        </w:rPr>
        <w:t xml:space="preserve">Laparoscopic </w:t>
      </w:r>
      <w:r w:rsidR="00A3222E" w:rsidRPr="00650485">
        <w:rPr>
          <w:rFonts w:ascii="Book Antiqua" w:hAnsi="Book Antiqua" w:cs="Arial"/>
          <w:lang w:val="en-US"/>
        </w:rPr>
        <w:t>surgery</w:t>
      </w:r>
      <w:r w:rsidRPr="00650485">
        <w:rPr>
          <w:rFonts w:ascii="Book Antiqua" w:hAnsi="Book Antiqua" w:cs="Arial"/>
          <w:lang w:val="en-US"/>
        </w:rPr>
        <w:t>;</w:t>
      </w:r>
      <w:r w:rsidR="00B84833" w:rsidRPr="00650485">
        <w:rPr>
          <w:rFonts w:ascii="Book Antiqua" w:hAnsi="Book Antiqua" w:cs="Arial"/>
          <w:lang w:val="en-US"/>
        </w:rPr>
        <w:t xml:space="preserve"> </w:t>
      </w:r>
      <w:r w:rsidRPr="00650485">
        <w:rPr>
          <w:rFonts w:ascii="Book Antiqua" w:hAnsi="Book Antiqua" w:cs="Arial"/>
          <w:lang w:val="en-US"/>
        </w:rPr>
        <w:t xml:space="preserve">Case </w:t>
      </w:r>
      <w:r w:rsidR="00B84833" w:rsidRPr="00650485">
        <w:rPr>
          <w:rFonts w:ascii="Book Antiqua" w:hAnsi="Book Antiqua" w:cs="Arial"/>
          <w:lang w:val="en-US"/>
        </w:rPr>
        <w:t>report</w:t>
      </w:r>
    </w:p>
    <w:bookmarkEnd w:id="8"/>
    <w:p w:rsidR="00A3222E" w:rsidRPr="00650485" w:rsidRDefault="00A3222E" w:rsidP="00650485">
      <w:pPr>
        <w:pStyle w:val="Standard"/>
        <w:spacing w:line="360" w:lineRule="auto"/>
        <w:jc w:val="both"/>
        <w:rPr>
          <w:rFonts w:ascii="Book Antiqua" w:hAnsi="Book Antiqua" w:cs="Arial"/>
          <w:b/>
          <w:lang w:val="en-US"/>
        </w:rPr>
      </w:pPr>
    </w:p>
    <w:p w:rsidR="00EC54CB" w:rsidRPr="00650485" w:rsidRDefault="00EC54CB" w:rsidP="00650485">
      <w:pPr>
        <w:spacing w:line="360" w:lineRule="auto"/>
        <w:ind w:right="-46"/>
        <w:jc w:val="both"/>
        <w:rPr>
          <w:rFonts w:ascii="Book Antiqua" w:hAnsi="Book Antiqua" w:cs="Arial"/>
          <w:sz w:val="24"/>
          <w:szCs w:val="24"/>
        </w:rPr>
      </w:pPr>
      <w:r w:rsidRPr="00650485">
        <w:rPr>
          <w:rFonts w:ascii="Book Antiqua" w:hAnsi="Book Antiqua" w:cs="Arial"/>
          <w:b/>
          <w:sz w:val="24"/>
          <w:szCs w:val="24"/>
        </w:rPr>
        <w:t>© The Author(s) 2019.</w:t>
      </w:r>
      <w:r w:rsidRPr="00650485">
        <w:rPr>
          <w:rFonts w:ascii="Book Antiqua" w:hAnsi="Book Antiqua" w:cs="Arial"/>
          <w:sz w:val="24"/>
          <w:szCs w:val="24"/>
        </w:rPr>
        <w:t xml:space="preserve"> Published by Baishideng Publishing Group Inc. All rights reserved.</w:t>
      </w:r>
    </w:p>
    <w:p w:rsidR="00EC54CB" w:rsidRPr="00650485" w:rsidRDefault="00EC54CB" w:rsidP="00650485">
      <w:pPr>
        <w:spacing w:line="360" w:lineRule="auto"/>
        <w:ind w:right="-565"/>
        <w:jc w:val="both"/>
        <w:rPr>
          <w:rFonts w:ascii="Book Antiqua" w:hAnsi="Book Antiqua" w:cs="Arial"/>
          <w:b/>
          <w:sz w:val="24"/>
          <w:szCs w:val="24"/>
        </w:rPr>
      </w:pPr>
    </w:p>
    <w:p w:rsidR="00A3222E" w:rsidRPr="00650485" w:rsidRDefault="00EC54CB" w:rsidP="00650485">
      <w:pPr>
        <w:pStyle w:val="Standard"/>
        <w:spacing w:line="360" w:lineRule="auto"/>
        <w:jc w:val="both"/>
        <w:rPr>
          <w:rFonts w:ascii="Book Antiqua" w:hAnsi="Book Antiqua" w:cs="Arial"/>
          <w:lang w:val="en-US"/>
        </w:rPr>
      </w:pPr>
      <w:r w:rsidRPr="00650485">
        <w:rPr>
          <w:rFonts w:ascii="Book Antiqua" w:hAnsi="Book Antiqua" w:cs="Arial"/>
          <w:b/>
        </w:rPr>
        <w:t xml:space="preserve">Core tip: </w:t>
      </w:r>
      <w:bookmarkStart w:id="9" w:name="OLE_LINK21"/>
      <w:r w:rsidR="00F610DD" w:rsidRPr="00650485">
        <w:rPr>
          <w:rFonts w:ascii="Book Antiqua" w:hAnsi="Book Antiqua" w:cs="Arial"/>
          <w:lang w:val="en-US"/>
        </w:rPr>
        <w:t>Isolated adrenal metastasis</w:t>
      </w:r>
      <w:r w:rsidR="00227103" w:rsidRPr="00650485">
        <w:rPr>
          <w:rFonts w:ascii="Book Antiqua" w:hAnsi="Book Antiqua" w:cs="Arial"/>
          <w:lang w:val="en-US"/>
        </w:rPr>
        <w:t xml:space="preserve"> </w:t>
      </w:r>
      <w:r w:rsidR="00F610DD" w:rsidRPr="00650485">
        <w:rPr>
          <w:rFonts w:ascii="Book Antiqua" w:hAnsi="Book Antiqua" w:cs="Arial"/>
          <w:lang w:val="en-US"/>
        </w:rPr>
        <w:t>from endometrial cancer is uncommon but should be suspected in patients with history of gynecologic</w:t>
      </w:r>
      <w:r w:rsidR="002221AA" w:rsidRPr="00650485">
        <w:rPr>
          <w:rFonts w:ascii="Book Antiqua" w:hAnsi="Book Antiqua" w:cs="Arial"/>
          <w:lang w:val="en-US"/>
        </w:rPr>
        <w:t>al</w:t>
      </w:r>
      <w:r w:rsidR="00F610DD" w:rsidRPr="00650485">
        <w:rPr>
          <w:rFonts w:ascii="Book Antiqua" w:hAnsi="Book Antiqua" w:cs="Arial"/>
          <w:lang w:val="en-US"/>
        </w:rPr>
        <w:t xml:space="preserve"> cancer. We report a case of large, metachronous adrenal metastasis from endometrial cancer successfully treated with laparoscopic resection. Mini-invasive surgery </w:t>
      </w:r>
      <w:r w:rsidR="002221AA" w:rsidRPr="00650485">
        <w:rPr>
          <w:rFonts w:ascii="Book Antiqua" w:hAnsi="Book Antiqua" w:cs="Arial"/>
          <w:lang w:val="en-US"/>
        </w:rPr>
        <w:t>is safe and feasible with good oncological results al</w:t>
      </w:r>
      <w:r w:rsidR="00F610DD" w:rsidRPr="00650485">
        <w:rPr>
          <w:rFonts w:ascii="Book Antiqua" w:hAnsi="Book Antiqua" w:cs="Arial"/>
          <w:lang w:val="en-US"/>
        </w:rPr>
        <w:t xml:space="preserve">so for </w:t>
      </w:r>
      <w:r w:rsidR="002221AA" w:rsidRPr="00650485">
        <w:rPr>
          <w:rFonts w:ascii="Book Antiqua" w:hAnsi="Book Antiqua" w:cs="Arial"/>
          <w:lang w:val="en-US"/>
        </w:rPr>
        <w:t>metastatic lesions of adrenal gland.</w:t>
      </w:r>
    </w:p>
    <w:p w:rsidR="00227103" w:rsidRPr="00650485" w:rsidRDefault="00227103" w:rsidP="00650485">
      <w:pPr>
        <w:adjustRightInd w:val="0"/>
        <w:snapToGrid w:val="0"/>
        <w:spacing w:line="360" w:lineRule="auto"/>
        <w:jc w:val="both"/>
        <w:rPr>
          <w:rFonts w:ascii="Book Antiqua" w:hAnsi="Book Antiqua" w:cs="Arial"/>
          <w:sz w:val="24"/>
          <w:szCs w:val="24"/>
        </w:rPr>
      </w:pPr>
      <w:bookmarkStart w:id="10" w:name="_Hlk6582555"/>
      <w:bookmarkEnd w:id="9"/>
    </w:p>
    <w:p w:rsidR="00B62B7F" w:rsidRPr="0018688C" w:rsidRDefault="00B62B7F" w:rsidP="00B62B7F">
      <w:pPr>
        <w:spacing w:line="360" w:lineRule="auto"/>
        <w:jc w:val="both"/>
        <w:rPr>
          <w:rFonts w:ascii="Book Antiqua" w:hAnsi="Book Antiqua"/>
          <w:iCs/>
          <w:sz w:val="24"/>
          <w:szCs w:val="24"/>
        </w:rPr>
      </w:pPr>
      <w:r w:rsidRPr="0018688C">
        <w:rPr>
          <w:rFonts w:ascii="Book Antiqua" w:hAnsi="Book Antiqua" w:cs="Calibri Light"/>
          <w:b/>
          <w:sz w:val="24"/>
          <w:szCs w:val="24"/>
        </w:rPr>
        <w:t>Citation:</w:t>
      </w:r>
      <w:r>
        <w:rPr>
          <w:rFonts w:ascii="Book Antiqua" w:hAnsi="Book Antiqua" w:cs="Calibri Light" w:hint="eastAsia"/>
          <w:b/>
          <w:sz w:val="24"/>
          <w:szCs w:val="24"/>
        </w:rPr>
        <w:t xml:space="preserve"> </w:t>
      </w:r>
      <w:r w:rsidR="00227103" w:rsidRPr="00650485">
        <w:rPr>
          <w:rFonts w:ascii="Book Antiqua" w:hAnsi="Book Antiqua" w:cs="Arial"/>
          <w:sz w:val="24"/>
          <w:szCs w:val="24"/>
        </w:rPr>
        <w:t xml:space="preserve">Da Dalt G, Friziero A, Grego A, Serafini S, Fassina A, Blandamura S, Sperti C. Adrenal metastasis from endometrial cancer. </w:t>
      </w:r>
      <w:r w:rsidR="00227103" w:rsidRPr="00650485">
        <w:rPr>
          <w:rFonts w:ascii="Book Antiqua" w:hAnsi="Book Antiqua" w:cs="Arial"/>
          <w:sz w:val="24"/>
          <w:szCs w:val="24"/>
          <w:lang w:val="en-US"/>
        </w:rPr>
        <w:t xml:space="preserve">A case report and literature review. </w:t>
      </w:r>
      <w:r w:rsidR="00EC54CB" w:rsidRPr="00650485">
        <w:rPr>
          <w:rFonts w:ascii="Book Antiqua" w:hAnsi="Book Antiqua"/>
          <w:i/>
          <w:iCs/>
          <w:sz w:val="24"/>
          <w:szCs w:val="24"/>
        </w:rPr>
        <w:t xml:space="preserve">World J Clin Cases </w:t>
      </w:r>
      <w:r w:rsidRPr="0018688C">
        <w:rPr>
          <w:rFonts w:ascii="Book Antiqua" w:hAnsi="Book Antiqua"/>
          <w:iCs/>
          <w:sz w:val="24"/>
          <w:szCs w:val="24"/>
        </w:rPr>
        <w:t>2019; 7(</w:t>
      </w:r>
      <w:r>
        <w:rPr>
          <w:rFonts w:ascii="Book Antiqua" w:hAnsi="Book Antiqua" w:hint="eastAsia"/>
          <w:iCs/>
          <w:sz w:val="24"/>
          <w:szCs w:val="24"/>
        </w:rPr>
        <w:t>14</w:t>
      </w:r>
      <w:r w:rsidRPr="0018688C">
        <w:rPr>
          <w:rFonts w:ascii="Book Antiqua" w:hAnsi="Book Antiqua"/>
          <w:iCs/>
          <w:sz w:val="24"/>
          <w:szCs w:val="24"/>
        </w:rPr>
        <w:t xml:space="preserve">): </w:t>
      </w:r>
      <w:r>
        <w:rPr>
          <w:rFonts w:ascii="Book Antiqua" w:hAnsi="Book Antiqua" w:hint="eastAsia"/>
          <w:iCs/>
          <w:sz w:val="24"/>
          <w:szCs w:val="24"/>
        </w:rPr>
        <w:t>1844</w:t>
      </w:r>
      <w:r w:rsidRPr="0018688C">
        <w:rPr>
          <w:rFonts w:ascii="Book Antiqua" w:hAnsi="Book Antiqua"/>
          <w:iCs/>
          <w:sz w:val="24"/>
          <w:szCs w:val="24"/>
        </w:rPr>
        <w:t>-</w:t>
      </w:r>
      <w:r>
        <w:rPr>
          <w:rFonts w:ascii="Book Antiqua" w:hAnsi="Book Antiqua" w:hint="eastAsia"/>
          <w:iCs/>
          <w:sz w:val="24"/>
          <w:szCs w:val="24"/>
        </w:rPr>
        <w:t>1849</w:t>
      </w:r>
      <w:r w:rsidRPr="0018688C">
        <w:rPr>
          <w:rFonts w:ascii="Book Antiqua" w:hAnsi="Book Antiqua"/>
          <w:iCs/>
          <w:sz w:val="24"/>
          <w:szCs w:val="24"/>
        </w:rPr>
        <w:t xml:space="preserve"> </w:t>
      </w:r>
    </w:p>
    <w:p w:rsidR="00B62B7F" w:rsidRPr="0018688C" w:rsidRDefault="00B62B7F" w:rsidP="00B62B7F">
      <w:pPr>
        <w:spacing w:line="360" w:lineRule="auto"/>
        <w:jc w:val="both"/>
        <w:rPr>
          <w:rFonts w:ascii="Book Antiqua" w:hAnsi="Book Antiqua"/>
          <w:iCs/>
          <w:sz w:val="24"/>
          <w:szCs w:val="24"/>
        </w:rPr>
      </w:pPr>
      <w:r w:rsidRPr="0018688C">
        <w:rPr>
          <w:rFonts w:ascii="Book Antiqua" w:hAnsi="Book Antiqua"/>
          <w:b/>
          <w:iCs/>
          <w:sz w:val="24"/>
          <w:szCs w:val="24"/>
        </w:rPr>
        <w:t>URL:</w:t>
      </w:r>
      <w:r w:rsidRPr="0018688C">
        <w:rPr>
          <w:rFonts w:ascii="Book Antiqua" w:hAnsi="Book Antiqua"/>
          <w:iCs/>
          <w:sz w:val="24"/>
          <w:szCs w:val="24"/>
        </w:rPr>
        <w:t xml:space="preserve"> https://www.wjgnet.com/2307-8960/full/v7/i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1844</w:t>
      </w:r>
      <w:r w:rsidRPr="0018688C">
        <w:rPr>
          <w:rFonts w:ascii="Book Antiqua" w:hAnsi="Book Antiqua"/>
          <w:iCs/>
          <w:sz w:val="24"/>
          <w:szCs w:val="24"/>
        </w:rPr>
        <w:t xml:space="preserve">.htm  </w:t>
      </w:r>
    </w:p>
    <w:p w:rsidR="00EC54CB" w:rsidRPr="00650485" w:rsidRDefault="00B62B7F" w:rsidP="00B62B7F">
      <w:pPr>
        <w:spacing w:line="360" w:lineRule="auto"/>
        <w:jc w:val="both"/>
        <w:rPr>
          <w:rFonts w:ascii="Book Antiqua" w:hAnsi="Book Antiqua"/>
          <w:b/>
          <w:sz w:val="24"/>
          <w:szCs w:val="24"/>
        </w:rPr>
      </w:pPr>
      <w:r w:rsidRPr="0018688C">
        <w:rPr>
          <w:rFonts w:ascii="Book Antiqua" w:hAnsi="Book Antiqua"/>
          <w:b/>
          <w:iCs/>
          <w:sz w:val="24"/>
          <w:szCs w:val="24"/>
        </w:rPr>
        <w:t>DOI:</w:t>
      </w:r>
      <w:r w:rsidRPr="0018688C">
        <w:rPr>
          <w:rFonts w:ascii="Book Antiqua" w:hAnsi="Book Antiqua"/>
          <w:iCs/>
          <w:sz w:val="24"/>
          <w:szCs w:val="24"/>
        </w:rPr>
        <w:t xml:space="preserve"> https://dx.doi.org/10.12998/wjcc.v7.i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1844</w:t>
      </w:r>
    </w:p>
    <w:p w:rsidR="00227103" w:rsidRPr="00650485" w:rsidRDefault="00227103" w:rsidP="00650485">
      <w:pPr>
        <w:pStyle w:val="Standard"/>
        <w:spacing w:line="360" w:lineRule="auto"/>
        <w:jc w:val="both"/>
        <w:rPr>
          <w:rFonts w:ascii="Book Antiqua" w:hAnsi="Book Antiqua" w:cs="Arial"/>
          <w:b/>
        </w:rPr>
      </w:pPr>
    </w:p>
    <w:bookmarkEnd w:id="10"/>
    <w:p w:rsidR="00EC54CB" w:rsidRPr="00650485" w:rsidRDefault="00EC54CB" w:rsidP="00650485">
      <w:pPr>
        <w:spacing w:line="360" w:lineRule="auto"/>
        <w:jc w:val="both"/>
        <w:rPr>
          <w:rFonts w:ascii="Book Antiqua" w:hAnsi="Book Antiqua"/>
          <w:b/>
          <w:sz w:val="24"/>
          <w:szCs w:val="24"/>
        </w:rPr>
      </w:pPr>
      <w:r w:rsidRPr="00650485">
        <w:rPr>
          <w:rFonts w:ascii="Book Antiqua" w:hAnsi="Book Antiqua"/>
          <w:b/>
          <w:sz w:val="24"/>
          <w:szCs w:val="24"/>
        </w:rPr>
        <w:br w:type="page"/>
        <w:t>INTRODUCTION</w:t>
      </w:r>
    </w:p>
    <w:p w:rsidR="00A3222E" w:rsidRPr="00650485" w:rsidRDefault="00A3222E" w:rsidP="00650485">
      <w:pPr>
        <w:pStyle w:val="Standard"/>
        <w:spacing w:line="360" w:lineRule="auto"/>
        <w:jc w:val="both"/>
        <w:rPr>
          <w:rFonts w:ascii="Book Antiqua" w:hAnsi="Book Antiqua"/>
          <w:lang w:val="en-US"/>
        </w:rPr>
      </w:pPr>
      <w:r w:rsidRPr="00650485">
        <w:rPr>
          <w:rFonts w:ascii="Book Antiqua" w:hAnsi="Book Antiqua" w:cs="Arial"/>
          <w:lang w:val="en-US"/>
        </w:rPr>
        <w:t>Secondary tumors are the second most common cause of adrenal cortex neoplasms, and carcinoma (especially in the advanced stage) accounts for more than 90% of secondary tumors</w:t>
      </w:r>
      <w:bookmarkStart w:id="11" w:name="__Fieldmark__38_2279481347"/>
      <w:bookmarkStart w:id="12" w:name="__Fieldmark__38_3491084201"/>
      <w:r w:rsidR="00EC54CB" w:rsidRPr="00650485">
        <w:rPr>
          <w:rFonts w:ascii="Book Antiqua" w:hAnsi="Book Antiqua" w:cs="Arial"/>
          <w:vertAlign w:val="superscript"/>
          <w:lang w:val="en-US"/>
        </w:rPr>
        <w:t>[</w:t>
      </w:r>
      <w:r w:rsidRPr="00650485">
        <w:rPr>
          <w:rFonts w:ascii="Book Antiqua" w:hAnsi="Book Antiqua" w:cs="Arial"/>
          <w:vertAlign w:val="superscript"/>
          <w:lang w:val="en-US"/>
        </w:rPr>
        <w:t>1</w:t>
      </w:r>
      <w:bookmarkStart w:id="13" w:name="__Fieldmark__27_2715918006"/>
      <w:bookmarkStart w:id="14" w:name="__Fieldmark__649_2332388778"/>
      <w:bookmarkStart w:id="15" w:name="__Fieldmark__65_152482130"/>
      <w:bookmarkStart w:id="16" w:name="__Fieldmark__48_2332388778"/>
      <w:bookmarkStart w:id="17" w:name="__Fieldmark__1287_2332388778"/>
      <w:bookmarkStart w:id="18" w:name="__Fieldmark__32_4125436880"/>
      <w:bookmarkEnd w:id="11"/>
      <w:bookmarkEnd w:id="12"/>
      <w:bookmarkEnd w:id="13"/>
      <w:bookmarkEnd w:id="14"/>
      <w:bookmarkEnd w:id="15"/>
      <w:bookmarkEnd w:id="16"/>
      <w:bookmarkEnd w:id="17"/>
      <w:bookmarkEnd w:id="18"/>
      <w:r w:rsidR="00EC54CB" w:rsidRPr="00650485">
        <w:rPr>
          <w:rFonts w:ascii="Book Antiqua" w:hAnsi="Book Antiqua" w:cs="Arial"/>
          <w:vertAlign w:val="superscript"/>
          <w:lang w:val="en-US"/>
        </w:rPr>
        <w:t>]</w:t>
      </w:r>
      <w:r w:rsidRPr="00650485">
        <w:rPr>
          <w:rFonts w:ascii="Book Antiqua" w:hAnsi="Book Antiqua" w:cs="Arial"/>
          <w:lang w:val="en-US"/>
        </w:rPr>
        <w:t xml:space="preserve">. In order of frequency, the most common primary sites of the metastatic carcinoma are: lung cancer, breast cancer, and gastrointestinal cancers, followed by malignant melanoma and thyroid neoplasms. The metastatic involvement of adrenal glands by endometrial carcinoma is rare, and there is some controversy over the most appropriate treatment due to the lack of specific guidelines. The prognosis for patients with secondary tumors involving the adrenal glands is generally poor, but survival rates seem to improve in some cases after surgical resection. The </w:t>
      </w:r>
      <w:r w:rsidRPr="00650485">
        <w:rPr>
          <w:rFonts w:ascii="Book Antiqua" w:hAnsi="Book Antiqua" w:cs="Arial"/>
          <w:iCs/>
          <w:lang w:val="en-US"/>
        </w:rPr>
        <w:t>National Comprehensive Cancer Network</w:t>
      </w:r>
      <w:r w:rsidRPr="00650485">
        <w:rPr>
          <w:rFonts w:ascii="Book Antiqua" w:hAnsi="Book Antiqua" w:cs="Arial"/>
          <w:lang w:val="en-US"/>
        </w:rPr>
        <w:t xml:space="preserve"> (NCCN) guidelines on malignancies of the adrenal glands recommend a direct open approach, while laparoscopic adrenalectomy is the gold standard in Europe, and the open approach is reserved for masses more than 6-8 cm in diameter, cases of extra-adrenal tissue invasion, or patients with contraindications to laparoscopy</w:t>
      </w:r>
      <w:bookmarkStart w:id="19" w:name="__Fieldmark__81_2279481347"/>
      <w:bookmarkStart w:id="20" w:name="__Fieldmark__68_3491084201"/>
      <w:r w:rsidR="00EC54CB" w:rsidRPr="00650485">
        <w:rPr>
          <w:rFonts w:ascii="Book Antiqua" w:hAnsi="Book Antiqua" w:cs="Arial"/>
          <w:vertAlign w:val="superscript"/>
          <w:lang w:val="en-US"/>
        </w:rPr>
        <w:t>[</w:t>
      </w:r>
      <w:r w:rsidRPr="00650485">
        <w:rPr>
          <w:rFonts w:ascii="Book Antiqua" w:hAnsi="Book Antiqua" w:cs="Arial"/>
          <w:vertAlign w:val="superscript"/>
          <w:lang w:val="en-US"/>
        </w:rPr>
        <w:t>2</w:t>
      </w:r>
      <w:bookmarkStart w:id="21" w:name="__Fieldmark__151_1536222249"/>
      <w:r w:rsidRPr="00650485">
        <w:rPr>
          <w:rFonts w:ascii="Book Antiqua" w:hAnsi="Book Antiqua" w:cs="Arial"/>
          <w:vertAlign w:val="superscript"/>
          <w:lang w:val="en-US"/>
        </w:rPr>
        <w:t>,</w:t>
      </w:r>
      <w:bookmarkStart w:id="22" w:name="__Fieldmark__55_4125436880"/>
      <w:r w:rsidRPr="00650485">
        <w:rPr>
          <w:rFonts w:ascii="Book Antiqua" w:hAnsi="Book Antiqua" w:cs="Arial"/>
          <w:vertAlign w:val="superscript"/>
          <w:lang w:val="en-US"/>
        </w:rPr>
        <w:t>3</w:t>
      </w:r>
      <w:bookmarkStart w:id="23" w:name="__Fieldmark__660_2332388778"/>
      <w:bookmarkStart w:id="24" w:name="__Fieldmark__82_152482130"/>
      <w:bookmarkStart w:id="25" w:name="__Fieldmark__55_2332388778"/>
      <w:bookmarkStart w:id="26" w:name="__Fieldmark__1302_2332388778"/>
      <w:bookmarkEnd w:id="19"/>
      <w:bookmarkEnd w:id="20"/>
      <w:bookmarkEnd w:id="21"/>
      <w:bookmarkEnd w:id="22"/>
      <w:bookmarkEnd w:id="23"/>
      <w:bookmarkEnd w:id="24"/>
      <w:bookmarkEnd w:id="25"/>
      <w:bookmarkEnd w:id="26"/>
      <w:r w:rsidR="00EC54CB" w:rsidRPr="00650485">
        <w:rPr>
          <w:rFonts w:ascii="Book Antiqua" w:hAnsi="Book Antiqua" w:cs="Arial"/>
          <w:vertAlign w:val="superscript"/>
          <w:lang w:val="en-US"/>
        </w:rPr>
        <w:t>]</w:t>
      </w:r>
      <w:r w:rsidRPr="00650485">
        <w:rPr>
          <w:rFonts w:ascii="Book Antiqua" w:hAnsi="Book Antiqua" w:cs="Arial"/>
          <w:lang w:val="en-US"/>
        </w:rPr>
        <w:t>.</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We present an unusual case of metachronous uterine cancer metastasizing to an adrenal gland that was successfully treated with laparoscopic resection. A review of cases previously reported in the English literature was undertaken to ascertain what is currently known about the treatment of this unusual condition. A comprehensive search was run in PubMed (Medline) and Scopus as at December 2018 using the keywords: “adrenal gland neoplasms”, adrenal metastasis”, “uterine cancer”, “endometrial cancer”. The “related articles” function was used to widen the search and all abstracts, studies, and citations retrieved were reviewed.</w:t>
      </w:r>
    </w:p>
    <w:p w:rsidR="00A3222E" w:rsidRPr="00650485" w:rsidRDefault="00A3222E" w:rsidP="00650485">
      <w:pPr>
        <w:pStyle w:val="Standard"/>
        <w:spacing w:line="360" w:lineRule="auto"/>
        <w:jc w:val="both"/>
        <w:rPr>
          <w:rFonts w:ascii="Book Antiqua" w:hAnsi="Book Antiqua" w:cs="Arial"/>
          <w:lang w:val="en-US"/>
        </w:rPr>
      </w:pPr>
    </w:p>
    <w:p w:rsidR="00EC54CB" w:rsidRPr="00650485" w:rsidRDefault="00EC54CB" w:rsidP="00650485">
      <w:pPr>
        <w:spacing w:line="360" w:lineRule="auto"/>
        <w:jc w:val="both"/>
        <w:rPr>
          <w:rFonts w:ascii="Book Antiqua" w:eastAsia="Book Antiqua" w:hAnsi="Book Antiqua"/>
          <w:b/>
          <w:sz w:val="24"/>
          <w:szCs w:val="24"/>
        </w:rPr>
      </w:pPr>
      <w:r w:rsidRPr="00650485">
        <w:rPr>
          <w:rFonts w:ascii="Book Antiqua" w:eastAsia="Book Antiqua" w:hAnsi="Book Antiqua"/>
          <w:b/>
          <w:sz w:val="24"/>
          <w:szCs w:val="24"/>
        </w:rPr>
        <w:t>CASE PRESENTATION</w:t>
      </w:r>
    </w:p>
    <w:p w:rsidR="008823D0" w:rsidRPr="00650485" w:rsidRDefault="008823D0"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Chief complaints</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A 53-year-old Caucasian woman was admitted in November 2017 for an adrenal mass.</w:t>
      </w:r>
    </w:p>
    <w:p w:rsidR="00EC54CB" w:rsidRPr="00650485" w:rsidRDefault="00EC54CB" w:rsidP="00650485">
      <w:pPr>
        <w:pStyle w:val="Standard"/>
        <w:spacing w:line="360" w:lineRule="auto"/>
        <w:jc w:val="both"/>
        <w:rPr>
          <w:rFonts w:ascii="Book Antiqua" w:hAnsi="Book Antiqua" w:cs="Arial"/>
          <w:lang w:val="en-US"/>
        </w:rPr>
      </w:pPr>
    </w:p>
    <w:p w:rsidR="00107548" w:rsidRPr="00650485" w:rsidRDefault="00107548"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History of present illness</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In 2014 she had undergone total hysterectomy, bilateral oophorectomy and pelvic lymphadenectomy for a grade 2, International Federation of Gynecology and Obstetrics (FIGO) stage III A endometrioid endometrial cancer (EEC). Postoperatively, she was treated with six cycles of carboplatin-paclitaxel chemotherapy. She had no known family history of colon cancer, and endometrial cancer related to Lynch syndrome was ruled out.</w:t>
      </w:r>
    </w:p>
    <w:p w:rsidR="00EC54CB" w:rsidRPr="00650485" w:rsidRDefault="00EC54CB" w:rsidP="00650485">
      <w:pPr>
        <w:pStyle w:val="Standard"/>
        <w:spacing w:line="360" w:lineRule="auto"/>
        <w:jc w:val="both"/>
        <w:rPr>
          <w:rFonts w:ascii="Book Antiqua" w:hAnsi="Book Antiqua" w:cs="Arial"/>
          <w:lang w:val="en-US"/>
        </w:rPr>
      </w:pPr>
    </w:p>
    <w:p w:rsidR="00107548" w:rsidRPr="00650485" w:rsidRDefault="00107548"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History of past illness</w:t>
      </w:r>
    </w:p>
    <w:p w:rsidR="00A3222E"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The patient had a history of laparoscopic uterine myomectomy and tonsillectomy when she was younger.</w:t>
      </w:r>
    </w:p>
    <w:p w:rsidR="00EC54CB" w:rsidRPr="00650485" w:rsidRDefault="00EC54CB" w:rsidP="00650485">
      <w:pPr>
        <w:pStyle w:val="Standard"/>
        <w:spacing w:line="360" w:lineRule="auto"/>
        <w:jc w:val="both"/>
        <w:rPr>
          <w:rFonts w:ascii="Book Antiqua" w:hAnsi="Book Antiqua"/>
          <w:lang w:val="en-US"/>
        </w:rPr>
      </w:pPr>
    </w:p>
    <w:p w:rsidR="00107548" w:rsidRPr="00650485" w:rsidRDefault="00107548"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Physical examination</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Physical examination revealed abdominal tenderness with moderate palpation of the left mid-quadrant of the abdomen.</w:t>
      </w:r>
    </w:p>
    <w:p w:rsidR="00EC54CB" w:rsidRPr="00650485" w:rsidRDefault="00EC54CB" w:rsidP="00650485">
      <w:pPr>
        <w:pStyle w:val="Standard"/>
        <w:spacing w:line="360" w:lineRule="auto"/>
        <w:jc w:val="both"/>
        <w:rPr>
          <w:rFonts w:ascii="Book Antiqua" w:hAnsi="Book Antiqua" w:cs="Arial"/>
          <w:lang w:val="en-US"/>
        </w:rPr>
      </w:pPr>
    </w:p>
    <w:p w:rsidR="00107548" w:rsidRPr="00650485" w:rsidRDefault="00107548"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Imaging examinations</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Computed tomography</w:t>
      </w:r>
      <w:r w:rsidR="00650485">
        <w:rPr>
          <w:rFonts w:ascii="Book Antiqua" w:hAnsi="Book Antiqua" w:cs="Arial"/>
          <w:lang w:val="en-US"/>
        </w:rPr>
        <w:t xml:space="preserve"> (CT)</w:t>
      </w:r>
      <w:r w:rsidRPr="00650485">
        <w:rPr>
          <w:rFonts w:ascii="Book Antiqua" w:hAnsi="Book Antiqua" w:cs="Arial"/>
          <w:lang w:val="en-US"/>
        </w:rPr>
        <w:t xml:space="preserve"> of the chest and abdomen revealed a solid left adrenal mass with malignant features (</w:t>
      </w:r>
      <w:r w:rsidR="002221AA" w:rsidRPr="00650485">
        <w:rPr>
          <w:rFonts w:ascii="Book Antiqua" w:hAnsi="Book Antiqua" w:cs="Arial"/>
          <w:lang w:val="en-US"/>
        </w:rPr>
        <w:t>6</w:t>
      </w:r>
      <w:r w:rsidRPr="00650485">
        <w:rPr>
          <w:rFonts w:ascii="Book Antiqua" w:hAnsi="Book Antiqua" w:cs="Arial"/>
          <w:lang w:val="en-US"/>
        </w:rPr>
        <w:t xml:space="preserve"> cm in diameter, with parenchymal invasion) (Fig</w:t>
      </w:r>
      <w:r w:rsidR="00EC54CB" w:rsidRPr="00650485">
        <w:rPr>
          <w:rFonts w:ascii="Book Antiqua" w:hAnsi="Book Antiqua" w:cs="Arial"/>
          <w:lang w:val="en-US"/>
        </w:rPr>
        <w:t>ure</w:t>
      </w:r>
      <w:r w:rsidRPr="00650485">
        <w:rPr>
          <w:rFonts w:ascii="Book Antiqua" w:hAnsi="Book Antiqua" w:cs="Arial"/>
          <w:lang w:val="en-US"/>
        </w:rPr>
        <w:t xml:space="preserve"> 1).</w:t>
      </w:r>
    </w:p>
    <w:p w:rsidR="00EC54CB" w:rsidRPr="00650485" w:rsidRDefault="00EC54CB" w:rsidP="00650485">
      <w:pPr>
        <w:pStyle w:val="Standard"/>
        <w:spacing w:line="360" w:lineRule="auto"/>
        <w:jc w:val="both"/>
        <w:rPr>
          <w:rFonts w:ascii="Book Antiqua" w:hAnsi="Book Antiqua" w:cs="Arial"/>
          <w:lang w:val="en-US"/>
        </w:rPr>
      </w:pPr>
    </w:p>
    <w:p w:rsidR="00107548" w:rsidRPr="00650485" w:rsidRDefault="00107548" w:rsidP="00650485">
      <w:pPr>
        <w:pStyle w:val="Standard"/>
        <w:spacing w:line="360" w:lineRule="auto"/>
        <w:jc w:val="both"/>
        <w:rPr>
          <w:rFonts w:ascii="Book Antiqua" w:hAnsi="Book Antiqua" w:cs="Arial"/>
          <w:b/>
          <w:i/>
          <w:lang w:val="en-US"/>
        </w:rPr>
      </w:pPr>
      <w:r w:rsidRPr="00650485">
        <w:rPr>
          <w:rFonts w:ascii="Book Antiqua" w:hAnsi="Book Antiqua" w:cs="Arial"/>
          <w:b/>
          <w:i/>
          <w:lang w:val="en-US"/>
        </w:rPr>
        <w:t>Laboratory examinations</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 xml:space="preserve">Laboratory test findings, including hormonal assays, were unremarkable. </w:t>
      </w:r>
    </w:p>
    <w:p w:rsidR="00107548" w:rsidRPr="00650485" w:rsidRDefault="00107548" w:rsidP="00650485">
      <w:pPr>
        <w:pStyle w:val="Standard"/>
        <w:spacing w:line="360" w:lineRule="auto"/>
        <w:jc w:val="both"/>
        <w:rPr>
          <w:rFonts w:ascii="Book Antiqua" w:hAnsi="Book Antiqua" w:cs="Arial"/>
          <w:lang w:val="en-US"/>
        </w:rPr>
      </w:pPr>
    </w:p>
    <w:p w:rsidR="00107548" w:rsidRPr="00650485" w:rsidRDefault="00107548" w:rsidP="00650485">
      <w:pPr>
        <w:pStyle w:val="Standard"/>
        <w:spacing w:line="360" w:lineRule="auto"/>
        <w:jc w:val="both"/>
        <w:rPr>
          <w:rFonts w:ascii="Book Antiqua" w:hAnsi="Book Antiqua" w:cs="Arial"/>
          <w:b/>
          <w:lang w:val="en-US"/>
        </w:rPr>
      </w:pPr>
      <w:r w:rsidRPr="00650485">
        <w:rPr>
          <w:rFonts w:ascii="Book Antiqua" w:hAnsi="Book Antiqua" w:cs="Arial"/>
          <w:b/>
          <w:lang w:val="en-US"/>
        </w:rPr>
        <w:t>FINAL DIAGNOSIS</w:t>
      </w:r>
    </w:p>
    <w:p w:rsidR="00107548"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Macroscopic examination of the resected specimen showed the left adrenal gland (7</w:t>
      </w:r>
      <w:bookmarkStart w:id="27" w:name="OLE_LINK14"/>
      <w:r w:rsidRPr="00650485">
        <w:rPr>
          <w:rFonts w:ascii="Book Antiqua" w:hAnsi="Book Antiqua" w:cs="Arial"/>
          <w:lang w:val="en-US"/>
        </w:rPr>
        <w:t xml:space="preserve"> </w:t>
      </w:r>
      <w:r w:rsidR="00EC54CB" w:rsidRPr="00650485">
        <w:rPr>
          <w:rFonts w:ascii="Book Antiqua" w:hAnsi="Book Antiqua" w:cs="Arial"/>
          <w:lang w:val="en-US"/>
        </w:rPr>
        <w:t>×</w:t>
      </w:r>
      <w:r w:rsidRPr="00650485">
        <w:rPr>
          <w:rFonts w:ascii="Book Antiqua" w:hAnsi="Book Antiqua" w:cs="Arial"/>
          <w:lang w:val="en-US"/>
        </w:rPr>
        <w:t xml:space="preserve"> </w:t>
      </w:r>
      <w:bookmarkEnd w:id="27"/>
      <w:r w:rsidRPr="00650485">
        <w:rPr>
          <w:rFonts w:ascii="Book Antiqua" w:hAnsi="Book Antiqua" w:cs="Arial"/>
          <w:lang w:val="en-US"/>
        </w:rPr>
        <w:t>4</w:t>
      </w:r>
      <w:r w:rsidR="00EC54CB" w:rsidRPr="00650485">
        <w:rPr>
          <w:rFonts w:ascii="Book Antiqua" w:hAnsi="Book Antiqua" w:cs="Arial"/>
          <w:lang w:val="en-US"/>
        </w:rPr>
        <w:t xml:space="preserve"> × </w:t>
      </w:r>
      <w:r w:rsidRPr="00650485">
        <w:rPr>
          <w:rFonts w:ascii="Book Antiqua" w:hAnsi="Book Antiqua" w:cs="Arial"/>
          <w:lang w:val="en-US"/>
        </w:rPr>
        <w:t>3 cm) almost entirely substituted by a solid, off-white neoplastic mass (6.8 cm in largest diameter). Microscopic sections showed massive adrenal and peri-adrenal endometrioid metastasis</w:t>
      </w:r>
      <w:r w:rsidR="009C699D" w:rsidRPr="00650485">
        <w:rPr>
          <w:rFonts w:ascii="Book Antiqua" w:hAnsi="Book Antiqua" w:cs="Arial"/>
          <w:lang w:val="en-US"/>
        </w:rPr>
        <w:t xml:space="preserve"> (Fig</w:t>
      </w:r>
      <w:r w:rsidR="00EC54CB" w:rsidRPr="00650485">
        <w:rPr>
          <w:rFonts w:ascii="Book Antiqua" w:hAnsi="Book Antiqua" w:cs="Arial"/>
          <w:lang w:val="en-US"/>
        </w:rPr>
        <w:t>ure</w:t>
      </w:r>
      <w:r w:rsidR="009C699D" w:rsidRPr="00650485">
        <w:rPr>
          <w:rFonts w:ascii="Book Antiqua" w:hAnsi="Book Antiqua" w:cs="Arial"/>
          <w:lang w:val="en-US"/>
        </w:rPr>
        <w:t xml:space="preserve"> 2)</w:t>
      </w:r>
      <w:r w:rsidRPr="00650485">
        <w:rPr>
          <w:rFonts w:ascii="Book Antiqua" w:hAnsi="Book Antiqua" w:cs="Arial"/>
          <w:lang w:val="en-US"/>
        </w:rPr>
        <w:t>. Immunohistochemical staining was positive for progesteron</w:t>
      </w:r>
      <w:r w:rsidR="009C699D" w:rsidRPr="00650485">
        <w:rPr>
          <w:rFonts w:ascii="Book Antiqua" w:hAnsi="Book Antiqua" w:cs="Arial"/>
          <w:lang w:val="en-US"/>
        </w:rPr>
        <w:t>e and estrogen receptors (Fig</w:t>
      </w:r>
      <w:r w:rsidR="00EC54CB" w:rsidRPr="00650485">
        <w:rPr>
          <w:rFonts w:ascii="Book Antiqua" w:hAnsi="Book Antiqua" w:cs="Arial"/>
          <w:lang w:val="en-US"/>
        </w:rPr>
        <w:t>ure</w:t>
      </w:r>
      <w:r w:rsidR="009C699D" w:rsidRPr="00650485">
        <w:rPr>
          <w:rFonts w:ascii="Book Antiqua" w:hAnsi="Book Antiqua" w:cs="Arial"/>
          <w:lang w:val="en-US"/>
        </w:rPr>
        <w:t xml:space="preserve"> 3</w:t>
      </w:r>
      <w:r w:rsidRPr="00650485">
        <w:rPr>
          <w:rFonts w:ascii="Book Antiqua" w:hAnsi="Book Antiqua" w:cs="Arial"/>
          <w:lang w:val="en-US"/>
        </w:rPr>
        <w:t>).</w:t>
      </w:r>
    </w:p>
    <w:p w:rsidR="00EC54CB" w:rsidRPr="00650485" w:rsidRDefault="00EC54CB" w:rsidP="00650485">
      <w:pPr>
        <w:pStyle w:val="Standard"/>
        <w:spacing w:line="360" w:lineRule="auto"/>
        <w:jc w:val="both"/>
        <w:rPr>
          <w:rFonts w:ascii="Book Antiqua" w:hAnsi="Book Antiqua" w:cs="Arial"/>
          <w:lang w:val="en-US"/>
        </w:rPr>
      </w:pPr>
    </w:p>
    <w:p w:rsidR="00EC54CB" w:rsidRPr="00650485" w:rsidRDefault="00EC54CB" w:rsidP="00650485">
      <w:pPr>
        <w:pStyle w:val="Standard"/>
        <w:spacing w:line="360" w:lineRule="auto"/>
        <w:jc w:val="both"/>
        <w:rPr>
          <w:rFonts w:ascii="Book Antiqua" w:hAnsi="Book Antiqua" w:cs="Arial"/>
          <w:b/>
          <w:lang w:val="en-US"/>
        </w:rPr>
      </w:pPr>
      <w:r w:rsidRPr="00650485">
        <w:rPr>
          <w:rFonts w:ascii="Book Antiqua" w:hAnsi="Book Antiqua" w:cs="Arial"/>
          <w:b/>
          <w:lang w:val="en-US"/>
        </w:rPr>
        <w:t>TREATMENT</w:t>
      </w:r>
    </w:p>
    <w:p w:rsidR="00EC54CB" w:rsidRPr="00650485" w:rsidRDefault="00EC54CB" w:rsidP="00650485">
      <w:pPr>
        <w:pStyle w:val="Standard"/>
        <w:spacing w:line="360" w:lineRule="auto"/>
        <w:jc w:val="both"/>
        <w:rPr>
          <w:rFonts w:ascii="Book Antiqua" w:hAnsi="Book Antiqua" w:cs="Arial"/>
          <w:lang w:val="en-US"/>
        </w:rPr>
      </w:pPr>
      <w:r w:rsidRPr="00650485">
        <w:rPr>
          <w:rFonts w:ascii="Book Antiqua" w:hAnsi="Book Antiqua" w:cs="Arial"/>
          <w:lang w:val="en-US"/>
        </w:rPr>
        <w:t>Laparoscopic adrenalectomy was performed.</w:t>
      </w:r>
    </w:p>
    <w:p w:rsidR="00107548" w:rsidRPr="00650485" w:rsidRDefault="00107548" w:rsidP="00650485">
      <w:pPr>
        <w:pStyle w:val="Standard"/>
        <w:spacing w:line="360" w:lineRule="auto"/>
        <w:jc w:val="both"/>
        <w:rPr>
          <w:rFonts w:ascii="Book Antiqua" w:hAnsi="Book Antiqua" w:cs="Arial"/>
          <w:b/>
          <w:lang w:val="en-US"/>
        </w:rPr>
      </w:pPr>
    </w:p>
    <w:p w:rsidR="00EC54CB" w:rsidRPr="00650485" w:rsidRDefault="00EC54CB" w:rsidP="00650485">
      <w:pPr>
        <w:autoSpaceDE w:val="0"/>
        <w:autoSpaceDN w:val="0"/>
        <w:adjustRightInd w:val="0"/>
        <w:spacing w:line="360" w:lineRule="auto"/>
        <w:jc w:val="both"/>
        <w:rPr>
          <w:rFonts w:ascii="Book Antiqua" w:hAnsi="Book Antiqua"/>
          <w:b/>
          <w:sz w:val="24"/>
          <w:szCs w:val="24"/>
        </w:rPr>
      </w:pPr>
      <w:r w:rsidRPr="00650485">
        <w:rPr>
          <w:rFonts w:ascii="Book Antiqua" w:hAnsi="Book Antiqua"/>
          <w:b/>
          <w:sz w:val="24"/>
          <w:szCs w:val="24"/>
        </w:rPr>
        <w:t>OUTCOME AND FOLLOW-UP</w:t>
      </w:r>
    </w:p>
    <w:p w:rsidR="00A3222E" w:rsidRPr="00650485" w:rsidRDefault="00A3222E" w:rsidP="00650485">
      <w:pPr>
        <w:pStyle w:val="Standard"/>
        <w:spacing w:line="360" w:lineRule="auto"/>
        <w:jc w:val="both"/>
        <w:rPr>
          <w:rFonts w:ascii="Book Antiqua" w:hAnsi="Book Antiqua"/>
          <w:lang w:val="en-US"/>
        </w:rPr>
      </w:pPr>
      <w:r w:rsidRPr="00650485">
        <w:rPr>
          <w:rFonts w:ascii="Book Antiqua" w:hAnsi="Book Antiqua" w:cs="Arial"/>
          <w:lang w:val="en-US"/>
        </w:rPr>
        <w:t>The postoperative course was uneventful and the patient was discharged 5 d after the surgical procedure. Two months later, 18-FDG positron emission tomography showed no pathological uptake, so no adjuvant therapy was administered. At the latest follow-up (December 2018), the patient was in good clinical condition with no recurrent disease.</w:t>
      </w:r>
    </w:p>
    <w:p w:rsidR="00A3222E" w:rsidRPr="00650485" w:rsidRDefault="00A3222E" w:rsidP="00650485">
      <w:pPr>
        <w:pStyle w:val="Standard"/>
        <w:spacing w:line="360" w:lineRule="auto"/>
        <w:jc w:val="both"/>
        <w:rPr>
          <w:rFonts w:ascii="Book Antiqua" w:hAnsi="Book Antiqua" w:cs="Arial"/>
          <w:lang w:val="en-US"/>
        </w:rPr>
      </w:pPr>
    </w:p>
    <w:p w:rsidR="00A3222E" w:rsidRPr="00650485" w:rsidRDefault="00107548" w:rsidP="00650485">
      <w:pPr>
        <w:pStyle w:val="Standard"/>
        <w:spacing w:line="360" w:lineRule="auto"/>
        <w:jc w:val="both"/>
        <w:rPr>
          <w:rFonts w:ascii="Book Antiqua" w:hAnsi="Book Antiqua"/>
          <w:lang w:val="en-US"/>
        </w:rPr>
      </w:pPr>
      <w:r w:rsidRPr="00650485">
        <w:rPr>
          <w:rFonts w:ascii="Book Antiqua" w:hAnsi="Book Antiqua" w:cs="Arial"/>
          <w:b/>
          <w:lang w:val="en-US"/>
        </w:rPr>
        <w:t>DISCUSSION</w:t>
      </w:r>
    </w:p>
    <w:p w:rsidR="00A3222E" w:rsidRPr="00650485" w:rsidRDefault="00A3222E" w:rsidP="00650485">
      <w:pPr>
        <w:pStyle w:val="Standard"/>
        <w:spacing w:line="360" w:lineRule="auto"/>
        <w:jc w:val="both"/>
        <w:rPr>
          <w:rFonts w:ascii="Book Antiqua" w:hAnsi="Book Antiqua"/>
          <w:lang w:val="en-US"/>
        </w:rPr>
      </w:pPr>
      <w:r w:rsidRPr="00650485">
        <w:rPr>
          <w:rFonts w:ascii="Book Antiqua" w:hAnsi="Book Antiqua" w:cs="Arial"/>
          <w:lang w:val="en-US"/>
        </w:rPr>
        <w:t>Endometrial cancer is the most common gynecological cancer in developed countries. Most endometrial cancers are diagnosed at an early FIGO stage, and the most common histological type is EEC. These patients are generally considered at low risk, with 5-year survival rates of 95%; however, survival drop considerably to 69% and 13%, respectively, in the event of regional or distant metastases</w:t>
      </w:r>
      <w:bookmarkStart w:id="28" w:name="__Fieldmark__173_152482130"/>
      <w:bookmarkEnd w:id="28"/>
      <w:r w:rsidRPr="00650485">
        <w:rPr>
          <w:rFonts w:ascii="Book Antiqua" w:hAnsi="Book Antiqua" w:cs="Arial"/>
          <w:lang w:val="en-US"/>
        </w:rPr>
        <w:t>. Patients with endometrioid cancer in FIGO stages II to III, or with non-endometrioid cancer are at high risk of relapse</w:t>
      </w:r>
      <w:bookmarkStart w:id="29" w:name="__Fieldmark__130_2279481347"/>
      <w:bookmarkStart w:id="30" w:name="__Fieldmark__118_3491084201"/>
      <w:r w:rsidR="00EC54CB" w:rsidRPr="00650485">
        <w:rPr>
          <w:rFonts w:ascii="Book Antiqua" w:hAnsi="Book Antiqua" w:cs="Arial"/>
          <w:vertAlign w:val="superscript"/>
          <w:lang w:val="en-US"/>
        </w:rPr>
        <w:t>[</w:t>
      </w:r>
      <w:bookmarkStart w:id="31" w:name="__Fieldmark__253_1536222249"/>
      <w:r w:rsidR="00EC54CB" w:rsidRPr="00650485">
        <w:rPr>
          <w:rFonts w:ascii="Book Antiqua" w:hAnsi="Book Antiqua" w:cs="Arial"/>
          <w:vertAlign w:val="superscript"/>
          <w:lang w:val="en-US"/>
        </w:rPr>
        <w:t>4</w:t>
      </w:r>
      <w:bookmarkStart w:id="32" w:name="__Fieldmark__109_2715918006"/>
      <w:bookmarkStart w:id="33" w:name="__Fieldmark__179_152482130"/>
      <w:bookmarkStart w:id="34" w:name="__Fieldmark__104_2332388778"/>
      <w:bookmarkStart w:id="35" w:name="__Fieldmark__710_2332388778"/>
      <w:bookmarkStart w:id="36" w:name="__Fieldmark__1360_2332388778"/>
      <w:bookmarkStart w:id="37" w:name="__Fieldmark__115_4125436880"/>
      <w:bookmarkEnd w:id="29"/>
      <w:bookmarkEnd w:id="30"/>
      <w:bookmarkEnd w:id="31"/>
      <w:bookmarkEnd w:id="32"/>
      <w:bookmarkEnd w:id="33"/>
      <w:bookmarkEnd w:id="34"/>
      <w:bookmarkEnd w:id="35"/>
      <w:bookmarkEnd w:id="36"/>
      <w:bookmarkEnd w:id="37"/>
      <w:r w:rsidR="00EC54CB" w:rsidRPr="00650485">
        <w:rPr>
          <w:rFonts w:ascii="Book Antiqua" w:hAnsi="Book Antiqua" w:cs="Arial"/>
          <w:vertAlign w:val="superscript"/>
          <w:lang w:val="en-US"/>
        </w:rPr>
        <w:t>]</w:t>
      </w:r>
      <w:r w:rsidRPr="00650485">
        <w:rPr>
          <w:rFonts w:ascii="Book Antiqua" w:hAnsi="Book Antiqua" w:cs="Arial"/>
          <w:lang w:val="en-US"/>
        </w:rPr>
        <w:t xml:space="preserve">. The adrenal gland is a rare site of metastases from endometrial cancer. To our knowledge, only 11 previous cases have been reported in the English literature (Table 1), including: 8 cases of metachronous single-site metastases, 2 of metachronous multiple-site metastases, and one synchronous metastasis. Nakano </w:t>
      </w:r>
      <w:r w:rsidRPr="00650485">
        <w:rPr>
          <w:rFonts w:ascii="Book Antiqua" w:hAnsi="Book Antiqua" w:cs="Arial"/>
          <w:i/>
          <w:lang w:val="en-US"/>
        </w:rPr>
        <w:t>et al</w:t>
      </w:r>
      <w:r w:rsidR="00EC54CB" w:rsidRPr="00650485">
        <w:rPr>
          <w:rFonts w:ascii="Book Antiqua" w:hAnsi="Book Antiqua" w:cs="Arial"/>
          <w:vertAlign w:val="superscript"/>
          <w:lang w:val="en-US"/>
        </w:rPr>
        <w:t>[5]</w:t>
      </w:r>
      <w:r w:rsidRPr="00650485">
        <w:rPr>
          <w:rFonts w:ascii="Book Antiqua" w:hAnsi="Book Antiqua" w:cs="Arial"/>
          <w:lang w:val="en-US"/>
        </w:rPr>
        <w:t xml:space="preserve"> were the first to report a case of adrenal metastasis from endometrial cancer in 1975. On reviewing all the studies listed in Table 1: the patients’ median age was 62 years (range 39-77 years). There were two patients with FIGO stage I disease, two with FIGO stage II, two with FIGO stage III, and two with FIGO stage IV, while the stage was not stated in three cases. Six patients had an endometrioid histology, four had a non-endometrioid type, and no histology was available for one. When stratified according to the European Society of Medical Oncology 2016 Consensus Conference recommendations, nine patients were at high risk of recurrence or distant metastases</w:t>
      </w:r>
      <w:r w:rsidR="00EC54CB" w:rsidRPr="00650485">
        <w:rPr>
          <w:rFonts w:ascii="Book Antiqua" w:hAnsi="Book Antiqua" w:cs="Arial"/>
          <w:vertAlign w:val="superscript"/>
          <w:lang w:val="en-US"/>
        </w:rPr>
        <w:t>[</w:t>
      </w:r>
      <w:r w:rsidRPr="00650485">
        <w:rPr>
          <w:rFonts w:ascii="Book Antiqua" w:hAnsi="Book Antiqua" w:cs="Arial"/>
          <w:vertAlign w:val="superscript"/>
          <w:lang w:val="en-US"/>
        </w:rPr>
        <w:t>4</w:t>
      </w:r>
      <w:r w:rsidR="00EC54CB" w:rsidRPr="00650485">
        <w:rPr>
          <w:rFonts w:ascii="Book Antiqua" w:hAnsi="Book Antiqua" w:cs="Arial"/>
          <w:vertAlign w:val="superscript"/>
          <w:lang w:val="en-US"/>
        </w:rPr>
        <w:t>]</w:t>
      </w:r>
      <w:r w:rsidRPr="00650485">
        <w:rPr>
          <w:rFonts w:ascii="Book Antiqua" w:hAnsi="Book Antiqua" w:cs="Arial"/>
          <w:lang w:val="en-US"/>
        </w:rPr>
        <w:t>.</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In most cases, the adrenal lesions were identified on CT scans. Laboratory tests revealed no hormone overproduction in any of the patients.</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Gynecological and oncological societies have no shared approach to the adjuvant treatment of “high-risk” endometrial cancer. While the value of external beam radiotherapy and/or vaginal brachytherapy for local recurrence control is accepted almost worldwide, any use of chemotherapy to prevent distant relapses is at the clinician’s discretion</w:t>
      </w:r>
      <w:r w:rsidR="000A2BA6" w:rsidRPr="00650485">
        <w:rPr>
          <w:rFonts w:ascii="Book Antiqua" w:hAnsi="Book Antiqua" w:cs="Arial"/>
          <w:vertAlign w:val="superscript"/>
          <w:lang w:val="en-US"/>
        </w:rPr>
        <w:t>[</w:t>
      </w:r>
      <w:r w:rsidRPr="00650485">
        <w:rPr>
          <w:rFonts w:ascii="Book Antiqua" w:hAnsi="Book Antiqua" w:cs="Arial"/>
          <w:vertAlign w:val="superscript"/>
          <w:lang w:val="en-US"/>
        </w:rPr>
        <w:t>15</w:t>
      </w:r>
      <w:r w:rsidR="000A2BA6" w:rsidRPr="00650485">
        <w:rPr>
          <w:rFonts w:ascii="Book Antiqua" w:hAnsi="Book Antiqua" w:cs="Arial"/>
          <w:vertAlign w:val="superscript"/>
          <w:lang w:val="en-US"/>
        </w:rPr>
        <w:t>]</w:t>
      </w:r>
      <w:r w:rsidRPr="00650485">
        <w:rPr>
          <w:rFonts w:ascii="Book Antiqua" w:hAnsi="Book Antiqua" w:cs="Arial"/>
          <w:lang w:val="en-US"/>
        </w:rPr>
        <w:t>. Our review identified seven cases treated with adjuvant therapy after gynecological surgery: 4 patients were administered radiotherapy at least; 3 were treated with chemotherapy alone.</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Disease-free survival after hysterectomy naturally varied considerably, given the marked differences between the cases reviewed in terms of disease stage and grade, histology, and adjuvant therapy. It ranged from 6 mo to 108 mo with a median disease-free survival in the series of 15 mo.</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The surgical approach to adrenal gland metastases is controversial. Following the NCCN guidelines, many authors treat adrenal metastases directly with open surgery</w:t>
      </w:r>
      <w:r w:rsidR="000A2BA6" w:rsidRPr="00650485">
        <w:rPr>
          <w:rFonts w:ascii="Book Antiqua" w:hAnsi="Book Antiqua" w:cs="Arial"/>
          <w:vertAlign w:val="superscript"/>
          <w:lang w:val="en-US"/>
        </w:rPr>
        <w:t>[</w:t>
      </w:r>
      <w:r w:rsidRPr="00650485">
        <w:rPr>
          <w:rFonts w:ascii="Book Antiqua" w:hAnsi="Book Antiqua" w:cs="Arial"/>
          <w:vertAlign w:val="superscript"/>
          <w:lang w:val="en-US"/>
        </w:rPr>
        <w:t>16</w:t>
      </w:r>
      <w:r w:rsidR="000A2BA6" w:rsidRPr="00650485">
        <w:rPr>
          <w:rFonts w:ascii="Book Antiqua" w:hAnsi="Book Antiqua" w:cs="Arial"/>
          <w:vertAlign w:val="superscript"/>
          <w:lang w:val="en-US"/>
        </w:rPr>
        <w:t>]</w:t>
      </w:r>
      <w:r w:rsidRPr="00650485">
        <w:rPr>
          <w:rFonts w:ascii="Book Antiqua" w:hAnsi="Book Antiqua" w:cs="Arial"/>
          <w:lang w:val="en-US"/>
        </w:rPr>
        <w:t>, but laparoscopic adrenalectomy has been used successfully for a variety of secondary tumors</w:t>
      </w:r>
      <w:r w:rsidR="000A2BA6" w:rsidRPr="00650485">
        <w:rPr>
          <w:rFonts w:ascii="Book Antiqua" w:hAnsi="Book Antiqua" w:cs="Arial"/>
          <w:vertAlign w:val="superscript"/>
          <w:lang w:val="en-US"/>
        </w:rPr>
        <w:t>[</w:t>
      </w:r>
      <w:r w:rsidRPr="00650485">
        <w:rPr>
          <w:rFonts w:ascii="Book Antiqua" w:hAnsi="Book Antiqua" w:cs="Arial"/>
          <w:vertAlign w:val="superscript"/>
          <w:lang w:val="en-US"/>
        </w:rPr>
        <w:t>17,18</w:t>
      </w:r>
      <w:r w:rsidR="000A2BA6" w:rsidRPr="00650485">
        <w:rPr>
          <w:rFonts w:ascii="Book Antiqua" w:hAnsi="Book Antiqua" w:cs="Arial"/>
          <w:vertAlign w:val="superscript"/>
          <w:lang w:val="en-US"/>
        </w:rPr>
        <w:t>]</w:t>
      </w:r>
      <w:r w:rsidRPr="00650485">
        <w:rPr>
          <w:rFonts w:ascii="Book Antiqua" w:hAnsi="Book Antiqua" w:cs="Arial"/>
          <w:lang w:val="en-US"/>
        </w:rPr>
        <w:t>.</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 xml:space="preserve">Our review found that only three of eight cases of single-site adrenal metastases from endometrial cancer (5.7-7.5 cm in diameter) were treated mini-invasively (laparoscopy or robotic surgery). The largest tumor (7.5 cm in diameter) was treated by Rekhi </w:t>
      </w:r>
      <w:r w:rsidRPr="00650485">
        <w:rPr>
          <w:rFonts w:ascii="Book Antiqua" w:hAnsi="Book Antiqua" w:cs="Arial"/>
          <w:i/>
          <w:lang w:val="en-US"/>
        </w:rPr>
        <w:t>et al</w:t>
      </w:r>
      <w:r w:rsidR="000A2BA6" w:rsidRPr="00650485">
        <w:rPr>
          <w:rFonts w:ascii="Book Antiqua" w:hAnsi="Book Antiqua" w:cs="Arial"/>
          <w:vertAlign w:val="superscript"/>
          <w:lang w:val="en-US"/>
        </w:rPr>
        <w:t>[13]</w:t>
      </w:r>
      <w:r w:rsidRPr="00650485">
        <w:rPr>
          <w:rFonts w:ascii="Book Antiqua" w:hAnsi="Book Antiqua" w:cs="Arial"/>
          <w:lang w:val="en-US"/>
        </w:rPr>
        <w:t xml:space="preserve"> with robotic adrenalectomy. Five patients underwent open adrenalectomy, and the largest tumor was reportedly 5 cm in diameter (range 3.5-5 cm). Our patient was successfully treated using a laparoscopic approach with no operative complications and with a good survival. A good outcome after mini-invasive surgery was reported by other Authors too. Izaki </w:t>
      </w:r>
      <w:r w:rsidRPr="00650485">
        <w:rPr>
          <w:rFonts w:ascii="Book Antiqua" w:hAnsi="Book Antiqua" w:cs="Arial"/>
          <w:i/>
          <w:lang w:val="en-US"/>
        </w:rPr>
        <w:t>et al</w:t>
      </w:r>
      <w:r w:rsidR="000A2BA6" w:rsidRPr="00650485">
        <w:rPr>
          <w:rFonts w:ascii="Book Antiqua" w:hAnsi="Book Antiqua" w:cs="Arial"/>
          <w:vertAlign w:val="superscript"/>
          <w:lang w:val="en-US"/>
        </w:rPr>
        <w:t>[8]</w:t>
      </w:r>
      <w:r w:rsidRPr="00650485">
        <w:rPr>
          <w:rFonts w:ascii="Book Antiqua" w:hAnsi="Book Antiqua" w:cs="Arial"/>
          <w:lang w:val="en-US"/>
        </w:rPr>
        <w:t xml:space="preserve"> and Choi </w:t>
      </w:r>
      <w:r w:rsidRPr="00650485">
        <w:rPr>
          <w:rFonts w:ascii="Book Antiqua" w:hAnsi="Book Antiqua" w:cs="Arial"/>
          <w:i/>
          <w:lang w:val="en-US"/>
        </w:rPr>
        <w:t>et al</w:t>
      </w:r>
      <w:r w:rsidR="000A2BA6" w:rsidRPr="00650485">
        <w:rPr>
          <w:rFonts w:ascii="Book Antiqua" w:hAnsi="Book Antiqua" w:cs="Arial"/>
          <w:vertAlign w:val="superscript"/>
          <w:lang w:val="en-US"/>
        </w:rPr>
        <w:t>[9]</w:t>
      </w:r>
      <w:r w:rsidRPr="00650485">
        <w:rPr>
          <w:rFonts w:ascii="Book Antiqua" w:hAnsi="Book Antiqua" w:cs="Arial"/>
          <w:lang w:val="en-US"/>
        </w:rPr>
        <w:t xml:space="preserve"> reported two similar cases, both high-risk patients with FIGO stage IIIC primary endometrial cancer and metachronous single-site adrenal metastases (5.7 and 6.0 cm in diameter, respectively); both patients were treated laparoscopically and had a long follow-up (82 and 45 mo, respectively).</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So, despite the small number of patients considered, our review suggests that a laparoscopic approach is a valid alternative to open surgery for isolated adrenal metastases from endometrial cancer.</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 xml:space="preserve">Finally, there is no general consensus regarding chemotherapy after surgery for adrenal metastases. Izaki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[8]</w:t>
      </w:r>
      <w:r w:rsidRPr="00650485">
        <w:rPr>
          <w:rFonts w:ascii="Book Antiqua" w:hAnsi="Book Antiqua" w:cs="Arial"/>
          <w:lang w:val="en-US"/>
        </w:rPr>
        <w:t xml:space="preserve"> described a patient who underwent laparoscopic adrenalectomy followed by three cycles of carboplatin-based chemotherapy, with a complete response at 67 mo. Other Authors</w:t>
      </w:r>
      <w:r w:rsidR="000A2BA6" w:rsidRPr="00650485">
        <w:rPr>
          <w:rFonts w:ascii="Book Antiqua" w:hAnsi="Book Antiqua" w:cs="Arial"/>
          <w:vertAlign w:val="superscript"/>
          <w:lang w:val="en-US"/>
        </w:rPr>
        <w:t>[</w:t>
      </w:r>
      <w:r w:rsidRPr="00650485">
        <w:rPr>
          <w:rFonts w:ascii="Book Antiqua" w:hAnsi="Book Antiqua" w:cs="Arial"/>
          <w:vertAlign w:val="superscript"/>
          <w:lang w:val="en-US"/>
        </w:rPr>
        <w:t>10,13,14</w:t>
      </w:r>
      <w:r w:rsidR="000A2BA6" w:rsidRPr="00650485">
        <w:rPr>
          <w:rFonts w:ascii="Book Antiqua" w:hAnsi="Book Antiqua" w:cs="Arial"/>
          <w:vertAlign w:val="superscript"/>
          <w:lang w:val="en-US"/>
        </w:rPr>
        <w:t>]</w:t>
      </w:r>
      <w:r w:rsidR="000A2BA6" w:rsidRPr="00650485">
        <w:rPr>
          <w:rFonts w:ascii="Book Antiqua" w:hAnsi="Book Antiqua" w:cs="Arial"/>
          <w:lang w:val="en-US"/>
        </w:rPr>
        <w:t xml:space="preserve"> </w:t>
      </w:r>
      <w:r w:rsidRPr="00650485">
        <w:rPr>
          <w:rFonts w:ascii="Book Antiqua" w:hAnsi="Book Antiqua" w:cs="Arial"/>
          <w:lang w:val="en-US"/>
        </w:rPr>
        <w:t>administered adjuvant chemotherapy after surgery for adrenal secondary tumors,</w:t>
      </w:r>
      <w:r w:rsidR="00663655" w:rsidRPr="00650485">
        <w:rPr>
          <w:rFonts w:ascii="Book Antiqua" w:hAnsi="Book Antiqua" w:cs="Arial"/>
          <w:lang w:val="en-US"/>
        </w:rPr>
        <w:t xml:space="preserve"> </w:t>
      </w:r>
      <w:r w:rsidRPr="00650485">
        <w:rPr>
          <w:rFonts w:ascii="Book Antiqua" w:hAnsi="Book Antiqua" w:cs="Arial"/>
          <w:lang w:val="en-US"/>
        </w:rPr>
        <w:t>but provided no follow-up data.</w:t>
      </w:r>
    </w:p>
    <w:p w:rsidR="00A3222E" w:rsidRPr="00650485" w:rsidRDefault="00A3222E" w:rsidP="00650485">
      <w:pPr>
        <w:pStyle w:val="Standard"/>
        <w:spacing w:line="360" w:lineRule="auto"/>
        <w:ind w:firstLineChars="100" w:firstLine="240"/>
        <w:jc w:val="both"/>
        <w:rPr>
          <w:rFonts w:ascii="Book Antiqua" w:hAnsi="Book Antiqua"/>
          <w:lang w:val="en-US"/>
        </w:rPr>
      </w:pPr>
      <w:r w:rsidRPr="00650485">
        <w:rPr>
          <w:rFonts w:ascii="Book Antiqua" w:hAnsi="Book Antiqua" w:cs="Arial"/>
          <w:lang w:val="en-US"/>
        </w:rPr>
        <w:t xml:space="preserve">Only one of the cases emerging from the literature review was managed with no surgery or oncological treatment. Zaidi </w:t>
      </w:r>
      <w:r w:rsidRPr="00650485">
        <w:rPr>
          <w:rFonts w:ascii="Book Antiqua" w:hAnsi="Book Antiqua" w:cs="Arial"/>
          <w:i/>
          <w:lang w:val="en-US"/>
        </w:rPr>
        <w:t>et al</w:t>
      </w:r>
      <w:r w:rsidR="000A2BA6" w:rsidRPr="00650485">
        <w:rPr>
          <w:rFonts w:ascii="Book Antiqua" w:hAnsi="Book Antiqua" w:cs="Arial"/>
          <w:vertAlign w:val="superscript"/>
          <w:lang w:val="en-US"/>
        </w:rPr>
        <w:t>[</w:t>
      </w:r>
      <w:r w:rsidRPr="00650485">
        <w:rPr>
          <w:rFonts w:ascii="Book Antiqua" w:hAnsi="Book Antiqua" w:cs="Arial"/>
          <w:vertAlign w:val="superscript"/>
          <w:lang w:val="en-US"/>
        </w:rPr>
        <w:t>11</w:t>
      </w:r>
      <w:r w:rsidR="000A2BA6" w:rsidRPr="00650485">
        <w:rPr>
          <w:rFonts w:ascii="Book Antiqua" w:hAnsi="Book Antiqua" w:cs="Arial"/>
          <w:vertAlign w:val="superscript"/>
          <w:lang w:val="en-US"/>
        </w:rPr>
        <w:t>]</w:t>
      </w:r>
      <w:r w:rsidRPr="00650485">
        <w:rPr>
          <w:rFonts w:ascii="Book Antiqua" w:hAnsi="Book Antiqua" w:cs="Arial"/>
          <w:lang w:val="en-US"/>
        </w:rPr>
        <w:t xml:space="preserve"> reported giving only palliative therapy to a patient with a low-stage uterine cancer and an early adrenal gland metastasis, and the outcome was very poor (she survived only 3 mo after her metastasis was diagnosed).</w:t>
      </w:r>
    </w:p>
    <w:p w:rsidR="00A3222E" w:rsidRPr="00650485" w:rsidRDefault="00A3222E" w:rsidP="00650485">
      <w:pPr>
        <w:pStyle w:val="Standard"/>
        <w:spacing w:line="360" w:lineRule="auto"/>
        <w:jc w:val="both"/>
        <w:rPr>
          <w:rFonts w:ascii="Book Antiqua" w:hAnsi="Book Antiqua" w:cs="Arial"/>
          <w:lang w:val="en-US"/>
        </w:rPr>
      </w:pPr>
    </w:p>
    <w:p w:rsidR="00A3222E" w:rsidRPr="00650485" w:rsidRDefault="00107548" w:rsidP="00650485">
      <w:pPr>
        <w:pStyle w:val="Standard"/>
        <w:spacing w:line="360" w:lineRule="auto"/>
        <w:jc w:val="both"/>
        <w:rPr>
          <w:rFonts w:ascii="Book Antiqua" w:hAnsi="Book Antiqua"/>
          <w:lang w:val="en-US"/>
        </w:rPr>
      </w:pPr>
      <w:r w:rsidRPr="00650485">
        <w:rPr>
          <w:rFonts w:ascii="Book Antiqua" w:hAnsi="Book Antiqua" w:cs="Arial"/>
          <w:b/>
          <w:lang w:val="en-US"/>
        </w:rPr>
        <w:t>CONCLUSIONS</w:t>
      </w:r>
    </w:p>
    <w:p w:rsidR="00A3222E" w:rsidRPr="00650485" w:rsidRDefault="00A3222E" w:rsidP="00650485">
      <w:pPr>
        <w:pStyle w:val="Standard"/>
        <w:spacing w:line="360" w:lineRule="auto"/>
        <w:jc w:val="both"/>
        <w:rPr>
          <w:rFonts w:ascii="Book Antiqua" w:hAnsi="Book Antiqua" w:cs="Arial"/>
          <w:lang w:val="en-US"/>
        </w:rPr>
      </w:pPr>
      <w:r w:rsidRPr="00650485">
        <w:rPr>
          <w:rFonts w:ascii="Book Antiqua" w:hAnsi="Book Antiqua" w:cs="Arial"/>
          <w:lang w:val="en-US"/>
        </w:rPr>
        <w:t>Adrenal metastasis from uterine cancer is rare,</w:t>
      </w:r>
      <w:r w:rsidR="00107548" w:rsidRPr="00650485">
        <w:rPr>
          <w:rFonts w:ascii="Book Antiqua" w:hAnsi="Book Antiqua" w:cs="Arial"/>
          <w:lang w:val="en-US"/>
        </w:rPr>
        <w:t xml:space="preserve"> </w:t>
      </w:r>
      <w:r w:rsidRPr="00650485">
        <w:rPr>
          <w:rFonts w:ascii="Book Antiqua" w:hAnsi="Book Antiqua" w:cs="Arial"/>
          <w:lang w:val="en-US"/>
        </w:rPr>
        <w:t>but should be suspected whenever an adrenal mass is detected in the follow-up after the resection of gynecological cancer. Although the number of cases reported in the literature is very small, laparoscopic resection seems to be feasible and safe, with good oncological results.</w:t>
      </w:r>
    </w:p>
    <w:p w:rsidR="000A2BA6" w:rsidRPr="00650485" w:rsidRDefault="000A2BA6" w:rsidP="00650485">
      <w:pPr>
        <w:pStyle w:val="Standard"/>
        <w:spacing w:line="360" w:lineRule="auto"/>
        <w:jc w:val="both"/>
        <w:rPr>
          <w:rFonts w:ascii="Book Antiqua" w:hAnsi="Book Antiqua"/>
          <w:lang w:val="en-US"/>
        </w:rPr>
      </w:pPr>
    </w:p>
    <w:p w:rsidR="000A2BA6" w:rsidRPr="00650485" w:rsidRDefault="000A2BA6" w:rsidP="00650485">
      <w:pPr>
        <w:pStyle w:val="afa"/>
        <w:spacing w:before="0" w:beforeAutospacing="0" w:after="0" w:afterAutospacing="0" w:line="360" w:lineRule="auto"/>
        <w:jc w:val="both"/>
        <w:rPr>
          <w:rFonts w:ascii="Book Antiqua" w:hAnsi="Book Antiqua"/>
          <w:sz w:val="24"/>
          <w:szCs w:val="24"/>
        </w:rPr>
      </w:pPr>
      <w:r w:rsidRPr="00650485">
        <w:rPr>
          <w:rFonts w:ascii="Book Antiqua" w:hAnsi="Book Antiqua"/>
          <w:b/>
          <w:bCs/>
          <w:sz w:val="24"/>
          <w:szCs w:val="24"/>
        </w:rPr>
        <w:t>REFERENCES</w:t>
      </w:r>
    </w:p>
    <w:p w:rsidR="007F40E7" w:rsidRPr="00650485" w:rsidRDefault="007F40E7" w:rsidP="00650485">
      <w:pPr>
        <w:spacing w:line="360" w:lineRule="auto"/>
        <w:jc w:val="both"/>
        <w:rPr>
          <w:rFonts w:ascii="Book Antiqua" w:eastAsia="等线" w:hAnsi="Book Antiqua" w:cs="Times New Roman"/>
          <w:sz w:val="24"/>
          <w:szCs w:val="24"/>
          <w:lang w:val="en-US"/>
        </w:rPr>
      </w:pPr>
      <w:r w:rsidRPr="00650485">
        <w:rPr>
          <w:rFonts w:ascii="Book Antiqua" w:hAnsi="Book Antiqua"/>
          <w:sz w:val="24"/>
          <w:szCs w:val="24"/>
        </w:rPr>
        <w:t xml:space="preserve">1 </w:t>
      </w:r>
      <w:r w:rsidRPr="00650485">
        <w:rPr>
          <w:rFonts w:ascii="Book Antiqua" w:hAnsi="Book Antiqua"/>
          <w:b/>
          <w:sz w:val="24"/>
          <w:szCs w:val="24"/>
        </w:rPr>
        <w:t>Lam AK</w:t>
      </w:r>
      <w:r w:rsidRPr="00650485">
        <w:rPr>
          <w:rFonts w:ascii="Book Antiqua" w:hAnsi="Book Antiqua"/>
          <w:sz w:val="24"/>
          <w:szCs w:val="24"/>
        </w:rPr>
        <w:t xml:space="preserve">. Update on Adrenal Tumours in 2017 World Health Organization (WHO) of Endocrine Tumours. </w:t>
      </w:r>
      <w:r w:rsidRPr="00650485">
        <w:rPr>
          <w:rFonts w:ascii="Book Antiqua" w:hAnsi="Book Antiqua"/>
          <w:i/>
          <w:sz w:val="24"/>
          <w:szCs w:val="24"/>
        </w:rPr>
        <w:t>Endocr Pathol</w:t>
      </w:r>
      <w:r w:rsidRPr="00650485">
        <w:rPr>
          <w:rFonts w:ascii="Book Antiqua" w:hAnsi="Book Antiqua"/>
          <w:sz w:val="24"/>
          <w:szCs w:val="24"/>
        </w:rPr>
        <w:t xml:space="preserve"> 2017; </w:t>
      </w:r>
      <w:r w:rsidRPr="00650485">
        <w:rPr>
          <w:rFonts w:ascii="Book Antiqua" w:hAnsi="Book Antiqua"/>
          <w:b/>
          <w:sz w:val="24"/>
          <w:szCs w:val="24"/>
        </w:rPr>
        <w:t>28</w:t>
      </w:r>
      <w:r w:rsidRPr="00650485">
        <w:rPr>
          <w:rFonts w:ascii="Book Antiqua" w:hAnsi="Book Antiqua"/>
          <w:sz w:val="24"/>
          <w:szCs w:val="24"/>
        </w:rPr>
        <w:t>: 213-227 [PMID: 28477311 DOI: 10.1007/s12022-017-9484-5]</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highlight w:val="yellow"/>
        </w:rPr>
        <w:t xml:space="preserve">2 </w:t>
      </w:r>
      <w:r w:rsidRPr="00650485">
        <w:rPr>
          <w:rFonts w:ascii="Book Antiqua" w:hAnsi="Book Antiqua"/>
          <w:b/>
          <w:sz w:val="24"/>
          <w:szCs w:val="24"/>
          <w:highlight w:val="yellow"/>
        </w:rPr>
        <w:t>National Comprehensive Cancer Network.</w:t>
      </w:r>
      <w:r w:rsidRPr="00650485">
        <w:rPr>
          <w:rFonts w:ascii="Book Antiqua" w:hAnsi="Book Antiqua"/>
          <w:sz w:val="24"/>
          <w:szCs w:val="24"/>
          <w:highlight w:val="yellow"/>
        </w:rPr>
        <w:t xml:space="preserve"> Neuroendocrine and Adrenal Tumors; NCCN Clinical Practice Guidelines in Oncology. Version 4.2018</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3 </w:t>
      </w:r>
      <w:r w:rsidRPr="00650485">
        <w:rPr>
          <w:rFonts w:ascii="Book Antiqua" w:hAnsi="Book Antiqua"/>
          <w:b/>
          <w:sz w:val="24"/>
          <w:szCs w:val="24"/>
        </w:rPr>
        <w:t>Bradley CT</w:t>
      </w:r>
      <w:r w:rsidRPr="00650485">
        <w:rPr>
          <w:rFonts w:ascii="Book Antiqua" w:hAnsi="Book Antiqua"/>
          <w:sz w:val="24"/>
          <w:szCs w:val="24"/>
        </w:rPr>
        <w:t xml:space="preserve">, Strong VE. Surgical management of adrenal metastases. </w:t>
      </w:r>
      <w:r w:rsidRPr="00650485">
        <w:rPr>
          <w:rFonts w:ascii="Book Antiqua" w:hAnsi="Book Antiqua"/>
          <w:i/>
          <w:sz w:val="24"/>
          <w:szCs w:val="24"/>
        </w:rPr>
        <w:t>J Surg Oncol</w:t>
      </w:r>
      <w:r w:rsidRPr="00650485">
        <w:rPr>
          <w:rFonts w:ascii="Book Antiqua" w:hAnsi="Book Antiqua"/>
          <w:sz w:val="24"/>
          <w:szCs w:val="24"/>
        </w:rPr>
        <w:t xml:space="preserve"> 2014; </w:t>
      </w:r>
      <w:r w:rsidRPr="00650485">
        <w:rPr>
          <w:rFonts w:ascii="Book Antiqua" w:hAnsi="Book Antiqua"/>
          <w:b/>
          <w:sz w:val="24"/>
          <w:szCs w:val="24"/>
        </w:rPr>
        <w:t>109</w:t>
      </w:r>
      <w:r w:rsidRPr="00650485">
        <w:rPr>
          <w:rFonts w:ascii="Book Antiqua" w:hAnsi="Book Antiqua"/>
          <w:sz w:val="24"/>
          <w:szCs w:val="24"/>
        </w:rPr>
        <w:t>: 31-35 [PMID: 24338382 DOI: 10.1002/jso.23461]</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4 </w:t>
      </w:r>
      <w:r w:rsidRPr="00650485">
        <w:rPr>
          <w:rFonts w:ascii="Book Antiqua" w:hAnsi="Book Antiqua"/>
          <w:b/>
          <w:sz w:val="24"/>
          <w:szCs w:val="24"/>
        </w:rPr>
        <w:t>Colombo N</w:t>
      </w:r>
      <w:r w:rsidRPr="00650485">
        <w:rPr>
          <w:rFonts w:ascii="Book Antiqua" w:hAnsi="Book Antiqua"/>
          <w:sz w:val="24"/>
          <w:szCs w:val="24"/>
        </w:rPr>
        <w:t xml:space="preserve">, Creutzberg C, Amant F, Bosse T, González-Martín A, Ledermann J, Marth C, Nout R, Querleu D, Mirza MR, Sessa C; ESMO-ESGO-ESTRO Endometrial Consensus Conference Working Group. ESMO-ESGO-ESTRO Consensus Conference on Endometrial Cancer: Diagnosis, Treatment and Follow-up. </w:t>
      </w:r>
      <w:r w:rsidRPr="00650485">
        <w:rPr>
          <w:rFonts w:ascii="Book Antiqua" w:hAnsi="Book Antiqua"/>
          <w:i/>
          <w:sz w:val="24"/>
          <w:szCs w:val="24"/>
        </w:rPr>
        <w:t>Int J Gynecol Cancer</w:t>
      </w:r>
      <w:r w:rsidRPr="00650485">
        <w:rPr>
          <w:rFonts w:ascii="Book Antiqua" w:hAnsi="Book Antiqua"/>
          <w:sz w:val="24"/>
          <w:szCs w:val="24"/>
        </w:rPr>
        <w:t xml:space="preserve"> 2016; </w:t>
      </w:r>
      <w:r w:rsidRPr="00650485">
        <w:rPr>
          <w:rFonts w:ascii="Book Antiqua" w:hAnsi="Book Antiqua"/>
          <w:b/>
          <w:sz w:val="24"/>
          <w:szCs w:val="24"/>
        </w:rPr>
        <w:t>26</w:t>
      </w:r>
      <w:r w:rsidRPr="00650485">
        <w:rPr>
          <w:rFonts w:ascii="Book Antiqua" w:hAnsi="Book Antiqua"/>
          <w:sz w:val="24"/>
          <w:szCs w:val="24"/>
        </w:rPr>
        <w:t>: 2-30 [PMID: 26645990 DOI: 10.1097/IGC.0000000000000609]</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5 </w:t>
      </w:r>
      <w:r w:rsidRPr="00650485">
        <w:rPr>
          <w:rFonts w:ascii="Book Antiqua" w:hAnsi="Book Antiqua"/>
          <w:b/>
          <w:sz w:val="24"/>
          <w:szCs w:val="24"/>
        </w:rPr>
        <w:t>Nakano KK</w:t>
      </w:r>
      <w:r w:rsidRPr="00650485">
        <w:rPr>
          <w:rFonts w:ascii="Book Antiqua" w:hAnsi="Book Antiqua"/>
          <w:sz w:val="24"/>
          <w:szCs w:val="24"/>
        </w:rPr>
        <w:t xml:space="preserve">, Schoene WC. Endometrial carcinoma with a predominant clear-cell pattern with metastases to the adrenal, posterior mediastinum, and brain. </w:t>
      </w:r>
      <w:r w:rsidRPr="00650485">
        <w:rPr>
          <w:rFonts w:ascii="Book Antiqua" w:hAnsi="Book Antiqua"/>
          <w:i/>
          <w:sz w:val="24"/>
          <w:szCs w:val="24"/>
        </w:rPr>
        <w:t>Am J Obstet Gynecol</w:t>
      </w:r>
      <w:r w:rsidRPr="00650485">
        <w:rPr>
          <w:rFonts w:ascii="Book Antiqua" w:hAnsi="Book Antiqua"/>
          <w:sz w:val="24"/>
          <w:szCs w:val="24"/>
        </w:rPr>
        <w:t xml:space="preserve"> 1975; </w:t>
      </w:r>
      <w:r w:rsidRPr="00650485">
        <w:rPr>
          <w:rFonts w:ascii="Book Antiqua" w:hAnsi="Book Antiqua"/>
          <w:b/>
          <w:sz w:val="24"/>
          <w:szCs w:val="24"/>
        </w:rPr>
        <w:t>122</w:t>
      </w:r>
      <w:r w:rsidRPr="00650485">
        <w:rPr>
          <w:rFonts w:ascii="Book Antiqua" w:hAnsi="Book Antiqua"/>
          <w:sz w:val="24"/>
          <w:szCs w:val="24"/>
        </w:rPr>
        <w:t>: 529-530 [PMID: 1146909 DOI: 10.1016/S0002-9378(16)33550-5]</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6 </w:t>
      </w:r>
      <w:r w:rsidRPr="00650485">
        <w:rPr>
          <w:rFonts w:ascii="Book Antiqua" w:hAnsi="Book Antiqua"/>
          <w:b/>
          <w:sz w:val="24"/>
          <w:szCs w:val="24"/>
        </w:rPr>
        <w:t>Lam KY</w:t>
      </w:r>
      <w:r w:rsidRPr="00650485">
        <w:rPr>
          <w:rFonts w:ascii="Book Antiqua" w:hAnsi="Book Antiqua"/>
          <w:sz w:val="24"/>
          <w:szCs w:val="24"/>
        </w:rPr>
        <w:t xml:space="preserve">, Lo CY. Metastatic tumours of the adrenal glands: a 30-year experience in a teaching hospital. </w:t>
      </w:r>
      <w:r w:rsidRPr="00650485">
        <w:rPr>
          <w:rFonts w:ascii="Book Antiqua" w:hAnsi="Book Antiqua"/>
          <w:i/>
          <w:sz w:val="24"/>
          <w:szCs w:val="24"/>
        </w:rPr>
        <w:t>Clin Endocrinol (Oxf)</w:t>
      </w:r>
      <w:r w:rsidRPr="00650485">
        <w:rPr>
          <w:rFonts w:ascii="Book Antiqua" w:hAnsi="Book Antiqua"/>
          <w:sz w:val="24"/>
          <w:szCs w:val="24"/>
        </w:rPr>
        <w:t xml:space="preserve"> 2002; </w:t>
      </w:r>
      <w:r w:rsidRPr="00650485">
        <w:rPr>
          <w:rFonts w:ascii="Book Antiqua" w:hAnsi="Book Antiqua"/>
          <w:b/>
          <w:sz w:val="24"/>
          <w:szCs w:val="24"/>
        </w:rPr>
        <w:t>56</w:t>
      </w:r>
      <w:r w:rsidRPr="00650485">
        <w:rPr>
          <w:rFonts w:ascii="Book Antiqua" w:hAnsi="Book Antiqua"/>
          <w:sz w:val="24"/>
          <w:szCs w:val="24"/>
        </w:rPr>
        <w:t>: 95-101 [PMID: 11849252 DOI: 10.1046/j.0300-0664.2001.01435.x]</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7 </w:t>
      </w:r>
      <w:r w:rsidRPr="00650485">
        <w:rPr>
          <w:rFonts w:ascii="Book Antiqua" w:hAnsi="Book Antiqua"/>
          <w:b/>
          <w:sz w:val="24"/>
          <w:szCs w:val="24"/>
        </w:rPr>
        <w:t>Baron M</w:t>
      </w:r>
      <w:r w:rsidRPr="00650485">
        <w:rPr>
          <w:rFonts w:ascii="Book Antiqua" w:hAnsi="Book Antiqua"/>
          <w:sz w:val="24"/>
          <w:szCs w:val="24"/>
        </w:rPr>
        <w:t xml:space="preserve">, Hamou L, Laberge S, Callonnec F, Tielmans A, Dessogne P. Metastatic spread of gynaecological neoplasms to the adrenal gland: case reports with a review of the literature. </w:t>
      </w:r>
      <w:r w:rsidRPr="00650485">
        <w:rPr>
          <w:rFonts w:ascii="Book Antiqua" w:hAnsi="Book Antiqua"/>
          <w:i/>
          <w:sz w:val="24"/>
          <w:szCs w:val="24"/>
        </w:rPr>
        <w:t>Eur J Gynaecol Oncol</w:t>
      </w:r>
      <w:r w:rsidRPr="00650485">
        <w:rPr>
          <w:rFonts w:ascii="Book Antiqua" w:hAnsi="Book Antiqua"/>
          <w:sz w:val="24"/>
          <w:szCs w:val="24"/>
        </w:rPr>
        <w:t xml:space="preserve"> 2008; </w:t>
      </w:r>
      <w:r w:rsidRPr="00650485">
        <w:rPr>
          <w:rFonts w:ascii="Book Antiqua" w:hAnsi="Book Antiqua"/>
          <w:b/>
          <w:sz w:val="24"/>
          <w:szCs w:val="24"/>
        </w:rPr>
        <w:t>29</w:t>
      </w:r>
      <w:r w:rsidRPr="00650485">
        <w:rPr>
          <w:rFonts w:ascii="Book Antiqua" w:hAnsi="Book Antiqua"/>
          <w:sz w:val="24"/>
          <w:szCs w:val="24"/>
        </w:rPr>
        <w:t>: 523-526 [PMID: 19051827]</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8 </w:t>
      </w:r>
      <w:r w:rsidRPr="00650485">
        <w:rPr>
          <w:rFonts w:ascii="Book Antiqua" w:hAnsi="Book Antiqua"/>
          <w:b/>
          <w:sz w:val="24"/>
          <w:szCs w:val="24"/>
        </w:rPr>
        <w:t>Izaki H</w:t>
      </w:r>
      <w:r w:rsidRPr="00650485">
        <w:rPr>
          <w:rFonts w:ascii="Book Antiqua" w:hAnsi="Book Antiqua"/>
          <w:sz w:val="24"/>
          <w:szCs w:val="24"/>
        </w:rPr>
        <w:t xml:space="preserve">, Takahashi M, Shiirevnyamba A, Taue R, Furumoto H, Bando Y, Murakami Y, Fukawa T, Koizumi T, Yamamoto Y, Yamaguchi K, Nakatsuji H, Kishimoto T, Fukumori T, Kanayama HO. Long-term recurrence-free survivor after laparoscopic removal of solitary adrenal metastasis from endometrial adenocarcinoma. </w:t>
      </w:r>
      <w:r w:rsidRPr="00650485">
        <w:rPr>
          <w:rFonts w:ascii="Book Antiqua" w:hAnsi="Book Antiqua"/>
          <w:i/>
          <w:sz w:val="24"/>
          <w:szCs w:val="24"/>
        </w:rPr>
        <w:t>J Med Invest</w:t>
      </w:r>
      <w:r w:rsidRPr="00650485">
        <w:rPr>
          <w:rFonts w:ascii="Book Antiqua" w:hAnsi="Book Antiqua"/>
          <w:sz w:val="24"/>
          <w:szCs w:val="24"/>
        </w:rPr>
        <w:t xml:space="preserve"> 2010; </w:t>
      </w:r>
      <w:r w:rsidRPr="00650485">
        <w:rPr>
          <w:rFonts w:ascii="Book Antiqua" w:hAnsi="Book Antiqua"/>
          <w:b/>
          <w:sz w:val="24"/>
          <w:szCs w:val="24"/>
        </w:rPr>
        <w:t>57</w:t>
      </w:r>
      <w:r w:rsidRPr="00650485">
        <w:rPr>
          <w:rFonts w:ascii="Book Antiqua" w:hAnsi="Book Antiqua"/>
          <w:sz w:val="24"/>
          <w:szCs w:val="24"/>
        </w:rPr>
        <w:t>: 174-177 [PMID: 20299759 DOI: 10.2152/jmi.57.174]</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9 </w:t>
      </w:r>
      <w:r w:rsidRPr="00650485">
        <w:rPr>
          <w:rFonts w:ascii="Book Antiqua" w:hAnsi="Book Antiqua"/>
          <w:b/>
          <w:sz w:val="24"/>
          <w:szCs w:val="24"/>
        </w:rPr>
        <w:t>Choi JJ</w:t>
      </w:r>
      <w:r w:rsidRPr="00650485">
        <w:rPr>
          <w:rFonts w:ascii="Book Antiqua" w:hAnsi="Book Antiqua"/>
          <w:sz w:val="24"/>
          <w:szCs w:val="24"/>
        </w:rPr>
        <w:t xml:space="preserve">, Buttrick S, Zakashansky K, Nezhat F, Chin EH. Laparoscopic adrenalectomy for isolated adrenal metastasis from cervical squamous cell carcinoma and endometrial adenocarcinoma. </w:t>
      </w:r>
      <w:r w:rsidRPr="00650485">
        <w:rPr>
          <w:rFonts w:ascii="Book Antiqua" w:hAnsi="Book Antiqua"/>
          <w:i/>
          <w:sz w:val="24"/>
          <w:szCs w:val="24"/>
        </w:rPr>
        <w:t>Gynecol Oncol</w:t>
      </w:r>
      <w:r w:rsidRPr="00650485">
        <w:rPr>
          <w:rFonts w:ascii="Book Antiqua" w:hAnsi="Book Antiqua"/>
          <w:sz w:val="24"/>
          <w:szCs w:val="24"/>
        </w:rPr>
        <w:t xml:space="preserve"> 2011; </w:t>
      </w:r>
      <w:r w:rsidRPr="00650485">
        <w:rPr>
          <w:rFonts w:ascii="Book Antiqua" w:hAnsi="Book Antiqua"/>
          <w:b/>
          <w:sz w:val="24"/>
          <w:szCs w:val="24"/>
        </w:rPr>
        <w:t>122</w:t>
      </w:r>
      <w:r w:rsidRPr="00650485">
        <w:rPr>
          <w:rFonts w:ascii="Book Antiqua" w:hAnsi="Book Antiqua"/>
          <w:sz w:val="24"/>
          <w:szCs w:val="24"/>
        </w:rPr>
        <w:t>: 684-685 [PMID: 21664660 DOI: 10.1016/j.ygyno.2011.05.030]</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10 </w:t>
      </w:r>
      <w:r w:rsidRPr="00650485">
        <w:rPr>
          <w:rFonts w:ascii="Book Antiqua" w:hAnsi="Book Antiqua"/>
          <w:b/>
          <w:sz w:val="24"/>
          <w:szCs w:val="24"/>
        </w:rPr>
        <w:t>Berretta R</w:t>
      </w:r>
      <w:r w:rsidRPr="00650485">
        <w:rPr>
          <w:rFonts w:ascii="Book Antiqua" w:hAnsi="Book Antiqua"/>
          <w:sz w:val="24"/>
          <w:szCs w:val="24"/>
        </w:rPr>
        <w:t xml:space="preserve">, Patrelli TS, Faioli R, Mautone D, Gizzo S, Mezzogiorno A, Giordano G, Modena AB. Dedifferentiated endometrial cancer: an atypical case diagnosed from cerebellar and adrenal metastasis: case presentation and review of literature. </w:t>
      </w:r>
      <w:r w:rsidRPr="00650485">
        <w:rPr>
          <w:rFonts w:ascii="Book Antiqua" w:hAnsi="Book Antiqua"/>
          <w:i/>
          <w:sz w:val="24"/>
          <w:szCs w:val="24"/>
        </w:rPr>
        <w:t>Int J Clin Exp Pathol</w:t>
      </w:r>
      <w:r w:rsidRPr="00650485">
        <w:rPr>
          <w:rFonts w:ascii="Book Antiqua" w:hAnsi="Book Antiqua"/>
          <w:sz w:val="24"/>
          <w:szCs w:val="24"/>
        </w:rPr>
        <w:t xml:space="preserve"> 2013; </w:t>
      </w:r>
      <w:r w:rsidRPr="00650485">
        <w:rPr>
          <w:rFonts w:ascii="Book Antiqua" w:hAnsi="Book Antiqua"/>
          <w:b/>
          <w:sz w:val="24"/>
          <w:szCs w:val="24"/>
        </w:rPr>
        <w:t>6</w:t>
      </w:r>
      <w:r w:rsidRPr="00650485">
        <w:rPr>
          <w:rFonts w:ascii="Book Antiqua" w:hAnsi="Book Antiqua"/>
          <w:sz w:val="24"/>
          <w:szCs w:val="24"/>
        </w:rPr>
        <w:t>: 1652-1657 [PMID: 23923084]</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11 </w:t>
      </w:r>
      <w:r w:rsidRPr="00650485">
        <w:rPr>
          <w:rFonts w:ascii="Book Antiqua" w:hAnsi="Book Antiqua"/>
          <w:b/>
          <w:sz w:val="24"/>
          <w:szCs w:val="24"/>
        </w:rPr>
        <w:t>Zaidi SS</w:t>
      </w:r>
      <w:r w:rsidRPr="00650485">
        <w:rPr>
          <w:rFonts w:ascii="Book Antiqua" w:hAnsi="Book Antiqua"/>
          <w:sz w:val="24"/>
          <w:szCs w:val="24"/>
        </w:rPr>
        <w:t xml:space="preserve">, Lakhani VT, Fadare O, Khabele D. Adrenal gland metastasis is an unusual manifestation of endometrial cancer. </w:t>
      </w:r>
      <w:r w:rsidRPr="00650485">
        <w:rPr>
          <w:rFonts w:ascii="Book Antiqua" w:hAnsi="Book Antiqua"/>
          <w:i/>
          <w:sz w:val="24"/>
          <w:szCs w:val="24"/>
        </w:rPr>
        <w:t>Case Rep Surg</w:t>
      </w:r>
      <w:r w:rsidRPr="00650485">
        <w:rPr>
          <w:rFonts w:ascii="Book Antiqua" w:hAnsi="Book Antiqua"/>
          <w:sz w:val="24"/>
          <w:szCs w:val="24"/>
        </w:rPr>
        <w:t xml:space="preserve"> 2013; </w:t>
      </w:r>
      <w:r w:rsidRPr="00650485">
        <w:rPr>
          <w:rFonts w:ascii="Book Antiqua" w:hAnsi="Book Antiqua"/>
          <w:b/>
          <w:sz w:val="24"/>
          <w:szCs w:val="24"/>
        </w:rPr>
        <w:t>2013</w:t>
      </w:r>
      <w:r w:rsidRPr="00650485">
        <w:rPr>
          <w:rFonts w:ascii="Book Antiqua" w:hAnsi="Book Antiqua"/>
          <w:sz w:val="24"/>
          <w:szCs w:val="24"/>
        </w:rPr>
        <w:t>: 428456 [PMID: 23984164 DOI: 10.1155/2013/428456]</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12 </w:t>
      </w:r>
      <w:r w:rsidRPr="00650485">
        <w:rPr>
          <w:rFonts w:ascii="Book Antiqua" w:hAnsi="Book Antiqua"/>
          <w:b/>
          <w:sz w:val="24"/>
          <w:szCs w:val="24"/>
        </w:rPr>
        <w:t>Singh Lubana S</w:t>
      </w:r>
      <w:r w:rsidRPr="00650485">
        <w:rPr>
          <w:rFonts w:ascii="Book Antiqua" w:hAnsi="Book Antiqua"/>
          <w:sz w:val="24"/>
          <w:szCs w:val="24"/>
        </w:rPr>
        <w:t xml:space="preserve">, Singh N, Tuli SS, Seligman B. Adrenal Metastasis from Uterine Papillary Serous Carcinoma. </w:t>
      </w:r>
      <w:r w:rsidRPr="00650485">
        <w:rPr>
          <w:rFonts w:ascii="Book Antiqua" w:hAnsi="Book Antiqua"/>
          <w:i/>
          <w:sz w:val="24"/>
          <w:szCs w:val="24"/>
        </w:rPr>
        <w:t>Am J Case Rep</w:t>
      </w:r>
      <w:r w:rsidRPr="00650485">
        <w:rPr>
          <w:rFonts w:ascii="Book Antiqua" w:hAnsi="Book Antiqua"/>
          <w:sz w:val="24"/>
          <w:szCs w:val="24"/>
        </w:rPr>
        <w:t xml:space="preserve"> 2016; </w:t>
      </w:r>
      <w:r w:rsidRPr="00650485">
        <w:rPr>
          <w:rFonts w:ascii="Book Antiqua" w:hAnsi="Book Antiqua"/>
          <w:b/>
          <w:sz w:val="24"/>
          <w:szCs w:val="24"/>
        </w:rPr>
        <w:t>17</w:t>
      </w:r>
      <w:r w:rsidRPr="00650485">
        <w:rPr>
          <w:rFonts w:ascii="Book Antiqua" w:hAnsi="Book Antiqua"/>
          <w:sz w:val="24"/>
          <w:szCs w:val="24"/>
        </w:rPr>
        <w:t>: 289-294 [PMID: 27117594 DOI: 10.12659/AJCR.895143]</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13 </w:t>
      </w:r>
      <w:r w:rsidRPr="00650485">
        <w:rPr>
          <w:rFonts w:ascii="Book Antiqua" w:hAnsi="Book Antiqua"/>
          <w:b/>
          <w:sz w:val="24"/>
          <w:szCs w:val="24"/>
        </w:rPr>
        <w:t>Rekhi B</w:t>
      </w:r>
      <w:r w:rsidRPr="00650485">
        <w:rPr>
          <w:rFonts w:ascii="Book Antiqua" w:hAnsi="Book Antiqua"/>
          <w:sz w:val="24"/>
          <w:szCs w:val="24"/>
        </w:rPr>
        <w:t xml:space="preserve">. Mismatch repair protein deficient endometrioid adenocarcinomas, metastasizing to adrenal gland and lymph nodes: Unusual cases with diagnostic implications. </w:t>
      </w:r>
      <w:r w:rsidRPr="00650485">
        <w:rPr>
          <w:rFonts w:ascii="Book Antiqua" w:hAnsi="Book Antiqua"/>
          <w:i/>
          <w:sz w:val="24"/>
          <w:szCs w:val="24"/>
        </w:rPr>
        <w:t>Indian J Pathol Microbiol</w:t>
      </w:r>
      <w:r w:rsidRPr="00650485">
        <w:rPr>
          <w:rFonts w:ascii="Book Antiqua" w:hAnsi="Book Antiqua"/>
          <w:sz w:val="24"/>
          <w:szCs w:val="24"/>
        </w:rPr>
        <w:t xml:space="preserve"> 2015; </w:t>
      </w:r>
      <w:r w:rsidRPr="00650485">
        <w:rPr>
          <w:rFonts w:ascii="Book Antiqua" w:hAnsi="Book Antiqua"/>
          <w:b/>
          <w:sz w:val="24"/>
          <w:szCs w:val="24"/>
        </w:rPr>
        <w:t>58</w:t>
      </w:r>
      <w:r w:rsidRPr="00650485">
        <w:rPr>
          <w:rFonts w:ascii="Book Antiqua" w:hAnsi="Book Antiqua"/>
          <w:sz w:val="24"/>
          <w:szCs w:val="24"/>
        </w:rPr>
        <w:t>: 491-495 [PMID: 26549074 DOI: 10.4103/0377-4929.168859]</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14 </w:t>
      </w:r>
      <w:r w:rsidRPr="00650485">
        <w:rPr>
          <w:rFonts w:ascii="Book Antiqua" w:hAnsi="Book Antiqua"/>
          <w:b/>
          <w:sz w:val="24"/>
          <w:szCs w:val="24"/>
        </w:rPr>
        <w:t>Mouka V</w:t>
      </w:r>
      <w:r w:rsidRPr="00650485">
        <w:rPr>
          <w:rFonts w:ascii="Book Antiqua" w:hAnsi="Book Antiqua"/>
          <w:sz w:val="24"/>
          <w:szCs w:val="24"/>
        </w:rPr>
        <w:t xml:space="preserve">, Tsili AC, Messinis T, Papoudou-Bai A, Kamina S, Argyropoulou MI. Solitary adrenal metastasis from early-stage dedifferentiated endometrial carcinoma: CT findings and review of the literature. </w:t>
      </w:r>
      <w:r w:rsidRPr="00650485">
        <w:rPr>
          <w:rFonts w:ascii="Book Antiqua" w:hAnsi="Book Antiqua"/>
          <w:i/>
          <w:sz w:val="24"/>
          <w:szCs w:val="24"/>
        </w:rPr>
        <w:t>J Obstet Gynaecol</w:t>
      </w:r>
      <w:r w:rsidRPr="00650485">
        <w:rPr>
          <w:rFonts w:ascii="Book Antiqua" w:hAnsi="Book Antiqua"/>
          <w:sz w:val="24"/>
          <w:szCs w:val="24"/>
        </w:rPr>
        <w:t xml:space="preserve"> 2016; </w:t>
      </w:r>
      <w:r w:rsidRPr="00650485">
        <w:rPr>
          <w:rFonts w:ascii="Book Antiqua" w:hAnsi="Book Antiqua"/>
          <w:b/>
          <w:sz w:val="24"/>
          <w:szCs w:val="24"/>
        </w:rPr>
        <w:t>36</w:t>
      </w:r>
      <w:r w:rsidRPr="00650485">
        <w:rPr>
          <w:rFonts w:ascii="Book Antiqua" w:hAnsi="Book Antiqua"/>
          <w:sz w:val="24"/>
          <w:szCs w:val="24"/>
        </w:rPr>
        <w:t>: 881-882 [PMID: 27624653 DOI: 10.1080/01443615.2016.1188275]</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15 </w:t>
      </w:r>
      <w:r w:rsidRPr="00650485">
        <w:rPr>
          <w:rFonts w:ascii="Book Antiqua" w:hAnsi="Book Antiqua"/>
          <w:b/>
          <w:sz w:val="24"/>
          <w:szCs w:val="24"/>
        </w:rPr>
        <w:t>de Boer SM</w:t>
      </w:r>
      <w:r w:rsidRPr="00650485">
        <w:rPr>
          <w:rFonts w:ascii="Book Antiqua" w:hAnsi="Book Antiqua"/>
          <w:sz w:val="24"/>
          <w:szCs w:val="24"/>
        </w:rPr>
        <w:t xml:space="preserve">, Powell ME, Mileshkin L, Katsaros D, Bessette P, Haie-Meder C, Ottevanger PB, Ledermann JA, Khaw P, Colombo A, Fyles A, Baron MH, Jürgenliemk-Schulz IM, Kitchener HC, Nijman HW, Wilson G, Brooks S, Carinelli S, Provencher D, Hanzen C, Lutgens LCHW, Smit VTHBM, Singh N, Do V, D'Amico R, Nout RA, Feeney A, Verhoeven-Adema KW, Putter H, Creutzberg CL; PORTEC study group. Adjuvant chemoradiotherapy versus radiotherapy alone for women with high-risk endometrial cancer (PORTEC-3): final results of an international, open-label, multicentre, randomised, phase 3 trial. </w:t>
      </w:r>
      <w:r w:rsidRPr="00650485">
        <w:rPr>
          <w:rFonts w:ascii="Book Antiqua" w:hAnsi="Book Antiqua"/>
          <w:i/>
          <w:sz w:val="24"/>
          <w:szCs w:val="24"/>
        </w:rPr>
        <w:t>Lancet Oncol</w:t>
      </w:r>
      <w:r w:rsidRPr="00650485">
        <w:rPr>
          <w:rFonts w:ascii="Book Antiqua" w:hAnsi="Book Antiqua"/>
          <w:sz w:val="24"/>
          <w:szCs w:val="24"/>
        </w:rPr>
        <w:t xml:space="preserve"> 2018; </w:t>
      </w:r>
      <w:r w:rsidRPr="00650485">
        <w:rPr>
          <w:rFonts w:ascii="Book Antiqua" w:hAnsi="Book Antiqua"/>
          <w:b/>
          <w:sz w:val="24"/>
          <w:szCs w:val="24"/>
        </w:rPr>
        <w:t>19</w:t>
      </w:r>
      <w:r w:rsidRPr="00650485">
        <w:rPr>
          <w:rFonts w:ascii="Book Antiqua" w:hAnsi="Book Antiqua"/>
          <w:sz w:val="24"/>
          <w:szCs w:val="24"/>
        </w:rPr>
        <w:t>: 295-309 [PMID: 29449189 DOI: 10.1016/S1470-2045(18)30079-2]</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16 </w:t>
      </w:r>
      <w:r w:rsidRPr="00650485">
        <w:rPr>
          <w:rFonts w:ascii="Book Antiqua" w:hAnsi="Book Antiqua"/>
          <w:b/>
          <w:sz w:val="24"/>
          <w:szCs w:val="24"/>
        </w:rPr>
        <w:t>Uberoi J</w:t>
      </w:r>
      <w:r w:rsidRPr="00650485">
        <w:rPr>
          <w:rFonts w:ascii="Book Antiqua" w:hAnsi="Book Antiqua"/>
          <w:sz w:val="24"/>
          <w:szCs w:val="24"/>
        </w:rPr>
        <w:t xml:space="preserve">, Munver R. Surgical management of metastases to the adrenal gland: open, laparoscopic, and ablative approaches. </w:t>
      </w:r>
      <w:r w:rsidRPr="00650485">
        <w:rPr>
          <w:rFonts w:ascii="Book Antiqua" w:hAnsi="Book Antiqua"/>
          <w:i/>
          <w:sz w:val="24"/>
          <w:szCs w:val="24"/>
        </w:rPr>
        <w:t>Curr Urol Rep</w:t>
      </w:r>
      <w:r w:rsidRPr="00650485">
        <w:rPr>
          <w:rFonts w:ascii="Book Antiqua" w:hAnsi="Book Antiqua"/>
          <w:sz w:val="24"/>
          <w:szCs w:val="24"/>
        </w:rPr>
        <w:t xml:space="preserve"> 2009; </w:t>
      </w:r>
      <w:r w:rsidRPr="00650485">
        <w:rPr>
          <w:rFonts w:ascii="Book Antiqua" w:hAnsi="Book Antiqua"/>
          <w:b/>
          <w:sz w:val="24"/>
          <w:szCs w:val="24"/>
        </w:rPr>
        <w:t>10</w:t>
      </w:r>
      <w:r w:rsidRPr="00650485">
        <w:rPr>
          <w:rFonts w:ascii="Book Antiqua" w:hAnsi="Book Antiqua"/>
          <w:sz w:val="24"/>
          <w:szCs w:val="24"/>
        </w:rPr>
        <w:t>: 67-72 [PMID: 19116098 DOI: 10.1007/s11934-009-0012-0]</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17 </w:t>
      </w:r>
      <w:r w:rsidRPr="00650485">
        <w:rPr>
          <w:rFonts w:ascii="Book Antiqua" w:hAnsi="Book Antiqua"/>
          <w:b/>
          <w:sz w:val="24"/>
          <w:szCs w:val="24"/>
        </w:rPr>
        <w:t>Sarela AI</w:t>
      </w:r>
      <w:r w:rsidRPr="00650485">
        <w:rPr>
          <w:rFonts w:ascii="Book Antiqua" w:hAnsi="Book Antiqua"/>
          <w:sz w:val="24"/>
          <w:szCs w:val="24"/>
        </w:rPr>
        <w:t xml:space="preserve">, Murphy I, Coit DG, Conlon KC. Metastasis to the adrenal gland: the emerging role of laparoscopic surgery. </w:t>
      </w:r>
      <w:r w:rsidRPr="00650485">
        <w:rPr>
          <w:rFonts w:ascii="Book Antiqua" w:hAnsi="Book Antiqua"/>
          <w:i/>
          <w:sz w:val="24"/>
          <w:szCs w:val="24"/>
        </w:rPr>
        <w:t>Ann Surg Oncol</w:t>
      </w:r>
      <w:r w:rsidRPr="00650485">
        <w:rPr>
          <w:rFonts w:ascii="Book Antiqua" w:hAnsi="Book Antiqua"/>
          <w:sz w:val="24"/>
          <w:szCs w:val="24"/>
        </w:rPr>
        <w:t xml:space="preserve"> 2003; </w:t>
      </w:r>
      <w:r w:rsidRPr="00650485">
        <w:rPr>
          <w:rFonts w:ascii="Book Antiqua" w:hAnsi="Book Antiqua"/>
          <w:b/>
          <w:sz w:val="24"/>
          <w:szCs w:val="24"/>
        </w:rPr>
        <w:t>10</w:t>
      </w:r>
      <w:r w:rsidRPr="00650485">
        <w:rPr>
          <w:rFonts w:ascii="Book Antiqua" w:hAnsi="Book Antiqua"/>
          <w:sz w:val="24"/>
          <w:szCs w:val="24"/>
        </w:rPr>
        <w:t>: 1191-1196 [PMID: 14654476 DOI: 10.1245/ASO.2003.04.020]</w:t>
      </w:r>
    </w:p>
    <w:p w:rsidR="007F40E7" w:rsidRPr="00650485" w:rsidRDefault="007F40E7" w:rsidP="00650485">
      <w:pPr>
        <w:spacing w:line="360" w:lineRule="auto"/>
        <w:jc w:val="both"/>
        <w:rPr>
          <w:rFonts w:ascii="Book Antiqua" w:hAnsi="Book Antiqua"/>
          <w:sz w:val="24"/>
          <w:szCs w:val="24"/>
        </w:rPr>
      </w:pPr>
      <w:r w:rsidRPr="00650485">
        <w:rPr>
          <w:rFonts w:ascii="Book Antiqua" w:hAnsi="Book Antiqua"/>
          <w:sz w:val="24"/>
          <w:szCs w:val="24"/>
        </w:rPr>
        <w:t xml:space="preserve">18 </w:t>
      </w:r>
      <w:r w:rsidRPr="00650485">
        <w:rPr>
          <w:rFonts w:ascii="Book Antiqua" w:hAnsi="Book Antiqua"/>
          <w:b/>
          <w:sz w:val="24"/>
          <w:szCs w:val="24"/>
        </w:rPr>
        <w:t>Sebag F</w:t>
      </w:r>
      <w:r w:rsidRPr="00650485">
        <w:rPr>
          <w:rFonts w:ascii="Book Antiqua" w:hAnsi="Book Antiqua"/>
          <w:sz w:val="24"/>
          <w:szCs w:val="24"/>
        </w:rPr>
        <w:t xml:space="preserve">, Calzolari F, Harding J, Sierra M, Palazzo FF, Henry JF. Isolated adrenal metastasis: the role of laparoscopic surgery. </w:t>
      </w:r>
      <w:r w:rsidRPr="00650485">
        <w:rPr>
          <w:rFonts w:ascii="Book Antiqua" w:hAnsi="Book Antiqua"/>
          <w:i/>
          <w:sz w:val="24"/>
          <w:szCs w:val="24"/>
        </w:rPr>
        <w:t>World J Surg</w:t>
      </w:r>
      <w:r w:rsidRPr="00650485">
        <w:rPr>
          <w:rFonts w:ascii="Book Antiqua" w:hAnsi="Book Antiqua"/>
          <w:sz w:val="24"/>
          <w:szCs w:val="24"/>
        </w:rPr>
        <w:t xml:space="preserve"> 2006; </w:t>
      </w:r>
      <w:r w:rsidRPr="00650485">
        <w:rPr>
          <w:rFonts w:ascii="Book Antiqua" w:hAnsi="Book Antiqua"/>
          <w:b/>
          <w:sz w:val="24"/>
          <w:szCs w:val="24"/>
        </w:rPr>
        <w:t>30</w:t>
      </w:r>
      <w:r w:rsidRPr="00650485">
        <w:rPr>
          <w:rFonts w:ascii="Book Antiqua" w:hAnsi="Book Antiqua"/>
          <w:sz w:val="24"/>
          <w:szCs w:val="24"/>
        </w:rPr>
        <w:t>: 888-892 [PMID: 16547618 DOI: 10.1007/s00268-005-0342-0]</w:t>
      </w:r>
    </w:p>
    <w:p w:rsidR="007F40E7" w:rsidRPr="00650485" w:rsidRDefault="007F40E7" w:rsidP="00650485">
      <w:pPr>
        <w:spacing w:line="360" w:lineRule="auto"/>
        <w:jc w:val="both"/>
        <w:rPr>
          <w:rFonts w:ascii="Book Antiqua" w:hAnsi="Book Antiqua"/>
          <w:sz w:val="24"/>
          <w:szCs w:val="24"/>
        </w:rPr>
      </w:pPr>
    </w:p>
    <w:p w:rsidR="007F40E7" w:rsidRPr="00650485" w:rsidRDefault="007F40E7" w:rsidP="00650485">
      <w:pPr>
        <w:pStyle w:val="ab"/>
        <w:spacing w:after="0" w:line="360" w:lineRule="auto"/>
        <w:ind w:left="360" w:right="230" w:firstLine="482"/>
        <w:jc w:val="both"/>
        <w:rPr>
          <w:rFonts w:ascii="Book Antiqua" w:hAnsi="Book Antiqua" w:cs="Mangal"/>
          <w:b/>
          <w:bCs/>
          <w:sz w:val="24"/>
          <w:szCs w:val="24"/>
          <w:lang w:bidi="hi-IN"/>
        </w:rPr>
      </w:pPr>
      <w:bookmarkStart w:id="38" w:name="OLE_LINK8"/>
      <w:r w:rsidRPr="00650485">
        <w:rPr>
          <w:rFonts w:ascii="Book Antiqua" w:eastAsia="Lucida Sans Unicode" w:hAnsi="Book Antiqua" w:cs="Arial"/>
          <w:b/>
          <w:noProof/>
          <w:sz w:val="24"/>
          <w:szCs w:val="24"/>
          <w:lang w:eastAsia="hi-IN" w:bidi="hi-IN"/>
        </w:rPr>
        <w:t>P-Reviewer</w:t>
      </w:r>
      <w:r w:rsidRPr="00650485">
        <w:rPr>
          <w:rFonts w:ascii="Book Antiqua" w:hAnsi="Book Antiqua" w:cs="Arial"/>
          <w:b/>
          <w:noProof/>
          <w:sz w:val="24"/>
          <w:szCs w:val="24"/>
          <w:lang w:bidi="hi-IN"/>
        </w:rPr>
        <w:t>:</w:t>
      </w:r>
      <w:r w:rsidRPr="00650485">
        <w:rPr>
          <w:rFonts w:ascii="Book Antiqua" w:hAnsi="Book Antiqua"/>
          <w:sz w:val="24"/>
          <w:szCs w:val="24"/>
        </w:rPr>
        <w:t xml:space="preserve"> </w:t>
      </w:r>
      <w:r w:rsidR="00650485" w:rsidRPr="00650485">
        <w:rPr>
          <w:rFonts w:ascii="Book Antiqua" w:hAnsi="Book Antiqua"/>
          <w:sz w:val="24"/>
          <w:szCs w:val="24"/>
        </w:rPr>
        <w:t>Daniilidis A</w:t>
      </w:r>
      <w:r w:rsidRPr="00650485">
        <w:rPr>
          <w:rFonts w:ascii="Book Antiqua" w:hAnsi="Book Antiqua" w:cs="Mangal"/>
          <w:bCs/>
          <w:sz w:val="24"/>
          <w:szCs w:val="24"/>
          <w:lang w:bidi="hi-IN"/>
        </w:rPr>
        <w:t xml:space="preserve"> </w:t>
      </w:r>
      <w:r w:rsidRPr="00650485">
        <w:rPr>
          <w:rFonts w:ascii="Book Antiqua" w:eastAsia="Lucida Sans Unicode" w:hAnsi="Book Antiqua" w:cs="Mangal"/>
          <w:b/>
          <w:bCs/>
          <w:sz w:val="24"/>
          <w:szCs w:val="24"/>
          <w:lang w:eastAsia="hi-IN" w:bidi="hi-IN"/>
        </w:rPr>
        <w:t>S-Editor</w:t>
      </w:r>
      <w:r w:rsidRPr="00650485">
        <w:rPr>
          <w:rFonts w:ascii="Book Antiqua" w:hAnsi="Book Antiqua" w:cs="Mangal"/>
          <w:b/>
          <w:bCs/>
          <w:sz w:val="24"/>
          <w:szCs w:val="24"/>
          <w:lang w:bidi="hi-IN"/>
        </w:rPr>
        <w:t>:</w:t>
      </w:r>
      <w:r w:rsidRPr="00650485">
        <w:rPr>
          <w:rFonts w:ascii="Book Antiqua" w:eastAsia="Lucida Sans Unicode" w:hAnsi="Book Antiqua" w:cs="Mangal"/>
          <w:bCs/>
          <w:sz w:val="24"/>
          <w:szCs w:val="24"/>
          <w:lang w:eastAsia="hi-IN" w:bidi="hi-IN"/>
        </w:rPr>
        <w:t xml:space="preserve"> </w:t>
      </w:r>
      <w:r w:rsidRPr="00650485">
        <w:rPr>
          <w:rFonts w:ascii="Book Antiqua" w:hAnsi="Book Antiqua" w:cs="Mangal"/>
          <w:bCs/>
          <w:sz w:val="24"/>
          <w:szCs w:val="24"/>
          <w:lang w:bidi="hi-IN"/>
        </w:rPr>
        <w:t>Dou Y</w:t>
      </w:r>
      <w:r w:rsidRPr="00650485">
        <w:rPr>
          <w:rFonts w:ascii="Book Antiqua" w:eastAsia="Lucida Sans Unicode" w:hAnsi="Book Antiqua" w:cs="Mangal"/>
          <w:b/>
          <w:bCs/>
          <w:sz w:val="24"/>
          <w:szCs w:val="24"/>
          <w:lang w:eastAsia="hi-IN" w:bidi="hi-IN"/>
        </w:rPr>
        <w:t xml:space="preserve"> L-Editor</w:t>
      </w:r>
      <w:r w:rsidRPr="00650485">
        <w:rPr>
          <w:rFonts w:ascii="Book Antiqua" w:hAnsi="Book Antiqua" w:cs="Mangal"/>
          <w:b/>
          <w:bCs/>
          <w:sz w:val="24"/>
          <w:szCs w:val="24"/>
          <w:lang w:bidi="hi-IN"/>
        </w:rPr>
        <w:t>:</w:t>
      </w:r>
      <w:r w:rsidRPr="00650485">
        <w:rPr>
          <w:rFonts w:ascii="Book Antiqua" w:eastAsia="Lucida Sans Unicode" w:hAnsi="Book Antiqua" w:cs="Mangal"/>
          <w:b/>
          <w:bCs/>
          <w:sz w:val="24"/>
          <w:szCs w:val="24"/>
          <w:lang w:eastAsia="hi-IN" w:bidi="hi-IN"/>
        </w:rPr>
        <w:t xml:space="preserve"> </w:t>
      </w:r>
      <w:r w:rsidR="00B62B7F" w:rsidRPr="00D47F69">
        <w:rPr>
          <w:rFonts w:ascii="Book Antiqua" w:eastAsia="宋体" w:hAnsi="Book Antiqua" w:cs="Mangal" w:hint="eastAsia"/>
          <w:bCs/>
          <w:sz w:val="24"/>
          <w:szCs w:val="24"/>
          <w:lang w:bidi="hi-IN"/>
        </w:rPr>
        <w:t>A</w:t>
      </w:r>
      <w:r w:rsidR="00B62B7F" w:rsidRPr="00D47F69">
        <w:rPr>
          <w:rFonts w:ascii="Book Antiqua" w:eastAsia="宋体" w:hAnsi="Book Antiqua" w:cs="Mangal" w:hint="eastAsia"/>
          <w:b/>
          <w:bCs/>
          <w:sz w:val="24"/>
          <w:szCs w:val="24"/>
          <w:lang w:bidi="hi-IN"/>
        </w:rPr>
        <w:t xml:space="preserve"> </w:t>
      </w:r>
      <w:r w:rsidRPr="00650485">
        <w:rPr>
          <w:rFonts w:ascii="Book Antiqua" w:eastAsia="Lucida Sans Unicode" w:hAnsi="Book Antiqua" w:cs="Mangal"/>
          <w:b/>
          <w:bCs/>
          <w:sz w:val="24"/>
          <w:szCs w:val="24"/>
          <w:lang w:eastAsia="hi-IN" w:bidi="hi-IN"/>
        </w:rPr>
        <w:t>E-Editor</w:t>
      </w:r>
      <w:r w:rsidRPr="00650485">
        <w:rPr>
          <w:rFonts w:ascii="Book Antiqua" w:hAnsi="Book Antiqua" w:cs="Mangal"/>
          <w:b/>
          <w:bCs/>
          <w:sz w:val="24"/>
          <w:szCs w:val="24"/>
          <w:lang w:bidi="hi-IN"/>
        </w:rPr>
        <w:t>:</w:t>
      </w:r>
      <w:r w:rsidR="00B62B7F">
        <w:rPr>
          <w:rFonts w:ascii="Book Antiqua" w:hAnsi="Book Antiqua" w:cs="Mangal" w:hint="eastAsia"/>
          <w:b/>
          <w:bCs/>
          <w:sz w:val="24"/>
          <w:szCs w:val="24"/>
          <w:lang w:bidi="hi-IN"/>
        </w:rPr>
        <w:t xml:space="preserve"> </w:t>
      </w:r>
      <w:r w:rsidR="00B62B7F" w:rsidRPr="00B62B7F">
        <w:rPr>
          <w:rFonts w:ascii="Book Antiqua" w:hAnsi="Book Antiqua" w:cs="Mangal" w:hint="eastAsia"/>
          <w:bCs/>
          <w:sz w:val="24"/>
          <w:szCs w:val="24"/>
          <w:lang w:bidi="hi-IN"/>
        </w:rPr>
        <w:t>Liu JH</w:t>
      </w:r>
    </w:p>
    <w:p w:rsidR="007F40E7" w:rsidRPr="00650485" w:rsidRDefault="007F40E7" w:rsidP="00650485">
      <w:pPr>
        <w:pStyle w:val="ab"/>
        <w:spacing w:after="0" w:line="360" w:lineRule="auto"/>
        <w:ind w:left="360" w:right="120" w:firstLine="482"/>
        <w:jc w:val="both"/>
        <w:rPr>
          <w:rFonts w:ascii="Book Antiqua" w:hAnsi="Book Antiqua" w:cs="Mangal"/>
          <w:b/>
          <w:bCs/>
          <w:sz w:val="24"/>
          <w:szCs w:val="24"/>
          <w:lang w:bidi="hi-IN"/>
        </w:rPr>
      </w:pPr>
    </w:p>
    <w:p w:rsidR="007F40E7" w:rsidRPr="00650485" w:rsidRDefault="007F40E7" w:rsidP="00650485">
      <w:pPr>
        <w:shd w:val="clear" w:color="auto" w:fill="FFFFFF"/>
        <w:spacing w:line="360" w:lineRule="auto"/>
        <w:jc w:val="both"/>
        <w:rPr>
          <w:rFonts w:ascii="Book Antiqua" w:hAnsi="Book Antiqua" w:cs="Helvetica"/>
          <w:b/>
          <w:sz w:val="24"/>
          <w:szCs w:val="24"/>
        </w:rPr>
      </w:pPr>
      <w:r w:rsidRPr="00650485">
        <w:rPr>
          <w:rFonts w:ascii="Book Antiqua" w:hAnsi="Book Antiqua" w:cs="Helvetica"/>
          <w:b/>
          <w:sz w:val="24"/>
          <w:szCs w:val="24"/>
        </w:rPr>
        <w:t xml:space="preserve">Specialty type: </w:t>
      </w:r>
      <w:r w:rsidRPr="00650485">
        <w:rPr>
          <w:rFonts w:ascii="Book Antiqua" w:hAnsi="Book Antiqua" w:cs="宋体"/>
          <w:sz w:val="24"/>
          <w:szCs w:val="24"/>
        </w:rPr>
        <w:t>Medicine, Research and Experimental</w:t>
      </w:r>
    </w:p>
    <w:p w:rsidR="007F40E7" w:rsidRPr="00650485" w:rsidRDefault="007F40E7" w:rsidP="00650485">
      <w:pPr>
        <w:shd w:val="clear" w:color="auto" w:fill="FFFFFF"/>
        <w:spacing w:line="360" w:lineRule="auto"/>
        <w:jc w:val="both"/>
        <w:rPr>
          <w:rFonts w:ascii="Book Antiqua" w:hAnsi="Book Antiqua" w:cs="Helvetica"/>
          <w:b/>
          <w:sz w:val="24"/>
          <w:szCs w:val="24"/>
        </w:rPr>
      </w:pPr>
      <w:r w:rsidRPr="00650485">
        <w:rPr>
          <w:rFonts w:ascii="Book Antiqua" w:hAnsi="Book Antiqua" w:cs="Helvetica"/>
          <w:b/>
          <w:sz w:val="24"/>
          <w:szCs w:val="24"/>
        </w:rPr>
        <w:t xml:space="preserve">Country of origin: </w:t>
      </w:r>
      <w:r w:rsidR="00650485" w:rsidRPr="00650485">
        <w:rPr>
          <w:rFonts w:ascii="Book Antiqua" w:hAnsi="Book Antiqua" w:cs="Helvetica"/>
          <w:sz w:val="24"/>
          <w:szCs w:val="24"/>
        </w:rPr>
        <w:t>Italy</w:t>
      </w:r>
    </w:p>
    <w:p w:rsidR="007F40E7" w:rsidRPr="00650485" w:rsidRDefault="007F40E7" w:rsidP="00650485">
      <w:pPr>
        <w:shd w:val="clear" w:color="auto" w:fill="FFFFFF"/>
        <w:spacing w:line="360" w:lineRule="auto"/>
        <w:jc w:val="both"/>
        <w:rPr>
          <w:rFonts w:ascii="Book Antiqua" w:hAnsi="Book Antiqua" w:cs="Helvetica"/>
          <w:b/>
          <w:sz w:val="24"/>
          <w:szCs w:val="24"/>
        </w:rPr>
      </w:pPr>
      <w:r w:rsidRPr="00650485">
        <w:rPr>
          <w:rFonts w:ascii="Book Antiqua" w:hAnsi="Book Antiqua" w:cs="Helvetica"/>
          <w:b/>
          <w:sz w:val="24"/>
          <w:szCs w:val="24"/>
        </w:rPr>
        <w:t>Peer-review report classification</w:t>
      </w:r>
    </w:p>
    <w:p w:rsidR="007F40E7" w:rsidRPr="00650485" w:rsidRDefault="007F40E7" w:rsidP="00650485">
      <w:pPr>
        <w:shd w:val="clear" w:color="auto" w:fill="FFFFFF"/>
        <w:spacing w:line="360" w:lineRule="auto"/>
        <w:jc w:val="both"/>
        <w:rPr>
          <w:rFonts w:ascii="Book Antiqua" w:hAnsi="Book Antiqua" w:cs="Helvetica"/>
          <w:sz w:val="24"/>
          <w:szCs w:val="24"/>
        </w:rPr>
      </w:pPr>
      <w:r w:rsidRPr="00650485">
        <w:rPr>
          <w:rFonts w:ascii="Book Antiqua" w:hAnsi="Book Antiqua" w:cs="Helvetica"/>
          <w:sz w:val="24"/>
          <w:szCs w:val="24"/>
        </w:rPr>
        <w:t>Grade A (Excellent): 0</w:t>
      </w:r>
    </w:p>
    <w:p w:rsidR="007F40E7" w:rsidRPr="00650485" w:rsidRDefault="007F40E7" w:rsidP="00650485">
      <w:pPr>
        <w:shd w:val="clear" w:color="auto" w:fill="FFFFFF"/>
        <w:spacing w:line="360" w:lineRule="auto"/>
        <w:jc w:val="both"/>
        <w:rPr>
          <w:rFonts w:ascii="Book Antiqua" w:hAnsi="Book Antiqua" w:cs="Helvetica"/>
          <w:sz w:val="24"/>
          <w:szCs w:val="24"/>
        </w:rPr>
      </w:pPr>
      <w:r w:rsidRPr="00650485">
        <w:rPr>
          <w:rFonts w:ascii="Book Antiqua" w:hAnsi="Book Antiqua" w:cs="Helvetica"/>
          <w:sz w:val="24"/>
          <w:szCs w:val="24"/>
        </w:rPr>
        <w:t>Grade B (Very good): B</w:t>
      </w:r>
    </w:p>
    <w:p w:rsidR="007F40E7" w:rsidRPr="00650485" w:rsidRDefault="007F40E7" w:rsidP="00650485">
      <w:pPr>
        <w:shd w:val="clear" w:color="auto" w:fill="FFFFFF"/>
        <w:spacing w:line="360" w:lineRule="auto"/>
        <w:jc w:val="both"/>
        <w:rPr>
          <w:rFonts w:ascii="Book Antiqua" w:hAnsi="Book Antiqua" w:cs="Helvetica"/>
          <w:sz w:val="24"/>
          <w:szCs w:val="24"/>
        </w:rPr>
      </w:pPr>
      <w:r w:rsidRPr="00650485">
        <w:rPr>
          <w:rFonts w:ascii="Book Antiqua" w:hAnsi="Book Antiqua" w:cs="Helvetica"/>
          <w:sz w:val="24"/>
          <w:szCs w:val="24"/>
        </w:rPr>
        <w:t xml:space="preserve">Grade C (Good): </w:t>
      </w:r>
      <w:r w:rsidR="00650485" w:rsidRPr="00650485">
        <w:rPr>
          <w:rFonts w:ascii="Book Antiqua" w:hAnsi="Book Antiqua" w:cs="Helvetica"/>
          <w:sz w:val="24"/>
          <w:szCs w:val="24"/>
        </w:rPr>
        <w:t>0</w:t>
      </w:r>
    </w:p>
    <w:p w:rsidR="007F40E7" w:rsidRPr="00650485" w:rsidRDefault="007F40E7" w:rsidP="00650485">
      <w:pPr>
        <w:shd w:val="clear" w:color="auto" w:fill="FFFFFF"/>
        <w:spacing w:line="360" w:lineRule="auto"/>
        <w:jc w:val="both"/>
        <w:rPr>
          <w:rFonts w:ascii="Book Antiqua" w:hAnsi="Book Antiqua" w:cs="Helvetica"/>
          <w:sz w:val="24"/>
          <w:szCs w:val="24"/>
        </w:rPr>
      </w:pPr>
      <w:r w:rsidRPr="00650485">
        <w:rPr>
          <w:rFonts w:ascii="Book Antiqua" w:hAnsi="Book Antiqua" w:cs="Helvetica"/>
          <w:sz w:val="24"/>
          <w:szCs w:val="24"/>
        </w:rPr>
        <w:t xml:space="preserve">Grade D (Fair): </w:t>
      </w:r>
      <w:r w:rsidR="00650485" w:rsidRPr="00650485">
        <w:rPr>
          <w:rFonts w:ascii="Book Antiqua" w:hAnsi="Book Antiqua" w:cs="Helvetica"/>
          <w:sz w:val="24"/>
          <w:szCs w:val="24"/>
        </w:rPr>
        <w:t>0</w:t>
      </w:r>
    </w:p>
    <w:p w:rsidR="007F40E7" w:rsidRPr="00650485" w:rsidRDefault="007F40E7" w:rsidP="00650485">
      <w:pPr>
        <w:shd w:val="clear" w:color="auto" w:fill="FFFFFF"/>
        <w:spacing w:line="360" w:lineRule="auto"/>
        <w:jc w:val="both"/>
        <w:rPr>
          <w:rFonts w:ascii="Book Antiqua" w:hAnsi="Book Antiqua" w:cs="Helvetica"/>
          <w:sz w:val="24"/>
          <w:szCs w:val="24"/>
        </w:rPr>
      </w:pPr>
      <w:r w:rsidRPr="00650485">
        <w:rPr>
          <w:rFonts w:ascii="Book Antiqua" w:hAnsi="Book Antiqua" w:cs="Helvetica"/>
          <w:sz w:val="24"/>
          <w:szCs w:val="24"/>
        </w:rPr>
        <w:t>Grade E (Poor): 0</w:t>
      </w:r>
      <w:bookmarkEnd w:id="38"/>
    </w:p>
    <w:p w:rsidR="000A2BA6" w:rsidRPr="00705824" w:rsidRDefault="007F40E7" w:rsidP="00650485">
      <w:pPr>
        <w:shd w:val="clear" w:color="auto" w:fill="FFFFFF"/>
        <w:spacing w:line="360" w:lineRule="auto"/>
        <w:ind w:left="567" w:hanging="567"/>
        <w:jc w:val="both"/>
        <w:rPr>
          <w:rFonts w:ascii="Book Antiqua" w:hAnsi="Book Antiqua" w:cs="Arial"/>
          <w:b/>
          <w:sz w:val="24"/>
          <w:szCs w:val="24"/>
          <w:lang w:val="en-US"/>
        </w:rPr>
      </w:pPr>
      <w:r w:rsidRPr="00650485">
        <w:rPr>
          <w:rFonts w:ascii="Book Antiqua" w:hAnsi="Book Antiqua" w:cs="Arial"/>
          <w:b/>
          <w:bCs/>
          <w:sz w:val="24"/>
          <w:szCs w:val="24"/>
        </w:rPr>
        <w:br w:type="page"/>
      </w:r>
      <w:r w:rsidR="000A2BA6" w:rsidRPr="00705824">
        <w:rPr>
          <w:rFonts w:ascii="Book Antiqua" w:hAnsi="Book Antiqua" w:cs="Arial"/>
          <w:b/>
          <w:bCs/>
          <w:sz w:val="24"/>
          <w:szCs w:val="24"/>
          <w:lang w:val="en-US"/>
        </w:rPr>
        <w:t>Table 1</w:t>
      </w:r>
      <w:r w:rsidR="000A2BA6" w:rsidRPr="00705824">
        <w:rPr>
          <w:rFonts w:ascii="Book Antiqua" w:hAnsi="Book Antiqua" w:cs="Arial"/>
          <w:b/>
          <w:sz w:val="24"/>
          <w:szCs w:val="24"/>
          <w:lang w:val="en-US"/>
        </w:rPr>
        <w:t xml:space="preserve"> Patients with adrenal metastases from endometrial cancer</w:t>
      </w:r>
    </w:p>
    <w:tbl>
      <w:tblPr>
        <w:tblW w:w="11668" w:type="dxa"/>
        <w:jc w:val="center"/>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1233"/>
        <w:gridCol w:w="940"/>
        <w:gridCol w:w="1864"/>
        <w:gridCol w:w="601"/>
        <w:gridCol w:w="1787"/>
        <w:gridCol w:w="974"/>
        <w:gridCol w:w="1580"/>
        <w:gridCol w:w="1740"/>
        <w:gridCol w:w="949"/>
      </w:tblGrid>
      <w:tr w:rsidR="000A2BA6" w:rsidRPr="00650485" w:rsidTr="005E07D1">
        <w:trPr>
          <w:jc w:val="center"/>
        </w:trPr>
        <w:tc>
          <w:tcPr>
            <w:tcW w:w="1233"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Case reports</w:t>
            </w:r>
          </w:p>
        </w:tc>
        <w:tc>
          <w:tcPr>
            <w:tcW w:w="940"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Age</w:t>
            </w:r>
            <w:r w:rsidRPr="00650485">
              <w:rPr>
                <w:rFonts w:ascii="Book Antiqua" w:hAnsi="Book Antiqua"/>
                <w:lang w:val="en-US"/>
              </w:rPr>
              <w:t xml:space="preserve"> </w:t>
            </w:r>
            <w:r w:rsidRPr="00650485">
              <w:rPr>
                <w:rFonts w:ascii="Book Antiqua" w:hAnsi="Book Antiqua" w:cs="Arial"/>
                <w:b/>
                <w:lang w:val="en-US"/>
              </w:rPr>
              <w:t>(yr)</w:t>
            </w:r>
          </w:p>
        </w:tc>
        <w:tc>
          <w:tcPr>
            <w:tcW w:w="1864"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Histology</w:t>
            </w:r>
            <w:r w:rsidRPr="00650485">
              <w:rPr>
                <w:rFonts w:ascii="Book Antiqua" w:hAnsi="Book Antiqua"/>
                <w:lang w:val="en-US"/>
              </w:rPr>
              <w:t xml:space="preserve"> </w:t>
            </w:r>
            <w:r w:rsidRPr="00650485">
              <w:rPr>
                <w:rFonts w:ascii="Book Antiqua" w:hAnsi="Book Antiqua" w:cs="Arial"/>
                <w:b/>
                <w:lang w:val="en-US"/>
              </w:rPr>
              <w:t>of primary</w:t>
            </w:r>
          </w:p>
        </w:tc>
        <w:tc>
          <w:tcPr>
            <w:tcW w:w="601"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Stage (FIGO)</w:t>
            </w:r>
          </w:p>
        </w:tc>
        <w:tc>
          <w:tcPr>
            <w:tcW w:w="1787"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Adjuvant treatment</w:t>
            </w:r>
          </w:p>
        </w:tc>
        <w:tc>
          <w:tcPr>
            <w:tcW w:w="974"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DFS (mo)</w:t>
            </w:r>
          </w:p>
        </w:tc>
        <w:tc>
          <w:tcPr>
            <w:tcW w:w="1580"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Site</w:t>
            </w:r>
          </w:p>
        </w:tc>
        <w:tc>
          <w:tcPr>
            <w:tcW w:w="1740"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Treatment</w:t>
            </w:r>
          </w:p>
        </w:tc>
        <w:tc>
          <w:tcPr>
            <w:tcW w:w="949" w:type="dxa"/>
            <w:tcBorders>
              <w:top w:val="single" w:sz="4" w:space="0" w:color="auto"/>
              <w:bottom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b/>
                <w:lang w:val="en-US"/>
              </w:rPr>
              <w:t>F-U</w:t>
            </w:r>
            <w:r w:rsidRPr="00650485">
              <w:rPr>
                <w:rFonts w:ascii="Book Antiqua" w:hAnsi="Book Antiqua"/>
                <w:lang w:val="en-US"/>
              </w:rPr>
              <w:t xml:space="preserve"> </w:t>
            </w:r>
            <w:r w:rsidRPr="00650485">
              <w:rPr>
                <w:rFonts w:ascii="Book Antiqua" w:hAnsi="Book Antiqua" w:cs="Arial"/>
                <w:b/>
                <w:lang w:val="en-US"/>
              </w:rPr>
              <w:t>(mo)</w:t>
            </w:r>
          </w:p>
        </w:tc>
      </w:tr>
      <w:tr w:rsidR="000A2BA6" w:rsidRPr="00650485" w:rsidTr="005E07D1">
        <w:trPr>
          <w:trHeight w:val="1107"/>
          <w:jc w:val="center"/>
        </w:trPr>
        <w:tc>
          <w:tcPr>
            <w:tcW w:w="1233" w:type="dxa"/>
            <w:tcBorders>
              <w:top w:val="single" w:sz="4" w:space="0" w:color="auto"/>
            </w:tcBorders>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Nakano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[5]</w:t>
            </w:r>
            <w:r w:rsidR="000A2BA6" w:rsidRPr="00650485">
              <w:rPr>
                <w:rFonts w:ascii="Book Antiqua" w:hAnsi="Book Antiqua" w:cs="Arial"/>
                <w:lang w:val="en-US"/>
              </w:rPr>
              <w:t>, 1975</w:t>
            </w:r>
          </w:p>
        </w:tc>
        <w:tc>
          <w:tcPr>
            <w:tcW w:w="940"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77</w:t>
            </w:r>
          </w:p>
        </w:tc>
        <w:tc>
          <w:tcPr>
            <w:tcW w:w="1864"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Mixed</w:t>
            </w:r>
          </w:p>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(clear cell-squamous)</w:t>
            </w:r>
          </w:p>
        </w:tc>
        <w:tc>
          <w:tcPr>
            <w:tcW w:w="601"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787"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974"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26</w:t>
            </w:r>
          </w:p>
        </w:tc>
        <w:tc>
          <w:tcPr>
            <w:tcW w:w="1580"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multiple sites</w:t>
            </w:r>
          </w:p>
        </w:tc>
        <w:tc>
          <w:tcPr>
            <w:tcW w:w="1740"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Whole brain irradiation and supportive care</w:t>
            </w:r>
          </w:p>
        </w:tc>
        <w:tc>
          <w:tcPr>
            <w:tcW w:w="949" w:type="dxa"/>
            <w:tcBorders>
              <w:top w:val="single" w:sz="4" w:space="0" w:color="auto"/>
            </w:tcBorders>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28</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Lam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[6]</w:t>
            </w:r>
            <w:r w:rsidR="000A2BA6" w:rsidRPr="00650485">
              <w:rPr>
                <w:rFonts w:ascii="Book Antiqua" w:hAnsi="Book Antiqua" w:cs="Arial"/>
                <w:lang w:val="en-US"/>
              </w:rPr>
              <w:t>, 2001</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Laparotomic</w:t>
            </w:r>
            <w:r w:rsidR="006F51A4" w:rsidRPr="00650485">
              <w:rPr>
                <w:rFonts w:ascii="Book Antiqua" w:hAnsi="Book Antiqua"/>
                <w:lang w:val="en-US"/>
              </w:rPr>
              <w:t xml:space="preserve"> </w:t>
            </w:r>
            <w:r w:rsidRPr="00650485">
              <w:rPr>
                <w:rFonts w:ascii="Book Antiqua" w:hAnsi="Book Antiqua" w:cs="Arial"/>
                <w:lang w:val="en-US"/>
              </w:rPr>
              <w:t>adrenalectomy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Baron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[7]</w:t>
            </w:r>
            <w:r w:rsidR="000A2BA6" w:rsidRPr="00650485">
              <w:rPr>
                <w:rFonts w:ascii="Book Antiqua" w:hAnsi="Book Antiqua" w:cs="Arial"/>
                <w:lang w:val="en-US"/>
              </w:rPr>
              <w:t>, 2008</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76</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G1</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IV B</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EBRT</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9</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Laparotomic partial adrenalectomy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24</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Baron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[7]</w:t>
            </w:r>
            <w:r w:rsidR="000A2BA6" w:rsidRPr="00650485">
              <w:rPr>
                <w:rFonts w:ascii="Book Antiqua" w:hAnsi="Book Antiqua" w:cs="Arial"/>
                <w:lang w:val="en-US"/>
              </w:rPr>
              <w:t>, 2008</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62</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G1</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VBT + 6 adriamycin- cisplatin cycles</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108</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multiple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Supportive treatment</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110</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Izaki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[8]</w:t>
            </w:r>
            <w:r w:rsidR="000A2BA6" w:rsidRPr="00650485">
              <w:rPr>
                <w:rFonts w:ascii="Book Antiqua" w:hAnsi="Book Antiqua" w:cs="Arial"/>
                <w:lang w:val="en-US"/>
              </w:rPr>
              <w:t>, 2010</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55</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III C</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7 carboplatin paclitaxel cycles</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15</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Laparoscopic adrenalectomy + CT</w:t>
            </w:r>
            <w:r w:rsidR="006F51A4" w:rsidRPr="00650485">
              <w:rPr>
                <w:rFonts w:ascii="Book Antiqua" w:hAnsi="Book Antiqua"/>
                <w:lang w:val="en-US"/>
              </w:rPr>
              <w:t xml:space="preserve"> </w:t>
            </w:r>
            <w:r w:rsidRPr="00650485">
              <w:rPr>
                <w:rFonts w:ascii="Book Antiqua" w:hAnsi="Book Antiqua" w:cs="Arial"/>
                <w:lang w:val="en-US"/>
              </w:rPr>
              <w:t>(3 carboplatin cycles)</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82</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Choi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[9]</w:t>
            </w:r>
            <w:r w:rsidR="000A2BA6" w:rsidRPr="00650485">
              <w:rPr>
                <w:rFonts w:ascii="Book Antiqua" w:hAnsi="Book Antiqua" w:cs="Arial"/>
                <w:lang w:val="en-US"/>
              </w:rPr>
              <w:t>, 2011</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62</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Squamous</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III C</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 cisplatin cycles</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10</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Laparoscopic adrenalectomy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45</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Berretta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[10]</w:t>
            </w:r>
            <w:r w:rsidR="000A2BA6" w:rsidRPr="00650485">
              <w:rPr>
                <w:rFonts w:ascii="Book Antiqua" w:hAnsi="Book Antiqua" w:cs="Arial"/>
                <w:lang w:val="en-US"/>
              </w:rPr>
              <w:t>, 2013</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67</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Mixed (anaplastic-endometrioid)</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IV B</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Synchronous multiple sites</w:t>
            </w:r>
          </w:p>
        </w:tc>
        <w:tc>
          <w:tcPr>
            <w:tcW w:w="1740" w:type="dxa"/>
            <w:shd w:val="clear" w:color="auto" w:fill="FFFFFF"/>
          </w:tcPr>
          <w:p w:rsidR="000A2BA6" w:rsidRPr="00650485" w:rsidRDefault="006F51A4" w:rsidP="00650485">
            <w:pPr>
              <w:pStyle w:val="Standard"/>
              <w:spacing w:line="360" w:lineRule="auto"/>
              <w:jc w:val="both"/>
              <w:rPr>
                <w:rFonts w:ascii="Book Antiqua" w:hAnsi="Book Antiqua"/>
                <w:lang w:val="en-US"/>
              </w:rPr>
            </w:pPr>
            <w:r w:rsidRPr="00650485">
              <w:rPr>
                <w:rFonts w:ascii="Book Antiqua" w:hAnsi="Book Antiqua" w:cs="Arial"/>
                <w:lang w:val="en-US"/>
              </w:rPr>
              <w:t>One-time</w:t>
            </w:r>
            <w:r w:rsidR="000A2BA6" w:rsidRPr="00650485">
              <w:rPr>
                <w:rFonts w:ascii="Book Antiqua" w:hAnsi="Book Antiqua" w:cs="Arial"/>
                <w:lang w:val="en-US"/>
              </w:rPr>
              <w:t xml:space="preserve"> laparotomic adrenalectomy + hysterectomy and salpingectomy + taxol and carboplatin chemotherapy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Zaidi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[11]</w:t>
            </w:r>
            <w:r w:rsidR="000A2BA6" w:rsidRPr="00650485">
              <w:rPr>
                <w:rFonts w:ascii="Book Antiqua" w:hAnsi="Book Antiqua" w:cs="Arial"/>
                <w:lang w:val="en-US"/>
              </w:rPr>
              <w:t>, 2013</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75</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G3</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 B</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Supportive treatment</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9</w:t>
            </w:r>
          </w:p>
        </w:tc>
      </w:tr>
      <w:tr w:rsidR="000A2BA6" w:rsidRPr="00650485" w:rsidTr="005E07D1">
        <w:trPr>
          <w:jc w:val="center"/>
        </w:trPr>
        <w:tc>
          <w:tcPr>
            <w:tcW w:w="1233" w:type="dxa"/>
            <w:shd w:val="clear" w:color="auto" w:fill="FFFFFF"/>
          </w:tcPr>
          <w:p w:rsidR="000A2BA6" w:rsidRPr="00650485" w:rsidRDefault="007F40E7" w:rsidP="00650485">
            <w:pPr>
              <w:pStyle w:val="Standard"/>
              <w:spacing w:line="360" w:lineRule="auto"/>
              <w:jc w:val="both"/>
              <w:rPr>
                <w:rFonts w:ascii="Book Antiqua" w:hAnsi="Book Antiqua"/>
                <w:lang w:val="en-US"/>
              </w:rPr>
            </w:pPr>
            <w:r w:rsidRPr="00650485">
              <w:rPr>
                <w:rFonts w:ascii="Book Antiqua" w:hAnsi="Book Antiqua"/>
              </w:rPr>
              <w:t>Singh Lubana</w:t>
            </w:r>
            <w:r w:rsidR="005E07D1" w:rsidRPr="00650485">
              <w:rPr>
                <w:rFonts w:ascii="Book Antiqua" w:hAnsi="Book Antiqua" w:cs="Arial"/>
                <w:lang w:val="en-US"/>
              </w:rPr>
              <w:t xml:space="preserve">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[12]</w:t>
            </w:r>
            <w:r w:rsidR="000A2BA6" w:rsidRPr="00650485">
              <w:rPr>
                <w:rFonts w:ascii="Book Antiqua" w:hAnsi="Book Antiqua" w:cs="Arial"/>
                <w:lang w:val="en-US"/>
              </w:rPr>
              <w:t>, 2015</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60</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Serous</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II</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EBRT</w:t>
            </w:r>
            <w:r w:rsidR="006F51A4" w:rsidRPr="00650485">
              <w:rPr>
                <w:rFonts w:ascii="Book Antiqua" w:hAnsi="Book Antiqua" w:cs="Arial"/>
                <w:lang w:val="en-US"/>
              </w:rPr>
              <w:t xml:space="preserve"> </w:t>
            </w:r>
            <w:r w:rsidRPr="00650485">
              <w:rPr>
                <w:rFonts w:ascii="Book Antiqua" w:hAnsi="Book Antiqua" w:cs="Arial"/>
                <w:lang w:val="en-US"/>
              </w:rPr>
              <w:t>+</w:t>
            </w:r>
            <w:r w:rsidR="006F51A4" w:rsidRPr="00650485">
              <w:rPr>
                <w:rFonts w:ascii="Book Antiqua" w:hAnsi="Book Antiqua" w:cs="Arial"/>
                <w:lang w:val="en-US"/>
              </w:rPr>
              <w:t xml:space="preserve"> </w:t>
            </w:r>
            <w:r w:rsidRPr="00650485">
              <w:rPr>
                <w:rFonts w:ascii="Book Antiqua" w:hAnsi="Book Antiqua" w:cs="Arial"/>
                <w:lang w:val="en-US"/>
              </w:rPr>
              <w:t>C</w:t>
            </w:r>
            <w:r w:rsidR="006F51A4" w:rsidRPr="00650485">
              <w:rPr>
                <w:rFonts w:ascii="Book Antiqua" w:hAnsi="Book Antiqua" w:cs="Arial"/>
                <w:lang w:val="en-US"/>
              </w:rPr>
              <w:t xml:space="preserve"> </w:t>
            </w:r>
            <w:r w:rsidRPr="00650485">
              <w:rPr>
                <w:rFonts w:ascii="Book Antiqua" w:hAnsi="Book Antiqua" w:cs="Arial"/>
                <w:lang w:val="en-US"/>
              </w:rPr>
              <w:t>+</w:t>
            </w:r>
            <w:r w:rsidR="006F51A4" w:rsidRPr="00650485">
              <w:rPr>
                <w:rFonts w:ascii="Book Antiqua" w:hAnsi="Book Antiqua" w:cs="Arial"/>
                <w:lang w:val="en-US"/>
              </w:rPr>
              <w:t xml:space="preserve"> </w:t>
            </w:r>
            <w:r w:rsidRPr="00650485">
              <w:rPr>
                <w:rFonts w:ascii="Book Antiqua" w:hAnsi="Book Antiqua" w:cs="Arial"/>
                <w:lang w:val="en-US"/>
              </w:rPr>
              <w:t>CT: 3 paclitaxel carboplatin cycles</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66</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sites</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Laparotomic</w:t>
            </w:r>
          </w:p>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adrenalectomy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90</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Rekhi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[13]</w:t>
            </w:r>
            <w:r w:rsidR="000A2BA6" w:rsidRPr="00650485">
              <w:rPr>
                <w:rFonts w:ascii="Book Antiqua" w:hAnsi="Book Antiqua" w:cs="Arial"/>
                <w:lang w:val="en-US"/>
              </w:rPr>
              <w:t>, 2015</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39</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G2</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II</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VBT</w:t>
            </w:r>
            <w:r w:rsidR="006F51A4" w:rsidRPr="00650485">
              <w:rPr>
                <w:rFonts w:ascii="Book Antiqua" w:hAnsi="Book Antiqua" w:cs="Arial"/>
                <w:lang w:val="en-US"/>
              </w:rPr>
              <w:t xml:space="preserve"> </w:t>
            </w:r>
            <w:r w:rsidRPr="00650485">
              <w:rPr>
                <w:rFonts w:ascii="Book Antiqua" w:hAnsi="Book Antiqua" w:cs="Arial"/>
                <w:lang w:val="en-US"/>
              </w:rPr>
              <w:t>+</w:t>
            </w:r>
            <w:r w:rsidR="006F51A4" w:rsidRPr="00650485">
              <w:rPr>
                <w:rFonts w:ascii="Book Antiqua" w:hAnsi="Book Antiqua" w:cs="Arial"/>
                <w:lang w:val="en-US"/>
              </w:rPr>
              <w:t xml:space="preserve"> </w:t>
            </w:r>
            <w:r w:rsidRPr="00650485">
              <w:rPr>
                <w:rFonts w:ascii="Book Antiqua" w:hAnsi="Book Antiqua" w:cs="Arial"/>
                <w:lang w:val="en-US"/>
              </w:rPr>
              <w:t>EBRT</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24</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Robotic adrenalectomy + CT</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r>
      <w:tr w:rsidR="000A2BA6" w:rsidRPr="00650485" w:rsidTr="005E07D1">
        <w:trPr>
          <w:jc w:val="center"/>
        </w:trPr>
        <w:tc>
          <w:tcPr>
            <w:tcW w:w="1233" w:type="dxa"/>
            <w:shd w:val="clear" w:color="auto" w:fill="FFFFFF"/>
          </w:tcPr>
          <w:p w:rsidR="000A2BA6" w:rsidRPr="00650485" w:rsidRDefault="005E07D1" w:rsidP="00650485">
            <w:pPr>
              <w:pStyle w:val="Standard"/>
              <w:spacing w:line="360" w:lineRule="auto"/>
              <w:jc w:val="both"/>
              <w:rPr>
                <w:rFonts w:ascii="Book Antiqua" w:hAnsi="Book Antiqua"/>
                <w:lang w:val="en-US"/>
              </w:rPr>
            </w:pPr>
            <w:r w:rsidRPr="00650485">
              <w:rPr>
                <w:rFonts w:ascii="Book Antiqua" w:hAnsi="Book Antiqua" w:cs="Arial"/>
                <w:lang w:val="en-US"/>
              </w:rPr>
              <w:t xml:space="preserve">Mouka </w:t>
            </w:r>
            <w:r w:rsidR="000A2BA6" w:rsidRPr="00650485">
              <w:rPr>
                <w:rFonts w:ascii="Book Antiqua" w:hAnsi="Book Antiqua" w:cs="Arial"/>
                <w:i/>
                <w:lang w:val="en-US"/>
              </w:rPr>
              <w:t>et al</w:t>
            </w:r>
            <w:r w:rsidR="000A2BA6" w:rsidRPr="00650485">
              <w:rPr>
                <w:rFonts w:ascii="Book Antiqua" w:hAnsi="Book Antiqua" w:cs="Arial"/>
                <w:vertAlign w:val="superscript"/>
                <w:lang w:val="en-US"/>
              </w:rPr>
              <w:t>[14]</w:t>
            </w:r>
            <w:r w:rsidR="000A2BA6" w:rsidRPr="00650485">
              <w:rPr>
                <w:rFonts w:ascii="Book Antiqua" w:hAnsi="Book Antiqua" w:cs="Arial"/>
                <w:lang w:val="en-US"/>
              </w:rPr>
              <w:t>, 2016</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58</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G3</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 B</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6 CT</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12</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Laparotomic</w:t>
            </w:r>
          </w:p>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adrenalectomy + CT</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Na</w:t>
            </w:r>
          </w:p>
        </w:tc>
      </w:tr>
      <w:tr w:rsidR="000A2BA6" w:rsidRPr="00650485" w:rsidTr="005E07D1">
        <w:trPr>
          <w:jc w:val="center"/>
        </w:trPr>
        <w:tc>
          <w:tcPr>
            <w:tcW w:w="1233"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Present case, 2019</w:t>
            </w:r>
          </w:p>
        </w:tc>
        <w:tc>
          <w:tcPr>
            <w:tcW w:w="9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53</w:t>
            </w:r>
          </w:p>
        </w:tc>
        <w:tc>
          <w:tcPr>
            <w:tcW w:w="186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Endometrioid G2</w:t>
            </w:r>
          </w:p>
        </w:tc>
        <w:tc>
          <w:tcPr>
            <w:tcW w:w="601"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II B</w:t>
            </w:r>
          </w:p>
        </w:tc>
        <w:tc>
          <w:tcPr>
            <w:tcW w:w="1787"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No treatment</w:t>
            </w:r>
          </w:p>
        </w:tc>
        <w:tc>
          <w:tcPr>
            <w:tcW w:w="974"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36</w:t>
            </w:r>
          </w:p>
        </w:tc>
        <w:tc>
          <w:tcPr>
            <w:tcW w:w="158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Metachronous single site</w:t>
            </w:r>
          </w:p>
        </w:tc>
        <w:tc>
          <w:tcPr>
            <w:tcW w:w="1740"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Laparoscopic adrenalectomy</w:t>
            </w:r>
          </w:p>
        </w:tc>
        <w:tc>
          <w:tcPr>
            <w:tcW w:w="949" w:type="dxa"/>
            <w:shd w:val="clear" w:color="auto" w:fill="FFFFFF"/>
          </w:tcPr>
          <w:p w:rsidR="000A2BA6" w:rsidRPr="00650485" w:rsidRDefault="000A2BA6" w:rsidP="00650485">
            <w:pPr>
              <w:pStyle w:val="Standard"/>
              <w:spacing w:line="360" w:lineRule="auto"/>
              <w:jc w:val="both"/>
              <w:rPr>
                <w:rFonts w:ascii="Book Antiqua" w:hAnsi="Book Antiqua"/>
                <w:lang w:val="en-US"/>
              </w:rPr>
            </w:pPr>
            <w:r w:rsidRPr="00650485">
              <w:rPr>
                <w:rFonts w:ascii="Book Antiqua" w:hAnsi="Book Antiqua" w:cs="Arial"/>
                <w:lang w:val="en-US"/>
              </w:rPr>
              <w:t>45</w:t>
            </w:r>
          </w:p>
        </w:tc>
      </w:tr>
    </w:tbl>
    <w:p w:rsidR="005E07D1" w:rsidRPr="00650485" w:rsidRDefault="005E07D1" w:rsidP="00650485">
      <w:pPr>
        <w:shd w:val="clear" w:color="auto" w:fill="FFFFFF"/>
        <w:spacing w:line="360" w:lineRule="auto"/>
        <w:ind w:left="567" w:hanging="567"/>
        <w:jc w:val="both"/>
        <w:rPr>
          <w:rFonts w:ascii="Book Antiqua" w:hAnsi="Book Antiqua" w:cs="Arial"/>
          <w:sz w:val="24"/>
          <w:szCs w:val="24"/>
          <w:lang w:val="en-US"/>
        </w:rPr>
      </w:pPr>
    </w:p>
    <w:p w:rsidR="000A2BA6" w:rsidRPr="00650485" w:rsidRDefault="006F51A4" w:rsidP="00650485">
      <w:pPr>
        <w:shd w:val="clear" w:color="auto" w:fill="FFFFFF"/>
        <w:spacing w:line="360" w:lineRule="auto"/>
        <w:jc w:val="both"/>
        <w:rPr>
          <w:rFonts w:ascii="Book Antiqua" w:hAnsi="Book Antiqua" w:cs="Arial"/>
          <w:sz w:val="24"/>
          <w:szCs w:val="24"/>
          <w:lang w:val="en-US"/>
        </w:rPr>
      </w:pPr>
      <w:r w:rsidRPr="00650485">
        <w:rPr>
          <w:rFonts w:ascii="Book Antiqua" w:hAnsi="Book Antiqua" w:cs="Arial"/>
          <w:sz w:val="24"/>
          <w:szCs w:val="24"/>
          <w:lang w:val="en-US"/>
        </w:rPr>
        <w:t>FIGO: International Federation of Gynecology and Obstetrics; DFS: Disease-free survival; F-U: Follow-up; Na: Not available; EBRT: External beam radiation therapy; VBT: Vaginal brachytherapy; CT: Chermotherapy.</w:t>
      </w: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r w:rsidRPr="00650485">
        <w:rPr>
          <w:rFonts w:ascii="Book Antiqua" w:hAnsi="Book Antiqua" w:cs="Arial"/>
          <w:sz w:val="24"/>
          <w:szCs w:val="24"/>
          <w:lang w:val="en-US"/>
        </w:rPr>
        <w:br w:type="page"/>
      </w:r>
      <w:r w:rsidR="00DB36DD">
        <w:rPr>
          <w:rFonts w:ascii="Book Antiqua" w:hAnsi="Book Antiqua" w:cs="Arial"/>
          <w:noProof/>
          <w:sz w:val="24"/>
          <w:szCs w:val="24"/>
          <w:lang w:val="en-US"/>
        </w:rPr>
        <w:drawing>
          <wp:anchor distT="0" distB="0" distL="114935" distR="114935" simplePos="0" relativeHeight="251658752" behindDoc="0" locked="0" layoutInCell="1" allowOverlap="1">
            <wp:simplePos x="0" y="0"/>
            <wp:positionH relativeFrom="column">
              <wp:posOffset>16510</wp:posOffset>
            </wp:positionH>
            <wp:positionV relativeFrom="paragraph">
              <wp:posOffset>1270</wp:posOffset>
            </wp:positionV>
            <wp:extent cx="2159000" cy="2159000"/>
            <wp:effectExtent l="0" t="0" r="0" b="0"/>
            <wp:wrapTight wrapText="bothSides">
              <wp:wrapPolygon edited="0">
                <wp:start x="0" y="0"/>
                <wp:lineTo x="0" y="21346"/>
                <wp:lineTo x="21346" y="21346"/>
                <wp:lineTo x="21346"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l="-14" t="-14" r="-14" b="-14"/>
                    <a:stretch>
                      <a:fillRect/>
                    </a:stretch>
                  </pic:blipFill>
                  <pic:spPr bwMode="auto">
                    <a:xfrm>
                      <a:off x="0" y="0"/>
                      <a:ext cx="2159000" cy="215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shd w:val="clear" w:color="auto" w:fill="FFFFFF"/>
        <w:spacing w:line="360" w:lineRule="auto"/>
        <w:ind w:left="567" w:hanging="567"/>
        <w:jc w:val="both"/>
        <w:rPr>
          <w:rFonts w:ascii="Book Antiqua" w:hAnsi="Book Antiqua" w:cs="Arial"/>
          <w:sz w:val="24"/>
          <w:szCs w:val="24"/>
          <w:lang w:val="en-US"/>
        </w:rPr>
      </w:pPr>
    </w:p>
    <w:p w:rsidR="006F51A4" w:rsidRPr="00650485" w:rsidRDefault="006F51A4" w:rsidP="00650485">
      <w:pPr>
        <w:overflowPunct w:val="0"/>
        <w:spacing w:line="360" w:lineRule="auto"/>
        <w:jc w:val="both"/>
        <w:rPr>
          <w:rFonts w:ascii="Book Antiqua" w:hAnsi="Book Antiqua"/>
          <w:b/>
          <w:sz w:val="24"/>
          <w:szCs w:val="24"/>
          <w:lang w:val="en-US"/>
        </w:rPr>
      </w:pPr>
      <w:r w:rsidRPr="00650485">
        <w:rPr>
          <w:rFonts w:ascii="Book Antiqua" w:eastAsia="Arial" w:hAnsi="Book Antiqua" w:cs="Arial"/>
          <w:b/>
          <w:bCs/>
          <w:sz w:val="24"/>
          <w:szCs w:val="24"/>
          <w:lang w:val="en-US" w:bidi="hi-IN"/>
        </w:rPr>
        <w:t>Figure 1</w:t>
      </w:r>
      <w:r w:rsidRPr="00650485">
        <w:rPr>
          <w:rFonts w:ascii="Book Antiqua" w:eastAsia="Arial" w:hAnsi="Book Antiqua" w:cs="Arial"/>
          <w:b/>
          <w:sz w:val="24"/>
          <w:szCs w:val="24"/>
          <w:lang w:val="en-US" w:bidi="hi-IN"/>
        </w:rPr>
        <w:t xml:space="preserve"> </w:t>
      </w:r>
      <w:r w:rsidR="00650485" w:rsidRPr="00650485">
        <w:rPr>
          <w:rFonts w:ascii="Book Antiqua" w:hAnsi="Book Antiqua" w:cs="Arial"/>
          <w:b/>
          <w:sz w:val="24"/>
          <w:szCs w:val="24"/>
          <w:lang w:val="en-US"/>
        </w:rPr>
        <w:t>Computed tomography</w:t>
      </w:r>
      <w:r w:rsidRPr="00650485">
        <w:rPr>
          <w:rFonts w:ascii="Book Antiqua" w:eastAsia="Arial" w:hAnsi="Book Antiqua" w:cs="Arial"/>
          <w:b/>
          <w:sz w:val="24"/>
          <w:szCs w:val="24"/>
          <w:lang w:val="en-US" w:bidi="hi-IN"/>
        </w:rPr>
        <w:t xml:space="preserve"> scan of abdomen showing left adrenal mass measuring 40 mm </w:t>
      </w:r>
      <w:r w:rsidR="00650485">
        <w:rPr>
          <w:rFonts w:ascii="Arial" w:eastAsia="Arial" w:hAnsi="Arial" w:cs="Arial"/>
          <w:b/>
          <w:sz w:val="24"/>
          <w:szCs w:val="24"/>
          <w:lang w:val="en-US" w:bidi="hi-IN"/>
        </w:rPr>
        <w:t>×</w:t>
      </w:r>
      <w:r w:rsidRPr="00650485">
        <w:rPr>
          <w:rFonts w:ascii="Book Antiqua" w:eastAsia="Arial" w:hAnsi="Book Antiqua" w:cs="Arial"/>
          <w:b/>
          <w:sz w:val="24"/>
          <w:szCs w:val="24"/>
          <w:lang w:val="en-US" w:bidi="hi-IN"/>
        </w:rPr>
        <w:t xml:space="preserve"> 34 mm.</w:t>
      </w:r>
    </w:p>
    <w:p w:rsidR="006F51A4" w:rsidRPr="00650485" w:rsidRDefault="00464914" w:rsidP="00650485">
      <w:pPr>
        <w:overflowPunct w:val="0"/>
        <w:spacing w:line="360" w:lineRule="auto"/>
        <w:jc w:val="both"/>
        <w:rPr>
          <w:rFonts w:ascii="Book Antiqua" w:hAnsi="Book Antiqua"/>
          <w:sz w:val="24"/>
          <w:szCs w:val="24"/>
          <w:lang w:val="en-US"/>
        </w:rPr>
      </w:pPr>
      <w:r w:rsidRPr="00650485">
        <w:rPr>
          <w:rFonts w:ascii="Book Antiqua" w:hAnsi="Book Antiqua" w:cs="Arial"/>
          <w:sz w:val="24"/>
          <w:szCs w:val="24"/>
          <w:lang w:val="en-US"/>
        </w:rPr>
        <w:br w:type="page"/>
      </w:r>
      <w:r w:rsidR="006F51A4" w:rsidRPr="00650485">
        <w:rPr>
          <w:rFonts w:ascii="Book Antiqua" w:eastAsia="Arial" w:hAnsi="Book Antiqua" w:cs="Arial"/>
          <w:sz w:val="24"/>
          <w:szCs w:val="24"/>
          <w:lang w:val="en-US" w:bidi="hi-IN"/>
        </w:rPr>
        <w:t xml:space="preserve"> </w:t>
      </w:r>
    </w:p>
    <w:p w:rsidR="00A3222E" w:rsidRPr="00650485" w:rsidRDefault="00DB36DD" w:rsidP="00650485">
      <w:pPr>
        <w:shd w:val="clear" w:color="auto" w:fill="FFFFFF"/>
        <w:spacing w:line="360" w:lineRule="auto"/>
        <w:ind w:left="567" w:hanging="567"/>
        <w:jc w:val="both"/>
        <w:rPr>
          <w:rFonts w:ascii="Book Antiqua" w:hAnsi="Book Antiqua" w:cs="Arial"/>
          <w:sz w:val="24"/>
          <w:szCs w:val="24"/>
          <w:lang w:val="en-US"/>
        </w:rPr>
      </w:pPr>
      <w:r>
        <w:rPr>
          <w:rFonts w:ascii="Book Antiqua" w:hAnsi="Book Antiqua"/>
          <w:noProof/>
          <w:sz w:val="24"/>
          <w:szCs w:val="24"/>
          <w:lang w:val="en-US"/>
        </w:rPr>
        <w:drawing>
          <wp:anchor distT="0" distB="0" distL="0" distR="0" simplePos="0" relativeHeight="251656704" behindDoc="0" locked="0" layoutInCell="1" allowOverlap="1">
            <wp:simplePos x="0" y="0"/>
            <wp:positionH relativeFrom="column">
              <wp:posOffset>0</wp:posOffset>
            </wp:positionH>
            <wp:positionV relativeFrom="paragraph">
              <wp:posOffset>106045</wp:posOffset>
            </wp:positionV>
            <wp:extent cx="6119495" cy="2294255"/>
            <wp:effectExtent l="0" t="0" r="0" b="0"/>
            <wp:wrapSquare wrapText="larges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2294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3222E" w:rsidRPr="00650485" w:rsidRDefault="006F51A4" w:rsidP="00650485">
      <w:pPr>
        <w:pStyle w:val="Standard"/>
        <w:spacing w:line="360" w:lineRule="auto"/>
        <w:jc w:val="both"/>
        <w:rPr>
          <w:rFonts w:ascii="Book Antiqua" w:hAnsi="Book Antiqua" w:cs="Arial"/>
          <w:lang w:val="en-US"/>
        </w:rPr>
      </w:pPr>
      <w:r w:rsidRPr="00650485">
        <w:rPr>
          <w:rFonts w:ascii="Book Antiqua" w:hAnsi="Book Antiqua" w:cs="Arial"/>
          <w:b/>
          <w:lang w:val="en-US"/>
        </w:rPr>
        <w:t>F</w:t>
      </w:r>
      <w:r w:rsidRPr="00650485">
        <w:rPr>
          <w:rFonts w:ascii="Book Antiqua" w:eastAsia="Arial" w:hAnsi="Book Antiqua" w:cs="Arial"/>
          <w:b/>
          <w:bCs/>
          <w:lang w:val="en-US" w:bidi="hi-IN"/>
        </w:rPr>
        <w:t>igure 2</w:t>
      </w:r>
      <w:r w:rsidRPr="00650485">
        <w:rPr>
          <w:rFonts w:ascii="Book Antiqua" w:eastAsia="Arial" w:hAnsi="Book Antiqua" w:cs="Arial"/>
          <w:b/>
          <w:lang w:val="en-US" w:bidi="hi-IN"/>
        </w:rPr>
        <w:t xml:space="preserve"> </w:t>
      </w:r>
      <w:r w:rsidRPr="00650485">
        <w:rPr>
          <w:rStyle w:val="a3"/>
          <w:rFonts w:ascii="Book Antiqua" w:eastAsia="Arial" w:hAnsi="Book Antiqua" w:cs="Arial"/>
          <w:b/>
          <w:i w:val="0"/>
          <w:iCs w:val="0"/>
          <w:lang w:val="en-US" w:bidi="hi-IN"/>
        </w:rPr>
        <w:t>Hematoxylin</w:t>
      </w:r>
      <w:r w:rsidRPr="00650485">
        <w:rPr>
          <w:rFonts w:ascii="Book Antiqua" w:eastAsia="Arial" w:hAnsi="Book Antiqua" w:cs="Arial"/>
          <w:b/>
          <w:lang w:val="en-US" w:bidi="hi-IN"/>
        </w:rPr>
        <w:t xml:space="preserve"> and eosin </w:t>
      </w:r>
      <w:r w:rsidRPr="00650485">
        <w:rPr>
          <w:rStyle w:val="a3"/>
          <w:rFonts w:ascii="Book Antiqua" w:eastAsia="Arial" w:hAnsi="Book Antiqua" w:cs="Arial"/>
          <w:b/>
          <w:i w:val="0"/>
          <w:iCs w:val="0"/>
          <w:lang w:val="en-US" w:bidi="hi-IN"/>
        </w:rPr>
        <w:t>stain</w:t>
      </w:r>
      <w:r w:rsidRPr="00650485">
        <w:rPr>
          <w:rFonts w:ascii="Book Antiqua" w:eastAsia="Arial" w:hAnsi="Book Antiqua" w:cs="Arial"/>
          <w:b/>
          <w:lang w:val="en-US" w:bidi="hi-IN"/>
        </w:rPr>
        <w:t xml:space="preserve"> of endometrial endometrioid carcinoma. </w:t>
      </w:r>
      <w:r w:rsidRPr="00650485">
        <w:rPr>
          <w:rFonts w:ascii="Book Antiqua" w:eastAsia="Arial" w:hAnsi="Book Antiqua" w:cs="Arial"/>
          <w:lang w:val="en-US" w:bidi="hi-IN"/>
        </w:rPr>
        <w:t>A: panoramic view of left adrenal gland; B: high magnification showing the glandular pattern of neoplastic cells.</w:t>
      </w:r>
    </w:p>
    <w:p w:rsidR="00A3222E" w:rsidRPr="00650485" w:rsidRDefault="006F51A4" w:rsidP="00650485">
      <w:pPr>
        <w:pStyle w:val="Standard"/>
        <w:spacing w:line="360" w:lineRule="auto"/>
        <w:jc w:val="both"/>
        <w:rPr>
          <w:rFonts w:ascii="Book Antiqua" w:hAnsi="Book Antiqua" w:cs="Arial"/>
          <w:lang w:val="en-US"/>
        </w:rPr>
      </w:pPr>
      <w:r w:rsidRPr="00650485">
        <w:rPr>
          <w:rFonts w:ascii="Book Antiqua" w:hAnsi="Book Antiqua" w:cs="Arial"/>
          <w:lang w:val="en-US"/>
        </w:rPr>
        <w:br w:type="page"/>
      </w:r>
    </w:p>
    <w:p w:rsidR="00A3222E" w:rsidRPr="00650485" w:rsidRDefault="00DB36DD" w:rsidP="00650485">
      <w:pPr>
        <w:pStyle w:val="Standard"/>
        <w:spacing w:line="360" w:lineRule="auto"/>
        <w:jc w:val="both"/>
        <w:rPr>
          <w:rFonts w:ascii="Book Antiqua" w:hAnsi="Book Antiqua" w:cs="Arial"/>
          <w:lang w:val="en-US"/>
        </w:rPr>
      </w:pPr>
      <w:r>
        <w:rPr>
          <w:rFonts w:ascii="Book Antiqua" w:hAnsi="Book Antiqua"/>
          <w:noProof/>
          <w:lang w:val="en-US"/>
        </w:rPr>
        <w:drawing>
          <wp:anchor distT="0" distB="0" distL="0" distR="0" simplePos="0" relativeHeight="251657728" behindDoc="0" locked="0" layoutInCell="1" allowOverlap="1">
            <wp:simplePos x="0" y="0"/>
            <wp:positionH relativeFrom="column">
              <wp:align>center</wp:align>
            </wp:positionH>
            <wp:positionV relativeFrom="paragraph">
              <wp:align>top</wp:align>
            </wp:positionV>
            <wp:extent cx="6119495" cy="2294255"/>
            <wp:effectExtent l="0" t="0" r="0" b="0"/>
            <wp:wrapSquare wrapText="larges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2294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51A4" w:rsidRPr="00650485" w:rsidRDefault="006F51A4" w:rsidP="00650485">
      <w:pPr>
        <w:overflowPunct w:val="0"/>
        <w:spacing w:line="360" w:lineRule="auto"/>
        <w:jc w:val="both"/>
        <w:rPr>
          <w:rFonts w:ascii="Book Antiqua" w:hAnsi="Book Antiqua"/>
          <w:sz w:val="24"/>
          <w:szCs w:val="24"/>
          <w:lang w:val="en-US"/>
        </w:rPr>
      </w:pPr>
      <w:r w:rsidRPr="00650485">
        <w:rPr>
          <w:rFonts w:ascii="Book Antiqua" w:eastAsia="Arial" w:hAnsi="Book Antiqua" w:cs="Arial"/>
          <w:b/>
          <w:bCs/>
          <w:sz w:val="24"/>
          <w:szCs w:val="24"/>
          <w:lang w:val="en-US" w:bidi="hi-IN"/>
        </w:rPr>
        <w:t>Figure 3</w:t>
      </w:r>
      <w:r w:rsidRPr="00650485">
        <w:rPr>
          <w:rFonts w:ascii="Book Antiqua" w:eastAsia="Arial" w:hAnsi="Book Antiqua" w:cs="Arial"/>
          <w:sz w:val="24"/>
          <w:szCs w:val="24"/>
          <w:lang w:val="en-US" w:bidi="hi-IN"/>
        </w:rPr>
        <w:t xml:space="preserve"> </w:t>
      </w:r>
      <w:r w:rsidRPr="00650485">
        <w:rPr>
          <w:rFonts w:ascii="Book Antiqua" w:eastAsia="Arial" w:hAnsi="Book Antiqua" w:cs="Arial"/>
          <w:b/>
          <w:sz w:val="24"/>
          <w:szCs w:val="24"/>
          <w:lang w:val="en-US" w:bidi="hi-IN"/>
        </w:rPr>
        <w:t>Immunohistochemical staining.</w:t>
      </w:r>
      <w:r w:rsidRPr="00650485">
        <w:rPr>
          <w:rFonts w:ascii="Book Antiqua" w:eastAsia="Arial" w:hAnsi="Book Antiqua" w:cs="Arial"/>
          <w:sz w:val="24"/>
          <w:szCs w:val="24"/>
          <w:lang w:val="en-US" w:bidi="hi-IN"/>
        </w:rPr>
        <w:t xml:space="preserve"> A, B: Immunohistochemical staining positive for estrogen receptors (A) and progesterone receptors (B) shows high reactivity in metastatic cells.</w:t>
      </w:r>
    </w:p>
    <w:p w:rsidR="00707989" w:rsidRPr="00650485" w:rsidRDefault="00707989" w:rsidP="00650485">
      <w:pPr>
        <w:spacing w:line="360" w:lineRule="auto"/>
        <w:jc w:val="both"/>
        <w:rPr>
          <w:rFonts w:ascii="Book Antiqua" w:hAnsi="Book Antiqua"/>
          <w:sz w:val="24"/>
          <w:szCs w:val="24"/>
          <w:lang w:val="en-US"/>
        </w:rPr>
      </w:pPr>
    </w:p>
    <w:sectPr w:rsidR="00707989" w:rsidRPr="00650485" w:rsidSect="0036351E">
      <w:footerReference w:type="even" r:id="rId12"/>
      <w:footerReference w:type="default" r:id="rId1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209" w:rsidRDefault="00A14209" w:rsidP="00B84833">
      <w:r>
        <w:separator/>
      </w:r>
    </w:p>
  </w:endnote>
  <w:endnote w:type="continuationSeparator" w:id="0">
    <w:p w:rsidR="00A14209" w:rsidRDefault="00A14209" w:rsidP="00B8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01"/>
    <w:family w:val="swiss"/>
    <w:pitch w:val="variable"/>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ヒラギノ角ゴ Pro W3">
    <w:altName w:val="MS Gothic"/>
    <w:charset w:val="80"/>
    <w:family w:val="swiss"/>
    <w:pitch w:val="variable"/>
    <w:sig w:usb0="00000000" w:usb1="7AC7FFFF" w:usb2="00000012" w:usb3="00000000" w:csb0="0002000D" w:csb1="00000000"/>
  </w:font>
  <w:font w:name="Times New Roman1">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等线 Light">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3" w:rsidRDefault="00B84833" w:rsidP="00E86BB9">
    <w:pPr>
      <w:pStyle w:val="af"/>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p w:rsidR="00B84833" w:rsidRDefault="00B84833" w:rsidP="00B84833">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3" w:rsidRDefault="00B84833" w:rsidP="00E86BB9">
    <w:pPr>
      <w:pStyle w:val="af"/>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A14209">
      <w:rPr>
        <w:rStyle w:val="af3"/>
        <w:noProof/>
      </w:rPr>
      <w:t>1</w:t>
    </w:r>
    <w:r>
      <w:rPr>
        <w:rStyle w:val="af3"/>
      </w:rPr>
      <w:fldChar w:fldCharType="end"/>
    </w:r>
  </w:p>
  <w:p w:rsidR="00B84833" w:rsidRDefault="00B84833" w:rsidP="00B84833">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209" w:rsidRDefault="00A14209" w:rsidP="00B84833">
      <w:r>
        <w:separator/>
      </w:r>
    </w:p>
  </w:footnote>
  <w:footnote w:type="continuationSeparator" w:id="0">
    <w:p w:rsidR="00A14209" w:rsidRDefault="00A14209" w:rsidP="00B84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40"/>
    <w:rsid w:val="000A2BA6"/>
    <w:rsid w:val="000F7126"/>
    <w:rsid w:val="00104503"/>
    <w:rsid w:val="00107548"/>
    <w:rsid w:val="001117C5"/>
    <w:rsid w:val="002221AA"/>
    <w:rsid w:val="002247EE"/>
    <w:rsid w:val="00227103"/>
    <w:rsid w:val="00252C53"/>
    <w:rsid w:val="002B524E"/>
    <w:rsid w:val="002C7257"/>
    <w:rsid w:val="002E040D"/>
    <w:rsid w:val="003573E2"/>
    <w:rsid w:val="0036351E"/>
    <w:rsid w:val="003C7CD8"/>
    <w:rsid w:val="00464914"/>
    <w:rsid w:val="00526F00"/>
    <w:rsid w:val="005623F3"/>
    <w:rsid w:val="005B567D"/>
    <w:rsid w:val="005E07D1"/>
    <w:rsid w:val="00616C72"/>
    <w:rsid w:val="00625BC6"/>
    <w:rsid w:val="00650485"/>
    <w:rsid w:val="00663655"/>
    <w:rsid w:val="006F51A4"/>
    <w:rsid w:val="00705824"/>
    <w:rsid w:val="00707989"/>
    <w:rsid w:val="007F40E7"/>
    <w:rsid w:val="008041D3"/>
    <w:rsid w:val="00853E26"/>
    <w:rsid w:val="00872EDD"/>
    <w:rsid w:val="008823D0"/>
    <w:rsid w:val="008927DC"/>
    <w:rsid w:val="008C371F"/>
    <w:rsid w:val="008E1DA6"/>
    <w:rsid w:val="00965403"/>
    <w:rsid w:val="009A2ECA"/>
    <w:rsid w:val="009A5940"/>
    <w:rsid w:val="009C699D"/>
    <w:rsid w:val="009D6621"/>
    <w:rsid w:val="00A076C1"/>
    <w:rsid w:val="00A14209"/>
    <w:rsid w:val="00A3222E"/>
    <w:rsid w:val="00B62B7F"/>
    <w:rsid w:val="00B8179F"/>
    <w:rsid w:val="00B84833"/>
    <w:rsid w:val="00BF343B"/>
    <w:rsid w:val="00C05F34"/>
    <w:rsid w:val="00C35043"/>
    <w:rsid w:val="00C71169"/>
    <w:rsid w:val="00C75E90"/>
    <w:rsid w:val="00D35E4A"/>
    <w:rsid w:val="00D47F69"/>
    <w:rsid w:val="00DB36DD"/>
    <w:rsid w:val="00E40D32"/>
    <w:rsid w:val="00E64C19"/>
    <w:rsid w:val="00E72604"/>
    <w:rsid w:val="00E86BB9"/>
    <w:rsid w:val="00EA664B"/>
    <w:rsid w:val="00EB4A64"/>
    <w:rsid w:val="00EB5D60"/>
    <w:rsid w:val="00EC54CB"/>
    <w:rsid w:val="00EC7DEB"/>
    <w:rsid w:val="00F61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textAlignment w:val="baseline"/>
    </w:pPr>
    <w:rPr>
      <w:rFonts w:ascii="Calibri" w:eastAsia="宋体" w:hAnsi="Calibri" w:cs="F"/>
      <w:kern w:val="2"/>
      <w:szCs w:val="22"/>
      <w:lang w:val="it-I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arpredefinitoparagrafo2">
    <w:name w:val="Car. predefinito paragrafo2"/>
  </w:style>
  <w:style w:type="character" w:customStyle="1" w:styleId="Carpredefinitoparagrafo1">
    <w:name w:val="Car. predefinito paragrafo1"/>
  </w:style>
  <w:style w:type="character" w:customStyle="1" w:styleId="T16">
    <w:name w:val="T16"/>
    <w:rPr>
      <w:rFonts w:ascii="Times New Roman" w:hAnsi="Times New Roman" w:cs="Times New Roman"/>
      <w:vertAlign w:val="superscript"/>
    </w:rPr>
  </w:style>
  <w:style w:type="character" w:customStyle="1" w:styleId="T2">
    <w:name w:val="T2"/>
    <w:rPr>
      <w:rFonts w:ascii="Times New Roman" w:hAnsi="Times New Roman" w:cs="Times New Roman"/>
    </w:rPr>
  </w:style>
  <w:style w:type="character" w:customStyle="1" w:styleId="T3">
    <w:name w:val="T3"/>
    <w:rPr>
      <w:rFonts w:ascii="Times New Roman" w:hAnsi="Times New Roman" w:cs="Times New Roman"/>
      <w:b/>
    </w:rPr>
  </w:style>
  <w:style w:type="character" w:customStyle="1" w:styleId="T17">
    <w:name w:val="T17"/>
    <w:rPr>
      <w:rFonts w:ascii="Times New Roman" w:hAnsi="Times New Roman" w:cs="Times New Roman"/>
      <w:vertAlign w:val="superscript"/>
    </w:rPr>
  </w:style>
  <w:style w:type="character" w:styleId="a3">
    <w:name w:val="Emphasis"/>
    <w:qFormat/>
    <w:rPr>
      <w:i/>
      <w:iCs/>
    </w:rPr>
  </w:style>
  <w:style w:type="character" w:customStyle="1" w:styleId="Internetlink">
    <w:name w:val="Internet link"/>
    <w:rPr>
      <w:color w:val="0000FF"/>
      <w:u w:val="single"/>
    </w:rPr>
  </w:style>
  <w:style w:type="character" w:customStyle="1" w:styleId="highlight">
    <w:name w:val="highlight"/>
    <w:basedOn w:val="Carpredefinitoparagrafo1"/>
  </w:style>
  <w:style w:type="character" w:customStyle="1" w:styleId="Menzionenonrisolta1">
    <w:name w:val="Menzione non risolta1"/>
    <w:rPr>
      <w:color w:val="605E5C"/>
    </w:rPr>
  </w:style>
  <w:style w:type="character" w:styleId="a4">
    <w:name w:val="FollowedHyperlink"/>
    <w:rPr>
      <w:color w:val="954F72"/>
      <w:u w:val="single"/>
    </w:rPr>
  </w:style>
  <w:style w:type="character" w:customStyle="1" w:styleId="ListLabel1">
    <w:name w:val="ListLabel 1"/>
    <w:rPr>
      <w:rFonts w:ascii="Verdana" w:hAnsi="Verdana" w:cs="Verdana"/>
      <w:sz w:val="20"/>
      <w:lang w:val="en-GB"/>
    </w:rPr>
  </w:style>
  <w:style w:type="character" w:customStyle="1" w:styleId="ListLabel2">
    <w:name w:val="ListLabel 2"/>
    <w:rPr>
      <w:color w:val="00000A"/>
      <w:u w:val="none"/>
      <w:lang w:val="en-GB"/>
    </w:rPr>
  </w:style>
  <w:style w:type="character" w:customStyle="1" w:styleId="ListLabel3">
    <w:name w:val="ListLabel 3"/>
    <w:rPr>
      <w:color w:val="00000A"/>
      <w:u w:val="none"/>
      <w:lang w:val="en-US"/>
    </w:rPr>
  </w:style>
  <w:style w:type="character" w:customStyle="1" w:styleId="TestofumettoCarattere">
    <w:name w:val="Testo fumetto Carattere"/>
    <w:rPr>
      <w:rFonts w:ascii="Tahoma" w:eastAsia="Times New Roman" w:hAnsi="Tahoma" w:cs="Tahoma"/>
      <w:sz w:val="16"/>
      <w:szCs w:val="16"/>
    </w:rPr>
  </w:style>
  <w:style w:type="character" w:customStyle="1" w:styleId="orcid-id-https2">
    <w:name w:val="orcid-id-https2"/>
    <w:rPr>
      <w:sz w:val="18"/>
      <w:szCs w:val="18"/>
    </w:rPr>
  </w:style>
  <w:style w:type="character" w:styleId="a5">
    <w:name w:val="Hyperlink"/>
    <w:rPr>
      <w:color w:val="000080"/>
      <w:u w:val="single"/>
      <w:lang/>
    </w:rPr>
  </w:style>
  <w:style w:type="paragraph" w:customStyle="1" w:styleId="Titolo2">
    <w:name w:val="Titolo2"/>
    <w:basedOn w:val="a"/>
    <w:next w:val="a6"/>
    <w:pPr>
      <w:keepNext/>
      <w:spacing w:before="240" w:after="120"/>
    </w:pPr>
    <w:rPr>
      <w:rFonts w:ascii="Liberation Sans" w:eastAsia="微软雅黑" w:hAnsi="Liberation Sans" w:cs="Mangal"/>
      <w:sz w:val="28"/>
      <w:szCs w:val="28"/>
    </w:rPr>
  </w:style>
  <w:style w:type="paragraph" w:styleId="a6">
    <w:name w:val="Body Text"/>
    <w:basedOn w:val="a"/>
    <w:pPr>
      <w:spacing w:after="140" w:line="276" w:lineRule="auto"/>
    </w:pPr>
  </w:style>
  <w:style w:type="paragraph" w:styleId="a7">
    <w:name w:val="List"/>
    <w:basedOn w:val="Textbody"/>
    <w:rPr>
      <w:rFonts w:cs="Mangal"/>
    </w:rPr>
  </w:style>
  <w:style w:type="paragraph" w:styleId="a8">
    <w:name w:val="caption"/>
    <w:basedOn w:val="Standard"/>
    <w:qFormat/>
    <w:pPr>
      <w:suppressLineNumbers/>
      <w:spacing w:before="120" w:after="120" w:line="254" w:lineRule="auto"/>
    </w:pPr>
    <w:rPr>
      <w:rFonts w:ascii="Calibri" w:hAnsi="Calibri" w:cs="Mangal"/>
      <w:i/>
      <w:iCs/>
    </w:rPr>
  </w:style>
  <w:style w:type="paragraph" w:customStyle="1" w:styleId="Indice">
    <w:name w:val="Indice"/>
    <w:basedOn w:val="a"/>
    <w:pPr>
      <w:suppressLineNumbers/>
    </w:pPr>
    <w:rPr>
      <w:rFonts w:cs="Mangal"/>
    </w:rPr>
  </w:style>
  <w:style w:type="paragraph" w:customStyle="1" w:styleId="Standard">
    <w:name w:val="Standard"/>
    <w:pPr>
      <w:suppressAutoHyphens/>
      <w:textAlignment w:val="baseline"/>
    </w:pPr>
    <w:rPr>
      <w:color w:val="00000A"/>
      <w:kern w:val="2"/>
      <w:sz w:val="24"/>
      <w:szCs w:val="24"/>
      <w:lang w:val="it-IT"/>
    </w:rPr>
  </w:style>
  <w:style w:type="paragraph" w:customStyle="1" w:styleId="Titolo1">
    <w:name w:val="Titolo1"/>
    <w:basedOn w:val="Standard"/>
    <w:next w:val="a9"/>
    <w:pPr>
      <w:keepNext/>
      <w:spacing w:before="240" w:after="120" w:line="254" w:lineRule="auto"/>
    </w:pPr>
    <w:rPr>
      <w:rFonts w:ascii="Liberation Sans" w:eastAsia="Lucida Sans Unicode" w:hAnsi="Liberation Sans" w:cs="Mangal"/>
      <w:b/>
      <w:bCs/>
      <w:sz w:val="28"/>
      <w:szCs w:val="28"/>
    </w:rPr>
  </w:style>
  <w:style w:type="paragraph" w:customStyle="1" w:styleId="Textbody">
    <w:name w:val="Text body"/>
    <w:basedOn w:val="Standard"/>
    <w:pPr>
      <w:spacing w:after="140" w:line="288" w:lineRule="auto"/>
    </w:pPr>
    <w:rPr>
      <w:rFonts w:ascii="Calibri" w:hAnsi="Calibri" w:cs="F"/>
      <w:sz w:val="22"/>
      <w:szCs w:val="22"/>
    </w:rPr>
  </w:style>
  <w:style w:type="paragraph" w:customStyle="1" w:styleId="Heading">
    <w:name w:val="Heading"/>
    <w:basedOn w:val="Standard"/>
    <w:next w:val="Textbody"/>
    <w:pPr>
      <w:keepNext/>
      <w:spacing w:before="240" w:after="120"/>
    </w:pPr>
    <w:rPr>
      <w:rFonts w:ascii="Arial" w:eastAsia="微软雅黑" w:hAnsi="Arial" w:cs="Mangal"/>
      <w:sz w:val="28"/>
      <w:szCs w:val="28"/>
    </w:rPr>
  </w:style>
  <w:style w:type="paragraph" w:customStyle="1" w:styleId="Index">
    <w:name w:val="Index"/>
    <w:basedOn w:val="Standard"/>
    <w:pPr>
      <w:suppressLineNumbers/>
      <w:spacing w:after="160" w:line="254" w:lineRule="auto"/>
    </w:pPr>
    <w:rPr>
      <w:rFonts w:ascii="Calibri" w:hAnsi="Calibri" w:cs="Mangal"/>
      <w:sz w:val="22"/>
      <w:szCs w:val="22"/>
    </w:rPr>
  </w:style>
  <w:style w:type="paragraph" w:styleId="a9">
    <w:name w:val="Subtitle"/>
    <w:basedOn w:val="Heading"/>
    <w:next w:val="Textbody"/>
    <w:link w:val="aa"/>
    <w:uiPriority w:val="11"/>
    <w:qFormat/>
    <w:pPr>
      <w:jc w:val="center"/>
    </w:pPr>
    <w:rPr>
      <w:i/>
      <w:iCs/>
    </w:rPr>
  </w:style>
  <w:style w:type="paragraph" w:styleId="ab">
    <w:name w:val="列表段落"/>
    <w:basedOn w:val="Standard"/>
    <w:uiPriority w:val="34"/>
    <w:qFormat/>
    <w:pPr>
      <w:spacing w:after="160" w:line="254" w:lineRule="auto"/>
      <w:ind w:left="720"/>
    </w:pPr>
    <w:rPr>
      <w:rFonts w:ascii="Calibri" w:hAnsi="Calibri" w:cs="F"/>
      <w:sz w:val="22"/>
      <w:szCs w:val="22"/>
    </w:rPr>
  </w:style>
  <w:style w:type="paragraph" w:customStyle="1" w:styleId="P12">
    <w:name w:val="P12"/>
    <w:basedOn w:val="Standard"/>
    <w:pPr>
      <w:widowControl w:val="0"/>
    </w:pPr>
    <w:rPr>
      <w:rFonts w:ascii="Helvetica" w:eastAsia="ヒラギノ角ゴ Pro W3" w:hAnsi="Helvetica" w:cs="Times New Roman1"/>
      <w:szCs w:val="20"/>
    </w:rPr>
  </w:style>
  <w:style w:type="paragraph" w:customStyle="1" w:styleId="P14">
    <w:name w:val="P14"/>
    <w:basedOn w:val="Standard"/>
    <w:pPr>
      <w:widowControl w:val="0"/>
    </w:pPr>
    <w:rPr>
      <w:rFonts w:eastAsia="ヒラギノ角ゴ Pro W3" w:cs="Times New Roman1"/>
      <w:szCs w:val="20"/>
    </w:rPr>
  </w:style>
  <w:style w:type="paragraph" w:styleId="ac">
    <w:name w:val="Balloon Text"/>
    <w:basedOn w:val="Standard"/>
    <w:rPr>
      <w:rFonts w:ascii="Tahoma" w:hAnsi="Tahoma" w:cs="Tahoma"/>
      <w:sz w:val="16"/>
      <w:szCs w:val="16"/>
    </w:rPr>
  </w:style>
  <w:style w:type="paragraph" w:customStyle="1" w:styleId="Contenutotabella">
    <w:name w:val="Contenuto tabella"/>
    <w:basedOn w:val="a"/>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a"/>
  </w:style>
  <w:style w:type="paragraph" w:styleId="ad">
    <w:name w:val="header"/>
    <w:basedOn w:val="a"/>
    <w:link w:val="ae"/>
    <w:uiPriority w:val="99"/>
    <w:unhideWhenUsed/>
    <w:rsid w:val="00B84833"/>
    <w:pPr>
      <w:tabs>
        <w:tab w:val="center" w:pos="4819"/>
        <w:tab w:val="right" w:pos="9638"/>
      </w:tabs>
    </w:pPr>
  </w:style>
  <w:style w:type="character" w:customStyle="1" w:styleId="ae">
    <w:name w:val="页眉 字符"/>
    <w:link w:val="ad"/>
    <w:uiPriority w:val="99"/>
    <w:rsid w:val="00B84833"/>
    <w:rPr>
      <w:rFonts w:ascii="Calibri" w:eastAsia="宋体" w:hAnsi="Calibri" w:cs="F"/>
      <w:kern w:val="2"/>
      <w:szCs w:val="22"/>
      <w:lang w:eastAsia="zh-CN"/>
    </w:rPr>
  </w:style>
  <w:style w:type="paragraph" w:styleId="af">
    <w:name w:val="footer"/>
    <w:basedOn w:val="a"/>
    <w:link w:val="af0"/>
    <w:uiPriority w:val="99"/>
    <w:unhideWhenUsed/>
    <w:rsid w:val="00B84833"/>
    <w:pPr>
      <w:tabs>
        <w:tab w:val="center" w:pos="4819"/>
        <w:tab w:val="right" w:pos="9638"/>
      </w:tabs>
    </w:pPr>
  </w:style>
  <w:style w:type="character" w:customStyle="1" w:styleId="af0">
    <w:name w:val="页脚 字符"/>
    <w:link w:val="af"/>
    <w:uiPriority w:val="99"/>
    <w:rsid w:val="00B84833"/>
    <w:rPr>
      <w:rFonts w:ascii="Calibri" w:eastAsia="宋体" w:hAnsi="Calibri" w:cs="F"/>
      <w:kern w:val="2"/>
      <w:szCs w:val="22"/>
      <w:lang w:eastAsia="zh-CN"/>
    </w:rPr>
  </w:style>
  <w:style w:type="character" w:styleId="af1">
    <w:name w:val="Strong"/>
    <w:uiPriority w:val="22"/>
    <w:qFormat/>
    <w:rsid w:val="00B84833"/>
    <w:rPr>
      <w:b/>
      <w:bCs/>
    </w:rPr>
  </w:style>
  <w:style w:type="character" w:styleId="af2">
    <w:name w:val="line number"/>
    <w:uiPriority w:val="99"/>
    <w:semiHidden/>
    <w:unhideWhenUsed/>
    <w:rsid w:val="00B84833"/>
  </w:style>
  <w:style w:type="character" w:styleId="af3">
    <w:name w:val="page number"/>
    <w:uiPriority w:val="99"/>
    <w:semiHidden/>
    <w:unhideWhenUsed/>
    <w:rsid w:val="00B84833"/>
  </w:style>
  <w:style w:type="paragraph" w:customStyle="1" w:styleId="1">
    <w:name w:val="正文1"/>
    <w:uiPriority w:val="99"/>
    <w:rsid w:val="00707989"/>
    <w:pPr>
      <w:spacing w:line="276" w:lineRule="auto"/>
    </w:pPr>
    <w:rPr>
      <w:rFonts w:ascii="Arial" w:eastAsia="宋体" w:hAnsi="Arial" w:cs="Arial"/>
      <w:color w:val="000000"/>
      <w:sz w:val="22"/>
      <w:lang w:val="pl-PL" w:eastAsia="pl-PL"/>
    </w:rPr>
  </w:style>
  <w:style w:type="character" w:styleId="af4">
    <w:name w:val="annotation reference"/>
    <w:uiPriority w:val="99"/>
    <w:unhideWhenUsed/>
    <w:rsid w:val="00707989"/>
    <w:rPr>
      <w:sz w:val="21"/>
      <w:szCs w:val="21"/>
    </w:rPr>
  </w:style>
  <w:style w:type="paragraph" w:styleId="af5">
    <w:name w:val="annotation text"/>
    <w:basedOn w:val="a"/>
    <w:link w:val="af6"/>
    <w:uiPriority w:val="99"/>
    <w:unhideWhenUsed/>
    <w:qFormat/>
    <w:rsid w:val="00707989"/>
  </w:style>
  <w:style w:type="character" w:customStyle="1" w:styleId="af6">
    <w:name w:val="批注文字 字符"/>
    <w:link w:val="af5"/>
    <w:uiPriority w:val="99"/>
    <w:semiHidden/>
    <w:rsid w:val="00707989"/>
    <w:rPr>
      <w:rFonts w:ascii="Calibri" w:eastAsia="宋体" w:hAnsi="Calibri" w:cs="F"/>
      <w:kern w:val="2"/>
      <w:szCs w:val="22"/>
      <w:lang w:val="it-IT"/>
    </w:rPr>
  </w:style>
  <w:style w:type="paragraph" w:styleId="af7">
    <w:name w:val="annotation subject"/>
    <w:basedOn w:val="af5"/>
    <w:next w:val="af5"/>
    <w:link w:val="af8"/>
    <w:uiPriority w:val="99"/>
    <w:semiHidden/>
    <w:unhideWhenUsed/>
    <w:rsid w:val="00707989"/>
    <w:rPr>
      <w:b/>
      <w:bCs/>
    </w:rPr>
  </w:style>
  <w:style w:type="character" w:customStyle="1" w:styleId="af8">
    <w:name w:val="批注主题 字符"/>
    <w:link w:val="af7"/>
    <w:uiPriority w:val="99"/>
    <w:semiHidden/>
    <w:rsid w:val="00707989"/>
    <w:rPr>
      <w:rFonts w:ascii="Calibri" w:eastAsia="宋体" w:hAnsi="Calibri" w:cs="F"/>
      <w:b/>
      <w:bCs/>
      <w:kern w:val="2"/>
      <w:szCs w:val="22"/>
      <w:lang w:val="it-IT"/>
    </w:rPr>
  </w:style>
  <w:style w:type="character" w:customStyle="1" w:styleId="10">
    <w:name w:val="批注文字 字符1"/>
    <w:uiPriority w:val="99"/>
    <w:qFormat/>
    <w:rsid w:val="00707989"/>
    <w:rPr>
      <w:rFonts w:eastAsia="MS Mincho"/>
      <w:kern w:val="2"/>
      <w:sz w:val="21"/>
    </w:rPr>
  </w:style>
  <w:style w:type="paragraph" w:styleId="af9">
    <w:name w:val="Revision"/>
    <w:hidden/>
    <w:uiPriority w:val="99"/>
    <w:semiHidden/>
    <w:rsid w:val="00663655"/>
    <w:rPr>
      <w:rFonts w:ascii="Calibri" w:eastAsia="宋体" w:hAnsi="Calibri" w:cs="F"/>
      <w:kern w:val="2"/>
      <w:szCs w:val="22"/>
      <w:lang w:val="it-IT"/>
    </w:rPr>
  </w:style>
  <w:style w:type="paragraph" w:customStyle="1" w:styleId="-21">
    <w:name w:val="浅色底纹 - 强调文字颜色 21"/>
    <w:basedOn w:val="a"/>
    <w:next w:val="a"/>
    <w:link w:val="-2"/>
    <w:uiPriority w:val="30"/>
    <w:qFormat/>
    <w:rsid w:val="008E1DA6"/>
    <w:pPr>
      <w:widowControl/>
      <w:pBdr>
        <w:top w:val="dotted" w:sz="2" w:space="10" w:color="833C0B"/>
        <w:bottom w:val="dotted" w:sz="2" w:space="4" w:color="833C0B"/>
      </w:pBdr>
      <w:suppressAutoHyphens w:val="0"/>
      <w:spacing w:before="160" w:after="200" w:line="300" w:lineRule="auto"/>
      <w:ind w:left="1440" w:right="1440"/>
      <w:textAlignment w:val="auto"/>
    </w:pPr>
    <w:rPr>
      <w:rFonts w:ascii="等线 Light" w:eastAsia="等线 Light" w:hAnsi="等线 Light" w:cs="Times New Roman"/>
      <w:caps/>
      <w:color w:val="823B0B"/>
      <w:spacing w:val="5"/>
      <w:kern w:val="0"/>
      <w:szCs w:val="20"/>
      <w:lang w:val="en-US"/>
    </w:rPr>
  </w:style>
  <w:style w:type="character" w:customStyle="1" w:styleId="-2">
    <w:name w:val="浅色底纹 - 强调文字颜色 2字符"/>
    <w:link w:val="-21"/>
    <w:uiPriority w:val="30"/>
    <w:rsid w:val="008E1DA6"/>
    <w:rPr>
      <w:rFonts w:ascii="等线 Light" w:eastAsia="等线 Light" w:hAnsi="等线 Light"/>
      <w:caps/>
      <w:color w:val="823B0B"/>
      <w:spacing w:val="5"/>
    </w:rPr>
  </w:style>
  <w:style w:type="character" w:customStyle="1" w:styleId="aa">
    <w:name w:val="副标题 字符"/>
    <w:link w:val="a9"/>
    <w:uiPriority w:val="11"/>
    <w:rsid w:val="00EC54CB"/>
    <w:rPr>
      <w:rFonts w:ascii="Arial" w:eastAsia="微软雅黑" w:hAnsi="Arial" w:cs="Mangal"/>
      <w:i/>
      <w:iCs/>
      <w:color w:val="00000A"/>
      <w:kern w:val="2"/>
      <w:sz w:val="28"/>
      <w:szCs w:val="28"/>
      <w:lang w:val="it-IT"/>
    </w:rPr>
  </w:style>
  <w:style w:type="paragraph" w:styleId="afa">
    <w:name w:val="Normal (Web)"/>
    <w:basedOn w:val="a"/>
    <w:uiPriority w:val="99"/>
    <w:unhideWhenUsed/>
    <w:rsid w:val="000A2BA6"/>
    <w:pPr>
      <w:widowControl/>
      <w:suppressAutoHyphens w:val="0"/>
      <w:spacing w:before="100" w:beforeAutospacing="1" w:after="100" w:afterAutospacing="1" w:line="252" w:lineRule="auto"/>
      <w:textAlignment w:val="auto"/>
    </w:pPr>
    <w:rPr>
      <w:rFonts w:ascii="Times New Roman" w:eastAsia="等线 Light" w:hAnsi="Times New Roman" w:cs="Times New Roman"/>
      <w:kern w:val="0"/>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textAlignment w:val="baseline"/>
    </w:pPr>
    <w:rPr>
      <w:rFonts w:ascii="Calibri" w:eastAsia="宋体" w:hAnsi="Calibri" w:cs="F"/>
      <w:kern w:val="2"/>
      <w:szCs w:val="22"/>
      <w:lang w:val="it-I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arpredefinitoparagrafo2">
    <w:name w:val="Car. predefinito paragrafo2"/>
  </w:style>
  <w:style w:type="character" w:customStyle="1" w:styleId="Carpredefinitoparagrafo1">
    <w:name w:val="Car. predefinito paragrafo1"/>
  </w:style>
  <w:style w:type="character" w:customStyle="1" w:styleId="T16">
    <w:name w:val="T16"/>
    <w:rPr>
      <w:rFonts w:ascii="Times New Roman" w:hAnsi="Times New Roman" w:cs="Times New Roman"/>
      <w:vertAlign w:val="superscript"/>
    </w:rPr>
  </w:style>
  <w:style w:type="character" w:customStyle="1" w:styleId="T2">
    <w:name w:val="T2"/>
    <w:rPr>
      <w:rFonts w:ascii="Times New Roman" w:hAnsi="Times New Roman" w:cs="Times New Roman"/>
    </w:rPr>
  </w:style>
  <w:style w:type="character" w:customStyle="1" w:styleId="T3">
    <w:name w:val="T3"/>
    <w:rPr>
      <w:rFonts w:ascii="Times New Roman" w:hAnsi="Times New Roman" w:cs="Times New Roman"/>
      <w:b/>
    </w:rPr>
  </w:style>
  <w:style w:type="character" w:customStyle="1" w:styleId="T17">
    <w:name w:val="T17"/>
    <w:rPr>
      <w:rFonts w:ascii="Times New Roman" w:hAnsi="Times New Roman" w:cs="Times New Roman"/>
      <w:vertAlign w:val="superscript"/>
    </w:rPr>
  </w:style>
  <w:style w:type="character" w:styleId="a3">
    <w:name w:val="Emphasis"/>
    <w:qFormat/>
    <w:rPr>
      <w:i/>
      <w:iCs/>
    </w:rPr>
  </w:style>
  <w:style w:type="character" w:customStyle="1" w:styleId="Internetlink">
    <w:name w:val="Internet link"/>
    <w:rPr>
      <w:color w:val="0000FF"/>
      <w:u w:val="single"/>
    </w:rPr>
  </w:style>
  <w:style w:type="character" w:customStyle="1" w:styleId="highlight">
    <w:name w:val="highlight"/>
    <w:basedOn w:val="Carpredefinitoparagrafo1"/>
  </w:style>
  <w:style w:type="character" w:customStyle="1" w:styleId="Menzionenonrisolta1">
    <w:name w:val="Menzione non risolta1"/>
    <w:rPr>
      <w:color w:val="605E5C"/>
    </w:rPr>
  </w:style>
  <w:style w:type="character" w:styleId="a4">
    <w:name w:val="FollowedHyperlink"/>
    <w:rPr>
      <w:color w:val="954F72"/>
      <w:u w:val="single"/>
    </w:rPr>
  </w:style>
  <w:style w:type="character" w:customStyle="1" w:styleId="ListLabel1">
    <w:name w:val="ListLabel 1"/>
    <w:rPr>
      <w:rFonts w:ascii="Verdana" w:hAnsi="Verdana" w:cs="Verdana"/>
      <w:sz w:val="20"/>
      <w:lang w:val="en-GB"/>
    </w:rPr>
  </w:style>
  <w:style w:type="character" w:customStyle="1" w:styleId="ListLabel2">
    <w:name w:val="ListLabel 2"/>
    <w:rPr>
      <w:color w:val="00000A"/>
      <w:u w:val="none"/>
      <w:lang w:val="en-GB"/>
    </w:rPr>
  </w:style>
  <w:style w:type="character" w:customStyle="1" w:styleId="ListLabel3">
    <w:name w:val="ListLabel 3"/>
    <w:rPr>
      <w:color w:val="00000A"/>
      <w:u w:val="none"/>
      <w:lang w:val="en-US"/>
    </w:rPr>
  </w:style>
  <w:style w:type="character" w:customStyle="1" w:styleId="TestofumettoCarattere">
    <w:name w:val="Testo fumetto Carattere"/>
    <w:rPr>
      <w:rFonts w:ascii="Tahoma" w:eastAsia="Times New Roman" w:hAnsi="Tahoma" w:cs="Tahoma"/>
      <w:sz w:val="16"/>
      <w:szCs w:val="16"/>
    </w:rPr>
  </w:style>
  <w:style w:type="character" w:customStyle="1" w:styleId="orcid-id-https2">
    <w:name w:val="orcid-id-https2"/>
    <w:rPr>
      <w:sz w:val="18"/>
      <w:szCs w:val="18"/>
    </w:rPr>
  </w:style>
  <w:style w:type="character" w:styleId="a5">
    <w:name w:val="Hyperlink"/>
    <w:rPr>
      <w:color w:val="000080"/>
      <w:u w:val="single"/>
      <w:lang/>
    </w:rPr>
  </w:style>
  <w:style w:type="paragraph" w:customStyle="1" w:styleId="Titolo2">
    <w:name w:val="Titolo2"/>
    <w:basedOn w:val="a"/>
    <w:next w:val="a6"/>
    <w:pPr>
      <w:keepNext/>
      <w:spacing w:before="240" w:after="120"/>
    </w:pPr>
    <w:rPr>
      <w:rFonts w:ascii="Liberation Sans" w:eastAsia="微软雅黑" w:hAnsi="Liberation Sans" w:cs="Mangal"/>
      <w:sz w:val="28"/>
      <w:szCs w:val="28"/>
    </w:rPr>
  </w:style>
  <w:style w:type="paragraph" w:styleId="a6">
    <w:name w:val="Body Text"/>
    <w:basedOn w:val="a"/>
    <w:pPr>
      <w:spacing w:after="140" w:line="276" w:lineRule="auto"/>
    </w:pPr>
  </w:style>
  <w:style w:type="paragraph" w:styleId="a7">
    <w:name w:val="List"/>
    <w:basedOn w:val="Textbody"/>
    <w:rPr>
      <w:rFonts w:cs="Mangal"/>
    </w:rPr>
  </w:style>
  <w:style w:type="paragraph" w:styleId="a8">
    <w:name w:val="caption"/>
    <w:basedOn w:val="Standard"/>
    <w:qFormat/>
    <w:pPr>
      <w:suppressLineNumbers/>
      <w:spacing w:before="120" w:after="120" w:line="254" w:lineRule="auto"/>
    </w:pPr>
    <w:rPr>
      <w:rFonts w:ascii="Calibri" w:hAnsi="Calibri" w:cs="Mangal"/>
      <w:i/>
      <w:iCs/>
    </w:rPr>
  </w:style>
  <w:style w:type="paragraph" w:customStyle="1" w:styleId="Indice">
    <w:name w:val="Indice"/>
    <w:basedOn w:val="a"/>
    <w:pPr>
      <w:suppressLineNumbers/>
    </w:pPr>
    <w:rPr>
      <w:rFonts w:cs="Mangal"/>
    </w:rPr>
  </w:style>
  <w:style w:type="paragraph" w:customStyle="1" w:styleId="Standard">
    <w:name w:val="Standard"/>
    <w:pPr>
      <w:suppressAutoHyphens/>
      <w:textAlignment w:val="baseline"/>
    </w:pPr>
    <w:rPr>
      <w:color w:val="00000A"/>
      <w:kern w:val="2"/>
      <w:sz w:val="24"/>
      <w:szCs w:val="24"/>
      <w:lang w:val="it-IT"/>
    </w:rPr>
  </w:style>
  <w:style w:type="paragraph" w:customStyle="1" w:styleId="Titolo1">
    <w:name w:val="Titolo1"/>
    <w:basedOn w:val="Standard"/>
    <w:next w:val="a9"/>
    <w:pPr>
      <w:keepNext/>
      <w:spacing w:before="240" w:after="120" w:line="254" w:lineRule="auto"/>
    </w:pPr>
    <w:rPr>
      <w:rFonts w:ascii="Liberation Sans" w:eastAsia="Lucida Sans Unicode" w:hAnsi="Liberation Sans" w:cs="Mangal"/>
      <w:b/>
      <w:bCs/>
      <w:sz w:val="28"/>
      <w:szCs w:val="28"/>
    </w:rPr>
  </w:style>
  <w:style w:type="paragraph" w:customStyle="1" w:styleId="Textbody">
    <w:name w:val="Text body"/>
    <w:basedOn w:val="Standard"/>
    <w:pPr>
      <w:spacing w:after="140" w:line="288" w:lineRule="auto"/>
    </w:pPr>
    <w:rPr>
      <w:rFonts w:ascii="Calibri" w:hAnsi="Calibri" w:cs="F"/>
      <w:sz w:val="22"/>
      <w:szCs w:val="22"/>
    </w:rPr>
  </w:style>
  <w:style w:type="paragraph" w:customStyle="1" w:styleId="Heading">
    <w:name w:val="Heading"/>
    <w:basedOn w:val="Standard"/>
    <w:next w:val="Textbody"/>
    <w:pPr>
      <w:keepNext/>
      <w:spacing w:before="240" w:after="120"/>
    </w:pPr>
    <w:rPr>
      <w:rFonts w:ascii="Arial" w:eastAsia="微软雅黑" w:hAnsi="Arial" w:cs="Mangal"/>
      <w:sz w:val="28"/>
      <w:szCs w:val="28"/>
    </w:rPr>
  </w:style>
  <w:style w:type="paragraph" w:customStyle="1" w:styleId="Index">
    <w:name w:val="Index"/>
    <w:basedOn w:val="Standard"/>
    <w:pPr>
      <w:suppressLineNumbers/>
      <w:spacing w:after="160" w:line="254" w:lineRule="auto"/>
    </w:pPr>
    <w:rPr>
      <w:rFonts w:ascii="Calibri" w:hAnsi="Calibri" w:cs="Mangal"/>
      <w:sz w:val="22"/>
      <w:szCs w:val="22"/>
    </w:rPr>
  </w:style>
  <w:style w:type="paragraph" w:styleId="a9">
    <w:name w:val="Subtitle"/>
    <w:basedOn w:val="Heading"/>
    <w:next w:val="Textbody"/>
    <w:link w:val="aa"/>
    <w:uiPriority w:val="11"/>
    <w:qFormat/>
    <w:pPr>
      <w:jc w:val="center"/>
    </w:pPr>
    <w:rPr>
      <w:i/>
      <w:iCs/>
    </w:rPr>
  </w:style>
  <w:style w:type="paragraph" w:styleId="ab">
    <w:name w:val="列表段落"/>
    <w:basedOn w:val="Standard"/>
    <w:uiPriority w:val="34"/>
    <w:qFormat/>
    <w:pPr>
      <w:spacing w:after="160" w:line="254" w:lineRule="auto"/>
      <w:ind w:left="720"/>
    </w:pPr>
    <w:rPr>
      <w:rFonts w:ascii="Calibri" w:hAnsi="Calibri" w:cs="F"/>
      <w:sz w:val="22"/>
      <w:szCs w:val="22"/>
    </w:rPr>
  </w:style>
  <w:style w:type="paragraph" w:customStyle="1" w:styleId="P12">
    <w:name w:val="P12"/>
    <w:basedOn w:val="Standard"/>
    <w:pPr>
      <w:widowControl w:val="0"/>
    </w:pPr>
    <w:rPr>
      <w:rFonts w:ascii="Helvetica" w:eastAsia="ヒラギノ角ゴ Pro W3" w:hAnsi="Helvetica" w:cs="Times New Roman1"/>
      <w:szCs w:val="20"/>
    </w:rPr>
  </w:style>
  <w:style w:type="paragraph" w:customStyle="1" w:styleId="P14">
    <w:name w:val="P14"/>
    <w:basedOn w:val="Standard"/>
    <w:pPr>
      <w:widowControl w:val="0"/>
    </w:pPr>
    <w:rPr>
      <w:rFonts w:eastAsia="ヒラギノ角ゴ Pro W3" w:cs="Times New Roman1"/>
      <w:szCs w:val="20"/>
    </w:rPr>
  </w:style>
  <w:style w:type="paragraph" w:styleId="ac">
    <w:name w:val="Balloon Text"/>
    <w:basedOn w:val="Standard"/>
    <w:rPr>
      <w:rFonts w:ascii="Tahoma" w:hAnsi="Tahoma" w:cs="Tahoma"/>
      <w:sz w:val="16"/>
      <w:szCs w:val="16"/>
    </w:rPr>
  </w:style>
  <w:style w:type="paragraph" w:customStyle="1" w:styleId="Contenutotabella">
    <w:name w:val="Contenuto tabella"/>
    <w:basedOn w:val="a"/>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a"/>
  </w:style>
  <w:style w:type="paragraph" w:styleId="ad">
    <w:name w:val="header"/>
    <w:basedOn w:val="a"/>
    <w:link w:val="ae"/>
    <w:uiPriority w:val="99"/>
    <w:unhideWhenUsed/>
    <w:rsid w:val="00B84833"/>
    <w:pPr>
      <w:tabs>
        <w:tab w:val="center" w:pos="4819"/>
        <w:tab w:val="right" w:pos="9638"/>
      </w:tabs>
    </w:pPr>
  </w:style>
  <w:style w:type="character" w:customStyle="1" w:styleId="ae">
    <w:name w:val="页眉 字符"/>
    <w:link w:val="ad"/>
    <w:uiPriority w:val="99"/>
    <w:rsid w:val="00B84833"/>
    <w:rPr>
      <w:rFonts w:ascii="Calibri" w:eastAsia="宋体" w:hAnsi="Calibri" w:cs="F"/>
      <w:kern w:val="2"/>
      <w:szCs w:val="22"/>
      <w:lang w:eastAsia="zh-CN"/>
    </w:rPr>
  </w:style>
  <w:style w:type="paragraph" w:styleId="af">
    <w:name w:val="footer"/>
    <w:basedOn w:val="a"/>
    <w:link w:val="af0"/>
    <w:uiPriority w:val="99"/>
    <w:unhideWhenUsed/>
    <w:rsid w:val="00B84833"/>
    <w:pPr>
      <w:tabs>
        <w:tab w:val="center" w:pos="4819"/>
        <w:tab w:val="right" w:pos="9638"/>
      </w:tabs>
    </w:pPr>
  </w:style>
  <w:style w:type="character" w:customStyle="1" w:styleId="af0">
    <w:name w:val="页脚 字符"/>
    <w:link w:val="af"/>
    <w:uiPriority w:val="99"/>
    <w:rsid w:val="00B84833"/>
    <w:rPr>
      <w:rFonts w:ascii="Calibri" w:eastAsia="宋体" w:hAnsi="Calibri" w:cs="F"/>
      <w:kern w:val="2"/>
      <w:szCs w:val="22"/>
      <w:lang w:eastAsia="zh-CN"/>
    </w:rPr>
  </w:style>
  <w:style w:type="character" w:styleId="af1">
    <w:name w:val="Strong"/>
    <w:uiPriority w:val="22"/>
    <w:qFormat/>
    <w:rsid w:val="00B84833"/>
    <w:rPr>
      <w:b/>
      <w:bCs/>
    </w:rPr>
  </w:style>
  <w:style w:type="character" w:styleId="af2">
    <w:name w:val="line number"/>
    <w:uiPriority w:val="99"/>
    <w:semiHidden/>
    <w:unhideWhenUsed/>
    <w:rsid w:val="00B84833"/>
  </w:style>
  <w:style w:type="character" w:styleId="af3">
    <w:name w:val="page number"/>
    <w:uiPriority w:val="99"/>
    <w:semiHidden/>
    <w:unhideWhenUsed/>
    <w:rsid w:val="00B84833"/>
  </w:style>
  <w:style w:type="paragraph" w:customStyle="1" w:styleId="1">
    <w:name w:val="正文1"/>
    <w:uiPriority w:val="99"/>
    <w:rsid w:val="00707989"/>
    <w:pPr>
      <w:spacing w:line="276" w:lineRule="auto"/>
    </w:pPr>
    <w:rPr>
      <w:rFonts w:ascii="Arial" w:eastAsia="宋体" w:hAnsi="Arial" w:cs="Arial"/>
      <w:color w:val="000000"/>
      <w:sz w:val="22"/>
      <w:lang w:val="pl-PL" w:eastAsia="pl-PL"/>
    </w:rPr>
  </w:style>
  <w:style w:type="character" w:styleId="af4">
    <w:name w:val="annotation reference"/>
    <w:uiPriority w:val="99"/>
    <w:unhideWhenUsed/>
    <w:rsid w:val="00707989"/>
    <w:rPr>
      <w:sz w:val="21"/>
      <w:szCs w:val="21"/>
    </w:rPr>
  </w:style>
  <w:style w:type="paragraph" w:styleId="af5">
    <w:name w:val="annotation text"/>
    <w:basedOn w:val="a"/>
    <w:link w:val="af6"/>
    <w:uiPriority w:val="99"/>
    <w:unhideWhenUsed/>
    <w:qFormat/>
    <w:rsid w:val="00707989"/>
  </w:style>
  <w:style w:type="character" w:customStyle="1" w:styleId="af6">
    <w:name w:val="批注文字 字符"/>
    <w:link w:val="af5"/>
    <w:uiPriority w:val="99"/>
    <w:semiHidden/>
    <w:rsid w:val="00707989"/>
    <w:rPr>
      <w:rFonts w:ascii="Calibri" w:eastAsia="宋体" w:hAnsi="Calibri" w:cs="F"/>
      <w:kern w:val="2"/>
      <w:szCs w:val="22"/>
      <w:lang w:val="it-IT"/>
    </w:rPr>
  </w:style>
  <w:style w:type="paragraph" w:styleId="af7">
    <w:name w:val="annotation subject"/>
    <w:basedOn w:val="af5"/>
    <w:next w:val="af5"/>
    <w:link w:val="af8"/>
    <w:uiPriority w:val="99"/>
    <w:semiHidden/>
    <w:unhideWhenUsed/>
    <w:rsid w:val="00707989"/>
    <w:rPr>
      <w:b/>
      <w:bCs/>
    </w:rPr>
  </w:style>
  <w:style w:type="character" w:customStyle="1" w:styleId="af8">
    <w:name w:val="批注主题 字符"/>
    <w:link w:val="af7"/>
    <w:uiPriority w:val="99"/>
    <w:semiHidden/>
    <w:rsid w:val="00707989"/>
    <w:rPr>
      <w:rFonts w:ascii="Calibri" w:eastAsia="宋体" w:hAnsi="Calibri" w:cs="F"/>
      <w:b/>
      <w:bCs/>
      <w:kern w:val="2"/>
      <w:szCs w:val="22"/>
      <w:lang w:val="it-IT"/>
    </w:rPr>
  </w:style>
  <w:style w:type="character" w:customStyle="1" w:styleId="10">
    <w:name w:val="批注文字 字符1"/>
    <w:uiPriority w:val="99"/>
    <w:qFormat/>
    <w:rsid w:val="00707989"/>
    <w:rPr>
      <w:rFonts w:eastAsia="MS Mincho"/>
      <w:kern w:val="2"/>
      <w:sz w:val="21"/>
    </w:rPr>
  </w:style>
  <w:style w:type="paragraph" w:styleId="af9">
    <w:name w:val="Revision"/>
    <w:hidden/>
    <w:uiPriority w:val="99"/>
    <w:semiHidden/>
    <w:rsid w:val="00663655"/>
    <w:rPr>
      <w:rFonts w:ascii="Calibri" w:eastAsia="宋体" w:hAnsi="Calibri" w:cs="F"/>
      <w:kern w:val="2"/>
      <w:szCs w:val="22"/>
      <w:lang w:val="it-IT"/>
    </w:rPr>
  </w:style>
  <w:style w:type="paragraph" w:customStyle="1" w:styleId="-21">
    <w:name w:val="浅色底纹 - 强调文字颜色 21"/>
    <w:basedOn w:val="a"/>
    <w:next w:val="a"/>
    <w:link w:val="-2"/>
    <w:uiPriority w:val="30"/>
    <w:qFormat/>
    <w:rsid w:val="008E1DA6"/>
    <w:pPr>
      <w:widowControl/>
      <w:pBdr>
        <w:top w:val="dotted" w:sz="2" w:space="10" w:color="833C0B"/>
        <w:bottom w:val="dotted" w:sz="2" w:space="4" w:color="833C0B"/>
      </w:pBdr>
      <w:suppressAutoHyphens w:val="0"/>
      <w:spacing w:before="160" w:after="200" w:line="300" w:lineRule="auto"/>
      <w:ind w:left="1440" w:right="1440"/>
      <w:textAlignment w:val="auto"/>
    </w:pPr>
    <w:rPr>
      <w:rFonts w:ascii="等线 Light" w:eastAsia="等线 Light" w:hAnsi="等线 Light" w:cs="Times New Roman"/>
      <w:caps/>
      <w:color w:val="823B0B"/>
      <w:spacing w:val="5"/>
      <w:kern w:val="0"/>
      <w:szCs w:val="20"/>
      <w:lang w:val="en-US"/>
    </w:rPr>
  </w:style>
  <w:style w:type="character" w:customStyle="1" w:styleId="-2">
    <w:name w:val="浅色底纹 - 强调文字颜色 2字符"/>
    <w:link w:val="-21"/>
    <w:uiPriority w:val="30"/>
    <w:rsid w:val="008E1DA6"/>
    <w:rPr>
      <w:rFonts w:ascii="等线 Light" w:eastAsia="等线 Light" w:hAnsi="等线 Light"/>
      <w:caps/>
      <w:color w:val="823B0B"/>
      <w:spacing w:val="5"/>
    </w:rPr>
  </w:style>
  <w:style w:type="character" w:customStyle="1" w:styleId="aa">
    <w:name w:val="副标题 字符"/>
    <w:link w:val="a9"/>
    <w:uiPriority w:val="11"/>
    <w:rsid w:val="00EC54CB"/>
    <w:rPr>
      <w:rFonts w:ascii="Arial" w:eastAsia="微软雅黑" w:hAnsi="Arial" w:cs="Mangal"/>
      <w:i/>
      <w:iCs/>
      <w:color w:val="00000A"/>
      <w:kern w:val="2"/>
      <w:sz w:val="28"/>
      <w:szCs w:val="28"/>
      <w:lang w:val="it-IT"/>
    </w:rPr>
  </w:style>
  <w:style w:type="paragraph" w:styleId="afa">
    <w:name w:val="Normal (Web)"/>
    <w:basedOn w:val="a"/>
    <w:uiPriority w:val="99"/>
    <w:unhideWhenUsed/>
    <w:rsid w:val="000A2BA6"/>
    <w:pPr>
      <w:widowControl/>
      <w:suppressAutoHyphens w:val="0"/>
      <w:spacing w:before="100" w:beforeAutospacing="1" w:after="100" w:afterAutospacing="1" w:line="252" w:lineRule="auto"/>
      <w:textAlignment w:val="auto"/>
    </w:pPr>
    <w:rPr>
      <w:rFonts w:ascii="Times New Roman" w:eastAsia="等线 Light" w:hAnsi="Times New Roman" w:cs="Times New Roman"/>
      <w:kern w:val="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80460">
      <w:bodyDiv w:val="1"/>
      <w:marLeft w:val="0"/>
      <w:marRight w:val="0"/>
      <w:marTop w:val="0"/>
      <w:marBottom w:val="0"/>
      <w:divBdr>
        <w:top w:val="none" w:sz="0" w:space="0" w:color="auto"/>
        <w:left w:val="none" w:sz="0" w:space="0" w:color="auto"/>
        <w:bottom w:val="none" w:sz="0" w:space="0" w:color="auto"/>
        <w:right w:val="none" w:sz="0" w:space="0" w:color="auto"/>
      </w:divBdr>
    </w:div>
    <w:div w:id="1930120780">
      <w:bodyDiv w:val="1"/>
      <w:marLeft w:val="0"/>
      <w:marRight w:val="0"/>
      <w:marTop w:val="0"/>
      <w:marBottom w:val="0"/>
      <w:divBdr>
        <w:top w:val="none" w:sz="0" w:space="0" w:color="auto"/>
        <w:left w:val="none" w:sz="0" w:space="0" w:color="auto"/>
        <w:bottom w:val="none" w:sz="0" w:space="0" w:color="auto"/>
        <w:right w:val="none" w:sz="0" w:space="0" w:color="auto"/>
      </w:divBdr>
    </w:div>
    <w:div w:id="209632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BCE9C-D191-4B63-B770-14C4D682A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3133</Words>
  <Characters>17859</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Serafini</dc:creator>
  <cp:lastModifiedBy>Wang Jie</cp:lastModifiedBy>
  <cp:revision>2</cp:revision>
  <cp:lastPrinted>2019-03-12T02:00:00Z</cp:lastPrinted>
  <dcterms:created xsi:type="dcterms:W3CDTF">2019-07-26T02:55:00Z</dcterms:created>
  <dcterms:modified xsi:type="dcterms:W3CDTF">2019-07-26T02:55:00Z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