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94BF0" w14:textId="77777777" w:rsidR="0011105F" w:rsidRPr="003771AE" w:rsidRDefault="0011105F" w:rsidP="00F17106">
      <w:pPr>
        <w:widowControl/>
        <w:pBdr>
          <w:top w:val="nil"/>
          <w:left w:val="nil"/>
          <w:bottom w:val="nil"/>
          <w:right w:val="nil"/>
          <w:between w:val="nil"/>
          <w:bar w:val="nil"/>
        </w:pBdr>
        <w:snapToGrid w:val="0"/>
        <w:spacing w:line="360" w:lineRule="auto"/>
        <w:rPr>
          <w:rFonts w:ascii="Book Antiqua" w:eastAsia="Book Antiqua" w:hAnsi="Book Antiqua" w:cs="Arial"/>
          <w:b/>
          <w:bCs/>
          <w:i/>
          <w:kern w:val="0"/>
          <w:sz w:val="24"/>
          <w:szCs w:val="24"/>
          <w:u w:color="000000"/>
          <w:bdr w:val="nil"/>
          <w:lang w:val="en-GB" w:eastAsia="pt-BR"/>
        </w:rPr>
      </w:pPr>
      <w:r w:rsidRPr="003771AE">
        <w:rPr>
          <w:rFonts w:ascii="Book Antiqua" w:eastAsia="Arial Unicode MS" w:hAnsi="Book Antiqua" w:cs="Arial"/>
          <w:b/>
          <w:bCs/>
          <w:kern w:val="0"/>
          <w:sz w:val="24"/>
          <w:szCs w:val="24"/>
          <w:u w:color="000000"/>
          <w:bdr w:val="nil"/>
          <w:lang w:val="en-GB" w:eastAsia="pt-BR"/>
        </w:rPr>
        <w:t xml:space="preserve">Name of Journal: </w:t>
      </w:r>
      <w:r w:rsidRPr="003771AE">
        <w:rPr>
          <w:rFonts w:ascii="Book Antiqua" w:eastAsia="Arial Unicode MS" w:hAnsi="Book Antiqua" w:cs="Arial"/>
          <w:b/>
          <w:bCs/>
          <w:i/>
          <w:kern w:val="0"/>
          <w:sz w:val="24"/>
          <w:szCs w:val="24"/>
          <w:u w:color="000000"/>
          <w:bdr w:val="nil"/>
          <w:lang w:val="en-GB" w:eastAsia="pt-BR"/>
        </w:rPr>
        <w:t>World Journal of Gastroenterology</w:t>
      </w:r>
    </w:p>
    <w:p w14:paraId="52F3345E" w14:textId="77777777" w:rsidR="0011105F" w:rsidRPr="003771AE" w:rsidRDefault="0011105F" w:rsidP="00F17106">
      <w:pPr>
        <w:widowControl/>
        <w:pBdr>
          <w:top w:val="nil"/>
          <w:left w:val="nil"/>
          <w:bottom w:val="nil"/>
          <w:right w:val="nil"/>
          <w:between w:val="nil"/>
          <w:bar w:val="nil"/>
        </w:pBdr>
        <w:snapToGrid w:val="0"/>
        <w:spacing w:line="360" w:lineRule="auto"/>
        <w:rPr>
          <w:rFonts w:ascii="Book Antiqua" w:eastAsia="Book Antiqua" w:hAnsi="Book Antiqua" w:cs="Arial"/>
          <w:b/>
          <w:bCs/>
          <w:kern w:val="0"/>
          <w:sz w:val="24"/>
          <w:szCs w:val="24"/>
          <w:u w:color="000000"/>
          <w:bdr w:val="nil"/>
          <w:lang w:val="en-GB" w:eastAsia="pt-BR"/>
        </w:rPr>
      </w:pPr>
      <w:r w:rsidRPr="003771AE">
        <w:rPr>
          <w:rFonts w:ascii="Book Antiqua" w:eastAsia="Arial Unicode MS" w:hAnsi="Book Antiqua" w:cs="Arial"/>
          <w:b/>
          <w:bCs/>
          <w:kern w:val="0"/>
          <w:sz w:val="24"/>
          <w:szCs w:val="24"/>
          <w:u w:color="000000"/>
          <w:bdr w:val="nil"/>
          <w:lang w:val="en-GB" w:eastAsia="pt-BR"/>
        </w:rPr>
        <w:t>Manuscript NO: 47633</w:t>
      </w:r>
    </w:p>
    <w:p w14:paraId="572CCF7E" w14:textId="77777777" w:rsidR="0011105F" w:rsidRPr="003771AE" w:rsidRDefault="0011105F" w:rsidP="00F17106">
      <w:pPr>
        <w:widowControl/>
        <w:pBdr>
          <w:top w:val="nil"/>
          <w:left w:val="nil"/>
          <w:bottom w:val="nil"/>
          <w:right w:val="nil"/>
          <w:between w:val="nil"/>
          <w:bar w:val="nil"/>
        </w:pBdr>
        <w:snapToGrid w:val="0"/>
        <w:spacing w:line="360" w:lineRule="auto"/>
        <w:rPr>
          <w:rFonts w:ascii="Book Antiqua" w:eastAsia="Book Antiqua" w:hAnsi="Book Antiqua" w:cs="Arial"/>
          <w:b/>
          <w:bCs/>
          <w:kern w:val="0"/>
          <w:sz w:val="24"/>
          <w:szCs w:val="24"/>
          <w:u w:color="000000"/>
          <w:bdr w:val="nil"/>
          <w:lang w:val="en-GB" w:eastAsia="pt-BR"/>
        </w:rPr>
      </w:pPr>
      <w:r w:rsidRPr="003771AE">
        <w:rPr>
          <w:rFonts w:ascii="Book Antiqua" w:eastAsia="Arial Unicode MS" w:hAnsi="Book Antiqua" w:cs="Arial"/>
          <w:b/>
          <w:bCs/>
          <w:kern w:val="0"/>
          <w:sz w:val="24"/>
          <w:szCs w:val="24"/>
          <w:u w:color="000000"/>
          <w:bdr w:val="nil"/>
          <w:lang w:val="en-GB" w:eastAsia="pt-BR"/>
        </w:rPr>
        <w:t>Manuscript Type: REVIEW</w:t>
      </w:r>
    </w:p>
    <w:p w14:paraId="6D20EA57" w14:textId="77777777" w:rsidR="0011105F" w:rsidRPr="003771AE" w:rsidRDefault="0011105F" w:rsidP="00F17106">
      <w:pPr>
        <w:widowControl/>
        <w:snapToGrid w:val="0"/>
        <w:spacing w:line="360" w:lineRule="auto"/>
        <w:rPr>
          <w:rFonts w:ascii="Book Antiqua" w:eastAsia="等线" w:hAnsi="Book Antiqua" w:cs="Times New Roman"/>
          <w:b/>
          <w:kern w:val="0"/>
          <w:sz w:val="24"/>
          <w:szCs w:val="24"/>
          <w:lang w:val="en-GB" w:eastAsia="en-US"/>
        </w:rPr>
      </w:pPr>
    </w:p>
    <w:p w14:paraId="22CAF615" w14:textId="77777777" w:rsidR="0011105F" w:rsidRPr="003771AE" w:rsidRDefault="0011105F" w:rsidP="00F17106">
      <w:pPr>
        <w:widowControl/>
        <w:snapToGrid w:val="0"/>
        <w:spacing w:line="360" w:lineRule="auto"/>
        <w:rPr>
          <w:rFonts w:ascii="Book Antiqua" w:eastAsia="等线" w:hAnsi="Book Antiqua" w:cs="Times New Roman"/>
          <w:b/>
          <w:kern w:val="0"/>
          <w:sz w:val="24"/>
          <w:szCs w:val="24"/>
          <w:lang w:val="en-GB" w:eastAsia="en-US"/>
        </w:rPr>
      </w:pPr>
      <w:r w:rsidRPr="003771AE">
        <w:rPr>
          <w:rFonts w:ascii="Book Antiqua" w:eastAsia="等线" w:hAnsi="Book Antiqua" w:cs="Times New Roman"/>
          <w:b/>
          <w:i/>
          <w:kern w:val="0"/>
          <w:sz w:val="24"/>
          <w:szCs w:val="24"/>
          <w:lang w:val="en-GB" w:eastAsia="en-US"/>
        </w:rPr>
        <w:t>Helicobacter pylori</w:t>
      </w:r>
      <w:r w:rsidRPr="003771AE">
        <w:rPr>
          <w:rFonts w:ascii="Book Antiqua" w:eastAsia="等线" w:hAnsi="Book Antiqua" w:cs="Times New Roman"/>
          <w:b/>
          <w:kern w:val="0"/>
          <w:sz w:val="24"/>
          <w:szCs w:val="24"/>
          <w:lang w:val="en-GB" w:eastAsia="en-US"/>
        </w:rPr>
        <w:t xml:space="preserve"> and cytokine gene variants as predictors of premalignant gastric lesions</w:t>
      </w:r>
    </w:p>
    <w:p w14:paraId="5F4F3B73" w14:textId="77777777" w:rsidR="0011105F" w:rsidRPr="003771AE" w:rsidRDefault="0011105F" w:rsidP="00F17106">
      <w:pPr>
        <w:widowControl/>
        <w:snapToGrid w:val="0"/>
        <w:spacing w:line="360" w:lineRule="auto"/>
        <w:rPr>
          <w:rFonts w:ascii="Book Antiqua" w:eastAsia="等线" w:hAnsi="Book Antiqua" w:cs="Times New Roman"/>
          <w:kern w:val="0"/>
          <w:sz w:val="24"/>
          <w:szCs w:val="24"/>
          <w:lang w:val="en-GB" w:eastAsia="en-US"/>
        </w:rPr>
      </w:pPr>
    </w:p>
    <w:p w14:paraId="7DA890FA" w14:textId="77777777" w:rsidR="0011105F" w:rsidRPr="003771AE" w:rsidRDefault="0011105F" w:rsidP="00F17106">
      <w:pPr>
        <w:widowControl/>
        <w:snapToGrid w:val="0"/>
        <w:spacing w:line="360" w:lineRule="auto"/>
        <w:rPr>
          <w:rFonts w:ascii="Book Antiqua" w:eastAsia="等线" w:hAnsi="Book Antiqua" w:cs="Times New Roman"/>
          <w:b/>
          <w:kern w:val="0"/>
          <w:sz w:val="24"/>
          <w:szCs w:val="24"/>
          <w:lang w:val="en-GB" w:eastAsia="en-US"/>
        </w:rPr>
      </w:pPr>
      <w:r w:rsidRPr="003771AE">
        <w:rPr>
          <w:rFonts w:ascii="Book Antiqua" w:eastAsia="等线" w:hAnsi="Book Antiqua" w:cs="Times New Roman"/>
          <w:kern w:val="0"/>
          <w:sz w:val="24"/>
          <w:szCs w:val="24"/>
          <w:lang w:val="en-GB" w:eastAsia="en-US"/>
        </w:rPr>
        <w:t xml:space="preserve">Negovan A </w:t>
      </w:r>
      <w:r w:rsidRPr="003771AE">
        <w:rPr>
          <w:rFonts w:ascii="Book Antiqua" w:eastAsia="等线" w:hAnsi="Book Antiqua" w:cs="Times New Roman"/>
          <w:i/>
          <w:kern w:val="0"/>
          <w:sz w:val="24"/>
          <w:szCs w:val="24"/>
          <w:lang w:val="en-GB" w:eastAsia="en-US"/>
        </w:rPr>
        <w:t>et al</w:t>
      </w:r>
      <w:r w:rsidRPr="003771AE">
        <w:rPr>
          <w:rFonts w:ascii="Book Antiqua" w:eastAsia="等线" w:hAnsi="Book Antiqua" w:cs="Times New Roman"/>
          <w:kern w:val="0"/>
          <w:sz w:val="24"/>
          <w:szCs w:val="24"/>
          <w:lang w:val="en-GB" w:eastAsia="en-US"/>
        </w:rPr>
        <w:t>. Cytokine gene variants and gastric premalignancies</w:t>
      </w:r>
    </w:p>
    <w:p w14:paraId="46CEBDBB" w14:textId="77777777" w:rsidR="0011105F" w:rsidRPr="003771AE" w:rsidRDefault="0011105F" w:rsidP="00F17106">
      <w:pPr>
        <w:widowControl/>
        <w:snapToGrid w:val="0"/>
        <w:spacing w:line="360" w:lineRule="auto"/>
        <w:rPr>
          <w:rFonts w:ascii="Book Antiqua" w:eastAsia="等线" w:hAnsi="Book Antiqua" w:cs="Times New Roman"/>
          <w:b/>
          <w:kern w:val="0"/>
          <w:sz w:val="24"/>
          <w:szCs w:val="24"/>
          <w:lang w:val="en-GB" w:eastAsia="en-US"/>
        </w:rPr>
      </w:pPr>
    </w:p>
    <w:p w14:paraId="045192F8" w14:textId="73F51D26" w:rsidR="0011105F" w:rsidRPr="003771AE" w:rsidRDefault="0011105F" w:rsidP="00F17106">
      <w:pPr>
        <w:widowControl/>
        <w:snapToGrid w:val="0"/>
        <w:spacing w:line="360" w:lineRule="auto"/>
        <w:rPr>
          <w:rFonts w:ascii="Book Antiqua" w:eastAsia="等线" w:hAnsi="Book Antiqua" w:cs="Times New Roman"/>
          <w:bCs/>
          <w:kern w:val="0"/>
          <w:sz w:val="24"/>
          <w:szCs w:val="24"/>
          <w:lang w:val="en-GB" w:eastAsia="en-US"/>
        </w:rPr>
      </w:pPr>
      <w:r w:rsidRPr="003771AE">
        <w:rPr>
          <w:rFonts w:ascii="Book Antiqua" w:eastAsia="等线" w:hAnsi="Book Antiqua" w:cs="Times New Roman"/>
          <w:bCs/>
          <w:kern w:val="0"/>
          <w:sz w:val="24"/>
          <w:szCs w:val="24"/>
          <w:lang w:val="en-GB" w:eastAsia="en-US"/>
        </w:rPr>
        <w:t>Anca Negovan, Mihaela</w:t>
      </w:r>
      <w:r w:rsidR="00D267A2" w:rsidRPr="003771AE">
        <w:rPr>
          <w:rFonts w:ascii="Book Antiqua" w:eastAsia="等线" w:hAnsi="Book Antiqua" w:cs="Times New Roman"/>
          <w:bCs/>
          <w:kern w:val="0"/>
          <w:sz w:val="24"/>
          <w:szCs w:val="24"/>
          <w:lang w:val="en-GB" w:eastAsia="en-US"/>
        </w:rPr>
        <w:t xml:space="preserve"> </w:t>
      </w:r>
      <w:r w:rsidRPr="003771AE">
        <w:rPr>
          <w:rFonts w:ascii="Book Antiqua" w:eastAsia="等线" w:hAnsi="Book Antiqua" w:cs="Times New Roman"/>
          <w:bCs/>
          <w:kern w:val="0"/>
          <w:sz w:val="24"/>
          <w:szCs w:val="24"/>
          <w:lang w:val="en-GB" w:eastAsia="en-US"/>
        </w:rPr>
        <w:t>Iancu, Emőke</w:t>
      </w:r>
      <w:r w:rsidR="00D267A2" w:rsidRPr="003771AE">
        <w:rPr>
          <w:rFonts w:ascii="Book Antiqua" w:eastAsia="等线" w:hAnsi="Book Antiqua" w:cs="Times New Roman"/>
          <w:bCs/>
          <w:kern w:val="0"/>
          <w:sz w:val="24"/>
          <w:szCs w:val="24"/>
          <w:lang w:val="en-GB" w:eastAsia="en-US"/>
        </w:rPr>
        <w:t xml:space="preserve"> </w:t>
      </w:r>
      <w:r w:rsidRPr="003771AE">
        <w:rPr>
          <w:rFonts w:ascii="Book Antiqua" w:eastAsia="等线" w:hAnsi="Book Antiqua" w:cs="Times New Roman"/>
          <w:bCs/>
          <w:kern w:val="0"/>
          <w:sz w:val="24"/>
          <w:szCs w:val="24"/>
          <w:lang w:val="en-GB" w:eastAsia="en-US"/>
        </w:rPr>
        <w:t>Fülöp, Claudia Bănescu</w:t>
      </w:r>
    </w:p>
    <w:p w14:paraId="487FD403" w14:textId="77777777" w:rsidR="0011105F" w:rsidRPr="003771AE" w:rsidRDefault="0011105F" w:rsidP="00F17106">
      <w:pPr>
        <w:widowControl/>
        <w:snapToGrid w:val="0"/>
        <w:spacing w:line="360" w:lineRule="auto"/>
        <w:rPr>
          <w:rFonts w:ascii="Book Antiqua" w:eastAsia="等线" w:hAnsi="Book Antiqua" w:cs="Times New Roman"/>
          <w:b/>
          <w:kern w:val="0"/>
          <w:sz w:val="24"/>
          <w:szCs w:val="24"/>
          <w:lang w:val="en-GB" w:eastAsia="en-US"/>
        </w:rPr>
      </w:pPr>
    </w:p>
    <w:p w14:paraId="6AF55F76" w14:textId="77777777" w:rsidR="0011105F" w:rsidRPr="003771AE" w:rsidRDefault="0011105F" w:rsidP="00F17106">
      <w:pPr>
        <w:widowControl/>
        <w:snapToGrid w:val="0"/>
        <w:spacing w:line="360" w:lineRule="auto"/>
        <w:rPr>
          <w:rFonts w:ascii="Book Antiqua" w:eastAsia="等线" w:hAnsi="Book Antiqua" w:cs="Times New Roman"/>
          <w:kern w:val="0"/>
          <w:sz w:val="24"/>
          <w:szCs w:val="24"/>
          <w:lang w:val="en-GB" w:eastAsia="en-US"/>
        </w:rPr>
      </w:pPr>
      <w:r w:rsidRPr="003771AE">
        <w:rPr>
          <w:rFonts w:ascii="Book Antiqua" w:eastAsia="等线" w:hAnsi="Book Antiqua" w:cs="Times New Roman"/>
          <w:b/>
          <w:kern w:val="0"/>
          <w:sz w:val="24"/>
          <w:szCs w:val="24"/>
          <w:lang w:val="en-GB" w:eastAsia="en-US"/>
        </w:rPr>
        <w:t xml:space="preserve">Anca Negovan, </w:t>
      </w:r>
      <w:r w:rsidRPr="003771AE">
        <w:rPr>
          <w:rFonts w:ascii="Book Antiqua" w:eastAsia="等线" w:hAnsi="Book Antiqua" w:cs="Times New Roman"/>
          <w:kern w:val="0"/>
          <w:sz w:val="24"/>
          <w:szCs w:val="24"/>
          <w:lang w:val="en-GB" w:eastAsia="en-US"/>
        </w:rPr>
        <w:t>Department of Clinical Science-Internal Medicine, University of Medicine, Pharmacy, Sciences and Technology of Târgu Mure</w:t>
      </w:r>
      <w:r w:rsidRPr="003771AE">
        <w:rPr>
          <w:rFonts w:ascii="Cambria" w:eastAsia="等线" w:hAnsi="Cambria" w:cs="Cambria"/>
          <w:kern w:val="0"/>
          <w:sz w:val="24"/>
          <w:szCs w:val="24"/>
          <w:lang w:val="en-GB" w:eastAsia="en-US"/>
        </w:rPr>
        <w:t>ș</w:t>
      </w:r>
      <w:r w:rsidRPr="003771AE">
        <w:rPr>
          <w:rFonts w:ascii="Book Antiqua" w:eastAsia="等线" w:hAnsi="Book Antiqua" w:cs="Times New Roman"/>
          <w:kern w:val="0"/>
          <w:sz w:val="24"/>
          <w:szCs w:val="24"/>
          <w:lang w:val="en-GB" w:eastAsia="en-US"/>
        </w:rPr>
        <w:t>, Mure</w:t>
      </w:r>
      <w:r w:rsidRPr="003771AE">
        <w:rPr>
          <w:rFonts w:ascii="Cambria" w:eastAsia="等线" w:hAnsi="Cambria" w:cs="Cambria"/>
          <w:kern w:val="0"/>
          <w:sz w:val="24"/>
          <w:szCs w:val="24"/>
          <w:lang w:val="en-GB" w:eastAsia="en-US"/>
        </w:rPr>
        <w:t>ș</w:t>
      </w:r>
      <w:r w:rsidRPr="003771AE">
        <w:rPr>
          <w:rFonts w:ascii="Book Antiqua" w:eastAsia="等线" w:hAnsi="Book Antiqua" w:cs="Times New Roman"/>
          <w:kern w:val="0"/>
          <w:sz w:val="24"/>
          <w:szCs w:val="24"/>
          <w:lang w:val="en-GB" w:eastAsia="en-US"/>
        </w:rPr>
        <w:t xml:space="preserve"> 540139, Romania</w:t>
      </w:r>
    </w:p>
    <w:p w14:paraId="625C330B" w14:textId="77777777" w:rsidR="0011105F" w:rsidRPr="003771AE" w:rsidRDefault="0011105F" w:rsidP="00F17106">
      <w:pPr>
        <w:widowControl/>
        <w:snapToGrid w:val="0"/>
        <w:spacing w:line="360" w:lineRule="auto"/>
        <w:rPr>
          <w:rFonts w:ascii="Book Antiqua" w:eastAsia="等线" w:hAnsi="Book Antiqua" w:cs="Times New Roman"/>
          <w:b/>
          <w:kern w:val="0"/>
          <w:sz w:val="24"/>
          <w:szCs w:val="24"/>
          <w:lang w:val="en-GB" w:eastAsia="en-US"/>
        </w:rPr>
      </w:pPr>
    </w:p>
    <w:p w14:paraId="061F0C89" w14:textId="68D4EA70" w:rsidR="0011105F" w:rsidRPr="003771AE" w:rsidRDefault="0011105F" w:rsidP="00F17106">
      <w:pPr>
        <w:widowControl/>
        <w:snapToGrid w:val="0"/>
        <w:spacing w:line="360" w:lineRule="auto"/>
        <w:rPr>
          <w:rFonts w:ascii="Book Antiqua" w:eastAsia="等线" w:hAnsi="Book Antiqua" w:cs="Times New Roman"/>
          <w:kern w:val="0"/>
          <w:sz w:val="24"/>
          <w:szCs w:val="24"/>
          <w:lang w:val="en-GB" w:eastAsia="en-US"/>
        </w:rPr>
      </w:pPr>
      <w:r w:rsidRPr="003771AE">
        <w:rPr>
          <w:rFonts w:ascii="Book Antiqua" w:eastAsia="等线" w:hAnsi="Book Antiqua" w:cs="Times New Roman"/>
          <w:b/>
          <w:kern w:val="0"/>
          <w:sz w:val="24"/>
          <w:szCs w:val="24"/>
          <w:lang w:val="en-GB" w:eastAsia="en-US"/>
        </w:rPr>
        <w:t>Mihaela</w:t>
      </w:r>
      <w:r w:rsidR="00D267A2" w:rsidRPr="003771AE">
        <w:rPr>
          <w:rFonts w:ascii="Book Antiqua" w:eastAsia="等线" w:hAnsi="Book Antiqua" w:cs="Times New Roman"/>
          <w:b/>
          <w:kern w:val="0"/>
          <w:sz w:val="24"/>
          <w:szCs w:val="24"/>
          <w:lang w:val="en-GB" w:eastAsia="en-US"/>
        </w:rPr>
        <w:t xml:space="preserve"> </w:t>
      </w:r>
      <w:r w:rsidRPr="003771AE">
        <w:rPr>
          <w:rFonts w:ascii="Book Antiqua" w:eastAsia="等线" w:hAnsi="Book Antiqua" w:cs="Times New Roman"/>
          <w:b/>
          <w:kern w:val="0"/>
          <w:sz w:val="24"/>
          <w:szCs w:val="24"/>
          <w:lang w:val="en-GB" w:eastAsia="en-US"/>
        </w:rPr>
        <w:t xml:space="preserve">Iancu, </w:t>
      </w:r>
      <w:r w:rsidRPr="003771AE">
        <w:rPr>
          <w:rFonts w:ascii="Book Antiqua" w:eastAsia="等线" w:hAnsi="Book Antiqua" w:cs="Times New Roman"/>
          <w:kern w:val="0"/>
          <w:sz w:val="24"/>
          <w:szCs w:val="24"/>
          <w:lang w:val="en-GB" w:eastAsia="en-US"/>
        </w:rPr>
        <w:t>Department of Medical Informatics and Biostatistics, "Iuliu Ha</w:t>
      </w:r>
      <w:r w:rsidRPr="003771AE">
        <w:rPr>
          <w:rFonts w:ascii="Cambria" w:eastAsia="等线" w:hAnsi="Cambria" w:cs="Cambria"/>
          <w:kern w:val="0"/>
          <w:sz w:val="24"/>
          <w:szCs w:val="24"/>
          <w:lang w:val="en-GB" w:eastAsia="en-US"/>
        </w:rPr>
        <w:t>ț</w:t>
      </w:r>
      <w:r w:rsidRPr="003771AE">
        <w:rPr>
          <w:rFonts w:ascii="Book Antiqua" w:eastAsia="等线" w:hAnsi="Book Antiqua" w:cs="Times New Roman"/>
          <w:kern w:val="0"/>
          <w:sz w:val="24"/>
          <w:szCs w:val="24"/>
          <w:lang w:val="en-GB" w:eastAsia="en-US"/>
        </w:rPr>
        <w:t>ieganu" University of Medicine and Pharmacy, Cluj-Napoca, Cluj 400349, Romania</w:t>
      </w:r>
    </w:p>
    <w:p w14:paraId="70308795" w14:textId="77777777" w:rsidR="0011105F" w:rsidRPr="003771AE" w:rsidRDefault="0011105F" w:rsidP="00F17106">
      <w:pPr>
        <w:widowControl/>
        <w:snapToGrid w:val="0"/>
        <w:spacing w:line="360" w:lineRule="auto"/>
        <w:rPr>
          <w:rFonts w:ascii="Book Antiqua" w:eastAsia="等线" w:hAnsi="Book Antiqua" w:cs="Times New Roman"/>
          <w:b/>
          <w:kern w:val="0"/>
          <w:sz w:val="24"/>
          <w:szCs w:val="24"/>
          <w:lang w:val="en-GB" w:eastAsia="en-US"/>
        </w:rPr>
      </w:pPr>
    </w:p>
    <w:p w14:paraId="10CE5897" w14:textId="4DF4DA29" w:rsidR="0011105F" w:rsidRPr="003771AE" w:rsidRDefault="0011105F" w:rsidP="00F17106">
      <w:pPr>
        <w:widowControl/>
        <w:snapToGrid w:val="0"/>
        <w:spacing w:line="360" w:lineRule="auto"/>
        <w:rPr>
          <w:rFonts w:ascii="Book Antiqua" w:eastAsia="等线" w:hAnsi="Book Antiqua" w:cs="Times New Roman"/>
          <w:kern w:val="0"/>
          <w:sz w:val="24"/>
          <w:szCs w:val="24"/>
          <w:lang w:val="en-GB" w:eastAsia="en-US"/>
        </w:rPr>
      </w:pPr>
      <w:r w:rsidRPr="003771AE">
        <w:rPr>
          <w:rFonts w:ascii="Book Antiqua" w:eastAsia="等线" w:hAnsi="Book Antiqua" w:cs="Times New Roman"/>
          <w:b/>
          <w:kern w:val="0"/>
          <w:sz w:val="24"/>
          <w:szCs w:val="24"/>
          <w:lang w:val="en-GB" w:eastAsia="en-US"/>
        </w:rPr>
        <w:t>Emőke</w:t>
      </w:r>
      <w:r w:rsidR="00D267A2" w:rsidRPr="003771AE">
        <w:rPr>
          <w:rFonts w:ascii="Book Antiqua" w:eastAsia="等线" w:hAnsi="Book Antiqua" w:cs="Times New Roman"/>
          <w:b/>
          <w:kern w:val="0"/>
          <w:sz w:val="24"/>
          <w:szCs w:val="24"/>
          <w:lang w:val="en-GB" w:eastAsia="en-US"/>
        </w:rPr>
        <w:t xml:space="preserve"> </w:t>
      </w:r>
      <w:r w:rsidRPr="003771AE">
        <w:rPr>
          <w:rFonts w:ascii="Book Antiqua" w:eastAsia="等线" w:hAnsi="Book Antiqua" w:cs="Times New Roman"/>
          <w:b/>
          <w:kern w:val="0"/>
          <w:sz w:val="24"/>
          <w:szCs w:val="24"/>
          <w:lang w:val="en-GB" w:eastAsia="en-US"/>
        </w:rPr>
        <w:t xml:space="preserve">Fülöp, </w:t>
      </w:r>
      <w:r w:rsidRPr="003771AE">
        <w:rPr>
          <w:rFonts w:ascii="Book Antiqua" w:eastAsia="等线" w:hAnsi="Book Antiqua" w:cs="Times New Roman"/>
          <w:kern w:val="0"/>
          <w:sz w:val="24"/>
          <w:szCs w:val="24"/>
          <w:lang w:val="en-GB" w:eastAsia="en-US"/>
        </w:rPr>
        <w:t>Department of Morphological Sciences</w:t>
      </w:r>
      <w:r w:rsidR="00D267A2" w:rsidRPr="003771AE">
        <w:rPr>
          <w:rFonts w:ascii="Book Antiqua" w:eastAsia="等线" w:hAnsi="Book Antiqua" w:cs="Times New Roman" w:hint="eastAsia"/>
          <w:kern w:val="0"/>
          <w:sz w:val="24"/>
          <w:szCs w:val="24"/>
          <w:lang w:val="en-GB"/>
        </w:rPr>
        <w:t>,</w:t>
      </w:r>
      <w:r w:rsidR="00D267A2" w:rsidRPr="003771AE">
        <w:rPr>
          <w:rFonts w:ascii="Book Antiqua" w:eastAsia="等线" w:hAnsi="Book Antiqua" w:cs="Times New Roman"/>
          <w:kern w:val="0"/>
          <w:sz w:val="24"/>
          <w:szCs w:val="24"/>
          <w:lang w:val="en-GB" w:eastAsia="en-US"/>
        </w:rPr>
        <w:t xml:space="preserve"> </w:t>
      </w:r>
      <w:r w:rsidRPr="003771AE">
        <w:rPr>
          <w:rFonts w:ascii="Book Antiqua" w:eastAsia="等线" w:hAnsi="Book Antiqua" w:cs="Times New Roman"/>
          <w:kern w:val="0"/>
          <w:sz w:val="24"/>
          <w:szCs w:val="24"/>
          <w:lang w:val="en-GB" w:eastAsia="en-US"/>
        </w:rPr>
        <w:t>Histology,University of Medicine, Pharmacy, Sciences and Technology of Târgu Mure</w:t>
      </w:r>
      <w:r w:rsidRPr="003771AE">
        <w:rPr>
          <w:rFonts w:ascii="Cambria" w:eastAsia="等线" w:hAnsi="Cambria" w:cs="Cambria"/>
          <w:kern w:val="0"/>
          <w:sz w:val="24"/>
          <w:szCs w:val="24"/>
          <w:lang w:val="en-GB" w:eastAsia="en-US"/>
        </w:rPr>
        <w:t>ș</w:t>
      </w:r>
      <w:r w:rsidRPr="003771AE">
        <w:rPr>
          <w:rFonts w:ascii="Book Antiqua" w:eastAsia="等线" w:hAnsi="Book Antiqua" w:cs="Times New Roman"/>
          <w:kern w:val="0"/>
          <w:sz w:val="24"/>
          <w:szCs w:val="24"/>
          <w:lang w:val="en-GB" w:eastAsia="en-US"/>
        </w:rPr>
        <w:t>, Mure</w:t>
      </w:r>
      <w:r w:rsidRPr="003771AE">
        <w:rPr>
          <w:rFonts w:ascii="Cambria" w:eastAsia="等线" w:hAnsi="Cambria" w:cs="Cambria"/>
          <w:kern w:val="0"/>
          <w:sz w:val="24"/>
          <w:szCs w:val="24"/>
          <w:lang w:val="en-GB" w:eastAsia="en-US"/>
        </w:rPr>
        <w:t>ș</w:t>
      </w:r>
      <w:r w:rsidRPr="003771AE">
        <w:rPr>
          <w:rFonts w:ascii="Book Antiqua" w:eastAsia="等线" w:hAnsi="Book Antiqua" w:cs="Times New Roman"/>
          <w:kern w:val="0"/>
          <w:sz w:val="24"/>
          <w:szCs w:val="24"/>
          <w:lang w:val="en-GB" w:eastAsia="en-US"/>
        </w:rPr>
        <w:t xml:space="preserve"> 540139, Romania</w:t>
      </w:r>
    </w:p>
    <w:p w14:paraId="57295D44" w14:textId="77777777" w:rsidR="0011105F" w:rsidRPr="003771AE" w:rsidRDefault="0011105F" w:rsidP="00F17106">
      <w:pPr>
        <w:widowControl/>
        <w:autoSpaceDE w:val="0"/>
        <w:autoSpaceDN w:val="0"/>
        <w:adjustRightInd w:val="0"/>
        <w:snapToGrid w:val="0"/>
        <w:spacing w:line="360" w:lineRule="auto"/>
        <w:rPr>
          <w:rFonts w:ascii="Book Antiqua" w:eastAsia="等线" w:hAnsi="Book Antiqua" w:cs="Times New Roman"/>
          <w:b/>
          <w:kern w:val="0"/>
          <w:sz w:val="24"/>
          <w:szCs w:val="24"/>
          <w:lang w:val="en-GB" w:eastAsia="en-US"/>
        </w:rPr>
      </w:pPr>
    </w:p>
    <w:p w14:paraId="68EBCD5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iCs/>
          <w:kern w:val="0"/>
          <w:sz w:val="24"/>
          <w:szCs w:val="24"/>
          <w:lang w:val="en-GB" w:eastAsia="en-US"/>
        </w:rPr>
      </w:pPr>
      <w:r w:rsidRPr="003771AE">
        <w:rPr>
          <w:rFonts w:ascii="Book Antiqua" w:eastAsia="等线" w:hAnsi="Book Antiqua" w:cs="Times New Roman"/>
          <w:b/>
          <w:kern w:val="0"/>
          <w:sz w:val="24"/>
          <w:szCs w:val="24"/>
          <w:lang w:val="en-GB" w:eastAsia="en-US"/>
        </w:rPr>
        <w:t xml:space="preserve">Claudia Bănescu, </w:t>
      </w:r>
      <w:r w:rsidRPr="003771AE">
        <w:rPr>
          <w:rFonts w:ascii="Book Antiqua" w:eastAsia="等线" w:hAnsi="Book Antiqua" w:cs="Times New Roman"/>
          <w:kern w:val="0"/>
          <w:sz w:val="24"/>
          <w:szCs w:val="24"/>
          <w:shd w:val="clear" w:color="auto" w:fill="FFFFFF"/>
          <w:lang w:val="en-GB" w:eastAsia="en-US"/>
        </w:rPr>
        <w:t>Genetics Laboratory</w:t>
      </w:r>
      <w:r w:rsidRPr="003771AE">
        <w:rPr>
          <w:rFonts w:ascii="Book Antiqua" w:eastAsia="Calibri" w:hAnsi="Book Antiqua" w:cs="Times New Roman"/>
          <w:iCs/>
          <w:kern w:val="0"/>
          <w:sz w:val="24"/>
          <w:szCs w:val="24"/>
          <w:lang w:val="en-GB" w:eastAsia="en-US"/>
        </w:rPr>
        <w:t xml:space="preserve">, Center for Advanced Medical and Pharmaceutical Research, </w:t>
      </w:r>
      <w:r w:rsidRPr="003771AE">
        <w:rPr>
          <w:rFonts w:ascii="Book Antiqua" w:eastAsia="等线" w:hAnsi="Book Antiqua" w:cs="Times New Roman"/>
          <w:kern w:val="0"/>
          <w:sz w:val="24"/>
          <w:szCs w:val="24"/>
          <w:lang w:val="en-GB" w:eastAsia="en-US"/>
        </w:rPr>
        <w:t>University of Medicine, Pharmacy, Sciences and Technology of Târgu Mure</w:t>
      </w:r>
      <w:r w:rsidRPr="003771AE">
        <w:rPr>
          <w:rFonts w:ascii="Cambria" w:eastAsia="等线" w:hAnsi="Cambria" w:cs="Cambria"/>
          <w:kern w:val="0"/>
          <w:sz w:val="24"/>
          <w:szCs w:val="24"/>
          <w:lang w:val="en-GB" w:eastAsia="en-US"/>
        </w:rPr>
        <w:t>ș</w:t>
      </w:r>
      <w:r w:rsidRPr="003771AE">
        <w:rPr>
          <w:rFonts w:ascii="Book Antiqua" w:eastAsia="Calibri" w:hAnsi="Book Antiqua" w:cs="Times New Roman"/>
          <w:iCs/>
          <w:kern w:val="0"/>
          <w:sz w:val="24"/>
          <w:szCs w:val="24"/>
          <w:lang w:val="en-GB" w:eastAsia="en-US"/>
        </w:rPr>
        <w:t>, Mure</w:t>
      </w:r>
      <w:r w:rsidRPr="003771AE">
        <w:rPr>
          <w:rFonts w:ascii="Cambria" w:eastAsia="Calibri" w:hAnsi="Cambria" w:cs="Cambria"/>
          <w:iCs/>
          <w:kern w:val="0"/>
          <w:sz w:val="24"/>
          <w:szCs w:val="24"/>
          <w:lang w:val="en-GB" w:eastAsia="en-US"/>
        </w:rPr>
        <w:t>ș</w:t>
      </w:r>
      <w:r w:rsidRPr="003771AE">
        <w:rPr>
          <w:rFonts w:ascii="Book Antiqua" w:eastAsia="Calibri" w:hAnsi="Book Antiqua" w:cs="Times New Roman"/>
          <w:iCs/>
          <w:kern w:val="0"/>
          <w:sz w:val="24"/>
          <w:szCs w:val="24"/>
          <w:lang w:val="en-GB" w:eastAsia="en-US"/>
        </w:rPr>
        <w:t xml:space="preserve"> 540139, Romania</w:t>
      </w:r>
    </w:p>
    <w:p w14:paraId="3930B7E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iCs/>
          <w:kern w:val="0"/>
          <w:sz w:val="24"/>
          <w:szCs w:val="24"/>
          <w:lang w:val="en-GB" w:eastAsia="en-US"/>
        </w:rPr>
      </w:pPr>
    </w:p>
    <w:p w14:paraId="1D0BEF17" w14:textId="228645F3"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iCs/>
          <w:kern w:val="0"/>
          <w:sz w:val="24"/>
          <w:szCs w:val="24"/>
          <w:lang w:val="en-GB" w:eastAsia="en-US"/>
        </w:rPr>
      </w:pPr>
      <w:r w:rsidRPr="003771AE">
        <w:rPr>
          <w:rFonts w:ascii="Book Antiqua" w:eastAsia="Calibri" w:hAnsi="Book Antiqua" w:cs="Times New Roman"/>
          <w:b/>
          <w:iCs/>
          <w:kern w:val="0"/>
          <w:sz w:val="24"/>
          <w:szCs w:val="24"/>
          <w:lang w:val="en-GB" w:eastAsia="en-US"/>
        </w:rPr>
        <w:t>ORCID number:</w:t>
      </w:r>
      <w:r w:rsidRPr="003771AE">
        <w:rPr>
          <w:rFonts w:ascii="Book Antiqua" w:eastAsia="Calibri" w:hAnsi="Book Antiqua" w:cs="Times New Roman"/>
          <w:iCs/>
          <w:kern w:val="0"/>
          <w:sz w:val="24"/>
          <w:szCs w:val="24"/>
          <w:lang w:val="en-GB" w:eastAsia="en-US"/>
        </w:rPr>
        <w:t xml:space="preserve"> Anca Negovan (0000-0003-2115-6576); Mihaela</w:t>
      </w:r>
      <w:r w:rsidR="00FC0EA8" w:rsidRPr="003771AE">
        <w:rPr>
          <w:rFonts w:ascii="Book Antiqua" w:eastAsia="Calibri" w:hAnsi="Book Antiqua" w:cs="Times New Roman"/>
          <w:iCs/>
          <w:kern w:val="0"/>
          <w:sz w:val="24"/>
          <w:szCs w:val="24"/>
          <w:lang w:val="en-GB" w:eastAsia="en-US"/>
        </w:rPr>
        <w:t xml:space="preserve"> </w:t>
      </w:r>
      <w:r w:rsidRPr="003771AE">
        <w:rPr>
          <w:rFonts w:ascii="Book Antiqua" w:eastAsia="Calibri" w:hAnsi="Book Antiqua" w:cs="Times New Roman"/>
          <w:iCs/>
          <w:kern w:val="0"/>
          <w:sz w:val="24"/>
          <w:szCs w:val="24"/>
          <w:lang w:val="en-GB" w:eastAsia="en-US"/>
        </w:rPr>
        <w:t>Iancu (0000-0002-4557-5364); Emőke</w:t>
      </w:r>
      <w:r w:rsidR="00FC0EA8" w:rsidRPr="003771AE">
        <w:rPr>
          <w:rFonts w:ascii="Book Antiqua" w:eastAsia="Calibri" w:hAnsi="Book Antiqua" w:cs="Times New Roman"/>
          <w:iCs/>
          <w:kern w:val="0"/>
          <w:sz w:val="24"/>
          <w:szCs w:val="24"/>
          <w:lang w:val="en-GB" w:eastAsia="en-US"/>
        </w:rPr>
        <w:t xml:space="preserve"> </w:t>
      </w:r>
      <w:r w:rsidRPr="003771AE">
        <w:rPr>
          <w:rFonts w:ascii="Book Antiqua" w:eastAsia="Calibri" w:hAnsi="Book Antiqua" w:cs="Times New Roman"/>
          <w:iCs/>
          <w:kern w:val="0"/>
          <w:sz w:val="24"/>
          <w:szCs w:val="24"/>
          <w:lang w:val="en-GB" w:eastAsia="en-US"/>
        </w:rPr>
        <w:t>Fülöp (0000-0002-9973-0454); Claudia Bănescu (0000-0002-3235-524x).</w:t>
      </w:r>
    </w:p>
    <w:p w14:paraId="6DDFF47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iCs/>
          <w:kern w:val="0"/>
          <w:sz w:val="24"/>
          <w:szCs w:val="24"/>
          <w:lang w:val="en-GB" w:eastAsia="en-US"/>
        </w:rPr>
      </w:pPr>
    </w:p>
    <w:p w14:paraId="43B31C8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iCs/>
          <w:kern w:val="0"/>
          <w:sz w:val="24"/>
          <w:szCs w:val="24"/>
          <w:lang w:val="en-GB" w:eastAsia="en-US"/>
        </w:rPr>
      </w:pPr>
      <w:r w:rsidRPr="003771AE">
        <w:rPr>
          <w:rFonts w:ascii="Book Antiqua" w:eastAsia="Calibri" w:hAnsi="Book Antiqua" w:cs="Times New Roman"/>
          <w:b/>
          <w:iCs/>
          <w:kern w:val="0"/>
          <w:sz w:val="24"/>
          <w:szCs w:val="24"/>
          <w:lang w:val="en-GB" w:eastAsia="en-US"/>
        </w:rPr>
        <w:lastRenderedPageBreak/>
        <w:t xml:space="preserve">Author contributions: </w:t>
      </w:r>
      <w:r w:rsidRPr="003771AE">
        <w:rPr>
          <w:rFonts w:ascii="Book Antiqua" w:eastAsia="Calibri" w:hAnsi="Book Antiqua" w:cs="Times New Roman"/>
          <w:iCs/>
          <w:kern w:val="0"/>
          <w:sz w:val="24"/>
          <w:szCs w:val="24"/>
          <w:lang w:val="en-GB" w:eastAsia="en-US"/>
        </w:rPr>
        <w:t>All authors contributed equally to this paper with conception and design of the study, literature review and analysis, and drafting, critically revising and editing of the manuscript, and giving approval of the final version.</w:t>
      </w:r>
    </w:p>
    <w:p w14:paraId="495B2F7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iCs/>
          <w:kern w:val="0"/>
          <w:sz w:val="24"/>
          <w:szCs w:val="24"/>
          <w:lang w:val="en-GB" w:eastAsia="en-US"/>
        </w:rPr>
      </w:pPr>
    </w:p>
    <w:p w14:paraId="4A385400" w14:textId="3FA2FA3C"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iCs/>
          <w:kern w:val="0"/>
          <w:sz w:val="24"/>
          <w:szCs w:val="24"/>
          <w:lang w:val="en-GB" w:eastAsia="en-US"/>
        </w:rPr>
      </w:pPr>
      <w:r w:rsidRPr="003771AE">
        <w:rPr>
          <w:rFonts w:ascii="Book Antiqua" w:eastAsia="Calibri" w:hAnsi="Book Antiqua" w:cs="Times New Roman"/>
          <w:b/>
          <w:iCs/>
          <w:kern w:val="0"/>
          <w:sz w:val="24"/>
          <w:szCs w:val="24"/>
          <w:lang w:val="en-GB" w:eastAsia="en-US"/>
        </w:rPr>
        <w:t>Supported by</w:t>
      </w:r>
      <w:r w:rsidR="004205F3" w:rsidRPr="003771AE">
        <w:rPr>
          <w:rFonts w:ascii="Book Antiqua" w:eastAsia="Calibri" w:hAnsi="Book Antiqua" w:cs="Times New Roman"/>
          <w:b/>
          <w:iCs/>
          <w:kern w:val="0"/>
          <w:sz w:val="24"/>
          <w:szCs w:val="24"/>
          <w:lang w:val="en-GB" w:eastAsia="en-US"/>
        </w:rPr>
        <w:t xml:space="preserve"> </w:t>
      </w:r>
      <w:r w:rsidRPr="003771AE">
        <w:rPr>
          <w:rFonts w:ascii="Book Antiqua" w:eastAsia="Calibri" w:hAnsi="Book Antiqua" w:cs="Times New Roman"/>
          <w:iCs/>
          <w:kern w:val="0"/>
          <w:sz w:val="24"/>
          <w:szCs w:val="24"/>
          <w:lang w:val="en-GB" w:eastAsia="en-US"/>
        </w:rPr>
        <w:t>an Internal Research Grant from the University of Medicine, Pharmacy, Sciences and Technology of Târgu Mure</w:t>
      </w:r>
      <w:r w:rsidRPr="003771AE">
        <w:rPr>
          <w:rFonts w:ascii="Cambria" w:eastAsia="Calibri" w:hAnsi="Cambria" w:cs="Cambria"/>
          <w:iCs/>
          <w:kern w:val="0"/>
          <w:sz w:val="24"/>
          <w:szCs w:val="24"/>
          <w:lang w:val="en-GB" w:eastAsia="en-US"/>
        </w:rPr>
        <w:t>ș</w:t>
      </w:r>
      <w:r w:rsidR="0079081E" w:rsidRPr="003771AE">
        <w:rPr>
          <w:rFonts w:ascii="Book Antiqua" w:eastAsia="Calibri" w:hAnsi="Book Antiqua" w:cs="Times New Roman"/>
          <w:iCs/>
          <w:kern w:val="0"/>
          <w:sz w:val="24"/>
          <w:szCs w:val="24"/>
          <w:lang w:val="en-GB" w:eastAsia="en-US"/>
        </w:rPr>
        <w:t xml:space="preserve">, </w:t>
      </w:r>
      <w:r w:rsidRPr="003771AE">
        <w:rPr>
          <w:rFonts w:ascii="Book Antiqua" w:eastAsia="Calibri" w:hAnsi="Book Antiqua" w:cs="Times New Roman"/>
          <w:iCs/>
          <w:kern w:val="0"/>
          <w:sz w:val="24"/>
          <w:szCs w:val="24"/>
          <w:lang w:val="en-GB" w:eastAsia="en-US"/>
        </w:rPr>
        <w:t>N</w:t>
      </w:r>
      <w:r w:rsidR="0079081E" w:rsidRPr="003771AE">
        <w:rPr>
          <w:rFonts w:ascii="Book Antiqua" w:eastAsia="Calibri" w:hAnsi="Book Antiqua" w:cs="Times New Roman"/>
          <w:iCs/>
          <w:kern w:val="0"/>
          <w:sz w:val="24"/>
          <w:szCs w:val="24"/>
          <w:lang w:val="en-GB" w:eastAsia="en-US"/>
        </w:rPr>
        <w:t>o</w:t>
      </w:r>
      <w:r w:rsidRPr="003771AE">
        <w:rPr>
          <w:rFonts w:ascii="Book Antiqua" w:eastAsia="Calibri" w:hAnsi="Book Antiqua" w:cs="Times New Roman"/>
          <w:iCs/>
          <w:kern w:val="0"/>
          <w:sz w:val="24"/>
          <w:szCs w:val="24"/>
          <w:lang w:val="en-GB" w:eastAsia="en-US"/>
        </w:rPr>
        <w:t>. 615/12/17.01.2019.</w:t>
      </w:r>
    </w:p>
    <w:p w14:paraId="6DFB5C30" w14:textId="77777777" w:rsidR="0011105F" w:rsidRPr="003771AE" w:rsidRDefault="0011105F" w:rsidP="00F17106">
      <w:pPr>
        <w:widowControl/>
        <w:snapToGrid w:val="0"/>
        <w:spacing w:line="360" w:lineRule="auto"/>
        <w:rPr>
          <w:rFonts w:ascii="Book Antiqua" w:eastAsia="宋体" w:hAnsi="Book Antiqua" w:cs="Arial"/>
          <w:b/>
          <w:kern w:val="0"/>
          <w:sz w:val="24"/>
          <w:szCs w:val="24"/>
          <w:lang w:val="en-GB" w:eastAsia="en-US"/>
        </w:rPr>
      </w:pPr>
    </w:p>
    <w:p w14:paraId="5F0C959F" w14:textId="745444E2" w:rsidR="00CE3D1A" w:rsidRPr="003771AE" w:rsidRDefault="00CE3D1A" w:rsidP="00F17106">
      <w:pPr>
        <w:snapToGrid w:val="0"/>
        <w:spacing w:line="360" w:lineRule="auto"/>
        <w:rPr>
          <w:rFonts w:ascii="Book Antiqua" w:hAnsi="Book Antiqua"/>
          <w:sz w:val="24"/>
          <w:szCs w:val="24"/>
        </w:rPr>
      </w:pPr>
      <w:bookmarkStart w:id="0" w:name="_Hlk5615265"/>
      <w:r w:rsidRPr="003771AE">
        <w:rPr>
          <w:rFonts w:ascii="Book Antiqua" w:hAnsi="Book Antiqua"/>
          <w:b/>
          <w:sz w:val="24"/>
          <w:szCs w:val="24"/>
        </w:rPr>
        <w:t xml:space="preserve">Conflict-of-interest statement: </w:t>
      </w:r>
      <w:r w:rsidR="008D16BE" w:rsidRPr="003771AE">
        <w:rPr>
          <w:rFonts w:ascii="Book Antiqua" w:hAnsi="Book Antiqua"/>
          <w:sz w:val="24"/>
          <w:szCs w:val="24"/>
        </w:rPr>
        <w:t>The authors declare no conflict of interest.</w:t>
      </w:r>
    </w:p>
    <w:bookmarkEnd w:id="0"/>
    <w:p w14:paraId="00D4DC18" w14:textId="77777777" w:rsidR="00CE3D1A" w:rsidRPr="003771AE" w:rsidRDefault="00CE3D1A" w:rsidP="00F17106">
      <w:pPr>
        <w:widowControl/>
        <w:snapToGrid w:val="0"/>
        <w:spacing w:line="360" w:lineRule="auto"/>
        <w:rPr>
          <w:rFonts w:ascii="Book Antiqua" w:eastAsia="宋体" w:hAnsi="Book Antiqua" w:cs="Arial"/>
          <w:b/>
          <w:kern w:val="0"/>
          <w:sz w:val="24"/>
          <w:szCs w:val="24"/>
          <w:lang w:val="en-GB" w:eastAsia="en-US"/>
        </w:rPr>
      </w:pPr>
    </w:p>
    <w:p w14:paraId="2D071EA7" w14:textId="77777777" w:rsidR="0037247D" w:rsidRPr="003771AE" w:rsidRDefault="0037247D" w:rsidP="0037247D">
      <w:pPr>
        <w:pStyle w:val="13"/>
        <w:snapToGrid w:val="0"/>
        <w:spacing w:line="360" w:lineRule="auto"/>
        <w:jc w:val="both"/>
        <w:rPr>
          <w:rFonts w:ascii="Book Antiqua" w:hAnsi="Book Antiqua" w:cs="Times New Roman"/>
          <w:bCs/>
          <w:color w:val="auto"/>
          <w:sz w:val="24"/>
          <w:szCs w:val="24"/>
          <w:highlight w:val="white"/>
          <w:lang w:val="en-US"/>
        </w:rPr>
      </w:pPr>
      <w:bookmarkStart w:id="1" w:name="_Hlk11330706"/>
      <w:r w:rsidRPr="003771AE">
        <w:rPr>
          <w:rFonts w:ascii="Book Antiqua" w:hAnsi="Book Antiqua" w:cs="Times New Roman"/>
          <w:b/>
          <w:bCs/>
          <w:color w:val="auto"/>
          <w:sz w:val="24"/>
          <w:szCs w:val="24"/>
          <w:highlight w:val="white"/>
          <w:lang w:val="en-US"/>
        </w:rPr>
        <w:t>Open-Access:</w:t>
      </w:r>
      <w:r w:rsidRPr="003771AE">
        <w:rPr>
          <w:rFonts w:ascii="Book Antiqua" w:hAnsi="Book Antiqua" w:cs="Times New Roman"/>
          <w:bCs/>
          <w:color w:val="auto"/>
          <w:sz w:val="24"/>
          <w:szCs w:val="24"/>
          <w:highlight w:val="white"/>
          <w:lang w:val="en-US"/>
        </w:rPr>
        <w:t xml:space="preserve"> </w:t>
      </w:r>
      <w:bookmarkStart w:id="2" w:name="OLE_LINK479"/>
      <w:bookmarkStart w:id="3" w:name="OLE_LINK496"/>
      <w:bookmarkStart w:id="4" w:name="OLE_LINK506"/>
      <w:bookmarkStart w:id="5" w:name="OLE_LINK507"/>
      <w:r w:rsidRPr="003771AE">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3771AE">
        <w:rPr>
          <w:rFonts w:ascii="Book Antiqua" w:hAnsi="Book Antiqua" w:cs="Times New Roman"/>
          <w:bCs/>
          <w:color w:val="auto"/>
          <w:sz w:val="24"/>
          <w:szCs w:val="24"/>
          <w:highlight w:val="white"/>
          <w:lang w:val="en-US" w:eastAsia="zh-CN"/>
        </w:rPr>
        <w:t xml:space="preserve"> </w:t>
      </w:r>
      <w:r w:rsidRPr="003771AE">
        <w:rPr>
          <w:rFonts w:ascii="Book Antiqua" w:hAnsi="Book Antiqua" w:cs="Times New Roman"/>
          <w:bCs/>
          <w:color w:val="auto"/>
          <w:sz w:val="24"/>
          <w:szCs w:val="24"/>
          <w:highlight w:val="white"/>
          <w:lang w:val="en-US"/>
        </w:rPr>
        <w:t>in</w:t>
      </w:r>
      <w:r w:rsidRPr="003771AE">
        <w:rPr>
          <w:rFonts w:ascii="Book Antiqua" w:hAnsi="Book Antiqua" w:cs="Times New Roman"/>
          <w:bCs/>
          <w:color w:val="auto"/>
          <w:sz w:val="24"/>
          <w:szCs w:val="24"/>
          <w:highlight w:val="white"/>
          <w:lang w:val="en-US" w:eastAsia="zh-CN"/>
        </w:rPr>
        <w:t xml:space="preserve"> </w:t>
      </w:r>
      <w:r w:rsidRPr="003771AE">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3771AE">
          <w:rPr>
            <w:rStyle w:val="af1"/>
            <w:rFonts w:ascii="Book Antiqua" w:hAnsi="Book Antiqua" w:cs="Times New Roman"/>
            <w:bCs/>
            <w:color w:val="auto"/>
            <w:sz w:val="24"/>
            <w:szCs w:val="24"/>
            <w:highlight w:val="white"/>
            <w:lang w:val="en-US"/>
          </w:rPr>
          <w:t>http://creativecommons.org/licenses/by-nc/4.0/</w:t>
        </w:r>
      </w:hyperlink>
      <w:bookmarkEnd w:id="2"/>
      <w:bookmarkEnd w:id="3"/>
      <w:bookmarkEnd w:id="4"/>
      <w:bookmarkEnd w:id="5"/>
    </w:p>
    <w:p w14:paraId="052FA64B" w14:textId="77777777" w:rsidR="0037247D" w:rsidRPr="003771AE" w:rsidRDefault="0037247D" w:rsidP="0037247D">
      <w:pPr>
        <w:pStyle w:val="13"/>
        <w:snapToGrid w:val="0"/>
        <w:spacing w:line="360" w:lineRule="auto"/>
        <w:jc w:val="both"/>
        <w:rPr>
          <w:rFonts w:ascii="Book Antiqua" w:hAnsi="Book Antiqua" w:cs="Times New Roman"/>
          <w:b/>
          <w:bCs/>
          <w:color w:val="auto"/>
          <w:sz w:val="24"/>
          <w:szCs w:val="24"/>
          <w:highlight w:val="white"/>
          <w:lang w:val="en-US" w:eastAsia="zh-CN"/>
        </w:rPr>
      </w:pPr>
    </w:p>
    <w:p w14:paraId="100B3283" w14:textId="77777777" w:rsidR="0037247D" w:rsidRPr="003771AE" w:rsidRDefault="0037247D" w:rsidP="0037247D">
      <w:pPr>
        <w:pStyle w:val="13"/>
        <w:snapToGrid w:val="0"/>
        <w:spacing w:line="360" w:lineRule="auto"/>
        <w:jc w:val="both"/>
        <w:rPr>
          <w:rFonts w:ascii="Book Antiqua" w:hAnsi="Book Antiqua" w:cs="Times New Roman"/>
          <w:b/>
          <w:bCs/>
          <w:color w:val="auto"/>
          <w:sz w:val="24"/>
          <w:szCs w:val="24"/>
          <w:highlight w:val="white"/>
          <w:lang w:val="en-US" w:eastAsia="zh-CN"/>
        </w:rPr>
      </w:pPr>
      <w:r w:rsidRPr="003771AE">
        <w:rPr>
          <w:rFonts w:ascii="Book Antiqua" w:hAnsi="Book Antiqua" w:cs="Times New Roman"/>
          <w:b/>
          <w:bCs/>
          <w:color w:val="auto"/>
          <w:sz w:val="24"/>
          <w:szCs w:val="24"/>
          <w:highlight w:val="white"/>
          <w:lang w:val="en-US"/>
        </w:rPr>
        <w:t>Manuscript source:</w:t>
      </w:r>
      <w:r w:rsidRPr="003771AE">
        <w:rPr>
          <w:rFonts w:ascii="Book Antiqua" w:hAnsi="Book Antiqua" w:cs="Times New Roman"/>
          <w:b/>
          <w:bCs/>
          <w:color w:val="auto"/>
          <w:sz w:val="24"/>
          <w:szCs w:val="24"/>
          <w:highlight w:val="white"/>
          <w:lang w:val="en-US" w:eastAsia="zh-CN"/>
        </w:rPr>
        <w:t xml:space="preserve"> </w:t>
      </w:r>
      <w:r w:rsidRPr="003771AE">
        <w:rPr>
          <w:rFonts w:ascii="Book Antiqua" w:hAnsi="Book Antiqua" w:cs="Times New Roman"/>
          <w:bCs/>
          <w:color w:val="auto"/>
          <w:sz w:val="24"/>
          <w:szCs w:val="24"/>
          <w:highlight w:val="white"/>
          <w:lang w:val="en-US"/>
        </w:rPr>
        <w:t>Invited manuscript</w:t>
      </w:r>
    </w:p>
    <w:bookmarkEnd w:id="1"/>
    <w:p w14:paraId="2841840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iCs/>
          <w:kern w:val="0"/>
          <w:sz w:val="24"/>
          <w:szCs w:val="24"/>
          <w:lang w:val="en-GB" w:eastAsia="en-US"/>
        </w:rPr>
      </w:pPr>
    </w:p>
    <w:p w14:paraId="7472D296" w14:textId="396F303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iCs/>
          <w:kern w:val="0"/>
          <w:sz w:val="24"/>
          <w:szCs w:val="24"/>
          <w:lang w:val="en-GB" w:eastAsia="en-US"/>
        </w:rPr>
      </w:pPr>
      <w:r w:rsidRPr="003771AE">
        <w:rPr>
          <w:rFonts w:ascii="Book Antiqua" w:eastAsia="Calibri" w:hAnsi="Book Antiqua" w:cs="Times New Roman"/>
          <w:b/>
          <w:iCs/>
          <w:kern w:val="0"/>
          <w:sz w:val="24"/>
          <w:szCs w:val="24"/>
          <w:lang w:val="en-GB" w:eastAsia="en-US"/>
        </w:rPr>
        <w:t>Corresponding author: Mihaela</w:t>
      </w:r>
      <w:r w:rsidR="009B4C14" w:rsidRPr="003771AE">
        <w:rPr>
          <w:rFonts w:ascii="Book Antiqua" w:eastAsia="Calibri" w:hAnsi="Book Antiqua" w:cs="Times New Roman"/>
          <w:b/>
          <w:iCs/>
          <w:kern w:val="0"/>
          <w:sz w:val="24"/>
          <w:szCs w:val="24"/>
          <w:lang w:val="en-GB" w:eastAsia="en-US"/>
        </w:rPr>
        <w:t xml:space="preserve"> </w:t>
      </w:r>
      <w:r w:rsidRPr="003771AE">
        <w:rPr>
          <w:rFonts w:ascii="Book Antiqua" w:eastAsia="Calibri" w:hAnsi="Book Antiqua" w:cs="Times New Roman"/>
          <w:b/>
          <w:iCs/>
          <w:kern w:val="0"/>
          <w:sz w:val="24"/>
          <w:szCs w:val="24"/>
          <w:lang w:val="en-GB" w:eastAsia="en-US"/>
        </w:rPr>
        <w:t>Iancu</w:t>
      </w:r>
      <w:r w:rsidR="009B4C14" w:rsidRPr="003771AE">
        <w:rPr>
          <w:rFonts w:ascii="Book Antiqua" w:eastAsia="Calibri" w:hAnsi="Book Antiqua" w:cs="Times New Roman"/>
          <w:b/>
          <w:iCs/>
          <w:kern w:val="0"/>
          <w:sz w:val="24"/>
          <w:szCs w:val="24"/>
          <w:lang w:val="en-GB" w:eastAsia="en-US"/>
        </w:rPr>
        <w:t>,</w:t>
      </w:r>
      <w:r w:rsidRPr="003771AE">
        <w:rPr>
          <w:rFonts w:ascii="Book Antiqua" w:eastAsia="Calibri" w:hAnsi="Book Antiqua" w:cs="Times New Roman"/>
          <w:b/>
          <w:iCs/>
          <w:kern w:val="0"/>
          <w:sz w:val="24"/>
          <w:szCs w:val="24"/>
          <w:lang w:val="en-GB" w:eastAsia="en-US"/>
        </w:rPr>
        <w:t xml:space="preserve"> PhD, </w:t>
      </w:r>
      <w:r w:rsidR="009B4C14" w:rsidRPr="003771AE">
        <w:rPr>
          <w:rFonts w:ascii="Book Antiqua" w:eastAsia="Calibri" w:hAnsi="Book Antiqua" w:cs="Times New Roman"/>
          <w:b/>
          <w:iCs/>
          <w:kern w:val="0"/>
          <w:sz w:val="24"/>
          <w:szCs w:val="24"/>
          <w:lang w:val="en-GB" w:eastAsia="en-US"/>
        </w:rPr>
        <w:tab/>
        <w:t xml:space="preserve">Lecturer, </w:t>
      </w:r>
      <w:r w:rsidR="009B4C14" w:rsidRPr="003771AE">
        <w:rPr>
          <w:rFonts w:ascii="Book Antiqua" w:eastAsia="Calibri" w:hAnsi="Book Antiqua" w:cs="Times New Roman"/>
          <w:iCs/>
          <w:kern w:val="0"/>
          <w:sz w:val="24"/>
          <w:szCs w:val="24"/>
          <w:lang w:val="en-GB" w:eastAsia="en-US"/>
        </w:rPr>
        <w:t xml:space="preserve">Department of Medical Informatics and Biostatistics, </w:t>
      </w:r>
      <w:r w:rsidRPr="003771AE">
        <w:rPr>
          <w:rFonts w:ascii="Book Antiqua" w:eastAsia="Calibri" w:hAnsi="Book Antiqua" w:cs="Times New Roman"/>
          <w:iCs/>
          <w:kern w:val="0"/>
          <w:sz w:val="24"/>
          <w:szCs w:val="24"/>
          <w:lang w:val="en-GB" w:eastAsia="en-US"/>
        </w:rPr>
        <w:t>“Iuliu Ha</w:t>
      </w:r>
      <w:r w:rsidRPr="003771AE">
        <w:rPr>
          <w:rFonts w:ascii="Cambria" w:eastAsia="Calibri" w:hAnsi="Cambria" w:cs="Cambria"/>
          <w:iCs/>
          <w:kern w:val="0"/>
          <w:sz w:val="24"/>
          <w:szCs w:val="24"/>
          <w:lang w:val="en-GB" w:eastAsia="en-US"/>
        </w:rPr>
        <w:t>ț</w:t>
      </w:r>
      <w:r w:rsidRPr="003771AE">
        <w:rPr>
          <w:rFonts w:ascii="Book Antiqua" w:eastAsia="Calibri" w:hAnsi="Book Antiqua" w:cs="Times New Roman"/>
          <w:iCs/>
          <w:kern w:val="0"/>
          <w:sz w:val="24"/>
          <w:szCs w:val="24"/>
          <w:lang w:val="en-GB" w:eastAsia="en-US"/>
        </w:rPr>
        <w:t>ieganu</w:t>
      </w:r>
      <w:r w:rsidRPr="003771AE">
        <w:rPr>
          <w:rFonts w:ascii="Book Antiqua" w:eastAsia="Calibri" w:hAnsi="Book Antiqua" w:cs="Book Antiqua"/>
          <w:iCs/>
          <w:kern w:val="0"/>
          <w:sz w:val="24"/>
          <w:szCs w:val="24"/>
          <w:lang w:val="en-GB" w:eastAsia="en-US"/>
        </w:rPr>
        <w:t>”</w:t>
      </w:r>
      <w:r w:rsidRPr="003771AE">
        <w:rPr>
          <w:rFonts w:ascii="Book Antiqua" w:eastAsia="Calibri" w:hAnsi="Book Antiqua" w:cs="Times New Roman"/>
          <w:iCs/>
          <w:kern w:val="0"/>
          <w:sz w:val="24"/>
          <w:szCs w:val="24"/>
          <w:lang w:val="en-GB" w:eastAsia="en-US"/>
        </w:rPr>
        <w:t xml:space="preserve"> University of Medicine and Pharmacy Cluj-Napoca, Louis Pasteur St, no. 6, Cluj-Napoca</w:t>
      </w:r>
      <w:r w:rsidR="009B4C14" w:rsidRPr="003771AE">
        <w:rPr>
          <w:rFonts w:ascii="Book Antiqua" w:eastAsia="Calibri" w:hAnsi="Book Antiqua" w:cs="Times New Roman"/>
          <w:iCs/>
          <w:kern w:val="0"/>
          <w:sz w:val="24"/>
          <w:szCs w:val="24"/>
          <w:lang w:val="en-GB" w:eastAsia="en-US"/>
        </w:rPr>
        <w:t xml:space="preserve"> 400349</w:t>
      </w:r>
      <w:r w:rsidRPr="003771AE">
        <w:rPr>
          <w:rFonts w:ascii="Book Antiqua" w:eastAsia="Calibri" w:hAnsi="Book Antiqua" w:cs="Times New Roman"/>
          <w:iCs/>
          <w:kern w:val="0"/>
          <w:sz w:val="24"/>
          <w:szCs w:val="24"/>
          <w:lang w:val="en-GB" w:eastAsia="en-US"/>
        </w:rPr>
        <w:t xml:space="preserve">, Romania. </w:t>
      </w:r>
      <w:hyperlink r:id="rId9" w:history="1">
        <w:r w:rsidRPr="003771AE">
          <w:rPr>
            <w:rFonts w:ascii="Book Antiqua" w:eastAsia="Calibri" w:hAnsi="Book Antiqua" w:cs="Times New Roman"/>
            <w:iCs/>
            <w:kern w:val="0"/>
            <w:sz w:val="24"/>
            <w:szCs w:val="24"/>
            <w:lang w:val="en-GB" w:eastAsia="en-US"/>
          </w:rPr>
          <w:t>miancu@umfcluj.ro</w:t>
        </w:r>
      </w:hyperlink>
    </w:p>
    <w:p w14:paraId="7405C0B8" w14:textId="62CC4288"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iCs/>
          <w:kern w:val="0"/>
          <w:sz w:val="24"/>
          <w:szCs w:val="24"/>
          <w:lang w:val="en-GB" w:eastAsia="en-US"/>
        </w:rPr>
      </w:pPr>
      <w:r w:rsidRPr="003771AE">
        <w:rPr>
          <w:rFonts w:ascii="Book Antiqua" w:eastAsia="Calibri" w:hAnsi="Book Antiqua" w:cs="Times New Roman"/>
          <w:b/>
          <w:iCs/>
          <w:kern w:val="0"/>
          <w:sz w:val="24"/>
          <w:szCs w:val="24"/>
          <w:lang w:val="en-GB" w:eastAsia="en-US"/>
        </w:rPr>
        <w:t>Telephone:</w:t>
      </w:r>
      <w:r w:rsidRPr="003771AE">
        <w:rPr>
          <w:rFonts w:ascii="Book Antiqua" w:eastAsia="Calibri" w:hAnsi="Book Antiqua" w:cs="Times New Roman"/>
          <w:iCs/>
          <w:kern w:val="0"/>
          <w:sz w:val="24"/>
          <w:szCs w:val="24"/>
          <w:lang w:val="en-GB" w:eastAsia="en-US"/>
        </w:rPr>
        <w:t xml:space="preserve"> </w:t>
      </w:r>
      <w:r w:rsidR="00453628" w:rsidRPr="003771AE">
        <w:rPr>
          <w:rFonts w:ascii="Book Antiqua" w:eastAsia="Calibri" w:hAnsi="Book Antiqua" w:cs="Times New Roman"/>
          <w:iCs/>
          <w:kern w:val="0"/>
          <w:sz w:val="24"/>
          <w:szCs w:val="24"/>
          <w:lang w:val="en-GB" w:eastAsia="en-US"/>
        </w:rPr>
        <w:t>+</w:t>
      </w:r>
      <w:r w:rsidRPr="003771AE">
        <w:rPr>
          <w:rFonts w:ascii="Book Antiqua" w:eastAsia="Calibri" w:hAnsi="Book Antiqua" w:cs="Times New Roman"/>
          <w:iCs/>
          <w:kern w:val="0"/>
          <w:sz w:val="24"/>
          <w:szCs w:val="24"/>
          <w:lang w:val="en-GB" w:eastAsia="en-US"/>
        </w:rPr>
        <w:t>4-0740130888</w:t>
      </w:r>
    </w:p>
    <w:p w14:paraId="1BBF5958" w14:textId="77777777" w:rsidR="0011105F" w:rsidRPr="003771AE" w:rsidRDefault="0011105F" w:rsidP="00F17106">
      <w:pPr>
        <w:widowControl/>
        <w:snapToGrid w:val="0"/>
        <w:spacing w:line="360" w:lineRule="auto"/>
        <w:rPr>
          <w:rFonts w:ascii="Book Antiqua" w:eastAsia="等线" w:hAnsi="Book Antiqua" w:cs="Times New Roman"/>
          <w:b/>
          <w:kern w:val="0"/>
          <w:sz w:val="24"/>
          <w:szCs w:val="24"/>
          <w:lang w:val="en-GB" w:eastAsia="en-US"/>
        </w:rPr>
      </w:pPr>
    </w:p>
    <w:p w14:paraId="7E870504" w14:textId="56628F6D" w:rsidR="002F0FBA" w:rsidRPr="002F0FBA" w:rsidRDefault="002F0FBA" w:rsidP="002F0FBA">
      <w:pPr>
        <w:widowControl/>
        <w:snapToGrid w:val="0"/>
        <w:spacing w:line="360" w:lineRule="auto"/>
        <w:rPr>
          <w:rFonts w:ascii="Book Antiqua" w:eastAsia="宋体" w:hAnsi="Book Antiqua" w:cs="宋体"/>
          <w:b/>
          <w:kern w:val="0"/>
          <w:sz w:val="24"/>
          <w:szCs w:val="24"/>
        </w:rPr>
      </w:pPr>
      <w:bookmarkStart w:id="6" w:name="_Hlk11330731"/>
      <w:r w:rsidRPr="002F0FBA">
        <w:rPr>
          <w:rFonts w:ascii="Book Antiqua" w:eastAsia="宋体" w:hAnsi="Book Antiqua" w:cs="宋体"/>
          <w:b/>
          <w:kern w:val="0"/>
          <w:sz w:val="24"/>
          <w:szCs w:val="24"/>
        </w:rPr>
        <w:t>Received:</w:t>
      </w:r>
      <w:r w:rsidR="003771AE" w:rsidRPr="003771AE">
        <w:rPr>
          <w:rFonts w:ascii="Book Antiqua" w:eastAsia="宋体" w:hAnsi="Book Antiqua" w:cs="宋体"/>
          <w:b/>
          <w:kern w:val="0"/>
          <w:sz w:val="24"/>
          <w:szCs w:val="24"/>
        </w:rPr>
        <w:t xml:space="preserve"> </w:t>
      </w:r>
      <w:r w:rsidR="003771AE" w:rsidRPr="003771AE">
        <w:rPr>
          <w:rFonts w:ascii="Book Antiqua" w:eastAsia="宋体" w:hAnsi="Book Antiqua" w:cs="宋体"/>
          <w:bCs/>
          <w:kern w:val="0"/>
          <w:sz w:val="24"/>
          <w:szCs w:val="24"/>
        </w:rPr>
        <w:t>April 1, 2019</w:t>
      </w:r>
    </w:p>
    <w:p w14:paraId="1CD86FFA" w14:textId="2EEFA8C2" w:rsidR="002F0FBA" w:rsidRPr="002F0FBA" w:rsidRDefault="002F0FBA" w:rsidP="002F0FBA">
      <w:pPr>
        <w:widowControl/>
        <w:snapToGrid w:val="0"/>
        <w:spacing w:line="360" w:lineRule="auto"/>
        <w:rPr>
          <w:rFonts w:ascii="Book Antiqua" w:eastAsia="宋体" w:hAnsi="Book Antiqua" w:cs="宋体"/>
          <w:b/>
          <w:kern w:val="0"/>
          <w:sz w:val="24"/>
          <w:szCs w:val="24"/>
        </w:rPr>
      </w:pPr>
      <w:r w:rsidRPr="002F0FBA">
        <w:rPr>
          <w:rFonts w:ascii="Book Antiqua" w:eastAsia="宋体" w:hAnsi="Book Antiqua" w:cs="宋体"/>
          <w:b/>
          <w:kern w:val="0"/>
          <w:sz w:val="24"/>
          <w:szCs w:val="24"/>
        </w:rPr>
        <w:t>Peer-review started:</w:t>
      </w:r>
      <w:r w:rsidR="003771AE" w:rsidRPr="003771AE">
        <w:rPr>
          <w:rFonts w:ascii="Book Antiqua" w:eastAsia="宋体" w:hAnsi="Book Antiqua" w:cs="宋体"/>
          <w:b/>
          <w:kern w:val="0"/>
          <w:sz w:val="24"/>
          <w:szCs w:val="24"/>
        </w:rPr>
        <w:t xml:space="preserve"> </w:t>
      </w:r>
      <w:r w:rsidR="003771AE" w:rsidRPr="003771AE">
        <w:rPr>
          <w:rFonts w:ascii="Book Antiqua" w:eastAsia="宋体" w:hAnsi="Book Antiqua" w:cs="宋体"/>
          <w:bCs/>
          <w:kern w:val="0"/>
          <w:sz w:val="24"/>
          <w:szCs w:val="24"/>
        </w:rPr>
        <w:t>April 2, 2019</w:t>
      </w:r>
    </w:p>
    <w:p w14:paraId="364C97AC" w14:textId="325D247C" w:rsidR="002F0FBA" w:rsidRPr="002F0FBA" w:rsidRDefault="002F0FBA" w:rsidP="002F0FBA">
      <w:pPr>
        <w:widowControl/>
        <w:snapToGrid w:val="0"/>
        <w:spacing w:line="360" w:lineRule="auto"/>
        <w:rPr>
          <w:rFonts w:ascii="Book Antiqua" w:eastAsia="宋体" w:hAnsi="Book Antiqua" w:cs="宋体"/>
          <w:b/>
          <w:kern w:val="0"/>
          <w:sz w:val="24"/>
          <w:szCs w:val="24"/>
        </w:rPr>
      </w:pPr>
      <w:r w:rsidRPr="002F0FBA">
        <w:rPr>
          <w:rFonts w:ascii="Book Antiqua" w:eastAsia="宋体" w:hAnsi="Book Antiqua" w:cs="宋体"/>
          <w:b/>
          <w:kern w:val="0"/>
          <w:sz w:val="24"/>
          <w:szCs w:val="24"/>
        </w:rPr>
        <w:t>First decision:</w:t>
      </w:r>
      <w:r w:rsidR="003771AE" w:rsidRPr="003771AE">
        <w:rPr>
          <w:rFonts w:ascii="Book Antiqua" w:eastAsia="宋体" w:hAnsi="Book Antiqua" w:cs="宋体"/>
          <w:b/>
          <w:kern w:val="0"/>
          <w:sz w:val="24"/>
          <w:szCs w:val="24"/>
        </w:rPr>
        <w:t xml:space="preserve"> </w:t>
      </w:r>
      <w:r w:rsidR="003771AE" w:rsidRPr="003771AE">
        <w:rPr>
          <w:rFonts w:ascii="Book Antiqua" w:eastAsia="宋体" w:hAnsi="Book Antiqua" w:cs="宋体"/>
          <w:bCs/>
          <w:kern w:val="0"/>
          <w:sz w:val="24"/>
          <w:szCs w:val="24"/>
        </w:rPr>
        <w:t>May 5, 2019</w:t>
      </w:r>
    </w:p>
    <w:p w14:paraId="336370C2" w14:textId="25D2C99E" w:rsidR="002F0FBA" w:rsidRPr="002F0FBA" w:rsidRDefault="002F0FBA" w:rsidP="002F0FBA">
      <w:pPr>
        <w:widowControl/>
        <w:snapToGrid w:val="0"/>
        <w:spacing w:line="360" w:lineRule="auto"/>
        <w:rPr>
          <w:rFonts w:ascii="Book Antiqua" w:eastAsia="宋体" w:hAnsi="Book Antiqua" w:cs="宋体"/>
          <w:b/>
          <w:kern w:val="0"/>
          <w:sz w:val="24"/>
          <w:szCs w:val="24"/>
        </w:rPr>
      </w:pPr>
      <w:r w:rsidRPr="002F0FBA">
        <w:rPr>
          <w:rFonts w:ascii="Book Antiqua" w:eastAsia="宋体" w:hAnsi="Book Antiqua" w:cs="宋体"/>
          <w:b/>
          <w:kern w:val="0"/>
          <w:sz w:val="24"/>
          <w:szCs w:val="24"/>
        </w:rPr>
        <w:t>Revised:</w:t>
      </w:r>
      <w:r w:rsidR="003771AE" w:rsidRPr="003771AE">
        <w:rPr>
          <w:rFonts w:ascii="Book Antiqua" w:eastAsia="宋体" w:hAnsi="Book Antiqua" w:cs="宋体"/>
          <w:bCs/>
          <w:kern w:val="0"/>
          <w:sz w:val="24"/>
          <w:szCs w:val="24"/>
        </w:rPr>
        <w:t xml:space="preserve"> July 12, 2019</w:t>
      </w:r>
    </w:p>
    <w:p w14:paraId="08E9A310" w14:textId="6DF0A691" w:rsidR="002F0FBA" w:rsidRPr="002F0FBA" w:rsidRDefault="002F0FBA" w:rsidP="002F0FBA">
      <w:pPr>
        <w:widowControl/>
        <w:snapToGrid w:val="0"/>
        <w:spacing w:line="360" w:lineRule="auto"/>
        <w:rPr>
          <w:rFonts w:ascii="Book Antiqua" w:eastAsia="宋体" w:hAnsi="Book Antiqua" w:cs="宋体"/>
          <w:b/>
          <w:kern w:val="0"/>
          <w:sz w:val="24"/>
          <w:szCs w:val="24"/>
        </w:rPr>
      </w:pPr>
      <w:r w:rsidRPr="002F0FBA">
        <w:rPr>
          <w:rFonts w:ascii="Book Antiqua" w:eastAsia="宋体" w:hAnsi="Book Antiqua" w:cs="宋体"/>
          <w:b/>
          <w:kern w:val="0"/>
          <w:sz w:val="24"/>
          <w:szCs w:val="24"/>
        </w:rPr>
        <w:t>Accepted:</w:t>
      </w:r>
      <w:r w:rsidR="00AF3452" w:rsidRPr="00AF3452">
        <w:t xml:space="preserve"> </w:t>
      </w:r>
      <w:r w:rsidR="00AF3452" w:rsidRPr="00AF3452">
        <w:rPr>
          <w:rFonts w:ascii="Book Antiqua" w:eastAsia="宋体" w:hAnsi="Book Antiqua" w:cs="宋体"/>
          <w:kern w:val="0"/>
          <w:sz w:val="24"/>
          <w:szCs w:val="24"/>
        </w:rPr>
        <w:t>July 19, 2019</w:t>
      </w:r>
    </w:p>
    <w:p w14:paraId="06215576" w14:textId="77777777" w:rsidR="002F0FBA" w:rsidRPr="002F0FBA" w:rsidRDefault="002F0FBA" w:rsidP="002F0FBA">
      <w:pPr>
        <w:widowControl/>
        <w:snapToGrid w:val="0"/>
        <w:spacing w:line="360" w:lineRule="auto"/>
        <w:rPr>
          <w:rFonts w:ascii="Book Antiqua" w:eastAsia="宋体" w:hAnsi="Book Antiqua" w:cs="宋体"/>
          <w:b/>
          <w:kern w:val="0"/>
          <w:sz w:val="24"/>
          <w:szCs w:val="24"/>
        </w:rPr>
      </w:pPr>
      <w:r w:rsidRPr="002F0FBA">
        <w:rPr>
          <w:rFonts w:ascii="Book Antiqua" w:eastAsia="宋体" w:hAnsi="Book Antiqua" w:cs="宋体"/>
          <w:b/>
          <w:kern w:val="0"/>
          <w:sz w:val="24"/>
          <w:szCs w:val="24"/>
        </w:rPr>
        <w:t>Article in press:</w:t>
      </w:r>
    </w:p>
    <w:p w14:paraId="47D84FA2" w14:textId="77777777" w:rsidR="002F0FBA" w:rsidRPr="002F0FBA" w:rsidRDefault="002F0FBA" w:rsidP="002F0FBA">
      <w:pPr>
        <w:widowControl/>
        <w:snapToGrid w:val="0"/>
        <w:spacing w:line="360" w:lineRule="auto"/>
        <w:rPr>
          <w:rFonts w:ascii="Book Antiqua" w:eastAsia="宋体" w:hAnsi="Book Antiqua" w:cs="Arial"/>
          <w:b/>
          <w:kern w:val="0"/>
          <w:sz w:val="24"/>
          <w:szCs w:val="24"/>
          <w:lang w:val="pl-PL"/>
        </w:rPr>
      </w:pPr>
      <w:r w:rsidRPr="002F0FBA">
        <w:rPr>
          <w:rFonts w:ascii="Book Antiqua" w:eastAsia="宋体" w:hAnsi="Book Antiqua" w:cs="Arial"/>
          <w:b/>
          <w:kern w:val="0"/>
          <w:sz w:val="24"/>
          <w:szCs w:val="24"/>
          <w:lang w:val="pl-PL" w:eastAsia="pl-PL"/>
        </w:rPr>
        <w:lastRenderedPageBreak/>
        <w:t>Published online:</w:t>
      </w:r>
    </w:p>
    <w:bookmarkEnd w:id="6"/>
    <w:p w14:paraId="6E847771" w14:textId="77777777" w:rsidR="003771AE" w:rsidRPr="003771AE" w:rsidRDefault="003771AE">
      <w:pPr>
        <w:widowControl/>
        <w:jc w:val="left"/>
        <w:rPr>
          <w:rFonts w:ascii="Book Antiqua" w:eastAsia="Calibri" w:hAnsi="Book Antiqua" w:cs="Times New Roman"/>
          <w:b/>
          <w:iCs/>
          <w:kern w:val="0"/>
          <w:sz w:val="24"/>
          <w:szCs w:val="24"/>
          <w:lang w:val="en-GB" w:eastAsia="en-US"/>
        </w:rPr>
      </w:pPr>
      <w:r w:rsidRPr="003771AE">
        <w:rPr>
          <w:rFonts w:ascii="Book Antiqua" w:eastAsia="Calibri" w:hAnsi="Book Antiqua" w:cs="Times New Roman"/>
          <w:b/>
          <w:iCs/>
          <w:kern w:val="0"/>
          <w:sz w:val="24"/>
          <w:szCs w:val="24"/>
          <w:lang w:val="en-GB" w:eastAsia="en-US"/>
        </w:rPr>
        <w:br w:type="page"/>
      </w:r>
    </w:p>
    <w:p w14:paraId="3A254F79" w14:textId="71A1FD6F"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iCs/>
          <w:kern w:val="0"/>
          <w:sz w:val="24"/>
          <w:szCs w:val="24"/>
          <w:lang w:val="en-GB" w:eastAsia="en-US"/>
        </w:rPr>
      </w:pPr>
      <w:r w:rsidRPr="003771AE">
        <w:rPr>
          <w:rFonts w:ascii="Book Antiqua" w:eastAsia="Calibri" w:hAnsi="Book Antiqua" w:cs="Times New Roman"/>
          <w:b/>
          <w:iCs/>
          <w:kern w:val="0"/>
          <w:sz w:val="24"/>
          <w:szCs w:val="24"/>
          <w:lang w:val="en-GB" w:eastAsia="en-US"/>
        </w:rPr>
        <w:lastRenderedPageBreak/>
        <w:t>Abstract</w:t>
      </w:r>
    </w:p>
    <w:p w14:paraId="4466971E" w14:textId="06C6F3C7" w:rsidR="0011105F" w:rsidRPr="003771AE" w:rsidRDefault="0025251E" w:rsidP="00F17106">
      <w:pPr>
        <w:widowControl/>
        <w:autoSpaceDE w:val="0"/>
        <w:autoSpaceDN w:val="0"/>
        <w:adjustRightInd w:val="0"/>
        <w:snapToGrid w:val="0"/>
        <w:spacing w:line="360" w:lineRule="auto"/>
        <w:rPr>
          <w:rFonts w:ascii="Book Antiqua" w:eastAsia="等线" w:hAnsi="Book Antiqua" w:cs="Times New Roman"/>
          <w:kern w:val="0"/>
          <w:sz w:val="24"/>
          <w:szCs w:val="24"/>
          <w:lang w:val="en-GB" w:eastAsia="en-US"/>
        </w:rPr>
      </w:pPr>
      <w:r w:rsidRPr="003771AE">
        <w:rPr>
          <w:rFonts w:ascii="Book Antiqua" w:eastAsia="Calibri" w:hAnsi="Book Antiqua" w:cs="Times New Roman"/>
          <w:iCs/>
          <w:kern w:val="0"/>
          <w:sz w:val="24"/>
          <w:szCs w:val="24"/>
          <w:lang w:val="en-GB" w:eastAsia="en-US"/>
        </w:rPr>
        <w:t>Gastric cancer remains the third leading cause of mortality from cancer worldwide</w:t>
      </w:r>
      <w:r w:rsidR="00415C2C" w:rsidRPr="003771AE">
        <w:rPr>
          <w:rFonts w:ascii="Book Antiqua" w:eastAsia="Calibri" w:hAnsi="Book Antiqua" w:cs="Times New Roman"/>
          <w:iCs/>
          <w:kern w:val="0"/>
          <w:sz w:val="24"/>
          <w:szCs w:val="24"/>
          <w:lang w:val="en-GB" w:eastAsia="en-US"/>
        </w:rPr>
        <w:t xml:space="preserve"> </w:t>
      </w:r>
      <w:r w:rsidR="0011105F" w:rsidRPr="003771AE">
        <w:rPr>
          <w:rFonts w:ascii="Book Antiqua" w:eastAsia="Calibri" w:hAnsi="Book Antiqua" w:cs="Times New Roman"/>
          <w:iCs/>
          <w:kern w:val="0"/>
          <w:sz w:val="24"/>
          <w:szCs w:val="24"/>
          <w:lang w:val="en-GB" w:eastAsia="en-US"/>
        </w:rPr>
        <w:t xml:space="preserve">and carries a poor prognosis, due largely to late diagnosis. The importance of the interaction between </w:t>
      </w:r>
      <w:r w:rsidR="0011105F" w:rsidRPr="003771AE">
        <w:rPr>
          <w:rFonts w:ascii="Book Antiqua" w:eastAsia="Calibri" w:hAnsi="Book Antiqua" w:cs="Times New Roman"/>
          <w:i/>
          <w:iCs/>
          <w:kern w:val="0"/>
          <w:sz w:val="24"/>
          <w:szCs w:val="24"/>
          <w:lang w:val="en-GB" w:eastAsia="en-US"/>
        </w:rPr>
        <w:t>Helicobacter pylori</w:t>
      </w:r>
      <w:r w:rsidR="0011105F" w:rsidRPr="003771AE">
        <w:rPr>
          <w:rFonts w:ascii="Book Antiqua" w:eastAsia="Calibri" w:hAnsi="Book Antiqua" w:cs="Times New Roman"/>
          <w:iCs/>
          <w:kern w:val="0"/>
          <w:sz w:val="24"/>
          <w:szCs w:val="24"/>
          <w:lang w:val="en-GB" w:eastAsia="en-US"/>
        </w:rPr>
        <w:t xml:space="preserve"> </w:t>
      </w:r>
      <w:r w:rsidR="00415C2C" w:rsidRPr="003771AE">
        <w:rPr>
          <w:rFonts w:ascii="Book Antiqua" w:eastAsia="Calibri" w:hAnsi="Book Antiqua" w:cs="Times New Roman"/>
          <w:iCs/>
          <w:kern w:val="0"/>
          <w:sz w:val="24"/>
          <w:szCs w:val="24"/>
          <w:lang w:val="en-GB" w:eastAsia="en-US"/>
        </w:rPr>
        <w:t>(</w:t>
      </w:r>
      <w:r w:rsidR="00415C2C" w:rsidRPr="003771AE">
        <w:rPr>
          <w:rFonts w:ascii="Book Antiqua" w:eastAsia="Calibri" w:hAnsi="Book Antiqua" w:cs="Times New Roman"/>
          <w:i/>
          <w:iCs/>
          <w:kern w:val="0"/>
          <w:sz w:val="24"/>
          <w:szCs w:val="24"/>
          <w:lang w:val="en-GB" w:eastAsia="en-US"/>
        </w:rPr>
        <w:t>H. pylori</w:t>
      </w:r>
      <w:r w:rsidR="00415C2C" w:rsidRPr="003771AE">
        <w:rPr>
          <w:rFonts w:ascii="Book Antiqua" w:eastAsia="Calibri" w:hAnsi="Book Antiqua" w:cs="Times New Roman"/>
          <w:iCs/>
          <w:kern w:val="0"/>
          <w:sz w:val="24"/>
          <w:szCs w:val="24"/>
          <w:lang w:val="en-GB" w:eastAsia="en-US"/>
        </w:rPr>
        <w:t xml:space="preserve">) </w:t>
      </w:r>
      <w:r w:rsidR="0011105F" w:rsidRPr="003771AE">
        <w:rPr>
          <w:rFonts w:ascii="Book Antiqua" w:eastAsia="Calibri" w:hAnsi="Book Antiqua" w:cs="Times New Roman"/>
          <w:iCs/>
          <w:kern w:val="0"/>
          <w:sz w:val="24"/>
          <w:szCs w:val="24"/>
          <w:lang w:val="en-GB" w:eastAsia="en-US"/>
        </w:rPr>
        <w:t xml:space="preserve">infection, the main risk factor, and host-related genetic factors has been studied intensively in recent years. The genetic predisposition for non-hereditary gastric cancer is difficult to assess, as neither the real prevalence of premalignant gastric lesions in various populations nor the environmental risk factors for cancer progression are clearly defined. For non-cardiac intestinal-type cancer, identifying the factors that modulate the progression from inflammation toward cancer is crucial in order to develop preventive strategies. The role of cytokines and their gene variants has been questioned in regard to non-self-limiting </w:t>
      </w:r>
      <w:r w:rsidR="0011105F" w:rsidRPr="003771AE">
        <w:rPr>
          <w:rFonts w:ascii="Book Antiqua" w:eastAsia="Calibri" w:hAnsi="Book Antiqua" w:cs="Times New Roman"/>
          <w:i/>
          <w:iCs/>
          <w:kern w:val="0"/>
          <w:sz w:val="24"/>
          <w:szCs w:val="24"/>
          <w:lang w:val="en-GB" w:eastAsia="en-US"/>
        </w:rPr>
        <w:t>H. pylori</w:t>
      </w:r>
      <w:r w:rsidR="0011105F" w:rsidRPr="003771AE">
        <w:rPr>
          <w:rFonts w:ascii="Book Antiqua" w:eastAsia="Calibri" w:hAnsi="Book Antiqua" w:cs="Times New Roman"/>
          <w:iCs/>
          <w:kern w:val="0"/>
          <w:sz w:val="24"/>
          <w:szCs w:val="24"/>
          <w:lang w:val="en-GB" w:eastAsia="en-US"/>
        </w:rPr>
        <w:t xml:space="preserve"> gastritis and its evolution to gastric atrophy and intestinal metaplasia; the literature now includes various and non-conclusive results on this topic. The influence of the majority of cytokine single nucleotide polymorphisms has been investigated for gastric cancer but not for preneoplastic gastric lesions.</w:t>
      </w:r>
      <w:r w:rsidR="0011105F" w:rsidRPr="003771AE">
        <w:rPr>
          <w:rFonts w:ascii="Book Antiqua" w:eastAsia="等线" w:hAnsi="Book Antiqua" w:cs="Times New Roman"/>
          <w:kern w:val="0"/>
          <w:sz w:val="24"/>
          <w:szCs w:val="24"/>
          <w:lang w:val="en-GB" w:eastAsia="en-US"/>
        </w:rPr>
        <w:t xml:space="preserve"> Among the investigated gene variants onlyIL10T-819C, IL-8-251, IL-18RAP917997, IL-22 rs1179251, IL1-B-511, IL1-B-3954, IL4R-398 and IL1RN </w:t>
      </w:r>
      <w:r w:rsidR="0011105F" w:rsidRPr="003771AE">
        <w:rPr>
          <w:rFonts w:ascii="Book Antiqua" w:eastAsia="Calibri" w:hAnsi="Book Antiqua" w:cs="Times New Roman"/>
          <w:iCs/>
          <w:kern w:val="0"/>
          <w:sz w:val="24"/>
          <w:szCs w:val="24"/>
          <w:lang w:val="en-GB" w:eastAsia="en-US"/>
        </w:rPr>
        <w:t>were identified as predictors for premalignant gastric lesions risk. One of the most important limiting factors is the inhomogeneity of the studies (</w:t>
      </w:r>
      <w:r w:rsidR="0011105F" w:rsidRPr="003771AE">
        <w:rPr>
          <w:rFonts w:ascii="Book Antiqua" w:eastAsia="Calibri" w:hAnsi="Book Antiqua" w:cs="Times New Roman"/>
          <w:i/>
          <w:iCs/>
          <w:kern w:val="0"/>
          <w:sz w:val="24"/>
          <w:szCs w:val="24"/>
          <w:lang w:val="en-GB" w:eastAsia="en-US"/>
        </w:rPr>
        <w:t>e.g</w:t>
      </w:r>
      <w:r w:rsidR="0011105F" w:rsidRPr="003771AE">
        <w:rPr>
          <w:rFonts w:ascii="Book Antiqua" w:eastAsia="Calibri" w:hAnsi="Book Antiqua" w:cs="Times New Roman"/>
          <w:iCs/>
          <w:kern w:val="0"/>
          <w:sz w:val="24"/>
          <w:szCs w:val="24"/>
          <w:lang w:val="en-GB" w:eastAsia="en-US"/>
        </w:rPr>
        <w:t xml:space="preserve">., the lack of data on concomitant </w:t>
      </w:r>
      <w:r w:rsidR="0011105F" w:rsidRPr="003771AE">
        <w:rPr>
          <w:rFonts w:ascii="Book Antiqua" w:eastAsia="Calibri" w:hAnsi="Book Antiqua" w:cs="Times New Roman"/>
          <w:i/>
          <w:iCs/>
          <w:kern w:val="0"/>
          <w:sz w:val="24"/>
          <w:szCs w:val="24"/>
          <w:lang w:val="en-GB" w:eastAsia="en-US"/>
        </w:rPr>
        <w:t>H. pylori</w:t>
      </w:r>
      <w:r w:rsidR="0011105F" w:rsidRPr="003771AE">
        <w:rPr>
          <w:rFonts w:ascii="Book Antiqua" w:eastAsia="Calibri" w:hAnsi="Book Antiqua" w:cs="Times New Roman"/>
          <w:iCs/>
          <w:kern w:val="0"/>
          <w:sz w:val="24"/>
          <w:szCs w:val="24"/>
          <w:lang w:val="en-GB" w:eastAsia="en-US"/>
        </w:rPr>
        <w:t xml:space="preserve"> infection, methods used to assess preneoplastic lesions, and source population). Testing the modifying effect of </w:t>
      </w:r>
      <w:r w:rsidR="0011105F" w:rsidRPr="003771AE">
        <w:rPr>
          <w:rFonts w:ascii="Book Antiqua" w:eastAsia="Calibri" w:hAnsi="Book Antiqua" w:cs="Times New Roman"/>
          <w:i/>
          <w:iCs/>
          <w:kern w:val="0"/>
          <w:sz w:val="24"/>
          <w:szCs w:val="24"/>
          <w:lang w:val="en-GB" w:eastAsia="en-US"/>
        </w:rPr>
        <w:t>H. pylori</w:t>
      </w:r>
      <w:r w:rsidR="0011105F" w:rsidRPr="003771AE">
        <w:rPr>
          <w:rFonts w:ascii="Book Antiqua" w:eastAsia="Calibri" w:hAnsi="Book Antiqua" w:cs="Times New Roman"/>
          <w:iCs/>
          <w:kern w:val="0"/>
          <w:sz w:val="24"/>
          <w:szCs w:val="24"/>
          <w:lang w:val="en-GB" w:eastAsia="en-US"/>
        </w:rPr>
        <w:t xml:space="preserve"> infection upon the relationship between cytokine gene variants and premalignant gastric lesions, or even testing the interaction between </w:t>
      </w:r>
      <w:r w:rsidR="0011105F" w:rsidRPr="003771AE">
        <w:rPr>
          <w:rFonts w:ascii="Book Antiqua" w:eastAsia="Calibri" w:hAnsi="Book Antiqua" w:cs="Times New Roman"/>
          <w:i/>
          <w:iCs/>
          <w:kern w:val="0"/>
          <w:sz w:val="24"/>
          <w:szCs w:val="24"/>
          <w:lang w:val="en-GB" w:eastAsia="en-US"/>
        </w:rPr>
        <w:t>H. pylori</w:t>
      </w:r>
      <w:r w:rsidR="0011105F" w:rsidRPr="003771AE">
        <w:rPr>
          <w:rFonts w:ascii="Book Antiqua" w:eastAsia="Calibri" w:hAnsi="Book Antiqua" w:cs="Times New Roman"/>
          <w:iCs/>
          <w:kern w:val="0"/>
          <w:sz w:val="24"/>
          <w:szCs w:val="24"/>
          <w:lang w:val="en-GB" w:eastAsia="en-US"/>
        </w:rPr>
        <w:t xml:space="preserve"> and cytokine gene variants in multivariable models adjusted for potential covariates, could increase generalizability of results.</w:t>
      </w:r>
    </w:p>
    <w:p w14:paraId="2EC042A6" w14:textId="77777777" w:rsidR="0011105F" w:rsidRPr="003771AE" w:rsidRDefault="0011105F" w:rsidP="00F17106">
      <w:pPr>
        <w:widowControl/>
        <w:snapToGrid w:val="0"/>
        <w:spacing w:line="360" w:lineRule="auto"/>
        <w:rPr>
          <w:rFonts w:ascii="Book Antiqua" w:eastAsia="等线" w:hAnsi="Book Antiqua" w:cs="Times New Roman"/>
          <w:b/>
          <w:kern w:val="0"/>
          <w:sz w:val="24"/>
          <w:szCs w:val="24"/>
          <w:lang w:val="en-GB" w:eastAsia="en-US"/>
        </w:rPr>
      </w:pPr>
    </w:p>
    <w:p w14:paraId="20C9B199" w14:textId="77777777" w:rsidR="0011105F" w:rsidRPr="003771AE" w:rsidRDefault="0011105F" w:rsidP="00F17106">
      <w:pPr>
        <w:widowControl/>
        <w:snapToGrid w:val="0"/>
        <w:spacing w:line="360" w:lineRule="auto"/>
        <w:rPr>
          <w:rFonts w:ascii="Book Antiqua" w:eastAsia="等线" w:hAnsi="Book Antiqua" w:cs="Times New Roman"/>
          <w:kern w:val="0"/>
          <w:sz w:val="24"/>
          <w:szCs w:val="24"/>
          <w:lang w:val="en-GB" w:eastAsia="en-US"/>
        </w:rPr>
      </w:pPr>
      <w:r w:rsidRPr="003771AE">
        <w:rPr>
          <w:rFonts w:ascii="Book Antiqua" w:eastAsia="等线" w:hAnsi="Book Antiqua" w:cs="Times New Roman"/>
          <w:b/>
          <w:kern w:val="0"/>
          <w:sz w:val="24"/>
          <w:szCs w:val="24"/>
          <w:lang w:val="en-GB" w:eastAsia="en-US"/>
        </w:rPr>
        <w:t xml:space="preserve">Key words: </w:t>
      </w:r>
      <w:r w:rsidRPr="003771AE">
        <w:rPr>
          <w:rFonts w:ascii="Book Antiqua" w:eastAsia="等线" w:hAnsi="Book Antiqua" w:cs="Times New Roman"/>
          <w:i/>
          <w:iCs/>
          <w:kern w:val="0"/>
          <w:sz w:val="24"/>
          <w:szCs w:val="24"/>
          <w:lang w:val="en-GB" w:eastAsia="en-US"/>
        </w:rPr>
        <w:t>Helicobacter pylori</w:t>
      </w:r>
      <w:r w:rsidRPr="003771AE">
        <w:rPr>
          <w:rFonts w:ascii="Book Antiqua" w:eastAsia="等线" w:hAnsi="Book Antiqua" w:cs="Times New Roman"/>
          <w:kern w:val="0"/>
          <w:sz w:val="24"/>
          <w:szCs w:val="24"/>
          <w:lang w:val="en-GB" w:eastAsia="en-US"/>
        </w:rPr>
        <w:t>; Gastritis; Premalignant; Glandular atrophy; Intestinal metaplasia; Single-nuclear polymorphism; Gene variants; Interleukins</w:t>
      </w:r>
    </w:p>
    <w:p w14:paraId="74AF0582" w14:textId="77777777" w:rsidR="0011105F" w:rsidRPr="003771AE" w:rsidRDefault="0011105F" w:rsidP="00F17106">
      <w:pPr>
        <w:widowControl/>
        <w:snapToGrid w:val="0"/>
        <w:spacing w:line="360" w:lineRule="auto"/>
        <w:rPr>
          <w:rFonts w:ascii="Book Antiqua" w:eastAsia="等线" w:hAnsi="Book Antiqua" w:cs="Times New Roman"/>
          <w:b/>
          <w:kern w:val="0"/>
          <w:sz w:val="24"/>
          <w:szCs w:val="24"/>
          <w:lang w:val="en-GB" w:eastAsia="en-US"/>
        </w:rPr>
      </w:pPr>
    </w:p>
    <w:p w14:paraId="79733EA4" w14:textId="77777777" w:rsidR="0011105F" w:rsidRPr="003771AE" w:rsidRDefault="0011105F" w:rsidP="00F17106">
      <w:pPr>
        <w:widowControl/>
        <w:snapToGrid w:val="0"/>
        <w:spacing w:line="360" w:lineRule="auto"/>
        <w:rPr>
          <w:rFonts w:ascii="Book Antiqua" w:eastAsia="等线" w:hAnsi="Book Antiqua" w:cs="Times New Roman"/>
          <w:kern w:val="0"/>
          <w:sz w:val="24"/>
          <w:szCs w:val="24"/>
          <w:lang w:val="en-GB"/>
        </w:rPr>
      </w:pPr>
      <w:bookmarkStart w:id="7" w:name="OLE_LINK98"/>
      <w:bookmarkStart w:id="8" w:name="OLE_LINK156"/>
      <w:bookmarkStart w:id="9" w:name="OLE_LINK196"/>
      <w:bookmarkStart w:id="10" w:name="OLE_LINK242"/>
      <w:bookmarkStart w:id="11" w:name="OLE_LINK247"/>
      <w:bookmarkStart w:id="12" w:name="OLE_LINK311"/>
      <w:bookmarkStart w:id="13" w:name="OLE_LINK312"/>
      <w:bookmarkStart w:id="14" w:name="OLE_LINK325"/>
      <w:bookmarkStart w:id="15" w:name="OLE_LINK330"/>
      <w:bookmarkStart w:id="16" w:name="OLE_LINK513"/>
      <w:bookmarkStart w:id="17" w:name="OLE_LINK464"/>
      <w:bookmarkStart w:id="18" w:name="OLE_LINK465"/>
      <w:bookmarkStart w:id="19" w:name="OLE_LINK466"/>
      <w:bookmarkStart w:id="20" w:name="OLE_LINK471"/>
      <w:bookmarkStart w:id="21" w:name="OLE_LINK472"/>
      <w:bookmarkStart w:id="22" w:name="OLE_LINK474"/>
      <w:bookmarkStart w:id="23" w:name="OLE_LINK800"/>
      <w:bookmarkStart w:id="24" w:name="OLE_LINK982"/>
      <w:bookmarkStart w:id="25" w:name="OLE_LINK504"/>
      <w:bookmarkStart w:id="26" w:name="OLE_LINK546"/>
      <w:bookmarkStart w:id="27" w:name="OLE_LINK575"/>
      <w:bookmarkStart w:id="28" w:name="OLE_LINK640"/>
      <w:bookmarkStart w:id="29" w:name="OLE_LINK672"/>
      <w:bookmarkStart w:id="30" w:name="OLE_LINK714"/>
      <w:bookmarkStart w:id="31" w:name="OLE_LINK651"/>
      <w:bookmarkStart w:id="32" w:name="OLE_LINK652"/>
      <w:bookmarkStart w:id="33" w:name="OLE_LINK744"/>
      <w:bookmarkStart w:id="34" w:name="OLE_LINK758"/>
      <w:bookmarkStart w:id="35" w:name="OLE_LINK787"/>
      <w:bookmarkStart w:id="36" w:name="OLE_LINK862"/>
      <w:bookmarkStart w:id="37" w:name="OLE_LINK879"/>
      <w:bookmarkStart w:id="38" w:name="OLE_LINK906"/>
      <w:bookmarkStart w:id="39" w:name="OLE_LINK928"/>
      <w:bookmarkStart w:id="40" w:name="OLE_LINK960"/>
      <w:bookmarkStart w:id="41" w:name="OLE_LINK861"/>
      <w:bookmarkStart w:id="42" w:name="OLE_LINK983"/>
      <w:bookmarkStart w:id="43" w:name="OLE_LINK1334"/>
      <w:bookmarkStart w:id="44" w:name="OLE_LINK1029"/>
      <w:bookmarkStart w:id="45" w:name="OLE_LINK1060"/>
      <w:bookmarkStart w:id="46" w:name="OLE_LINK1061"/>
      <w:bookmarkStart w:id="47" w:name="OLE_LINK1348"/>
      <w:bookmarkStart w:id="48" w:name="OLE_LINK1086"/>
      <w:bookmarkStart w:id="49" w:name="OLE_LINK1100"/>
      <w:bookmarkStart w:id="50" w:name="OLE_LINK1125"/>
      <w:bookmarkStart w:id="51" w:name="OLE_LINK1163"/>
      <w:bookmarkStart w:id="52" w:name="OLE_LINK1193"/>
      <w:bookmarkStart w:id="53" w:name="OLE_LINK1219"/>
      <w:bookmarkStart w:id="54" w:name="OLE_LINK1247"/>
      <w:bookmarkStart w:id="55" w:name="OLE_LINK1284"/>
      <w:bookmarkStart w:id="56" w:name="OLE_LINK1313"/>
      <w:bookmarkStart w:id="57" w:name="OLE_LINK1361"/>
      <w:bookmarkStart w:id="58" w:name="OLE_LINK1384"/>
      <w:bookmarkStart w:id="59" w:name="OLE_LINK1403"/>
      <w:bookmarkStart w:id="60" w:name="OLE_LINK1437"/>
      <w:bookmarkStart w:id="61" w:name="OLE_LINK1454"/>
      <w:bookmarkStart w:id="62" w:name="OLE_LINK1480"/>
      <w:bookmarkStart w:id="63" w:name="OLE_LINK1504"/>
      <w:bookmarkStart w:id="64" w:name="OLE_LINK1516"/>
      <w:bookmarkStart w:id="65" w:name="OLE_LINK135"/>
      <w:bookmarkStart w:id="66" w:name="OLE_LINK216"/>
      <w:bookmarkStart w:id="67" w:name="OLE_LINK259"/>
      <w:bookmarkStart w:id="68" w:name="OLE_LINK1186"/>
      <w:bookmarkStart w:id="69" w:name="OLE_LINK1265"/>
      <w:bookmarkStart w:id="70" w:name="OLE_LINK1373"/>
      <w:bookmarkStart w:id="71" w:name="OLE_LINK1478"/>
      <w:bookmarkStart w:id="72" w:name="OLE_LINK1644"/>
      <w:bookmarkStart w:id="73" w:name="OLE_LINK1884"/>
      <w:bookmarkStart w:id="74" w:name="OLE_LINK1885"/>
      <w:bookmarkStart w:id="75" w:name="OLE_LINK1538"/>
      <w:bookmarkStart w:id="76" w:name="OLE_LINK1539"/>
      <w:bookmarkStart w:id="77" w:name="OLE_LINK1543"/>
      <w:bookmarkStart w:id="78" w:name="OLE_LINK1549"/>
      <w:bookmarkStart w:id="79" w:name="OLE_LINK1778"/>
      <w:bookmarkStart w:id="80" w:name="OLE_LINK1756"/>
      <w:bookmarkStart w:id="81" w:name="OLE_LINK1776"/>
      <w:bookmarkStart w:id="82" w:name="OLE_LINK1777"/>
      <w:bookmarkStart w:id="83" w:name="OLE_LINK1868"/>
      <w:bookmarkStart w:id="84" w:name="OLE_LINK1744"/>
      <w:bookmarkStart w:id="85" w:name="OLE_LINK1817"/>
      <w:bookmarkStart w:id="86" w:name="OLE_LINK1835"/>
      <w:bookmarkStart w:id="87" w:name="OLE_LINK1866"/>
      <w:bookmarkStart w:id="88" w:name="OLE_LINK1882"/>
      <w:bookmarkStart w:id="89" w:name="OLE_LINK1901"/>
      <w:bookmarkStart w:id="90" w:name="OLE_LINK1902"/>
      <w:bookmarkStart w:id="91" w:name="OLE_LINK2013"/>
      <w:bookmarkStart w:id="92" w:name="OLE_LINK1894"/>
      <w:bookmarkStart w:id="93" w:name="OLE_LINK1929"/>
      <w:bookmarkStart w:id="94" w:name="OLE_LINK1941"/>
      <w:bookmarkStart w:id="95" w:name="OLE_LINK1995"/>
      <w:bookmarkStart w:id="96" w:name="OLE_LINK1938"/>
      <w:bookmarkStart w:id="97" w:name="OLE_LINK2081"/>
      <w:bookmarkStart w:id="98" w:name="OLE_LINK2082"/>
      <w:bookmarkStart w:id="99" w:name="OLE_LINK2292"/>
      <w:bookmarkStart w:id="100" w:name="OLE_LINK1931"/>
      <w:bookmarkStart w:id="101" w:name="OLE_LINK1964"/>
      <w:bookmarkStart w:id="102" w:name="OLE_LINK2020"/>
      <w:bookmarkStart w:id="103" w:name="OLE_LINK2071"/>
      <w:bookmarkStart w:id="104" w:name="OLE_LINK2134"/>
      <w:bookmarkStart w:id="105" w:name="OLE_LINK2265"/>
      <w:bookmarkStart w:id="106" w:name="OLE_LINK2562"/>
      <w:bookmarkStart w:id="107" w:name="OLE_LINK1923"/>
      <w:bookmarkStart w:id="108" w:name="OLE_LINK2192"/>
      <w:bookmarkStart w:id="109" w:name="OLE_LINK2110"/>
      <w:bookmarkStart w:id="110" w:name="OLE_LINK2445"/>
      <w:bookmarkStart w:id="111" w:name="OLE_LINK2446"/>
      <w:bookmarkStart w:id="112" w:name="OLE_LINK2169"/>
      <w:bookmarkStart w:id="113" w:name="OLE_LINK2190"/>
      <w:bookmarkStart w:id="114" w:name="OLE_LINK2331"/>
      <w:bookmarkStart w:id="115" w:name="OLE_LINK2345"/>
      <w:bookmarkStart w:id="116" w:name="OLE_LINK2467"/>
      <w:bookmarkStart w:id="117" w:name="OLE_LINK2484"/>
      <w:bookmarkStart w:id="118" w:name="OLE_LINK2157"/>
      <w:bookmarkStart w:id="119" w:name="OLE_LINK2221"/>
      <w:bookmarkStart w:id="120" w:name="OLE_LINK2252"/>
      <w:bookmarkStart w:id="121" w:name="OLE_LINK2348"/>
      <w:bookmarkStart w:id="122" w:name="OLE_LINK2451"/>
      <w:bookmarkStart w:id="123" w:name="OLE_LINK2627"/>
      <w:bookmarkStart w:id="124" w:name="OLE_LINK2482"/>
      <w:bookmarkStart w:id="125" w:name="OLE_LINK2663"/>
      <w:bookmarkStart w:id="126" w:name="OLE_LINK2761"/>
      <w:bookmarkStart w:id="127" w:name="OLE_LINK2856"/>
      <w:bookmarkStart w:id="128" w:name="OLE_LINK2993"/>
      <w:bookmarkStart w:id="129" w:name="OLE_LINK2643"/>
      <w:bookmarkStart w:id="130" w:name="OLE_LINK2583"/>
      <w:bookmarkStart w:id="131" w:name="OLE_LINK2762"/>
      <w:bookmarkStart w:id="132" w:name="OLE_LINK2962"/>
      <w:bookmarkStart w:id="133" w:name="OLE_LINK2582"/>
      <w:r w:rsidRPr="003771AE">
        <w:rPr>
          <w:rFonts w:ascii="Book Antiqua" w:eastAsia="等线" w:hAnsi="Book Antiqua" w:cs="Times New Roman"/>
          <w:b/>
          <w:kern w:val="0"/>
          <w:sz w:val="24"/>
          <w:szCs w:val="24"/>
          <w:lang w:val="en-GB" w:eastAsia="en-US"/>
        </w:rPr>
        <w:t xml:space="preserve">© </w:t>
      </w:r>
      <w:r w:rsidRPr="003771AE">
        <w:rPr>
          <w:rFonts w:ascii="Book Antiqua" w:eastAsia="AdvTimes" w:hAnsi="Book Antiqua" w:cs="AdvTimes"/>
          <w:b/>
          <w:kern w:val="0"/>
          <w:sz w:val="24"/>
          <w:szCs w:val="24"/>
          <w:lang w:val="en-GB" w:eastAsia="en-US"/>
        </w:rPr>
        <w:t>The Author(s) 201</w:t>
      </w:r>
      <w:r w:rsidRPr="003771AE">
        <w:rPr>
          <w:rFonts w:ascii="Book Antiqua" w:eastAsia="等线" w:hAnsi="Book Antiqua" w:cs="AdvTimes"/>
          <w:b/>
          <w:kern w:val="0"/>
          <w:sz w:val="24"/>
          <w:szCs w:val="24"/>
          <w:lang w:val="en-GB" w:eastAsia="en-US"/>
        </w:rPr>
        <w:t>9</w:t>
      </w:r>
      <w:r w:rsidRPr="003771AE">
        <w:rPr>
          <w:rFonts w:ascii="Book Antiqua" w:eastAsia="AdvTimes" w:hAnsi="Book Antiqua" w:cs="AdvTimes"/>
          <w:b/>
          <w:kern w:val="0"/>
          <w:sz w:val="24"/>
          <w:szCs w:val="24"/>
          <w:lang w:val="en-GB" w:eastAsia="en-US"/>
        </w:rPr>
        <w:t>.</w:t>
      </w:r>
      <w:r w:rsidRPr="003771AE">
        <w:rPr>
          <w:rFonts w:ascii="Book Antiqua" w:eastAsia="AdvTimes" w:hAnsi="Book Antiqua" w:cs="AdvTimes"/>
          <w:kern w:val="0"/>
          <w:sz w:val="24"/>
          <w:szCs w:val="24"/>
          <w:lang w:val="en-GB" w:eastAsia="en-US"/>
        </w:rPr>
        <w:t xml:space="preserve"> Published by </w:t>
      </w:r>
      <w:r w:rsidRPr="003771AE">
        <w:rPr>
          <w:rFonts w:ascii="Book Antiqua" w:eastAsia="等线" w:hAnsi="Book Antiqua" w:cs="Arial Unicode MS"/>
          <w:kern w:val="0"/>
          <w:sz w:val="24"/>
          <w:szCs w:val="24"/>
          <w:lang w:val="en-GB" w:eastAsia="en-US"/>
        </w:rPr>
        <w:t>Baishideng Publishing Group Inc. All rights reserved.</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55370181" w14:textId="77777777" w:rsidR="0011105F" w:rsidRPr="003771AE" w:rsidRDefault="0011105F" w:rsidP="00F17106">
      <w:pPr>
        <w:widowControl/>
        <w:snapToGrid w:val="0"/>
        <w:spacing w:line="360" w:lineRule="auto"/>
        <w:rPr>
          <w:rFonts w:ascii="Book Antiqua" w:eastAsia="等线" w:hAnsi="Book Antiqua" w:cs="Times New Roman"/>
          <w:b/>
          <w:kern w:val="0"/>
          <w:sz w:val="24"/>
          <w:szCs w:val="24"/>
          <w:lang w:val="en-GB" w:eastAsia="en-US"/>
        </w:rPr>
      </w:pPr>
    </w:p>
    <w:p w14:paraId="3A41894E" w14:textId="39438F64" w:rsidR="0011105F" w:rsidRPr="003771AE" w:rsidRDefault="0011105F" w:rsidP="00F17106">
      <w:pPr>
        <w:widowControl/>
        <w:snapToGrid w:val="0"/>
        <w:spacing w:line="360" w:lineRule="auto"/>
        <w:rPr>
          <w:rFonts w:ascii="Book Antiqua" w:eastAsia="Calibri" w:hAnsi="Book Antiqua" w:cs="Times New Roman"/>
          <w:iCs/>
          <w:kern w:val="0"/>
          <w:sz w:val="24"/>
          <w:szCs w:val="24"/>
          <w:lang w:val="en-GB" w:eastAsia="en-US"/>
        </w:rPr>
      </w:pPr>
      <w:r w:rsidRPr="003771AE">
        <w:rPr>
          <w:rFonts w:ascii="Book Antiqua" w:eastAsia="等线" w:hAnsi="Book Antiqua" w:cs="Times New Roman"/>
          <w:b/>
          <w:kern w:val="0"/>
          <w:sz w:val="24"/>
          <w:szCs w:val="24"/>
          <w:lang w:val="en-GB" w:eastAsia="en-US"/>
        </w:rPr>
        <w:lastRenderedPageBreak/>
        <w:t>Core tip:</w:t>
      </w:r>
      <w:r w:rsidRPr="003771AE">
        <w:rPr>
          <w:rFonts w:ascii="Book Antiqua" w:eastAsia="Calibri" w:hAnsi="Book Antiqua" w:cs="Times New Roman"/>
          <w:iCs/>
          <w:kern w:val="0"/>
          <w:sz w:val="24"/>
          <w:szCs w:val="24"/>
          <w:lang w:val="en-GB" w:eastAsia="en-US"/>
        </w:rPr>
        <w:t xml:space="preserve"> The role of cytokines and their gene variants has been questioned in relation to </w:t>
      </w:r>
      <w:r w:rsidRPr="003771AE">
        <w:rPr>
          <w:rFonts w:ascii="Book Antiqua" w:eastAsia="Calibri" w:hAnsi="Book Antiqua" w:cs="Times New Roman"/>
          <w:i/>
          <w:iCs/>
          <w:kern w:val="0"/>
          <w:sz w:val="24"/>
          <w:szCs w:val="24"/>
          <w:lang w:val="en-GB" w:eastAsia="en-US"/>
        </w:rPr>
        <w:t>Helicobacter pylori</w:t>
      </w:r>
      <w:r w:rsidRPr="003771AE">
        <w:rPr>
          <w:rFonts w:ascii="Book Antiqua" w:eastAsia="Calibri" w:hAnsi="Book Antiqua" w:cs="Times New Roman"/>
          <w:iCs/>
          <w:kern w:val="0"/>
          <w:sz w:val="24"/>
          <w:szCs w:val="24"/>
          <w:lang w:val="en-GB" w:eastAsia="en-US"/>
        </w:rPr>
        <w:t xml:space="preserve"> </w:t>
      </w:r>
      <w:r w:rsidR="00F53882" w:rsidRPr="003771AE">
        <w:rPr>
          <w:rFonts w:ascii="Book Antiqua" w:eastAsia="Calibri" w:hAnsi="Book Antiqua" w:cs="Times New Roman"/>
          <w:iCs/>
          <w:kern w:val="0"/>
          <w:sz w:val="24"/>
          <w:szCs w:val="24"/>
          <w:lang w:val="en-GB" w:eastAsia="en-US"/>
        </w:rPr>
        <w:t>(</w:t>
      </w:r>
      <w:r w:rsidR="00F53882" w:rsidRPr="003771AE">
        <w:rPr>
          <w:rFonts w:ascii="Book Antiqua" w:eastAsia="Calibri" w:hAnsi="Book Antiqua" w:cs="Times New Roman"/>
          <w:i/>
          <w:iCs/>
          <w:kern w:val="0"/>
          <w:sz w:val="24"/>
          <w:szCs w:val="24"/>
          <w:lang w:val="en-GB" w:eastAsia="en-US"/>
        </w:rPr>
        <w:t>H. pylori</w:t>
      </w:r>
      <w:r w:rsidR="00F53882" w:rsidRPr="003771AE">
        <w:rPr>
          <w:rFonts w:ascii="Book Antiqua" w:eastAsia="Calibri" w:hAnsi="Book Antiqua" w:cs="Times New Roman"/>
          <w:iCs/>
          <w:kern w:val="0"/>
          <w:sz w:val="24"/>
          <w:szCs w:val="24"/>
          <w:lang w:val="en-GB" w:eastAsia="en-US"/>
        </w:rPr>
        <w:t xml:space="preserve">) </w:t>
      </w:r>
      <w:r w:rsidRPr="003771AE">
        <w:rPr>
          <w:rFonts w:ascii="Book Antiqua" w:eastAsia="Calibri" w:hAnsi="Book Antiqua" w:cs="Times New Roman"/>
          <w:iCs/>
          <w:kern w:val="0"/>
          <w:sz w:val="24"/>
          <w:szCs w:val="24"/>
          <w:lang w:val="en-GB" w:eastAsia="en-US"/>
        </w:rPr>
        <w:t xml:space="preserve">gastritis and gastric cancer but only infrequently for preneoplastic lesions. To date, only the single nucleotide polymorphisms </w:t>
      </w:r>
      <w:r w:rsidRPr="003771AE">
        <w:rPr>
          <w:rFonts w:ascii="Book Antiqua" w:eastAsia="等线" w:hAnsi="Book Antiqua" w:cs="Times New Roman"/>
          <w:kern w:val="0"/>
          <w:sz w:val="24"/>
          <w:szCs w:val="24"/>
          <w:lang w:val="en-GB" w:eastAsia="en-US"/>
        </w:rPr>
        <w:t>IL</w:t>
      </w:r>
      <w:r w:rsidR="00575AD5" w:rsidRPr="003771AE">
        <w:rPr>
          <w:rFonts w:ascii="Book Antiqua" w:eastAsia="等线" w:hAnsi="Book Antiqua" w:cs="Times New Roman"/>
          <w:kern w:val="0"/>
          <w:sz w:val="24"/>
          <w:szCs w:val="24"/>
          <w:lang w:val="en-GB" w:eastAsia="en-US"/>
        </w:rPr>
        <w:t>-</w:t>
      </w:r>
      <w:r w:rsidRPr="003771AE">
        <w:rPr>
          <w:rFonts w:ascii="Book Antiqua" w:eastAsia="等线" w:hAnsi="Book Antiqua" w:cs="Times New Roman"/>
          <w:kern w:val="0"/>
          <w:sz w:val="24"/>
          <w:szCs w:val="24"/>
          <w:lang w:val="en-GB" w:eastAsia="en-US"/>
        </w:rPr>
        <w:t>10T-819C, IL-8-251, IL-18RAP917997, IL-22 rs1179251, IL1-B-511, IL1-B-3954, IL4R-398 and IL1RN</w:t>
      </w:r>
      <w:r w:rsidRPr="003771AE">
        <w:rPr>
          <w:rFonts w:ascii="Book Antiqua" w:eastAsia="Calibri" w:hAnsi="Book Antiqua" w:cs="Times New Roman"/>
          <w:iCs/>
          <w:kern w:val="0"/>
          <w:sz w:val="24"/>
          <w:szCs w:val="24"/>
          <w:lang w:val="en-GB" w:eastAsia="en-US"/>
        </w:rPr>
        <w:t xml:space="preserve"> appear to be predictors for premalignant gastric lesion susceptibility. In order to develop preventative strategies, further studies using multivariable models to test the modifying effect of </w:t>
      </w:r>
      <w:r w:rsidRPr="003771AE">
        <w:rPr>
          <w:rFonts w:ascii="Book Antiqua" w:eastAsia="Calibri" w:hAnsi="Book Antiqua" w:cs="Times New Roman"/>
          <w:i/>
          <w:iCs/>
          <w:kern w:val="0"/>
          <w:sz w:val="24"/>
          <w:szCs w:val="24"/>
          <w:lang w:val="en-GB" w:eastAsia="en-US"/>
        </w:rPr>
        <w:t>H. pylori</w:t>
      </w:r>
      <w:r w:rsidRPr="003771AE">
        <w:rPr>
          <w:rFonts w:ascii="Book Antiqua" w:eastAsia="Calibri" w:hAnsi="Book Antiqua" w:cs="Times New Roman"/>
          <w:iCs/>
          <w:kern w:val="0"/>
          <w:sz w:val="24"/>
          <w:szCs w:val="24"/>
          <w:lang w:val="en-GB" w:eastAsia="en-US"/>
        </w:rPr>
        <w:t xml:space="preserve"> infection on the relationship between cytokine gene variants and premalignant lesions or to test the interaction between </w:t>
      </w:r>
      <w:r w:rsidRPr="003771AE">
        <w:rPr>
          <w:rFonts w:ascii="Book Antiqua" w:eastAsia="Calibri" w:hAnsi="Book Antiqua" w:cs="Times New Roman"/>
          <w:i/>
          <w:iCs/>
          <w:kern w:val="0"/>
          <w:sz w:val="24"/>
          <w:szCs w:val="24"/>
          <w:lang w:val="en-GB" w:eastAsia="en-US"/>
        </w:rPr>
        <w:t>H. pylori</w:t>
      </w:r>
      <w:r w:rsidRPr="003771AE">
        <w:rPr>
          <w:rFonts w:ascii="Book Antiqua" w:eastAsia="Calibri" w:hAnsi="Book Antiqua" w:cs="Times New Roman"/>
          <w:iCs/>
          <w:kern w:val="0"/>
          <w:sz w:val="24"/>
          <w:szCs w:val="24"/>
          <w:lang w:val="en-GB" w:eastAsia="en-US"/>
        </w:rPr>
        <w:t xml:space="preserve"> and cytokine gene variants should be considered.</w:t>
      </w:r>
    </w:p>
    <w:p w14:paraId="5A6B8FB3" w14:textId="77777777" w:rsidR="0011105F" w:rsidRPr="003771AE" w:rsidRDefault="0011105F" w:rsidP="00F17106">
      <w:pPr>
        <w:widowControl/>
        <w:snapToGrid w:val="0"/>
        <w:spacing w:line="360" w:lineRule="auto"/>
        <w:rPr>
          <w:rFonts w:ascii="Book Antiqua" w:eastAsia="等线" w:hAnsi="Book Antiqua" w:cs="Times New Roman"/>
          <w:b/>
          <w:kern w:val="0"/>
          <w:sz w:val="24"/>
          <w:szCs w:val="24"/>
          <w:lang w:val="en-GB" w:eastAsia="en-US"/>
        </w:rPr>
      </w:pPr>
    </w:p>
    <w:p w14:paraId="6B74BCC9" w14:textId="2A7C959B" w:rsidR="0011105F" w:rsidRPr="003771AE" w:rsidRDefault="0011105F" w:rsidP="00F17106">
      <w:pPr>
        <w:widowControl/>
        <w:snapToGrid w:val="0"/>
        <w:spacing w:line="360" w:lineRule="auto"/>
        <w:rPr>
          <w:rFonts w:ascii="Book Antiqua" w:eastAsia="等线"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 xml:space="preserve">Negovan A, Iancu M, Fülöp E, Bănescu C. </w:t>
      </w:r>
      <w:r w:rsidRPr="003771AE">
        <w:rPr>
          <w:rFonts w:ascii="Book Antiqua" w:eastAsia="等线" w:hAnsi="Book Antiqua" w:cs="Times New Roman"/>
          <w:i/>
          <w:kern w:val="0"/>
          <w:sz w:val="24"/>
          <w:szCs w:val="24"/>
          <w:lang w:val="en-GB" w:eastAsia="en-US"/>
        </w:rPr>
        <w:t>Helicobacter pylori</w:t>
      </w:r>
      <w:r w:rsidRPr="003771AE">
        <w:rPr>
          <w:rFonts w:ascii="Book Antiqua" w:eastAsia="等线" w:hAnsi="Book Antiqua" w:cs="Times New Roman"/>
          <w:kern w:val="0"/>
          <w:sz w:val="24"/>
          <w:szCs w:val="24"/>
          <w:lang w:val="en-GB" w:eastAsia="en-US"/>
        </w:rPr>
        <w:t xml:space="preserve"> and cytokine gene variants as predictors of premalignant gastric lesions. </w:t>
      </w:r>
      <w:bookmarkStart w:id="134" w:name="OLE_LINK1105"/>
      <w:bookmarkStart w:id="135" w:name="OLE_LINK1107"/>
      <w:r w:rsidR="003771AE" w:rsidRPr="003771AE">
        <w:rPr>
          <w:rFonts w:ascii="Book Antiqua" w:eastAsia="宋体" w:hAnsi="Book Antiqua" w:cs="Times New Roman"/>
          <w:i/>
          <w:kern w:val="0"/>
          <w:sz w:val="24"/>
          <w:szCs w:val="24"/>
        </w:rPr>
        <w:t xml:space="preserve">World J Gastroenterol </w:t>
      </w:r>
      <w:r w:rsidR="003771AE" w:rsidRPr="003771AE">
        <w:rPr>
          <w:rFonts w:ascii="Book Antiqua" w:eastAsia="宋体" w:hAnsi="Book Antiqua" w:cs="Times New Roman"/>
          <w:kern w:val="0"/>
          <w:sz w:val="24"/>
          <w:szCs w:val="24"/>
        </w:rPr>
        <w:t>201</w:t>
      </w:r>
      <w:r w:rsidR="003771AE" w:rsidRPr="003771AE">
        <w:rPr>
          <w:rFonts w:ascii="Book Antiqua" w:eastAsia="宋体" w:hAnsi="Book Antiqua" w:cs="Times New Roman" w:hint="eastAsia"/>
          <w:kern w:val="0"/>
          <w:sz w:val="24"/>
          <w:szCs w:val="24"/>
        </w:rPr>
        <w:t>9</w:t>
      </w:r>
      <w:r w:rsidR="003771AE" w:rsidRPr="003771AE">
        <w:rPr>
          <w:rFonts w:ascii="Book Antiqua" w:eastAsia="宋体" w:hAnsi="Book Antiqua" w:cs="Times New Roman"/>
          <w:kern w:val="0"/>
          <w:sz w:val="24"/>
          <w:szCs w:val="24"/>
        </w:rPr>
        <w:t xml:space="preserve">; </w:t>
      </w:r>
      <w:bookmarkStart w:id="136" w:name="_Hlk11229141"/>
      <w:r w:rsidR="003771AE" w:rsidRPr="003771AE">
        <w:rPr>
          <w:rFonts w:ascii="Book Antiqua" w:eastAsia="宋体" w:hAnsi="Book Antiqua" w:cs="Times New Roman"/>
          <w:kern w:val="0"/>
          <w:sz w:val="24"/>
          <w:szCs w:val="24"/>
        </w:rPr>
        <w:t>In press</w:t>
      </w:r>
      <w:bookmarkEnd w:id="134"/>
      <w:bookmarkEnd w:id="135"/>
      <w:bookmarkEnd w:id="136"/>
      <w:r w:rsidR="008D16BE" w:rsidRPr="003771AE">
        <w:rPr>
          <w:rFonts w:ascii="Book Antiqua" w:eastAsia="等线" w:hAnsi="Book Antiqua" w:cs="Times New Roman"/>
          <w:kern w:val="0"/>
          <w:sz w:val="24"/>
          <w:szCs w:val="24"/>
          <w:lang w:val="en-GB" w:eastAsia="en-US"/>
        </w:rPr>
        <w:t xml:space="preserve"> </w:t>
      </w:r>
    </w:p>
    <w:p w14:paraId="787B6766" w14:textId="77777777" w:rsidR="0011105F" w:rsidRPr="003771AE" w:rsidRDefault="0011105F" w:rsidP="00F17106">
      <w:pPr>
        <w:widowControl/>
        <w:snapToGrid w:val="0"/>
        <w:spacing w:line="360" w:lineRule="auto"/>
        <w:rPr>
          <w:rFonts w:ascii="Book Antiqua" w:eastAsia="等线" w:hAnsi="Book Antiqua" w:cs="Times New Roman"/>
          <w:kern w:val="0"/>
          <w:sz w:val="24"/>
          <w:szCs w:val="24"/>
          <w:lang w:val="en-GB" w:eastAsia="en-US"/>
        </w:rPr>
      </w:pPr>
    </w:p>
    <w:p w14:paraId="0024C13F" w14:textId="77777777" w:rsidR="0011105F" w:rsidRPr="003771AE" w:rsidRDefault="0011105F" w:rsidP="00F17106">
      <w:pPr>
        <w:widowControl/>
        <w:snapToGrid w:val="0"/>
        <w:spacing w:line="360" w:lineRule="auto"/>
        <w:rPr>
          <w:rFonts w:ascii="Book Antiqua" w:eastAsia="等线" w:hAnsi="Book Antiqua" w:cs="Times New Roman"/>
          <w:b/>
          <w:kern w:val="0"/>
          <w:sz w:val="24"/>
          <w:szCs w:val="24"/>
          <w:lang w:val="en-GB" w:eastAsia="en-US"/>
        </w:rPr>
      </w:pPr>
      <w:r w:rsidRPr="003771AE">
        <w:rPr>
          <w:rFonts w:ascii="Book Antiqua" w:eastAsia="等线" w:hAnsi="Book Antiqua" w:cs="Times New Roman"/>
          <w:b/>
          <w:kern w:val="0"/>
          <w:sz w:val="24"/>
          <w:szCs w:val="24"/>
          <w:lang w:val="en-GB" w:eastAsia="en-US"/>
        </w:rPr>
        <w:br w:type="page"/>
      </w:r>
    </w:p>
    <w:p w14:paraId="1D16494F" w14:textId="77777777" w:rsidR="0011105F" w:rsidRPr="003771AE" w:rsidRDefault="0011105F" w:rsidP="00F17106">
      <w:pPr>
        <w:widowControl/>
        <w:snapToGrid w:val="0"/>
        <w:spacing w:line="360" w:lineRule="auto"/>
        <w:rPr>
          <w:rFonts w:ascii="Book Antiqua" w:eastAsia="等线" w:hAnsi="Book Antiqua" w:cs="Times New Roman"/>
          <w:b/>
          <w:kern w:val="0"/>
          <w:sz w:val="24"/>
          <w:szCs w:val="24"/>
          <w:lang w:val="en-GB" w:eastAsia="en-US"/>
        </w:rPr>
      </w:pPr>
      <w:r w:rsidRPr="003771AE">
        <w:rPr>
          <w:rFonts w:ascii="Book Antiqua" w:eastAsia="等线" w:hAnsi="Book Antiqua" w:cs="Times New Roman"/>
          <w:b/>
          <w:kern w:val="0"/>
          <w:sz w:val="24"/>
          <w:szCs w:val="24"/>
          <w:lang w:val="en-GB" w:eastAsia="en-US"/>
        </w:rPr>
        <w:t>INTRODUCTION</w:t>
      </w:r>
    </w:p>
    <w:p w14:paraId="7B0710BF" w14:textId="678B3243" w:rsidR="0011105F" w:rsidRPr="003771AE" w:rsidRDefault="0011105F" w:rsidP="00F17106">
      <w:pPr>
        <w:widowControl/>
        <w:snapToGrid w:val="0"/>
        <w:spacing w:line="360" w:lineRule="auto"/>
        <w:rPr>
          <w:rFonts w:ascii="Book Antiqua" w:eastAsia="等线"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Gastric cancer (GC) remains the third leading cause of mortality from cancer worldwide</w:t>
      </w:r>
      <w:r w:rsidRPr="003771AE">
        <w:rPr>
          <w:rFonts w:ascii="Book Antiqua" w:eastAsia="等线" w:hAnsi="Book Antiqua" w:cs="Times New Roman"/>
          <w:kern w:val="0"/>
          <w:sz w:val="24"/>
          <w:szCs w:val="24"/>
          <w:vertAlign w:val="superscript"/>
          <w:lang w:val="en-GB" w:eastAsia="en-US"/>
        </w:rPr>
        <w:t>[1]</w:t>
      </w:r>
      <w:r w:rsidRPr="003771AE">
        <w:rPr>
          <w:rFonts w:ascii="Book Antiqua" w:eastAsia="等线" w:hAnsi="Book Antiqua" w:cs="Times New Roman"/>
          <w:kern w:val="0"/>
          <w:sz w:val="24"/>
          <w:szCs w:val="24"/>
          <w:lang w:val="en-GB" w:eastAsia="en-US"/>
        </w:rPr>
        <w:t xml:space="preserve">, </w:t>
      </w:r>
      <w:r w:rsidR="002504D1" w:rsidRPr="003771AE">
        <w:rPr>
          <w:rFonts w:ascii="Book Antiqua" w:eastAsia="等线" w:hAnsi="Book Antiqua" w:cs="Times New Roman"/>
          <w:kern w:val="0"/>
          <w:sz w:val="24"/>
          <w:szCs w:val="24"/>
          <w:lang w:val="en-GB" w:eastAsia="en-US"/>
        </w:rPr>
        <w:t xml:space="preserve">having the fifth highest incidence among cancers, </w:t>
      </w:r>
      <w:r w:rsidRPr="003771AE">
        <w:rPr>
          <w:rFonts w:ascii="Book Antiqua" w:eastAsia="等线" w:hAnsi="Book Antiqua" w:cs="Times New Roman"/>
          <w:kern w:val="0"/>
          <w:sz w:val="24"/>
          <w:szCs w:val="24"/>
          <w:lang w:val="en-GB" w:eastAsia="en-US"/>
        </w:rPr>
        <w:t xml:space="preserve">despite the progress made in understanding its physiopathology, early detection, and treatment. Intestinal-type GC, the most frequent type of GC, is considered nowadays a consequence of the histopathologic cascade initialised by longstanding </w:t>
      </w:r>
      <w:r w:rsidRPr="003771AE">
        <w:rPr>
          <w:rFonts w:ascii="Book Antiqua" w:eastAsia="等线" w:hAnsi="Book Antiqua" w:cs="Times New Roman"/>
          <w:i/>
          <w:kern w:val="0"/>
          <w:sz w:val="24"/>
          <w:szCs w:val="24"/>
          <w:lang w:val="en-GB" w:eastAsia="en-US"/>
        </w:rPr>
        <w:t>Helicobacter pylori</w:t>
      </w:r>
      <w:r w:rsidR="0094067D">
        <w:rPr>
          <w:rFonts w:ascii="Book Antiqua" w:eastAsia="等线" w:hAnsi="Book Antiqua" w:cs="Times New Roman"/>
          <w:i/>
          <w:kern w:val="0"/>
          <w:sz w:val="24"/>
          <w:szCs w:val="24"/>
          <w:lang w:val="en-GB" w:eastAsia="en-US"/>
        </w:rPr>
        <w:t xml:space="preserve"> </w:t>
      </w:r>
      <w:r w:rsidRPr="003771AE">
        <w:rPr>
          <w:rFonts w:ascii="Book Antiqua" w:eastAsia="等线" w:hAnsi="Book Antiqua" w:cs="Times New Roman"/>
          <w:i/>
          <w:kern w:val="0"/>
          <w:sz w:val="24"/>
          <w:szCs w:val="24"/>
          <w:lang w:val="en-GB" w:eastAsia="en-US"/>
        </w:rPr>
        <w:t>(H. pylori)</w:t>
      </w:r>
      <w:r w:rsidRPr="003771AE">
        <w:rPr>
          <w:rFonts w:ascii="Book Antiqua" w:eastAsia="等线" w:hAnsi="Book Antiqua" w:cs="Times New Roman"/>
          <w:kern w:val="0"/>
          <w:sz w:val="24"/>
          <w:szCs w:val="24"/>
          <w:lang w:val="en-GB" w:eastAsia="en-US"/>
        </w:rPr>
        <w:t xml:space="preserve"> infection and gastritis, glandular atrophy (GA), intestinal metaplasia (IM), dysplasia, and cancer</w:t>
      </w:r>
      <w:r w:rsidRPr="003771AE">
        <w:rPr>
          <w:rFonts w:ascii="Book Antiqua" w:eastAsia="等线" w:hAnsi="Book Antiqua" w:cs="Times New Roman"/>
          <w:kern w:val="0"/>
          <w:sz w:val="24"/>
          <w:szCs w:val="24"/>
          <w:vertAlign w:val="superscript"/>
          <w:lang w:val="en-GB" w:eastAsia="en-US"/>
        </w:rPr>
        <w:t>[2]</w:t>
      </w:r>
      <w:r w:rsidRPr="003771AE">
        <w:rPr>
          <w:rFonts w:ascii="Book Antiqua" w:eastAsia="等线" w:hAnsi="Book Antiqua" w:cs="Times New Roman"/>
          <w:kern w:val="0"/>
          <w:sz w:val="24"/>
          <w:szCs w:val="24"/>
          <w:lang w:val="en-GB" w:eastAsia="en-US"/>
        </w:rPr>
        <w:t>. In the vast majority of cases, gastric atrophy, defined as “loss of appropriate glandular units”, is the result of a non</w:t>
      </w:r>
      <w:r w:rsidRPr="003771AE">
        <w:rPr>
          <w:rFonts w:ascii="宋体" w:eastAsia="宋体" w:hAnsi="宋体" w:cs="宋体" w:hint="eastAsia"/>
          <w:kern w:val="0"/>
          <w:sz w:val="24"/>
          <w:szCs w:val="24"/>
          <w:lang w:val="en-GB" w:eastAsia="en-US"/>
        </w:rPr>
        <w:t>‐</w:t>
      </w:r>
      <w:r w:rsidRPr="003771AE">
        <w:rPr>
          <w:rFonts w:ascii="Book Antiqua" w:eastAsia="等线" w:hAnsi="Book Antiqua" w:cs="Times New Roman"/>
          <w:kern w:val="0"/>
          <w:sz w:val="24"/>
          <w:szCs w:val="24"/>
          <w:lang w:val="en-GB" w:eastAsia="en-US"/>
        </w:rPr>
        <w:t>self</w:t>
      </w:r>
      <w:r w:rsidRPr="003771AE">
        <w:rPr>
          <w:rFonts w:ascii="宋体" w:eastAsia="宋体" w:hAnsi="宋体" w:cs="宋体" w:hint="eastAsia"/>
          <w:kern w:val="0"/>
          <w:sz w:val="24"/>
          <w:szCs w:val="24"/>
          <w:lang w:val="en-GB" w:eastAsia="en-US"/>
        </w:rPr>
        <w:t>‐</w:t>
      </w:r>
      <w:r w:rsidRPr="003771AE">
        <w:rPr>
          <w:rFonts w:ascii="Book Antiqua" w:eastAsia="等线" w:hAnsi="Book Antiqua" w:cs="Times New Roman"/>
          <w:kern w:val="0"/>
          <w:sz w:val="24"/>
          <w:szCs w:val="24"/>
          <w:lang w:val="en-GB" w:eastAsia="en-US"/>
        </w:rPr>
        <w:t>limiting inflammatory status</w:t>
      </w:r>
      <w:r w:rsidRPr="003771AE">
        <w:rPr>
          <w:rFonts w:ascii="Book Antiqua" w:eastAsia="等线" w:hAnsi="Book Antiqua" w:cs="Times New Roman"/>
          <w:kern w:val="0"/>
          <w:sz w:val="24"/>
          <w:szCs w:val="24"/>
          <w:vertAlign w:val="superscript"/>
          <w:lang w:val="en-GB" w:eastAsia="en-US"/>
        </w:rPr>
        <w:t>[3]</w:t>
      </w:r>
      <w:r w:rsidRPr="003771AE">
        <w:rPr>
          <w:rFonts w:ascii="Book Antiqua" w:eastAsia="等线" w:hAnsi="Book Antiqua" w:cs="Times New Roman"/>
          <w:kern w:val="0"/>
          <w:sz w:val="24"/>
          <w:szCs w:val="24"/>
          <w:lang w:val="en-GB" w:eastAsia="en-US"/>
        </w:rPr>
        <w:t>. The development of metaplasia (</w:t>
      </w:r>
      <w:r w:rsidRPr="003771AE">
        <w:rPr>
          <w:rFonts w:ascii="Book Antiqua" w:eastAsia="等线" w:hAnsi="Book Antiqua" w:cs="Times New Roman"/>
          <w:i/>
          <w:kern w:val="0"/>
          <w:sz w:val="24"/>
          <w:szCs w:val="24"/>
          <w:lang w:val="en-GB" w:eastAsia="en-US"/>
        </w:rPr>
        <w:t>i.e</w:t>
      </w:r>
      <w:r w:rsidRPr="003771AE">
        <w:rPr>
          <w:rFonts w:ascii="Book Antiqua" w:eastAsia="等线" w:hAnsi="Book Antiqua" w:cs="Times New Roman"/>
          <w:kern w:val="0"/>
          <w:sz w:val="24"/>
          <w:szCs w:val="24"/>
          <w:lang w:val="en-GB" w:eastAsia="en-US"/>
        </w:rPr>
        <w:t>. the transformation of gland structure to resemble intestinal glands) is considered an ‘adaptive’ process that occurs in response to various endogenous or exogenous aggressors (</w:t>
      </w:r>
      <w:r w:rsidRPr="003771AE">
        <w:rPr>
          <w:rFonts w:ascii="Book Antiqua" w:eastAsia="等线" w:hAnsi="Book Antiqua" w:cs="Times New Roman"/>
          <w:i/>
          <w:kern w:val="0"/>
          <w:sz w:val="24"/>
          <w:szCs w:val="24"/>
          <w:lang w:val="en-GB" w:eastAsia="en-US"/>
        </w:rPr>
        <w:t>e.g</w:t>
      </w:r>
      <w:r w:rsidRPr="003771AE">
        <w:rPr>
          <w:rFonts w:ascii="Book Antiqua" w:eastAsia="等线" w:hAnsi="Book Antiqua" w:cs="Times New Roman"/>
          <w:kern w:val="0"/>
          <w:sz w:val="24"/>
          <w:szCs w:val="24"/>
          <w:lang w:val="en-GB" w:eastAsia="en-US"/>
        </w:rPr>
        <w:t>., pH changes, hormones, chemicals, and microbiota), while the progression of metaplasia to dysplasia may be viewed as an ‘oncogenic’ phase</w:t>
      </w:r>
      <w:r w:rsidRPr="003771AE">
        <w:rPr>
          <w:rFonts w:ascii="Book Antiqua" w:eastAsia="等线" w:hAnsi="Book Antiqua" w:cs="Times New Roman"/>
          <w:kern w:val="0"/>
          <w:sz w:val="24"/>
          <w:szCs w:val="24"/>
          <w:vertAlign w:val="superscript"/>
          <w:lang w:val="en-GB" w:eastAsia="en-US"/>
        </w:rPr>
        <w:t>[4,5]</w:t>
      </w:r>
      <w:r w:rsidRPr="003771AE">
        <w:rPr>
          <w:rFonts w:ascii="Book Antiqua" w:eastAsia="等线" w:hAnsi="Book Antiqua" w:cs="Times New Roman"/>
          <w:kern w:val="0"/>
          <w:sz w:val="24"/>
          <w:szCs w:val="24"/>
          <w:lang w:val="en-GB" w:eastAsia="en-US"/>
        </w:rPr>
        <w:t xml:space="preserve">. The latest research results suggest that the risk for GC should be considered a consequence of the complex interplay between the aggressiveness of </w:t>
      </w:r>
      <w:r w:rsidRPr="003771AE">
        <w:rPr>
          <w:rFonts w:ascii="Book Antiqua" w:eastAsia="等线" w:hAnsi="Book Antiqua" w:cs="Times New Roman"/>
          <w:i/>
          <w:kern w:val="0"/>
          <w:sz w:val="24"/>
          <w:szCs w:val="24"/>
          <w:lang w:val="en-GB" w:eastAsia="en-US"/>
        </w:rPr>
        <w:t>H. pylori</w:t>
      </w:r>
      <w:r w:rsidRPr="003771AE">
        <w:rPr>
          <w:rFonts w:ascii="Book Antiqua" w:eastAsia="等线" w:hAnsi="Book Antiqua" w:cs="Times New Roman"/>
          <w:kern w:val="0"/>
          <w:sz w:val="24"/>
          <w:szCs w:val="24"/>
          <w:lang w:val="en-GB" w:eastAsia="en-US"/>
        </w:rPr>
        <w:t xml:space="preserve"> strains, its genetic background, and host response, as well as the effect of various other environmental factors (</w:t>
      </w:r>
      <w:r w:rsidRPr="003771AE">
        <w:rPr>
          <w:rFonts w:ascii="Book Antiqua" w:eastAsia="等线" w:hAnsi="Book Antiqua" w:cs="Times New Roman"/>
          <w:i/>
          <w:kern w:val="0"/>
          <w:sz w:val="24"/>
          <w:szCs w:val="24"/>
          <w:lang w:val="en-GB" w:eastAsia="en-US"/>
        </w:rPr>
        <w:t>e.g.</w:t>
      </w:r>
      <w:r w:rsidRPr="003771AE">
        <w:rPr>
          <w:rFonts w:ascii="Book Antiqua" w:eastAsia="等线" w:hAnsi="Book Antiqua" w:cs="Times New Roman"/>
          <w:kern w:val="0"/>
          <w:sz w:val="24"/>
          <w:szCs w:val="24"/>
          <w:lang w:val="en-GB" w:eastAsia="en-US"/>
        </w:rPr>
        <w:t xml:space="preserve">, diet habits, smoking, </w:t>
      </w:r>
      <w:r w:rsidRPr="003771AE">
        <w:rPr>
          <w:rFonts w:ascii="Book Antiqua" w:eastAsia="等线" w:hAnsi="Book Antiqua" w:cs="Times New Roman"/>
          <w:i/>
          <w:kern w:val="0"/>
          <w:sz w:val="24"/>
          <w:szCs w:val="24"/>
          <w:lang w:val="en-GB" w:eastAsia="en-US"/>
        </w:rPr>
        <w:t>etc</w:t>
      </w:r>
      <w:r w:rsidR="001F65DF">
        <w:rPr>
          <w:rFonts w:ascii="Book Antiqua" w:eastAsia="等线" w:hAnsi="Book Antiqua" w:cs="Times New Roman"/>
          <w:i/>
          <w:kern w:val="0"/>
          <w:sz w:val="24"/>
          <w:szCs w:val="24"/>
          <w:lang w:val="en-GB" w:eastAsia="en-US"/>
        </w:rPr>
        <w:t>.</w:t>
      </w:r>
      <w:r w:rsidRPr="003771AE">
        <w:rPr>
          <w:rFonts w:ascii="Book Antiqua" w:eastAsia="等线" w:hAnsi="Book Antiqua" w:cs="Times New Roman"/>
          <w:kern w:val="0"/>
          <w:sz w:val="24"/>
          <w:szCs w:val="24"/>
          <w:lang w:val="en-GB" w:eastAsia="en-US"/>
        </w:rPr>
        <w:t>)</w:t>
      </w:r>
      <w:r w:rsidRPr="003771AE">
        <w:rPr>
          <w:rFonts w:ascii="Book Antiqua" w:eastAsia="等线" w:hAnsi="Book Antiqua" w:cs="Times New Roman"/>
          <w:kern w:val="0"/>
          <w:sz w:val="24"/>
          <w:szCs w:val="24"/>
          <w:vertAlign w:val="superscript"/>
          <w:lang w:val="en-GB" w:eastAsia="en-US"/>
        </w:rPr>
        <w:t>[6]</w:t>
      </w:r>
      <w:r w:rsidRPr="003771AE">
        <w:rPr>
          <w:rFonts w:ascii="Book Antiqua" w:eastAsia="等线" w:hAnsi="Book Antiqua" w:cs="Times New Roman"/>
          <w:kern w:val="0"/>
          <w:sz w:val="24"/>
          <w:szCs w:val="24"/>
          <w:lang w:val="en-GB" w:eastAsia="en-US"/>
        </w:rPr>
        <w:t>.</w:t>
      </w:r>
    </w:p>
    <w:p w14:paraId="591A6EB0" w14:textId="77777777" w:rsidR="0011105F" w:rsidRPr="003771AE" w:rsidRDefault="0011105F" w:rsidP="001F65DF">
      <w:pPr>
        <w:widowControl/>
        <w:snapToGrid w:val="0"/>
        <w:spacing w:line="360" w:lineRule="auto"/>
        <w:ind w:firstLineChars="100" w:firstLine="240"/>
        <w:rPr>
          <w:rFonts w:ascii="Book Antiqua" w:eastAsia="等线"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The poor prognosis of GC and recent advances in the assessment of genetic predisposition emphasize the importance of early diagnosis and the possible role of biomarkers in the surveillance of at-risk individuals</w:t>
      </w:r>
      <w:r w:rsidRPr="003771AE">
        <w:rPr>
          <w:rFonts w:ascii="Book Antiqua" w:eastAsia="等线" w:hAnsi="Book Antiqua" w:cs="Times New Roman"/>
          <w:kern w:val="0"/>
          <w:sz w:val="24"/>
          <w:szCs w:val="24"/>
          <w:vertAlign w:val="superscript"/>
          <w:lang w:val="en-GB" w:eastAsia="en-US"/>
        </w:rPr>
        <w:t>[7]</w:t>
      </w:r>
      <w:r w:rsidRPr="003771AE">
        <w:rPr>
          <w:rFonts w:ascii="Book Antiqua" w:eastAsia="等线" w:hAnsi="Book Antiqua" w:cs="Times New Roman"/>
          <w:kern w:val="0"/>
          <w:sz w:val="24"/>
          <w:szCs w:val="24"/>
          <w:lang w:val="en-GB" w:eastAsia="en-US"/>
        </w:rPr>
        <w:t xml:space="preserve">. </w:t>
      </w:r>
      <w:r w:rsidRPr="003771AE">
        <w:rPr>
          <w:rFonts w:ascii="Book Antiqua" w:eastAsia="等线" w:hAnsi="Book Antiqua" w:cs="Times New Roman"/>
          <w:i/>
          <w:kern w:val="0"/>
          <w:sz w:val="24"/>
          <w:szCs w:val="24"/>
          <w:lang w:val="en-GB" w:eastAsia="en-US"/>
        </w:rPr>
        <w:t>H. pylori</w:t>
      </w:r>
      <w:r w:rsidRPr="003771AE">
        <w:rPr>
          <w:rFonts w:ascii="Book Antiqua" w:eastAsia="等线" w:hAnsi="Book Antiqua" w:cs="Times New Roman"/>
          <w:kern w:val="0"/>
          <w:sz w:val="24"/>
          <w:szCs w:val="24"/>
          <w:lang w:val="en-GB" w:eastAsia="en-US"/>
        </w:rPr>
        <w:t xml:space="preserve">-associated inflammation is considered the most important trigger of the cascade, and one of the suggested pathways of progression to GC is represented by the variability of the host inflammatory response against different strains of </w:t>
      </w:r>
      <w:r w:rsidRPr="003771AE">
        <w:rPr>
          <w:rFonts w:ascii="Book Antiqua" w:eastAsia="等线" w:hAnsi="Book Antiqua" w:cs="Times New Roman"/>
          <w:i/>
          <w:kern w:val="0"/>
          <w:sz w:val="24"/>
          <w:szCs w:val="24"/>
          <w:lang w:val="en-GB" w:eastAsia="en-US"/>
        </w:rPr>
        <w:t>H. pylori</w:t>
      </w:r>
      <w:r w:rsidRPr="003771AE">
        <w:rPr>
          <w:rFonts w:ascii="Book Antiqua" w:eastAsia="等线" w:hAnsi="Book Antiqua" w:cs="Times New Roman"/>
          <w:kern w:val="0"/>
          <w:sz w:val="24"/>
          <w:szCs w:val="24"/>
          <w:vertAlign w:val="superscript"/>
          <w:lang w:val="en-GB" w:eastAsia="en-US"/>
        </w:rPr>
        <w:t>[8]</w:t>
      </w:r>
      <w:r w:rsidRPr="003771AE">
        <w:rPr>
          <w:rFonts w:ascii="Book Antiqua" w:eastAsia="等线" w:hAnsi="Book Antiqua" w:cs="Times New Roman"/>
          <w:kern w:val="0"/>
          <w:sz w:val="24"/>
          <w:szCs w:val="24"/>
          <w:lang w:val="en-GB" w:eastAsia="en-US"/>
        </w:rPr>
        <w:t xml:space="preserve">. Even though GC is a heterogeneous molecular disease, a growing body of evidence supports the influence of cytokine gene variants on the progression of </w:t>
      </w:r>
      <w:r w:rsidRPr="003771AE">
        <w:rPr>
          <w:rFonts w:ascii="Book Antiqua" w:eastAsia="等线" w:hAnsi="Book Antiqua" w:cs="Times New Roman"/>
          <w:i/>
          <w:kern w:val="0"/>
          <w:sz w:val="24"/>
          <w:szCs w:val="24"/>
          <w:lang w:val="en-GB" w:eastAsia="en-US"/>
        </w:rPr>
        <w:t>H. pylori</w:t>
      </w:r>
      <w:r w:rsidRPr="003771AE">
        <w:rPr>
          <w:rFonts w:ascii="Book Antiqua" w:eastAsia="等线" w:hAnsi="Book Antiqua" w:cs="Times New Roman"/>
          <w:kern w:val="0"/>
          <w:sz w:val="24"/>
          <w:szCs w:val="24"/>
          <w:lang w:val="en-GB" w:eastAsia="en-US"/>
        </w:rPr>
        <w:t xml:space="preserve"> infection toward premalignant lesions</w:t>
      </w:r>
      <w:r w:rsidRPr="003771AE">
        <w:rPr>
          <w:rFonts w:ascii="Book Antiqua" w:eastAsia="等线" w:hAnsi="Book Antiqua" w:cs="Times New Roman"/>
          <w:kern w:val="0"/>
          <w:sz w:val="24"/>
          <w:szCs w:val="24"/>
          <w:vertAlign w:val="superscript"/>
          <w:lang w:val="en-GB" w:eastAsia="en-US"/>
        </w:rPr>
        <w:t>[9]</w:t>
      </w:r>
      <w:r w:rsidRPr="003771AE">
        <w:rPr>
          <w:rFonts w:ascii="Book Antiqua" w:eastAsia="等线" w:hAnsi="Book Antiqua" w:cs="Times New Roman"/>
          <w:kern w:val="0"/>
          <w:sz w:val="24"/>
          <w:szCs w:val="24"/>
          <w:lang w:val="en-GB" w:eastAsia="en-US"/>
        </w:rPr>
        <w:t xml:space="preserve">. </w:t>
      </w:r>
    </w:p>
    <w:p w14:paraId="66154727" w14:textId="77777777" w:rsidR="0011105F" w:rsidRPr="003771AE" w:rsidRDefault="0011105F" w:rsidP="001F65DF">
      <w:pPr>
        <w:widowControl/>
        <w:snapToGrid w:val="0"/>
        <w:spacing w:line="360" w:lineRule="auto"/>
        <w:ind w:firstLineChars="100" w:firstLine="240"/>
        <w:rPr>
          <w:rFonts w:ascii="Book Antiqua" w:eastAsia="等线"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The objective of the present review was to synthetize the current knowledge of the relationship between certain single nucleotide polymorphisms (SNPs) of cytokines and premalignant gastric lesion susceptibility by reviewing the relevant studies published between 2005-2018.</w:t>
      </w:r>
    </w:p>
    <w:p w14:paraId="59578E9D" w14:textId="77777777" w:rsidR="0011105F" w:rsidRPr="003771AE" w:rsidRDefault="0011105F" w:rsidP="00F17106">
      <w:pPr>
        <w:widowControl/>
        <w:snapToGrid w:val="0"/>
        <w:spacing w:line="360" w:lineRule="auto"/>
        <w:rPr>
          <w:rFonts w:ascii="Book Antiqua" w:eastAsia="等线" w:hAnsi="Book Antiqua" w:cs="Times New Roman"/>
          <w:b/>
          <w:kern w:val="0"/>
          <w:sz w:val="24"/>
          <w:szCs w:val="24"/>
          <w:lang w:val="en-GB" w:eastAsia="en-US"/>
        </w:rPr>
      </w:pPr>
    </w:p>
    <w:p w14:paraId="0F070903" w14:textId="77777777" w:rsidR="0011105F" w:rsidRPr="003771AE" w:rsidRDefault="0011105F" w:rsidP="00F17106">
      <w:pPr>
        <w:widowControl/>
        <w:snapToGrid w:val="0"/>
        <w:spacing w:line="360" w:lineRule="auto"/>
        <w:rPr>
          <w:rFonts w:ascii="Book Antiqua" w:eastAsia="等线" w:hAnsi="Book Antiqua" w:cs="Times New Roman"/>
          <w:b/>
          <w:caps/>
          <w:kern w:val="0"/>
          <w:sz w:val="24"/>
          <w:szCs w:val="24"/>
          <w:lang w:val="en-GB" w:eastAsia="en-US"/>
        </w:rPr>
      </w:pPr>
      <w:r w:rsidRPr="003771AE">
        <w:rPr>
          <w:rFonts w:ascii="Book Antiqua" w:eastAsia="等线" w:hAnsi="Book Antiqua" w:cs="Times New Roman"/>
          <w:b/>
          <w:caps/>
          <w:kern w:val="0"/>
          <w:sz w:val="24"/>
          <w:szCs w:val="24"/>
          <w:lang w:val="en-GB" w:eastAsia="en-US"/>
        </w:rPr>
        <w:t xml:space="preserve">Epidemiology of preneoplastic lesions and GC risk </w:t>
      </w:r>
    </w:p>
    <w:p w14:paraId="1BF161C1" w14:textId="370C0566" w:rsidR="0011105F" w:rsidRPr="003771AE" w:rsidRDefault="0011105F" w:rsidP="00F17106">
      <w:pPr>
        <w:widowControl/>
        <w:snapToGrid w:val="0"/>
        <w:spacing w:line="360" w:lineRule="auto"/>
        <w:rPr>
          <w:rFonts w:ascii="Book Antiqua" w:eastAsia="等线"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 xml:space="preserve">It is accepted today that both host and </w:t>
      </w:r>
      <w:r w:rsidRPr="003771AE">
        <w:rPr>
          <w:rFonts w:ascii="Book Antiqua" w:eastAsia="等线" w:hAnsi="Book Antiqua" w:cs="Times New Roman"/>
          <w:i/>
          <w:kern w:val="0"/>
          <w:sz w:val="24"/>
          <w:szCs w:val="24"/>
          <w:lang w:val="en-GB" w:eastAsia="en-US"/>
        </w:rPr>
        <w:t>H. pylori</w:t>
      </w:r>
      <w:r w:rsidRPr="003771AE">
        <w:rPr>
          <w:rFonts w:ascii="Book Antiqua" w:eastAsia="等线" w:hAnsi="Book Antiqua" w:cs="Times New Roman"/>
          <w:kern w:val="0"/>
          <w:sz w:val="24"/>
          <w:szCs w:val="24"/>
          <w:lang w:val="en-GB" w:eastAsia="en-US"/>
        </w:rPr>
        <w:t xml:space="preserve"> genetics influence susceptibility to the development of chronic inflammation and to molecular and cellular events related to carcinogenesis, but they depend strongly on context</w:t>
      </w:r>
      <w:r w:rsidRPr="003771AE">
        <w:rPr>
          <w:rFonts w:ascii="Book Antiqua" w:eastAsia="等线" w:hAnsi="Book Antiqua" w:cs="Times New Roman"/>
          <w:kern w:val="0"/>
          <w:sz w:val="24"/>
          <w:szCs w:val="24"/>
          <w:vertAlign w:val="superscript"/>
          <w:lang w:val="en-GB" w:eastAsia="en-US"/>
        </w:rPr>
        <w:t>[10]</w:t>
      </w:r>
      <w:r w:rsidRPr="003771AE">
        <w:rPr>
          <w:rFonts w:ascii="Book Antiqua" w:eastAsia="等线" w:hAnsi="Book Antiqua" w:cs="Times New Roman"/>
          <w:kern w:val="0"/>
          <w:sz w:val="24"/>
          <w:szCs w:val="24"/>
          <w:lang w:val="en-GB" w:eastAsia="en-US"/>
        </w:rPr>
        <w:t xml:space="preserve">. In a recent meta-analysis, the pooled frequency of GC was 17.4% (95%CI: 16.4–18.5) in an </w:t>
      </w:r>
      <w:r w:rsidRPr="003771AE">
        <w:rPr>
          <w:rFonts w:ascii="Book Antiqua" w:eastAsia="等线" w:hAnsi="Book Antiqua" w:cs="Times New Roman"/>
          <w:i/>
          <w:kern w:val="0"/>
          <w:sz w:val="24"/>
          <w:szCs w:val="24"/>
          <w:lang w:val="en-GB" w:eastAsia="en-US"/>
        </w:rPr>
        <w:t>H. pylori</w:t>
      </w:r>
      <w:r w:rsidRPr="003771AE">
        <w:rPr>
          <w:rFonts w:ascii="Book Antiqua" w:eastAsia="等线" w:hAnsi="Book Antiqua" w:cs="Times New Roman"/>
          <w:kern w:val="0"/>
          <w:sz w:val="24"/>
          <w:szCs w:val="24"/>
          <w:lang w:val="en-GB" w:eastAsia="en-US"/>
        </w:rPr>
        <w:t xml:space="preserve">-infected population but varied markedly across countries; the highest rate of GC was observed in Asian </w:t>
      </w:r>
      <w:r w:rsidRPr="003771AE">
        <w:rPr>
          <w:rFonts w:ascii="Book Antiqua" w:eastAsia="等线" w:hAnsi="Book Antiqua" w:cs="Times New Roman"/>
          <w:i/>
          <w:kern w:val="0"/>
          <w:sz w:val="24"/>
          <w:szCs w:val="24"/>
          <w:lang w:val="en-GB" w:eastAsia="en-US"/>
        </w:rPr>
        <w:t>H. pylori</w:t>
      </w:r>
      <w:r w:rsidRPr="003771AE">
        <w:rPr>
          <w:rFonts w:ascii="Book Antiqua" w:eastAsia="等线" w:hAnsi="Book Antiqua" w:cs="Times New Roman"/>
          <w:kern w:val="0"/>
          <w:sz w:val="24"/>
          <w:szCs w:val="24"/>
          <w:lang w:val="en-GB" w:eastAsia="en-US"/>
        </w:rPr>
        <w:t>-infected individuals</w:t>
      </w:r>
      <w:r w:rsidRPr="003771AE">
        <w:rPr>
          <w:rFonts w:ascii="Book Antiqua" w:eastAsia="等线" w:hAnsi="Book Antiqua" w:cs="Times New Roman"/>
          <w:kern w:val="0"/>
          <w:sz w:val="24"/>
          <w:szCs w:val="24"/>
          <w:vertAlign w:val="superscript"/>
          <w:lang w:val="en-GB" w:eastAsia="en-US"/>
        </w:rPr>
        <w:t>[11]</w:t>
      </w:r>
      <w:r w:rsidRPr="003771AE">
        <w:rPr>
          <w:rFonts w:ascii="Book Antiqua" w:eastAsia="等线" w:hAnsi="Book Antiqua" w:cs="Times New Roman"/>
          <w:kern w:val="0"/>
          <w:sz w:val="24"/>
          <w:szCs w:val="24"/>
          <w:lang w:val="en-GB" w:eastAsia="en-US"/>
        </w:rPr>
        <w:t>. The differences between the prevalence of infection and the burden of GC in an African population, for example, are attributable to genetic modulation of the host response against infection, non-</w:t>
      </w:r>
      <w:r w:rsidRPr="003771AE">
        <w:rPr>
          <w:rFonts w:ascii="Book Antiqua" w:eastAsia="等线" w:hAnsi="Book Antiqua" w:cs="Times New Roman"/>
          <w:i/>
          <w:kern w:val="0"/>
          <w:sz w:val="24"/>
          <w:szCs w:val="24"/>
          <w:lang w:val="en-GB" w:eastAsia="en-US"/>
        </w:rPr>
        <w:t>H. pylori</w:t>
      </w:r>
      <w:r w:rsidRPr="003771AE">
        <w:rPr>
          <w:rFonts w:ascii="Book Antiqua" w:eastAsia="等线" w:hAnsi="Book Antiqua" w:cs="Times New Roman"/>
          <w:kern w:val="0"/>
          <w:sz w:val="24"/>
          <w:szCs w:val="24"/>
          <w:lang w:val="en-GB" w:eastAsia="en-US"/>
        </w:rPr>
        <w:t xml:space="preserve"> gastric microbiota, possibly to a lack of cag A pathogenicity, or simply to inadequate samples or differences in life expectancy</w:t>
      </w:r>
      <w:r w:rsidRPr="003771AE">
        <w:rPr>
          <w:rFonts w:ascii="Book Antiqua" w:eastAsia="等线" w:hAnsi="Book Antiqua" w:cs="Times New Roman"/>
          <w:kern w:val="0"/>
          <w:sz w:val="24"/>
          <w:szCs w:val="24"/>
          <w:vertAlign w:val="superscript"/>
          <w:lang w:val="en-GB" w:eastAsia="en-US"/>
        </w:rPr>
        <w:t>[6,12]</w:t>
      </w:r>
      <w:r w:rsidRPr="003771AE">
        <w:rPr>
          <w:rFonts w:ascii="Book Antiqua" w:eastAsia="等线" w:hAnsi="Book Antiqua" w:cs="Times New Roman"/>
          <w:kern w:val="0"/>
          <w:sz w:val="24"/>
          <w:szCs w:val="24"/>
          <w:lang w:val="en-GB" w:eastAsia="en-US"/>
        </w:rPr>
        <w:t>.</w:t>
      </w:r>
    </w:p>
    <w:p w14:paraId="163FDC4B" w14:textId="77777777" w:rsidR="0011105F" w:rsidRPr="003771AE" w:rsidRDefault="0011105F" w:rsidP="001F65DF">
      <w:pPr>
        <w:widowControl/>
        <w:snapToGrid w:val="0"/>
        <w:spacing w:line="360" w:lineRule="auto"/>
        <w:ind w:firstLineChars="100" w:firstLine="240"/>
        <w:rPr>
          <w:rFonts w:ascii="Book Antiqua" w:eastAsia="等线" w:hAnsi="Book Antiqua" w:cs="Times New Roman"/>
          <w:iCs/>
          <w:kern w:val="0"/>
          <w:sz w:val="24"/>
          <w:szCs w:val="24"/>
          <w:lang w:val="en-GB" w:eastAsia="en-US"/>
        </w:rPr>
      </w:pPr>
      <w:r w:rsidRPr="003771AE">
        <w:rPr>
          <w:rFonts w:ascii="Book Antiqua" w:eastAsia="等线" w:hAnsi="Book Antiqua" w:cs="Times New Roman"/>
          <w:iCs/>
          <w:kern w:val="0"/>
          <w:sz w:val="24"/>
          <w:szCs w:val="24"/>
          <w:lang w:val="en-GB" w:eastAsia="en-US"/>
        </w:rPr>
        <w:t>The prevalence of GA and IM worldwide is largely unknown</w:t>
      </w:r>
      <w:r w:rsidRPr="003771AE">
        <w:rPr>
          <w:rFonts w:ascii="Book Antiqua" w:eastAsia="等线" w:hAnsi="Book Antiqua" w:cs="Times New Roman"/>
          <w:iCs/>
          <w:kern w:val="0"/>
          <w:sz w:val="24"/>
          <w:szCs w:val="24"/>
          <w:vertAlign w:val="superscript"/>
          <w:lang w:val="en-GB" w:eastAsia="en-US"/>
        </w:rPr>
        <w:t>[13]</w:t>
      </w:r>
      <w:r w:rsidRPr="003771AE">
        <w:rPr>
          <w:rFonts w:ascii="Book Antiqua" w:eastAsia="等线" w:hAnsi="Book Antiqua" w:cs="Times New Roman"/>
          <w:iCs/>
          <w:kern w:val="0"/>
          <w:sz w:val="24"/>
          <w:szCs w:val="24"/>
          <w:lang w:val="en-GB" w:eastAsia="en-US"/>
        </w:rPr>
        <w:t>. In Western populations, a 7% prevalence of IM has been found in patients who underwent upper endoscopy in the United States</w:t>
      </w:r>
      <w:r w:rsidRPr="003771AE">
        <w:rPr>
          <w:rFonts w:ascii="Book Antiqua" w:eastAsia="等线" w:hAnsi="Book Antiqua" w:cs="Times New Roman"/>
          <w:iCs/>
          <w:kern w:val="0"/>
          <w:sz w:val="24"/>
          <w:szCs w:val="24"/>
          <w:vertAlign w:val="superscript"/>
          <w:lang w:val="en-GB" w:eastAsia="en-US"/>
        </w:rPr>
        <w:t>[14]</w:t>
      </w:r>
      <w:r w:rsidRPr="003771AE">
        <w:rPr>
          <w:rFonts w:ascii="Book Antiqua" w:eastAsia="等线" w:hAnsi="Book Antiqua" w:cs="Times New Roman"/>
          <w:iCs/>
          <w:kern w:val="0"/>
          <w:sz w:val="24"/>
          <w:szCs w:val="24"/>
          <w:lang w:val="en-GB" w:eastAsia="en-US"/>
        </w:rPr>
        <w:t>. In comparison, in a Romanian population of 300 consecutive patients investigated by endoscopy, the frequency of GA ± IM was 18.5%</w:t>
      </w:r>
      <w:r w:rsidRPr="003771AE">
        <w:rPr>
          <w:rFonts w:ascii="Book Antiqua" w:eastAsia="等线" w:hAnsi="Book Antiqua" w:cs="Times New Roman"/>
          <w:iCs/>
          <w:kern w:val="0"/>
          <w:sz w:val="24"/>
          <w:szCs w:val="24"/>
          <w:vertAlign w:val="superscript"/>
          <w:lang w:val="en-GB" w:eastAsia="en-US"/>
        </w:rPr>
        <w:t>[15]</w:t>
      </w:r>
      <w:r w:rsidRPr="003771AE">
        <w:rPr>
          <w:rFonts w:ascii="Book Antiqua" w:eastAsia="等线" w:hAnsi="Book Antiqua" w:cs="Times New Roman"/>
          <w:iCs/>
          <w:kern w:val="0"/>
          <w:sz w:val="24"/>
          <w:szCs w:val="24"/>
          <w:lang w:val="en-GB" w:eastAsia="en-US"/>
        </w:rPr>
        <w:t>, comparable to a similar series of a Turkish endoscopic population (13.8%)</w:t>
      </w:r>
      <w:r w:rsidRPr="003771AE">
        <w:rPr>
          <w:rFonts w:ascii="Book Antiqua" w:eastAsia="等线" w:hAnsi="Book Antiqua" w:cs="Times New Roman"/>
          <w:iCs/>
          <w:kern w:val="0"/>
          <w:sz w:val="24"/>
          <w:szCs w:val="24"/>
          <w:vertAlign w:val="superscript"/>
          <w:lang w:val="en-GB" w:eastAsia="en-US"/>
        </w:rPr>
        <w:t>[16]</w:t>
      </w:r>
      <w:r w:rsidRPr="003771AE">
        <w:rPr>
          <w:rFonts w:ascii="Book Antiqua" w:eastAsia="等线" w:hAnsi="Book Antiqua" w:cs="Times New Roman"/>
          <w:iCs/>
          <w:kern w:val="0"/>
          <w:sz w:val="24"/>
          <w:szCs w:val="24"/>
          <w:lang w:val="en-GB" w:eastAsia="en-US"/>
        </w:rPr>
        <w:t>. Nevertheless, in a Japanese population for which endoscopy was performed for a health check-up, the frequency of GA was 29%, while GA + IM was 16.9%</w:t>
      </w:r>
      <w:r w:rsidRPr="003771AE">
        <w:rPr>
          <w:rFonts w:ascii="Book Antiqua" w:eastAsia="等线" w:hAnsi="Book Antiqua" w:cs="Times New Roman"/>
          <w:iCs/>
          <w:kern w:val="0"/>
          <w:sz w:val="24"/>
          <w:szCs w:val="24"/>
          <w:vertAlign w:val="superscript"/>
          <w:lang w:val="en-GB" w:eastAsia="en-US"/>
        </w:rPr>
        <w:t>[17]</w:t>
      </w:r>
      <w:r w:rsidRPr="003771AE">
        <w:rPr>
          <w:rFonts w:ascii="Book Antiqua" w:eastAsia="等线" w:hAnsi="Book Antiqua" w:cs="Times New Roman"/>
          <w:iCs/>
          <w:kern w:val="0"/>
          <w:sz w:val="24"/>
          <w:szCs w:val="24"/>
          <w:lang w:val="en-GB" w:eastAsia="en-US"/>
        </w:rPr>
        <w:t>. In certain subgroups of patients in whom endoscopy was performed for symptoms or anaemia, the frequency of premalignant gastric lesions increased to 32% among patients with previous gastric surgery for peptic ulcer</w:t>
      </w:r>
      <w:r w:rsidRPr="003771AE">
        <w:rPr>
          <w:rFonts w:ascii="Book Antiqua" w:eastAsia="等线" w:hAnsi="Book Antiqua" w:cs="Times New Roman"/>
          <w:iCs/>
          <w:kern w:val="0"/>
          <w:sz w:val="24"/>
          <w:szCs w:val="24"/>
          <w:vertAlign w:val="superscript"/>
          <w:lang w:val="en-GB" w:eastAsia="en-US"/>
        </w:rPr>
        <w:t>[18]</w:t>
      </w:r>
      <w:r w:rsidRPr="003771AE">
        <w:rPr>
          <w:rFonts w:ascii="Book Antiqua" w:eastAsia="等线" w:hAnsi="Book Antiqua" w:cs="Times New Roman"/>
          <w:iCs/>
          <w:kern w:val="0"/>
          <w:sz w:val="24"/>
          <w:szCs w:val="24"/>
          <w:lang w:val="en-GB" w:eastAsia="en-US"/>
        </w:rPr>
        <w:t>, or 44% in consecutive patients treated with aspirin and proton pump inhibitors (PPIs) referred for digestive symptoms or anaemia</w:t>
      </w:r>
      <w:r w:rsidRPr="003771AE">
        <w:rPr>
          <w:rFonts w:ascii="Book Antiqua" w:eastAsia="等线" w:hAnsi="Book Antiqua" w:cs="Times New Roman"/>
          <w:iCs/>
          <w:kern w:val="0"/>
          <w:sz w:val="24"/>
          <w:szCs w:val="24"/>
          <w:vertAlign w:val="superscript"/>
          <w:lang w:val="en-GB" w:eastAsia="en-US"/>
        </w:rPr>
        <w:t>[19]</w:t>
      </w:r>
      <w:r w:rsidRPr="003771AE">
        <w:rPr>
          <w:rFonts w:ascii="Book Antiqua" w:eastAsia="等线" w:hAnsi="Book Antiqua" w:cs="Times New Roman"/>
          <w:iCs/>
          <w:kern w:val="0"/>
          <w:sz w:val="24"/>
          <w:szCs w:val="24"/>
          <w:lang w:val="en-GB" w:eastAsia="en-US"/>
        </w:rPr>
        <w:t>.</w:t>
      </w:r>
    </w:p>
    <w:p w14:paraId="2AF2DF0C" w14:textId="77777777" w:rsidR="0011105F" w:rsidRPr="003771AE" w:rsidRDefault="0011105F" w:rsidP="001F65DF">
      <w:pPr>
        <w:widowControl/>
        <w:snapToGrid w:val="0"/>
        <w:spacing w:line="360" w:lineRule="auto"/>
        <w:ind w:firstLineChars="100" w:firstLine="240"/>
        <w:rPr>
          <w:rFonts w:ascii="Book Antiqua" w:eastAsia="等线"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Long-term follow-up observational studies in Western populations have demonstrated an increasing risk for GC based on progression on the Correa cascade; the standardised incidence ratios with gastritis at baseline are 1.8 (1.7 to 1.9), 2.8 (2.3 to 3.3) for GA and 3.4 (2.7 to 4.2) for IM</w:t>
      </w:r>
      <w:r w:rsidRPr="003771AE">
        <w:rPr>
          <w:rFonts w:ascii="Book Antiqua" w:eastAsia="等线" w:hAnsi="Book Antiqua" w:cs="Times New Roman"/>
          <w:kern w:val="0"/>
          <w:sz w:val="24"/>
          <w:szCs w:val="24"/>
          <w:vertAlign w:val="superscript"/>
          <w:lang w:val="en-GB" w:eastAsia="en-US"/>
        </w:rPr>
        <w:t>[20]</w:t>
      </w:r>
      <w:r w:rsidRPr="003771AE">
        <w:rPr>
          <w:rFonts w:ascii="Book Antiqua" w:eastAsia="等线" w:hAnsi="Book Antiqua" w:cs="Times New Roman"/>
          <w:kern w:val="0"/>
          <w:sz w:val="24"/>
          <w:szCs w:val="24"/>
          <w:lang w:val="en-GB" w:eastAsia="en-US"/>
        </w:rPr>
        <w:t>. A recent meta-analysis calculated an odds ratio (OR)</w:t>
      </w:r>
      <w:r w:rsidRPr="003771AE">
        <w:rPr>
          <w:rFonts w:ascii="Times New Roman" w:eastAsia="等线" w:hAnsi="Times New Roman" w:cs="Times New Roman"/>
          <w:kern w:val="0"/>
          <w:sz w:val="24"/>
          <w:szCs w:val="24"/>
          <w:lang w:val="en-GB" w:eastAsia="en-US"/>
        </w:rPr>
        <w:t> </w:t>
      </w:r>
      <w:r w:rsidRPr="003771AE">
        <w:rPr>
          <w:rFonts w:ascii="Book Antiqua" w:eastAsia="等线" w:hAnsi="Book Antiqua" w:cs="Times New Roman"/>
          <w:kern w:val="0"/>
          <w:sz w:val="24"/>
          <w:szCs w:val="24"/>
          <w:lang w:val="en-GB" w:eastAsia="en-US"/>
        </w:rPr>
        <w:t>of 3.58 (95%CI: 2.71–4.73, in 4,535 GC patients from among 402,636 participants) for the risk of GC in patients with IM, without data about the follow-up time</w:t>
      </w:r>
      <w:r w:rsidRPr="003771AE">
        <w:rPr>
          <w:rFonts w:ascii="Book Antiqua" w:eastAsia="等线" w:hAnsi="Book Antiqua" w:cs="Times New Roman"/>
          <w:kern w:val="0"/>
          <w:sz w:val="24"/>
          <w:szCs w:val="24"/>
          <w:vertAlign w:val="superscript"/>
          <w:lang w:val="en-GB" w:eastAsia="en-US"/>
        </w:rPr>
        <w:t>[21]</w:t>
      </w:r>
      <w:r w:rsidRPr="003771AE">
        <w:rPr>
          <w:rFonts w:ascii="Book Antiqua" w:eastAsia="等线" w:hAnsi="Book Antiqua" w:cs="Times New Roman"/>
          <w:kern w:val="0"/>
          <w:sz w:val="24"/>
          <w:szCs w:val="24"/>
          <w:lang w:val="en-GB" w:eastAsia="en-US"/>
        </w:rPr>
        <w:t>; yet, another failed to calculate a pooled OR due to the high heterogeneity of the studies</w:t>
      </w:r>
      <w:r w:rsidRPr="003771AE">
        <w:rPr>
          <w:rFonts w:ascii="Book Antiqua" w:eastAsia="等线" w:hAnsi="Book Antiqua" w:cs="Times New Roman"/>
          <w:kern w:val="0"/>
          <w:sz w:val="24"/>
          <w:szCs w:val="24"/>
          <w:vertAlign w:val="superscript"/>
          <w:lang w:val="en-GB" w:eastAsia="en-US"/>
        </w:rPr>
        <w:t>[22]</w:t>
      </w:r>
      <w:r w:rsidRPr="003771AE">
        <w:rPr>
          <w:rFonts w:ascii="Book Antiqua" w:eastAsia="等线" w:hAnsi="Book Antiqua" w:cs="Times New Roman"/>
          <w:kern w:val="0"/>
          <w:sz w:val="24"/>
          <w:szCs w:val="24"/>
          <w:lang w:val="en-GB" w:eastAsia="en-US"/>
        </w:rPr>
        <w:t>. Based on a Swedish population cohort study, even familial GA, IM, and dysplasia in first-degree relatives are associated with an increased risk for non-cardia GC</w:t>
      </w:r>
      <w:r w:rsidRPr="003771AE">
        <w:rPr>
          <w:rFonts w:ascii="Book Antiqua" w:eastAsia="等线" w:hAnsi="Book Antiqua" w:cs="Times New Roman"/>
          <w:kern w:val="0"/>
          <w:sz w:val="24"/>
          <w:szCs w:val="24"/>
          <w:vertAlign w:val="superscript"/>
          <w:lang w:val="en-GB" w:eastAsia="en-US"/>
        </w:rPr>
        <w:t>[23]</w:t>
      </w:r>
      <w:r w:rsidRPr="003771AE">
        <w:rPr>
          <w:rFonts w:ascii="Book Antiqua" w:eastAsia="等线" w:hAnsi="Book Antiqua" w:cs="Times New Roman"/>
          <w:kern w:val="0"/>
          <w:sz w:val="24"/>
          <w:szCs w:val="24"/>
          <w:lang w:val="en-GB" w:eastAsia="en-US"/>
        </w:rPr>
        <w:t xml:space="preserve">, emphasizing the role of genetic predisposition. Despite the proven role of </w:t>
      </w:r>
      <w:r w:rsidRPr="003771AE">
        <w:rPr>
          <w:rFonts w:ascii="Book Antiqua" w:eastAsia="等线" w:hAnsi="Book Antiqua" w:cs="Times New Roman"/>
          <w:i/>
          <w:kern w:val="0"/>
          <w:sz w:val="24"/>
          <w:szCs w:val="24"/>
          <w:lang w:val="en-GB" w:eastAsia="en-US"/>
        </w:rPr>
        <w:t>H. pylori</w:t>
      </w:r>
      <w:r w:rsidRPr="003771AE">
        <w:rPr>
          <w:rFonts w:ascii="Book Antiqua" w:eastAsia="等线" w:hAnsi="Book Antiqua" w:cs="Times New Roman"/>
          <w:kern w:val="0"/>
          <w:sz w:val="24"/>
          <w:szCs w:val="24"/>
          <w:lang w:val="en-GB" w:eastAsia="en-US"/>
        </w:rPr>
        <w:t xml:space="preserve"> eradication in decreasing the risk of cancer, certain histologic features, such as severe atrophy, IM in the gastric corpus, or treatment with PPI can still predispose to cancer development</w:t>
      </w:r>
      <w:r w:rsidRPr="003771AE">
        <w:rPr>
          <w:rFonts w:ascii="Book Antiqua" w:eastAsia="等线" w:hAnsi="Book Antiqua" w:cs="Times New Roman"/>
          <w:kern w:val="0"/>
          <w:sz w:val="24"/>
          <w:szCs w:val="24"/>
          <w:vertAlign w:val="superscript"/>
          <w:lang w:val="en-GB" w:eastAsia="en-US"/>
        </w:rPr>
        <w:t>[24]</w:t>
      </w:r>
      <w:r w:rsidRPr="003771AE">
        <w:rPr>
          <w:rFonts w:ascii="Book Antiqua" w:eastAsia="等线" w:hAnsi="Book Antiqua" w:cs="Times New Roman"/>
          <w:kern w:val="0"/>
          <w:sz w:val="24"/>
          <w:szCs w:val="24"/>
          <w:lang w:val="en-GB" w:eastAsia="en-US"/>
        </w:rPr>
        <w:t>.</w:t>
      </w:r>
    </w:p>
    <w:p w14:paraId="426392DF" w14:textId="77777777" w:rsidR="0011105F" w:rsidRPr="003771AE" w:rsidRDefault="0011105F" w:rsidP="00F17106">
      <w:pPr>
        <w:widowControl/>
        <w:snapToGrid w:val="0"/>
        <w:spacing w:line="360" w:lineRule="auto"/>
        <w:rPr>
          <w:rFonts w:ascii="Book Antiqua" w:eastAsia="Calibri" w:hAnsi="Book Antiqua" w:cs="Times New Roman"/>
          <w:b/>
          <w:i/>
          <w:kern w:val="0"/>
          <w:sz w:val="24"/>
          <w:szCs w:val="24"/>
          <w:lang w:val="en-GB" w:eastAsia="en-US"/>
        </w:rPr>
      </w:pPr>
    </w:p>
    <w:p w14:paraId="010641BE" w14:textId="77777777" w:rsidR="0011105F" w:rsidRPr="003771AE" w:rsidRDefault="0011105F" w:rsidP="00F17106">
      <w:pPr>
        <w:widowControl/>
        <w:snapToGrid w:val="0"/>
        <w:spacing w:line="360" w:lineRule="auto"/>
        <w:rPr>
          <w:rFonts w:ascii="Book Antiqua" w:eastAsia="Calibri" w:hAnsi="Book Antiqua" w:cs="Times New Roman"/>
          <w:b/>
          <w:caps/>
          <w:kern w:val="0"/>
          <w:sz w:val="24"/>
          <w:szCs w:val="24"/>
          <w:lang w:val="en-GB" w:eastAsia="en-US"/>
        </w:rPr>
      </w:pPr>
      <w:r w:rsidRPr="003771AE">
        <w:rPr>
          <w:rFonts w:ascii="Book Antiqua" w:eastAsia="Calibri" w:hAnsi="Book Antiqua" w:cs="Times New Roman"/>
          <w:b/>
          <w:i/>
          <w:caps/>
          <w:kern w:val="0"/>
          <w:sz w:val="24"/>
          <w:szCs w:val="24"/>
          <w:lang w:val="en-GB" w:eastAsia="en-US"/>
        </w:rPr>
        <w:t>H. pylori</w:t>
      </w:r>
      <w:r w:rsidRPr="003771AE">
        <w:rPr>
          <w:rFonts w:ascii="Book Antiqua" w:eastAsia="Calibri" w:hAnsi="Book Antiqua" w:cs="Times New Roman"/>
          <w:b/>
          <w:caps/>
          <w:kern w:val="0"/>
          <w:sz w:val="24"/>
          <w:szCs w:val="24"/>
          <w:lang w:val="en-GB" w:eastAsia="en-US"/>
        </w:rPr>
        <w:t xml:space="preserve"> gastritis – pathological assessment challenge</w:t>
      </w:r>
    </w:p>
    <w:p w14:paraId="6814C97F" w14:textId="77777777" w:rsidR="0011105F" w:rsidRPr="003771AE" w:rsidRDefault="0011105F" w:rsidP="00F17106">
      <w:pPr>
        <w:widowControl/>
        <w:snapToGrid w:val="0"/>
        <w:spacing w:line="360" w:lineRule="auto"/>
        <w:rPr>
          <w:rFonts w:ascii="Book Antiqua" w:eastAsia="Times New Roman" w:hAnsi="Book Antiqua" w:cs="Times New Roman"/>
          <w:kern w:val="0"/>
          <w:sz w:val="24"/>
          <w:szCs w:val="24"/>
          <w:lang w:val="en-GB" w:eastAsia="en-US"/>
        </w:rPr>
      </w:pPr>
      <w:r w:rsidRPr="003771AE">
        <w:rPr>
          <w:rFonts w:ascii="Book Antiqua" w:eastAsia="Times New Roman" w:hAnsi="Book Antiqua" w:cs="Times New Roman"/>
          <w:kern w:val="0"/>
          <w:sz w:val="24"/>
          <w:szCs w:val="24"/>
          <w:lang w:val="en-GB" w:eastAsia="en-US"/>
        </w:rPr>
        <w:t xml:space="preserve">In the first stage of </w:t>
      </w:r>
      <w:r w:rsidRPr="003771AE">
        <w:rPr>
          <w:rFonts w:ascii="Book Antiqua" w:eastAsia="Times New Roman" w:hAnsi="Book Antiqua" w:cs="Times New Roman"/>
          <w:i/>
          <w:kern w:val="0"/>
          <w:sz w:val="24"/>
          <w:szCs w:val="24"/>
          <w:lang w:val="en-GB" w:eastAsia="en-US"/>
        </w:rPr>
        <w:t>H. pylori</w:t>
      </w:r>
      <w:r w:rsidRPr="003771AE">
        <w:rPr>
          <w:rFonts w:ascii="Book Antiqua" w:eastAsia="Times New Roman" w:hAnsi="Book Antiqua" w:cs="Times New Roman"/>
          <w:kern w:val="0"/>
          <w:sz w:val="24"/>
          <w:szCs w:val="24"/>
          <w:lang w:val="en-GB" w:eastAsia="en-US"/>
        </w:rPr>
        <w:t xml:space="preserve"> infection, active chronic inflammation with gastric gland preservation (non-atrophic gastritis) develops, which can lead to multifocal atrophic gastritis and IM</w:t>
      </w:r>
      <w:r w:rsidRPr="003771AE">
        <w:rPr>
          <w:rFonts w:ascii="Book Antiqua" w:eastAsia="Times New Roman" w:hAnsi="Book Antiqua" w:cs="Times New Roman"/>
          <w:kern w:val="0"/>
          <w:sz w:val="24"/>
          <w:szCs w:val="24"/>
          <w:vertAlign w:val="superscript"/>
          <w:lang w:val="en-GB" w:eastAsia="en-US"/>
        </w:rPr>
        <w:t>[25,26]</w:t>
      </w:r>
      <w:r w:rsidRPr="003771AE">
        <w:rPr>
          <w:rFonts w:ascii="Book Antiqua" w:eastAsia="Times New Roman" w:hAnsi="Book Antiqua" w:cs="Times New Roman"/>
          <w:kern w:val="0"/>
          <w:sz w:val="24"/>
          <w:szCs w:val="24"/>
          <w:lang w:val="en-GB" w:eastAsia="en-US"/>
        </w:rPr>
        <w:t>.</w:t>
      </w:r>
    </w:p>
    <w:p w14:paraId="0083052D" w14:textId="77777777" w:rsidR="0011105F" w:rsidRPr="003771AE" w:rsidRDefault="0011105F" w:rsidP="001F65DF">
      <w:pPr>
        <w:widowControl/>
        <w:snapToGrid w:val="0"/>
        <w:spacing w:line="360" w:lineRule="auto"/>
        <w:ind w:firstLineChars="100" w:firstLine="240"/>
        <w:rPr>
          <w:rFonts w:ascii="Book Antiqua" w:eastAsia="Times New Roman" w:hAnsi="Book Antiqua" w:cs="Times New Roman"/>
          <w:kern w:val="0"/>
          <w:sz w:val="24"/>
          <w:szCs w:val="24"/>
          <w:lang w:val="en-GB" w:eastAsia="en-US"/>
        </w:rPr>
      </w:pPr>
      <w:r w:rsidRPr="003771AE">
        <w:rPr>
          <w:rFonts w:ascii="Book Antiqua" w:eastAsia="Times New Roman" w:hAnsi="Book Antiqua" w:cs="Times New Roman"/>
          <w:kern w:val="0"/>
          <w:sz w:val="24"/>
          <w:szCs w:val="24"/>
          <w:lang w:val="en-GB" w:eastAsia="en-US"/>
        </w:rPr>
        <w:t>Histologically, non-atrophic gastritis is characterized by the infiltration of lamina propria with chronic inflammatory cells (</w:t>
      </w:r>
      <w:r w:rsidRPr="003771AE">
        <w:rPr>
          <w:rFonts w:ascii="Book Antiqua" w:eastAsia="Times New Roman" w:hAnsi="Book Antiqua" w:cs="Times New Roman"/>
          <w:i/>
          <w:kern w:val="0"/>
          <w:sz w:val="24"/>
          <w:szCs w:val="24"/>
          <w:lang w:val="en-GB" w:eastAsia="en-US"/>
        </w:rPr>
        <w:t>e.g</w:t>
      </w:r>
      <w:r w:rsidRPr="003771AE">
        <w:rPr>
          <w:rFonts w:ascii="Book Antiqua" w:eastAsia="Times New Roman" w:hAnsi="Book Antiqua" w:cs="Times New Roman"/>
          <w:kern w:val="0"/>
          <w:sz w:val="24"/>
          <w:szCs w:val="24"/>
          <w:lang w:val="en-GB" w:eastAsia="en-US"/>
        </w:rPr>
        <w:t>., lymphocytes and plasma cells) and acute inflammatory cells (</w:t>
      </w:r>
      <w:r w:rsidRPr="003771AE">
        <w:rPr>
          <w:rFonts w:ascii="Book Antiqua" w:eastAsia="Times New Roman" w:hAnsi="Book Antiqua" w:cs="Times New Roman"/>
          <w:i/>
          <w:kern w:val="0"/>
          <w:sz w:val="24"/>
          <w:szCs w:val="24"/>
          <w:lang w:val="en-GB" w:eastAsia="en-US"/>
        </w:rPr>
        <w:t>e.g</w:t>
      </w:r>
      <w:r w:rsidRPr="003771AE">
        <w:rPr>
          <w:rFonts w:ascii="Book Antiqua" w:eastAsia="Times New Roman" w:hAnsi="Book Antiqua" w:cs="Times New Roman"/>
          <w:kern w:val="0"/>
          <w:sz w:val="24"/>
          <w:szCs w:val="24"/>
          <w:lang w:val="en-GB" w:eastAsia="en-US"/>
        </w:rPr>
        <w:t>., polymorphonuclear neutrophils). A marked acute inflammation can progress in the glandular epithelium, leading to the formation of microabscesses, whereas a marked chronic inflammation in the lamina propria can be accompanied by lymphoid aggregates with germinal centres</w:t>
      </w:r>
      <w:r w:rsidRPr="003771AE">
        <w:rPr>
          <w:rFonts w:ascii="Book Antiqua" w:eastAsia="Times New Roman" w:hAnsi="Book Antiqua" w:cs="Times New Roman"/>
          <w:kern w:val="0"/>
          <w:sz w:val="24"/>
          <w:szCs w:val="24"/>
          <w:vertAlign w:val="superscript"/>
          <w:lang w:val="en-GB" w:eastAsia="en-US"/>
        </w:rPr>
        <w:t>[27,28]</w:t>
      </w:r>
      <w:r w:rsidRPr="003771AE">
        <w:rPr>
          <w:rFonts w:ascii="Book Antiqua" w:eastAsia="Times New Roman" w:hAnsi="Book Antiqua" w:cs="Times New Roman"/>
          <w:kern w:val="0"/>
          <w:sz w:val="24"/>
          <w:szCs w:val="24"/>
          <w:lang w:val="en-GB" w:eastAsia="en-US"/>
        </w:rPr>
        <w:t xml:space="preserve">. </w:t>
      </w:r>
      <w:r w:rsidRPr="003771AE">
        <w:rPr>
          <w:rFonts w:ascii="Book Antiqua" w:eastAsia="Calibri" w:hAnsi="Book Antiqua" w:cs="Times New Roman"/>
          <w:kern w:val="0"/>
          <w:sz w:val="24"/>
          <w:szCs w:val="24"/>
          <w:lang w:val="en-GB" w:eastAsia="en-US"/>
        </w:rPr>
        <w:t>I</w:t>
      </w:r>
      <w:r w:rsidRPr="003771AE">
        <w:rPr>
          <w:rFonts w:ascii="Book Antiqua" w:eastAsia="Times New Roman" w:hAnsi="Book Antiqua" w:cs="Times New Roman"/>
          <w:kern w:val="0"/>
          <w:sz w:val="24"/>
          <w:szCs w:val="24"/>
          <w:lang w:val="en-GB" w:eastAsia="en-US"/>
        </w:rPr>
        <w:t xml:space="preserve">n this stage, changes may be reduced by </w:t>
      </w:r>
      <w:r w:rsidRPr="003771AE">
        <w:rPr>
          <w:rFonts w:ascii="Book Antiqua" w:eastAsia="Times New Roman" w:hAnsi="Book Antiqua" w:cs="Times New Roman"/>
          <w:i/>
          <w:kern w:val="0"/>
          <w:sz w:val="24"/>
          <w:szCs w:val="24"/>
          <w:lang w:val="en-GB" w:eastAsia="en-US"/>
        </w:rPr>
        <w:t xml:space="preserve">H. pylori </w:t>
      </w:r>
      <w:r w:rsidRPr="003771AE">
        <w:rPr>
          <w:rFonts w:ascii="Book Antiqua" w:eastAsia="Times New Roman" w:hAnsi="Book Antiqua" w:cs="Times New Roman"/>
          <w:kern w:val="0"/>
          <w:sz w:val="24"/>
          <w:szCs w:val="24"/>
          <w:lang w:val="en-GB" w:eastAsia="en-US"/>
        </w:rPr>
        <w:t xml:space="preserve">eradication, however, longstanding chronic inflammation promotes the inhibition of gastric acid secretion </w:t>
      </w:r>
      <w:r w:rsidRPr="003771AE">
        <w:rPr>
          <w:rFonts w:ascii="Book Antiqua" w:eastAsia="Times New Roman" w:hAnsi="Book Antiqua" w:cs="Times New Roman"/>
          <w:i/>
          <w:kern w:val="0"/>
          <w:sz w:val="24"/>
          <w:szCs w:val="24"/>
          <w:lang w:val="en-GB" w:eastAsia="en-US"/>
        </w:rPr>
        <w:t>via</w:t>
      </w:r>
      <w:r w:rsidRPr="003771AE">
        <w:rPr>
          <w:rFonts w:ascii="Book Antiqua" w:eastAsia="Times New Roman" w:hAnsi="Book Antiqua" w:cs="Times New Roman"/>
          <w:kern w:val="0"/>
          <w:sz w:val="24"/>
          <w:szCs w:val="24"/>
          <w:lang w:val="en-GB" w:eastAsia="en-US"/>
        </w:rPr>
        <w:t>proinflammatory cytokines, ultimately influencing lesion progression</w:t>
      </w:r>
      <w:r w:rsidRPr="003771AE">
        <w:rPr>
          <w:rFonts w:ascii="Book Antiqua" w:eastAsia="Times New Roman" w:hAnsi="Book Antiqua" w:cs="Times New Roman"/>
          <w:kern w:val="0"/>
          <w:sz w:val="24"/>
          <w:szCs w:val="24"/>
          <w:vertAlign w:val="superscript"/>
          <w:lang w:val="en-GB" w:eastAsia="en-US"/>
        </w:rPr>
        <w:t>[29]</w:t>
      </w:r>
      <w:r w:rsidRPr="003771AE">
        <w:rPr>
          <w:rFonts w:ascii="Book Antiqua" w:eastAsia="Calibri" w:hAnsi="Book Antiqua" w:cs="Times New Roman"/>
          <w:bCs/>
          <w:kern w:val="0"/>
          <w:sz w:val="24"/>
          <w:szCs w:val="24"/>
          <w:lang w:val="en-GB" w:eastAsia="en-US"/>
        </w:rPr>
        <w:t>.</w:t>
      </w:r>
    </w:p>
    <w:p w14:paraId="3D6A4DD7" w14:textId="6337FB16" w:rsidR="0011105F" w:rsidRPr="003771AE" w:rsidRDefault="0011105F" w:rsidP="001F65DF">
      <w:pPr>
        <w:widowControl/>
        <w:snapToGrid w:val="0"/>
        <w:spacing w:line="360" w:lineRule="auto"/>
        <w:ind w:firstLineChars="100" w:firstLine="240"/>
        <w:rPr>
          <w:rFonts w:ascii="Book Antiqua" w:eastAsia="Calibri" w:hAnsi="Book Antiqua" w:cs="Times New Roman"/>
          <w:kern w:val="0"/>
          <w:sz w:val="24"/>
          <w:szCs w:val="24"/>
          <w:lang w:val="en-GB" w:eastAsia="en-US"/>
        </w:rPr>
      </w:pPr>
      <w:r w:rsidRPr="003771AE">
        <w:rPr>
          <w:rFonts w:ascii="Book Antiqua" w:eastAsia="Times New Roman" w:hAnsi="Book Antiqua" w:cs="Times New Roman"/>
          <w:kern w:val="0"/>
          <w:sz w:val="24"/>
          <w:szCs w:val="24"/>
          <w:lang w:val="en-GB" w:eastAsia="en-US"/>
        </w:rPr>
        <w:t xml:space="preserve">Early </w:t>
      </w:r>
      <w:r w:rsidRPr="003771AE">
        <w:rPr>
          <w:rFonts w:ascii="Book Antiqua" w:eastAsia="Times New Roman" w:hAnsi="Book Antiqua" w:cs="Times New Roman"/>
          <w:i/>
          <w:kern w:val="0"/>
          <w:sz w:val="24"/>
          <w:szCs w:val="24"/>
          <w:lang w:val="en-GB" w:eastAsia="en-US"/>
        </w:rPr>
        <w:t>H. pylori</w:t>
      </w:r>
      <w:r w:rsidRPr="003771AE">
        <w:rPr>
          <w:rFonts w:ascii="Book Antiqua" w:eastAsia="Times New Roman" w:hAnsi="Book Antiqua" w:cs="Times New Roman"/>
          <w:kern w:val="0"/>
          <w:sz w:val="24"/>
          <w:szCs w:val="24"/>
          <w:lang w:val="en-GB" w:eastAsia="en-US"/>
        </w:rPr>
        <w:t xml:space="preserve"> gastritis is typically antrum-predominant, with minimal involvement of the oxyntic mucosa. In some individuals, prolonged infection with </w:t>
      </w:r>
      <w:r w:rsidRPr="003771AE">
        <w:rPr>
          <w:rFonts w:ascii="Book Antiqua" w:eastAsia="Times New Roman" w:hAnsi="Book Antiqua" w:cs="Times New Roman"/>
          <w:i/>
          <w:kern w:val="0"/>
          <w:sz w:val="24"/>
          <w:szCs w:val="24"/>
          <w:lang w:val="en-GB" w:eastAsia="en-US"/>
        </w:rPr>
        <w:t>H. pylori</w:t>
      </w:r>
      <w:r w:rsidRPr="003771AE">
        <w:rPr>
          <w:rFonts w:ascii="Book Antiqua" w:eastAsia="Times New Roman" w:hAnsi="Book Antiqua" w:cs="Times New Roman"/>
          <w:kern w:val="0"/>
          <w:sz w:val="24"/>
          <w:szCs w:val="24"/>
          <w:lang w:val="en-GB" w:eastAsia="en-US"/>
        </w:rPr>
        <w:t xml:space="preserve"> determines the extension of inflammation towards the gastric body. Hypochlorhydria, induced by the reduction of acid-producing mucosa, which can be exaggerated with use of PPI, and the progression of the disease from the antral mucosa promotes the proximal migration of the bacteria, facilitating the development of corpus gastritis</w:t>
      </w:r>
      <w:r w:rsidRPr="003771AE">
        <w:rPr>
          <w:rFonts w:ascii="Book Antiqua" w:eastAsia="Times New Roman" w:hAnsi="Book Antiqua" w:cs="Times New Roman"/>
          <w:kern w:val="0"/>
          <w:sz w:val="24"/>
          <w:szCs w:val="24"/>
          <w:vertAlign w:val="superscript"/>
          <w:lang w:val="en-GB" w:eastAsia="en-US"/>
        </w:rPr>
        <w:t>[30]</w:t>
      </w:r>
      <w:r w:rsidRPr="003771AE">
        <w:rPr>
          <w:rFonts w:ascii="Book Antiqua" w:eastAsia="Times New Roman" w:hAnsi="Book Antiqua" w:cs="Times New Roman"/>
          <w:kern w:val="0"/>
          <w:sz w:val="24"/>
          <w:szCs w:val="24"/>
          <w:lang w:val="en-GB" w:eastAsia="en-US"/>
        </w:rPr>
        <w:t xml:space="preserve">. In this stage, the determination of </w:t>
      </w:r>
      <w:r w:rsidRPr="003771AE">
        <w:rPr>
          <w:rFonts w:ascii="Book Antiqua" w:eastAsia="Times New Roman" w:hAnsi="Book Antiqua" w:cs="Times New Roman"/>
          <w:i/>
          <w:kern w:val="0"/>
          <w:sz w:val="24"/>
          <w:szCs w:val="24"/>
          <w:lang w:val="en-GB" w:eastAsia="en-US"/>
        </w:rPr>
        <w:t xml:space="preserve">H. pylori </w:t>
      </w:r>
      <w:r w:rsidRPr="003771AE">
        <w:rPr>
          <w:rFonts w:ascii="Book Antiqua" w:eastAsia="Times New Roman" w:hAnsi="Book Antiqua" w:cs="Times New Roman"/>
          <w:kern w:val="0"/>
          <w:sz w:val="24"/>
          <w:szCs w:val="24"/>
          <w:lang w:val="en-GB" w:eastAsia="en-US"/>
        </w:rPr>
        <w:t>infection and the assessment of extending lesions are highly dependent on the site, number and size of gastric biopsies</w:t>
      </w:r>
      <w:r w:rsidRPr="003771AE">
        <w:rPr>
          <w:rFonts w:ascii="Book Antiqua" w:eastAsia="Times New Roman" w:hAnsi="Book Antiqua" w:cs="Times New Roman"/>
          <w:kern w:val="0"/>
          <w:sz w:val="24"/>
          <w:szCs w:val="24"/>
          <w:vertAlign w:val="superscript"/>
          <w:lang w:val="en-GB" w:eastAsia="en-US"/>
        </w:rPr>
        <w:t>[31,32]</w:t>
      </w:r>
      <w:r w:rsidRPr="003771AE">
        <w:rPr>
          <w:rFonts w:ascii="Book Antiqua" w:eastAsia="Calibri" w:hAnsi="Book Antiqua" w:cs="Times New Roman"/>
          <w:kern w:val="0"/>
          <w:sz w:val="24"/>
          <w:szCs w:val="24"/>
          <w:lang w:val="en-GB" w:eastAsia="en-US"/>
        </w:rPr>
        <w:t xml:space="preserve">. </w:t>
      </w:r>
    </w:p>
    <w:p w14:paraId="3238F751" w14:textId="0D255710" w:rsidR="0011105F" w:rsidRPr="003771AE" w:rsidRDefault="0011105F" w:rsidP="00DE3EE2">
      <w:pPr>
        <w:widowControl/>
        <w:snapToGrid w:val="0"/>
        <w:spacing w:line="360" w:lineRule="auto"/>
        <w:ind w:firstLineChars="100" w:firstLine="240"/>
        <w:rPr>
          <w:rFonts w:ascii="Book Antiqua" w:eastAsia="Times New Roman" w:hAnsi="Book Antiqua" w:cs="Times New Roman"/>
          <w:kern w:val="0"/>
          <w:sz w:val="24"/>
          <w:szCs w:val="24"/>
          <w:lang w:val="en-GB" w:eastAsia="en-US"/>
        </w:rPr>
      </w:pPr>
      <w:r w:rsidRPr="003771AE">
        <w:rPr>
          <w:rFonts w:ascii="Book Antiqua" w:eastAsia="Times New Roman" w:hAnsi="Book Antiqua" w:cs="Times New Roman"/>
          <w:kern w:val="0"/>
          <w:sz w:val="24"/>
          <w:szCs w:val="24"/>
          <w:lang w:val="en-GB" w:eastAsia="en-US"/>
        </w:rPr>
        <w:t>The staining used to visualize the bacteria as well as the pathologist's experience to reduce false-positive or false-negative interpretations</w:t>
      </w:r>
      <w:r w:rsidRPr="003771AE">
        <w:rPr>
          <w:rFonts w:ascii="Book Antiqua" w:eastAsia="等线" w:hAnsi="Book Antiqua" w:cs="Times New Roman"/>
          <w:kern w:val="0"/>
          <w:sz w:val="24"/>
          <w:szCs w:val="24"/>
          <w:lang w:val="en-GB" w:eastAsia="en-US"/>
        </w:rPr>
        <w:t xml:space="preserve"> are also very</w:t>
      </w:r>
      <w:r w:rsidRPr="003771AE">
        <w:rPr>
          <w:rFonts w:ascii="Book Antiqua" w:eastAsia="Times New Roman" w:hAnsi="Book Antiqua" w:cs="Times New Roman"/>
          <w:kern w:val="0"/>
          <w:sz w:val="24"/>
          <w:szCs w:val="24"/>
          <w:lang w:val="en-GB" w:eastAsia="en-US"/>
        </w:rPr>
        <w:t xml:space="preserve"> important. Histochemical non-silver-based stains (</w:t>
      </w:r>
      <w:r w:rsidRPr="003771AE">
        <w:rPr>
          <w:rFonts w:ascii="Book Antiqua" w:eastAsia="Times New Roman" w:hAnsi="Book Antiqua" w:cs="Times New Roman"/>
          <w:i/>
          <w:kern w:val="0"/>
          <w:sz w:val="24"/>
          <w:szCs w:val="24"/>
          <w:lang w:val="en-GB" w:eastAsia="en-US"/>
        </w:rPr>
        <w:t>e.g</w:t>
      </w:r>
      <w:r w:rsidRPr="003771AE">
        <w:rPr>
          <w:rFonts w:ascii="Book Antiqua" w:eastAsia="Times New Roman" w:hAnsi="Book Antiqua" w:cs="Times New Roman"/>
          <w:kern w:val="0"/>
          <w:sz w:val="24"/>
          <w:szCs w:val="24"/>
          <w:lang w:val="en-GB" w:eastAsia="en-US"/>
        </w:rPr>
        <w:t>., Giemsa stain or Diff-Quik) are less expensive but have a blue background that makes it difficult to detect the bacteria. Silver-based stains (</w:t>
      </w:r>
      <w:r w:rsidRPr="003771AE">
        <w:rPr>
          <w:rFonts w:ascii="Book Antiqua" w:eastAsia="Times New Roman" w:hAnsi="Book Antiqua" w:cs="Times New Roman"/>
          <w:i/>
          <w:kern w:val="0"/>
          <w:sz w:val="24"/>
          <w:szCs w:val="24"/>
          <w:lang w:val="en-GB" w:eastAsia="en-US"/>
        </w:rPr>
        <w:t>e.g</w:t>
      </w:r>
      <w:r w:rsidRPr="003771AE">
        <w:rPr>
          <w:rFonts w:ascii="Book Antiqua" w:eastAsia="Times New Roman" w:hAnsi="Book Antiqua" w:cs="Times New Roman"/>
          <w:kern w:val="0"/>
          <w:sz w:val="24"/>
          <w:szCs w:val="24"/>
          <w:lang w:val="en-GB" w:eastAsia="en-US"/>
        </w:rPr>
        <w:t>., El-Zimaty dual stain or triple stain, Leung stain) are more sensitive, with the bacteria appearing larger, and provide a visible contrast with the background while having the additional benefits of intermediate cost and short technical time (9–10 min). Silver-based stains also make it easier to identify low numbers of bacteria, this being particularly useful in patients on PPI in whom bacteria are smaller</w:t>
      </w:r>
      <w:r w:rsidRPr="003771AE">
        <w:rPr>
          <w:rFonts w:ascii="Book Antiqua" w:eastAsia="Times New Roman" w:hAnsi="Book Antiqua" w:cs="Times New Roman"/>
          <w:kern w:val="0"/>
          <w:sz w:val="24"/>
          <w:szCs w:val="24"/>
          <w:vertAlign w:val="superscript"/>
          <w:lang w:val="en-GB" w:eastAsia="en-US"/>
        </w:rPr>
        <w:t>[33,34]</w:t>
      </w:r>
      <w:r w:rsidRPr="003771AE">
        <w:rPr>
          <w:rFonts w:ascii="Book Antiqua" w:eastAsia="Times New Roman" w:hAnsi="Book Antiqua" w:cs="Times New Roman"/>
          <w:kern w:val="0"/>
          <w:sz w:val="24"/>
          <w:szCs w:val="24"/>
          <w:lang w:val="en-GB" w:eastAsia="en-US"/>
        </w:rPr>
        <w:t xml:space="preserve">. Immunohistochemistry represents the gold standard to confirm the presence of </w:t>
      </w:r>
      <w:r w:rsidRPr="003771AE">
        <w:rPr>
          <w:rFonts w:ascii="Book Antiqua" w:eastAsia="Times New Roman" w:hAnsi="Book Antiqua" w:cs="Times New Roman"/>
          <w:i/>
          <w:kern w:val="0"/>
          <w:sz w:val="24"/>
          <w:szCs w:val="24"/>
          <w:lang w:val="en-GB" w:eastAsia="en-US"/>
        </w:rPr>
        <w:t>H. pylori</w:t>
      </w:r>
      <w:r w:rsidRPr="003771AE">
        <w:rPr>
          <w:rFonts w:ascii="Book Antiqua" w:eastAsia="Times New Roman" w:hAnsi="Book Antiqua" w:cs="Times New Roman"/>
          <w:kern w:val="0"/>
          <w:sz w:val="24"/>
          <w:szCs w:val="24"/>
          <w:lang w:val="en-GB" w:eastAsia="en-US"/>
        </w:rPr>
        <w:t>, reducing the false-positive rate and being more specific and more sensitive than the silver-based stains</w:t>
      </w:r>
      <w:r w:rsidRPr="003771AE">
        <w:rPr>
          <w:rFonts w:ascii="Book Antiqua" w:eastAsia="Times New Roman" w:hAnsi="Book Antiqua" w:cs="Times New Roman"/>
          <w:kern w:val="0"/>
          <w:sz w:val="24"/>
          <w:szCs w:val="24"/>
          <w:vertAlign w:val="superscript"/>
          <w:lang w:val="en-GB" w:eastAsia="en-US"/>
        </w:rPr>
        <w:t>[35,36]</w:t>
      </w:r>
      <w:r w:rsidRPr="003771AE">
        <w:rPr>
          <w:rFonts w:ascii="Book Antiqua" w:eastAsia="Times New Roman" w:hAnsi="Book Antiqua" w:cs="Times New Roman"/>
          <w:kern w:val="0"/>
          <w:sz w:val="24"/>
          <w:szCs w:val="24"/>
          <w:lang w:val="en-GB" w:eastAsia="en-US"/>
        </w:rPr>
        <w:t>.</w:t>
      </w:r>
      <w:r w:rsidR="00D70485">
        <w:rPr>
          <w:rFonts w:ascii="Book Antiqua" w:eastAsia="Times New Roman" w:hAnsi="Book Antiqua" w:cs="Times New Roman"/>
          <w:kern w:val="0"/>
          <w:sz w:val="24"/>
          <w:szCs w:val="24"/>
          <w:lang w:val="en-GB" w:eastAsia="en-US"/>
        </w:rPr>
        <w:t xml:space="preserve"> </w:t>
      </w:r>
      <w:r w:rsidRPr="003771AE">
        <w:rPr>
          <w:rFonts w:ascii="Book Antiqua" w:eastAsia="Times New Roman" w:hAnsi="Book Antiqua" w:cs="Times New Roman"/>
          <w:kern w:val="0"/>
          <w:sz w:val="24"/>
          <w:szCs w:val="24"/>
          <w:lang w:val="en-GB" w:eastAsia="en-US"/>
        </w:rPr>
        <w:t>Both polyclonal and monoclonal antibodies are available, and an immunohistochemical staining can be performed using an autostainer with a shorter technical time and less technical errors. The coccoid shapes of the bacteria are also coloured and identified by this method, but there are still cases interpreted as false-negative, especially when the number of bacteria is very low.</w:t>
      </w:r>
    </w:p>
    <w:p w14:paraId="4E74A4EF" w14:textId="77777777" w:rsidR="0011105F" w:rsidRPr="003771AE" w:rsidRDefault="0011105F" w:rsidP="00F17106">
      <w:pPr>
        <w:widowControl/>
        <w:snapToGrid w:val="0"/>
        <w:spacing w:line="360" w:lineRule="auto"/>
        <w:rPr>
          <w:rFonts w:ascii="Book Antiqua" w:eastAsia="Times New Roman" w:hAnsi="Book Antiqua" w:cs="Times New Roman"/>
          <w:b/>
          <w:kern w:val="0"/>
          <w:sz w:val="24"/>
          <w:szCs w:val="24"/>
          <w:lang w:val="en-GB" w:eastAsia="en-US"/>
        </w:rPr>
      </w:pPr>
    </w:p>
    <w:p w14:paraId="6BE83BBD" w14:textId="77777777" w:rsidR="0011105F" w:rsidRPr="003771AE" w:rsidRDefault="0011105F" w:rsidP="00F17106">
      <w:pPr>
        <w:widowControl/>
        <w:snapToGrid w:val="0"/>
        <w:spacing w:line="360" w:lineRule="auto"/>
        <w:rPr>
          <w:rFonts w:ascii="Book Antiqua" w:eastAsia="Times New Roman" w:hAnsi="Book Antiqua" w:cs="Times New Roman"/>
          <w:b/>
          <w:caps/>
          <w:kern w:val="0"/>
          <w:sz w:val="24"/>
          <w:szCs w:val="24"/>
          <w:lang w:val="en-GB" w:eastAsia="en-US"/>
        </w:rPr>
      </w:pPr>
      <w:r w:rsidRPr="003771AE">
        <w:rPr>
          <w:rFonts w:ascii="Book Antiqua" w:eastAsia="Times New Roman" w:hAnsi="Book Antiqua" w:cs="Times New Roman"/>
          <w:b/>
          <w:caps/>
          <w:kern w:val="0"/>
          <w:sz w:val="24"/>
          <w:szCs w:val="24"/>
          <w:lang w:val="en-GB" w:eastAsia="en-US"/>
        </w:rPr>
        <w:t>Gastric atrophy, IM – histology diagnosis challenge</w:t>
      </w:r>
    </w:p>
    <w:p w14:paraId="4748B679" w14:textId="77777777" w:rsidR="0011105F" w:rsidRPr="003771AE" w:rsidRDefault="0011105F" w:rsidP="00F17106">
      <w:pPr>
        <w:widowControl/>
        <w:snapToGrid w:val="0"/>
        <w:spacing w:line="360" w:lineRule="auto"/>
        <w:rPr>
          <w:rFonts w:ascii="Book Antiqua" w:eastAsia="Times New Roman" w:hAnsi="Book Antiqua" w:cs="Times New Roman"/>
          <w:kern w:val="0"/>
          <w:sz w:val="24"/>
          <w:szCs w:val="24"/>
          <w:lang w:val="en-GB" w:eastAsia="en-US"/>
        </w:rPr>
      </w:pPr>
      <w:r w:rsidRPr="003771AE">
        <w:rPr>
          <w:rFonts w:ascii="Book Antiqua" w:eastAsia="Times New Roman" w:hAnsi="Book Antiqua" w:cs="Times New Roman"/>
          <w:kern w:val="0"/>
          <w:sz w:val="24"/>
          <w:szCs w:val="24"/>
          <w:lang w:val="en-GB" w:eastAsia="en-US"/>
        </w:rPr>
        <w:t>Although it is the most important parameter in the progression to carcinoma, GA is the most difficult stage to recognize during a routine microscopic examination</w:t>
      </w:r>
      <w:r w:rsidRPr="003771AE">
        <w:rPr>
          <w:rFonts w:ascii="Book Antiqua" w:eastAsia="Times New Roman" w:hAnsi="Book Antiqua" w:cs="Times New Roman"/>
          <w:kern w:val="0"/>
          <w:sz w:val="24"/>
          <w:szCs w:val="24"/>
          <w:vertAlign w:val="superscript"/>
          <w:lang w:val="en-GB" w:eastAsia="en-US"/>
        </w:rPr>
        <w:t>[37-39]</w:t>
      </w:r>
      <w:r w:rsidRPr="003771AE">
        <w:rPr>
          <w:rFonts w:ascii="Book Antiqua" w:eastAsia="Times New Roman" w:hAnsi="Book Antiqua" w:cs="Times New Roman"/>
          <w:kern w:val="0"/>
          <w:sz w:val="24"/>
          <w:szCs w:val="24"/>
          <w:lang w:val="en-GB" w:eastAsia="en-US"/>
        </w:rPr>
        <w:t>. GA, characterized by destruction of the atrophied glands and replacement with fibrous tissue (non-metaplastic atrophy) or a different type of epithelium (metaplastic atrophy), is considered the first step in the cascade of intestinal-type carcinoma</w:t>
      </w:r>
      <w:r w:rsidRPr="003771AE">
        <w:rPr>
          <w:rFonts w:ascii="Book Antiqua" w:eastAsia="Times New Roman" w:hAnsi="Book Antiqua" w:cs="Times New Roman"/>
          <w:kern w:val="0"/>
          <w:sz w:val="24"/>
          <w:szCs w:val="24"/>
          <w:vertAlign w:val="superscript"/>
          <w:lang w:val="en-GB" w:eastAsia="en-US"/>
        </w:rPr>
        <w:t>[30,40]</w:t>
      </w:r>
      <w:r w:rsidRPr="003771AE">
        <w:rPr>
          <w:rFonts w:ascii="Book Antiqua" w:eastAsia="Times New Roman" w:hAnsi="Book Antiqua" w:cs="Times New Roman"/>
          <w:kern w:val="0"/>
          <w:sz w:val="24"/>
          <w:szCs w:val="24"/>
          <w:lang w:val="en-GB" w:eastAsia="en-US"/>
        </w:rPr>
        <w:t>. A special category is represented by atrophic lesions localized exclusively in the corporeal region. These cases are considered autoimmune metaplastic atrophic gastritis associated with pernicious anaemia, having an increased risk of developing GC</w:t>
      </w:r>
      <w:r w:rsidRPr="003771AE">
        <w:rPr>
          <w:rFonts w:ascii="Book Antiqua" w:eastAsia="Times New Roman" w:hAnsi="Book Antiqua" w:cs="Times New Roman"/>
          <w:kern w:val="0"/>
          <w:sz w:val="24"/>
          <w:szCs w:val="24"/>
          <w:vertAlign w:val="superscript"/>
          <w:lang w:val="en-GB" w:eastAsia="en-US"/>
        </w:rPr>
        <w:t>[41]</w:t>
      </w:r>
      <w:r w:rsidRPr="003771AE">
        <w:rPr>
          <w:rFonts w:ascii="Book Antiqua" w:eastAsia="Times New Roman" w:hAnsi="Book Antiqua" w:cs="Times New Roman"/>
          <w:kern w:val="0"/>
          <w:sz w:val="24"/>
          <w:szCs w:val="24"/>
          <w:lang w:val="en-GB" w:eastAsia="en-US"/>
        </w:rPr>
        <w:t>.</w:t>
      </w:r>
    </w:p>
    <w:p w14:paraId="4B8D20B0" w14:textId="77777777" w:rsidR="0011105F" w:rsidRPr="003771AE" w:rsidRDefault="0011105F" w:rsidP="00DE3EE2">
      <w:pPr>
        <w:widowControl/>
        <w:snapToGrid w:val="0"/>
        <w:spacing w:line="360" w:lineRule="auto"/>
        <w:ind w:firstLineChars="100" w:firstLine="240"/>
        <w:rPr>
          <w:rFonts w:ascii="Book Antiqua" w:eastAsia="Times New Roman" w:hAnsi="Book Antiqua" w:cs="Times New Roman"/>
          <w:kern w:val="0"/>
          <w:sz w:val="24"/>
          <w:szCs w:val="24"/>
          <w:lang w:val="en-GB" w:eastAsia="en-US"/>
        </w:rPr>
      </w:pPr>
      <w:r w:rsidRPr="003771AE">
        <w:rPr>
          <w:rFonts w:ascii="Book Antiqua" w:eastAsia="Times New Roman" w:hAnsi="Book Antiqua" w:cs="Times New Roman"/>
          <w:kern w:val="0"/>
          <w:sz w:val="24"/>
          <w:szCs w:val="24"/>
          <w:lang w:val="en-GB" w:eastAsia="en-US"/>
        </w:rPr>
        <w:t>Several forms of metaplasia are described in the gastric mucosa, two of them with implications in the pathogenesis of GC: pseudopyloric metaplasia and IM, classified as complete or incomplete</w:t>
      </w:r>
      <w:r w:rsidRPr="003771AE">
        <w:rPr>
          <w:rFonts w:ascii="Book Antiqua" w:eastAsia="Times New Roman" w:hAnsi="Book Antiqua" w:cs="Times New Roman"/>
          <w:kern w:val="0"/>
          <w:sz w:val="24"/>
          <w:szCs w:val="24"/>
          <w:vertAlign w:val="superscript"/>
          <w:lang w:val="en-GB" w:eastAsia="en-US"/>
        </w:rPr>
        <w:t>[28]</w:t>
      </w:r>
      <w:r w:rsidRPr="003771AE">
        <w:rPr>
          <w:rFonts w:ascii="Book Antiqua" w:eastAsia="Times New Roman" w:hAnsi="Book Antiqua" w:cs="Times New Roman"/>
          <w:kern w:val="0"/>
          <w:sz w:val="24"/>
          <w:szCs w:val="24"/>
          <w:lang w:val="en-GB" w:eastAsia="en-US"/>
        </w:rPr>
        <w:t>. Pseudopyloric metaplasia, also called spasmolytic polypeptide-expressing metaplasia, is characterized by TFF1 and TFF2 spasmolytic polypeptide expression and it is considered another pathway for the development of gastric carcinoma</w:t>
      </w:r>
      <w:r w:rsidRPr="003771AE">
        <w:rPr>
          <w:rFonts w:ascii="Book Antiqua" w:eastAsia="Times New Roman" w:hAnsi="Book Antiqua" w:cs="Times New Roman"/>
          <w:kern w:val="0"/>
          <w:sz w:val="24"/>
          <w:szCs w:val="24"/>
          <w:vertAlign w:val="superscript"/>
          <w:lang w:val="en-GB" w:eastAsia="en-US"/>
        </w:rPr>
        <w:t>[28,38,42]</w:t>
      </w:r>
      <w:r w:rsidRPr="003771AE">
        <w:rPr>
          <w:rFonts w:ascii="Book Antiqua" w:eastAsia="Times New Roman" w:hAnsi="Book Antiqua" w:cs="Times New Roman"/>
          <w:kern w:val="0"/>
          <w:sz w:val="24"/>
          <w:szCs w:val="24"/>
          <w:lang w:val="en-GB" w:eastAsia="en-US"/>
        </w:rPr>
        <w:t>.</w:t>
      </w:r>
    </w:p>
    <w:p w14:paraId="002BECE3" w14:textId="77777777" w:rsidR="0011105F" w:rsidRPr="003771AE" w:rsidRDefault="0011105F" w:rsidP="00DE3EE2">
      <w:pPr>
        <w:widowControl/>
        <w:snapToGrid w:val="0"/>
        <w:spacing w:line="360" w:lineRule="auto"/>
        <w:ind w:firstLineChars="100" w:firstLine="240"/>
        <w:rPr>
          <w:rFonts w:ascii="Book Antiqua" w:eastAsia="Times New Roman" w:hAnsi="Book Antiqua" w:cs="Times New Roman"/>
          <w:kern w:val="0"/>
          <w:sz w:val="24"/>
          <w:szCs w:val="24"/>
          <w:lang w:val="en-GB" w:eastAsia="en-US"/>
        </w:rPr>
      </w:pPr>
      <w:r w:rsidRPr="003771AE">
        <w:rPr>
          <w:rFonts w:ascii="Book Antiqua" w:eastAsia="Times New Roman" w:hAnsi="Book Antiqua" w:cs="Times New Roman"/>
          <w:kern w:val="0"/>
          <w:sz w:val="24"/>
          <w:szCs w:val="24"/>
          <w:lang w:val="en-GB" w:eastAsia="en-US"/>
        </w:rPr>
        <w:t>Differential diagnosis between an oxyntic mucosa with pseudopyloric metaplasia of an antral mucosa or mucosa from the transitional area can be a diagnostic challenge, especially if the exact location of the biopsy is not known. This may be facilitated by certain particularities, some identifiable both on haematoxylin-eosin colouring and immunohistochemistry</w:t>
      </w:r>
      <w:r w:rsidRPr="003771AE">
        <w:rPr>
          <w:rFonts w:ascii="Book Antiqua" w:eastAsia="Times New Roman" w:hAnsi="Book Antiqua" w:cs="Times New Roman"/>
          <w:kern w:val="0"/>
          <w:sz w:val="24"/>
          <w:szCs w:val="24"/>
          <w:vertAlign w:val="superscript"/>
          <w:lang w:val="en-GB" w:eastAsia="en-US"/>
        </w:rPr>
        <w:t>[43-45]</w:t>
      </w:r>
      <w:r w:rsidRPr="003771AE">
        <w:rPr>
          <w:rFonts w:ascii="Book Antiqua" w:eastAsia="Times New Roman" w:hAnsi="Book Antiqua" w:cs="Times New Roman"/>
          <w:kern w:val="0"/>
          <w:sz w:val="24"/>
          <w:szCs w:val="24"/>
          <w:lang w:val="en-GB" w:eastAsia="en-US"/>
        </w:rPr>
        <w:t xml:space="preserve">. </w:t>
      </w:r>
    </w:p>
    <w:p w14:paraId="302B77FD" w14:textId="77777777" w:rsidR="0011105F" w:rsidRPr="003771AE" w:rsidRDefault="0011105F" w:rsidP="00DE3EE2">
      <w:pPr>
        <w:widowControl/>
        <w:snapToGrid w:val="0"/>
        <w:spacing w:line="360" w:lineRule="auto"/>
        <w:ind w:firstLineChars="100" w:firstLine="240"/>
        <w:rPr>
          <w:rFonts w:ascii="Book Antiqua" w:eastAsia="Times New Roman" w:hAnsi="Book Antiqua" w:cs="Times New Roman"/>
          <w:kern w:val="0"/>
          <w:sz w:val="24"/>
          <w:szCs w:val="24"/>
          <w:lang w:val="en-GB" w:eastAsia="en-US"/>
        </w:rPr>
      </w:pPr>
      <w:r w:rsidRPr="003771AE">
        <w:rPr>
          <w:rFonts w:ascii="Book Antiqua" w:eastAsia="Times New Roman" w:hAnsi="Book Antiqua" w:cs="Times New Roman"/>
          <w:kern w:val="0"/>
          <w:sz w:val="24"/>
          <w:szCs w:val="24"/>
          <w:lang w:val="en-GB" w:eastAsia="en-US"/>
        </w:rPr>
        <w:t>Histologically, the presence of sialomucin-secreting goblet cells, absorptive cells, and Paneth cells on the foveolar or glandular epithelium is defined as complete IM or small intestinal-type I metaplasia. Incomplete IM, also called enterocolic (or type IIA/II) and colonic (or type IIB/III), is defined by the presence of neutral/acid sialomucin-secreting goblet cells in type II as well as sulfomucin-secreting goblet cells in addition to columnar non-absorptive cells</w:t>
      </w:r>
      <w:r w:rsidRPr="003771AE">
        <w:rPr>
          <w:rFonts w:ascii="Book Antiqua" w:eastAsia="Times New Roman" w:hAnsi="Book Antiqua" w:cs="Times New Roman"/>
          <w:kern w:val="0"/>
          <w:sz w:val="24"/>
          <w:szCs w:val="24"/>
          <w:vertAlign w:val="superscript"/>
          <w:lang w:val="en-GB" w:eastAsia="en-US"/>
        </w:rPr>
        <w:t>[25,26]</w:t>
      </w:r>
      <w:r w:rsidRPr="003771AE">
        <w:rPr>
          <w:rFonts w:ascii="Book Antiqua" w:eastAsia="Times New Roman" w:hAnsi="Book Antiqua" w:cs="Times New Roman"/>
          <w:kern w:val="0"/>
          <w:sz w:val="24"/>
          <w:szCs w:val="24"/>
          <w:lang w:val="en-GB" w:eastAsia="en-US"/>
        </w:rPr>
        <w:t>. The presence of IM type III increases the risk of GC development six times compared to that for lesion-free individuals</w:t>
      </w:r>
      <w:r w:rsidRPr="003771AE">
        <w:rPr>
          <w:rFonts w:ascii="Book Antiqua" w:eastAsia="Times New Roman" w:hAnsi="Book Antiqua" w:cs="Times New Roman"/>
          <w:kern w:val="0"/>
          <w:sz w:val="24"/>
          <w:szCs w:val="24"/>
          <w:vertAlign w:val="superscript"/>
          <w:lang w:val="en-GB" w:eastAsia="en-US"/>
        </w:rPr>
        <w:t>[46]</w:t>
      </w:r>
      <w:r w:rsidRPr="003771AE">
        <w:rPr>
          <w:rFonts w:ascii="Book Antiqua" w:eastAsia="Times New Roman" w:hAnsi="Book Antiqua" w:cs="Times New Roman"/>
          <w:kern w:val="0"/>
          <w:sz w:val="24"/>
          <w:szCs w:val="24"/>
          <w:lang w:val="en-GB" w:eastAsia="en-US"/>
        </w:rPr>
        <w:t xml:space="preserve">. Differentiation is facilitated by histochemical stains, such as periodic acid Schiff, alciane blue, and high iron diamine. </w:t>
      </w:r>
    </w:p>
    <w:p w14:paraId="0EA6EF3E" w14:textId="77777777" w:rsidR="0011105F" w:rsidRPr="003771AE" w:rsidRDefault="0011105F" w:rsidP="00DE3EE2">
      <w:pPr>
        <w:widowControl/>
        <w:snapToGrid w:val="0"/>
        <w:spacing w:line="360" w:lineRule="auto"/>
        <w:ind w:firstLineChars="100" w:firstLine="240"/>
        <w:rPr>
          <w:rFonts w:ascii="Book Antiqua" w:eastAsia="Times New Roman" w:hAnsi="Book Antiqua" w:cs="Times New Roman"/>
          <w:bCs/>
          <w:kern w:val="0"/>
          <w:sz w:val="24"/>
          <w:szCs w:val="24"/>
          <w:lang w:val="en-GB" w:eastAsia="en-US"/>
        </w:rPr>
      </w:pPr>
      <w:r w:rsidRPr="003771AE">
        <w:rPr>
          <w:rFonts w:ascii="Book Antiqua" w:eastAsia="Times New Roman" w:hAnsi="Book Antiqua" w:cs="Times New Roman"/>
          <w:bCs/>
          <w:kern w:val="0"/>
          <w:sz w:val="24"/>
          <w:szCs w:val="24"/>
          <w:lang w:val="en-GB" w:eastAsia="en-US"/>
        </w:rPr>
        <w:t>To assess the presence of metaplasia, besides the usual histochemical methods, immunohistochemical determinations are also used. MUC1 and MUC5AC are expressed in the superficial epithelium, and MUC6 is specific for the deep part of the antral glands but is also expressed in the mucous neck cells of the oxyntic glands. MUC2 is an intestinal epithelium-specific mucin, expressed in both columnar and goblet cells of the metaplastic epithelium</w:t>
      </w:r>
      <w:r w:rsidRPr="003771AE">
        <w:rPr>
          <w:rFonts w:ascii="Book Antiqua" w:eastAsia="Times New Roman" w:hAnsi="Book Antiqua" w:cs="Times New Roman"/>
          <w:bCs/>
          <w:kern w:val="0"/>
          <w:sz w:val="24"/>
          <w:szCs w:val="24"/>
          <w:vertAlign w:val="superscript"/>
          <w:lang w:val="en-GB" w:eastAsia="en-US"/>
        </w:rPr>
        <w:t>[47,48]</w:t>
      </w:r>
      <w:r w:rsidRPr="003771AE">
        <w:rPr>
          <w:rFonts w:ascii="Book Antiqua" w:eastAsia="Times New Roman" w:hAnsi="Book Antiqua" w:cs="Times New Roman"/>
          <w:bCs/>
          <w:kern w:val="0"/>
          <w:sz w:val="24"/>
          <w:szCs w:val="24"/>
          <w:lang w:val="en-GB" w:eastAsia="en-US"/>
        </w:rPr>
        <w:t xml:space="preserve">. Thus, in IM there is a decrease in MUC1, MUC5AC and MUC6 immunoexpression, with </w:t>
      </w:r>
      <w:r w:rsidRPr="003771AE">
        <w:rPr>
          <w:rFonts w:ascii="Book Antiqua" w:eastAsia="Times New Roman" w:hAnsi="Book Antiqua" w:cs="Times New Roman"/>
          <w:bCs/>
          <w:i/>
          <w:kern w:val="0"/>
          <w:sz w:val="24"/>
          <w:szCs w:val="24"/>
          <w:lang w:val="en-GB" w:eastAsia="en-US"/>
        </w:rPr>
        <w:t>de novo</w:t>
      </w:r>
      <w:r w:rsidRPr="003771AE">
        <w:rPr>
          <w:rFonts w:ascii="Book Antiqua" w:eastAsia="Times New Roman" w:hAnsi="Book Antiqua" w:cs="Times New Roman"/>
          <w:bCs/>
          <w:kern w:val="0"/>
          <w:sz w:val="24"/>
          <w:szCs w:val="24"/>
          <w:lang w:val="en-GB" w:eastAsia="en-US"/>
        </w:rPr>
        <w:t xml:space="preserve"> expression of MUC2</w:t>
      </w:r>
      <w:r w:rsidRPr="003771AE">
        <w:rPr>
          <w:rFonts w:ascii="Book Antiqua" w:eastAsia="Times New Roman" w:hAnsi="Book Antiqua" w:cs="Times New Roman"/>
          <w:bCs/>
          <w:kern w:val="0"/>
          <w:sz w:val="24"/>
          <w:szCs w:val="24"/>
          <w:vertAlign w:val="superscript"/>
          <w:lang w:val="en-GB" w:eastAsia="en-US"/>
        </w:rPr>
        <w:t>[49,50]</w:t>
      </w:r>
      <w:r w:rsidRPr="003771AE">
        <w:rPr>
          <w:rFonts w:ascii="Book Antiqua" w:eastAsia="Times New Roman" w:hAnsi="Book Antiqua" w:cs="Times New Roman"/>
          <w:bCs/>
          <w:kern w:val="0"/>
          <w:sz w:val="24"/>
          <w:szCs w:val="24"/>
          <w:lang w:val="en-GB" w:eastAsia="en-US"/>
        </w:rPr>
        <w:t>. Unique and multivariate immunohistochemical studies have identified MUC6 as an important marker for the malignant transformation of IM. This is positive in areas with high-grade dysplasia and intramucosal GC, and frequently associated with genetic alterations, especially microsatellite instability</w:t>
      </w:r>
      <w:r w:rsidRPr="003771AE">
        <w:rPr>
          <w:rFonts w:ascii="Book Antiqua" w:eastAsia="Times New Roman" w:hAnsi="Book Antiqua" w:cs="Times New Roman"/>
          <w:bCs/>
          <w:kern w:val="0"/>
          <w:sz w:val="24"/>
          <w:szCs w:val="24"/>
          <w:vertAlign w:val="superscript"/>
          <w:lang w:val="en-GB" w:eastAsia="en-US"/>
        </w:rPr>
        <w:t>[51,52]</w:t>
      </w:r>
      <w:r w:rsidRPr="003771AE">
        <w:rPr>
          <w:rFonts w:ascii="Book Antiqua" w:eastAsia="Times New Roman" w:hAnsi="Book Antiqua" w:cs="Times New Roman"/>
          <w:bCs/>
          <w:kern w:val="0"/>
          <w:sz w:val="24"/>
          <w:szCs w:val="24"/>
          <w:lang w:val="en-GB" w:eastAsia="en-US"/>
        </w:rPr>
        <w:t xml:space="preserve">. </w:t>
      </w:r>
    </w:p>
    <w:p w14:paraId="3534E694" w14:textId="1D6495EC" w:rsidR="0011105F" w:rsidRPr="003771AE" w:rsidRDefault="0011105F" w:rsidP="00DE3EE2">
      <w:pPr>
        <w:widowControl/>
        <w:snapToGrid w:val="0"/>
        <w:spacing w:line="360" w:lineRule="auto"/>
        <w:ind w:firstLineChars="100" w:firstLine="240"/>
        <w:rPr>
          <w:rFonts w:ascii="Book Antiqua" w:eastAsia="Times New Roman" w:hAnsi="Book Antiqua" w:cs="Times New Roman"/>
          <w:bCs/>
          <w:kern w:val="0"/>
          <w:sz w:val="24"/>
          <w:szCs w:val="24"/>
          <w:lang w:val="en-GB" w:eastAsia="en-US"/>
        </w:rPr>
      </w:pPr>
      <w:r w:rsidRPr="003771AE">
        <w:rPr>
          <w:rFonts w:ascii="Book Antiqua" w:eastAsia="Times New Roman" w:hAnsi="Book Antiqua" w:cs="Times New Roman"/>
          <w:bCs/>
          <w:kern w:val="0"/>
          <w:sz w:val="24"/>
          <w:szCs w:val="24"/>
          <w:lang w:val="en-GB" w:eastAsia="en-US"/>
        </w:rPr>
        <w:t>Runt-related transcription factor 3 (known as RUNX3) is a member of the RUNXs family and plays an important role in normal developmental processes as well as in the suppression of cell proliferation by tumour suppressor activity. On immunohistochemistry, RUNX3 expression is diminished or even absent in IM and GC due to the hypermethylation of CpG</w:t>
      </w:r>
      <w:r w:rsidR="00650F06">
        <w:rPr>
          <w:rFonts w:ascii="Book Antiqua" w:eastAsia="Times New Roman" w:hAnsi="Book Antiqua" w:cs="Times New Roman"/>
          <w:bCs/>
          <w:kern w:val="0"/>
          <w:sz w:val="24"/>
          <w:szCs w:val="24"/>
          <w:lang w:val="en-GB" w:eastAsia="en-US"/>
        </w:rPr>
        <w:t xml:space="preserve"> </w:t>
      </w:r>
      <w:r w:rsidRPr="003771AE">
        <w:rPr>
          <w:rFonts w:ascii="Book Antiqua" w:eastAsia="Times New Roman" w:hAnsi="Book Antiqua" w:cs="Times New Roman"/>
          <w:bCs/>
          <w:kern w:val="0"/>
          <w:sz w:val="24"/>
          <w:szCs w:val="24"/>
          <w:lang w:val="en-GB" w:eastAsia="en-US"/>
        </w:rPr>
        <w:t>islands</w:t>
      </w:r>
      <w:r w:rsidRPr="003771AE">
        <w:rPr>
          <w:rFonts w:ascii="Book Antiqua" w:eastAsia="Times New Roman" w:hAnsi="Book Antiqua" w:cs="Times New Roman"/>
          <w:bCs/>
          <w:kern w:val="0"/>
          <w:sz w:val="24"/>
          <w:szCs w:val="24"/>
          <w:vertAlign w:val="superscript"/>
          <w:lang w:val="en-GB" w:eastAsia="en-US"/>
        </w:rPr>
        <w:t>[51,52]</w:t>
      </w:r>
      <w:r w:rsidRPr="003771AE">
        <w:rPr>
          <w:rFonts w:ascii="Book Antiqua" w:eastAsia="Times New Roman" w:hAnsi="Book Antiqua" w:cs="Times New Roman"/>
          <w:bCs/>
          <w:kern w:val="0"/>
          <w:sz w:val="24"/>
          <w:szCs w:val="24"/>
          <w:lang w:val="en-GB" w:eastAsia="en-US"/>
        </w:rPr>
        <w:t xml:space="preserve">. </w:t>
      </w:r>
    </w:p>
    <w:p w14:paraId="497E996D" w14:textId="77777777" w:rsidR="0011105F" w:rsidRPr="003771AE" w:rsidRDefault="0011105F" w:rsidP="00DE3EE2">
      <w:pPr>
        <w:widowControl/>
        <w:snapToGrid w:val="0"/>
        <w:spacing w:line="360" w:lineRule="auto"/>
        <w:ind w:firstLineChars="100" w:firstLine="240"/>
        <w:rPr>
          <w:rFonts w:ascii="Book Antiqua" w:eastAsia="Times New Roman" w:hAnsi="Book Antiqua" w:cs="Times New Roman"/>
          <w:bCs/>
          <w:i/>
          <w:kern w:val="0"/>
          <w:sz w:val="24"/>
          <w:szCs w:val="24"/>
          <w:highlight w:val="yellow"/>
          <w:lang w:val="en-GB" w:eastAsia="en-US"/>
        </w:rPr>
      </w:pPr>
      <w:r w:rsidRPr="003771AE">
        <w:rPr>
          <w:rFonts w:ascii="Book Antiqua" w:eastAsia="Times New Roman" w:hAnsi="Book Antiqua" w:cs="Times New Roman"/>
          <w:bCs/>
          <w:kern w:val="0"/>
          <w:sz w:val="24"/>
          <w:szCs w:val="24"/>
          <w:lang w:val="en-GB" w:eastAsia="en-US"/>
        </w:rPr>
        <w:t>A marker used in the staging of IM and the diagnosis of GC is TFF1. This trefoil peptide is a key protein in the defence and regeneration of gastric mucosa after certain conditions</w:t>
      </w:r>
      <w:r w:rsidRPr="003771AE">
        <w:rPr>
          <w:rFonts w:ascii="Book Antiqua" w:eastAsia="Times New Roman" w:hAnsi="Book Antiqua" w:cs="Times New Roman"/>
          <w:bCs/>
          <w:kern w:val="0"/>
          <w:sz w:val="24"/>
          <w:szCs w:val="24"/>
          <w:vertAlign w:val="superscript"/>
          <w:lang w:val="en-GB" w:eastAsia="en-US"/>
        </w:rPr>
        <w:t>[51]</w:t>
      </w:r>
      <w:r w:rsidRPr="003771AE">
        <w:rPr>
          <w:rFonts w:ascii="Book Antiqua" w:eastAsia="Times New Roman" w:hAnsi="Book Antiqua" w:cs="Times New Roman"/>
          <w:bCs/>
          <w:kern w:val="0"/>
          <w:sz w:val="24"/>
          <w:szCs w:val="24"/>
          <w:lang w:val="en-GB" w:eastAsia="en-US"/>
        </w:rPr>
        <w:t>. It is co-expressed with MUC5AC in foveolar cells in the gastric mucosa and similarly expressed in GC, suggesting that decreased co-expression would play an important role in gastric carcinogenesis</w:t>
      </w:r>
      <w:r w:rsidRPr="003771AE">
        <w:rPr>
          <w:rFonts w:ascii="Book Antiqua" w:eastAsia="Times New Roman" w:hAnsi="Book Antiqua" w:cs="Times New Roman"/>
          <w:bCs/>
          <w:kern w:val="0"/>
          <w:sz w:val="24"/>
          <w:szCs w:val="24"/>
          <w:vertAlign w:val="superscript"/>
          <w:lang w:val="en-GB" w:eastAsia="en-US"/>
        </w:rPr>
        <w:t>[53,54]</w:t>
      </w:r>
      <w:r w:rsidRPr="003771AE">
        <w:rPr>
          <w:rFonts w:ascii="Book Antiqua" w:eastAsia="Times New Roman" w:hAnsi="Book Antiqua" w:cs="Times New Roman"/>
          <w:bCs/>
          <w:kern w:val="0"/>
          <w:sz w:val="24"/>
          <w:szCs w:val="24"/>
          <w:lang w:val="en-GB" w:eastAsia="en-US"/>
        </w:rPr>
        <w:t xml:space="preserve">. </w:t>
      </w:r>
    </w:p>
    <w:p w14:paraId="18D0C663" w14:textId="77777777" w:rsidR="0011105F" w:rsidRPr="003771AE" w:rsidRDefault="0011105F" w:rsidP="00DE3EE2">
      <w:pPr>
        <w:widowControl/>
        <w:snapToGrid w:val="0"/>
        <w:spacing w:line="360" w:lineRule="auto"/>
        <w:ind w:firstLineChars="100" w:firstLine="240"/>
        <w:rPr>
          <w:rFonts w:ascii="Book Antiqua" w:eastAsia="Times New Roman" w:hAnsi="Book Antiqua" w:cs="Times New Roman"/>
          <w:kern w:val="0"/>
          <w:sz w:val="24"/>
          <w:szCs w:val="24"/>
          <w:lang w:val="en-GB" w:eastAsia="en-US"/>
        </w:rPr>
      </w:pPr>
      <w:r w:rsidRPr="003771AE">
        <w:rPr>
          <w:rFonts w:ascii="Book Antiqua" w:eastAsia="Times New Roman" w:hAnsi="Book Antiqua" w:cs="Times New Roman"/>
          <w:bCs/>
          <w:kern w:val="0"/>
          <w:sz w:val="24"/>
          <w:szCs w:val="24"/>
          <w:lang w:val="en-GB" w:eastAsia="en-US"/>
        </w:rPr>
        <w:t>The caudal-related homeobox transcription factor (known as CDX2, and representing the suppressive gene involved in the development of colorectal cancer), has been studied in various types of GC and preneoplastic gastric lesions, being normally expressed by intestinal epithelial cells</w:t>
      </w:r>
      <w:r w:rsidRPr="003771AE">
        <w:rPr>
          <w:rFonts w:ascii="Book Antiqua" w:eastAsia="Times New Roman" w:hAnsi="Book Antiqua" w:cs="Times New Roman"/>
          <w:bCs/>
          <w:kern w:val="0"/>
          <w:sz w:val="24"/>
          <w:szCs w:val="24"/>
          <w:vertAlign w:val="superscript"/>
          <w:lang w:val="en-GB" w:eastAsia="en-US"/>
        </w:rPr>
        <w:t>[55]</w:t>
      </w:r>
      <w:r w:rsidRPr="003771AE">
        <w:rPr>
          <w:rFonts w:ascii="Book Antiqua" w:eastAsia="Times New Roman" w:hAnsi="Book Antiqua" w:cs="Times New Roman"/>
          <w:bCs/>
          <w:kern w:val="0"/>
          <w:sz w:val="24"/>
          <w:szCs w:val="24"/>
          <w:lang w:val="en-GB" w:eastAsia="en-US"/>
        </w:rPr>
        <w:t>. Under normal conditions, it is predominantly found in the small and large intestine and is missing in the gastric mucosa. Some studies have</w:t>
      </w:r>
      <w:r w:rsidRPr="003771AE">
        <w:rPr>
          <w:rFonts w:ascii="Book Antiqua" w:eastAsia="Times New Roman" w:hAnsi="Book Antiqua" w:cs="Times New Roman"/>
          <w:kern w:val="0"/>
          <w:sz w:val="24"/>
          <w:szCs w:val="24"/>
          <w:lang w:val="en-GB" w:eastAsia="en-US"/>
        </w:rPr>
        <w:t xml:space="preserve"> suggested that CDX2 immunoexpression decreases progressively with IM and dysplasia</w:t>
      </w:r>
      <w:r w:rsidRPr="003771AE">
        <w:rPr>
          <w:rFonts w:ascii="Book Antiqua" w:eastAsia="Times New Roman" w:hAnsi="Book Antiqua" w:cs="Times New Roman"/>
          <w:kern w:val="0"/>
          <w:sz w:val="24"/>
          <w:szCs w:val="24"/>
          <w:vertAlign w:val="superscript"/>
          <w:lang w:val="en-GB" w:eastAsia="en-US"/>
        </w:rPr>
        <w:t>[55]</w:t>
      </w:r>
      <w:r w:rsidRPr="003771AE">
        <w:rPr>
          <w:rFonts w:ascii="Book Antiqua" w:eastAsia="Times New Roman" w:hAnsi="Book Antiqua" w:cs="Times New Roman"/>
          <w:kern w:val="0"/>
          <w:sz w:val="24"/>
          <w:szCs w:val="24"/>
          <w:lang w:val="en-GB" w:eastAsia="en-US"/>
        </w:rPr>
        <w:t xml:space="preserve"> and can be considered a prognostic factor in intestinal-type GC</w:t>
      </w:r>
      <w:r w:rsidRPr="003771AE">
        <w:rPr>
          <w:rFonts w:ascii="Book Antiqua" w:eastAsia="Times New Roman" w:hAnsi="Book Antiqua" w:cs="Times New Roman"/>
          <w:kern w:val="0"/>
          <w:sz w:val="24"/>
          <w:szCs w:val="24"/>
          <w:vertAlign w:val="superscript"/>
          <w:lang w:val="en-GB" w:eastAsia="en-US"/>
        </w:rPr>
        <w:t>[50]</w:t>
      </w:r>
      <w:r w:rsidRPr="003771AE">
        <w:rPr>
          <w:rFonts w:ascii="Book Antiqua" w:eastAsia="Times New Roman" w:hAnsi="Book Antiqua" w:cs="Times New Roman"/>
          <w:kern w:val="0"/>
          <w:sz w:val="24"/>
          <w:szCs w:val="24"/>
          <w:lang w:val="en-GB" w:eastAsia="en-US"/>
        </w:rPr>
        <w:t>.</w:t>
      </w:r>
    </w:p>
    <w:p w14:paraId="1C578B00" w14:textId="77777777" w:rsidR="0011105F" w:rsidRPr="003771AE" w:rsidRDefault="0011105F" w:rsidP="00DE3EE2">
      <w:pPr>
        <w:widowControl/>
        <w:snapToGrid w:val="0"/>
        <w:spacing w:line="360" w:lineRule="auto"/>
        <w:ind w:firstLineChars="100" w:firstLine="240"/>
        <w:rPr>
          <w:rFonts w:ascii="Book Antiqua" w:eastAsia="Times New Roman" w:hAnsi="Book Antiqua" w:cs="Times New Roman"/>
          <w:kern w:val="0"/>
          <w:sz w:val="24"/>
          <w:szCs w:val="24"/>
          <w:lang w:val="en-GB" w:eastAsia="en-US"/>
        </w:rPr>
      </w:pPr>
      <w:r w:rsidRPr="003771AE">
        <w:rPr>
          <w:rFonts w:ascii="Book Antiqua" w:eastAsia="Times New Roman" w:hAnsi="Book Antiqua" w:cs="Times New Roman"/>
          <w:kern w:val="0"/>
          <w:sz w:val="24"/>
          <w:szCs w:val="24"/>
          <w:lang w:val="en-GB" w:eastAsia="en-US"/>
        </w:rPr>
        <w:t xml:space="preserve">The chronic inflammatory changes in gastric mucosa related to </w:t>
      </w:r>
      <w:r w:rsidRPr="003771AE">
        <w:rPr>
          <w:rFonts w:ascii="Book Antiqua" w:eastAsia="Times New Roman" w:hAnsi="Book Antiqua" w:cs="Times New Roman"/>
          <w:i/>
          <w:kern w:val="0"/>
          <w:sz w:val="24"/>
          <w:szCs w:val="24"/>
          <w:lang w:val="en-GB" w:eastAsia="en-US"/>
        </w:rPr>
        <w:t>H. pylori</w:t>
      </w:r>
      <w:r w:rsidRPr="003771AE">
        <w:rPr>
          <w:rFonts w:ascii="Book Antiqua" w:eastAsia="Times New Roman" w:hAnsi="Book Antiqua" w:cs="Times New Roman"/>
          <w:kern w:val="0"/>
          <w:sz w:val="24"/>
          <w:szCs w:val="24"/>
          <w:lang w:val="en-GB" w:eastAsia="en-US"/>
        </w:rPr>
        <w:t xml:space="preserve"> infection through the various and complex molecular events, including production of inflammatory mediators, create a “tumour microenvironment” that is thought to play an important role in lesion progression</w:t>
      </w:r>
      <w:r w:rsidRPr="003771AE">
        <w:rPr>
          <w:rFonts w:ascii="Book Antiqua" w:eastAsia="Times New Roman" w:hAnsi="Book Antiqua" w:cs="Times New Roman"/>
          <w:kern w:val="0"/>
          <w:sz w:val="24"/>
          <w:szCs w:val="24"/>
          <w:vertAlign w:val="superscript"/>
          <w:lang w:val="en-GB" w:eastAsia="en-US"/>
        </w:rPr>
        <w:t>[56,57]</w:t>
      </w:r>
      <w:r w:rsidRPr="003771AE">
        <w:rPr>
          <w:rFonts w:ascii="Book Antiqua" w:eastAsia="Times New Roman" w:hAnsi="Book Antiqua" w:cs="Times New Roman"/>
          <w:kern w:val="0"/>
          <w:sz w:val="24"/>
          <w:szCs w:val="24"/>
          <w:lang w:val="en-GB" w:eastAsia="en-US"/>
        </w:rPr>
        <w:t>. The studies questioning the potential effect of eradication therapies on regression of IM have generated discordant results, but it is accepted today that eradication does not prevent lesion progression in all patients, particularly in those with severe IM involving the corpus</w:t>
      </w:r>
      <w:r w:rsidRPr="003771AE">
        <w:rPr>
          <w:rFonts w:ascii="Book Antiqua" w:eastAsia="Times New Roman" w:hAnsi="Book Antiqua" w:cs="Times New Roman"/>
          <w:kern w:val="0"/>
          <w:sz w:val="24"/>
          <w:szCs w:val="24"/>
          <w:vertAlign w:val="superscript"/>
          <w:lang w:val="en-GB" w:eastAsia="en-US"/>
        </w:rPr>
        <w:t>[58]</w:t>
      </w:r>
      <w:r w:rsidRPr="003771AE">
        <w:rPr>
          <w:rFonts w:ascii="Book Antiqua" w:eastAsia="Times New Roman" w:hAnsi="Book Antiqua" w:cs="Times New Roman"/>
          <w:kern w:val="0"/>
          <w:sz w:val="24"/>
          <w:szCs w:val="24"/>
          <w:lang w:val="en-GB" w:eastAsia="en-US"/>
        </w:rPr>
        <w:t>.</w:t>
      </w:r>
    </w:p>
    <w:p w14:paraId="657C39F7" w14:textId="77777777" w:rsidR="0011105F" w:rsidRPr="003771AE" w:rsidRDefault="0011105F" w:rsidP="00F17106">
      <w:pPr>
        <w:widowControl/>
        <w:snapToGrid w:val="0"/>
        <w:spacing w:line="360" w:lineRule="auto"/>
        <w:rPr>
          <w:rFonts w:ascii="Book Antiqua" w:eastAsia="Times New Roman" w:hAnsi="Book Antiqua" w:cs="Times New Roman"/>
          <w:b/>
          <w:kern w:val="0"/>
          <w:sz w:val="24"/>
          <w:szCs w:val="24"/>
          <w:lang w:val="en-GB" w:eastAsia="en-US"/>
        </w:rPr>
      </w:pPr>
    </w:p>
    <w:p w14:paraId="69C8B70F" w14:textId="77777777" w:rsidR="0011105F" w:rsidRPr="003771AE" w:rsidRDefault="0011105F" w:rsidP="00F17106">
      <w:pPr>
        <w:widowControl/>
        <w:snapToGrid w:val="0"/>
        <w:spacing w:line="360" w:lineRule="auto"/>
        <w:rPr>
          <w:rFonts w:ascii="Book Antiqua" w:eastAsia="Times New Roman" w:hAnsi="Book Antiqua" w:cs="Times New Roman"/>
          <w:b/>
          <w:caps/>
          <w:kern w:val="0"/>
          <w:sz w:val="24"/>
          <w:szCs w:val="24"/>
          <w:lang w:val="en-GB" w:eastAsia="en-US"/>
        </w:rPr>
      </w:pPr>
      <w:r w:rsidRPr="003771AE">
        <w:rPr>
          <w:rFonts w:ascii="Book Antiqua" w:eastAsia="Times New Roman" w:hAnsi="Book Antiqua" w:cs="Times New Roman"/>
          <w:b/>
          <w:caps/>
          <w:kern w:val="0"/>
          <w:sz w:val="24"/>
          <w:szCs w:val="24"/>
          <w:lang w:val="en-GB" w:eastAsia="en-US"/>
        </w:rPr>
        <w:t xml:space="preserve">Staging systems </w:t>
      </w:r>
    </w:p>
    <w:p w14:paraId="54239DBA" w14:textId="77777777" w:rsidR="0011105F" w:rsidRPr="003771AE" w:rsidRDefault="0011105F" w:rsidP="00F17106">
      <w:pPr>
        <w:widowControl/>
        <w:snapToGrid w:val="0"/>
        <w:spacing w:line="360" w:lineRule="auto"/>
        <w:rPr>
          <w:rFonts w:ascii="Book Antiqua" w:eastAsia="Times New Roman" w:hAnsi="Book Antiqua" w:cs="Times New Roman"/>
          <w:kern w:val="0"/>
          <w:sz w:val="24"/>
          <w:szCs w:val="24"/>
          <w:lang w:val="en-GB" w:eastAsia="en-US"/>
        </w:rPr>
      </w:pPr>
      <w:r w:rsidRPr="003771AE">
        <w:rPr>
          <w:rFonts w:ascii="Book Antiqua" w:eastAsia="Times New Roman" w:hAnsi="Book Antiqua" w:cs="Times New Roman"/>
          <w:kern w:val="0"/>
          <w:sz w:val="24"/>
          <w:szCs w:val="24"/>
          <w:lang w:val="en-GB" w:eastAsia="en-US"/>
        </w:rPr>
        <w:t xml:space="preserve">With the overwhelming frequency of </w:t>
      </w:r>
      <w:r w:rsidRPr="003771AE">
        <w:rPr>
          <w:rFonts w:ascii="Book Antiqua" w:eastAsia="Times New Roman" w:hAnsi="Book Antiqua" w:cs="Times New Roman"/>
          <w:i/>
          <w:kern w:val="0"/>
          <w:sz w:val="24"/>
          <w:szCs w:val="24"/>
          <w:lang w:val="en-GB" w:eastAsia="en-US"/>
        </w:rPr>
        <w:t>H. pylori</w:t>
      </w:r>
      <w:r w:rsidRPr="003771AE">
        <w:rPr>
          <w:rFonts w:ascii="Book Antiqua" w:eastAsia="Times New Roman" w:hAnsi="Book Antiqua" w:cs="Times New Roman"/>
          <w:kern w:val="0"/>
          <w:sz w:val="24"/>
          <w:szCs w:val="24"/>
          <w:lang w:val="en-GB" w:eastAsia="en-US"/>
        </w:rPr>
        <w:t xml:space="preserve"> infection and related conditions in some populations</w:t>
      </w:r>
      <w:r w:rsidRPr="003771AE">
        <w:rPr>
          <w:rFonts w:ascii="Book Antiqua" w:eastAsia="Times New Roman" w:hAnsi="Book Antiqua" w:cs="Times New Roman"/>
          <w:kern w:val="0"/>
          <w:sz w:val="24"/>
          <w:szCs w:val="24"/>
          <w:vertAlign w:val="superscript"/>
          <w:lang w:val="en-GB" w:eastAsia="en-US"/>
        </w:rPr>
        <w:t>[12]</w:t>
      </w:r>
      <w:r w:rsidRPr="003771AE">
        <w:rPr>
          <w:rFonts w:ascii="Book Antiqua" w:eastAsia="Times New Roman" w:hAnsi="Book Antiqua" w:cs="Times New Roman"/>
          <w:kern w:val="0"/>
          <w:sz w:val="24"/>
          <w:szCs w:val="24"/>
          <w:lang w:val="en-GB" w:eastAsia="en-US"/>
        </w:rPr>
        <w:t>, the importance of clinicopathological individual risk assessment for cancer is crucial. The gold standard for assessing the severity and distribution of any predisposing and premalignant gastric lesions is high-definition endoscopy with chromoendoscopy, which can guide biopsies for staging atrophic and metaplastic changes</w:t>
      </w:r>
      <w:r w:rsidRPr="003771AE">
        <w:rPr>
          <w:rFonts w:ascii="Book Antiqua" w:eastAsia="Times New Roman" w:hAnsi="Book Antiqua" w:cs="Times New Roman"/>
          <w:kern w:val="0"/>
          <w:sz w:val="24"/>
          <w:szCs w:val="24"/>
          <w:vertAlign w:val="superscript"/>
          <w:lang w:val="en-GB" w:eastAsia="en-US"/>
        </w:rPr>
        <w:t>[46]</w:t>
      </w:r>
      <w:r w:rsidRPr="003771AE">
        <w:rPr>
          <w:rFonts w:ascii="Book Antiqua" w:eastAsia="Times New Roman" w:hAnsi="Book Antiqua" w:cs="Times New Roman"/>
          <w:kern w:val="0"/>
          <w:sz w:val="24"/>
          <w:szCs w:val="24"/>
          <w:lang w:val="en-GB" w:eastAsia="en-US"/>
        </w:rPr>
        <w:t>. The guidelines recommend the use of the grading and staging systems of Operative Link for Gastritis Assessment (commonly referred to as OLGA) and Operative Link on Gastric Intestinal Metaplasia Assessment (commonly referred to as OLGIM), based on a standardized protocol of gastric biopsy sampling. Although recommended, the protocols are difficult and laborious to use and their contribution in improving the prognosis of patients with GC in real life should be assessed further</w:t>
      </w:r>
      <w:r w:rsidRPr="003771AE">
        <w:rPr>
          <w:rFonts w:ascii="Book Antiqua" w:eastAsia="Times New Roman" w:hAnsi="Book Antiqua" w:cs="Times New Roman"/>
          <w:kern w:val="0"/>
          <w:sz w:val="24"/>
          <w:szCs w:val="24"/>
          <w:vertAlign w:val="superscript"/>
          <w:lang w:val="en-GB" w:eastAsia="en-US"/>
        </w:rPr>
        <w:t>[37,58]</w:t>
      </w:r>
      <w:r w:rsidRPr="003771AE">
        <w:rPr>
          <w:rFonts w:ascii="Book Antiqua" w:eastAsia="Times New Roman" w:hAnsi="Book Antiqua" w:cs="Times New Roman"/>
          <w:kern w:val="0"/>
          <w:sz w:val="24"/>
          <w:szCs w:val="24"/>
          <w:lang w:val="en-GB" w:eastAsia="en-US"/>
        </w:rPr>
        <w:t xml:space="preserve">. </w:t>
      </w:r>
    </w:p>
    <w:p w14:paraId="7566DC42" w14:textId="65505013" w:rsidR="0011105F" w:rsidRPr="003771AE" w:rsidRDefault="0011105F" w:rsidP="00DE3EE2">
      <w:pPr>
        <w:widowControl/>
        <w:snapToGrid w:val="0"/>
        <w:spacing w:line="360" w:lineRule="auto"/>
        <w:ind w:firstLineChars="100" w:firstLine="240"/>
        <w:rPr>
          <w:rFonts w:ascii="Book Antiqua" w:eastAsia="Times New Roman" w:hAnsi="Book Antiqua" w:cs="Times New Roman"/>
          <w:kern w:val="0"/>
          <w:sz w:val="24"/>
          <w:szCs w:val="24"/>
          <w:lang w:val="en-GB" w:eastAsia="en-US"/>
        </w:rPr>
      </w:pPr>
      <w:r w:rsidRPr="003771AE">
        <w:rPr>
          <w:rFonts w:ascii="Book Antiqua" w:eastAsia="Times New Roman" w:hAnsi="Book Antiqua" w:cs="Times New Roman"/>
          <w:kern w:val="0"/>
          <w:sz w:val="24"/>
          <w:szCs w:val="24"/>
          <w:lang w:val="en-GB" w:eastAsia="en-US"/>
        </w:rPr>
        <w:t>Extension of GA into the corpus mucosa and increased intragastric pH seem to influence the efficacy of eradication therapy regimens; therefore, clinicians should be aware of these aspects when eradication therapy is offered to patients with severe scores, alongside timing of the histological follow-up</w:t>
      </w:r>
      <w:r w:rsidR="003A49DE" w:rsidRPr="003771AE">
        <w:rPr>
          <w:rFonts w:ascii="Book Antiqua" w:eastAsia="Times New Roman" w:hAnsi="Book Antiqua" w:cs="Times New Roman"/>
          <w:kern w:val="0"/>
          <w:sz w:val="24"/>
          <w:szCs w:val="24"/>
          <w:vertAlign w:val="superscript"/>
          <w:lang w:val="en-GB" w:eastAsia="en-US"/>
        </w:rPr>
        <w:t>[58</w:t>
      </w:r>
      <w:r w:rsidRPr="003771AE">
        <w:rPr>
          <w:rFonts w:ascii="Book Antiqua" w:eastAsia="Times New Roman" w:hAnsi="Book Antiqua" w:cs="Times New Roman"/>
          <w:kern w:val="0"/>
          <w:sz w:val="24"/>
          <w:szCs w:val="24"/>
          <w:vertAlign w:val="superscript"/>
          <w:lang w:val="en-GB" w:eastAsia="en-US"/>
        </w:rPr>
        <w:t>]</w:t>
      </w:r>
      <w:r w:rsidRPr="003771AE">
        <w:rPr>
          <w:rFonts w:ascii="Book Antiqua" w:eastAsia="Times New Roman" w:hAnsi="Book Antiqua" w:cs="Times New Roman"/>
          <w:kern w:val="0"/>
          <w:sz w:val="24"/>
          <w:szCs w:val="24"/>
          <w:lang w:val="en-GB" w:eastAsia="en-US"/>
        </w:rPr>
        <w:t xml:space="preserve">. The persistence of </w:t>
      </w:r>
      <w:r w:rsidRPr="003771AE">
        <w:rPr>
          <w:rFonts w:ascii="Book Antiqua" w:eastAsia="Times New Roman" w:hAnsi="Book Antiqua" w:cs="Times New Roman"/>
          <w:i/>
          <w:kern w:val="0"/>
          <w:sz w:val="24"/>
          <w:szCs w:val="24"/>
          <w:lang w:val="en-GB" w:eastAsia="en-US"/>
        </w:rPr>
        <w:t>H. pylori</w:t>
      </w:r>
      <w:r w:rsidRPr="003771AE">
        <w:rPr>
          <w:rFonts w:ascii="Book Antiqua" w:eastAsia="Times New Roman" w:hAnsi="Book Antiqua" w:cs="Times New Roman"/>
          <w:kern w:val="0"/>
          <w:sz w:val="24"/>
          <w:szCs w:val="24"/>
          <w:lang w:val="en-GB" w:eastAsia="en-US"/>
        </w:rPr>
        <w:t xml:space="preserve"> infection and the severity of gastritis is influenced by the host inflammatory response, which itself is modulated by the host’s cytokine gene polymorphisms</w:t>
      </w:r>
      <w:r w:rsidRPr="003771AE">
        <w:rPr>
          <w:rFonts w:ascii="Book Antiqua" w:eastAsia="Times New Roman" w:hAnsi="Book Antiqua" w:cs="Times New Roman"/>
          <w:kern w:val="0"/>
          <w:sz w:val="24"/>
          <w:szCs w:val="24"/>
          <w:vertAlign w:val="superscript"/>
          <w:lang w:val="en-GB" w:eastAsia="en-US"/>
        </w:rPr>
        <w:t>[9]</w:t>
      </w:r>
      <w:r w:rsidR="0096093D" w:rsidRPr="003771AE">
        <w:rPr>
          <w:rFonts w:ascii="Book Antiqua" w:eastAsia="Times New Roman" w:hAnsi="Book Antiqua" w:cs="Times New Roman"/>
          <w:kern w:val="0"/>
          <w:sz w:val="24"/>
          <w:szCs w:val="24"/>
          <w:lang w:val="en-GB" w:eastAsia="en-US"/>
        </w:rPr>
        <w:t xml:space="preserve">. </w:t>
      </w:r>
      <w:r w:rsidR="003A49DE" w:rsidRPr="003771AE">
        <w:rPr>
          <w:rFonts w:ascii="Book Antiqua" w:eastAsia="Times New Roman" w:hAnsi="Book Antiqua" w:cs="Times New Roman"/>
          <w:kern w:val="0"/>
          <w:sz w:val="24"/>
          <w:szCs w:val="24"/>
          <w:lang w:val="en-GB" w:eastAsia="en-US"/>
        </w:rPr>
        <w:t xml:space="preserve">Current evidence support that the types and amounts of cytokines made in response to </w:t>
      </w:r>
      <w:r w:rsidR="003A49DE" w:rsidRPr="003771AE">
        <w:rPr>
          <w:rFonts w:ascii="Book Antiqua" w:eastAsia="Times New Roman" w:hAnsi="Book Antiqua" w:cs="Times New Roman"/>
          <w:i/>
          <w:kern w:val="0"/>
          <w:sz w:val="24"/>
          <w:szCs w:val="24"/>
          <w:lang w:val="en-GB" w:eastAsia="en-US"/>
        </w:rPr>
        <w:t>H. pylori</w:t>
      </w:r>
      <w:r w:rsidR="003A49DE" w:rsidRPr="003771AE">
        <w:rPr>
          <w:rFonts w:ascii="Book Antiqua" w:eastAsia="Times New Roman" w:hAnsi="Book Antiqua" w:cs="Times New Roman"/>
          <w:kern w:val="0"/>
          <w:sz w:val="24"/>
          <w:szCs w:val="24"/>
          <w:lang w:val="en-GB" w:eastAsia="en-US"/>
        </w:rPr>
        <w:t xml:space="preserve"> infection have a significant impact on the risk of developing gastric cancer</w:t>
      </w:r>
      <w:r w:rsidR="0096093D" w:rsidRPr="003771AE">
        <w:rPr>
          <w:rFonts w:ascii="Book Antiqua" w:eastAsia="Times New Roman" w:hAnsi="Book Antiqua" w:cs="Times New Roman"/>
          <w:kern w:val="0"/>
          <w:sz w:val="24"/>
          <w:szCs w:val="24"/>
          <w:vertAlign w:val="superscript"/>
          <w:lang w:val="en-GB" w:eastAsia="en-US"/>
        </w:rPr>
        <w:t>[59</w:t>
      </w:r>
      <w:r w:rsidR="003E1EA8">
        <w:rPr>
          <w:rFonts w:ascii="Book Antiqua" w:eastAsia="Times New Roman" w:hAnsi="Book Antiqua" w:cs="Times New Roman"/>
          <w:kern w:val="0"/>
          <w:sz w:val="24"/>
          <w:szCs w:val="24"/>
          <w:vertAlign w:val="superscript"/>
          <w:lang w:val="en-GB" w:eastAsia="en-US"/>
        </w:rPr>
        <w:t>,60</w:t>
      </w:r>
      <w:r w:rsidR="0096093D" w:rsidRPr="003771AE">
        <w:rPr>
          <w:rFonts w:ascii="Book Antiqua" w:eastAsia="Times New Roman" w:hAnsi="Book Antiqua" w:cs="Times New Roman"/>
          <w:kern w:val="0"/>
          <w:sz w:val="24"/>
          <w:szCs w:val="24"/>
          <w:vertAlign w:val="superscript"/>
          <w:lang w:val="en-GB" w:eastAsia="en-US"/>
        </w:rPr>
        <w:t>]</w:t>
      </w:r>
      <w:r w:rsidR="003A49DE" w:rsidRPr="003771AE">
        <w:rPr>
          <w:rFonts w:ascii="Book Antiqua" w:eastAsia="Times New Roman" w:hAnsi="Book Antiqua" w:cs="Times New Roman"/>
          <w:kern w:val="0"/>
          <w:sz w:val="24"/>
          <w:szCs w:val="24"/>
          <w:lang w:val="en-GB" w:eastAsia="en-US"/>
        </w:rPr>
        <w:t xml:space="preserve">, but there are not </w:t>
      </w:r>
      <w:r w:rsidR="0096093D" w:rsidRPr="003771AE">
        <w:rPr>
          <w:rFonts w:ascii="Book Antiqua" w:eastAsia="Times New Roman" w:hAnsi="Book Antiqua" w:cs="Times New Roman"/>
          <w:kern w:val="0"/>
          <w:sz w:val="24"/>
          <w:szCs w:val="24"/>
          <w:lang w:val="en-GB" w:eastAsia="en-US"/>
        </w:rPr>
        <w:t xml:space="preserve">published </w:t>
      </w:r>
      <w:r w:rsidR="003A49DE" w:rsidRPr="003771AE">
        <w:rPr>
          <w:rFonts w:ascii="Book Antiqua" w:eastAsia="Times New Roman" w:hAnsi="Book Antiqua" w:cs="Times New Roman"/>
          <w:kern w:val="0"/>
          <w:sz w:val="24"/>
          <w:szCs w:val="24"/>
          <w:lang w:val="en-GB" w:eastAsia="en-US"/>
        </w:rPr>
        <w:t xml:space="preserve">researches correlating la level of cytokine with OLGA/OLGIM </w:t>
      </w:r>
      <w:r w:rsidR="0096093D" w:rsidRPr="003771AE">
        <w:rPr>
          <w:rFonts w:ascii="Book Antiqua" w:eastAsia="Times New Roman" w:hAnsi="Book Antiqua" w:cs="Times New Roman"/>
          <w:kern w:val="0"/>
          <w:sz w:val="24"/>
          <w:szCs w:val="24"/>
          <w:lang w:val="en-GB" w:eastAsia="en-US"/>
        </w:rPr>
        <w:t xml:space="preserve">score. </w:t>
      </w:r>
      <w:r w:rsidRPr="003771AE">
        <w:rPr>
          <w:rFonts w:ascii="Book Antiqua" w:eastAsia="Times New Roman" w:hAnsi="Book Antiqua" w:cs="Times New Roman"/>
          <w:kern w:val="0"/>
          <w:sz w:val="24"/>
          <w:szCs w:val="24"/>
          <w:lang w:val="en-GB" w:eastAsia="en-US"/>
        </w:rPr>
        <w:t>The studies of cytokine</w:t>
      </w:r>
      <w:r w:rsidR="00DE3EE2">
        <w:rPr>
          <w:rFonts w:ascii="Book Antiqua" w:eastAsia="Times New Roman" w:hAnsi="Book Antiqua" w:cs="Times New Roman"/>
          <w:kern w:val="0"/>
          <w:sz w:val="24"/>
          <w:szCs w:val="24"/>
          <w:lang w:val="en-GB" w:eastAsia="en-US"/>
        </w:rPr>
        <w:t xml:space="preserve"> </w:t>
      </w:r>
      <w:r w:rsidRPr="003771AE">
        <w:rPr>
          <w:rFonts w:ascii="Book Antiqua" w:eastAsia="Times New Roman" w:hAnsi="Book Antiqua" w:cs="Times New Roman"/>
          <w:kern w:val="0"/>
          <w:sz w:val="24"/>
          <w:szCs w:val="24"/>
          <w:lang w:val="en-GB" w:eastAsia="en-US"/>
        </w:rPr>
        <w:t xml:space="preserve">SNPs in premalignant gastric lesion susceptibility have revealed different results in various populations, with no clear adjustment for the concomitant and/or persistent </w:t>
      </w:r>
      <w:r w:rsidRPr="003771AE">
        <w:rPr>
          <w:rFonts w:ascii="Book Antiqua" w:eastAsia="Times New Roman" w:hAnsi="Book Antiqua" w:cs="Times New Roman"/>
          <w:i/>
          <w:kern w:val="0"/>
          <w:sz w:val="24"/>
          <w:szCs w:val="24"/>
          <w:lang w:val="en-GB" w:eastAsia="en-US"/>
        </w:rPr>
        <w:t>H. pylori</w:t>
      </w:r>
      <w:r w:rsidRPr="003771AE">
        <w:rPr>
          <w:rFonts w:ascii="Book Antiqua" w:eastAsia="Times New Roman" w:hAnsi="Book Antiqua" w:cs="Times New Roman"/>
          <w:kern w:val="0"/>
          <w:sz w:val="24"/>
          <w:szCs w:val="24"/>
          <w:lang w:val="en-GB" w:eastAsia="en-US"/>
        </w:rPr>
        <w:t xml:space="preserve"> infection, which could, alongside with race and other environmental factors, explain the different findings. </w:t>
      </w:r>
    </w:p>
    <w:p w14:paraId="061CBB34" w14:textId="77777777" w:rsidR="0011105F" w:rsidRPr="003771AE" w:rsidRDefault="0011105F" w:rsidP="00F17106">
      <w:pPr>
        <w:widowControl/>
        <w:snapToGrid w:val="0"/>
        <w:spacing w:line="360" w:lineRule="auto"/>
        <w:rPr>
          <w:rFonts w:ascii="Book Antiqua" w:eastAsia="Times New Roman" w:hAnsi="Book Antiqua" w:cs="Times New Roman"/>
          <w:kern w:val="0"/>
          <w:sz w:val="24"/>
          <w:szCs w:val="24"/>
          <w:lang w:val="en-GB" w:eastAsia="en-US"/>
        </w:rPr>
      </w:pPr>
    </w:p>
    <w:p w14:paraId="17466AAC" w14:textId="77777777" w:rsidR="0011105F" w:rsidRPr="003771AE" w:rsidRDefault="0011105F" w:rsidP="00F17106">
      <w:pPr>
        <w:widowControl/>
        <w:snapToGrid w:val="0"/>
        <w:spacing w:line="360" w:lineRule="auto"/>
        <w:rPr>
          <w:rFonts w:ascii="Book Antiqua" w:eastAsia="等线" w:hAnsi="Book Antiqua" w:cs="Times New Roman"/>
          <w:b/>
          <w:caps/>
          <w:kern w:val="0"/>
          <w:sz w:val="24"/>
          <w:szCs w:val="24"/>
          <w:lang w:val="en-GB" w:eastAsia="en-US"/>
        </w:rPr>
      </w:pPr>
      <w:r w:rsidRPr="003771AE">
        <w:rPr>
          <w:rFonts w:ascii="Book Antiqua" w:eastAsia="等线" w:hAnsi="Book Antiqua" w:cs="Times New Roman"/>
          <w:b/>
          <w:caps/>
          <w:kern w:val="0"/>
          <w:sz w:val="24"/>
          <w:szCs w:val="24"/>
          <w:lang w:val="en-GB" w:eastAsia="en-US"/>
        </w:rPr>
        <w:t>Role of cytokines and their SNP</w:t>
      </w:r>
      <w:r w:rsidRPr="003771AE">
        <w:rPr>
          <w:rFonts w:ascii="Book Antiqua" w:eastAsia="等线" w:hAnsi="Book Antiqua" w:cs="Times New Roman"/>
          <w:b/>
          <w:kern w:val="0"/>
          <w:sz w:val="24"/>
          <w:szCs w:val="24"/>
          <w:lang w:val="en-GB" w:eastAsia="en-US"/>
        </w:rPr>
        <w:t>s</w:t>
      </w:r>
      <w:r w:rsidRPr="003771AE">
        <w:rPr>
          <w:rFonts w:ascii="Book Antiqua" w:eastAsia="等线" w:hAnsi="Book Antiqua" w:cs="Times New Roman"/>
          <w:b/>
          <w:caps/>
          <w:kern w:val="0"/>
          <w:sz w:val="24"/>
          <w:szCs w:val="24"/>
          <w:lang w:val="en-GB" w:eastAsia="en-US"/>
        </w:rPr>
        <w:t xml:space="preserve"> in </w:t>
      </w:r>
      <w:r w:rsidRPr="003771AE">
        <w:rPr>
          <w:rFonts w:ascii="Book Antiqua" w:eastAsia="等线" w:hAnsi="Book Antiqua" w:cs="Times New Roman"/>
          <w:b/>
          <w:i/>
          <w:caps/>
          <w:kern w:val="0"/>
          <w:sz w:val="24"/>
          <w:szCs w:val="24"/>
          <w:lang w:val="en-GB" w:eastAsia="en-US"/>
        </w:rPr>
        <w:t>H. pylori</w:t>
      </w:r>
      <w:r w:rsidRPr="003771AE">
        <w:rPr>
          <w:rFonts w:ascii="Book Antiqua" w:eastAsia="等线" w:hAnsi="Book Antiqua" w:cs="Times New Roman"/>
          <w:b/>
          <w:caps/>
          <w:kern w:val="0"/>
          <w:sz w:val="24"/>
          <w:szCs w:val="24"/>
          <w:lang w:val="en-GB" w:eastAsia="en-US"/>
        </w:rPr>
        <w:t>-related conditions</w:t>
      </w:r>
    </w:p>
    <w:p w14:paraId="0377057B" w14:textId="449806D2"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ro-RO"/>
        </w:rPr>
        <w:t xml:space="preserve">Persistent infection with </w:t>
      </w:r>
      <w:r w:rsidRPr="003771AE">
        <w:rPr>
          <w:rFonts w:ascii="Book Antiqua" w:eastAsia="等线" w:hAnsi="Book Antiqua" w:cs="Times New Roman"/>
          <w:i/>
          <w:kern w:val="0"/>
          <w:sz w:val="24"/>
          <w:szCs w:val="24"/>
          <w:lang w:val="en-GB" w:eastAsia="en-US"/>
        </w:rPr>
        <w:t>H. pylori</w:t>
      </w:r>
      <w:r w:rsidR="009B48F3">
        <w:rPr>
          <w:rFonts w:ascii="Book Antiqua" w:eastAsia="等线" w:hAnsi="Book Antiqua" w:cs="Times New Roman"/>
          <w:i/>
          <w:kern w:val="0"/>
          <w:sz w:val="24"/>
          <w:szCs w:val="24"/>
          <w:lang w:val="en-GB" w:eastAsia="en-US"/>
        </w:rPr>
        <w:t xml:space="preserve"> </w:t>
      </w:r>
      <w:r w:rsidRPr="003771AE">
        <w:rPr>
          <w:rFonts w:ascii="Book Antiqua" w:eastAsia="Calibri" w:hAnsi="Book Antiqua" w:cs="Times New Roman"/>
          <w:kern w:val="0"/>
          <w:sz w:val="24"/>
          <w:szCs w:val="24"/>
          <w:lang w:val="en-GB" w:eastAsia="ro-RO"/>
        </w:rPr>
        <w:t>is one of the triggers of chronic inflammation</w:t>
      </w:r>
      <w:r w:rsidRPr="003771AE">
        <w:rPr>
          <w:rFonts w:ascii="Book Antiqua" w:eastAsia="Calibri" w:hAnsi="Book Antiqua" w:cs="Times New Roman"/>
          <w:kern w:val="0"/>
          <w:sz w:val="24"/>
          <w:szCs w:val="24"/>
          <w:vertAlign w:val="superscript"/>
          <w:lang w:val="en-GB" w:eastAsia="ro-RO"/>
        </w:rPr>
        <w:t>[61]</w:t>
      </w:r>
      <w:r w:rsidRPr="003771AE">
        <w:rPr>
          <w:rFonts w:ascii="Book Antiqua" w:eastAsia="Calibri" w:hAnsi="Book Antiqua" w:cs="Times New Roman"/>
          <w:kern w:val="0"/>
          <w:sz w:val="24"/>
          <w:szCs w:val="24"/>
          <w:lang w:val="en-GB" w:eastAsia="ro-RO"/>
        </w:rPr>
        <w:t>. Inflammation is a key component of the tumour’s microenvironment, and it is considered to represent the seventh hallmark of cancer</w:t>
      </w:r>
      <w:r w:rsidRPr="003771AE">
        <w:rPr>
          <w:rFonts w:ascii="Book Antiqua" w:eastAsia="Calibri" w:hAnsi="Book Antiqua" w:cs="Times New Roman"/>
          <w:kern w:val="0"/>
          <w:sz w:val="24"/>
          <w:szCs w:val="24"/>
          <w:vertAlign w:val="superscript"/>
          <w:lang w:val="en-GB" w:eastAsia="ro-RO"/>
        </w:rPr>
        <w:t>[62]</w:t>
      </w:r>
      <w:r w:rsidRPr="003771AE">
        <w:rPr>
          <w:rFonts w:ascii="Book Antiqua" w:eastAsia="Calibri" w:hAnsi="Book Antiqua" w:cs="Times New Roman"/>
          <w:kern w:val="0"/>
          <w:sz w:val="24"/>
          <w:szCs w:val="24"/>
          <w:lang w:val="en-GB" w:eastAsia="ro-RO"/>
        </w:rPr>
        <w:t>.</w:t>
      </w:r>
      <w:r w:rsidRPr="003771AE">
        <w:rPr>
          <w:rFonts w:ascii="Book Antiqua" w:eastAsia="MyriadPro-Regular" w:hAnsi="Book Antiqua" w:cs="Times New Roman"/>
          <w:kern w:val="0"/>
          <w:sz w:val="24"/>
          <w:szCs w:val="24"/>
          <w:lang w:val="en-GB" w:eastAsia="ro-RO"/>
        </w:rPr>
        <w:t xml:space="preserve"> Extensive studies have unravelled the processes by which chronic inflammation predisposes to various types of cancer</w:t>
      </w:r>
      <w:r w:rsidRPr="003771AE">
        <w:rPr>
          <w:rFonts w:ascii="Book Antiqua" w:eastAsia="MyriadPro-Regular" w:hAnsi="Book Antiqua" w:cs="Times New Roman"/>
          <w:kern w:val="0"/>
          <w:sz w:val="24"/>
          <w:szCs w:val="24"/>
          <w:vertAlign w:val="superscript"/>
          <w:lang w:val="en-GB" w:eastAsia="ro-RO"/>
        </w:rPr>
        <w:t>[63,64]</w:t>
      </w:r>
      <w:r w:rsidRPr="003771AE">
        <w:rPr>
          <w:rFonts w:ascii="Book Antiqua" w:eastAsia="Calibri" w:hAnsi="Book Antiqua" w:cs="Times New Roman"/>
          <w:kern w:val="0"/>
          <w:sz w:val="24"/>
          <w:szCs w:val="24"/>
          <w:lang w:val="en-GB" w:eastAsia="en-US"/>
        </w:rPr>
        <w:t xml:space="preserve"> and determined that the state is responsible for approximately 25% of cancer cases</w:t>
      </w:r>
      <w:r w:rsidRPr="003771AE">
        <w:rPr>
          <w:rFonts w:ascii="Book Antiqua" w:eastAsia="Calibri" w:hAnsi="Book Antiqua" w:cs="Times New Roman"/>
          <w:kern w:val="0"/>
          <w:sz w:val="24"/>
          <w:szCs w:val="24"/>
          <w:vertAlign w:val="superscript"/>
          <w:lang w:val="en-GB" w:eastAsia="en-US"/>
        </w:rPr>
        <w:t>[65]</w:t>
      </w:r>
      <w:r w:rsidRPr="003771AE">
        <w:rPr>
          <w:rFonts w:ascii="Book Antiqua" w:eastAsia="MyriadPro-Regular" w:hAnsi="Book Antiqua" w:cs="Times New Roman"/>
          <w:kern w:val="0"/>
          <w:sz w:val="24"/>
          <w:szCs w:val="24"/>
          <w:lang w:val="en-GB" w:eastAsia="ro-RO"/>
        </w:rPr>
        <w:t xml:space="preserve">. </w:t>
      </w:r>
      <w:r w:rsidRPr="003771AE">
        <w:rPr>
          <w:rFonts w:ascii="Book Antiqua" w:eastAsia="Calibri" w:hAnsi="Book Antiqua" w:cs="Times New Roman"/>
          <w:kern w:val="0"/>
          <w:sz w:val="24"/>
          <w:szCs w:val="24"/>
          <w:lang w:val="en-GB" w:eastAsia="en-US"/>
        </w:rPr>
        <w:t xml:space="preserve">Chronic inflammation is associated with the generation and release of various mediators, including proinflammatory and oncogenic ones. During inflammation, the released mediators that may predispose to tumourigenesis are reactive nitrogen oxygen species, inflammatory cytokines </w:t>
      </w:r>
      <w:r w:rsidR="002F3B32">
        <w:rPr>
          <w:rFonts w:ascii="Book Antiqua" w:eastAsia="Calibri" w:hAnsi="Book Antiqua" w:cs="Times New Roman"/>
          <w:kern w:val="0"/>
          <w:sz w:val="24"/>
          <w:szCs w:val="24"/>
          <w:lang w:val="en-GB" w:eastAsia="en-US"/>
        </w:rPr>
        <w:t>[</w:t>
      </w:r>
      <w:r w:rsidRPr="003771AE">
        <w:rPr>
          <w:rFonts w:ascii="Book Antiqua" w:eastAsia="Calibri" w:hAnsi="Book Antiqua" w:cs="Times New Roman"/>
          <w:i/>
          <w:kern w:val="0"/>
          <w:sz w:val="24"/>
          <w:szCs w:val="24"/>
          <w:lang w:val="en-GB" w:eastAsia="en-US"/>
        </w:rPr>
        <w:t>i.e</w:t>
      </w:r>
      <w:r w:rsidRPr="003771AE">
        <w:rPr>
          <w:rFonts w:ascii="Book Antiqua" w:eastAsia="Calibri" w:hAnsi="Book Antiqua" w:cs="Times New Roman"/>
          <w:kern w:val="0"/>
          <w:sz w:val="24"/>
          <w:szCs w:val="24"/>
          <w:lang w:val="en-GB" w:eastAsia="en-US"/>
        </w:rPr>
        <w:t xml:space="preserve">. interleukins (ILs), tumour necrosis factor-alpha (TNF-α), interferon (IFN), </w:t>
      </w:r>
      <w:r w:rsidRPr="003771AE">
        <w:rPr>
          <w:rFonts w:ascii="Book Antiqua" w:eastAsia="Calibri" w:hAnsi="Book Antiqua" w:cs="Times New Roman"/>
          <w:i/>
          <w:kern w:val="0"/>
          <w:sz w:val="24"/>
          <w:szCs w:val="24"/>
          <w:lang w:val="en-GB" w:eastAsia="en-US"/>
        </w:rPr>
        <w:t>etc</w:t>
      </w:r>
      <w:r w:rsidR="002F3B32">
        <w:rPr>
          <w:rFonts w:ascii="Book Antiqua" w:eastAsia="Calibri" w:hAnsi="Book Antiqua" w:cs="Times New Roman"/>
          <w:i/>
          <w:kern w:val="0"/>
          <w:sz w:val="24"/>
          <w:szCs w:val="24"/>
          <w:lang w:val="en-GB" w:eastAsia="en-US"/>
        </w:rPr>
        <w:t>.</w:t>
      </w:r>
      <w:r w:rsidR="002F3B32">
        <w:rPr>
          <w:rFonts w:ascii="Book Antiqua" w:eastAsia="Calibri" w:hAnsi="Book Antiqua" w:cs="Times New Roman"/>
          <w:kern w:val="0"/>
          <w:sz w:val="24"/>
          <w:szCs w:val="24"/>
          <w:lang w:val="en-GB" w:eastAsia="en-US"/>
        </w:rPr>
        <w:t>]</w:t>
      </w:r>
      <w:r w:rsidRPr="003771AE">
        <w:rPr>
          <w:rFonts w:ascii="Book Antiqua" w:eastAsia="Calibri" w:hAnsi="Book Antiqua" w:cs="Times New Roman"/>
          <w:kern w:val="0"/>
          <w:sz w:val="24"/>
          <w:szCs w:val="24"/>
          <w:lang w:val="en-GB" w:eastAsia="en-US"/>
        </w:rPr>
        <w:t>, growth factors, and chemokines</w:t>
      </w:r>
      <w:r w:rsidRPr="003771AE">
        <w:rPr>
          <w:rFonts w:ascii="Book Antiqua" w:eastAsia="Calibri" w:hAnsi="Book Antiqua" w:cs="Times New Roman"/>
          <w:kern w:val="0"/>
          <w:sz w:val="24"/>
          <w:szCs w:val="24"/>
          <w:vertAlign w:val="superscript"/>
          <w:lang w:val="en-GB" w:eastAsia="en-US"/>
        </w:rPr>
        <w:t>[64]</w:t>
      </w:r>
      <w:r w:rsidRPr="003771AE">
        <w:rPr>
          <w:rFonts w:ascii="Book Antiqua" w:eastAsia="Calibri" w:hAnsi="Book Antiqua" w:cs="Times New Roman"/>
          <w:kern w:val="0"/>
          <w:sz w:val="24"/>
          <w:szCs w:val="24"/>
          <w:lang w:val="en-GB" w:eastAsia="ro-RO"/>
        </w:rPr>
        <w:t>.</w:t>
      </w:r>
    </w:p>
    <w:p w14:paraId="0819ED9E" w14:textId="77777777" w:rsidR="0011105F" w:rsidRPr="003771AE" w:rsidRDefault="0011105F" w:rsidP="003D0660">
      <w:pPr>
        <w:widowControl/>
        <w:autoSpaceDE w:val="0"/>
        <w:autoSpaceDN w:val="0"/>
        <w:adjustRightInd w:val="0"/>
        <w:snapToGrid w:val="0"/>
        <w:spacing w:line="360" w:lineRule="auto"/>
        <w:ind w:firstLineChars="100" w:firstLine="240"/>
        <w:rPr>
          <w:rFonts w:ascii="Book Antiqua" w:eastAsia="Calibri" w:hAnsi="Book Antiqua" w:cs="Times New Roman"/>
          <w:kern w:val="0"/>
          <w:sz w:val="24"/>
          <w:szCs w:val="24"/>
          <w:lang w:val="en-GB" w:eastAsia="ro-RO"/>
        </w:rPr>
      </w:pPr>
      <w:r w:rsidRPr="003771AE">
        <w:rPr>
          <w:rFonts w:ascii="Book Antiqua" w:eastAsia="MyriadPro-Regular" w:hAnsi="Book Antiqua" w:cs="Times New Roman"/>
          <w:kern w:val="0"/>
          <w:sz w:val="24"/>
          <w:szCs w:val="24"/>
          <w:lang w:val="en-GB" w:eastAsia="ro-RO"/>
        </w:rPr>
        <w:t xml:space="preserve">An important role in </w:t>
      </w:r>
      <w:r w:rsidRPr="003771AE">
        <w:rPr>
          <w:rFonts w:ascii="Book Antiqua" w:eastAsia="Calibri" w:hAnsi="Book Antiqua" w:cs="Times New Roman"/>
          <w:kern w:val="0"/>
          <w:sz w:val="24"/>
          <w:szCs w:val="24"/>
          <w:lang w:val="en-GB" w:eastAsia="ro-RO"/>
        </w:rPr>
        <w:t xml:space="preserve">inflammatory response </w:t>
      </w:r>
      <w:r w:rsidRPr="003771AE">
        <w:rPr>
          <w:rFonts w:ascii="Book Antiqua" w:eastAsia="MyriadPro-Regular" w:hAnsi="Book Antiqua" w:cs="Times New Roman"/>
          <w:kern w:val="0"/>
          <w:sz w:val="24"/>
          <w:szCs w:val="24"/>
          <w:lang w:val="en-GB" w:eastAsia="ro-RO"/>
        </w:rPr>
        <w:t xml:space="preserve">regulation </w:t>
      </w:r>
      <w:r w:rsidRPr="003771AE">
        <w:rPr>
          <w:rFonts w:ascii="Book Antiqua" w:eastAsia="Calibri" w:hAnsi="Book Antiqua" w:cs="Times New Roman"/>
          <w:kern w:val="0"/>
          <w:sz w:val="24"/>
          <w:szCs w:val="24"/>
          <w:lang w:val="en-GB" w:eastAsia="ro-RO"/>
        </w:rPr>
        <w:t xml:space="preserve">is attributed to the cytokines. Cytokines are classified into two groups: proinflammatory (IL-1β, IL-1α, IL-6, IL-8, IL-12, IL-17, IL-18, </w:t>
      </w:r>
      <w:r w:rsidRPr="003771AE">
        <w:rPr>
          <w:rFonts w:ascii="Book Antiqua" w:eastAsia="Calibri" w:hAnsi="Book Antiqua" w:cs="Times New Roman"/>
          <w:kern w:val="0"/>
          <w:sz w:val="24"/>
          <w:szCs w:val="24"/>
          <w:lang w:val="en-GB" w:eastAsia="en-US"/>
        </w:rPr>
        <w:t xml:space="preserve">TNF-α, IFN-γ, </w:t>
      </w:r>
      <w:r w:rsidRPr="003771AE">
        <w:rPr>
          <w:rFonts w:ascii="Book Antiqua" w:eastAsia="Calibri" w:hAnsi="Book Antiqua" w:cs="Times New Roman"/>
          <w:i/>
          <w:kern w:val="0"/>
          <w:sz w:val="24"/>
          <w:szCs w:val="24"/>
          <w:lang w:val="en-GB" w:eastAsia="en-US"/>
        </w:rPr>
        <w:t>etc</w:t>
      </w:r>
      <w:r w:rsidRPr="003771AE">
        <w:rPr>
          <w:rFonts w:ascii="Book Antiqua" w:eastAsia="Calibri" w:hAnsi="Book Antiqua" w:cs="Times New Roman"/>
          <w:kern w:val="0"/>
          <w:sz w:val="24"/>
          <w:szCs w:val="24"/>
          <w:lang w:val="en-GB" w:eastAsia="en-US"/>
        </w:rPr>
        <w:t>)</w:t>
      </w:r>
      <w:r w:rsidRPr="003771AE">
        <w:rPr>
          <w:rFonts w:ascii="Book Antiqua" w:eastAsia="Calibri" w:hAnsi="Book Antiqua" w:cs="Times New Roman"/>
          <w:kern w:val="0"/>
          <w:sz w:val="24"/>
          <w:szCs w:val="24"/>
          <w:vertAlign w:val="superscript"/>
          <w:lang w:val="en-GB" w:eastAsia="en-US"/>
        </w:rPr>
        <w:t>[66]</w:t>
      </w:r>
      <w:r w:rsidRPr="003771AE">
        <w:rPr>
          <w:rFonts w:ascii="Book Antiqua" w:eastAsia="Calibri" w:hAnsi="Book Antiqua" w:cs="Times New Roman"/>
          <w:kern w:val="0"/>
          <w:sz w:val="24"/>
          <w:szCs w:val="24"/>
          <w:lang w:val="en-GB" w:eastAsia="en-US"/>
        </w:rPr>
        <w:t xml:space="preserve"> and anti-inflammatory (Il-4, IL-10, IL-13, </w:t>
      </w:r>
      <w:r w:rsidRPr="003771AE">
        <w:rPr>
          <w:rFonts w:ascii="Book Antiqua" w:eastAsia="Calibri" w:hAnsi="Book Antiqua" w:cs="Times New Roman"/>
          <w:i/>
          <w:kern w:val="0"/>
          <w:sz w:val="24"/>
          <w:szCs w:val="24"/>
          <w:lang w:val="en-GB" w:eastAsia="en-US"/>
        </w:rPr>
        <w:t>etc</w:t>
      </w:r>
      <w:r w:rsidRPr="003771AE">
        <w:rPr>
          <w:rFonts w:ascii="Book Antiqua" w:eastAsia="Calibri" w:hAnsi="Book Antiqua" w:cs="Times New Roman"/>
          <w:kern w:val="0"/>
          <w:sz w:val="24"/>
          <w:szCs w:val="24"/>
          <w:lang w:val="en-GB" w:eastAsia="en-US"/>
        </w:rPr>
        <w:t>). Some of the cytokines have a dual role (</w:t>
      </w:r>
      <w:r w:rsidRPr="003771AE">
        <w:rPr>
          <w:rFonts w:ascii="Book Antiqua" w:eastAsia="Calibri" w:hAnsi="Book Antiqua" w:cs="Times New Roman"/>
          <w:i/>
          <w:kern w:val="0"/>
          <w:sz w:val="24"/>
          <w:szCs w:val="24"/>
          <w:lang w:val="en-GB" w:eastAsia="en-US"/>
        </w:rPr>
        <w:t>e.g</w:t>
      </w:r>
      <w:r w:rsidRPr="003771AE">
        <w:rPr>
          <w:rFonts w:ascii="Book Antiqua" w:eastAsia="Calibri" w:hAnsi="Book Antiqua" w:cs="Times New Roman"/>
          <w:kern w:val="0"/>
          <w:sz w:val="24"/>
          <w:szCs w:val="24"/>
          <w:lang w:val="en-GB" w:eastAsia="en-US"/>
        </w:rPr>
        <w:t>., IL-10, IL-22, and TGF-β1)</w:t>
      </w:r>
      <w:r w:rsidRPr="003771AE">
        <w:rPr>
          <w:rFonts w:ascii="Book Antiqua" w:eastAsia="Calibri" w:hAnsi="Book Antiqua" w:cs="Times New Roman"/>
          <w:kern w:val="0"/>
          <w:sz w:val="24"/>
          <w:szCs w:val="24"/>
          <w:vertAlign w:val="superscript"/>
          <w:lang w:val="en-GB" w:eastAsia="en-US"/>
        </w:rPr>
        <w:t>[67]</w:t>
      </w:r>
      <w:r w:rsidRPr="003771AE">
        <w:rPr>
          <w:rFonts w:ascii="Book Antiqua" w:eastAsia="Calibri" w:hAnsi="Book Antiqua" w:cs="Times New Roman"/>
          <w:kern w:val="0"/>
          <w:sz w:val="24"/>
          <w:szCs w:val="24"/>
          <w:lang w:val="en-GB" w:eastAsia="en-US"/>
        </w:rPr>
        <w:t xml:space="preserve">. </w:t>
      </w:r>
      <w:r w:rsidRPr="003771AE">
        <w:rPr>
          <w:rFonts w:ascii="Book Antiqua" w:eastAsia="Calibri" w:hAnsi="Book Antiqua" w:cs="Times New Roman"/>
          <w:kern w:val="0"/>
          <w:sz w:val="24"/>
          <w:szCs w:val="24"/>
          <w:lang w:val="en-GB" w:eastAsia="ro-RO"/>
        </w:rPr>
        <w:t xml:space="preserve">Anti- and proinflammatory cytokines are involved in various cellular events, such as the induction of expression of other cytokines, proliferation and differentiation of cells, adhesion, angiogenesis, necrosis, and apoptosis, all these processes being influenced by the presence of </w:t>
      </w:r>
      <w:r w:rsidRPr="003771AE">
        <w:rPr>
          <w:rFonts w:ascii="Book Antiqua" w:eastAsia="Calibri" w:hAnsi="Book Antiqua" w:cs="Times New Roman"/>
          <w:i/>
          <w:kern w:val="0"/>
          <w:sz w:val="24"/>
          <w:szCs w:val="24"/>
          <w:lang w:val="en-GB" w:eastAsia="ro-RO"/>
        </w:rPr>
        <w:t>H. pylori</w:t>
      </w:r>
      <w:r w:rsidRPr="003771AE">
        <w:rPr>
          <w:rFonts w:ascii="Book Antiqua" w:eastAsia="Calibri" w:hAnsi="Book Antiqua" w:cs="Times New Roman"/>
          <w:kern w:val="0"/>
          <w:sz w:val="24"/>
          <w:szCs w:val="24"/>
          <w:lang w:val="en-GB" w:eastAsia="ro-RO"/>
        </w:rPr>
        <w:t>infection</w:t>
      </w:r>
      <w:r w:rsidRPr="003771AE">
        <w:rPr>
          <w:rFonts w:ascii="Book Antiqua" w:eastAsia="Calibri" w:hAnsi="Book Antiqua" w:cs="Times New Roman"/>
          <w:kern w:val="0"/>
          <w:sz w:val="24"/>
          <w:szCs w:val="24"/>
          <w:vertAlign w:val="superscript"/>
          <w:lang w:val="en-GB" w:eastAsia="ro-RO"/>
        </w:rPr>
        <w:t>[8,68]</w:t>
      </w:r>
      <w:r w:rsidRPr="003771AE">
        <w:rPr>
          <w:rFonts w:ascii="Book Antiqua" w:eastAsia="Calibri" w:hAnsi="Book Antiqua" w:cs="Times New Roman"/>
          <w:kern w:val="0"/>
          <w:sz w:val="24"/>
          <w:szCs w:val="24"/>
          <w:lang w:val="en-GB" w:eastAsia="ro-RO"/>
        </w:rPr>
        <w:t xml:space="preserve">. The inflammation induced by </w:t>
      </w:r>
      <w:r w:rsidRPr="003771AE">
        <w:rPr>
          <w:rFonts w:ascii="Book Antiqua" w:eastAsia="Calibri" w:hAnsi="Book Antiqua" w:cs="Times New Roman"/>
          <w:i/>
          <w:kern w:val="0"/>
          <w:sz w:val="24"/>
          <w:szCs w:val="24"/>
          <w:lang w:val="en-GB" w:eastAsia="ro-RO"/>
        </w:rPr>
        <w:t>H. pylori</w:t>
      </w:r>
      <w:r w:rsidRPr="003771AE">
        <w:rPr>
          <w:rFonts w:ascii="Book Antiqua" w:eastAsia="Calibri" w:hAnsi="Book Antiqua" w:cs="Times New Roman"/>
          <w:kern w:val="0"/>
          <w:sz w:val="24"/>
          <w:szCs w:val="24"/>
          <w:lang w:val="en-GB" w:eastAsia="ro-RO"/>
        </w:rPr>
        <w:t xml:space="preserve"> infection leads to an increased gastric endothelial cell turnover and the deregulation of this inflammation, especially when it is associated with more virulent strains of </w:t>
      </w:r>
      <w:r w:rsidRPr="003771AE">
        <w:rPr>
          <w:rFonts w:ascii="Book Antiqua" w:eastAsia="Calibri" w:hAnsi="Book Antiqua" w:cs="Times New Roman"/>
          <w:i/>
          <w:kern w:val="0"/>
          <w:sz w:val="24"/>
          <w:szCs w:val="24"/>
          <w:lang w:val="en-GB" w:eastAsia="ro-RO"/>
        </w:rPr>
        <w:t>H. pylori</w:t>
      </w:r>
      <w:r w:rsidRPr="003771AE">
        <w:rPr>
          <w:rFonts w:ascii="Book Antiqua" w:eastAsia="Calibri" w:hAnsi="Book Antiqua" w:cs="Times New Roman"/>
          <w:kern w:val="0"/>
          <w:sz w:val="24"/>
          <w:szCs w:val="24"/>
          <w:vertAlign w:val="superscript"/>
          <w:lang w:val="en-GB" w:eastAsia="ro-RO"/>
        </w:rPr>
        <w:t>[8]</w:t>
      </w:r>
      <w:r w:rsidRPr="003771AE">
        <w:rPr>
          <w:rFonts w:ascii="Book Antiqua" w:eastAsia="Calibri" w:hAnsi="Book Antiqua" w:cs="Times New Roman"/>
          <w:kern w:val="0"/>
          <w:sz w:val="24"/>
          <w:szCs w:val="24"/>
          <w:lang w:val="en-GB" w:eastAsia="ro-RO"/>
        </w:rPr>
        <w:t>.</w:t>
      </w:r>
    </w:p>
    <w:p w14:paraId="65BD8722" w14:textId="6C89BB1B" w:rsidR="0011105F" w:rsidRPr="003771AE" w:rsidRDefault="0011105F" w:rsidP="003D0660">
      <w:pPr>
        <w:widowControl/>
        <w:autoSpaceDE w:val="0"/>
        <w:autoSpaceDN w:val="0"/>
        <w:adjustRightInd w:val="0"/>
        <w:snapToGrid w:val="0"/>
        <w:spacing w:line="360" w:lineRule="auto"/>
        <w:ind w:firstLineChars="100" w:firstLine="240"/>
        <w:rPr>
          <w:rFonts w:ascii="Book Antiqua" w:eastAsia="Times New Roman" w:hAnsi="Book Antiqua" w:cs="Times New Roman"/>
          <w:b/>
          <w:kern w:val="0"/>
          <w:sz w:val="24"/>
          <w:szCs w:val="24"/>
          <w:lang w:val="en-GB" w:eastAsia="ro-RO"/>
        </w:rPr>
      </w:pPr>
      <w:r w:rsidRPr="003771AE">
        <w:rPr>
          <w:rFonts w:ascii="Book Antiqua" w:eastAsia="Calibri" w:hAnsi="Book Antiqua" w:cs="Times New Roman"/>
          <w:kern w:val="0"/>
          <w:sz w:val="24"/>
          <w:szCs w:val="24"/>
          <w:lang w:val="en-GB" w:eastAsia="ro-RO"/>
        </w:rPr>
        <w:t>Genetic polymorphisms,</w:t>
      </w:r>
      <w:r w:rsidRPr="003771AE">
        <w:rPr>
          <w:rFonts w:ascii="Book Antiqua" w:eastAsia="Calibri" w:hAnsi="Book Antiqua" w:cs="Times New Roman"/>
          <w:kern w:val="0"/>
          <w:sz w:val="24"/>
          <w:szCs w:val="24"/>
          <w:lang w:val="en-GB" w:eastAsia="en-US"/>
        </w:rPr>
        <w:t xml:space="preserve"> such as SNPs, has been described in cytokine genes, and certain alleles of those genes are responsible for variations in cytokine expression and plasma levels, and may influence </w:t>
      </w:r>
      <w:r w:rsidRPr="003771AE">
        <w:rPr>
          <w:rFonts w:ascii="Book Antiqua" w:eastAsia="Calibri" w:hAnsi="Book Antiqua" w:cs="Times New Roman"/>
          <w:kern w:val="0"/>
          <w:sz w:val="24"/>
          <w:szCs w:val="24"/>
          <w:lang w:val="en-GB" w:eastAsia="ro-RO"/>
        </w:rPr>
        <w:t>immune response, being therefore associated with susceptibility to cancer</w:t>
      </w:r>
      <w:r w:rsidRPr="003771AE">
        <w:rPr>
          <w:rFonts w:ascii="Book Antiqua" w:eastAsia="Calibri" w:hAnsi="Book Antiqua" w:cs="Times New Roman"/>
          <w:kern w:val="0"/>
          <w:sz w:val="24"/>
          <w:szCs w:val="24"/>
          <w:vertAlign w:val="superscript"/>
          <w:lang w:val="en-GB" w:eastAsia="ro-RO"/>
        </w:rPr>
        <w:t>[69,70]</w:t>
      </w:r>
      <w:r w:rsidRPr="003771AE">
        <w:rPr>
          <w:rFonts w:ascii="Book Antiqua" w:eastAsia="Times New Roman" w:hAnsi="Book Antiqua" w:cs="Times New Roman"/>
          <w:kern w:val="0"/>
          <w:sz w:val="24"/>
          <w:szCs w:val="24"/>
          <w:lang w:val="en-GB" w:eastAsia="ro-RO"/>
        </w:rPr>
        <w:t xml:space="preserve">. </w:t>
      </w:r>
      <w:r w:rsidRPr="003771AE">
        <w:rPr>
          <w:rFonts w:ascii="Book Antiqua" w:eastAsia="Calibri" w:hAnsi="Book Antiqua" w:cs="Times New Roman"/>
          <w:kern w:val="0"/>
          <w:sz w:val="24"/>
          <w:szCs w:val="24"/>
          <w:lang w:val="en-GB" w:eastAsia="en-US"/>
        </w:rPr>
        <w:t xml:space="preserve">Furthermore, it was considered that cytokine SNPs may play important roles in </w:t>
      </w:r>
      <w:r w:rsidRPr="003771AE">
        <w:rPr>
          <w:rFonts w:ascii="Book Antiqua" w:eastAsia="Calibri" w:hAnsi="Book Antiqua" w:cs="Times New Roman"/>
          <w:i/>
          <w:iCs/>
          <w:kern w:val="0"/>
          <w:sz w:val="24"/>
          <w:szCs w:val="24"/>
          <w:lang w:val="en-GB" w:eastAsia="en-US"/>
        </w:rPr>
        <w:t>H. pylori</w:t>
      </w:r>
      <w:r w:rsidRPr="003771AE">
        <w:rPr>
          <w:rFonts w:ascii="Book Antiqua" w:eastAsia="Calibri" w:hAnsi="Book Antiqua" w:cs="Times New Roman"/>
          <w:kern w:val="0"/>
          <w:sz w:val="24"/>
          <w:szCs w:val="24"/>
          <w:lang w:val="en-GB" w:eastAsia="en-US"/>
        </w:rPr>
        <w:t>pathogenicity</w:t>
      </w:r>
      <w:r w:rsidRPr="003771AE">
        <w:rPr>
          <w:rFonts w:ascii="Book Antiqua" w:eastAsia="Calibri" w:hAnsi="Book Antiqua" w:cs="Times New Roman"/>
          <w:kern w:val="0"/>
          <w:sz w:val="24"/>
          <w:szCs w:val="24"/>
          <w:vertAlign w:val="superscript"/>
          <w:lang w:val="en-GB" w:eastAsia="en-US"/>
        </w:rPr>
        <w:t>[71]</w:t>
      </w:r>
      <w:r w:rsidRPr="003771AE">
        <w:rPr>
          <w:rFonts w:ascii="Book Antiqua" w:eastAsia="Calibri" w:hAnsi="Book Antiqua" w:cs="Times New Roman"/>
          <w:kern w:val="0"/>
          <w:sz w:val="24"/>
          <w:szCs w:val="24"/>
          <w:lang w:val="en-GB" w:eastAsia="en-US"/>
        </w:rPr>
        <w:t xml:space="preserve">. According to El-Omar </w:t>
      </w:r>
      <w:r w:rsidRPr="003771AE">
        <w:rPr>
          <w:rFonts w:ascii="Book Antiqua" w:eastAsia="Calibri" w:hAnsi="Book Antiqua" w:cs="Times New Roman"/>
          <w:i/>
          <w:kern w:val="0"/>
          <w:sz w:val="24"/>
          <w:szCs w:val="24"/>
          <w:lang w:val="en-GB" w:eastAsia="en-US"/>
        </w:rPr>
        <w:t>et al</w:t>
      </w:r>
      <w:r w:rsidRPr="003771AE">
        <w:rPr>
          <w:rFonts w:ascii="Book Antiqua" w:eastAsia="Calibri" w:hAnsi="Book Antiqua" w:cs="Times New Roman"/>
          <w:kern w:val="0"/>
          <w:sz w:val="24"/>
          <w:szCs w:val="24"/>
          <w:vertAlign w:val="superscript"/>
          <w:lang w:val="en-GB" w:eastAsia="en-US"/>
        </w:rPr>
        <w:t>[72]</w:t>
      </w:r>
      <w:r w:rsidRPr="003771AE">
        <w:rPr>
          <w:rFonts w:ascii="Book Antiqua" w:eastAsia="Calibri" w:hAnsi="Book Antiqua" w:cs="Times New Roman"/>
          <w:kern w:val="0"/>
          <w:sz w:val="24"/>
          <w:szCs w:val="24"/>
          <w:lang w:val="en-GB" w:eastAsia="en-US"/>
        </w:rPr>
        <w:t xml:space="preserve"> and </w:t>
      </w:r>
      <w:r w:rsidRPr="003771AE">
        <w:rPr>
          <w:rFonts w:ascii="Book Antiqua" w:eastAsia="Times New Roman" w:hAnsi="Book Antiqua" w:cs="Times New Roman"/>
          <w:kern w:val="0"/>
          <w:sz w:val="24"/>
          <w:szCs w:val="24"/>
          <w:lang w:val="en-GB" w:eastAsia="ro-RO"/>
        </w:rPr>
        <w:t>Figueiredo</w:t>
      </w:r>
      <w:r w:rsidR="00D70485">
        <w:rPr>
          <w:rFonts w:ascii="Book Antiqua" w:eastAsia="Times New Roman" w:hAnsi="Book Antiqua" w:cs="Times New Roman"/>
          <w:kern w:val="0"/>
          <w:sz w:val="24"/>
          <w:szCs w:val="24"/>
          <w:lang w:val="en-GB" w:eastAsia="ro-RO"/>
        </w:rPr>
        <w:t xml:space="preserve"> </w:t>
      </w:r>
      <w:r w:rsidRPr="003771AE">
        <w:rPr>
          <w:rFonts w:ascii="Book Antiqua" w:eastAsia="Calibri" w:hAnsi="Book Antiqua" w:cs="Times New Roman"/>
          <w:i/>
          <w:kern w:val="0"/>
          <w:sz w:val="24"/>
          <w:szCs w:val="24"/>
          <w:lang w:val="en-GB" w:eastAsia="en-US"/>
        </w:rPr>
        <w:t>et al</w:t>
      </w:r>
      <w:r w:rsidRPr="003771AE">
        <w:rPr>
          <w:rFonts w:ascii="Book Antiqua" w:eastAsia="Calibri" w:hAnsi="Book Antiqua" w:cs="Times New Roman"/>
          <w:kern w:val="0"/>
          <w:sz w:val="24"/>
          <w:szCs w:val="24"/>
          <w:vertAlign w:val="superscript"/>
          <w:lang w:val="en-GB" w:eastAsia="en-US"/>
        </w:rPr>
        <w:t>[71]</w:t>
      </w:r>
      <w:r w:rsidRPr="003771AE">
        <w:rPr>
          <w:rFonts w:ascii="Book Antiqua" w:eastAsia="Calibri" w:hAnsi="Book Antiqua" w:cs="Times New Roman"/>
          <w:kern w:val="0"/>
          <w:sz w:val="24"/>
          <w:szCs w:val="24"/>
          <w:lang w:val="en-GB" w:eastAsia="en-US"/>
        </w:rPr>
        <w:t xml:space="preserve">, </w:t>
      </w:r>
      <w:r w:rsidRPr="003771AE">
        <w:rPr>
          <w:rFonts w:ascii="Book Antiqua" w:eastAsia="Times New Roman" w:hAnsi="Book Antiqua" w:cs="Times New Roman"/>
          <w:kern w:val="0"/>
          <w:sz w:val="24"/>
          <w:szCs w:val="24"/>
          <w:lang w:val="en-GB" w:eastAsia="ro-RO"/>
        </w:rPr>
        <w:t>h</w:t>
      </w:r>
      <w:r w:rsidRPr="003771AE">
        <w:rPr>
          <w:rFonts w:ascii="Book Antiqua" w:eastAsia="Calibri" w:hAnsi="Book Antiqua" w:cs="Times New Roman"/>
          <w:kern w:val="0"/>
          <w:sz w:val="24"/>
          <w:szCs w:val="24"/>
          <w:lang w:val="en-GB" w:eastAsia="en-US"/>
        </w:rPr>
        <w:t xml:space="preserve">ost genetic factors that influence cytokine SNPs may establish why certain subjects infected with </w:t>
      </w:r>
      <w:r w:rsidRPr="003771AE">
        <w:rPr>
          <w:rFonts w:ascii="Book Antiqua" w:eastAsia="Calibri" w:hAnsi="Book Antiqua" w:cs="Times New Roman"/>
          <w:i/>
          <w:iCs/>
          <w:kern w:val="0"/>
          <w:sz w:val="24"/>
          <w:szCs w:val="24"/>
          <w:lang w:val="en-GB" w:eastAsia="en-US"/>
        </w:rPr>
        <w:t>H. pylori</w:t>
      </w:r>
      <w:r w:rsidRPr="003771AE">
        <w:rPr>
          <w:rFonts w:ascii="Book Antiqua" w:eastAsia="Calibri" w:hAnsi="Book Antiqua" w:cs="Times New Roman"/>
          <w:kern w:val="0"/>
          <w:sz w:val="24"/>
          <w:szCs w:val="24"/>
          <w:lang w:val="en-GB" w:eastAsia="en-US"/>
        </w:rPr>
        <w:t xml:space="preserve"> develop gastric malignancies while others do not. Therefore, </w:t>
      </w:r>
      <w:r w:rsidRPr="003771AE">
        <w:rPr>
          <w:rFonts w:ascii="Book Antiqua" w:eastAsia="Calibri" w:hAnsi="Book Antiqua" w:cs="Times New Roman"/>
          <w:kern w:val="0"/>
          <w:sz w:val="24"/>
          <w:szCs w:val="24"/>
          <w:lang w:val="en-GB" w:eastAsia="ro-RO"/>
        </w:rPr>
        <w:t xml:space="preserve">cytokine SNPs are thought to be linked to individual susceptibility to </w:t>
      </w:r>
      <w:r w:rsidRPr="003771AE">
        <w:rPr>
          <w:rFonts w:ascii="Book Antiqua" w:eastAsia="Calibri" w:hAnsi="Book Antiqua" w:cs="Times New Roman"/>
          <w:i/>
          <w:kern w:val="0"/>
          <w:sz w:val="24"/>
          <w:szCs w:val="24"/>
          <w:lang w:val="en-GB" w:eastAsia="ro-RO"/>
        </w:rPr>
        <w:t>H. pylori</w:t>
      </w:r>
      <w:r w:rsidRPr="003771AE">
        <w:rPr>
          <w:rFonts w:ascii="Book Antiqua" w:eastAsia="Calibri" w:hAnsi="Book Antiqua" w:cs="Times New Roman"/>
          <w:kern w:val="0"/>
          <w:sz w:val="24"/>
          <w:szCs w:val="24"/>
          <w:lang w:val="en-GB" w:eastAsia="ro-RO"/>
        </w:rPr>
        <w:t xml:space="preserve"> infection and to the development of GC. Indeed, SNPs of ILs and their receptors have been found to influence chronic inflammation and the risk of cancer lesions</w:t>
      </w:r>
      <w:r w:rsidRPr="003771AE">
        <w:rPr>
          <w:rFonts w:ascii="Book Antiqua" w:eastAsia="Calibri" w:hAnsi="Book Antiqua" w:cs="Times New Roman"/>
          <w:kern w:val="0"/>
          <w:sz w:val="24"/>
          <w:szCs w:val="24"/>
          <w:vertAlign w:val="superscript"/>
          <w:lang w:val="en-GB" w:eastAsia="ro-RO"/>
        </w:rPr>
        <w:t>[73]</w:t>
      </w:r>
      <w:r w:rsidRPr="003771AE">
        <w:rPr>
          <w:rFonts w:ascii="Book Antiqua" w:eastAsia="Calibri" w:hAnsi="Book Antiqua" w:cs="Times New Roman"/>
          <w:kern w:val="0"/>
          <w:sz w:val="24"/>
          <w:szCs w:val="24"/>
          <w:lang w:val="en-GB" w:eastAsia="ro-RO"/>
        </w:rPr>
        <w:t>.</w:t>
      </w:r>
    </w:p>
    <w:p w14:paraId="32F62128" w14:textId="77777777" w:rsidR="0011105F" w:rsidRPr="003771AE" w:rsidRDefault="0011105F" w:rsidP="003D0660">
      <w:pPr>
        <w:widowControl/>
        <w:autoSpaceDE w:val="0"/>
        <w:autoSpaceDN w:val="0"/>
        <w:adjustRightInd w:val="0"/>
        <w:snapToGrid w:val="0"/>
        <w:spacing w:line="360" w:lineRule="auto"/>
        <w:ind w:firstLineChars="100" w:firstLine="240"/>
        <w:rPr>
          <w:rFonts w:ascii="Book Antiqua" w:eastAsia="Times New Roman" w:hAnsi="Book Antiqua" w:cs="Times New Roman"/>
          <w:bCs/>
          <w:kern w:val="0"/>
          <w:sz w:val="24"/>
          <w:szCs w:val="24"/>
          <w:lang w:val="en-GB" w:eastAsia="ro-RO"/>
        </w:rPr>
      </w:pPr>
      <w:r w:rsidRPr="003771AE">
        <w:rPr>
          <w:rFonts w:ascii="Book Antiqua" w:eastAsia="Calibri" w:hAnsi="Book Antiqua" w:cs="Times New Roman"/>
          <w:i/>
          <w:kern w:val="0"/>
          <w:sz w:val="24"/>
          <w:szCs w:val="24"/>
          <w:lang w:val="en-GB" w:eastAsia="ro-RO"/>
        </w:rPr>
        <w:t>H. pylori</w:t>
      </w:r>
      <w:r w:rsidRPr="003771AE">
        <w:rPr>
          <w:rFonts w:ascii="Book Antiqua" w:eastAsia="Calibri" w:hAnsi="Book Antiqua" w:cs="Times New Roman"/>
          <w:kern w:val="0"/>
          <w:sz w:val="24"/>
          <w:szCs w:val="24"/>
          <w:lang w:val="en-GB" w:eastAsia="ro-RO"/>
        </w:rPr>
        <w:t xml:space="preserve"> also stimulates the production of various ILs (IL-1β, IL-2, IL-10, IL-12), IFN and TNF in the gastric immune response</w:t>
      </w:r>
      <w:r w:rsidRPr="003771AE">
        <w:rPr>
          <w:rFonts w:ascii="Book Antiqua" w:eastAsia="Calibri" w:hAnsi="Book Antiqua" w:cs="Times New Roman"/>
          <w:kern w:val="0"/>
          <w:sz w:val="24"/>
          <w:szCs w:val="24"/>
          <w:vertAlign w:val="superscript"/>
          <w:lang w:val="en-GB" w:eastAsia="ro-RO"/>
        </w:rPr>
        <w:t>[8]</w:t>
      </w:r>
      <w:r w:rsidRPr="003771AE">
        <w:rPr>
          <w:rFonts w:ascii="Book Antiqua" w:eastAsia="Calibri" w:hAnsi="Book Antiqua" w:cs="Times New Roman"/>
          <w:kern w:val="0"/>
          <w:sz w:val="24"/>
          <w:szCs w:val="24"/>
          <w:lang w:val="en-GB" w:eastAsia="ro-RO"/>
        </w:rPr>
        <w:t xml:space="preserve">. The IL factors </w:t>
      </w:r>
      <w:r w:rsidRPr="003771AE">
        <w:rPr>
          <w:rFonts w:ascii="Book Antiqua" w:eastAsia="Calibri" w:hAnsi="Book Antiqua" w:cs="Times New Roman"/>
          <w:kern w:val="0"/>
          <w:sz w:val="24"/>
          <w:szCs w:val="24"/>
          <w:lang w:val="en-GB" w:eastAsia="en-US"/>
        </w:rPr>
        <w:t>IL-4 and IL-6, in particular, are involved in inflammation processes and are considered to be responsible for inflammatory cascade activation</w:t>
      </w:r>
      <w:r w:rsidRPr="003771AE">
        <w:rPr>
          <w:rFonts w:ascii="Book Antiqua" w:eastAsia="Calibri" w:hAnsi="Book Antiqua" w:cs="Times New Roman"/>
          <w:kern w:val="0"/>
          <w:sz w:val="24"/>
          <w:szCs w:val="24"/>
          <w:vertAlign w:val="superscript"/>
          <w:lang w:val="en-GB" w:eastAsia="en-US"/>
        </w:rPr>
        <w:t>[74]</w:t>
      </w:r>
      <w:r w:rsidRPr="003771AE">
        <w:rPr>
          <w:rFonts w:ascii="Book Antiqua" w:eastAsia="Times New Roman" w:hAnsi="Book Antiqua" w:cs="Times New Roman"/>
          <w:bCs/>
          <w:kern w:val="0"/>
          <w:sz w:val="24"/>
          <w:szCs w:val="24"/>
          <w:lang w:val="en-GB" w:eastAsia="ro-RO"/>
        </w:rPr>
        <w:t>.</w:t>
      </w:r>
    </w:p>
    <w:p w14:paraId="2762D46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i/>
          <w:kern w:val="0"/>
          <w:sz w:val="24"/>
          <w:szCs w:val="24"/>
          <w:lang w:val="en-GB" w:eastAsia="ro-RO"/>
        </w:rPr>
      </w:pPr>
    </w:p>
    <w:p w14:paraId="157B10DE" w14:textId="590D09AD"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i/>
          <w:kern w:val="0"/>
          <w:sz w:val="24"/>
          <w:szCs w:val="24"/>
          <w:lang w:val="en-GB" w:eastAsia="ro-RO"/>
        </w:rPr>
      </w:pPr>
      <w:r w:rsidRPr="003771AE">
        <w:rPr>
          <w:rFonts w:ascii="Book Antiqua" w:eastAsia="Calibri" w:hAnsi="Book Antiqua" w:cs="Times New Roman"/>
          <w:b/>
          <w:i/>
          <w:kern w:val="0"/>
          <w:sz w:val="24"/>
          <w:szCs w:val="24"/>
          <w:lang w:val="en-GB" w:eastAsia="ro-RO"/>
        </w:rPr>
        <w:t>TNF-</w:t>
      </w:r>
      <w:r w:rsidR="003D0660" w:rsidRPr="003D0660">
        <w:rPr>
          <w:rFonts w:ascii="Book Antiqua" w:eastAsia="Calibri" w:hAnsi="Book Antiqua" w:cs="Times New Roman"/>
          <w:b/>
          <w:i/>
          <w:kern w:val="0"/>
          <w:sz w:val="24"/>
          <w:szCs w:val="24"/>
          <w:lang w:val="en-GB" w:eastAsia="ro-RO"/>
        </w:rPr>
        <w:t>α</w:t>
      </w:r>
    </w:p>
    <w:p w14:paraId="2D42D6E3" w14:textId="7ADBE0C8" w:rsidR="0011105F" w:rsidRPr="003771AE" w:rsidRDefault="0011105F" w:rsidP="00F17106">
      <w:pPr>
        <w:widowControl/>
        <w:snapToGrid w:val="0"/>
        <w:spacing w:line="360" w:lineRule="auto"/>
        <w:rPr>
          <w:rFonts w:ascii="Book Antiqua" w:eastAsia="Calibri" w:hAnsi="Book Antiqua" w:cs="Times New Roman"/>
          <w:kern w:val="0"/>
          <w:sz w:val="24"/>
          <w:szCs w:val="24"/>
          <w:lang w:val="en-GB" w:eastAsia="ro-RO"/>
        </w:rPr>
      </w:pPr>
      <w:r w:rsidRPr="003771AE">
        <w:rPr>
          <w:rFonts w:ascii="Book Antiqua" w:eastAsia="Calibri" w:hAnsi="Book Antiqua" w:cs="Times New Roman"/>
          <w:kern w:val="0"/>
          <w:sz w:val="24"/>
          <w:szCs w:val="24"/>
          <w:lang w:val="en-GB" w:eastAsia="ro-RO"/>
        </w:rPr>
        <w:t>TNF-α levels may be influenced by SNPs. Most of the studied TNF-</w:t>
      </w:r>
      <w:r w:rsidRPr="003771AE">
        <w:rPr>
          <w:rFonts w:ascii="Book Antiqua" w:eastAsia="Calibri" w:hAnsi="Book Antiqua" w:cs="Times New Roman"/>
          <w:kern w:val="0"/>
          <w:sz w:val="24"/>
          <w:szCs w:val="24"/>
          <w:lang w:val="en-GB" w:eastAsia="ro-RO"/>
        </w:rPr>
        <w:t xml:space="preserve"> SNPs are located in the promoter region of the </w:t>
      </w:r>
      <w:r w:rsidRPr="003771AE">
        <w:rPr>
          <w:rFonts w:ascii="Book Antiqua" w:eastAsia="Calibri" w:hAnsi="Book Antiqua" w:cs="Times New Roman"/>
          <w:iCs/>
          <w:kern w:val="0"/>
          <w:sz w:val="24"/>
          <w:szCs w:val="24"/>
          <w:lang w:val="en-GB" w:eastAsia="ro-RO"/>
        </w:rPr>
        <w:t>TNF-</w:t>
      </w:r>
      <w:r w:rsidRPr="003771AE">
        <w:rPr>
          <w:rFonts w:ascii="Book Antiqua" w:eastAsia="Calibri" w:hAnsi="Book Antiqua" w:cs="Times New Roman"/>
          <w:kern w:val="0"/>
          <w:sz w:val="24"/>
          <w:szCs w:val="24"/>
          <w:lang w:val="en-GB" w:eastAsia="ro-RO"/>
        </w:rPr>
        <w:t xml:space="preserve">α gene, those being </w:t>
      </w:r>
      <w:r w:rsidRPr="003771AE">
        <w:rPr>
          <w:rFonts w:ascii="Book Antiqua" w:eastAsia="Calibri" w:hAnsi="Book Antiqua" w:cs="Times New Roman"/>
          <w:kern w:val="0"/>
          <w:sz w:val="24"/>
          <w:szCs w:val="24"/>
          <w:lang w:val="en-GB" w:eastAsia="en-US"/>
        </w:rPr>
        <w:t>–308G&gt;A (r</w:t>
      </w:r>
      <w:r w:rsidRPr="003771AE">
        <w:rPr>
          <w:rFonts w:ascii="Book Antiqua" w:eastAsia="Calibri" w:hAnsi="Book Antiqua" w:cs="Times New Roman"/>
          <w:kern w:val="0"/>
          <w:sz w:val="24"/>
          <w:szCs w:val="24"/>
          <w:lang w:val="en-GB" w:eastAsia="ro-RO"/>
        </w:rPr>
        <w:t xml:space="preserve">s1800629), </w:t>
      </w:r>
      <w:r w:rsidRPr="003771AE">
        <w:rPr>
          <w:rFonts w:ascii="Book Antiqua" w:eastAsia="Calibri" w:hAnsi="Book Antiqua" w:cs="Times New Roman"/>
          <w:kern w:val="0"/>
          <w:sz w:val="24"/>
          <w:szCs w:val="24"/>
          <w:lang w:val="en-GB" w:eastAsia="en-US"/>
        </w:rPr>
        <w:t xml:space="preserve">–238G&gt;A (rs361525), and –376G&gt;A (rs1800750). In a study performed on a </w:t>
      </w:r>
      <w:r w:rsidRPr="003771AE">
        <w:rPr>
          <w:rFonts w:ascii="Book Antiqua" w:eastAsia="Calibri" w:hAnsi="Book Antiqua" w:cs="Times New Roman"/>
          <w:kern w:val="0"/>
          <w:sz w:val="24"/>
          <w:szCs w:val="24"/>
          <w:lang w:val="en-GB" w:eastAsia="ro-RO"/>
        </w:rPr>
        <w:t xml:space="preserve">Slovenian population, the presence of the variant genotype of </w:t>
      </w:r>
      <w:r w:rsidRPr="003771AE">
        <w:rPr>
          <w:rFonts w:ascii="Book Antiqua" w:eastAsia="Calibri" w:hAnsi="Book Antiqua" w:cs="Times New Roman"/>
          <w:kern w:val="0"/>
          <w:sz w:val="24"/>
          <w:szCs w:val="24"/>
          <w:lang w:val="en-GB" w:eastAsia="en-US"/>
        </w:rPr>
        <w:t xml:space="preserve">TNFα –308G&gt;A was not associated with the risk of developing </w:t>
      </w:r>
      <w:r w:rsidRPr="003771AE">
        <w:rPr>
          <w:rFonts w:ascii="Book Antiqua" w:eastAsia="Calibri" w:hAnsi="Book Antiqua" w:cs="Times New Roman"/>
          <w:kern w:val="0"/>
          <w:sz w:val="24"/>
          <w:szCs w:val="24"/>
          <w:lang w:val="en-GB" w:eastAsia="ro-RO"/>
        </w:rPr>
        <w:t>intestinal adenocarcinoma and atrophic gastritis</w:t>
      </w:r>
      <w:r w:rsidRPr="003771AE">
        <w:rPr>
          <w:rFonts w:ascii="Book Antiqua" w:eastAsia="Calibri" w:hAnsi="Book Antiqua" w:cs="Times New Roman"/>
          <w:kern w:val="0"/>
          <w:sz w:val="24"/>
          <w:szCs w:val="24"/>
          <w:vertAlign w:val="superscript"/>
          <w:lang w:val="en-GB" w:eastAsia="ro-RO"/>
        </w:rPr>
        <w:t>[75]</w:t>
      </w:r>
      <w:r w:rsidRPr="003771AE">
        <w:rPr>
          <w:rFonts w:ascii="Book Antiqua" w:eastAsia="Calibri" w:hAnsi="Book Antiqua" w:cs="Times New Roman"/>
          <w:kern w:val="0"/>
          <w:sz w:val="24"/>
          <w:szCs w:val="24"/>
          <w:lang w:val="en-GB" w:eastAsia="en-US"/>
        </w:rPr>
        <w:t xml:space="preserve">. </w:t>
      </w:r>
      <w:r w:rsidRPr="003771AE">
        <w:rPr>
          <w:rFonts w:ascii="Book Antiqua" w:eastAsia="Calibri" w:hAnsi="Book Antiqua" w:cs="Times New Roman"/>
          <w:kern w:val="0"/>
          <w:sz w:val="24"/>
          <w:szCs w:val="24"/>
          <w:lang w:val="en-GB" w:eastAsia="ro-RO"/>
        </w:rPr>
        <w:t xml:space="preserve">In a German study performed on 534 older adults with chronic atrophic gastritis and 534 adult controls with non-chronic atrophic gastritis, the </w:t>
      </w:r>
      <w:r w:rsidRPr="003771AE">
        <w:rPr>
          <w:rFonts w:ascii="Book Antiqua" w:eastAsia="Calibri" w:hAnsi="Book Antiqua" w:cs="Times New Roman"/>
          <w:kern w:val="0"/>
          <w:sz w:val="24"/>
          <w:szCs w:val="24"/>
          <w:lang w:val="en-GB" w:eastAsia="en-US"/>
        </w:rPr>
        <w:t xml:space="preserve">variant genotype of TNFα –308G&gt;A was not associated </w:t>
      </w:r>
      <w:r w:rsidRPr="003771AE">
        <w:rPr>
          <w:rFonts w:ascii="Book Antiqua" w:eastAsia="Calibri" w:hAnsi="Book Antiqua" w:cs="Times New Roman"/>
          <w:kern w:val="0"/>
          <w:sz w:val="24"/>
          <w:szCs w:val="24"/>
          <w:lang w:val="en-GB" w:eastAsia="ro-RO"/>
        </w:rPr>
        <w:t>with an increased risk of chronic atrophic gastritis (</w:t>
      </w:r>
      <w:r w:rsidRPr="003771AE">
        <w:rPr>
          <w:rFonts w:ascii="Book Antiqua" w:eastAsia="Calibri" w:hAnsi="Book Antiqua" w:cs="Times New Roman"/>
          <w:kern w:val="0"/>
          <w:sz w:val="24"/>
          <w:szCs w:val="24"/>
          <w:lang w:val="en-GB" w:eastAsia="en-US"/>
        </w:rPr>
        <w:t xml:space="preserve">OR = </w:t>
      </w:r>
      <w:r w:rsidRPr="003771AE">
        <w:rPr>
          <w:rFonts w:ascii="Book Antiqua" w:eastAsia="Calibri" w:hAnsi="Book Antiqua" w:cs="Times New Roman"/>
          <w:kern w:val="0"/>
          <w:sz w:val="24"/>
          <w:szCs w:val="24"/>
          <w:lang w:val="en-GB" w:eastAsia="ro-RO"/>
        </w:rPr>
        <w:t>1.02, 95%CI: 0.77–1.34)</w:t>
      </w:r>
      <w:r w:rsidRPr="003771AE">
        <w:rPr>
          <w:rFonts w:ascii="Book Antiqua" w:eastAsia="Calibri" w:hAnsi="Book Antiqua" w:cs="Times New Roman"/>
          <w:kern w:val="0"/>
          <w:sz w:val="24"/>
          <w:szCs w:val="24"/>
          <w:vertAlign w:val="superscript"/>
          <w:lang w:val="en-GB" w:eastAsia="ro-RO"/>
        </w:rPr>
        <w:t>[76]</w:t>
      </w:r>
      <w:r w:rsidRPr="003771AE">
        <w:rPr>
          <w:rFonts w:ascii="Book Antiqua" w:eastAsia="Calibri" w:hAnsi="Book Antiqua" w:cs="Times New Roman"/>
          <w:kern w:val="0"/>
          <w:sz w:val="24"/>
          <w:szCs w:val="24"/>
          <w:lang w:val="en-GB" w:eastAsia="ro-RO"/>
        </w:rPr>
        <w:t>. In a meta-analysis of seven studies performed by Peleteira</w:t>
      </w:r>
      <w:r w:rsidR="00D70485">
        <w:rPr>
          <w:rFonts w:ascii="Book Antiqua" w:eastAsia="Calibri" w:hAnsi="Book Antiqua" w:cs="Times New Roman"/>
          <w:kern w:val="0"/>
          <w:sz w:val="24"/>
          <w:szCs w:val="24"/>
          <w:lang w:val="en-GB" w:eastAsia="ro-RO"/>
        </w:rPr>
        <w:t xml:space="preserve"> </w:t>
      </w:r>
      <w:r w:rsidRPr="003771AE">
        <w:rPr>
          <w:rFonts w:ascii="Book Antiqua" w:eastAsia="Calibri" w:hAnsi="Book Antiqua" w:cs="Times New Roman"/>
          <w:i/>
          <w:kern w:val="0"/>
          <w:sz w:val="24"/>
          <w:szCs w:val="24"/>
          <w:lang w:val="en-GB" w:eastAsia="ro-RO"/>
        </w:rPr>
        <w:t>et al</w:t>
      </w:r>
      <w:r w:rsidRPr="003771AE">
        <w:rPr>
          <w:rFonts w:ascii="Book Antiqua" w:eastAsia="Calibri" w:hAnsi="Book Antiqua" w:cs="Times New Roman"/>
          <w:kern w:val="0"/>
          <w:sz w:val="24"/>
          <w:szCs w:val="24"/>
          <w:vertAlign w:val="superscript"/>
          <w:lang w:val="en-GB" w:eastAsia="ro-RO"/>
        </w:rPr>
        <w:t>[77]</w:t>
      </w:r>
      <w:r w:rsidRPr="003771AE">
        <w:rPr>
          <w:rFonts w:ascii="Book Antiqua" w:eastAsia="Calibri" w:hAnsi="Book Antiqua" w:cs="Times New Roman"/>
          <w:kern w:val="0"/>
          <w:sz w:val="24"/>
          <w:szCs w:val="24"/>
          <w:lang w:val="en-GB" w:eastAsia="ro-RO"/>
        </w:rPr>
        <w:t xml:space="preserve">, the TNFα -308 genotypes were not associated with premalignant gastric lesions (AA </w:t>
      </w:r>
      <w:r w:rsidRPr="003771AE">
        <w:rPr>
          <w:rFonts w:ascii="Book Antiqua" w:eastAsia="Calibri" w:hAnsi="Book Antiqua" w:cs="Times New Roman"/>
          <w:i/>
          <w:kern w:val="0"/>
          <w:sz w:val="24"/>
          <w:szCs w:val="24"/>
          <w:lang w:val="en-GB" w:eastAsia="ro-RO"/>
        </w:rPr>
        <w:t>vs</w:t>
      </w:r>
      <w:r w:rsidRPr="003771AE">
        <w:rPr>
          <w:rFonts w:ascii="Book Antiqua" w:eastAsia="Calibri" w:hAnsi="Book Antiqua" w:cs="Times New Roman"/>
          <w:kern w:val="0"/>
          <w:sz w:val="24"/>
          <w:szCs w:val="24"/>
          <w:lang w:val="en-GB" w:eastAsia="ro-RO"/>
        </w:rPr>
        <w:t xml:space="preserve"> GG: OR = 0.93, 95%CI: 0.35-2.43; </w:t>
      </w:r>
      <w:r w:rsidRPr="003771AE">
        <w:rPr>
          <w:rFonts w:ascii="Book Antiqua" w:eastAsia="Calibri" w:hAnsi="Book Antiqua" w:cs="Times New Roman"/>
          <w:i/>
          <w:kern w:val="0"/>
          <w:sz w:val="24"/>
          <w:szCs w:val="24"/>
          <w:lang w:val="en-GB" w:eastAsia="ro-RO"/>
        </w:rPr>
        <w:t>I</w:t>
      </w:r>
      <w:r w:rsidRPr="003771AE">
        <w:rPr>
          <w:rFonts w:ascii="Book Antiqua" w:eastAsia="Calibri" w:hAnsi="Book Antiqua" w:cs="Times New Roman"/>
          <w:kern w:val="0"/>
          <w:sz w:val="24"/>
          <w:szCs w:val="24"/>
          <w:vertAlign w:val="superscript"/>
          <w:lang w:val="en-GB" w:eastAsia="ro-RO"/>
        </w:rPr>
        <w:t>2</w:t>
      </w:r>
      <w:r w:rsidRPr="003771AE">
        <w:rPr>
          <w:rFonts w:ascii="Book Antiqua" w:eastAsia="Calibri" w:hAnsi="Book Antiqua" w:cs="Times New Roman"/>
          <w:kern w:val="0"/>
          <w:sz w:val="24"/>
          <w:szCs w:val="24"/>
          <w:lang w:val="en-GB" w:eastAsia="ro-RO"/>
        </w:rPr>
        <w:t xml:space="preserve"> = 0.0%). In a study using classification by country, </w:t>
      </w:r>
      <w:r w:rsidRPr="003771AE">
        <w:rPr>
          <w:rFonts w:ascii="Book Antiqua" w:eastAsia="Calibri" w:hAnsi="Book Antiqua" w:cs="Times New Roman"/>
          <w:kern w:val="0"/>
          <w:sz w:val="24"/>
          <w:szCs w:val="24"/>
          <w:lang w:val="en-GB" w:eastAsia="en-US"/>
        </w:rPr>
        <w:t xml:space="preserve">Zhao </w:t>
      </w:r>
      <w:r w:rsidRPr="003771AE">
        <w:rPr>
          <w:rFonts w:ascii="Book Antiqua" w:eastAsia="Calibri" w:hAnsi="Book Antiqua" w:cs="Times New Roman"/>
          <w:i/>
          <w:kern w:val="0"/>
          <w:sz w:val="24"/>
          <w:szCs w:val="24"/>
          <w:lang w:val="en-GB" w:eastAsia="en-US"/>
        </w:rPr>
        <w:t>et al</w:t>
      </w:r>
      <w:r w:rsidRPr="003771AE">
        <w:rPr>
          <w:rFonts w:ascii="Book Antiqua" w:eastAsia="Calibri" w:hAnsi="Book Antiqua" w:cs="Times New Roman"/>
          <w:kern w:val="0"/>
          <w:sz w:val="24"/>
          <w:szCs w:val="24"/>
          <w:vertAlign w:val="superscript"/>
          <w:lang w:val="en-GB" w:eastAsia="ro-RO"/>
        </w:rPr>
        <w:t>[78]</w:t>
      </w:r>
      <w:r w:rsidR="0095317F">
        <w:rPr>
          <w:rFonts w:ascii="Book Antiqua" w:eastAsia="Calibri" w:hAnsi="Book Antiqua" w:cs="Times New Roman"/>
          <w:kern w:val="0"/>
          <w:sz w:val="24"/>
          <w:szCs w:val="24"/>
          <w:vertAlign w:val="superscript"/>
          <w:lang w:val="en-GB" w:eastAsia="ro-RO"/>
        </w:rPr>
        <w:t xml:space="preserve"> </w:t>
      </w:r>
      <w:r w:rsidRPr="003771AE">
        <w:rPr>
          <w:rFonts w:ascii="Book Antiqua" w:eastAsia="Calibri" w:hAnsi="Book Antiqua" w:cs="Times New Roman"/>
          <w:kern w:val="0"/>
          <w:sz w:val="24"/>
          <w:szCs w:val="24"/>
          <w:lang w:val="en-GB" w:eastAsia="ro-RO"/>
        </w:rPr>
        <w:t xml:space="preserve">identified an association between the TNF-α gene 308G&gt;A SNP and the risk to developing GC in a Chinese population (in the case of heterozygous AG genotype: OR = 1.57, 95%CI: 1.24–1.99, </w:t>
      </w:r>
      <w:r w:rsidRPr="003771AE">
        <w:rPr>
          <w:rFonts w:ascii="Book Antiqua" w:eastAsia="Calibri" w:hAnsi="Book Antiqua" w:cs="Times New Roman"/>
          <w:i/>
          <w:iCs/>
          <w:kern w:val="0"/>
          <w:sz w:val="24"/>
          <w:szCs w:val="24"/>
          <w:lang w:val="en-GB" w:eastAsia="ro-RO"/>
        </w:rPr>
        <w:t>P</w:t>
      </w:r>
      <w:r w:rsidRPr="003771AE">
        <w:rPr>
          <w:rFonts w:ascii="Book Antiqua" w:eastAsia="Calibri" w:hAnsi="Book Antiqua" w:cs="Times New Roman"/>
          <w:kern w:val="0"/>
          <w:sz w:val="24"/>
          <w:szCs w:val="24"/>
          <w:vertAlign w:val="subscript"/>
          <w:lang w:val="en-GB" w:eastAsia="ro-RO"/>
        </w:rPr>
        <w:t>heterogeneity</w:t>
      </w:r>
      <w:r w:rsidRPr="003771AE">
        <w:rPr>
          <w:rFonts w:ascii="Book Antiqua" w:eastAsia="Calibri" w:hAnsi="Book Antiqua" w:cs="Times New Roman"/>
          <w:kern w:val="0"/>
          <w:sz w:val="24"/>
          <w:szCs w:val="24"/>
          <w:lang w:val="en-GB" w:eastAsia="ro-RO"/>
        </w:rPr>
        <w:t xml:space="preserve">= 0.133, </w:t>
      </w:r>
      <w:r w:rsidRPr="003771AE">
        <w:rPr>
          <w:rFonts w:ascii="Book Antiqua" w:eastAsia="Calibri" w:hAnsi="Book Antiqua" w:cs="Times New Roman"/>
          <w:i/>
          <w:kern w:val="0"/>
          <w:sz w:val="24"/>
          <w:szCs w:val="24"/>
          <w:lang w:val="en-GB" w:eastAsia="ro-RO"/>
        </w:rPr>
        <w:t>P =</w:t>
      </w:r>
      <w:r w:rsidRPr="003771AE">
        <w:rPr>
          <w:rFonts w:ascii="Book Antiqua" w:eastAsia="Calibri" w:hAnsi="Book Antiqua" w:cs="Times New Roman"/>
          <w:kern w:val="0"/>
          <w:sz w:val="24"/>
          <w:szCs w:val="24"/>
          <w:lang w:val="en-GB" w:eastAsia="ro-RO"/>
        </w:rPr>
        <w:t xml:space="preserve"> 0.000, and in the case of variant AA + AG genotype: OR = 1.61, 95%CI = 1.27–2.03, </w:t>
      </w:r>
      <w:r w:rsidRPr="003771AE">
        <w:rPr>
          <w:rFonts w:ascii="Book Antiqua" w:eastAsia="Calibri" w:hAnsi="Book Antiqua" w:cs="Times New Roman"/>
          <w:i/>
          <w:iCs/>
          <w:kern w:val="0"/>
          <w:sz w:val="24"/>
          <w:szCs w:val="24"/>
          <w:lang w:val="en-GB" w:eastAsia="ro-RO"/>
        </w:rPr>
        <w:t>P</w:t>
      </w:r>
      <w:r w:rsidRPr="003771AE">
        <w:rPr>
          <w:rFonts w:ascii="Book Antiqua" w:eastAsia="Calibri" w:hAnsi="Book Antiqua" w:cs="Times New Roman"/>
          <w:kern w:val="0"/>
          <w:sz w:val="24"/>
          <w:szCs w:val="24"/>
          <w:vertAlign w:val="subscript"/>
          <w:lang w:val="en-GB" w:eastAsia="ro-RO"/>
        </w:rPr>
        <w:t>heterogeneity</w:t>
      </w:r>
      <w:r w:rsidRPr="003771AE">
        <w:rPr>
          <w:rFonts w:ascii="Book Antiqua" w:eastAsia="Calibri" w:hAnsi="Book Antiqua" w:cs="Times New Roman"/>
          <w:kern w:val="0"/>
          <w:sz w:val="24"/>
          <w:szCs w:val="24"/>
          <w:lang w:val="en-GB" w:eastAsia="ro-RO"/>
        </w:rPr>
        <w:t xml:space="preserve">= 0.104, </w:t>
      </w:r>
      <w:r w:rsidRPr="003771AE">
        <w:rPr>
          <w:rFonts w:ascii="Book Antiqua" w:eastAsia="Calibri" w:hAnsi="Book Antiqua" w:cs="Times New Roman"/>
          <w:i/>
          <w:iCs/>
          <w:kern w:val="0"/>
          <w:sz w:val="24"/>
          <w:szCs w:val="24"/>
          <w:lang w:val="en-GB" w:eastAsia="ro-RO"/>
        </w:rPr>
        <w:t>P =</w:t>
      </w:r>
      <w:r w:rsidRPr="003771AE">
        <w:rPr>
          <w:rFonts w:ascii="Book Antiqua" w:eastAsia="Calibri" w:hAnsi="Book Antiqua" w:cs="Times New Roman"/>
          <w:kern w:val="0"/>
          <w:sz w:val="24"/>
          <w:szCs w:val="24"/>
          <w:lang w:val="en-GB" w:eastAsia="ro-RO"/>
        </w:rPr>
        <w:t xml:space="preserve"> 0.000)</w:t>
      </w:r>
      <w:r w:rsidRPr="003771AE">
        <w:rPr>
          <w:rFonts w:ascii="Book Antiqua" w:eastAsia="Calibri" w:hAnsi="Book Antiqua" w:cs="Times New Roman"/>
          <w:kern w:val="0"/>
          <w:sz w:val="24"/>
          <w:szCs w:val="24"/>
          <w:vertAlign w:val="superscript"/>
          <w:lang w:val="en-GB" w:eastAsia="ro-RO"/>
        </w:rPr>
        <w:t>[78]</w:t>
      </w:r>
      <w:r w:rsidRPr="003771AE">
        <w:rPr>
          <w:rFonts w:ascii="Book Antiqua" w:eastAsia="Calibri" w:hAnsi="Book Antiqua" w:cs="Times New Roman"/>
          <w:kern w:val="0"/>
          <w:sz w:val="24"/>
          <w:szCs w:val="24"/>
          <w:lang w:val="en-GB" w:eastAsia="ro-RO"/>
        </w:rPr>
        <w:t>.</w:t>
      </w:r>
    </w:p>
    <w:p w14:paraId="783A8BD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kern w:val="0"/>
          <w:sz w:val="24"/>
          <w:szCs w:val="24"/>
          <w:lang w:val="en-GB" w:eastAsia="ro-RO"/>
        </w:rPr>
      </w:pPr>
    </w:p>
    <w:p w14:paraId="7912CA7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i/>
          <w:kern w:val="0"/>
          <w:sz w:val="24"/>
          <w:szCs w:val="24"/>
          <w:lang w:val="en-GB" w:eastAsia="ro-RO"/>
        </w:rPr>
      </w:pPr>
      <w:r w:rsidRPr="003771AE">
        <w:rPr>
          <w:rFonts w:ascii="Book Antiqua" w:eastAsia="Calibri" w:hAnsi="Book Antiqua" w:cs="Times New Roman"/>
          <w:b/>
          <w:i/>
          <w:kern w:val="0"/>
          <w:sz w:val="24"/>
          <w:szCs w:val="24"/>
          <w:lang w:val="en-GB" w:eastAsia="ro-RO"/>
        </w:rPr>
        <w:t>IL-1</w:t>
      </w:r>
    </w:p>
    <w:p w14:paraId="60EDDC51" w14:textId="17303A8D"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ro-RO"/>
        </w:rPr>
        <w:t xml:space="preserve">IL-1, a proinflammatory cytokine inhibiting the secretion of gastric acid, supports an increase in the colonization of </w:t>
      </w:r>
      <w:r w:rsidRPr="003771AE">
        <w:rPr>
          <w:rFonts w:ascii="Book Antiqua" w:eastAsia="Calibri" w:hAnsi="Book Antiqua" w:cs="Times New Roman"/>
          <w:i/>
          <w:kern w:val="0"/>
          <w:sz w:val="24"/>
          <w:szCs w:val="24"/>
          <w:lang w:val="en-GB" w:eastAsia="ro-RO"/>
        </w:rPr>
        <w:t>H. pylori</w:t>
      </w:r>
      <w:r w:rsidRPr="003771AE">
        <w:rPr>
          <w:rFonts w:ascii="Book Antiqua" w:eastAsia="Calibri" w:hAnsi="Book Antiqua" w:cs="Times New Roman"/>
          <w:kern w:val="0"/>
          <w:sz w:val="24"/>
          <w:szCs w:val="24"/>
          <w:lang w:val="en-GB" w:eastAsia="ro-RO"/>
        </w:rPr>
        <w:t xml:space="preserve"> which leads to a more severe gastritis</w:t>
      </w:r>
      <w:r w:rsidRPr="003771AE">
        <w:rPr>
          <w:rFonts w:ascii="Book Antiqua" w:eastAsia="Calibri" w:hAnsi="Book Antiqua" w:cs="Times New Roman"/>
          <w:kern w:val="0"/>
          <w:sz w:val="24"/>
          <w:szCs w:val="24"/>
          <w:vertAlign w:val="superscript"/>
          <w:lang w:val="en-GB" w:eastAsia="ro-RO"/>
        </w:rPr>
        <w:t>[79]</w:t>
      </w:r>
      <w:r w:rsidRPr="003771AE">
        <w:rPr>
          <w:rFonts w:ascii="Book Antiqua" w:eastAsia="Calibri" w:hAnsi="Book Antiqua" w:cs="Times New Roman"/>
          <w:kern w:val="0"/>
          <w:sz w:val="24"/>
          <w:szCs w:val="24"/>
          <w:lang w:val="en-GB" w:eastAsia="ro-RO"/>
        </w:rPr>
        <w:t>, being involved in the subsequent tumorigenesis and tumour progression</w:t>
      </w:r>
      <w:r w:rsidRPr="003771AE">
        <w:rPr>
          <w:rFonts w:ascii="Book Antiqua" w:eastAsia="Calibri" w:hAnsi="Book Antiqua" w:cs="Times New Roman"/>
          <w:kern w:val="0"/>
          <w:sz w:val="24"/>
          <w:szCs w:val="24"/>
          <w:vertAlign w:val="superscript"/>
          <w:lang w:val="en-GB" w:eastAsia="ro-RO"/>
        </w:rPr>
        <w:t>[80,81]</w:t>
      </w:r>
      <w:r w:rsidRPr="003771AE">
        <w:rPr>
          <w:rFonts w:ascii="Book Antiqua" w:eastAsia="Calibri" w:hAnsi="Book Antiqua" w:cs="Times New Roman"/>
          <w:kern w:val="0"/>
          <w:sz w:val="24"/>
          <w:szCs w:val="24"/>
          <w:lang w:val="en-GB" w:eastAsia="ro-RO"/>
        </w:rPr>
        <w:t xml:space="preserve">. IL-1 comprises three related genes, namely </w:t>
      </w:r>
      <w:r w:rsidRPr="003771AE">
        <w:rPr>
          <w:rFonts w:ascii="Book Antiqua" w:eastAsia="Calibri" w:hAnsi="Book Antiqua" w:cs="Times New Roman"/>
          <w:iCs/>
          <w:kern w:val="0"/>
          <w:sz w:val="24"/>
          <w:szCs w:val="24"/>
          <w:lang w:val="en-GB" w:eastAsia="ro-RO"/>
        </w:rPr>
        <w:t>IL-1A</w:t>
      </w:r>
      <w:r w:rsidRPr="003771AE">
        <w:rPr>
          <w:rFonts w:ascii="Book Antiqua" w:eastAsia="Calibri" w:hAnsi="Book Antiqua" w:cs="Times New Roman"/>
          <w:kern w:val="0"/>
          <w:sz w:val="24"/>
          <w:szCs w:val="24"/>
          <w:lang w:val="en-GB" w:eastAsia="ro-RO"/>
        </w:rPr>
        <w:t xml:space="preserve">, </w:t>
      </w:r>
      <w:r w:rsidRPr="003771AE">
        <w:rPr>
          <w:rFonts w:ascii="Book Antiqua" w:eastAsia="Calibri" w:hAnsi="Book Antiqua" w:cs="Times New Roman"/>
          <w:iCs/>
          <w:kern w:val="0"/>
          <w:sz w:val="24"/>
          <w:szCs w:val="24"/>
          <w:lang w:val="en-GB" w:eastAsia="ro-RO"/>
        </w:rPr>
        <w:t>IL-1B</w:t>
      </w:r>
      <w:r w:rsidRPr="003771AE">
        <w:rPr>
          <w:rFonts w:ascii="Book Antiqua" w:eastAsia="Calibri" w:hAnsi="Book Antiqua" w:cs="Times New Roman"/>
          <w:kern w:val="0"/>
          <w:sz w:val="24"/>
          <w:szCs w:val="24"/>
          <w:lang w:val="en-GB" w:eastAsia="ro-RO"/>
        </w:rPr>
        <w:t xml:space="preserve">, and </w:t>
      </w:r>
      <w:r w:rsidRPr="003771AE">
        <w:rPr>
          <w:rFonts w:ascii="Book Antiqua" w:eastAsia="Calibri" w:hAnsi="Book Antiqua" w:cs="Times New Roman"/>
          <w:iCs/>
          <w:kern w:val="0"/>
          <w:sz w:val="24"/>
          <w:szCs w:val="24"/>
          <w:lang w:val="en-GB" w:eastAsia="ro-RO"/>
        </w:rPr>
        <w:t>IL-1RN</w:t>
      </w:r>
      <w:r w:rsidRPr="003771AE">
        <w:rPr>
          <w:rFonts w:ascii="Book Antiqua" w:eastAsia="Calibri" w:hAnsi="Book Antiqua" w:cs="Times New Roman"/>
          <w:kern w:val="0"/>
          <w:sz w:val="24"/>
          <w:szCs w:val="24"/>
          <w:lang w:val="en-GB" w:eastAsia="ro-RO"/>
        </w:rPr>
        <w:t xml:space="preserve">, which encode the </w:t>
      </w:r>
      <w:r w:rsidRPr="003771AE">
        <w:rPr>
          <w:rFonts w:ascii="Book Antiqua" w:eastAsia="Calibri" w:hAnsi="Book Antiqua" w:cs="Times New Roman"/>
          <w:kern w:val="0"/>
          <w:sz w:val="24"/>
          <w:szCs w:val="24"/>
          <w:lang w:val="en-GB" w:eastAsia="en-US"/>
        </w:rPr>
        <w:t>IL</w:t>
      </w:r>
      <w:r w:rsidR="0095317F" w:rsidRPr="0095317F">
        <w:rPr>
          <w:rFonts w:ascii="Book Antiqua" w:eastAsia="宋体" w:hAnsi="Book Antiqua" w:cs="宋体"/>
          <w:kern w:val="0"/>
          <w:sz w:val="24"/>
          <w:szCs w:val="24"/>
          <w:lang w:val="en-GB"/>
        </w:rPr>
        <w:t>-</w:t>
      </w:r>
      <w:r w:rsidRPr="003771AE">
        <w:rPr>
          <w:rFonts w:ascii="Book Antiqua" w:eastAsia="Calibri" w:hAnsi="Book Antiqua" w:cs="Times New Roman"/>
          <w:kern w:val="0"/>
          <w:sz w:val="24"/>
          <w:szCs w:val="24"/>
          <w:lang w:val="en-GB" w:eastAsia="en-US"/>
        </w:rPr>
        <w:t>1α</w:t>
      </w:r>
      <w:r w:rsidRPr="003771AE">
        <w:rPr>
          <w:rFonts w:ascii="Book Antiqua" w:eastAsia="Calibri" w:hAnsi="Book Antiqua" w:cs="Times New Roman"/>
          <w:kern w:val="0"/>
          <w:sz w:val="24"/>
          <w:szCs w:val="24"/>
          <w:lang w:val="en-GB" w:eastAsia="ro-RO"/>
        </w:rPr>
        <w:t xml:space="preserve">, </w:t>
      </w:r>
      <w:r w:rsidRPr="003771AE">
        <w:rPr>
          <w:rFonts w:ascii="Book Antiqua" w:eastAsia="Calibri" w:hAnsi="Book Antiqua" w:cs="Times New Roman"/>
          <w:kern w:val="0"/>
          <w:sz w:val="24"/>
          <w:szCs w:val="24"/>
          <w:lang w:val="en-GB" w:eastAsia="en-US"/>
        </w:rPr>
        <w:t>IL</w:t>
      </w:r>
      <w:r w:rsidR="0095317F" w:rsidRPr="0095317F">
        <w:rPr>
          <w:rFonts w:ascii="Book Antiqua" w:eastAsia="宋体" w:hAnsi="Book Antiqua" w:cs="宋体"/>
          <w:kern w:val="0"/>
          <w:sz w:val="24"/>
          <w:szCs w:val="24"/>
          <w:lang w:val="en-GB"/>
        </w:rPr>
        <w:t>-</w:t>
      </w:r>
      <w:r w:rsidRPr="003771AE">
        <w:rPr>
          <w:rFonts w:ascii="Book Antiqua" w:eastAsia="Calibri" w:hAnsi="Book Antiqua" w:cs="Times New Roman"/>
          <w:kern w:val="0"/>
          <w:sz w:val="24"/>
          <w:szCs w:val="24"/>
          <w:lang w:val="en-GB" w:eastAsia="en-US"/>
        </w:rPr>
        <w:t>1β,</w:t>
      </w:r>
      <w:r w:rsidRPr="003771AE">
        <w:rPr>
          <w:rFonts w:ascii="Book Antiqua" w:eastAsia="Calibri" w:hAnsi="Book Antiqua" w:cs="Times New Roman"/>
          <w:kern w:val="0"/>
          <w:sz w:val="24"/>
          <w:szCs w:val="24"/>
          <w:lang w:val="en-GB" w:eastAsia="ro-RO"/>
        </w:rPr>
        <w:t xml:space="preserve"> and IL-1 receptor antagonist (IL-1ra). IL-1ra (an anti-inflammatory cytokine) binds to the corresponding receptor for IL-1 and controls its action. </w:t>
      </w:r>
      <w:r w:rsidRPr="003771AE">
        <w:rPr>
          <w:rFonts w:ascii="Book Antiqua" w:eastAsia="Calibri" w:hAnsi="Book Antiqua" w:cs="Times New Roman"/>
          <w:kern w:val="0"/>
          <w:sz w:val="24"/>
          <w:szCs w:val="24"/>
          <w:lang w:val="en-GB" w:eastAsia="en-US"/>
        </w:rPr>
        <w:t>IL</w:t>
      </w:r>
      <w:r w:rsidRPr="003771AE">
        <w:rPr>
          <w:rFonts w:ascii="宋体" w:eastAsia="宋体" w:hAnsi="宋体" w:cs="宋体" w:hint="eastAsia"/>
          <w:kern w:val="0"/>
          <w:sz w:val="24"/>
          <w:szCs w:val="24"/>
          <w:lang w:val="en-GB" w:eastAsia="en-US"/>
        </w:rPr>
        <w:t>‐</w:t>
      </w:r>
      <w:r w:rsidRPr="003771AE">
        <w:rPr>
          <w:rFonts w:ascii="Book Antiqua" w:eastAsia="Calibri" w:hAnsi="Book Antiqua" w:cs="Times New Roman"/>
          <w:kern w:val="0"/>
          <w:sz w:val="24"/>
          <w:szCs w:val="24"/>
          <w:lang w:val="en-GB" w:eastAsia="en-US"/>
        </w:rPr>
        <w:t xml:space="preserve">1β is involved in initiating and amplifying the inflammation that manifests as a response to the </w:t>
      </w:r>
      <w:r w:rsidRPr="003771AE">
        <w:rPr>
          <w:rFonts w:ascii="Book Antiqua" w:eastAsia="Calibri" w:hAnsi="Book Antiqua" w:cs="Times New Roman"/>
          <w:i/>
          <w:iCs/>
          <w:kern w:val="0"/>
          <w:sz w:val="24"/>
          <w:szCs w:val="24"/>
          <w:lang w:val="en-GB" w:eastAsia="en-US"/>
        </w:rPr>
        <w:t>H. pylori</w:t>
      </w:r>
      <w:r w:rsidRPr="003771AE">
        <w:rPr>
          <w:rFonts w:ascii="Book Antiqua" w:eastAsia="Calibri" w:hAnsi="Book Antiqua" w:cs="Times New Roman"/>
          <w:iCs/>
          <w:kern w:val="0"/>
          <w:sz w:val="24"/>
          <w:szCs w:val="24"/>
          <w:lang w:val="en-GB" w:eastAsia="en-US"/>
        </w:rPr>
        <w:t xml:space="preserve"> infection,</w:t>
      </w:r>
      <w:r w:rsidRPr="003771AE">
        <w:rPr>
          <w:rFonts w:ascii="Book Antiqua" w:eastAsia="Calibri" w:hAnsi="Book Antiqua" w:cs="Times New Roman"/>
          <w:kern w:val="0"/>
          <w:sz w:val="24"/>
          <w:szCs w:val="24"/>
          <w:lang w:val="en-GB" w:eastAsia="en-US"/>
        </w:rPr>
        <w:t xml:space="preserve"> decreasing the secretion of gastric acid</w:t>
      </w:r>
      <w:r w:rsidRPr="003771AE">
        <w:rPr>
          <w:rFonts w:ascii="Book Antiqua" w:eastAsia="Calibri" w:hAnsi="Book Antiqua" w:cs="Times New Roman"/>
          <w:kern w:val="0"/>
          <w:sz w:val="24"/>
          <w:szCs w:val="24"/>
          <w:vertAlign w:val="superscript"/>
          <w:lang w:val="en-GB" w:eastAsia="en-US"/>
        </w:rPr>
        <w:t>[72]</w:t>
      </w:r>
      <w:r w:rsidRPr="003771AE">
        <w:rPr>
          <w:rFonts w:ascii="Book Antiqua" w:eastAsia="Calibri" w:hAnsi="Book Antiqua" w:cs="Times New Roman"/>
          <w:kern w:val="0"/>
          <w:sz w:val="24"/>
          <w:szCs w:val="24"/>
          <w:lang w:val="en-GB" w:eastAsia="en-US"/>
        </w:rPr>
        <w:t>. Regarding IL</w:t>
      </w:r>
      <w:r w:rsidR="00B13154" w:rsidRPr="0095317F">
        <w:rPr>
          <w:rFonts w:ascii="Book Antiqua" w:eastAsia="宋体" w:hAnsi="Book Antiqua" w:cs="宋体"/>
          <w:kern w:val="0"/>
          <w:sz w:val="24"/>
          <w:szCs w:val="24"/>
          <w:lang w:val="en-GB"/>
        </w:rPr>
        <w:t>-</w:t>
      </w:r>
      <w:r w:rsidRPr="003771AE">
        <w:rPr>
          <w:rFonts w:ascii="Book Antiqua" w:eastAsia="Calibri" w:hAnsi="Book Antiqua" w:cs="Times New Roman"/>
          <w:kern w:val="0"/>
          <w:sz w:val="24"/>
          <w:szCs w:val="24"/>
          <w:lang w:val="en-GB" w:eastAsia="en-US"/>
        </w:rPr>
        <w:t>1ra, it binds to the IL</w:t>
      </w:r>
      <w:r w:rsidR="00B13154" w:rsidRPr="0095317F">
        <w:rPr>
          <w:rFonts w:ascii="Book Antiqua" w:eastAsia="宋体" w:hAnsi="Book Antiqua" w:cs="宋体"/>
          <w:kern w:val="0"/>
          <w:sz w:val="24"/>
          <w:szCs w:val="24"/>
          <w:lang w:val="en-GB"/>
        </w:rPr>
        <w:t>-</w:t>
      </w:r>
      <w:r w:rsidRPr="003771AE">
        <w:rPr>
          <w:rFonts w:ascii="Book Antiqua" w:eastAsia="Calibri" w:hAnsi="Book Antiqua" w:cs="Times New Roman"/>
          <w:kern w:val="0"/>
          <w:sz w:val="24"/>
          <w:szCs w:val="24"/>
          <w:lang w:val="en-GB" w:eastAsia="en-US"/>
        </w:rPr>
        <w:t>1β receptors; therefore, it may influence the effects of IL</w:t>
      </w:r>
      <w:r w:rsidR="00B13154" w:rsidRPr="0095317F">
        <w:rPr>
          <w:rFonts w:ascii="Book Antiqua" w:eastAsia="宋体" w:hAnsi="Book Antiqua" w:cs="宋体"/>
          <w:kern w:val="0"/>
          <w:sz w:val="24"/>
          <w:szCs w:val="24"/>
          <w:lang w:val="en-GB"/>
        </w:rPr>
        <w:t>-</w:t>
      </w:r>
      <w:r w:rsidRPr="003771AE">
        <w:rPr>
          <w:rFonts w:ascii="Book Antiqua" w:eastAsia="Calibri" w:hAnsi="Book Antiqua" w:cs="Times New Roman"/>
          <w:kern w:val="0"/>
          <w:sz w:val="24"/>
          <w:szCs w:val="24"/>
          <w:lang w:val="en-GB" w:eastAsia="en-US"/>
        </w:rPr>
        <w:t>1β</w:t>
      </w:r>
      <w:r w:rsidRPr="003771AE">
        <w:rPr>
          <w:rFonts w:ascii="Book Antiqua" w:eastAsia="Calibri" w:hAnsi="Book Antiqua" w:cs="Times New Roman"/>
          <w:kern w:val="0"/>
          <w:sz w:val="24"/>
          <w:szCs w:val="24"/>
          <w:vertAlign w:val="superscript"/>
          <w:lang w:val="en-GB" w:eastAsia="en-US"/>
        </w:rPr>
        <w:t>[82]</w:t>
      </w:r>
      <w:r w:rsidRPr="003771AE">
        <w:rPr>
          <w:rFonts w:ascii="Book Antiqua" w:eastAsia="Calibri" w:hAnsi="Book Antiqua" w:cs="Times New Roman"/>
          <w:kern w:val="0"/>
          <w:sz w:val="24"/>
          <w:szCs w:val="24"/>
          <w:lang w:val="en-GB" w:eastAsia="en-US"/>
        </w:rPr>
        <w:t>.</w:t>
      </w:r>
    </w:p>
    <w:p w14:paraId="202A0C55" w14:textId="3B8C6760" w:rsidR="0011105F" w:rsidRPr="003771AE" w:rsidRDefault="0011105F" w:rsidP="0095317F">
      <w:pPr>
        <w:widowControl/>
        <w:snapToGrid w:val="0"/>
        <w:spacing w:line="360" w:lineRule="auto"/>
        <w:ind w:firstLineChars="100" w:firstLine="240"/>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The most studied SNPs for the IL</w:t>
      </w:r>
      <w:r w:rsidRPr="003771AE">
        <w:rPr>
          <w:rFonts w:ascii="宋体" w:eastAsia="宋体" w:hAnsi="宋体" w:cs="宋体" w:hint="eastAsia"/>
          <w:kern w:val="0"/>
          <w:sz w:val="24"/>
          <w:szCs w:val="24"/>
          <w:lang w:val="en-GB" w:eastAsia="en-US"/>
        </w:rPr>
        <w:t>‐</w:t>
      </w:r>
      <w:r w:rsidRPr="003771AE">
        <w:rPr>
          <w:rFonts w:ascii="Book Antiqua" w:eastAsia="Calibri" w:hAnsi="Book Antiqua" w:cs="Times New Roman"/>
          <w:kern w:val="0"/>
          <w:sz w:val="24"/>
          <w:szCs w:val="24"/>
          <w:lang w:val="en-GB" w:eastAsia="en-US"/>
        </w:rPr>
        <w:t xml:space="preserve">1B gene in GC are −511C&gt;T, −31T&gt;C, and +3954C&gt;T. In 2000, the association between IL-1B −511C&gt;T and IL-1B −31T&gt;C polymorphisms and the risk of developing GC was investigated by El-Omar </w:t>
      </w:r>
      <w:r w:rsidRPr="003771AE">
        <w:rPr>
          <w:rFonts w:ascii="Book Antiqua" w:eastAsia="Calibri" w:hAnsi="Book Antiqua" w:cs="Times New Roman"/>
          <w:i/>
          <w:kern w:val="0"/>
          <w:sz w:val="24"/>
          <w:szCs w:val="24"/>
          <w:lang w:val="en-GB" w:eastAsia="en-US"/>
        </w:rPr>
        <w:t>et al</w:t>
      </w:r>
      <w:r w:rsidRPr="003771AE">
        <w:rPr>
          <w:rFonts w:ascii="Book Antiqua" w:eastAsia="Calibri" w:hAnsi="Book Antiqua" w:cs="Times New Roman"/>
          <w:kern w:val="0"/>
          <w:sz w:val="24"/>
          <w:szCs w:val="24"/>
          <w:vertAlign w:val="superscript"/>
          <w:lang w:val="en-GB" w:eastAsia="en-US"/>
        </w:rPr>
        <w:t>[72]</w:t>
      </w:r>
      <w:r w:rsidRPr="003771AE">
        <w:rPr>
          <w:rFonts w:ascii="Book Antiqua" w:eastAsia="Calibri" w:hAnsi="Book Antiqua" w:cs="Times New Roman"/>
          <w:kern w:val="0"/>
          <w:sz w:val="24"/>
          <w:szCs w:val="24"/>
          <w:lang w:val="en-GB" w:eastAsia="en-US"/>
        </w:rPr>
        <w:t xml:space="preserve">, who reported that the </w:t>
      </w:r>
      <w:r w:rsidRPr="00B13154">
        <w:rPr>
          <w:rFonts w:ascii="Book Antiqua" w:eastAsia="Calibri" w:hAnsi="Book Antiqua" w:cs="Times New Roman"/>
          <w:i/>
          <w:iCs/>
          <w:kern w:val="0"/>
          <w:sz w:val="24"/>
          <w:szCs w:val="24"/>
          <w:lang w:val="en-GB" w:eastAsia="en-US"/>
        </w:rPr>
        <w:t>IL-1</w:t>
      </w:r>
      <w:r w:rsidRPr="003771AE">
        <w:rPr>
          <w:rFonts w:ascii="Book Antiqua" w:eastAsia="Calibri" w:hAnsi="Book Antiqua" w:cs="Times New Roman"/>
          <w:kern w:val="0"/>
          <w:sz w:val="24"/>
          <w:szCs w:val="24"/>
          <w:lang w:val="en-GB" w:eastAsia="en-US"/>
        </w:rPr>
        <w:t xml:space="preserve"> gene polymorphisms are associated with a high risk of both hypochlorhydria produced by </w:t>
      </w:r>
      <w:r w:rsidRPr="003771AE">
        <w:rPr>
          <w:rFonts w:ascii="Book Antiqua" w:eastAsia="Calibri" w:hAnsi="Book Antiqua" w:cs="Times New Roman"/>
          <w:i/>
          <w:iCs/>
          <w:kern w:val="0"/>
          <w:sz w:val="24"/>
          <w:szCs w:val="24"/>
          <w:lang w:val="en-GB" w:eastAsia="en-US"/>
        </w:rPr>
        <w:t>H. pylori</w:t>
      </w:r>
      <w:r w:rsidRPr="003771AE">
        <w:rPr>
          <w:rFonts w:ascii="Book Antiqua" w:eastAsia="Calibri" w:hAnsi="Book Antiqua" w:cs="Times New Roman"/>
          <w:kern w:val="0"/>
          <w:sz w:val="24"/>
          <w:szCs w:val="24"/>
          <w:lang w:val="en-GB" w:eastAsia="en-US"/>
        </w:rPr>
        <w:t xml:space="preserve"> and GC. For the IL1B -511 (TT </w:t>
      </w:r>
      <w:r w:rsidRPr="003771AE">
        <w:rPr>
          <w:rFonts w:ascii="Book Antiqua" w:eastAsia="Calibri" w:hAnsi="Book Antiqua" w:cs="Times New Roman"/>
          <w:i/>
          <w:kern w:val="0"/>
          <w:sz w:val="24"/>
          <w:szCs w:val="24"/>
          <w:lang w:val="en-GB" w:eastAsia="en-US"/>
        </w:rPr>
        <w:t>vs</w:t>
      </w:r>
      <w:r w:rsidRPr="003771AE">
        <w:rPr>
          <w:rFonts w:ascii="Book Antiqua" w:eastAsia="Calibri" w:hAnsi="Book Antiqua" w:cs="Times New Roman"/>
          <w:kern w:val="0"/>
          <w:sz w:val="24"/>
          <w:szCs w:val="24"/>
          <w:lang w:val="en-GB" w:eastAsia="en-US"/>
        </w:rPr>
        <w:t xml:space="preserve"> CC) gene polymorphism, a meta-analysis of 13 studies did not find an association with premalignant gastric lesions (OR = 1.34, 95%CI: 0.87-2.07, </w:t>
      </w:r>
      <w:r w:rsidRPr="003771AE">
        <w:rPr>
          <w:rFonts w:ascii="Book Antiqua" w:eastAsia="Calibri" w:hAnsi="Book Antiqua" w:cs="Times New Roman"/>
          <w:i/>
          <w:kern w:val="0"/>
          <w:sz w:val="24"/>
          <w:szCs w:val="24"/>
          <w:lang w:val="en-GB" w:eastAsia="en-US"/>
        </w:rPr>
        <w:t>I</w:t>
      </w:r>
      <w:r w:rsidRPr="003771AE">
        <w:rPr>
          <w:rFonts w:ascii="Book Antiqua" w:eastAsia="Calibri" w:hAnsi="Book Antiqua" w:cs="Times New Roman"/>
          <w:kern w:val="0"/>
          <w:sz w:val="24"/>
          <w:szCs w:val="24"/>
          <w:vertAlign w:val="superscript"/>
          <w:lang w:val="en-GB" w:eastAsia="en-US"/>
        </w:rPr>
        <w:t>2</w:t>
      </w:r>
      <w:r w:rsidRPr="003771AE">
        <w:rPr>
          <w:rFonts w:ascii="Book Antiqua" w:eastAsia="Calibri" w:hAnsi="Book Antiqua" w:cs="Times New Roman"/>
          <w:kern w:val="0"/>
          <w:sz w:val="24"/>
          <w:szCs w:val="24"/>
          <w:lang w:val="en-GB" w:eastAsia="en-US"/>
        </w:rPr>
        <w:t xml:space="preserve"> = 65.7%), even though the Peruvian study by Gehmert</w:t>
      </w:r>
      <w:r w:rsidR="00B13154">
        <w:rPr>
          <w:rFonts w:ascii="Book Antiqua" w:eastAsia="Calibri" w:hAnsi="Book Antiqua" w:cs="Times New Roman"/>
          <w:kern w:val="0"/>
          <w:sz w:val="24"/>
          <w:szCs w:val="24"/>
          <w:lang w:val="en-GB" w:eastAsia="en-US"/>
        </w:rPr>
        <w:t xml:space="preserve"> </w:t>
      </w:r>
      <w:r w:rsidRPr="003771AE">
        <w:rPr>
          <w:rFonts w:ascii="Book Antiqua" w:eastAsia="Calibri" w:hAnsi="Book Antiqua" w:cs="Times New Roman"/>
          <w:i/>
          <w:kern w:val="0"/>
          <w:sz w:val="24"/>
          <w:szCs w:val="24"/>
          <w:lang w:val="en-GB" w:eastAsia="en-US"/>
        </w:rPr>
        <w:t>et al</w:t>
      </w:r>
      <w:r w:rsidRPr="003771AE">
        <w:rPr>
          <w:rFonts w:ascii="Book Antiqua" w:eastAsia="Calibri" w:hAnsi="Book Antiqua" w:cs="Times New Roman"/>
          <w:kern w:val="0"/>
          <w:sz w:val="24"/>
          <w:szCs w:val="24"/>
          <w:vertAlign w:val="superscript"/>
          <w:lang w:val="en-GB" w:eastAsia="en-US"/>
        </w:rPr>
        <w:t>[83]</w:t>
      </w:r>
      <w:r w:rsidRPr="003771AE">
        <w:rPr>
          <w:rFonts w:ascii="Book Antiqua" w:eastAsia="Calibri" w:hAnsi="Book Antiqua" w:cs="Times New Roman"/>
          <w:kern w:val="0"/>
          <w:sz w:val="24"/>
          <w:szCs w:val="24"/>
          <w:lang w:val="en-GB" w:eastAsia="en-US"/>
        </w:rPr>
        <w:t xml:space="preserve"> found an increased risk for atrophic gastritis (OR = 5.60, 95%CI: &gt; 2.02–15.51.6) associated with the IL-1B-511 C allele.</w:t>
      </w:r>
    </w:p>
    <w:p w14:paraId="0827EADB" w14:textId="42C931E8" w:rsidR="0011105F" w:rsidRPr="003771AE" w:rsidRDefault="0011105F" w:rsidP="00B13154">
      <w:pPr>
        <w:widowControl/>
        <w:autoSpaceDE w:val="0"/>
        <w:autoSpaceDN w:val="0"/>
        <w:adjustRightInd w:val="0"/>
        <w:snapToGrid w:val="0"/>
        <w:spacing w:line="360" w:lineRule="auto"/>
        <w:ind w:firstLineChars="100" w:firstLine="240"/>
        <w:rPr>
          <w:rFonts w:ascii="Book Antiqua" w:eastAsia="等线"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ro-RO"/>
        </w:rPr>
        <w:t xml:space="preserve">For the </w:t>
      </w:r>
      <w:r w:rsidRPr="003771AE">
        <w:rPr>
          <w:rFonts w:ascii="Book Antiqua" w:eastAsia="Calibri" w:hAnsi="Book Antiqua" w:cs="Times New Roman"/>
          <w:iCs/>
          <w:kern w:val="0"/>
          <w:sz w:val="24"/>
          <w:szCs w:val="24"/>
          <w:lang w:val="en-GB" w:eastAsia="ro-RO"/>
        </w:rPr>
        <w:t>IL-1RN</w:t>
      </w:r>
      <w:r w:rsidRPr="003771AE">
        <w:rPr>
          <w:rFonts w:ascii="Book Antiqua" w:eastAsia="Calibri" w:hAnsi="Book Antiqua" w:cs="Times New Roman"/>
          <w:kern w:val="0"/>
          <w:sz w:val="24"/>
          <w:szCs w:val="24"/>
          <w:lang w:val="en-GB" w:eastAsia="ro-RO"/>
        </w:rPr>
        <w:t>gene, an 86-bp variable number of tandem repeats was described at the 2nd intron, and it was presumed that it may increase the risk of GC. In the meta-analysis by Peleteira</w:t>
      </w:r>
      <w:r w:rsidR="00B13154">
        <w:rPr>
          <w:rFonts w:ascii="Book Antiqua" w:eastAsia="Calibri" w:hAnsi="Book Antiqua" w:cs="Times New Roman"/>
          <w:kern w:val="0"/>
          <w:sz w:val="24"/>
          <w:szCs w:val="24"/>
          <w:lang w:val="en-GB" w:eastAsia="ro-RO"/>
        </w:rPr>
        <w:t xml:space="preserve"> </w:t>
      </w:r>
      <w:r w:rsidRPr="003771AE">
        <w:rPr>
          <w:rFonts w:ascii="Book Antiqua" w:eastAsia="Calibri" w:hAnsi="Book Antiqua" w:cs="Times New Roman"/>
          <w:i/>
          <w:kern w:val="0"/>
          <w:sz w:val="24"/>
          <w:szCs w:val="24"/>
          <w:lang w:val="en-GB" w:eastAsia="en-US"/>
        </w:rPr>
        <w:t>et al</w:t>
      </w:r>
      <w:r w:rsidRPr="003771AE">
        <w:rPr>
          <w:rFonts w:ascii="Book Antiqua" w:eastAsia="Calibri" w:hAnsi="Book Antiqua" w:cs="Times New Roman"/>
          <w:kern w:val="0"/>
          <w:sz w:val="24"/>
          <w:szCs w:val="24"/>
          <w:vertAlign w:val="superscript"/>
          <w:lang w:val="en-GB" w:eastAsia="ro-RO"/>
        </w:rPr>
        <w:t>[77]</w:t>
      </w:r>
      <w:r w:rsidRPr="003771AE">
        <w:rPr>
          <w:rFonts w:ascii="Book Antiqua" w:eastAsia="Calibri" w:hAnsi="Book Antiqua" w:cs="Times New Roman"/>
          <w:kern w:val="0"/>
          <w:sz w:val="24"/>
          <w:szCs w:val="24"/>
          <w:lang w:val="en-GB" w:eastAsia="ro-RO"/>
        </w:rPr>
        <w:t>, the</w:t>
      </w:r>
      <w:r w:rsidRPr="003771AE">
        <w:rPr>
          <w:rFonts w:ascii="Book Antiqua" w:eastAsia="Calibri" w:hAnsi="Book Antiqua" w:cs="Times New Roman"/>
          <w:i/>
          <w:kern w:val="0"/>
          <w:sz w:val="24"/>
          <w:szCs w:val="24"/>
          <w:lang w:val="en-GB" w:eastAsia="ro-RO"/>
        </w:rPr>
        <w:t>IL1RN</w:t>
      </w:r>
      <w:r w:rsidRPr="003771AE">
        <w:rPr>
          <w:rFonts w:ascii="Book Antiqua" w:eastAsia="Calibri" w:hAnsi="Book Antiqua" w:cs="Times New Roman"/>
          <w:kern w:val="0"/>
          <w:sz w:val="24"/>
          <w:szCs w:val="24"/>
          <w:lang w:val="en-GB" w:eastAsia="ro-RO"/>
        </w:rPr>
        <w:t xml:space="preserve">*22 genotype was associated with an increased risk of gastric precancerous lesions (22 </w:t>
      </w:r>
      <w:r w:rsidRPr="003771AE">
        <w:rPr>
          <w:rFonts w:ascii="Book Antiqua" w:eastAsia="Calibri" w:hAnsi="Book Antiqua" w:cs="Times New Roman"/>
          <w:i/>
          <w:kern w:val="0"/>
          <w:sz w:val="24"/>
          <w:szCs w:val="24"/>
          <w:lang w:val="en-GB" w:eastAsia="ro-RO"/>
        </w:rPr>
        <w:t>vs</w:t>
      </w:r>
      <w:r w:rsidRPr="003771AE">
        <w:rPr>
          <w:rFonts w:ascii="Book Antiqua" w:eastAsia="Calibri" w:hAnsi="Book Antiqua" w:cs="Times New Roman"/>
          <w:kern w:val="0"/>
          <w:sz w:val="24"/>
          <w:szCs w:val="24"/>
          <w:lang w:val="en-GB" w:eastAsia="ro-RO"/>
        </w:rPr>
        <w:t xml:space="preserve"> LL: OR = 2.27, 95%CI: 1.40-3.70; </w:t>
      </w:r>
      <w:r w:rsidRPr="003771AE">
        <w:rPr>
          <w:rFonts w:ascii="Book Antiqua" w:eastAsia="Calibri" w:hAnsi="Book Antiqua" w:cs="Times New Roman"/>
          <w:i/>
          <w:kern w:val="0"/>
          <w:sz w:val="24"/>
          <w:szCs w:val="24"/>
          <w:lang w:val="en-GB" w:eastAsia="ro-RO"/>
        </w:rPr>
        <w:t>I</w:t>
      </w:r>
      <w:r w:rsidRPr="003771AE">
        <w:rPr>
          <w:rFonts w:ascii="Book Antiqua" w:eastAsia="Calibri" w:hAnsi="Book Antiqua" w:cs="Times New Roman"/>
          <w:kern w:val="0"/>
          <w:sz w:val="24"/>
          <w:szCs w:val="24"/>
          <w:vertAlign w:val="superscript"/>
          <w:lang w:val="en-GB" w:eastAsia="ro-RO"/>
        </w:rPr>
        <w:t>2</w:t>
      </w:r>
      <w:r w:rsidRPr="003771AE">
        <w:rPr>
          <w:rFonts w:ascii="Book Antiqua" w:eastAsia="Calibri" w:hAnsi="Book Antiqua" w:cs="Times New Roman"/>
          <w:kern w:val="0"/>
          <w:sz w:val="24"/>
          <w:szCs w:val="24"/>
          <w:lang w:val="en-GB" w:eastAsia="ro-RO"/>
        </w:rPr>
        <w:t xml:space="preserve"> = 26.4%) when results from 12 studies were combined.</w:t>
      </w:r>
    </w:p>
    <w:p w14:paraId="7E697C17" w14:textId="4D40E111" w:rsidR="0011105F" w:rsidRPr="003771AE" w:rsidRDefault="0011105F" w:rsidP="00B13154">
      <w:pPr>
        <w:widowControl/>
        <w:autoSpaceDE w:val="0"/>
        <w:autoSpaceDN w:val="0"/>
        <w:adjustRightInd w:val="0"/>
        <w:snapToGrid w:val="0"/>
        <w:spacing w:line="360" w:lineRule="auto"/>
        <w:ind w:firstLineChars="100" w:firstLine="240"/>
        <w:rPr>
          <w:rFonts w:ascii="Book Antiqua" w:eastAsia="Times New Roman" w:hAnsi="Book Antiqua" w:cs="Times New Roman"/>
          <w:bCs/>
          <w:kern w:val="36"/>
          <w:sz w:val="24"/>
          <w:szCs w:val="24"/>
          <w:lang w:val="en-GB" w:eastAsia="ro-RO"/>
        </w:rPr>
      </w:pPr>
      <w:r w:rsidRPr="003771AE">
        <w:rPr>
          <w:rFonts w:ascii="Book Antiqua" w:eastAsia="Calibri" w:hAnsi="Book Antiqua" w:cs="Times New Roman"/>
          <w:kern w:val="0"/>
          <w:sz w:val="24"/>
          <w:szCs w:val="24"/>
          <w:lang w:val="en-GB" w:eastAsia="ro-RO"/>
        </w:rPr>
        <w:t>In two studies by Chiurillo</w:t>
      </w:r>
      <w:r w:rsidR="00B13154">
        <w:rPr>
          <w:rFonts w:ascii="Book Antiqua" w:eastAsia="Calibri" w:hAnsi="Book Antiqua" w:cs="Times New Roman"/>
          <w:kern w:val="0"/>
          <w:sz w:val="24"/>
          <w:szCs w:val="24"/>
          <w:lang w:val="en-GB" w:eastAsia="ro-RO"/>
        </w:rPr>
        <w:t xml:space="preserve"> </w:t>
      </w:r>
      <w:r w:rsidRPr="003771AE">
        <w:rPr>
          <w:rFonts w:ascii="Book Antiqua" w:eastAsia="Calibri" w:hAnsi="Book Antiqua" w:cs="Times New Roman"/>
          <w:i/>
          <w:kern w:val="0"/>
          <w:sz w:val="24"/>
          <w:szCs w:val="24"/>
          <w:lang w:val="en-GB" w:eastAsia="en-US"/>
        </w:rPr>
        <w:t>et al</w:t>
      </w:r>
      <w:r w:rsidRPr="003771AE">
        <w:rPr>
          <w:rFonts w:ascii="Book Antiqua" w:eastAsia="Calibri" w:hAnsi="Book Antiqua" w:cs="Times New Roman"/>
          <w:kern w:val="0"/>
          <w:sz w:val="24"/>
          <w:szCs w:val="24"/>
          <w:vertAlign w:val="superscript"/>
          <w:lang w:val="en-GB" w:eastAsia="ro-RO"/>
        </w:rPr>
        <w:t>[84,85]</w:t>
      </w:r>
      <w:r w:rsidRPr="003771AE">
        <w:rPr>
          <w:rFonts w:ascii="Book Antiqua" w:eastAsia="Calibri" w:hAnsi="Book Antiqua" w:cs="Times New Roman"/>
          <w:kern w:val="0"/>
          <w:sz w:val="24"/>
          <w:szCs w:val="24"/>
          <w:lang w:val="en-GB" w:eastAsia="ro-RO"/>
        </w:rPr>
        <w:t xml:space="preserve">, an association was found between GA and IL-1B -511*T, -31*C, +3954*C and </w:t>
      </w:r>
      <w:r w:rsidRPr="003771AE">
        <w:rPr>
          <w:rFonts w:ascii="Book Antiqua" w:eastAsia="Calibri" w:hAnsi="Book Antiqua" w:cs="Times New Roman"/>
          <w:i/>
          <w:kern w:val="0"/>
          <w:sz w:val="24"/>
          <w:szCs w:val="24"/>
          <w:lang w:val="en-GB" w:eastAsia="ro-RO"/>
        </w:rPr>
        <w:t>IL-1RN</w:t>
      </w:r>
      <w:r w:rsidRPr="003771AE">
        <w:rPr>
          <w:rFonts w:ascii="Book Antiqua" w:eastAsia="Calibri" w:hAnsi="Book Antiqua" w:cs="Times New Roman"/>
          <w:kern w:val="0"/>
          <w:sz w:val="24"/>
          <w:szCs w:val="24"/>
          <w:lang w:val="en-GB" w:eastAsia="ro-RO"/>
        </w:rPr>
        <w:t xml:space="preserve">*2 polymorphisms but only in the presence of </w:t>
      </w:r>
      <w:r w:rsidRPr="003771AE">
        <w:rPr>
          <w:rFonts w:ascii="Book Antiqua" w:eastAsia="Calibri" w:hAnsi="Book Antiqua" w:cs="Times New Roman"/>
          <w:i/>
          <w:kern w:val="0"/>
          <w:sz w:val="24"/>
          <w:szCs w:val="24"/>
          <w:lang w:val="en-GB" w:eastAsia="ro-RO"/>
        </w:rPr>
        <w:t>H. pylori</w:t>
      </w:r>
      <w:r w:rsidRPr="003771AE">
        <w:rPr>
          <w:rFonts w:ascii="Book Antiqua" w:eastAsia="Calibri" w:hAnsi="Book Antiqua" w:cs="Times New Roman"/>
          <w:kern w:val="0"/>
          <w:sz w:val="24"/>
          <w:szCs w:val="24"/>
          <w:lang w:val="en-GB" w:eastAsia="ro-RO"/>
        </w:rPr>
        <w:t>-cag strains.</w:t>
      </w:r>
      <w:r w:rsidR="00B13154">
        <w:rPr>
          <w:rFonts w:ascii="Book Antiqua" w:eastAsia="Calibri" w:hAnsi="Book Antiqua" w:cs="Times New Roman"/>
          <w:kern w:val="0"/>
          <w:sz w:val="24"/>
          <w:szCs w:val="24"/>
          <w:lang w:val="en-GB" w:eastAsia="ro-RO"/>
        </w:rPr>
        <w:t xml:space="preserve"> </w:t>
      </w:r>
      <w:r w:rsidRPr="003771AE">
        <w:rPr>
          <w:rFonts w:ascii="Book Antiqua" w:eastAsia="Times New Roman" w:hAnsi="Book Antiqua" w:cs="Times New Roman"/>
          <w:kern w:val="0"/>
          <w:sz w:val="24"/>
          <w:szCs w:val="24"/>
          <w:lang w:val="en-GB" w:eastAsia="ro-RO"/>
        </w:rPr>
        <w:t>Caleman</w:t>
      </w:r>
      <w:r w:rsidR="00B13154">
        <w:rPr>
          <w:rFonts w:ascii="Book Antiqua" w:eastAsia="Times New Roman" w:hAnsi="Book Antiqua" w:cs="Times New Roman"/>
          <w:kern w:val="0"/>
          <w:sz w:val="24"/>
          <w:szCs w:val="24"/>
          <w:lang w:val="en-GB" w:eastAsia="ro-RO"/>
        </w:rPr>
        <w:t xml:space="preserve"> </w:t>
      </w:r>
      <w:r w:rsidRPr="003771AE">
        <w:rPr>
          <w:rFonts w:ascii="Book Antiqua" w:eastAsia="Times New Roman" w:hAnsi="Book Antiqua" w:cs="Times New Roman"/>
          <w:i/>
          <w:kern w:val="0"/>
          <w:sz w:val="24"/>
          <w:szCs w:val="24"/>
          <w:lang w:val="en-GB" w:eastAsia="ro-RO"/>
        </w:rPr>
        <w:t>et al</w:t>
      </w:r>
      <w:r w:rsidRPr="003771AE">
        <w:rPr>
          <w:rFonts w:ascii="Book Antiqua" w:eastAsia="Times New Roman" w:hAnsi="Book Antiqua" w:cs="Times New Roman"/>
          <w:kern w:val="0"/>
          <w:sz w:val="24"/>
          <w:szCs w:val="24"/>
          <w:vertAlign w:val="superscript"/>
          <w:lang w:val="en-GB" w:eastAsia="ro-RO"/>
        </w:rPr>
        <w:t>[86]</w:t>
      </w:r>
      <w:r w:rsidRPr="003771AE">
        <w:rPr>
          <w:rFonts w:ascii="Book Antiqua" w:eastAsia="Times New Roman" w:hAnsi="Book Antiqua" w:cs="Times New Roman"/>
          <w:kern w:val="0"/>
          <w:sz w:val="24"/>
          <w:szCs w:val="24"/>
          <w:lang w:val="en-GB" w:eastAsia="ro-RO"/>
        </w:rPr>
        <w:t xml:space="preserve"> suggested that the TT genotype of IL-1B –31T&gt;C represents a protective factor against infection with </w:t>
      </w:r>
      <w:r w:rsidRPr="003771AE">
        <w:rPr>
          <w:rFonts w:ascii="Book Antiqua" w:eastAsia="Times New Roman" w:hAnsi="Book Antiqua" w:cs="Times New Roman"/>
          <w:i/>
          <w:kern w:val="0"/>
          <w:sz w:val="24"/>
          <w:szCs w:val="24"/>
          <w:lang w:val="en-GB" w:eastAsia="ro-RO"/>
        </w:rPr>
        <w:t>H. pylori</w:t>
      </w:r>
      <w:r w:rsidRPr="003771AE">
        <w:rPr>
          <w:rFonts w:ascii="Book Antiqua" w:eastAsia="Times New Roman" w:hAnsi="Book Antiqua" w:cs="Times New Roman"/>
          <w:kern w:val="0"/>
          <w:sz w:val="24"/>
          <w:szCs w:val="24"/>
          <w:lang w:val="en-GB" w:eastAsia="ro-RO"/>
        </w:rPr>
        <w:t xml:space="preserve"> in the Brazilian population investigated.</w:t>
      </w:r>
      <w:r w:rsidRPr="003771AE">
        <w:rPr>
          <w:rFonts w:ascii="Book Antiqua" w:eastAsia="Times New Roman" w:hAnsi="Book Antiqua" w:cs="Times New Roman"/>
          <w:bCs/>
          <w:kern w:val="36"/>
          <w:sz w:val="24"/>
          <w:szCs w:val="24"/>
          <w:lang w:val="en-GB" w:eastAsia="ro-RO"/>
        </w:rPr>
        <w:t xml:space="preserve"> Regarding the IL-1B 3954C&gt;T SNP, a positive association was found between the mentioned polymorphism and susceptibility for IM in a population from Costa Rica</w:t>
      </w:r>
      <w:r w:rsidRPr="003771AE">
        <w:rPr>
          <w:rFonts w:ascii="Book Antiqua" w:eastAsia="Times New Roman" w:hAnsi="Book Antiqua" w:cs="Times New Roman"/>
          <w:bCs/>
          <w:kern w:val="36"/>
          <w:sz w:val="24"/>
          <w:szCs w:val="24"/>
          <w:vertAlign w:val="superscript"/>
          <w:lang w:val="en-GB" w:eastAsia="ro-RO"/>
        </w:rPr>
        <w:t>[87]</w:t>
      </w:r>
      <w:r w:rsidRPr="003771AE">
        <w:rPr>
          <w:rFonts w:ascii="Book Antiqua" w:eastAsia="Times New Roman" w:hAnsi="Book Antiqua" w:cs="Times New Roman"/>
          <w:bCs/>
          <w:kern w:val="36"/>
          <w:sz w:val="24"/>
          <w:szCs w:val="24"/>
          <w:lang w:val="en-GB" w:eastAsia="ro-RO"/>
        </w:rPr>
        <w:t>. Similarly, no association between the IL-1B 3954C&gt;T SNP and the risk of gastric lesions was found in Asians or Caucasians</w:t>
      </w:r>
      <w:r w:rsidRPr="003771AE">
        <w:rPr>
          <w:rFonts w:ascii="Book Antiqua" w:eastAsia="Times New Roman" w:hAnsi="Book Antiqua" w:cs="Times New Roman"/>
          <w:bCs/>
          <w:kern w:val="36"/>
          <w:sz w:val="24"/>
          <w:szCs w:val="24"/>
          <w:vertAlign w:val="superscript"/>
          <w:lang w:val="en-GB" w:eastAsia="ro-RO"/>
        </w:rPr>
        <w:t>[88]</w:t>
      </w:r>
      <w:r w:rsidRPr="003771AE">
        <w:rPr>
          <w:rFonts w:ascii="Book Antiqua" w:eastAsia="Times New Roman" w:hAnsi="Book Antiqua" w:cs="Times New Roman"/>
          <w:bCs/>
          <w:kern w:val="36"/>
          <w:sz w:val="24"/>
          <w:szCs w:val="24"/>
          <w:lang w:val="en-GB" w:eastAsia="ro-RO"/>
        </w:rPr>
        <w:t>.</w:t>
      </w:r>
    </w:p>
    <w:p w14:paraId="2FCA88D3" w14:textId="77777777" w:rsidR="0011105F" w:rsidRPr="003771AE" w:rsidRDefault="0011105F" w:rsidP="00F17106">
      <w:pPr>
        <w:widowControl/>
        <w:snapToGrid w:val="0"/>
        <w:spacing w:line="360" w:lineRule="auto"/>
        <w:rPr>
          <w:rFonts w:ascii="Book Antiqua" w:eastAsia="Times New Roman" w:hAnsi="Book Antiqua" w:cs="Times New Roman"/>
          <w:b/>
          <w:i/>
          <w:kern w:val="0"/>
          <w:sz w:val="24"/>
          <w:szCs w:val="24"/>
          <w:lang w:val="en-GB" w:eastAsia="ro-RO"/>
        </w:rPr>
      </w:pPr>
    </w:p>
    <w:p w14:paraId="07EFD3E8" w14:textId="77777777" w:rsidR="0011105F" w:rsidRPr="003771AE" w:rsidRDefault="0011105F" w:rsidP="00F17106">
      <w:pPr>
        <w:widowControl/>
        <w:snapToGrid w:val="0"/>
        <w:spacing w:line="360" w:lineRule="auto"/>
        <w:rPr>
          <w:rFonts w:ascii="Book Antiqua" w:eastAsia="Times New Roman" w:hAnsi="Book Antiqua" w:cs="Times New Roman"/>
          <w:b/>
          <w:i/>
          <w:kern w:val="0"/>
          <w:sz w:val="24"/>
          <w:szCs w:val="24"/>
          <w:lang w:val="en-GB" w:eastAsia="ro-RO"/>
        </w:rPr>
      </w:pPr>
      <w:r w:rsidRPr="003771AE">
        <w:rPr>
          <w:rFonts w:ascii="Book Antiqua" w:eastAsia="Times New Roman" w:hAnsi="Book Antiqua" w:cs="Times New Roman"/>
          <w:b/>
          <w:i/>
          <w:kern w:val="0"/>
          <w:sz w:val="24"/>
          <w:szCs w:val="24"/>
          <w:lang w:val="en-GB" w:eastAsia="ro-RO"/>
        </w:rPr>
        <w:t>IL-2</w:t>
      </w:r>
    </w:p>
    <w:p w14:paraId="16A1292D" w14:textId="77777777" w:rsidR="0011105F" w:rsidRPr="003771AE" w:rsidRDefault="0011105F" w:rsidP="00F17106">
      <w:pPr>
        <w:widowControl/>
        <w:snapToGrid w:val="0"/>
        <w:spacing w:line="360" w:lineRule="auto"/>
        <w:rPr>
          <w:rFonts w:ascii="Book Antiqua" w:eastAsia="Times New Roman" w:hAnsi="Book Antiqua" w:cs="Times New Roman"/>
          <w:kern w:val="0"/>
          <w:sz w:val="24"/>
          <w:szCs w:val="24"/>
          <w:lang w:val="en-GB" w:eastAsia="ro-RO"/>
        </w:rPr>
      </w:pPr>
      <w:r w:rsidRPr="003771AE">
        <w:rPr>
          <w:rFonts w:ascii="Book Antiqua" w:eastAsia="Calibri" w:hAnsi="Book Antiqua" w:cs="Times New Roman"/>
          <w:kern w:val="0"/>
          <w:sz w:val="24"/>
          <w:szCs w:val="24"/>
          <w:lang w:val="en-GB" w:eastAsia="en-US"/>
        </w:rPr>
        <w:t>IL-2 is an immunoregulatory cytokine produced by T cells, which induces the proliferation and differentiation of natural killer cells and stimulates the production of natural killer-derived cytokines, such as TNF-α and IFN-γ</w:t>
      </w:r>
      <w:r w:rsidRPr="003771AE">
        <w:rPr>
          <w:rFonts w:ascii="Book Antiqua" w:eastAsia="Calibri" w:hAnsi="Book Antiqua" w:cs="Times New Roman"/>
          <w:kern w:val="0"/>
          <w:sz w:val="24"/>
          <w:szCs w:val="24"/>
          <w:vertAlign w:val="superscript"/>
          <w:lang w:val="en-GB" w:eastAsia="en-US"/>
        </w:rPr>
        <w:t>[89,90]</w:t>
      </w:r>
      <w:r w:rsidRPr="003771AE">
        <w:rPr>
          <w:rFonts w:ascii="Book Antiqua" w:eastAsia="Calibri" w:hAnsi="Book Antiqua" w:cs="Times New Roman"/>
          <w:kern w:val="0"/>
          <w:sz w:val="24"/>
          <w:szCs w:val="24"/>
          <w:lang w:val="en-GB" w:eastAsia="en-US"/>
        </w:rPr>
        <w:t xml:space="preserve">. </w:t>
      </w:r>
      <w:r w:rsidRPr="003771AE">
        <w:rPr>
          <w:rFonts w:ascii="Book Antiqua" w:eastAsia="Times New Roman" w:hAnsi="Book Antiqua" w:cs="Times New Roman"/>
          <w:kern w:val="0"/>
          <w:sz w:val="24"/>
          <w:szCs w:val="24"/>
          <w:lang w:val="en-GB" w:eastAsia="ro-RO"/>
        </w:rPr>
        <w:t xml:space="preserve">A recent study showed that IL-2 polymorphisms, such as the presence of variant GG genotype for IL-2 –330T&gt;G (rs2069762), are associated with an increased risk of GC among Brazilian patients with </w:t>
      </w:r>
      <w:r w:rsidRPr="003771AE">
        <w:rPr>
          <w:rFonts w:ascii="Book Antiqua" w:eastAsia="Times New Roman" w:hAnsi="Book Antiqua" w:cs="Times New Roman"/>
          <w:i/>
          <w:kern w:val="0"/>
          <w:sz w:val="24"/>
          <w:szCs w:val="24"/>
          <w:lang w:val="en-GB" w:eastAsia="ro-RO"/>
        </w:rPr>
        <w:t>H. pylori</w:t>
      </w:r>
      <w:r w:rsidRPr="003771AE">
        <w:rPr>
          <w:rFonts w:ascii="Book Antiqua" w:eastAsia="Times New Roman" w:hAnsi="Book Antiqua" w:cs="Times New Roman"/>
          <w:kern w:val="0"/>
          <w:sz w:val="24"/>
          <w:szCs w:val="24"/>
          <w:lang w:val="en-GB" w:eastAsia="ro-RO"/>
        </w:rPr>
        <w:t xml:space="preserve"> infection (OR = 6.43, 95%CI: 1.47–28.10, </w:t>
      </w:r>
      <w:r w:rsidRPr="003771AE">
        <w:rPr>
          <w:rFonts w:ascii="Book Antiqua" w:eastAsia="Times New Roman" w:hAnsi="Book Antiqua" w:cs="Times New Roman"/>
          <w:i/>
          <w:kern w:val="0"/>
          <w:sz w:val="24"/>
          <w:szCs w:val="24"/>
          <w:lang w:val="en-GB" w:eastAsia="ro-RO"/>
        </w:rPr>
        <w:t>P =</w:t>
      </w:r>
      <w:r w:rsidRPr="003771AE">
        <w:rPr>
          <w:rFonts w:ascii="Book Antiqua" w:eastAsia="Times New Roman" w:hAnsi="Book Antiqua" w:cs="Times New Roman"/>
          <w:kern w:val="0"/>
          <w:sz w:val="24"/>
          <w:szCs w:val="24"/>
          <w:lang w:val="en-GB" w:eastAsia="ro-RO"/>
        </w:rPr>
        <w:t>0.044)</w:t>
      </w:r>
      <w:r w:rsidRPr="003771AE">
        <w:rPr>
          <w:rFonts w:ascii="Book Antiqua" w:eastAsia="Times New Roman" w:hAnsi="Book Antiqua" w:cs="Times New Roman"/>
          <w:kern w:val="0"/>
          <w:sz w:val="24"/>
          <w:szCs w:val="24"/>
          <w:vertAlign w:val="superscript"/>
          <w:lang w:val="en-GB" w:eastAsia="ro-RO"/>
        </w:rPr>
        <w:t>[89]</w:t>
      </w:r>
      <w:r w:rsidRPr="003771AE">
        <w:rPr>
          <w:rFonts w:ascii="Book Antiqua" w:eastAsia="Times New Roman" w:hAnsi="Book Antiqua" w:cs="Times New Roman"/>
          <w:kern w:val="0"/>
          <w:sz w:val="24"/>
          <w:szCs w:val="24"/>
          <w:lang w:val="en-GB" w:eastAsia="ro-RO"/>
        </w:rPr>
        <w:t>. Similar findings were noticed for the IL-2 +114T&gt;G (rs2069763) SNP</w:t>
      </w:r>
      <w:r w:rsidRPr="003771AE">
        <w:rPr>
          <w:rFonts w:ascii="Book Antiqua" w:eastAsia="Times New Roman" w:hAnsi="Book Antiqua" w:cs="Times New Roman"/>
          <w:kern w:val="0"/>
          <w:sz w:val="24"/>
          <w:szCs w:val="24"/>
          <w:vertAlign w:val="superscript"/>
          <w:lang w:val="en-GB" w:eastAsia="ro-RO"/>
        </w:rPr>
        <w:t>[89]</w:t>
      </w:r>
      <w:r w:rsidRPr="003771AE">
        <w:rPr>
          <w:rFonts w:ascii="Book Antiqua" w:eastAsia="Times New Roman" w:hAnsi="Book Antiqua" w:cs="Times New Roman"/>
          <w:kern w:val="0"/>
          <w:sz w:val="24"/>
          <w:szCs w:val="24"/>
          <w:lang w:val="en-GB" w:eastAsia="ro-RO"/>
        </w:rPr>
        <w:t xml:space="preserve">. </w:t>
      </w:r>
      <w:r w:rsidRPr="003771AE">
        <w:rPr>
          <w:rFonts w:ascii="Book Antiqua" w:eastAsia="Calibri" w:hAnsi="Book Antiqua" w:cs="Times New Roman"/>
          <w:kern w:val="0"/>
          <w:sz w:val="24"/>
          <w:szCs w:val="24"/>
          <w:lang w:val="en-GB" w:eastAsia="en-US"/>
        </w:rPr>
        <w:t xml:space="preserve">Contrariwise, </w:t>
      </w:r>
      <w:r w:rsidRPr="003771AE">
        <w:rPr>
          <w:rFonts w:ascii="Book Antiqua" w:eastAsia="Calibri" w:hAnsi="Book Antiqua" w:cs="Times New Roman"/>
          <w:kern w:val="0"/>
          <w:sz w:val="24"/>
          <w:szCs w:val="24"/>
          <w:lang w:val="en-GB" w:eastAsia="ro-RO"/>
        </w:rPr>
        <w:t xml:space="preserve">Shin </w:t>
      </w:r>
      <w:r w:rsidRPr="003771AE">
        <w:rPr>
          <w:rFonts w:ascii="Book Antiqua" w:eastAsia="Calibri" w:hAnsi="Book Antiqua" w:cs="Times New Roman"/>
          <w:i/>
          <w:kern w:val="0"/>
          <w:sz w:val="24"/>
          <w:szCs w:val="24"/>
          <w:lang w:val="en-GB" w:eastAsia="ro-RO"/>
        </w:rPr>
        <w:t>et al</w:t>
      </w:r>
      <w:r w:rsidRPr="003771AE">
        <w:rPr>
          <w:rFonts w:ascii="Book Antiqua" w:eastAsia="Calibri" w:hAnsi="Book Antiqua" w:cs="Times New Roman"/>
          <w:kern w:val="0"/>
          <w:sz w:val="24"/>
          <w:szCs w:val="24"/>
          <w:vertAlign w:val="superscript"/>
          <w:lang w:val="en-GB" w:eastAsia="ro-RO"/>
        </w:rPr>
        <w:t>[90]</w:t>
      </w:r>
      <w:r w:rsidRPr="003771AE">
        <w:rPr>
          <w:rFonts w:ascii="Book Antiqua" w:eastAsia="Calibri" w:hAnsi="Book Antiqua" w:cs="Times New Roman"/>
          <w:kern w:val="0"/>
          <w:sz w:val="24"/>
          <w:szCs w:val="24"/>
          <w:lang w:val="en-GB" w:eastAsia="ro-RO"/>
        </w:rPr>
        <w:t xml:space="preserve"> showed that there was no relation between IL-2 SNPs and gastric ulcers, duodenal ulcers, and GC in cases from South Korea</w:t>
      </w:r>
      <w:r w:rsidRPr="003771AE">
        <w:rPr>
          <w:rFonts w:ascii="Book Antiqua" w:eastAsia="Calibri" w:hAnsi="Book Antiqua" w:cs="Times New Roman"/>
          <w:kern w:val="0"/>
          <w:sz w:val="24"/>
          <w:szCs w:val="24"/>
          <w:lang w:val="en-GB" w:eastAsia="en-US"/>
        </w:rPr>
        <w:t xml:space="preserve">. </w:t>
      </w:r>
      <w:r w:rsidRPr="003771AE">
        <w:rPr>
          <w:rFonts w:ascii="Book Antiqua" w:eastAsia="Times New Roman" w:hAnsi="Book Antiqua" w:cs="Times New Roman"/>
          <w:kern w:val="0"/>
          <w:sz w:val="24"/>
          <w:szCs w:val="24"/>
          <w:lang w:val="en-GB" w:eastAsia="ro-RO"/>
        </w:rPr>
        <w:t>Haplotype analysis of IL-2 –330T&gt;G and IL-2 114T&gt;G revealed that presence of the IL-2 −330G/+114T haplotype was significantly associated (</w:t>
      </w:r>
      <w:r w:rsidRPr="003771AE">
        <w:rPr>
          <w:rFonts w:ascii="Book Antiqua" w:eastAsia="Times New Roman" w:hAnsi="Book Antiqua" w:cs="Times New Roman"/>
          <w:i/>
          <w:kern w:val="0"/>
          <w:sz w:val="24"/>
          <w:szCs w:val="24"/>
          <w:lang w:val="en-GB" w:eastAsia="ro-RO"/>
        </w:rPr>
        <w:t>P =</w:t>
      </w:r>
      <w:r w:rsidRPr="003771AE">
        <w:rPr>
          <w:rFonts w:ascii="Book Antiqua" w:eastAsia="Times New Roman" w:hAnsi="Book Antiqua" w:cs="Times New Roman"/>
          <w:kern w:val="0"/>
          <w:sz w:val="24"/>
          <w:szCs w:val="24"/>
          <w:lang w:val="en-GB" w:eastAsia="ro-RO"/>
        </w:rPr>
        <w:t xml:space="preserve"> 0.012) with a high risk of developing GC</w:t>
      </w:r>
      <w:r w:rsidRPr="003771AE">
        <w:rPr>
          <w:rFonts w:ascii="Book Antiqua" w:eastAsia="Times New Roman" w:hAnsi="Book Antiqua" w:cs="Times New Roman"/>
          <w:kern w:val="0"/>
          <w:sz w:val="24"/>
          <w:szCs w:val="24"/>
          <w:vertAlign w:val="superscript"/>
          <w:lang w:val="en-GB" w:eastAsia="ro-RO"/>
        </w:rPr>
        <w:t>[89]</w:t>
      </w:r>
      <w:r w:rsidRPr="003771AE">
        <w:rPr>
          <w:rFonts w:ascii="Book Antiqua" w:eastAsia="Times New Roman" w:hAnsi="Book Antiqua" w:cs="Times New Roman"/>
          <w:kern w:val="0"/>
          <w:sz w:val="24"/>
          <w:szCs w:val="24"/>
          <w:lang w:val="en-GB" w:eastAsia="ro-RO"/>
        </w:rPr>
        <w:t xml:space="preserve">. </w:t>
      </w:r>
    </w:p>
    <w:p w14:paraId="3FB5582C" w14:textId="77777777" w:rsidR="0011105F" w:rsidRPr="003771AE" w:rsidRDefault="0011105F" w:rsidP="00B13154">
      <w:pPr>
        <w:widowControl/>
        <w:snapToGrid w:val="0"/>
        <w:spacing w:line="360" w:lineRule="auto"/>
        <w:ind w:firstLineChars="100" w:firstLine="240"/>
        <w:rPr>
          <w:rFonts w:ascii="Book Antiqua" w:eastAsia="Times New Roman" w:hAnsi="Book Antiqua" w:cs="Times New Roman"/>
          <w:kern w:val="0"/>
          <w:sz w:val="24"/>
          <w:szCs w:val="24"/>
          <w:lang w:val="en-GB" w:eastAsia="ro-RO"/>
        </w:rPr>
      </w:pPr>
      <w:r w:rsidRPr="003771AE">
        <w:rPr>
          <w:rFonts w:ascii="Book Antiqua" w:eastAsia="Calibri" w:hAnsi="Book Antiqua" w:cs="Times New Roman"/>
          <w:kern w:val="0"/>
          <w:sz w:val="24"/>
          <w:szCs w:val="24"/>
          <w:lang w:val="en-GB" w:eastAsia="en-US"/>
        </w:rPr>
        <w:t>A meta-analysis that included 3,060 patients and 3,435 controls indicated that the GG genotype of the IL-2 –330T&gt;G SNP was significantly associated with cancer risk in Asians (OR = 2.03, 95%CI: 1.40–2.95)</w:t>
      </w:r>
      <w:r w:rsidRPr="003771AE">
        <w:rPr>
          <w:rFonts w:ascii="Book Antiqua" w:eastAsia="Calibri" w:hAnsi="Book Antiqua" w:cs="Times New Roman"/>
          <w:kern w:val="0"/>
          <w:sz w:val="24"/>
          <w:szCs w:val="24"/>
          <w:vertAlign w:val="superscript"/>
          <w:lang w:val="en-GB" w:eastAsia="en-US"/>
        </w:rPr>
        <w:t>[91]</w:t>
      </w:r>
      <w:r w:rsidRPr="003771AE">
        <w:rPr>
          <w:rFonts w:ascii="Book Antiqua" w:eastAsia="Times New Roman" w:hAnsi="Book Antiqua" w:cs="Times New Roman"/>
          <w:kern w:val="0"/>
          <w:sz w:val="24"/>
          <w:szCs w:val="24"/>
          <w:lang w:val="en-GB" w:eastAsia="ro-RO"/>
        </w:rPr>
        <w:t xml:space="preserve">. When Zhao </w:t>
      </w:r>
      <w:r w:rsidRPr="003771AE">
        <w:rPr>
          <w:rFonts w:ascii="Book Antiqua" w:eastAsia="Times New Roman" w:hAnsi="Book Antiqua" w:cs="Times New Roman"/>
          <w:i/>
          <w:kern w:val="0"/>
          <w:sz w:val="24"/>
          <w:szCs w:val="24"/>
          <w:lang w:val="en-GB" w:eastAsia="ro-RO"/>
        </w:rPr>
        <w:t>et al</w:t>
      </w:r>
      <w:r w:rsidRPr="003771AE">
        <w:rPr>
          <w:rFonts w:ascii="Book Antiqua" w:eastAsia="Calibri" w:hAnsi="Book Antiqua" w:cs="Times New Roman"/>
          <w:kern w:val="0"/>
          <w:sz w:val="24"/>
          <w:szCs w:val="24"/>
          <w:vertAlign w:val="superscript"/>
          <w:lang w:val="en-GB" w:eastAsia="en-US"/>
        </w:rPr>
        <w:t>[91]</w:t>
      </w:r>
      <w:r w:rsidRPr="003771AE">
        <w:rPr>
          <w:rFonts w:ascii="Book Antiqua" w:eastAsia="Calibri" w:hAnsi="Book Antiqua" w:cs="Times New Roman"/>
          <w:kern w:val="0"/>
          <w:sz w:val="24"/>
          <w:szCs w:val="24"/>
          <w:lang w:val="en-GB" w:eastAsia="en-US"/>
        </w:rPr>
        <w:t xml:space="preserve"> then stratified the analysis by cancer types, they found no association of IL-2 –330T&gt;G SNP with GC. </w:t>
      </w:r>
      <w:r w:rsidRPr="003771AE">
        <w:rPr>
          <w:rFonts w:ascii="Book Antiqua" w:eastAsia="Times New Roman" w:hAnsi="Book Antiqua" w:cs="Times New Roman"/>
          <w:kern w:val="0"/>
          <w:sz w:val="24"/>
          <w:szCs w:val="24"/>
          <w:lang w:val="en-GB" w:eastAsia="ro-RO"/>
        </w:rPr>
        <w:t xml:space="preserve">In contrast, Liu </w:t>
      </w:r>
      <w:r w:rsidRPr="003771AE">
        <w:rPr>
          <w:rFonts w:ascii="Book Antiqua" w:eastAsia="Times New Roman" w:hAnsi="Book Antiqua" w:cs="Times New Roman"/>
          <w:i/>
          <w:kern w:val="0"/>
          <w:sz w:val="24"/>
          <w:szCs w:val="24"/>
          <w:lang w:val="en-GB" w:eastAsia="ro-RO"/>
        </w:rPr>
        <w:t>et al</w:t>
      </w:r>
      <w:r w:rsidRPr="003771AE">
        <w:rPr>
          <w:rFonts w:ascii="Book Antiqua" w:eastAsia="Times New Roman" w:hAnsi="Book Antiqua" w:cs="Times New Roman"/>
          <w:kern w:val="0"/>
          <w:sz w:val="24"/>
          <w:szCs w:val="24"/>
          <w:vertAlign w:val="superscript"/>
          <w:lang w:val="en-GB" w:eastAsia="ro-RO"/>
        </w:rPr>
        <w:t>[92]</w:t>
      </w:r>
      <w:r w:rsidRPr="003771AE">
        <w:rPr>
          <w:rFonts w:ascii="Book Antiqua" w:eastAsia="Times New Roman" w:hAnsi="Book Antiqua" w:cs="Times New Roman"/>
          <w:kern w:val="0"/>
          <w:sz w:val="24"/>
          <w:szCs w:val="24"/>
          <w:lang w:val="en-GB" w:eastAsia="ro-RO"/>
        </w:rPr>
        <w:t xml:space="preserve"> reported no association between IL-2 –330T&gt;G and IL-2 114T&gt;G and GC risk.</w:t>
      </w:r>
    </w:p>
    <w:p w14:paraId="2B046BF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i/>
          <w:kern w:val="0"/>
          <w:sz w:val="24"/>
          <w:szCs w:val="24"/>
          <w:lang w:val="en-GB" w:eastAsia="en-US"/>
        </w:rPr>
      </w:pPr>
    </w:p>
    <w:p w14:paraId="63AFF19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i/>
          <w:kern w:val="0"/>
          <w:sz w:val="24"/>
          <w:szCs w:val="24"/>
          <w:lang w:val="en-GB" w:eastAsia="en-US"/>
        </w:rPr>
      </w:pPr>
      <w:r w:rsidRPr="003771AE">
        <w:rPr>
          <w:rFonts w:ascii="Book Antiqua" w:eastAsia="Calibri" w:hAnsi="Book Antiqua" w:cs="Times New Roman"/>
          <w:b/>
          <w:i/>
          <w:kern w:val="0"/>
          <w:sz w:val="24"/>
          <w:szCs w:val="24"/>
          <w:lang w:val="en-GB" w:eastAsia="en-US"/>
        </w:rPr>
        <w:t>IL-4</w:t>
      </w:r>
    </w:p>
    <w:p w14:paraId="6FD3695E" w14:textId="77777777" w:rsidR="0011105F" w:rsidRPr="003771AE" w:rsidRDefault="0011105F" w:rsidP="00F17106">
      <w:pPr>
        <w:widowControl/>
        <w:snapToGrid w:val="0"/>
        <w:spacing w:line="360" w:lineRule="auto"/>
        <w:rPr>
          <w:rFonts w:ascii="Book Antiqua" w:eastAsia="Calibri" w:hAnsi="Book Antiqua" w:cs="Times New Roman"/>
          <w:kern w:val="0"/>
          <w:sz w:val="24"/>
          <w:szCs w:val="24"/>
          <w:lang w:val="en-GB" w:eastAsia="ro-RO"/>
        </w:rPr>
      </w:pPr>
      <w:r w:rsidRPr="003771AE">
        <w:rPr>
          <w:rFonts w:ascii="Book Antiqua" w:eastAsia="Calibri" w:hAnsi="Book Antiqua" w:cs="Times New Roman"/>
          <w:kern w:val="0"/>
          <w:sz w:val="24"/>
          <w:szCs w:val="24"/>
          <w:lang w:val="en-GB" w:eastAsia="en-US"/>
        </w:rPr>
        <w:t xml:space="preserve">IL-4 is an important immunomodulatory cytokine that plays </w:t>
      </w:r>
      <w:r w:rsidRPr="003771AE">
        <w:rPr>
          <w:rFonts w:ascii="Book Antiqua" w:eastAsia="FranklinGothic-Book" w:hAnsi="Book Antiqua" w:cs="Times New Roman"/>
          <w:kern w:val="0"/>
          <w:sz w:val="24"/>
          <w:szCs w:val="24"/>
          <w:lang w:val="en-GB" w:eastAsia="ro-RO"/>
        </w:rPr>
        <w:t>a major role in regulating the differentiation and activation of lymphocytes. In addition, IL-4 inhibits the secretion of proinflammatory cytokines to promote tumour cells, affecting IL-1, IL-6 and TNF-α in particular</w:t>
      </w:r>
      <w:r w:rsidRPr="003771AE">
        <w:rPr>
          <w:rFonts w:ascii="Book Antiqua" w:eastAsia="FranklinGothic-Book" w:hAnsi="Book Antiqua" w:cs="Times New Roman"/>
          <w:kern w:val="0"/>
          <w:sz w:val="24"/>
          <w:szCs w:val="24"/>
          <w:vertAlign w:val="superscript"/>
          <w:lang w:val="en-GB" w:eastAsia="ro-RO"/>
        </w:rPr>
        <w:t>[93]</w:t>
      </w:r>
      <w:r w:rsidRPr="003771AE">
        <w:rPr>
          <w:rFonts w:ascii="Book Antiqua" w:eastAsia="FranklinGothic-Book" w:hAnsi="Book Antiqua" w:cs="Times New Roman"/>
          <w:kern w:val="0"/>
          <w:sz w:val="24"/>
          <w:szCs w:val="24"/>
          <w:lang w:val="en-GB" w:eastAsia="ro-RO"/>
        </w:rPr>
        <w:t xml:space="preserve">. The </w:t>
      </w:r>
      <w:r w:rsidRPr="003771AE">
        <w:rPr>
          <w:rFonts w:ascii="Book Antiqua" w:eastAsia="Calibri" w:hAnsi="Book Antiqua" w:cs="Times New Roman"/>
          <w:kern w:val="0"/>
          <w:sz w:val="24"/>
          <w:szCs w:val="24"/>
          <w:lang w:val="en-GB" w:eastAsia="en-US"/>
        </w:rPr>
        <w:t xml:space="preserve">IL-4 –590T (OR = 2.2, 95%CI: 1.1–4.4, </w:t>
      </w:r>
      <w:r w:rsidRPr="003771AE">
        <w:rPr>
          <w:rFonts w:ascii="Book Antiqua" w:eastAsia="Calibri" w:hAnsi="Book Antiqua" w:cs="Times New Roman"/>
          <w:i/>
          <w:kern w:val="0"/>
          <w:sz w:val="24"/>
          <w:szCs w:val="24"/>
          <w:lang w:val="en-GB" w:eastAsia="en-US"/>
        </w:rPr>
        <w:t>P =</w:t>
      </w:r>
      <w:r w:rsidRPr="003771AE">
        <w:rPr>
          <w:rFonts w:ascii="Book Antiqua" w:eastAsia="Calibri" w:hAnsi="Book Antiqua" w:cs="Times New Roman"/>
          <w:kern w:val="0"/>
          <w:sz w:val="24"/>
          <w:szCs w:val="24"/>
          <w:lang w:val="en-GB" w:eastAsia="en-US"/>
        </w:rPr>
        <w:t xml:space="preserve"> 0.04) and IL-4 –33T (OR = 3.9, 95%CI: 1.7–8.9, </w:t>
      </w:r>
      <w:r w:rsidRPr="003771AE">
        <w:rPr>
          <w:rFonts w:ascii="Book Antiqua" w:eastAsia="Calibri" w:hAnsi="Book Antiqua" w:cs="Times New Roman"/>
          <w:i/>
          <w:kern w:val="0"/>
          <w:sz w:val="24"/>
          <w:szCs w:val="24"/>
          <w:lang w:val="en-GB" w:eastAsia="en-US"/>
        </w:rPr>
        <w:t>P =</w:t>
      </w:r>
      <w:r w:rsidRPr="003771AE">
        <w:rPr>
          <w:rFonts w:ascii="Book Antiqua" w:eastAsia="Calibri" w:hAnsi="Book Antiqua" w:cs="Times New Roman"/>
          <w:kern w:val="0"/>
          <w:sz w:val="24"/>
          <w:szCs w:val="24"/>
          <w:lang w:val="en-GB" w:eastAsia="en-US"/>
        </w:rPr>
        <w:t xml:space="preserve"> 0.001) variant alleles were found to be more frequent among intestinal-type GC cases and to be associated with intestinal-type GC occurrence. A higher prevalence of IL-4 –590TT (OR = 6.7, 95%CI: 1.4–32.4, </w:t>
      </w:r>
      <w:r w:rsidRPr="003771AE">
        <w:rPr>
          <w:rFonts w:ascii="Book Antiqua" w:eastAsia="Calibri" w:hAnsi="Book Antiqua" w:cs="Times New Roman"/>
          <w:i/>
          <w:kern w:val="0"/>
          <w:sz w:val="24"/>
          <w:szCs w:val="24"/>
          <w:lang w:val="en-GB" w:eastAsia="en-US"/>
        </w:rPr>
        <w:t>P =</w:t>
      </w:r>
      <w:r w:rsidRPr="003771AE">
        <w:rPr>
          <w:rFonts w:ascii="Book Antiqua" w:eastAsia="Calibri" w:hAnsi="Book Antiqua" w:cs="Times New Roman"/>
          <w:kern w:val="0"/>
          <w:sz w:val="24"/>
          <w:szCs w:val="24"/>
          <w:lang w:val="en-GB" w:eastAsia="en-US"/>
        </w:rPr>
        <w:t xml:space="preserve"> 0.01) and IL-4 –33TT (OR = 2.2, 95%CI: 1.7–2.8, </w:t>
      </w:r>
      <w:r w:rsidRPr="003771AE">
        <w:rPr>
          <w:rFonts w:ascii="Book Antiqua" w:eastAsia="Calibri" w:hAnsi="Book Antiqua" w:cs="Times New Roman"/>
          <w:i/>
          <w:kern w:val="0"/>
          <w:sz w:val="24"/>
          <w:szCs w:val="24"/>
          <w:lang w:val="en-GB" w:eastAsia="en-US"/>
        </w:rPr>
        <w:t>P =</w:t>
      </w:r>
      <w:r w:rsidRPr="003771AE">
        <w:rPr>
          <w:rFonts w:ascii="Book Antiqua" w:eastAsia="Calibri" w:hAnsi="Book Antiqua" w:cs="Times New Roman"/>
          <w:kern w:val="0"/>
          <w:sz w:val="24"/>
          <w:szCs w:val="24"/>
          <w:lang w:val="en-GB" w:eastAsia="en-US"/>
        </w:rPr>
        <w:t xml:space="preserve"> 0.002) genotypes was found in intestinal-type GC patients</w:t>
      </w:r>
      <w:r w:rsidRPr="003771AE">
        <w:rPr>
          <w:rFonts w:ascii="Book Antiqua" w:eastAsia="Calibri" w:hAnsi="Book Antiqua" w:cs="Times New Roman"/>
          <w:kern w:val="0"/>
          <w:sz w:val="24"/>
          <w:szCs w:val="24"/>
          <w:vertAlign w:val="superscript"/>
          <w:lang w:val="en-GB" w:eastAsia="en-US"/>
        </w:rPr>
        <w:t>[94]</w:t>
      </w:r>
      <w:r w:rsidRPr="003771AE">
        <w:rPr>
          <w:rFonts w:ascii="Book Antiqua" w:eastAsia="Times New Roman" w:hAnsi="Book Antiqua" w:cs="Times New Roman"/>
          <w:bCs/>
          <w:kern w:val="0"/>
          <w:sz w:val="24"/>
          <w:szCs w:val="24"/>
          <w:lang w:val="en-GB" w:eastAsia="ro-RO"/>
        </w:rPr>
        <w:t xml:space="preserve">. </w:t>
      </w:r>
      <w:r w:rsidRPr="003771AE">
        <w:rPr>
          <w:rFonts w:ascii="Book Antiqua" w:eastAsia="Calibri" w:hAnsi="Book Antiqua" w:cs="Times New Roman"/>
          <w:kern w:val="0"/>
          <w:sz w:val="24"/>
          <w:szCs w:val="24"/>
          <w:lang w:val="en-GB" w:eastAsia="en-US"/>
        </w:rPr>
        <w:t>Another study performed on 308 GC patients and 308 controls from South-Western China found the variant genotype of IL-4 590 C&gt;T (</w:t>
      </w:r>
      <w:r w:rsidRPr="003771AE">
        <w:rPr>
          <w:rFonts w:ascii="Book Antiqua" w:eastAsia="FranklinGothic-Book" w:hAnsi="Book Antiqua" w:cs="Times New Roman"/>
          <w:kern w:val="0"/>
          <w:sz w:val="24"/>
          <w:szCs w:val="24"/>
          <w:lang w:val="en-GB" w:eastAsia="ro-RO"/>
        </w:rPr>
        <w:t xml:space="preserve">rs2243250) </w:t>
      </w:r>
      <w:r w:rsidRPr="003771AE">
        <w:rPr>
          <w:rFonts w:ascii="Book Antiqua" w:eastAsia="Calibri" w:hAnsi="Book Antiqua" w:cs="Times New Roman"/>
          <w:kern w:val="0"/>
          <w:sz w:val="24"/>
          <w:szCs w:val="24"/>
          <w:lang w:val="en-GB" w:eastAsia="en-US"/>
        </w:rPr>
        <w:t xml:space="preserve">to not be associated with overall GC risk (OR = 0.89, 95%CI: 0.61–1.28 for CT or CC </w:t>
      </w:r>
      <w:r w:rsidRPr="003771AE">
        <w:rPr>
          <w:rFonts w:ascii="Book Antiqua" w:eastAsia="Calibri" w:hAnsi="Book Antiqua" w:cs="Times New Roman"/>
          <w:i/>
          <w:kern w:val="0"/>
          <w:sz w:val="24"/>
          <w:szCs w:val="24"/>
          <w:lang w:val="en-GB" w:eastAsia="en-US"/>
        </w:rPr>
        <w:t xml:space="preserve">vs </w:t>
      </w:r>
      <w:r w:rsidRPr="003771AE">
        <w:rPr>
          <w:rFonts w:ascii="Book Antiqua" w:eastAsia="Calibri" w:hAnsi="Book Antiqua" w:cs="Times New Roman"/>
          <w:kern w:val="0"/>
          <w:sz w:val="24"/>
          <w:szCs w:val="24"/>
          <w:lang w:val="en-GB" w:eastAsia="en-US"/>
        </w:rPr>
        <w:t>TT)</w:t>
      </w:r>
      <w:r w:rsidRPr="003771AE">
        <w:rPr>
          <w:rFonts w:ascii="Book Antiqua" w:eastAsia="Calibri" w:hAnsi="Book Antiqua" w:cs="Times New Roman"/>
          <w:kern w:val="0"/>
          <w:sz w:val="24"/>
          <w:szCs w:val="24"/>
          <w:vertAlign w:val="superscript"/>
          <w:lang w:val="en-GB" w:eastAsia="en-US"/>
        </w:rPr>
        <w:t>[95]</w:t>
      </w:r>
      <w:r w:rsidRPr="003771AE">
        <w:rPr>
          <w:rFonts w:ascii="Book Antiqua" w:eastAsia="Calibri" w:hAnsi="Book Antiqua" w:cs="Times New Roman"/>
          <w:kern w:val="0"/>
          <w:sz w:val="24"/>
          <w:szCs w:val="24"/>
          <w:lang w:val="en-GB" w:eastAsia="en-US"/>
        </w:rPr>
        <w:t>.</w:t>
      </w:r>
    </w:p>
    <w:p w14:paraId="1C7E3A9B" w14:textId="77777777" w:rsidR="0011105F" w:rsidRPr="003771AE" w:rsidRDefault="0011105F" w:rsidP="00B13154">
      <w:pPr>
        <w:widowControl/>
        <w:snapToGrid w:val="0"/>
        <w:spacing w:line="360" w:lineRule="auto"/>
        <w:ind w:firstLineChars="100" w:firstLine="240"/>
        <w:rPr>
          <w:rFonts w:ascii="Book Antiqua" w:eastAsia="Calibri" w:hAnsi="Book Antiqua" w:cs="Times New Roman"/>
          <w:kern w:val="0"/>
          <w:sz w:val="24"/>
          <w:szCs w:val="24"/>
          <w:lang w:val="en-GB" w:eastAsia="en-US"/>
        </w:rPr>
      </w:pPr>
      <w:r w:rsidRPr="003771AE">
        <w:rPr>
          <w:rFonts w:ascii="Book Antiqua" w:eastAsia="Times New Roman" w:hAnsi="Book Antiqua" w:cs="Times New Roman"/>
          <w:bCs/>
          <w:kern w:val="0"/>
          <w:sz w:val="24"/>
          <w:szCs w:val="24"/>
          <w:lang w:val="en-GB" w:eastAsia="ro-RO"/>
        </w:rPr>
        <w:t xml:space="preserve">A small increase in susceptibility for GA was found in a Venezuelan study of 2033 subjects from a region with high prevalence of </w:t>
      </w:r>
      <w:r w:rsidRPr="003771AE">
        <w:rPr>
          <w:rFonts w:ascii="Book Antiqua" w:eastAsia="Times New Roman" w:hAnsi="Book Antiqua" w:cs="Times New Roman"/>
          <w:bCs/>
          <w:i/>
          <w:kern w:val="0"/>
          <w:sz w:val="24"/>
          <w:szCs w:val="24"/>
          <w:lang w:val="en-GB" w:eastAsia="ro-RO"/>
        </w:rPr>
        <w:t>H. pylori</w:t>
      </w:r>
      <w:r w:rsidRPr="003771AE">
        <w:rPr>
          <w:rFonts w:ascii="Book Antiqua" w:eastAsia="Times New Roman" w:hAnsi="Book Antiqua" w:cs="Times New Roman"/>
          <w:bCs/>
          <w:kern w:val="0"/>
          <w:sz w:val="24"/>
          <w:szCs w:val="24"/>
          <w:lang w:val="en-GB" w:eastAsia="ro-RO"/>
        </w:rPr>
        <w:t xml:space="preserve"> infection conducted by Kato </w:t>
      </w:r>
      <w:r w:rsidRPr="003771AE">
        <w:rPr>
          <w:rFonts w:ascii="Book Antiqua" w:eastAsia="Calibri" w:hAnsi="Book Antiqua" w:cs="Times New Roman"/>
          <w:i/>
          <w:kern w:val="0"/>
          <w:sz w:val="24"/>
          <w:szCs w:val="24"/>
          <w:lang w:val="en-GB" w:eastAsia="en-US"/>
        </w:rPr>
        <w:t>et al</w:t>
      </w:r>
      <w:r w:rsidRPr="003771AE">
        <w:rPr>
          <w:rFonts w:ascii="Book Antiqua" w:eastAsia="Times New Roman" w:hAnsi="Book Antiqua" w:cs="Times New Roman"/>
          <w:bCs/>
          <w:kern w:val="0"/>
          <w:sz w:val="24"/>
          <w:szCs w:val="24"/>
          <w:vertAlign w:val="superscript"/>
          <w:lang w:val="en-GB" w:eastAsia="ro-RO"/>
        </w:rPr>
        <w:t>[96]</w:t>
      </w:r>
      <w:r w:rsidRPr="003771AE">
        <w:rPr>
          <w:rFonts w:ascii="Book Antiqua" w:eastAsia="Times New Roman" w:hAnsi="Book Antiqua" w:cs="Times New Roman"/>
          <w:bCs/>
          <w:kern w:val="0"/>
          <w:sz w:val="24"/>
          <w:szCs w:val="24"/>
          <w:lang w:val="en-GB" w:eastAsia="ro-RO"/>
        </w:rPr>
        <w:t>, specifically for the homozygous allele (GG) of the 398 A/G polymorphism in the IL-4R gene</w:t>
      </w:r>
    </w:p>
    <w:p w14:paraId="319AFEB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i/>
          <w:kern w:val="0"/>
          <w:sz w:val="24"/>
          <w:szCs w:val="24"/>
          <w:lang w:val="en-GB" w:eastAsia="en-US"/>
        </w:rPr>
      </w:pPr>
    </w:p>
    <w:p w14:paraId="222B558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i/>
          <w:kern w:val="0"/>
          <w:sz w:val="24"/>
          <w:szCs w:val="24"/>
          <w:lang w:val="en-GB" w:eastAsia="en-US"/>
        </w:rPr>
      </w:pPr>
      <w:r w:rsidRPr="003771AE">
        <w:rPr>
          <w:rFonts w:ascii="Book Antiqua" w:eastAsia="Calibri" w:hAnsi="Book Antiqua" w:cs="Times New Roman"/>
          <w:b/>
          <w:i/>
          <w:kern w:val="0"/>
          <w:sz w:val="24"/>
          <w:szCs w:val="24"/>
          <w:lang w:val="en-GB" w:eastAsia="en-US"/>
        </w:rPr>
        <w:t>IL-6</w:t>
      </w:r>
    </w:p>
    <w:p w14:paraId="737BFC3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ro-RO"/>
        </w:rPr>
        <w:t>A previous study showed that IL-6 and IL-8 appear early during the inflammation process. IL-6 is a multifunctional cytokine that functions both as an endocrine regulator and as an inflammatory mediator. Moreover, IL-6 has a substantial role in host defence mechanisms, serving as a messenger between the innate and adaptive systems</w:t>
      </w:r>
      <w:r w:rsidRPr="003771AE">
        <w:rPr>
          <w:rFonts w:ascii="Book Antiqua" w:eastAsia="Calibri" w:hAnsi="Book Antiqua" w:cs="Times New Roman"/>
          <w:kern w:val="0"/>
          <w:sz w:val="24"/>
          <w:szCs w:val="24"/>
          <w:vertAlign w:val="superscript"/>
          <w:lang w:val="en-GB" w:eastAsia="ro-RO"/>
        </w:rPr>
        <w:t>[97]</w:t>
      </w:r>
      <w:r w:rsidRPr="003771AE">
        <w:rPr>
          <w:rFonts w:ascii="Book Antiqua" w:eastAsia="Times New Roman" w:hAnsi="Book Antiqua" w:cs="Times New Roman"/>
          <w:bCs/>
          <w:kern w:val="0"/>
          <w:sz w:val="24"/>
          <w:szCs w:val="24"/>
          <w:lang w:val="en-GB" w:eastAsia="ro-RO"/>
        </w:rPr>
        <w:t xml:space="preserve">. </w:t>
      </w:r>
      <w:r w:rsidRPr="003771AE">
        <w:rPr>
          <w:rFonts w:ascii="Book Antiqua" w:eastAsia="Calibri" w:hAnsi="Book Antiqua" w:cs="Times New Roman"/>
          <w:kern w:val="0"/>
          <w:sz w:val="24"/>
          <w:szCs w:val="24"/>
          <w:lang w:val="en-GB" w:eastAsia="ro-RO"/>
        </w:rPr>
        <w:t xml:space="preserve">Some studies observed that presence of </w:t>
      </w:r>
      <w:r w:rsidRPr="003771AE">
        <w:rPr>
          <w:rFonts w:ascii="Book Antiqua" w:eastAsia="Calibri" w:hAnsi="Book Antiqua" w:cs="Times New Roman"/>
          <w:kern w:val="0"/>
          <w:sz w:val="24"/>
          <w:szCs w:val="24"/>
          <w:lang w:val="en-GB" w:eastAsia="en-US"/>
        </w:rPr>
        <w:t>the IL6 -174G allele is associated with a higher production of Il-6</w:t>
      </w:r>
      <w:r w:rsidRPr="003771AE">
        <w:rPr>
          <w:rFonts w:ascii="Book Antiqua" w:eastAsia="Calibri" w:hAnsi="Book Antiqua" w:cs="Times New Roman"/>
          <w:kern w:val="0"/>
          <w:sz w:val="24"/>
          <w:szCs w:val="24"/>
          <w:vertAlign w:val="superscript"/>
          <w:lang w:val="en-GB" w:eastAsia="en-US"/>
        </w:rPr>
        <w:t>[98]</w:t>
      </w:r>
      <w:r w:rsidRPr="003771AE">
        <w:rPr>
          <w:rFonts w:ascii="Book Antiqua" w:eastAsia="Calibri" w:hAnsi="Book Antiqua" w:cs="Times New Roman"/>
          <w:kern w:val="0"/>
          <w:sz w:val="24"/>
          <w:szCs w:val="24"/>
          <w:lang w:val="en-GB" w:eastAsia="en-US"/>
        </w:rPr>
        <w:t xml:space="preserve"> compared to that detected in individuals with the CC genotype. Another study revealed higher levels of IL-6 in the gastric mucosa in </w:t>
      </w:r>
      <w:r w:rsidRPr="003771AE">
        <w:rPr>
          <w:rFonts w:ascii="Book Antiqua" w:eastAsia="Calibri" w:hAnsi="Book Antiqua" w:cs="Times New Roman"/>
          <w:i/>
          <w:iCs/>
          <w:kern w:val="0"/>
          <w:sz w:val="24"/>
          <w:szCs w:val="24"/>
          <w:lang w:val="en-GB" w:eastAsia="ro-RO"/>
        </w:rPr>
        <w:t>H. pylori</w:t>
      </w:r>
      <w:r w:rsidRPr="003771AE">
        <w:rPr>
          <w:rFonts w:ascii="Book Antiqua" w:eastAsia="Calibri" w:hAnsi="Book Antiqua" w:cs="Times New Roman"/>
          <w:kern w:val="0"/>
          <w:sz w:val="24"/>
          <w:szCs w:val="24"/>
          <w:lang w:val="en-GB" w:eastAsia="ro-RO"/>
        </w:rPr>
        <w:t xml:space="preserve">-positive patients compared to </w:t>
      </w:r>
      <w:r w:rsidRPr="003771AE">
        <w:rPr>
          <w:rFonts w:ascii="Book Antiqua" w:eastAsia="Calibri" w:hAnsi="Book Antiqua" w:cs="Times New Roman"/>
          <w:i/>
          <w:kern w:val="0"/>
          <w:sz w:val="24"/>
          <w:szCs w:val="24"/>
          <w:lang w:val="en-GB" w:eastAsia="ro-RO"/>
        </w:rPr>
        <w:t>H. pylori</w:t>
      </w:r>
      <w:r w:rsidRPr="003771AE">
        <w:rPr>
          <w:rFonts w:ascii="Book Antiqua" w:eastAsia="Calibri" w:hAnsi="Book Antiqua" w:cs="Times New Roman"/>
          <w:kern w:val="0"/>
          <w:sz w:val="24"/>
          <w:szCs w:val="24"/>
          <w:lang w:val="en-GB" w:eastAsia="ro-RO"/>
        </w:rPr>
        <w:t>-negative cases</w:t>
      </w:r>
      <w:r w:rsidRPr="003771AE">
        <w:rPr>
          <w:rFonts w:ascii="Book Antiqua" w:eastAsia="Calibri" w:hAnsi="Book Antiqua" w:cs="Times New Roman"/>
          <w:kern w:val="0"/>
          <w:sz w:val="24"/>
          <w:szCs w:val="24"/>
          <w:vertAlign w:val="superscript"/>
          <w:lang w:val="en-GB" w:eastAsia="ro-RO"/>
        </w:rPr>
        <w:t>[99]</w:t>
      </w:r>
      <w:r w:rsidRPr="003771AE">
        <w:rPr>
          <w:rFonts w:ascii="Book Antiqua" w:eastAsia="Calibri" w:hAnsi="Book Antiqua" w:cs="Times New Roman"/>
          <w:kern w:val="0"/>
          <w:sz w:val="24"/>
          <w:szCs w:val="24"/>
          <w:lang w:val="en-GB" w:eastAsia="ro-RO"/>
        </w:rPr>
        <w:t>.</w:t>
      </w:r>
    </w:p>
    <w:p w14:paraId="7687DFAF" w14:textId="271ED362" w:rsidR="0011105F" w:rsidRPr="003771AE" w:rsidRDefault="0011105F" w:rsidP="00B13154">
      <w:pPr>
        <w:widowControl/>
        <w:snapToGrid w:val="0"/>
        <w:spacing w:line="360" w:lineRule="auto"/>
        <w:ind w:firstLineChars="100" w:firstLine="240"/>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 xml:space="preserve">Recently, it was reported that the IL6 –174C allele (OR = 2.7, 95%CI: 1.5–4.8, </w:t>
      </w:r>
      <w:r w:rsidRPr="003771AE">
        <w:rPr>
          <w:rFonts w:ascii="Book Antiqua" w:eastAsia="Calibri" w:hAnsi="Book Antiqua" w:cs="Times New Roman"/>
          <w:i/>
          <w:kern w:val="0"/>
          <w:sz w:val="24"/>
          <w:szCs w:val="24"/>
          <w:lang w:val="en-GB" w:eastAsia="en-US"/>
        </w:rPr>
        <w:t>P =</w:t>
      </w:r>
      <w:r w:rsidRPr="003771AE">
        <w:rPr>
          <w:rFonts w:ascii="Book Antiqua" w:eastAsia="Calibri" w:hAnsi="Book Antiqua" w:cs="Times New Roman"/>
          <w:kern w:val="0"/>
          <w:sz w:val="24"/>
          <w:szCs w:val="24"/>
          <w:lang w:val="en-GB" w:eastAsia="en-US"/>
        </w:rPr>
        <w:t xml:space="preserve"> 0.0006) and IL-6 –174CC genotype (OR = 3.8, 95%CI: 1.7–8.7, </w:t>
      </w:r>
      <w:r w:rsidRPr="003771AE">
        <w:rPr>
          <w:rFonts w:ascii="Book Antiqua" w:eastAsia="Calibri" w:hAnsi="Book Antiqua" w:cs="Times New Roman"/>
          <w:i/>
          <w:kern w:val="0"/>
          <w:sz w:val="24"/>
          <w:szCs w:val="24"/>
          <w:lang w:val="en-GB" w:eastAsia="en-US"/>
        </w:rPr>
        <w:t>P =</w:t>
      </w:r>
      <w:r w:rsidRPr="003771AE">
        <w:rPr>
          <w:rFonts w:ascii="Book Antiqua" w:eastAsia="Calibri" w:hAnsi="Book Antiqua" w:cs="Times New Roman"/>
          <w:kern w:val="0"/>
          <w:sz w:val="24"/>
          <w:szCs w:val="24"/>
          <w:lang w:val="en-GB" w:eastAsia="en-US"/>
        </w:rPr>
        <w:t xml:space="preserve"> 0.002) showed higher prevalence in diffuse-type GC, while the IL-6 –174CG genotype showed a higher prevalence (95%CI: 2.7–20.3, OR = 7.3) in a series of Portuguese intestinal-type GC</w:t>
      </w:r>
      <w:r w:rsidR="00B13154">
        <w:rPr>
          <w:rFonts w:ascii="Book Antiqua" w:eastAsia="Calibri" w:hAnsi="Book Antiqua" w:cs="Times New Roman"/>
          <w:kern w:val="0"/>
          <w:sz w:val="24"/>
          <w:szCs w:val="24"/>
          <w:lang w:val="en-GB" w:eastAsia="en-US"/>
        </w:rPr>
        <w:t xml:space="preserve"> </w:t>
      </w:r>
      <w:r w:rsidRPr="003771AE">
        <w:rPr>
          <w:rFonts w:ascii="Book Antiqua" w:eastAsia="Calibri" w:hAnsi="Book Antiqua" w:cs="Times New Roman"/>
          <w:kern w:val="0"/>
          <w:sz w:val="24"/>
          <w:szCs w:val="24"/>
          <w:lang w:val="en-GB" w:eastAsia="en-US"/>
        </w:rPr>
        <w:t>cases</w:t>
      </w:r>
      <w:r w:rsidRPr="003771AE">
        <w:rPr>
          <w:rFonts w:ascii="Book Antiqua" w:eastAsia="Calibri" w:hAnsi="Book Antiqua" w:cs="Times New Roman"/>
          <w:kern w:val="0"/>
          <w:sz w:val="24"/>
          <w:szCs w:val="24"/>
          <w:vertAlign w:val="superscript"/>
          <w:lang w:val="en-GB" w:eastAsia="en-US"/>
        </w:rPr>
        <w:t>[94]</w:t>
      </w:r>
      <w:r w:rsidRPr="003771AE">
        <w:rPr>
          <w:rFonts w:ascii="Book Antiqua" w:eastAsia="Times New Roman" w:hAnsi="Book Antiqua" w:cs="Times New Roman"/>
          <w:bCs/>
          <w:kern w:val="0"/>
          <w:sz w:val="24"/>
          <w:szCs w:val="24"/>
          <w:lang w:val="en-GB" w:eastAsia="ro-RO"/>
        </w:rPr>
        <w:t xml:space="preserve">. </w:t>
      </w:r>
      <w:r w:rsidRPr="003771AE">
        <w:rPr>
          <w:rFonts w:ascii="Book Antiqua" w:eastAsia="Calibri" w:hAnsi="Book Antiqua" w:cs="Times New Roman"/>
          <w:kern w:val="0"/>
          <w:sz w:val="24"/>
          <w:szCs w:val="24"/>
          <w:lang w:val="en-GB" w:eastAsia="en-US"/>
        </w:rPr>
        <w:t>The most recent published meta-analysis found that genetic polymorphisms of the IL-6 promoter are not associated with increased risk for GC, despite their role in susceptibility or prognosis of other cancers (</w:t>
      </w:r>
      <w:r w:rsidRPr="003771AE">
        <w:rPr>
          <w:rFonts w:ascii="Book Antiqua" w:eastAsia="Calibri" w:hAnsi="Book Antiqua" w:cs="Times New Roman"/>
          <w:i/>
          <w:kern w:val="0"/>
          <w:sz w:val="24"/>
          <w:szCs w:val="24"/>
          <w:lang w:val="en-GB" w:eastAsia="en-US"/>
        </w:rPr>
        <w:t>e.g</w:t>
      </w:r>
      <w:r w:rsidRPr="003771AE">
        <w:rPr>
          <w:rFonts w:ascii="Book Antiqua" w:eastAsia="Calibri" w:hAnsi="Book Antiqua" w:cs="Times New Roman"/>
          <w:kern w:val="0"/>
          <w:sz w:val="24"/>
          <w:szCs w:val="24"/>
          <w:lang w:val="en-GB" w:eastAsia="en-US"/>
        </w:rPr>
        <w:t xml:space="preserve">., breast, lung, </w:t>
      </w:r>
      <w:r w:rsidRPr="003771AE">
        <w:rPr>
          <w:rFonts w:ascii="Book Antiqua" w:eastAsia="Calibri" w:hAnsi="Book Antiqua" w:cs="Times New Roman"/>
          <w:i/>
          <w:kern w:val="0"/>
          <w:sz w:val="24"/>
          <w:szCs w:val="24"/>
          <w:lang w:val="en-GB" w:eastAsia="en-US"/>
        </w:rPr>
        <w:t>etc</w:t>
      </w:r>
      <w:r w:rsidRPr="003771AE">
        <w:rPr>
          <w:rFonts w:ascii="Book Antiqua" w:eastAsia="Calibri" w:hAnsi="Book Antiqua" w:cs="Times New Roman"/>
          <w:kern w:val="0"/>
          <w:sz w:val="24"/>
          <w:szCs w:val="24"/>
          <w:lang w:val="en-GB" w:eastAsia="en-US"/>
        </w:rPr>
        <w:t>)</w:t>
      </w:r>
      <w:r w:rsidRPr="003771AE">
        <w:rPr>
          <w:rFonts w:ascii="Book Antiqua" w:eastAsia="Calibri" w:hAnsi="Book Antiqua" w:cs="Times New Roman"/>
          <w:kern w:val="0"/>
          <w:sz w:val="24"/>
          <w:szCs w:val="24"/>
          <w:vertAlign w:val="superscript"/>
          <w:lang w:val="en-GB" w:eastAsia="en-US"/>
        </w:rPr>
        <w:t>[100]</w:t>
      </w:r>
      <w:r w:rsidRPr="003771AE">
        <w:rPr>
          <w:rFonts w:ascii="Book Antiqua" w:eastAsia="Calibri" w:hAnsi="Book Antiqua" w:cs="Times New Roman"/>
          <w:kern w:val="0"/>
          <w:sz w:val="24"/>
          <w:szCs w:val="24"/>
          <w:lang w:val="en-GB" w:eastAsia="en-US"/>
        </w:rPr>
        <w:t xml:space="preserve">. </w:t>
      </w:r>
      <w:r w:rsidRPr="003771AE">
        <w:rPr>
          <w:rFonts w:ascii="Book Antiqua" w:eastAsia="Calibri" w:hAnsi="Book Antiqua" w:cs="Times New Roman"/>
          <w:kern w:val="0"/>
          <w:sz w:val="24"/>
          <w:szCs w:val="24"/>
          <w:lang w:val="en-GB" w:eastAsia="ro-RO"/>
        </w:rPr>
        <w:t xml:space="preserve">Other studies have reported that there is no association between the IL-6 SNPs and gastritis or </w:t>
      </w:r>
      <w:r w:rsidRPr="003771AE">
        <w:rPr>
          <w:rFonts w:ascii="Book Antiqua" w:eastAsia="Calibri" w:hAnsi="Book Antiqua" w:cs="Times New Roman"/>
          <w:i/>
          <w:kern w:val="0"/>
          <w:sz w:val="24"/>
          <w:szCs w:val="24"/>
          <w:lang w:val="en-GB" w:eastAsia="ro-RO"/>
        </w:rPr>
        <w:t>H. pylori</w:t>
      </w:r>
      <w:r w:rsidRPr="003771AE">
        <w:rPr>
          <w:rFonts w:ascii="Book Antiqua" w:eastAsia="Calibri" w:hAnsi="Book Antiqua" w:cs="Times New Roman"/>
          <w:kern w:val="0"/>
          <w:sz w:val="24"/>
          <w:szCs w:val="24"/>
          <w:lang w:val="en-GB" w:eastAsia="ro-RO"/>
        </w:rPr>
        <w:t xml:space="preserve"> infection, but an association was observed between the </w:t>
      </w:r>
      <w:r w:rsidRPr="003771AE">
        <w:rPr>
          <w:rFonts w:ascii="Book Antiqua" w:eastAsia="Calibri" w:hAnsi="Book Antiqua" w:cs="Times New Roman"/>
          <w:kern w:val="0"/>
          <w:sz w:val="24"/>
          <w:szCs w:val="24"/>
          <w:lang w:val="en-GB" w:eastAsia="en-US"/>
        </w:rPr>
        <w:t xml:space="preserve">IL-6 –174CG genotype </w:t>
      </w:r>
      <w:r w:rsidRPr="003771AE">
        <w:rPr>
          <w:rFonts w:ascii="Book Antiqua" w:eastAsia="Calibri" w:hAnsi="Book Antiqua" w:cs="Times New Roman"/>
          <w:kern w:val="0"/>
          <w:sz w:val="24"/>
          <w:szCs w:val="24"/>
          <w:lang w:val="en-GB" w:eastAsia="ro-RO"/>
        </w:rPr>
        <w:t>and adenocarcinoma, regardless of the histological type of the tumour in a study from northern Brazil</w:t>
      </w:r>
      <w:r w:rsidRPr="003771AE">
        <w:rPr>
          <w:rFonts w:ascii="Book Antiqua" w:eastAsia="Calibri" w:hAnsi="Book Antiqua" w:cs="Times New Roman"/>
          <w:kern w:val="0"/>
          <w:sz w:val="24"/>
          <w:szCs w:val="24"/>
          <w:vertAlign w:val="superscript"/>
          <w:lang w:val="en-GB" w:eastAsia="ro-RO"/>
        </w:rPr>
        <w:t>[101]</w:t>
      </w:r>
      <w:r w:rsidRPr="003771AE">
        <w:rPr>
          <w:rFonts w:ascii="Book Antiqua" w:eastAsia="Times New Roman" w:hAnsi="Book Antiqua" w:cs="Times New Roman"/>
          <w:bCs/>
          <w:kern w:val="0"/>
          <w:sz w:val="24"/>
          <w:szCs w:val="24"/>
          <w:lang w:val="en-GB" w:eastAsia="ro-RO"/>
        </w:rPr>
        <w:t>.</w:t>
      </w:r>
    </w:p>
    <w:p w14:paraId="559D39C7" w14:textId="77777777" w:rsidR="0011105F" w:rsidRPr="003771AE" w:rsidRDefault="0011105F" w:rsidP="00F17106">
      <w:pPr>
        <w:widowControl/>
        <w:snapToGrid w:val="0"/>
        <w:spacing w:line="360" w:lineRule="auto"/>
        <w:rPr>
          <w:rFonts w:ascii="Book Antiqua" w:eastAsia="Calibri" w:hAnsi="Book Antiqua" w:cs="Times New Roman"/>
          <w:b/>
          <w:i/>
          <w:kern w:val="0"/>
          <w:sz w:val="24"/>
          <w:szCs w:val="24"/>
          <w:lang w:val="en-GB" w:eastAsia="en-US"/>
        </w:rPr>
      </w:pPr>
    </w:p>
    <w:p w14:paraId="0BBE7537" w14:textId="77777777" w:rsidR="0011105F" w:rsidRPr="003771AE" w:rsidRDefault="0011105F" w:rsidP="00F17106">
      <w:pPr>
        <w:widowControl/>
        <w:snapToGrid w:val="0"/>
        <w:spacing w:line="360" w:lineRule="auto"/>
        <w:rPr>
          <w:rFonts w:ascii="Book Antiqua" w:eastAsia="Calibri" w:hAnsi="Book Antiqua" w:cs="Times New Roman"/>
          <w:b/>
          <w:i/>
          <w:kern w:val="0"/>
          <w:sz w:val="24"/>
          <w:szCs w:val="24"/>
          <w:lang w:val="en-GB" w:eastAsia="en-US"/>
        </w:rPr>
      </w:pPr>
      <w:r w:rsidRPr="003771AE">
        <w:rPr>
          <w:rFonts w:ascii="Book Antiqua" w:eastAsia="Calibri" w:hAnsi="Book Antiqua" w:cs="Times New Roman"/>
          <w:b/>
          <w:i/>
          <w:kern w:val="0"/>
          <w:sz w:val="24"/>
          <w:szCs w:val="24"/>
          <w:lang w:val="en-GB" w:eastAsia="en-US"/>
        </w:rPr>
        <w:t>IL-8</w:t>
      </w:r>
    </w:p>
    <w:p w14:paraId="24A3845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ro-RO"/>
        </w:rPr>
      </w:pPr>
      <w:r w:rsidRPr="003771AE">
        <w:rPr>
          <w:rFonts w:ascii="Book Antiqua" w:eastAsia="Calibri" w:hAnsi="Book Antiqua" w:cs="Times New Roman"/>
          <w:kern w:val="0"/>
          <w:sz w:val="24"/>
          <w:szCs w:val="24"/>
          <w:lang w:val="en-GB" w:eastAsia="ro-RO"/>
        </w:rPr>
        <w:t xml:space="preserve">IL-8 is considered to be one of the most important cytokines associated with both the immune response and the inflammatory process against </w:t>
      </w:r>
      <w:r w:rsidRPr="003771AE">
        <w:rPr>
          <w:rFonts w:ascii="Book Antiqua" w:eastAsia="Calibri" w:hAnsi="Book Antiqua" w:cs="Times New Roman"/>
          <w:i/>
          <w:kern w:val="0"/>
          <w:sz w:val="24"/>
          <w:szCs w:val="24"/>
          <w:lang w:val="en-GB" w:eastAsia="ro-RO"/>
        </w:rPr>
        <w:t>H. pylori</w:t>
      </w:r>
      <w:r w:rsidRPr="003771AE">
        <w:rPr>
          <w:rFonts w:ascii="Book Antiqua" w:eastAsia="Calibri" w:hAnsi="Book Antiqua" w:cs="Times New Roman"/>
          <w:kern w:val="0"/>
          <w:sz w:val="24"/>
          <w:szCs w:val="24"/>
          <w:lang w:val="en-GB" w:eastAsia="ro-RO"/>
        </w:rPr>
        <w:t xml:space="preserve">; indeed, increased IL-8 expression has been detected in patients with </w:t>
      </w:r>
      <w:r w:rsidRPr="003771AE">
        <w:rPr>
          <w:rFonts w:ascii="Book Antiqua" w:eastAsia="Calibri" w:hAnsi="Book Antiqua" w:cs="Times New Roman"/>
          <w:i/>
          <w:kern w:val="0"/>
          <w:sz w:val="24"/>
          <w:szCs w:val="24"/>
          <w:lang w:val="en-GB" w:eastAsia="ro-RO"/>
        </w:rPr>
        <w:t>H. pylori</w:t>
      </w:r>
      <w:r w:rsidRPr="003771AE">
        <w:rPr>
          <w:rFonts w:ascii="Book Antiqua" w:eastAsia="Calibri" w:hAnsi="Book Antiqua" w:cs="Times New Roman"/>
          <w:kern w:val="0"/>
          <w:sz w:val="24"/>
          <w:szCs w:val="24"/>
          <w:lang w:val="en-GB" w:eastAsia="ro-RO"/>
        </w:rPr>
        <w:t xml:space="preserve"> infection and gastric disorders</w:t>
      </w:r>
      <w:r w:rsidRPr="003771AE">
        <w:rPr>
          <w:rFonts w:ascii="Book Antiqua" w:eastAsia="Calibri" w:hAnsi="Book Antiqua" w:cs="Times New Roman"/>
          <w:kern w:val="0"/>
          <w:sz w:val="24"/>
          <w:szCs w:val="24"/>
          <w:vertAlign w:val="superscript"/>
          <w:lang w:val="en-GB" w:eastAsia="ro-RO"/>
        </w:rPr>
        <w:t>[8]</w:t>
      </w:r>
      <w:r w:rsidRPr="003771AE">
        <w:rPr>
          <w:rFonts w:ascii="Book Antiqua" w:eastAsia="Calibri" w:hAnsi="Book Antiqua" w:cs="Times New Roman"/>
          <w:kern w:val="0"/>
          <w:sz w:val="24"/>
          <w:szCs w:val="24"/>
          <w:lang w:val="en-GB" w:eastAsia="ro-RO"/>
        </w:rPr>
        <w:t>.</w:t>
      </w:r>
      <w:r w:rsidRPr="003771AE">
        <w:rPr>
          <w:rFonts w:ascii="Book Antiqua" w:eastAsia="Calibri" w:hAnsi="Book Antiqua" w:cs="Times New Roman"/>
          <w:kern w:val="0"/>
          <w:sz w:val="24"/>
          <w:szCs w:val="24"/>
          <w:lang w:val="en-GB" w:eastAsia="en-US"/>
        </w:rPr>
        <w:t xml:space="preserve"> In a Japanese study, the IL-8 −251 A/A genotype, which is associated with higher expression of the IL-8 protein, found an increased susceptibility for neutrophil infiltration in gastric mucosa and for GA (OR = 2.35, 95%CI: 1.12-4.94) compared with the T/T genotype</w:t>
      </w:r>
      <w:r w:rsidRPr="003771AE">
        <w:rPr>
          <w:rFonts w:ascii="Book Antiqua" w:eastAsia="Calibri" w:hAnsi="Book Antiqua" w:cs="Times New Roman"/>
          <w:kern w:val="0"/>
          <w:sz w:val="24"/>
          <w:szCs w:val="24"/>
          <w:vertAlign w:val="superscript"/>
          <w:lang w:val="en-GB" w:eastAsia="en-US"/>
        </w:rPr>
        <w:t>[102]</w:t>
      </w:r>
      <w:r w:rsidRPr="003771AE">
        <w:rPr>
          <w:rFonts w:ascii="Book Antiqua" w:eastAsia="Calibri" w:hAnsi="Book Antiqua" w:cs="Times New Roman"/>
          <w:kern w:val="0"/>
          <w:sz w:val="24"/>
          <w:szCs w:val="24"/>
          <w:lang w:val="en-GB" w:eastAsia="en-US"/>
        </w:rPr>
        <w:t>.</w:t>
      </w:r>
      <w:r w:rsidRPr="003771AE">
        <w:rPr>
          <w:rFonts w:ascii="Book Antiqua" w:eastAsia="Calibri" w:hAnsi="Book Antiqua" w:cs="Times New Roman"/>
          <w:kern w:val="0"/>
          <w:sz w:val="24"/>
          <w:szCs w:val="24"/>
          <w:lang w:val="en-GB" w:eastAsia="ro-RO"/>
        </w:rPr>
        <w:t xml:space="preserve"> A high risk of developing severe chronic GA was found in Chinese cases with the IL-8 </w:t>
      </w:r>
      <w:r w:rsidRPr="003771AE">
        <w:rPr>
          <w:rFonts w:ascii="Book Antiqua" w:eastAsia="Calibri" w:hAnsi="Book Antiqua" w:cs="Times New Roman"/>
          <w:kern w:val="0"/>
          <w:sz w:val="24"/>
          <w:szCs w:val="24"/>
          <w:lang w:val="en-GB" w:eastAsia="en-US"/>
        </w:rPr>
        <w:t>rs4073</w:t>
      </w:r>
      <w:r w:rsidRPr="003771AE">
        <w:rPr>
          <w:rFonts w:ascii="Book Antiqua" w:eastAsia="Calibri" w:hAnsi="Book Antiqua" w:cs="Times New Roman"/>
          <w:kern w:val="0"/>
          <w:sz w:val="24"/>
          <w:szCs w:val="24"/>
          <w:lang w:val="en-GB" w:eastAsia="ro-RO"/>
        </w:rPr>
        <w:t xml:space="preserve"> AA homozygous genotype (OR = 2.62, 95%CI: 1.23–5.72) or for A allele carriers (OR = 1.81, 95%CI: 1.06–3.09). Similarly, an increased risk of IM was found in patients with heterozygous AT for the IL-8 </w:t>
      </w:r>
      <w:r w:rsidRPr="003771AE">
        <w:rPr>
          <w:rFonts w:ascii="Book Antiqua" w:eastAsia="Calibri" w:hAnsi="Book Antiqua" w:cs="Times New Roman"/>
          <w:kern w:val="0"/>
          <w:sz w:val="24"/>
          <w:szCs w:val="24"/>
          <w:lang w:val="en-GB" w:eastAsia="en-US"/>
        </w:rPr>
        <w:t xml:space="preserve">rs4073 </w:t>
      </w:r>
      <w:r w:rsidRPr="003771AE">
        <w:rPr>
          <w:rFonts w:ascii="Book Antiqua" w:eastAsia="Calibri" w:hAnsi="Book Antiqua" w:cs="Times New Roman"/>
          <w:kern w:val="0"/>
          <w:sz w:val="24"/>
          <w:szCs w:val="24"/>
          <w:lang w:val="en-GB" w:eastAsia="ro-RO"/>
        </w:rPr>
        <w:t>genotype (OR = 2.27, 95%CI: 1.25–4.14) or A allele carriers (OR = 2.07, 95%CI: 1.16–3.69)</w:t>
      </w:r>
      <w:r w:rsidRPr="003771AE">
        <w:rPr>
          <w:rFonts w:ascii="Book Antiqua" w:eastAsia="Calibri" w:hAnsi="Book Antiqua" w:cs="Times New Roman"/>
          <w:kern w:val="0"/>
          <w:sz w:val="24"/>
          <w:szCs w:val="24"/>
          <w:vertAlign w:val="superscript"/>
          <w:lang w:val="en-GB" w:eastAsia="ro-RO"/>
        </w:rPr>
        <w:t>[103]</w:t>
      </w:r>
      <w:r w:rsidRPr="003771AE">
        <w:rPr>
          <w:rFonts w:ascii="Book Antiqua" w:eastAsia="Calibri" w:hAnsi="Book Antiqua" w:cs="Times New Roman"/>
          <w:kern w:val="0"/>
          <w:sz w:val="24"/>
          <w:szCs w:val="24"/>
          <w:lang w:val="en-GB" w:eastAsia="ro-RO"/>
        </w:rPr>
        <w:t xml:space="preserve">. </w:t>
      </w:r>
      <w:r w:rsidRPr="003771AE">
        <w:rPr>
          <w:rFonts w:ascii="Book Antiqua" w:eastAsia="Times New Roman" w:hAnsi="Book Antiqua" w:cs="Times New Roman"/>
          <w:kern w:val="0"/>
          <w:sz w:val="24"/>
          <w:szCs w:val="24"/>
          <w:lang w:val="en-GB" w:eastAsia="ro-RO"/>
        </w:rPr>
        <w:t>The same study reported</w:t>
      </w:r>
      <w:r w:rsidRPr="003771AE">
        <w:rPr>
          <w:rFonts w:ascii="Book Antiqua" w:eastAsia="Calibri" w:hAnsi="Book Antiqua" w:cs="Times New Roman"/>
          <w:kern w:val="0"/>
          <w:sz w:val="24"/>
          <w:szCs w:val="24"/>
          <w:lang w:val="en-GB" w:eastAsia="ro-RO"/>
        </w:rPr>
        <w:t xml:space="preserve"> an interaction between A allele carriers for IL-8 </w:t>
      </w:r>
      <w:r w:rsidRPr="003771AE">
        <w:rPr>
          <w:rFonts w:ascii="Book Antiqua" w:eastAsia="Calibri" w:hAnsi="Book Antiqua" w:cs="Times New Roman"/>
          <w:kern w:val="0"/>
          <w:sz w:val="24"/>
          <w:szCs w:val="24"/>
          <w:lang w:val="en-GB" w:eastAsia="en-US"/>
        </w:rPr>
        <w:t>rs4073</w:t>
      </w:r>
      <w:r w:rsidRPr="003771AE">
        <w:rPr>
          <w:rFonts w:ascii="Book Antiqua" w:eastAsia="Calibri" w:hAnsi="Book Antiqua" w:cs="Times New Roman"/>
          <w:kern w:val="0"/>
          <w:sz w:val="24"/>
          <w:szCs w:val="24"/>
          <w:lang w:val="en-GB" w:eastAsia="ro-RO"/>
        </w:rPr>
        <w:t xml:space="preserve"> and </w:t>
      </w:r>
      <w:r w:rsidRPr="003771AE">
        <w:rPr>
          <w:rFonts w:ascii="Book Antiqua" w:eastAsia="Calibri" w:hAnsi="Book Antiqua" w:cs="Times New Roman"/>
          <w:i/>
          <w:iCs/>
          <w:kern w:val="0"/>
          <w:sz w:val="24"/>
          <w:szCs w:val="24"/>
          <w:lang w:val="en-GB" w:eastAsia="ro-RO"/>
        </w:rPr>
        <w:t xml:space="preserve">H. pylori </w:t>
      </w:r>
      <w:r w:rsidRPr="003771AE">
        <w:rPr>
          <w:rFonts w:ascii="Book Antiqua" w:eastAsia="Calibri" w:hAnsi="Book Antiqua" w:cs="Times New Roman"/>
          <w:kern w:val="0"/>
          <w:sz w:val="24"/>
          <w:szCs w:val="24"/>
          <w:lang w:val="en-GB" w:eastAsia="ro-RO"/>
        </w:rPr>
        <w:t>infection and the risk to develop severe chronic atrophic gastritis (OR = 6.70, 95%CI: 1.29–9.78)</w:t>
      </w:r>
      <w:r w:rsidRPr="003771AE">
        <w:rPr>
          <w:rFonts w:ascii="Book Antiqua" w:eastAsia="Calibri" w:hAnsi="Book Antiqua" w:cs="Times New Roman"/>
          <w:kern w:val="0"/>
          <w:sz w:val="24"/>
          <w:szCs w:val="24"/>
          <w:vertAlign w:val="superscript"/>
          <w:lang w:val="en-GB" w:eastAsia="ro-RO"/>
        </w:rPr>
        <w:t>[103]</w:t>
      </w:r>
      <w:r w:rsidRPr="003771AE">
        <w:rPr>
          <w:rFonts w:ascii="Book Antiqua" w:eastAsia="Calibri" w:hAnsi="Book Antiqua" w:cs="Times New Roman"/>
          <w:kern w:val="0"/>
          <w:sz w:val="24"/>
          <w:szCs w:val="24"/>
          <w:lang w:val="en-GB" w:eastAsia="ro-RO"/>
        </w:rPr>
        <w:t>.</w:t>
      </w:r>
    </w:p>
    <w:p w14:paraId="3019C545" w14:textId="30430220" w:rsidR="0011105F" w:rsidRPr="003771AE" w:rsidRDefault="0011105F" w:rsidP="00B13154">
      <w:pPr>
        <w:widowControl/>
        <w:snapToGrid w:val="0"/>
        <w:spacing w:line="360" w:lineRule="auto"/>
        <w:ind w:firstLineChars="100" w:firstLine="240"/>
        <w:outlineLvl w:val="0"/>
        <w:rPr>
          <w:rFonts w:ascii="Book Antiqua" w:eastAsia="Calibri" w:hAnsi="Book Antiqua" w:cs="Times New Roman"/>
          <w:kern w:val="0"/>
          <w:sz w:val="24"/>
          <w:szCs w:val="24"/>
          <w:lang w:val="en-GB" w:eastAsia="en-US"/>
        </w:rPr>
      </w:pPr>
      <w:r w:rsidRPr="003771AE">
        <w:rPr>
          <w:rFonts w:ascii="Book Antiqua" w:eastAsia="Times New Roman" w:hAnsi="Book Antiqua" w:cs="Times New Roman"/>
          <w:bCs/>
          <w:kern w:val="36"/>
          <w:sz w:val="24"/>
          <w:szCs w:val="24"/>
          <w:lang w:val="en-GB" w:eastAsia="ro-RO"/>
        </w:rPr>
        <w:t>In a Korean study-population, a significant positive association was found between the IL8 –251T&gt;A polymorphism and risk of GC (OR = 1.70, 95%CI: 1.11–2.60,</w:t>
      </w:r>
      <w:r w:rsidRPr="003771AE">
        <w:rPr>
          <w:rFonts w:ascii="Book Antiqua" w:eastAsia="Times New Roman" w:hAnsi="Book Antiqua" w:cs="Times New Roman"/>
          <w:bCs/>
          <w:i/>
          <w:kern w:val="36"/>
          <w:sz w:val="24"/>
          <w:szCs w:val="24"/>
          <w:lang w:val="en-GB" w:eastAsia="ro-RO"/>
        </w:rPr>
        <w:t xml:space="preserve"> P =</w:t>
      </w:r>
      <w:r w:rsidRPr="003771AE">
        <w:rPr>
          <w:rFonts w:ascii="Book Antiqua" w:eastAsia="Times New Roman" w:hAnsi="Book Antiqua" w:cs="Times New Roman"/>
          <w:bCs/>
          <w:kern w:val="36"/>
          <w:sz w:val="24"/>
          <w:szCs w:val="24"/>
          <w:lang w:val="en-GB" w:eastAsia="ro-RO"/>
        </w:rPr>
        <w:t xml:space="preserve"> 0.0155) and severe GA (OR = 2.03, 95%CI: 1.05–3.90,</w:t>
      </w:r>
      <w:r w:rsidRPr="003771AE">
        <w:rPr>
          <w:rFonts w:ascii="Book Antiqua" w:eastAsia="Times New Roman" w:hAnsi="Book Antiqua" w:cs="Times New Roman"/>
          <w:bCs/>
          <w:i/>
          <w:kern w:val="36"/>
          <w:sz w:val="24"/>
          <w:szCs w:val="24"/>
          <w:lang w:val="en-GB" w:eastAsia="ro-RO"/>
        </w:rPr>
        <w:t xml:space="preserve"> P =</w:t>
      </w:r>
      <w:r w:rsidRPr="003771AE">
        <w:rPr>
          <w:rFonts w:ascii="Book Antiqua" w:eastAsia="Times New Roman" w:hAnsi="Book Antiqua" w:cs="Times New Roman"/>
          <w:bCs/>
          <w:kern w:val="36"/>
          <w:sz w:val="24"/>
          <w:szCs w:val="24"/>
          <w:lang w:val="en-GB" w:eastAsia="ro-RO"/>
        </w:rPr>
        <w:t>0.035)</w:t>
      </w:r>
      <w:r w:rsidRPr="003771AE">
        <w:rPr>
          <w:rFonts w:ascii="Book Antiqua" w:eastAsia="Times New Roman" w:hAnsi="Book Antiqua" w:cs="Times New Roman"/>
          <w:bCs/>
          <w:kern w:val="36"/>
          <w:sz w:val="24"/>
          <w:szCs w:val="24"/>
          <w:vertAlign w:val="superscript"/>
          <w:lang w:val="en-GB" w:eastAsia="ro-RO"/>
        </w:rPr>
        <w:t>[104]</w:t>
      </w:r>
      <w:r w:rsidRPr="003771AE">
        <w:rPr>
          <w:rFonts w:ascii="Book Antiqua" w:eastAsia="Times New Roman" w:hAnsi="Book Antiqua" w:cs="Times New Roman"/>
          <w:bCs/>
          <w:kern w:val="36"/>
          <w:sz w:val="24"/>
          <w:szCs w:val="24"/>
          <w:lang w:val="en-GB" w:eastAsia="ro-RO"/>
        </w:rPr>
        <w:t>. The IL-8 –251T&gt;A SNP was found to be associated with increased IL-8 production (</w:t>
      </w:r>
      <w:r w:rsidRPr="003771AE">
        <w:rPr>
          <w:rFonts w:ascii="Book Antiqua" w:eastAsia="Times New Roman" w:hAnsi="Book Antiqua" w:cs="Times New Roman"/>
          <w:bCs/>
          <w:i/>
          <w:kern w:val="36"/>
          <w:sz w:val="24"/>
          <w:szCs w:val="24"/>
          <w:lang w:val="en-GB" w:eastAsia="ro-RO"/>
        </w:rPr>
        <w:t>P =</w:t>
      </w:r>
      <w:r w:rsidRPr="003771AE">
        <w:rPr>
          <w:rFonts w:ascii="Book Antiqua" w:eastAsia="Times New Roman" w:hAnsi="Book Antiqua" w:cs="Times New Roman"/>
          <w:bCs/>
          <w:kern w:val="36"/>
          <w:sz w:val="24"/>
          <w:szCs w:val="24"/>
          <w:lang w:val="en-GB" w:eastAsia="ro-RO"/>
        </w:rPr>
        <w:t>0.0229)</w:t>
      </w:r>
      <w:r w:rsidRPr="003771AE">
        <w:rPr>
          <w:rFonts w:ascii="Book Antiqua" w:eastAsia="Times New Roman" w:hAnsi="Book Antiqua" w:cs="Times New Roman"/>
          <w:bCs/>
          <w:kern w:val="36"/>
          <w:sz w:val="24"/>
          <w:szCs w:val="24"/>
          <w:vertAlign w:val="superscript"/>
          <w:lang w:val="en-GB" w:eastAsia="ro-RO"/>
        </w:rPr>
        <w:t>[104]</w:t>
      </w:r>
      <w:r w:rsidR="00D70485">
        <w:rPr>
          <w:rFonts w:ascii="Book Antiqua" w:eastAsia="Times New Roman" w:hAnsi="Book Antiqua" w:cs="Times New Roman"/>
          <w:bCs/>
          <w:kern w:val="36"/>
          <w:sz w:val="24"/>
          <w:szCs w:val="24"/>
          <w:vertAlign w:val="superscript"/>
          <w:lang w:val="en-GB" w:eastAsia="ro-RO"/>
        </w:rPr>
        <w:t xml:space="preserve"> </w:t>
      </w:r>
      <w:r w:rsidRPr="003771AE">
        <w:rPr>
          <w:rFonts w:ascii="Book Antiqua" w:eastAsia="Calibri" w:hAnsi="Book Antiqua" w:cs="Times New Roman"/>
          <w:kern w:val="0"/>
          <w:sz w:val="24"/>
          <w:szCs w:val="24"/>
          <w:lang w:val="en-GB" w:eastAsia="en-US"/>
        </w:rPr>
        <w:t xml:space="preserve">and the IL-8 –251 T&gt;A variant genotype (AA or TA) </w:t>
      </w:r>
      <w:r w:rsidRPr="003771AE">
        <w:rPr>
          <w:rFonts w:ascii="Book Antiqua" w:eastAsia="Calibri" w:hAnsi="Book Antiqua" w:cs="Times New Roman"/>
          <w:bCs/>
          <w:kern w:val="0"/>
          <w:sz w:val="24"/>
          <w:szCs w:val="24"/>
          <w:lang w:val="en-GB" w:eastAsia="en-US"/>
        </w:rPr>
        <w:t>was found to be associated</w:t>
      </w:r>
      <w:r w:rsidR="00B13154">
        <w:rPr>
          <w:rFonts w:ascii="Book Antiqua" w:eastAsia="Calibri" w:hAnsi="Book Antiqua" w:cs="Times New Roman"/>
          <w:bCs/>
          <w:kern w:val="0"/>
          <w:sz w:val="24"/>
          <w:szCs w:val="24"/>
          <w:lang w:val="en-GB" w:eastAsia="en-US"/>
        </w:rPr>
        <w:t xml:space="preserve"> </w:t>
      </w:r>
      <w:r w:rsidRPr="003771AE">
        <w:rPr>
          <w:rFonts w:ascii="Book Antiqua" w:eastAsia="Calibri" w:hAnsi="Book Antiqua" w:cs="Times New Roman"/>
          <w:kern w:val="0"/>
          <w:sz w:val="24"/>
          <w:szCs w:val="24"/>
          <w:lang w:val="en-GB" w:eastAsia="en-US"/>
        </w:rPr>
        <w:t>with an increased risk for non-cardia GC (adjusted OR = 2.58, 95%CI: 1.19–5.57)</w:t>
      </w:r>
      <w:r w:rsidRPr="003771AE">
        <w:rPr>
          <w:rFonts w:ascii="Book Antiqua" w:eastAsia="Calibri" w:hAnsi="Book Antiqua" w:cs="Times New Roman"/>
          <w:kern w:val="0"/>
          <w:sz w:val="24"/>
          <w:szCs w:val="24"/>
          <w:vertAlign w:val="superscript"/>
          <w:lang w:val="en-GB" w:eastAsia="en-US"/>
        </w:rPr>
        <w:t>[95]</w:t>
      </w:r>
      <w:r w:rsidRPr="003771AE">
        <w:rPr>
          <w:rFonts w:ascii="Book Antiqua" w:eastAsia="Calibri" w:hAnsi="Book Antiqua" w:cs="Times New Roman"/>
          <w:kern w:val="0"/>
          <w:sz w:val="24"/>
          <w:szCs w:val="24"/>
          <w:lang w:val="en-GB" w:eastAsia="en-US"/>
        </w:rPr>
        <w:t>. IL-8 –251T&gt;A leads to an increased IL-8 production, which is more pronounced in intestinal-type GC as the result of the changes in gastric mucosa over several years</w:t>
      </w:r>
      <w:r w:rsidRPr="003771AE">
        <w:rPr>
          <w:rFonts w:ascii="Book Antiqua" w:eastAsia="Calibri" w:hAnsi="Book Antiqua" w:cs="Times New Roman"/>
          <w:kern w:val="0"/>
          <w:sz w:val="24"/>
          <w:szCs w:val="24"/>
          <w:vertAlign w:val="superscript"/>
          <w:lang w:val="en-GB" w:eastAsia="en-US"/>
        </w:rPr>
        <w:t>[105]</w:t>
      </w:r>
      <w:r w:rsidRPr="003771AE">
        <w:rPr>
          <w:rFonts w:ascii="Book Antiqua" w:eastAsia="Calibri" w:hAnsi="Book Antiqua" w:cs="Times New Roman"/>
          <w:kern w:val="0"/>
          <w:sz w:val="24"/>
          <w:szCs w:val="24"/>
          <w:lang w:val="en-GB" w:eastAsia="en-US"/>
        </w:rPr>
        <w:t>. By multivariate analysis, it was revealed that patients carrying the AA genotype of the IL-8 –251T&gt;A SNP had a 2-fold increased risk for GC (OR = 2.02, 95%CI: 1.27–3.21) compared with those carrying the wild-type genotype</w:t>
      </w:r>
      <w:r w:rsidRPr="003771AE">
        <w:rPr>
          <w:rFonts w:ascii="Book Antiqua" w:eastAsia="Calibri" w:hAnsi="Book Antiqua" w:cs="Times New Roman"/>
          <w:kern w:val="0"/>
          <w:sz w:val="24"/>
          <w:szCs w:val="24"/>
          <w:vertAlign w:val="superscript"/>
          <w:lang w:val="en-GB" w:eastAsia="en-US"/>
        </w:rPr>
        <w:t>[105]</w:t>
      </w:r>
      <w:r w:rsidRPr="003771AE">
        <w:rPr>
          <w:rFonts w:ascii="Book Antiqua" w:eastAsia="Calibri" w:hAnsi="Book Antiqua" w:cs="Times New Roman"/>
          <w:kern w:val="0"/>
          <w:sz w:val="24"/>
          <w:szCs w:val="24"/>
          <w:lang w:val="en-GB" w:eastAsia="en-US"/>
        </w:rPr>
        <w:t xml:space="preserve">. Another study that included Caucasians from European countries showed that presence of the </w:t>
      </w:r>
      <w:r w:rsidRPr="003771AE">
        <w:rPr>
          <w:rFonts w:ascii="Book Antiqua" w:eastAsia="Calibri" w:hAnsi="Book Antiqua" w:cs="Times New Roman"/>
          <w:iCs/>
          <w:kern w:val="0"/>
          <w:sz w:val="24"/>
          <w:szCs w:val="24"/>
          <w:lang w:val="en-GB" w:eastAsia="en-US"/>
        </w:rPr>
        <w:t>IL-8</w:t>
      </w:r>
      <w:r w:rsidRPr="003771AE">
        <w:rPr>
          <w:rFonts w:ascii="Book Antiqua" w:eastAsia="Calibri" w:hAnsi="Book Antiqua" w:cs="Times New Roman"/>
          <w:kern w:val="0"/>
          <w:sz w:val="24"/>
          <w:szCs w:val="24"/>
          <w:lang w:val="en-GB" w:eastAsia="en-US"/>
        </w:rPr>
        <w:t xml:space="preserve"> –251A allele was associated with a significantly decreased risk of non-cardia GC (OR = 0.57, 95%CI: 0.37–0.87, </w:t>
      </w:r>
      <w:r w:rsidRPr="003771AE">
        <w:rPr>
          <w:rFonts w:ascii="Book Antiqua" w:eastAsia="Calibri" w:hAnsi="Book Antiqua" w:cs="Times New Roman"/>
          <w:i/>
          <w:kern w:val="0"/>
          <w:sz w:val="24"/>
          <w:szCs w:val="24"/>
          <w:lang w:val="en-GB" w:eastAsia="en-US"/>
        </w:rPr>
        <w:t>P =</w:t>
      </w:r>
      <w:r w:rsidRPr="003771AE">
        <w:rPr>
          <w:rFonts w:ascii="Book Antiqua" w:eastAsia="Calibri" w:hAnsi="Book Antiqua" w:cs="Times New Roman"/>
          <w:kern w:val="0"/>
          <w:sz w:val="24"/>
          <w:szCs w:val="24"/>
          <w:lang w:val="en-GB" w:eastAsia="en-US"/>
        </w:rPr>
        <w:t xml:space="preserve"> 0.01) in </w:t>
      </w:r>
      <w:r w:rsidRPr="003771AE">
        <w:rPr>
          <w:rFonts w:ascii="Book Antiqua" w:eastAsia="Calibri" w:hAnsi="Book Antiqua" w:cs="Times New Roman"/>
          <w:i/>
          <w:kern w:val="0"/>
          <w:sz w:val="24"/>
          <w:szCs w:val="24"/>
          <w:lang w:val="en-GB" w:eastAsia="en-US"/>
        </w:rPr>
        <w:t>H. pylori</w:t>
      </w:r>
      <w:r w:rsidR="00FA5004">
        <w:rPr>
          <w:rFonts w:ascii="Book Antiqua" w:eastAsia="Calibri" w:hAnsi="Book Antiqua" w:cs="Times New Roman"/>
          <w:i/>
          <w:kern w:val="0"/>
          <w:sz w:val="24"/>
          <w:szCs w:val="24"/>
          <w:lang w:val="en-GB" w:eastAsia="en-US"/>
        </w:rPr>
        <w:t xml:space="preserve"> </w:t>
      </w:r>
      <w:r w:rsidRPr="003771AE">
        <w:rPr>
          <w:rFonts w:ascii="Book Antiqua" w:eastAsia="Calibri" w:hAnsi="Book Antiqua" w:cs="Times New Roman"/>
          <w:kern w:val="0"/>
          <w:sz w:val="24"/>
          <w:szCs w:val="24"/>
          <w:lang w:val="en-GB" w:eastAsia="en-US"/>
        </w:rPr>
        <w:t>cases</w:t>
      </w:r>
      <w:r w:rsidRPr="003771AE">
        <w:rPr>
          <w:rFonts w:ascii="Book Antiqua" w:eastAsia="Calibri" w:hAnsi="Book Antiqua" w:cs="Times New Roman"/>
          <w:kern w:val="0"/>
          <w:sz w:val="24"/>
          <w:szCs w:val="24"/>
          <w:vertAlign w:val="superscript"/>
          <w:lang w:val="en-GB" w:eastAsia="en-US"/>
        </w:rPr>
        <w:t>[100]</w:t>
      </w:r>
      <w:r w:rsidRPr="003771AE">
        <w:rPr>
          <w:rFonts w:ascii="Book Antiqua" w:eastAsia="Calibri" w:hAnsi="Book Antiqua" w:cs="Times New Roman"/>
          <w:kern w:val="0"/>
          <w:sz w:val="24"/>
          <w:szCs w:val="24"/>
          <w:lang w:val="en-GB" w:eastAsia="en-US"/>
        </w:rPr>
        <w:t xml:space="preserve">. </w:t>
      </w:r>
      <w:r w:rsidRPr="003771AE">
        <w:rPr>
          <w:rFonts w:ascii="Book Antiqua" w:eastAsia="Calibri" w:hAnsi="Book Antiqua" w:cs="Times New Roman"/>
          <w:kern w:val="0"/>
          <w:sz w:val="24"/>
          <w:szCs w:val="24"/>
          <w:lang w:val="en-GB" w:eastAsia="ro-RO"/>
        </w:rPr>
        <w:t>W</w:t>
      </w:r>
      <w:r w:rsidRPr="003771AE">
        <w:rPr>
          <w:rFonts w:ascii="Book Antiqua" w:eastAsia="Calibri" w:hAnsi="Book Antiqua" w:cs="Times New Roman"/>
          <w:kern w:val="0"/>
          <w:sz w:val="24"/>
          <w:szCs w:val="24"/>
          <w:lang w:val="en-GB" w:eastAsia="en-US"/>
        </w:rPr>
        <w:t xml:space="preserve">ang </w:t>
      </w:r>
      <w:r w:rsidRPr="003771AE">
        <w:rPr>
          <w:rFonts w:ascii="Book Antiqua" w:eastAsia="Calibri" w:hAnsi="Book Antiqua" w:cs="Times New Roman"/>
          <w:i/>
          <w:kern w:val="0"/>
          <w:sz w:val="24"/>
          <w:szCs w:val="24"/>
          <w:lang w:val="en-GB" w:eastAsia="en-US"/>
        </w:rPr>
        <w:t>et al</w:t>
      </w:r>
      <w:r w:rsidRPr="003771AE">
        <w:rPr>
          <w:rFonts w:ascii="Book Antiqua" w:eastAsia="Calibri" w:hAnsi="Book Antiqua" w:cs="Times New Roman"/>
          <w:kern w:val="0"/>
          <w:sz w:val="24"/>
          <w:szCs w:val="24"/>
          <w:vertAlign w:val="superscript"/>
          <w:lang w:val="en-GB" w:eastAsia="ro-RO"/>
        </w:rPr>
        <w:t>[73]</w:t>
      </w:r>
      <w:r w:rsidRPr="003771AE">
        <w:rPr>
          <w:rFonts w:ascii="Book Antiqua" w:eastAsia="Calibri" w:hAnsi="Book Antiqua" w:cs="Times New Roman"/>
          <w:kern w:val="0"/>
          <w:sz w:val="24"/>
          <w:szCs w:val="24"/>
          <w:lang w:val="en-GB" w:eastAsia="en-US"/>
        </w:rPr>
        <w:t xml:space="preserve"> observed no </w:t>
      </w:r>
      <w:r w:rsidRPr="003771AE">
        <w:rPr>
          <w:rFonts w:ascii="Book Antiqua" w:eastAsia="Calibri" w:hAnsi="Book Antiqua" w:cs="Times New Roman"/>
          <w:kern w:val="0"/>
          <w:sz w:val="24"/>
          <w:szCs w:val="24"/>
          <w:lang w:val="en-GB" w:eastAsia="ro-RO"/>
        </w:rPr>
        <w:t>significant correlation between IL-8 rs4073 and the risk of GC or chronic atrophic gastritis, IM and dysplasia in a high-risk Chinese population.</w:t>
      </w:r>
    </w:p>
    <w:p w14:paraId="67B1A79A" w14:textId="77777777" w:rsidR="0011105F" w:rsidRPr="003771AE" w:rsidRDefault="0011105F" w:rsidP="00F17106">
      <w:pPr>
        <w:widowControl/>
        <w:snapToGrid w:val="0"/>
        <w:spacing w:line="360" w:lineRule="auto"/>
        <w:rPr>
          <w:rFonts w:ascii="Book Antiqua" w:eastAsia="Calibri" w:hAnsi="Book Antiqua" w:cs="Times New Roman"/>
          <w:b/>
          <w:kern w:val="0"/>
          <w:sz w:val="24"/>
          <w:szCs w:val="24"/>
          <w:lang w:val="en-GB" w:eastAsia="en-US"/>
        </w:rPr>
      </w:pPr>
    </w:p>
    <w:p w14:paraId="2577C059" w14:textId="77777777" w:rsidR="0011105F" w:rsidRPr="003771AE" w:rsidRDefault="0011105F" w:rsidP="00F17106">
      <w:pPr>
        <w:widowControl/>
        <w:snapToGrid w:val="0"/>
        <w:spacing w:line="360" w:lineRule="auto"/>
        <w:rPr>
          <w:rFonts w:ascii="Book Antiqua" w:eastAsia="Calibri" w:hAnsi="Book Antiqua" w:cs="Times New Roman"/>
          <w:b/>
          <w:i/>
          <w:kern w:val="0"/>
          <w:sz w:val="24"/>
          <w:szCs w:val="24"/>
          <w:lang w:val="en-GB" w:eastAsia="en-US"/>
        </w:rPr>
      </w:pPr>
      <w:r w:rsidRPr="003771AE">
        <w:rPr>
          <w:rFonts w:ascii="Book Antiqua" w:eastAsia="Calibri" w:hAnsi="Book Antiqua" w:cs="Times New Roman"/>
          <w:b/>
          <w:i/>
          <w:kern w:val="0"/>
          <w:sz w:val="24"/>
          <w:szCs w:val="24"/>
          <w:lang w:val="en-GB" w:eastAsia="en-US"/>
        </w:rPr>
        <w:t>IL-10</w:t>
      </w:r>
    </w:p>
    <w:p w14:paraId="7E1AE467" w14:textId="15B5435E" w:rsidR="0011105F" w:rsidRPr="003771AE" w:rsidRDefault="0011105F" w:rsidP="00F17106">
      <w:pPr>
        <w:widowControl/>
        <w:snapToGrid w:val="0"/>
        <w:spacing w:line="360" w:lineRule="auto"/>
        <w:rPr>
          <w:rFonts w:ascii="Book Antiqua" w:eastAsia="Calibri" w:hAnsi="Book Antiqua" w:cs="Times New Roman"/>
          <w:kern w:val="0"/>
          <w:sz w:val="24"/>
          <w:szCs w:val="24"/>
          <w:lang w:val="en-GB" w:eastAsia="ro-RO"/>
        </w:rPr>
      </w:pPr>
      <w:r w:rsidRPr="003771AE">
        <w:rPr>
          <w:rFonts w:ascii="Book Antiqua" w:eastAsia="Calibri" w:hAnsi="Book Antiqua" w:cs="Times New Roman"/>
          <w:kern w:val="0"/>
          <w:sz w:val="24"/>
          <w:szCs w:val="24"/>
          <w:lang w:val="en-GB" w:eastAsia="ro-RO"/>
        </w:rPr>
        <w:t xml:space="preserve">IL-10 is an anti-inflammatory cytokine that </w:t>
      </w:r>
      <w:r w:rsidRPr="003771AE">
        <w:rPr>
          <w:rFonts w:ascii="Book Antiqua" w:eastAsia="Calibri" w:hAnsi="Book Antiqua" w:cs="Times New Roman"/>
          <w:kern w:val="0"/>
          <w:sz w:val="24"/>
          <w:szCs w:val="24"/>
          <w:lang w:val="en-GB" w:eastAsia="en-US"/>
        </w:rPr>
        <w:t>plays an important role in the inflammatory response,</w:t>
      </w:r>
      <w:r w:rsidRPr="003771AE">
        <w:rPr>
          <w:rFonts w:ascii="Book Antiqua" w:eastAsia="Calibri" w:hAnsi="Book Antiqua" w:cs="Times New Roman"/>
          <w:kern w:val="0"/>
          <w:sz w:val="24"/>
          <w:szCs w:val="24"/>
          <w:lang w:val="en-GB" w:eastAsia="ro-RO"/>
        </w:rPr>
        <w:t xml:space="preserve"> inhibiting the </w:t>
      </w:r>
      <w:r w:rsidRPr="003771AE">
        <w:rPr>
          <w:rFonts w:ascii="Book Antiqua" w:eastAsia="Calibri" w:hAnsi="Book Antiqua" w:cs="Times New Roman"/>
          <w:kern w:val="0"/>
          <w:sz w:val="24"/>
          <w:szCs w:val="24"/>
          <w:lang w:val="en-GB" w:eastAsia="en-US"/>
        </w:rPr>
        <w:t xml:space="preserve">synthesis </w:t>
      </w:r>
      <w:r w:rsidRPr="003771AE">
        <w:rPr>
          <w:rFonts w:ascii="Book Antiqua" w:eastAsia="Calibri" w:hAnsi="Book Antiqua" w:cs="Times New Roman"/>
          <w:kern w:val="0"/>
          <w:sz w:val="24"/>
          <w:szCs w:val="24"/>
          <w:lang w:val="en-GB" w:eastAsia="ro-RO"/>
        </w:rPr>
        <w:t xml:space="preserve">of proinflammatory cytokines such as IL-1β, </w:t>
      </w:r>
      <w:r w:rsidRPr="003771AE">
        <w:rPr>
          <w:rFonts w:ascii="Book Antiqua" w:eastAsia="Calibri" w:hAnsi="Book Antiqua" w:cs="Times New Roman"/>
          <w:kern w:val="0"/>
          <w:sz w:val="24"/>
          <w:szCs w:val="24"/>
          <w:lang w:val="en-GB" w:eastAsia="en-US"/>
        </w:rPr>
        <w:t>IL-6, IL-12, and</w:t>
      </w:r>
      <w:r w:rsidRPr="003771AE">
        <w:rPr>
          <w:rFonts w:ascii="Book Antiqua" w:eastAsia="Calibri" w:hAnsi="Book Antiqua" w:cs="Times New Roman"/>
          <w:kern w:val="0"/>
          <w:sz w:val="24"/>
          <w:szCs w:val="24"/>
          <w:lang w:val="en-GB" w:eastAsia="ro-RO"/>
        </w:rPr>
        <w:t xml:space="preserve"> TNF-α, and down-regulating </w:t>
      </w:r>
      <w:r w:rsidRPr="003771AE">
        <w:rPr>
          <w:rFonts w:ascii="Book Antiqua" w:eastAsia="Calibri" w:hAnsi="Book Antiqua" w:cs="Times New Roman"/>
          <w:kern w:val="0"/>
          <w:sz w:val="24"/>
          <w:szCs w:val="24"/>
          <w:lang w:val="en-GB" w:eastAsia="en-US"/>
        </w:rPr>
        <w:t>inflammation</w:t>
      </w:r>
      <w:r w:rsidRPr="003771AE">
        <w:rPr>
          <w:rFonts w:ascii="Book Antiqua" w:eastAsia="Calibri" w:hAnsi="Book Antiqua" w:cs="Times New Roman"/>
          <w:kern w:val="0"/>
          <w:sz w:val="24"/>
          <w:szCs w:val="24"/>
          <w:vertAlign w:val="superscript"/>
          <w:lang w:val="en-GB" w:eastAsia="en-US"/>
        </w:rPr>
        <w:t>[64,76]</w:t>
      </w:r>
      <w:r w:rsidRPr="003771AE">
        <w:rPr>
          <w:rFonts w:ascii="Book Antiqua" w:eastAsia="Calibri" w:hAnsi="Book Antiqua" w:cs="Times New Roman"/>
          <w:kern w:val="0"/>
          <w:sz w:val="24"/>
          <w:szCs w:val="24"/>
          <w:lang w:val="en-GB" w:eastAsia="en-US"/>
        </w:rPr>
        <w:t xml:space="preserve">; </w:t>
      </w:r>
      <w:r w:rsidRPr="003771AE">
        <w:rPr>
          <w:rFonts w:ascii="Book Antiqua" w:eastAsia="Calibri" w:hAnsi="Book Antiqua" w:cs="Times New Roman"/>
          <w:kern w:val="0"/>
          <w:sz w:val="24"/>
          <w:szCs w:val="24"/>
          <w:lang w:val="en-GB" w:eastAsia="ro-RO"/>
        </w:rPr>
        <w:t xml:space="preserve">it is also considered to be involved in the immune response to </w:t>
      </w:r>
      <w:r w:rsidRPr="003771AE">
        <w:rPr>
          <w:rFonts w:ascii="Book Antiqua" w:eastAsia="Calibri" w:hAnsi="Book Antiqua" w:cs="Times New Roman"/>
          <w:i/>
          <w:kern w:val="0"/>
          <w:sz w:val="24"/>
          <w:szCs w:val="24"/>
          <w:lang w:val="en-GB" w:eastAsia="ro-RO"/>
        </w:rPr>
        <w:t xml:space="preserve">H. pylori </w:t>
      </w:r>
      <w:r w:rsidRPr="003771AE">
        <w:rPr>
          <w:rFonts w:ascii="Book Antiqua" w:eastAsia="Calibri" w:hAnsi="Book Antiqua" w:cs="Times New Roman"/>
          <w:kern w:val="0"/>
          <w:sz w:val="24"/>
          <w:szCs w:val="24"/>
          <w:lang w:val="en-GB" w:eastAsia="ro-RO"/>
        </w:rPr>
        <w:t>infection</w:t>
      </w:r>
      <w:r w:rsidRPr="003771AE">
        <w:rPr>
          <w:rFonts w:ascii="Book Antiqua" w:eastAsia="Calibri" w:hAnsi="Book Antiqua" w:cs="Times New Roman"/>
          <w:kern w:val="0"/>
          <w:sz w:val="24"/>
          <w:szCs w:val="24"/>
          <w:vertAlign w:val="superscript"/>
          <w:lang w:val="en-GB" w:eastAsia="ro-RO"/>
        </w:rPr>
        <w:t>[76]</w:t>
      </w:r>
      <w:r w:rsidRPr="003771AE">
        <w:rPr>
          <w:rFonts w:ascii="Book Antiqua" w:eastAsia="Calibri" w:hAnsi="Book Antiqua" w:cs="Times New Roman"/>
          <w:kern w:val="0"/>
          <w:sz w:val="24"/>
          <w:szCs w:val="24"/>
          <w:lang w:val="en-GB" w:eastAsia="ro-RO"/>
        </w:rPr>
        <w:t>.</w:t>
      </w:r>
      <w:r w:rsidR="00D70485">
        <w:rPr>
          <w:rFonts w:ascii="Book Antiqua" w:eastAsia="Calibri" w:hAnsi="Book Antiqua" w:cs="Times New Roman"/>
          <w:kern w:val="0"/>
          <w:sz w:val="24"/>
          <w:szCs w:val="24"/>
          <w:lang w:val="en-GB" w:eastAsia="ro-RO"/>
        </w:rPr>
        <w:t xml:space="preserve"> </w:t>
      </w:r>
      <w:r w:rsidRPr="003771AE">
        <w:rPr>
          <w:rFonts w:ascii="Book Antiqua" w:eastAsia="Calibri" w:hAnsi="Book Antiqua" w:cs="Times New Roman"/>
          <w:kern w:val="0"/>
          <w:sz w:val="24"/>
          <w:szCs w:val="24"/>
          <w:lang w:val="en-GB" w:eastAsia="ro-RO"/>
        </w:rPr>
        <w:t xml:space="preserve">IL-10 may </w:t>
      </w:r>
      <w:r w:rsidRPr="003771AE">
        <w:rPr>
          <w:rFonts w:ascii="Book Antiqua" w:eastAsia="Calibri" w:hAnsi="Book Antiqua" w:cs="Times New Roman"/>
          <w:kern w:val="0"/>
          <w:sz w:val="24"/>
          <w:szCs w:val="24"/>
          <w:lang w:val="en-GB" w:eastAsia="en-US"/>
        </w:rPr>
        <w:t>influence</w:t>
      </w:r>
      <w:r w:rsidRPr="003771AE">
        <w:rPr>
          <w:rFonts w:ascii="Book Antiqua" w:eastAsia="Calibri" w:hAnsi="Book Antiqua" w:cs="Times New Roman"/>
          <w:kern w:val="0"/>
          <w:sz w:val="24"/>
          <w:szCs w:val="24"/>
          <w:lang w:val="en-GB" w:eastAsia="ro-RO"/>
        </w:rPr>
        <w:t xml:space="preserve"> both the susceptibility and development of cancer due to its immunosuppressive (tumour</w:t>
      </w:r>
      <w:r w:rsidRPr="003771AE">
        <w:rPr>
          <w:rFonts w:ascii="Book Antiqua" w:eastAsia="Calibri" w:hAnsi="Book Antiqua" w:cs="Times New Roman"/>
          <w:kern w:val="0"/>
          <w:sz w:val="24"/>
          <w:szCs w:val="24"/>
          <w:lang w:val="en-GB" w:eastAsia="en-US"/>
        </w:rPr>
        <w:t xml:space="preserve"> inhibition)</w:t>
      </w:r>
      <w:r w:rsidRPr="003771AE">
        <w:rPr>
          <w:rFonts w:ascii="Book Antiqua" w:eastAsia="Calibri" w:hAnsi="Book Antiqua" w:cs="Times New Roman"/>
          <w:kern w:val="0"/>
          <w:sz w:val="24"/>
          <w:szCs w:val="24"/>
          <w:lang w:val="en-GB" w:eastAsia="ro-RO"/>
        </w:rPr>
        <w:t xml:space="preserve"> and immunostimulating (</w:t>
      </w:r>
      <w:r w:rsidRPr="003771AE">
        <w:rPr>
          <w:rFonts w:ascii="Book Antiqua" w:eastAsia="Calibri" w:hAnsi="Book Antiqua" w:cs="Times New Roman"/>
          <w:kern w:val="0"/>
          <w:sz w:val="24"/>
          <w:szCs w:val="24"/>
          <w:lang w:val="en-GB" w:eastAsia="en-US"/>
        </w:rPr>
        <w:t>tumour promotion)</w:t>
      </w:r>
      <w:r w:rsidRPr="003771AE">
        <w:rPr>
          <w:rFonts w:ascii="Book Antiqua" w:eastAsia="Calibri" w:hAnsi="Book Antiqua" w:cs="Times New Roman"/>
          <w:kern w:val="0"/>
          <w:sz w:val="24"/>
          <w:szCs w:val="24"/>
          <w:lang w:val="en-GB" w:eastAsia="ro-RO"/>
        </w:rPr>
        <w:t xml:space="preserve"> functions. </w:t>
      </w:r>
      <w:r w:rsidRPr="003771AE">
        <w:rPr>
          <w:rFonts w:ascii="Book Antiqua" w:eastAsia="Calibri" w:hAnsi="Book Antiqua" w:cs="Times New Roman"/>
          <w:kern w:val="0"/>
          <w:sz w:val="24"/>
          <w:szCs w:val="24"/>
          <w:lang w:val="en-GB" w:eastAsia="en-US"/>
        </w:rPr>
        <w:t xml:space="preserve">Recently, the role of IL-10 </w:t>
      </w:r>
      <w:r w:rsidRPr="003771AE">
        <w:rPr>
          <w:rFonts w:ascii="Book Antiqua" w:eastAsia="Calibri" w:hAnsi="Book Antiqua" w:cs="Times New Roman"/>
          <w:kern w:val="0"/>
          <w:sz w:val="24"/>
          <w:szCs w:val="24"/>
          <w:lang w:val="en-GB" w:eastAsia="ro-RO"/>
        </w:rPr>
        <w:t>–1082A&gt;G, –819C&gt;T, and –592A&gt;C SNPs in susceptibility to GC were investigated in a Chinese population</w:t>
      </w:r>
      <w:r w:rsidRPr="003771AE">
        <w:rPr>
          <w:rFonts w:ascii="Book Antiqua" w:eastAsia="Calibri" w:hAnsi="Book Antiqua" w:cs="Times New Roman"/>
          <w:kern w:val="0"/>
          <w:sz w:val="24"/>
          <w:szCs w:val="24"/>
          <w:vertAlign w:val="superscript"/>
          <w:lang w:val="en-GB" w:eastAsia="ro-RO"/>
        </w:rPr>
        <w:t>[106]</w:t>
      </w:r>
      <w:r w:rsidRPr="003771AE">
        <w:rPr>
          <w:rFonts w:ascii="Book Antiqua" w:eastAsia="Calibri" w:hAnsi="Book Antiqua" w:cs="Times New Roman"/>
          <w:kern w:val="0"/>
          <w:sz w:val="24"/>
          <w:szCs w:val="24"/>
          <w:lang w:val="en-GB" w:eastAsia="ro-RO"/>
        </w:rPr>
        <w:t xml:space="preserve">. The authors reported that the CC genotype of the IL-10 –819C&gt;T (rs1800871) SNP was associated with a decreased risk of atrophic gastritis and GC compared with the TT genotype. The CC genotype carriers demonstrated a significantly increased risk of atrophic gastritis compared with healthy subjects (OR = 1.79, 95%CI: 1.02–3.13, </w:t>
      </w:r>
      <w:r w:rsidRPr="003771AE">
        <w:rPr>
          <w:rFonts w:ascii="Book Antiqua" w:eastAsia="Calibri" w:hAnsi="Book Antiqua" w:cs="Times New Roman"/>
          <w:i/>
          <w:kern w:val="0"/>
          <w:sz w:val="24"/>
          <w:szCs w:val="24"/>
          <w:lang w:val="en-GB" w:eastAsia="ro-RO"/>
        </w:rPr>
        <w:t>P =</w:t>
      </w:r>
      <w:r w:rsidRPr="003771AE">
        <w:rPr>
          <w:rFonts w:ascii="Book Antiqua" w:eastAsia="Calibri" w:hAnsi="Book Antiqua" w:cs="Times New Roman"/>
          <w:kern w:val="0"/>
          <w:sz w:val="24"/>
          <w:szCs w:val="24"/>
          <w:lang w:val="en-GB" w:eastAsia="ro-RO"/>
        </w:rPr>
        <w:t xml:space="preserve"> 0.043). The same study revealed no significant relationship between IL-10 –1082A&gt;G and –592A&gt;C polymorphisms and the risks of atrophic gastritis and GC. Furthermore, no interaction was found between IL-10 and </w:t>
      </w:r>
      <w:r w:rsidRPr="003771AE">
        <w:rPr>
          <w:rFonts w:ascii="Book Antiqua" w:eastAsia="Calibri" w:hAnsi="Book Antiqua" w:cs="Times New Roman"/>
          <w:i/>
          <w:kern w:val="0"/>
          <w:sz w:val="24"/>
          <w:szCs w:val="24"/>
          <w:lang w:val="en-GB" w:eastAsia="ro-RO"/>
        </w:rPr>
        <w:t>H. pylori</w:t>
      </w:r>
      <w:r w:rsidRPr="003771AE">
        <w:rPr>
          <w:rFonts w:ascii="Book Antiqua" w:eastAsia="Calibri" w:hAnsi="Book Antiqua" w:cs="Times New Roman"/>
          <w:kern w:val="0"/>
          <w:sz w:val="24"/>
          <w:szCs w:val="24"/>
          <w:vertAlign w:val="superscript"/>
          <w:lang w:val="en-GB" w:eastAsia="ro-RO"/>
        </w:rPr>
        <w:t>[106]</w:t>
      </w:r>
      <w:r w:rsidRPr="003771AE">
        <w:rPr>
          <w:rFonts w:ascii="Book Antiqua" w:eastAsia="Calibri" w:hAnsi="Book Antiqua" w:cs="Times New Roman"/>
          <w:kern w:val="0"/>
          <w:sz w:val="24"/>
          <w:szCs w:val="24"/>
          <w:lang w:val="en-GB" w:eastAsia="ro-RO"/>
        </w:rPr>
        <w:t>.</w:t>
      </w:r>
    </w:p>
    <w:p w14:paraId="68B94DF5" w14:textId="6856D5C5" w:rsidR="0011105F" w:rsidRPr="003771AE" w:rsidRDefault="0011105F" w:rsidP="007933B2">
      <w:pPr>
        <w:widowControl/>
        <w:snapToGrid w:val="0"/>
        <w:spacing w:line="360" w:lineRule="auto"/>
        <w:ind w:firstLineChars="100" w:firstLine="240"/>
        <w:outlineLvl w:val="0"/>
        <w:rPr>
          <w:rFonts w:ascii="Book Antiqua" w:eastAsia="Calibri" w:hAnsi="Book Antiqua" w:cs="Times New Roman"/>
          <w:kern w:val="0"/>
          <w:sz w:val="24"/>
          <w:szCs w:val="24"/>
          <w:lang w:val="en-GB" w:eastAsia="ro-RO"/>
        </w:rPr>
      </w:pPr>
      <w:r w:rsidRPr="003771AE">
        <w:rPr>
          <w:rFonts w:ascii="Book Antiqua" w:eastAsia="Times New Roman" w:hAnsi="Book Antiqua" w:cs="Times New Roman"/>
          <w:bCs/>
          <w:kern w:val="36"/>
          <w:sz w:val="24"/>
          <w:szCs w:val="24"/>
          <w:lang w:val="en-GB" w:eastAsia="ro-RO"/>
        </w:rPr>
        <w:t>In contrast, significant associations were observed between IL-10 –1082A&gt;G</w:t>
      </w:r>
      <w:r w:rsidRPr="003771AE">
        <w:rPr>
          <w:rFonts w:ascii="Book Antiqua" w:eastAsia="Times New Roman" w:hAnsi="Book Antiqua" w:cs="Times New Roman"/>
          <w:bCs/>
          <w:kern w:val="36"/>
          <w:sz w:val="24"/>
          <w:szCs w:val="24"/>
          <w:vertAlign w:val="superscript"/>
          <w:lang w:val="en-GB" w:eastAsia="ro-RO"/>
        </w:rPr>
        <w:t>[105]</w:t>
      </w:r>
      <w:r w:rsidRPr="003771AE">
        <w:rPr>
          <w:rFonts w:ascii="Book Antiqua" w:eastAsia="Times New Roman" w:hAnsi="Book Antiqua" w:cs="Times New Roman"/>
          <w:bCs/>
          <w:kern w:val="36"/>
          <w:sz w:val="24"/>
          <w:szCs w:val="24"/>
          <w:lang w:val="en-GB" w:eastAsia="ro-RO"/>
        </w:rPr>
        <w:t>, IL-10 –592A&gt;C</w:t>
      </w:r>
      <w:r w:rsidRPr="003771AE">
        <w:rPr>
          <w:rFonts w:ascii="Book Antiqua" w:eastAsia="Times New Roman" w:hAnsi="Book Antiqua" w:cs="Times New Roman"/>
          <w:bCs/>
          <w:kern w:val="36"/>
          <w:sz w:val="24"/>
          <w:szCs w:val="24"/>
          <w:vertAlign w:val="superscript"/>
          <w:lang w:val="en-GB" w:eastAsia="ro-RO"/>
        </w:rPr>
        <w:t>[107]</w:t>
      </w:r>
      <w:r w:rsidRPr="003771AE">
        <w:rPr>
          <w:rFonts w:ascii="Book Antiqua" w:eastAsia="Times New Roman" w:hAnsi="Book Antiqua" w:cs="Times New Roman"/>
          <w:bCs/>
          <w:kern w:val="36"/>
          <w:sz w:val="24"/>
          <w:szCs w:val="24"/>
          <w:lang w:val="en-GB" w:eastAsia="ro-RO"/>
        </w:rPr>
        <w:t xml:space="preserve"> and GC risk only in cases with </w:t>
      </w:r>
      <w:r w:rsidRPr="003771AE">
        <w:rPr>
          <w:rFonts w:ascii="Book Antiqua" w:eastAsia="Times New Roman" w:hAnsi="Book Antiqua" w:cs="Times New Roman"/>
          <w:bCs/>
          <w:i/>
          <w:iCs/>
          <w:kern w:val="36"/>
          <w:sz w:val="24"/>
          <w:szCs w:val="24"/>
          <w:lang w:val="en-GB" w:eastAsia="ro-RO"/>
        </w:rPr>
        <w:t>H. pylori</w:t>
      </w:r>
      <w:r w:rsidRPr="003771AE">
        <w:rPr>
          <w:rFonts w:ascii="Book Antiqua" w:eastAsia="Times New Roman" w:hAnsi="Book Antiqua" w:cs="Times New Roman"/>
          <w:bCs/>
          <w:iCs/>
          <w:kern w:val="36"/>
          <w:sz w:val="24"/>
          <w:szCs w:val="24"/>
          <w:lang w:val="en-GB" w:eastAsia="ro-RO"/>
        </w:rPr>
        <w:t xml:space="preserve"> infection</w:t>
      </w:r>
      <w:r w:rsidRPr="003771AE">
        <w:rPr>
          <w:rFonts w:ascii="Book Antiqua" w:eastAsia="Times New Roman" w:hAnsi="Book Antiqua" w:cs="Times New Roman"/>
          <w:bCs/>
          <w:kern w:val="36"/>
          <w:sz w:val="24"/>
          <w:szCs w:val="24"/>
          <w:lang w:val="en-GB" w:eastAsia="ro-RO"/>
        </w:rPr>
        <w:t xml:space="preserve">. An elevated risk of GC has been identified in patients who carried the variant genotype of these SNPs and had </w:t>
      </w:r>
      <w:r w:rsidRPr="003771AE">
        <w:rPr>
          <w:rFonts w:ascii="Book Antiqua" w:eastAsia="Times New Roman" w:hAnsi="Book Antiqua" w:cs="Times New Roman"/>
          <w:bCs/>
          <w:i/>
          <w:iCs/>
          <w:kern w:val="36"/>
          <w:sz w:val="24"/>
          <w:szCs w:val="24"/>
          <w:lang w:val="en-GB" w:eastAsia="ro-RO"/>
        </w:rPr>
        <w:t>H. pylori</w:t>
      </w:r>
      <w:r w:rsidRPr="003771AE">
        <w:rPr>
          <w:rFonts w:ascii="Book Antiqua" w:eastAsia="Times New Roman" w:hAnsi="Book Antiqua" w:cs="Times New Roman"/>
          <w:bCs/>
          <w:iCs/>
          <w:kern w:val="36"/>
          <w:sz w:val="24"/>
          <w:szCs w:val="24"/>
          <w:lang w:val="en-GB" w:eastAsia="ro-RO"/>
        </w:rPr>
        <w:t xml:space="preserve"> infection</w:t>
      </w:r>
      <w:r w:rsidRPr="003771AE">
        <w:rPr>
          <w:rFonts w:ascii="Book Antiqua" w:eastAsia="Times New Roman" w:hAnsi="Book Antiqua" w:cs="Times New Roman"/>
          <w:bCs/>
          <w:kern w:val="36"/>
          <w:sz w:val="24"/>
          <w:szCs w:val="24"/>
          <w:lang w:val="en-GB" w:eastAsia="ro-RO"/>
        </w:rPr>
        <w:t>, indicating a synergistic effect for the combination of host genotype and the infection</w:t>
      </w:r>
      <w:r w:rsidRPr="003771AE">
        <w:rPr>
          <w:rFonts w:ascii="Book Antiqua" w:eastAsia="Times New Roman" w:hAnsi="Book Antiqua" w:cs="Times New Roman"/>
          <w:bCs/>
          <w:kern w:val="36"/>
          <w:sz w:val="24"/>
          <w:szCs w:val="24"/>
          <w:vertAlign w:val="superscript"/>
          <w:lang w:val="en-GB" w:eastAsia="ro-RO"/>
        </w:rPr>
        <w:t>[105,107]</w:t>
      </w:r>
      <w:r w:rsidRPr="003771AE">
        <w:rPr>
          <w:rFonts w:ascii="Book Antiqua" w:eastAsia="Times New Roman" w:hAnsi="Book Antiqua" w:cs="Times New Roman"/>
          <w:bCs/>
          <w:kern w:val="36"/>
          <w:sz w:val="24"/>
          <w:szCs w:val="24"/>
          <w:lang w:val="en-GB" w:eastAsia="ro-RO"/>
        </w:rPr>
        <w:t xml:space="preserve">. </w:t>
      </w:r>
      <w:r w:rsidRPr="003771AE">
        <w:rPr>
          <w:rFonts w:ascii="Book Antiqua" w:eastAsia="Calibri" w:hAnsi="Book Antiqua" w:cs="Times New Roman"/>
          <w:kern w:val="0"/>
          <w:sz w:val="24"/>
          <w:szCs w:val="24"/>
          <w:lang w:val="en-GB" w:eastAsia="ro-RO"/>
        </w:rPr>
        <w:t>Ramis</w:t>
      </w:r>
      <w:r w:rsidR="007933B2">
        <w:rPr>
          <w:rFonts w:ascii="Book Antiqua" w:eastAsia="Calibri" w:hAnsi="Book Antiqua" w:cs="Times New Roman"/>
          <w:kern w:val="0"/>
          <w:sz w:val="24"/>
          <w:szCs w:val="24"/>
          <w:lang w:val="en-GB" w:eastAsia="ro-RO"/>
        </w:rPr>
        <w:t xml:space="preserve"> </w:t>
      </w:r>
      <w:r w:rsidRPr="003771AE">
        <w:rPr>
          <w:rFonts w:ascii="Book Antiqua" w:eastAsia="Calibri" w:hAnsi="Book Antiqua" w:cs="Times New Roman"/>
          <w:i/>
          <w:kern w:val="0"/>
          <w:sz w:val="24"/>
          <w:szCs w:val="24"/>
          <w:lang w:val="en-GB" w:eastAsia="ro-RO"/>
        </w:rPr>
        <w:t>et al</w:t>
      </w:r>
      <w:r w:rsidRPr="003771AE">
        <w:rPr>
          <w:rFonts w:ascii="Book Antiqua" w:eastAsia="Calibri" w:hAnsi="Book Antiqua" w:cs="Times New Roman"/>
          <w:kern w:val="0"/>
          <w:sz w:val="24"/>
          <w:szCs w:val="24"/>
          <w:vertAlign w:val="superscript"/>
          <w:lang w:val="en-GB" w:eastAsia="ro-RO"/>
        </w:rPr>
        <w:t>[108]</w:t>
      </w:r>
      <w:r w:rsidRPr="003771AE">
        <w:rPr>
          <w:rFonts w:ascii="Book Antiqua" w:eastAsia="Calibri" w:hAnsi="Book Antiqua" w:cs="Times New Roman"/>
          <w:kern w:val="0"/>
          <w:sz w:val="24"/>
          <w:szCs w:val="24"/>
          <w:lang w:val="en-GB" w:eastAsia="ro-RO"/>
        </w:rPr>
        <w:t xml:space="preserve"> demonstrated that, among Brazilian patients the IL-10 –819C/T genotype was not associated with either </w:t>
      </w:r>
      <w:r w:rsidRPr="003771AE">
        <w:rPr>
          <w:rFonts w:ascii="Book Antiqua" w:eastAsia="Calibri" w:hAnsi="Book Antiqua" w:cs="Times New Roman"/>
          <w:i/>
          <w:kern w:val="0"/>
          <w:sz w:val="24"/>
          <w:szCs w:val="24"/>
          <w:lang w:val="en-GB" w:eastAsia="ro-RO"/>
        </w:rPr>
        <w:t>H. pylori</w:t>
      </w:r>
      <w:r w:rsidRPr="003771AE">
        <w:rPr>
          <w:rFonts w:ascii="Book Antiqua" w:eastAsia="Calibri" w:hAnsi="Book Antiqua" w:cs="Times New Roman"/>
          <w:kern w:val="0"/>
          <w:sz w:val="24"/>
          <w:szCs w:val="24"/>
          <w:lang w:val="en-GB" w:eastAsia="ro-RO"/>
        </w:rPr>
        <w:t xml:space="preserve"> infection or gastric carcinoma risk. In an Irish population study, carriage of the variant alleles IL-10-592, -819, and -1082were not associated with IM or gastritis</w:t>
      </w:r>
      <w:r w:rsidRPr="003771AE">
        <w:rPr>
          <w:rFonts w:ascii="Book Antiqua" w:eastAsia="Calibri" w:hAnsi="Book Antiqua" w:cs="Times New Roman"/>
          <w:kern w:val="0"/>
          <w:sz w:val="24"/>
          <w:szCs w:val="24"/>
          <w:vertAlign w:val="superscript"/>
          <w:lang w:val="en-GB" w:eastAsia="ro-RO"/>
        </w:rPr>
        <w:t>[109]</w:t>
      </w:r>
      <w:r w:rsidRPr="003771AE">
        <w:rPr>
          <w:rFonts w:ascii="Book Antiqua" w:eastAsia="Times New Roman" w:hAnsi="Book Antiqua" w:cs="Times New Roman"/>
          <w:kern w:val="0"/>
          <w:sz w:val="24"/>
          <w:szCs w:val="24"/>
          <w:lang w:val="en-GB" w:eastAsia="ro-RO"/>
        </w:rPr>
        <w:t>. In a large epidemiological study, a</w:t>
      </w:r>
      <w:r w:rsidRPr="003771AE">
        <w:rPr>
          <w:rFonts w:ascii="Book Antiqua" w:eastAsia="Calibri" w:hAnsi="Book Antiqua" w:cs="Times New Roman"/>
          <w:kern w:val="0"/>
          <w:sz w:val="24"/>
          <w:szCs w:val="24"/>
          <w:lang w:val="en-GB" w:eastAsia="ro-RO"/>
        </w:rPr>
        <w:t xml:space="preserve"> significant association was found between the CC genotype of the IL-10 –819C&gt;T (rs1800871) SNP and the risk of chronic atrophic gastritis among older adults from Germany (OR = 1.67, 95%CI: 1.01–2.76)</w:t>
      </w:r>
      <w:r w:rsidRPr="003771AE">
        <w:rPr>
          <w:rFonts w:ascii="Book Antiqua" w:eastAsia="Calibri" w:hAnsi="Book Antiqua" w:cs="Times New Roman"/>
          <w:kern w:val="0"/>
          <w:sz w:val="24"/>
          <w:szCs w:val="24"/>
          <w:vertAlign w:val="superscript"/>
          <w:lang w:val="en-GB" w:eastAsia="ro-RO"/>
        </w:rPr>
        <w:t>[76]</w:t>
      </w:r>
      <w:r w:rsidRPr="003771AE">
        <w:rPr>
          <w:rFonts w:ascii="Book Antiqua" w:eastAsia="Calibri" w:hAnsi="Book Antiqua" w:cs="Times New Roman"/>
          <w:kern w:val="0"/>
          <w:sz w:val="24"/>
          <w:szCs w:val="24"/>
          <w:lang w:val="en-GB" w:eastAsia="ro-RO"/>
        </w:rPr>
        <w:t xml:space="preserve">. </w:t>
      </w:r>
    </w:p>
    <w:p w14:paraId="27F0AAA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kern w:val="0"/>
          <w:sz w:val="24"/>
          <w:szCs w:val="24"/>
          <w:lang w:val="en-GB" w:eastAsia="ro-RO"/>
        </w:rPr>
      </w:pPr>
    </w:p>
    <w:p w14:paraId="56CFFC7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i/>
          <w:kern w:val="0"/>
          <w:sz w:val="24"/>
          <w:szCs w:val="24"/>
          <w:lang w:val="en-GB" w:eastAsia="ro-RO"/>
        </w:rPr>
      </w:pPr>
      <w:r w:rsidRPr="003771AE">
        <w:rPr>
          <w:rFonts w:ascii="Book Antiqua" w:eastAsia="Calibri" w:hAnsi="Book Antiqua" w:cs="Times New Roman"/>
          <w:b/>
          <w:i/>
          <w:kern w:val="0"/>
          <w:sz w:val="24"/>
          <w:szCs w:val="24"/>
          <w:lang w:val="en-GB" w:eastAsia="ro-RO"/>
        </w:rPr>
        <w:t>IL-18</w:t>
      </w:r>
    </w:p>
    <w:p w14:paraId="04166B95" w14:textId="73E9E275"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ro-RO"/>
        </w:rPr>
      </w:pPr>
      <w:r w:rsidRPr="003771AE">
        <w:rPr>
          <w:rFonts w:ascii="Book Antiqua" w:eastAsia="Calibri" w:hAnsi="Book Antiqua" w:cs="Times New Roman"/>
          <w:bCs/>
          <w:iCs/>
          <w:kern w:val="0"/>
          <w:sz w:val="24"/>
          <w:szCs w:val="24"/>
          <w:lang w:val="en-GB" w:eastAsia="ro-RO"/>
        </w:rPr>
        <w:t>IL-18</w:t>
      </w:r>
      <w:r w:rsidRPr="003771AE">
        <w:rPr>
          <w:rFonts w:ascii="Book Antiqua" w:eastAsia="Calibri" w:hAnsi="Book Antiqua" w:cs="Times New Roman"/>
          <w:bCs/>
          <w:kern w:val="0"/>
          <w:sz w:val="24"/>
          <w:szCs w:val="24"/>
          <w:lang w:val="en-GB" w:eastAsia="ro-RO"/>
        </w:rPr>
        <w:t xml:space="preserve">, a proinflammatory cytokine, plays an important role in chronic inflammation and is linked with </w:t>
      </w:r>
      <w:r w:rsidRPr="003771AE">
        <w:rPr>
          <w:rFonts w:ascii="Book Antiqua" w:eastAsia="Calibri" w:hAnsi="Book Antiqua" w:cs="Times New Roman"/>
          <w:kern w:val="0"/>
          <w:sz w:val="24"/>
          <w:szCs w:val="24"/>
          <w:lang w:val="en-GB" w:eastAsia="ro-RO"/>
        </w:rPr>
        <w:t>tumourigenesis.</w:t>
      </w:r>
      <w:r w:rsidR="007933B2">
        <w:rPr>
          <w:rFonts w:ascii="Book Antiqua" w:eastAsia="Calibri" w:hAnsi="Book Antiqua" w:cs="Times New Roman"/>
          <w:kern w:val="0"/>
          <w:sz w:val="24"/>
          <w:szCs w:val="24"/>
          <w:lang w:val="en-GB" w:eastAsia="ro-RO"/>
        </w:rPr>
        <w:t xml:space="preserve"> </w:t>
      </w:r>
      <w:r w:rsidRPr="003771AE">
        <w:rPr>
          <w:rFonts w:ascii="Book Antiqua" w:eastAsia="Calibri" w:hAnsi="Book Antiqua" w:cs="Times New Roman"/>
          <w:iCs/>
          <w:kern w:val="0"/>
          <w:sz w:val="24"/>
          <w:szCs w:val="24"/>
          <w:lang w:val="en-GB" w:eastAsia="ro-RO"/>
        </w:rPr>
        <w:t>Myung</w:t>
      </w:r>
      <w:r w:rsidR="007933B2">
        <w:rPr>
          <w:rFonts w:ascii="Book Antiqua" w:eastAsia="Calibri" w:hAnsi="Book Antiqua" w:cs="Times New Roman"/>
          <w:iCs/>
          <w:kern w:val="0"/>
          <w:sz w:val="24"/>
          <w:szCs w:val="24"/>
          <w:lang w:val="en-GB" w:eastAsia="ro-RO"/>
        </w:rPr>
        <w:t xml:space="preserve"> </w:t>
      </w:r>
      <w:r w:rsidRPr="003771AE">
        <w:rPr>
          <w:rFonts w:ascii="Book Antiqua" w:eastAsia="Calibri" w:hAnsi="Book Antiqua" w:cs="Times New Roman"/>
          <w:i/>
          <w:iCs/>
          <w:kern w:val="0"/>
          <w:sz w:val="24"/>
          <w:szCs w:val="24"/>
          <w:lang w:val="en-GB" w:eastAsia="ro-RO"/>
        </w:rPr>
        <w:t>et al</w:t>
      </w:r>
      <w:r w:rsidRPr="003771AE">
        <w:rPr>
          <w:rFonts w:ascii="Book Antiqua" w:eastAsia="Calibri" w:hAnsi="Book Antiqua" w:cs="Times New Roman"/>
          <w:kern w:val="0"/>
          <w:sz w:val="24"/>
          <w:szCs w:val="24"/>
          <w:vertAlign w:val="superscript"/>
          <w:lang w:val="en-GB" w:eastAsia="ro-RO"/>
        </w:rPr>
        <w:t>[110]</w:t>
      </w:r>
      <w:r w:rsidRPr="003771AE">
        <w:rPr>
          <w:rFonts w:ascii="Book Antiqua" w:eastAsia="Calibri" w:hAnsi="Book Antiqua" w:cs="Times New Roman"/>
          <w:iCs/>
          <w:kern w:val="0"/>
          <w:sz w:val="24"/>
          <w:szCs w:val="24"/>
          <w:lang w:val="en-GB" w:eastAsia="ro-RO"/>
        </w:rPr>
        <w:t xml:space="preserve"> investigated the association of IL-18 </w:t>
      </w:r>
      <w:r w:rsidRPr="003771AE">
        <w:rPr>
          <w:rFonts w:ascii="Book Antiqua" w:eastAsia="Calibri" w:hAnsi="Book Antiqua" w:cs="Times New Roman"/>
          <w:kern w:val="0"/>
          <w:sz w:val="24"/>
          <w:szCs w:val="24"/>
          <w:lang w:val="en-GB" w:eastAsia="ro-RO"/>
        </w:rPr>
        <w:t>SNPs rs187238 (</w:t>
      </w:r>
      <w:r w:rsidRPr="003771AE">
        <w:rPr>
          <w:rFonts w:ascii="Book Antiqua" w:eastAsia="EuclidSymbol" w:hAnsi="Book Antiqua" w:cs="Times New Roman"/>
          <w:kern w:val="0"/>
          <w:sz w:val="24"/>
          <w:szCs w:val="24"/>
          <w:lang w:val="en-GB" w:eastAsia="ro-RO"/>
        </w:rPr>
        <w:t>–</w:t>
      </w:r>
      <w:r w:rsidRPr="003771AE">
        <w:rPr>
          <w:rFonts w:ascii="Book Antiqua" w:eastAsia="Calibri" w:hAnsi="Book Antiqua" w:cs="Times New Roman"/>
          <w:kern w:val="0"/>
          <w:sz w:val="24"/>
          <w:szCs w:val="24"/>
          <w:lang w:val="en-GB" w:eastAsia="ro-RO"/>
        </w:rPr>
        <w:t>137G&gt;C), rs360718</w:t>
      </w:r>
      <w:r w:rsidR="007933B2">
        <w:rPr>
          <w:rFonts w:ascii="Book Antiqua" w:eastAsia="Calibri" w:hAnsi="Book Antiqua" w:cs="Times New Roman"/>
          <w:kern w:val="0"/>
          <w:sz w:val="24"/>
          <w:szCs w:val="24"/>
          <w:lang w:val="en-GB" w:eastAsia="ro-RO"/>
        </w:rPr>
        <w:t xml:space="preserve"> </w:t>
      </w:r>
      <w:r w:rsidRPr="003771AE">
        <w:rPr>
          <w:rFonts w:ascii="Book Antiqua" w:eastAsia="Calibri" w:hAnsi="Book Antiqua" w:cs="Times New Roman"/>
          <w:kern w:val="0"/>
          <w:sz w:val="24"/>
          <w:szCs w:val="24"/>
          <w:lang w:val="en-GB" w:eastAsia="ro-RO"/>
        </w:rPr>
        <w:t>(113T&gt;G), and rs360717</w:t>
      </w:r>
      <w:r w:rsidR="007933B2">
        <w:rPr>
          <w:rFonts w:ascii="Book Antiqua" w:eastAsia="Calibri" w:hAnsi="Book Antiqua" w:cs="Times New Roman"/>
          <w:kern w:val="0"/>
          <w:sz w:val="24"/>
          <w:szCs w:val="24"/>
          <w:lang w:val="en-GB" w:eastAsia="ro-RO"/>
        </w:rPr>
        <w:t xml:space="preserve"> </w:t>
      </w:r>
      <w:r w:rsidRPr="003771AE">
        <w:rPr>
          <w:rFonts w:ascii="Book Antiqua" w:eastAsia="Calibri" w:hAnsi="Book Antiqua" w:cs="Times New Roman"/>
          <w:kern w:val="0"/>
          <w:sz w:val="24"/>
          <w:szCs w:val="24"/>
          <w:lang w:val="en-GB" w:eastAsia="ro-RO"/>
        </w:rPr>
        <w:t xml:space="preserve">(127C&gt;T) with the susceptibility to </w:t>
      </w:r>
      <w:r w:rsidRPr="003771AE">
        <w:rPr>
          <w:rFonts w:ascii="Book Antiqua" w:eastAsia="Calibri" w:hAnsi="Book Antiqua" w:cs="Times New Roman"/>
          <w:i/>
          <w:iCs/>
          <w:kern w:val="0"/>
          <w:sz w:val="24"/>
          <w:szCs w:val="24"/>
          <w:lang w:val="en-GB" w:eastAsia="ro-RO"/>
        </w:rPr>
        <w:t>H. pylori</w:t>
      </w:r>
      <w:r w:rsidR="007933B2">
        <w:rPr>
          <w:rFonts w:ascii="Book Antiqua" w:eastAsia="Calibri" w:hAnsi="Book Antiqua" w:cs="Times New Roman"/>
          <w:i/>
          <w:iCs/>
          <w:kern w:val="0"/>
          <w:sz w:val="24"/>
          <w:szCs w:val="24"/>
          <w:lang w:val="en-GB" w:eastAsia="ro-RO"/>
        </w:rPr>
        <w:t xml:space="preserve"> </w:t>
      </w:r>
      <w:r w:rsidRPr="003771AE">
        <w:rPr>
          <w:rFonts w:ascii="Book Antiqua" w:eastAsia="Calibri" w:hAnsi="Book Antiqua" w:cs="Times New Roman"/>
          <w:kern w:val="0"/>
          <w:sz w:val="24"/>
          <w:szCs w:val="24"/>
          <w:lang w:val="en-GB" w:eastAsia="ro-RO"/>
        </w:rPr>
        <w:t xml:space="preserve">infection in a Korean population and the findings suggested that they each play a role in </w:t>
      </w:r>
      <w:r w:rsidRPr="003771AE">
        <w:rPr>
          <w:rFonts w:ascii="Book Antiqua" w:eastAsia="Calibri" w:hAnsi="Book Antiqua" w:cs="Times New Roman"/>
          <w:i/>
          <w:kern w:val="0"/>
          <w:sz w:val="24"/>
          <w:szCs w:val="24"/>
          <w:lang w:val="en-GB" w:eastAsia="ro-RO"/>
        </w:rPr>
        <w:t>H. pylori</w:t>
      </w:r>
      <w:r w:rsidRPr="003771AE">
        <w:rPr>
          <w:rFonts w:ascii="Book Antiqua" w:eastAsia="Calibri" w:hAnsi="Book Antiqua" w:cs="Times New Roman"/>
          <w:kern w:val="0"/>
          <w:sz w:val="24"/>
          <w:szCs w:val="24"/>
          <w:lang w:val="en-GB" w:eastAsia="ro-RO"/>
        </w:rPr>
        <w:t xml:space="preserve">-associated diseases. </w:t>
      </w:r>
      <w:r w:rsidRPr="003771AE">
        <w:rPr>
          <w:rFonts w:ascii="Book Antiqua" w:eastAsia="Times New Roman" w:hAnsi="Book Antiqua" w:cs="Times New Roman"/>
          <w:kern w:val="0"/>
          <w:sz w:val="24"/>
          <w:szCs w:val="24"/>
          <w:lang w:val="en-GB" w:eastAsia="ro-RO"/>
        </w:rPr>
        <w:t>Leung</w:t>
      </w:r>
      <w:r w:rsidR="007933B2">
        <w:rPr>
          <w:rFonts w:ascii="Book Antiqua" w:eastAsia="Times New Roman" w:hAnsi="Book Antiqua" w:cs="Times New Roman"/>
          <w:kern w:val="0"/>
          <w:sz w:val="24"/>
          <w:szCs w:val="24"/>
          <w:lang w:val="en-GB" w:eastAsia="ro-RO"/>
        </w:rPr>
        <w:t xml:space="preserve"> </w:t>
      </w:r>
      <w:r w:rsidRPr="003771AE">
        <w:rPr>
          <w:rFonts w:ascii="Book Antiqua" w:eastAsia="Calibri" w:hAnsi="Book Antiqua" w:cs="Times New Roman"/>
          <w:i/>
          <w:kern w:val="0"/>
          <w:sz w:val="24"/>
          <w:szCs w:val="24"/>
          <w:lang w:val="en-GB" w:eastAsia="ro-RO"/>
        </w:rPr>
        <w:t>et al</w:t>
      </w:r>
      <w:r w:rsidRPr="003771AE">
        <w:rPr>
          <w:rFonts w:ascii="Book Antiqua" w:eastAsia="Calibri" w:hAnsi="Book Antiqua" w:cs="Times New Roman"/>
          <w:kern w:val="0"/>
          <w:sz w:val="24"/>
          <w:szCs w:val="24"/>
          <w:vertAlign w:val="superscript"/>
          <w:lang w:val="en-GB" w:eastAsia="ro-RO"/>
        </w:rPr>
        <w:t>[111]</w:t>
      </w:r>
      <w:r w:rsidRPr="003771AE">
        <w:rPr>
          <w:rFonts w:ascii="Book Antiqua" w:eastAsia="Calibri" w:hAnsi="Book Antiqua" w:cs="Times New Roman"/>
          <w:kern w:val="0"/>
          <w:sz w:val="24"/>
          <w:szCs w:val="24"/>
          <w:lang w:val="en-GB" w:eastAsia="ro-RO"/>
        </w:rPr>
        <w:t xml:space="preserve"> showed that </w:t>
      </w:r>
      <w:r w:rsidRPr="003771AE">
        <w:rPr>
          <w:rFonts w:ascii="Book Antiqua" w:eastAsia="Calibri" w:hAnsi="Book Antiqua" w:cs="Times New Roman"/>
          <w:iCs/>
          <w:kern w:val="0"/>
          <w:sz w:val="24"/>
          <w:szCs w:val="24"/>
          <w:lang w:val="en-GB" w:eastAsia="ro-RO"/>
        </w:rPr>
        <w:t>IL</w:t>
      </w:r>
      <w:r w:rsidRPr="003771AE">
        <w:rPr>
          <w:rFonts w:ascii="Book Antiqua" w:eastAsia="Calibri" w:hAnsi="Book Antiqua" w:cs="Times New Roman"/>
          <w:iCs/>
          <w:kern w:val="0"/>
          <w:sz w:val="24"/>
          <w:szCs w:val="24"/>
          <w:lang w:val="en-GB" w:eastAsia="en-US"/>
        </w:rPr>
        <w:t>-</w:t>
      </w:r>
      <w:r w:rsidRPr="003771AE">
        <w:rPr>
          <w:rFonts w:ascii="Book Antiqua" w:eastAsia="Calibri" w:hAnsi="Book Antiqua" w:cs="Times New Roman"/>
          <w:iCs/>
          <w:kern w:val="0"/>
          <w:sz w:val="24"/>
          <w:szCs w:val="24"/>
          <w:lang w:val="en-GB" w:eastAsia="ro-RO"/>
        </w:rPr>
        <w:t>18607</w:t>
      </w:r>
      <w:r w:rsidRPr="003771AE">
        <w:rPr>
          <w:rFonts w:ascii="Book Antiqua" w:eastAsia="Calibri" w:hAnsi="Book Antiqua" w:cs="Times New Roman"/>
          <w:iCs/>
          <w:kern w:val="0"/>
          <w:sz w:val="24"/>
          <w:szCs w:val="24"/>
          <w:lang w:val="en-GB" w:eastAsia="en-US"/>
        </w:rPr>
        <w:t>C&gt;A and IL-18 137G&gt;C</w:t>
      </w:r>
      <w:r w:rsidR="007933B2">
        <w:rPr>
          <w:rFonts w:ascii="Book Antiqua" w:eastAsia="Calibri" w:hAnsi="Book Antiqua" w:cs="Times New Roman"/>
          <w:iCs/>
          <w:kern w:val="0"/>
          <w:sz w:val="24"/>
          <w:szCs w:val="24"/>
          <w:lang w:val="en-GB" w:eastAsia="en-US"/>
        </w:rPr>
        <w:t xml:space="preserve"> </w:t>
      </w:r>
      <w:r w:rsidRPr="003771AE">
        <w:rPr>
          <w:rFonts w:ascii="Book Antiqua" w:eastAsia="Calibri" w:hAnsi="Book Antiqua" w:cs="Times New Roman"/>
          <w:kern w:val="0"/>
          <w:sz w:val="24"/>
          <w:szCs w:val="24"/>
          <w:lang w:val="en-GB" w:eastAsia="ro-RO"/>
        </w:rPr>
        <w:t>were not associated with an increased risk of gastric IM in individuals from the Shandong Province of China</w:t>
      </w:r>
      <w:r w:rsidRPr="003771AE">
        <w:rPr>
          <w:rFonts w:ascii="Book Antiqua" w:eastAsia="Times New Roman" w:hAnsi="Book Antiqua" w:cs="Times New Roman"/>
          <w:bCs/>
          <w:kern w:val="0"/>
          <w:sz w:val="24"/>
          <w:szCs w:val="24"/>
          <w:lang w:val="en-GB" w:eastAsia="ro-RO"/>
        </w:rPr>
        <w:t>.</w:t>
      </w:r>
      <w:r w:rsidR="007933B2">
        <w:rPr>
          <w:rFonts w:ascii="Book Antiqua" w:eastAsia="Times New Roman" w:hAnsi="Book Antiqua" w:cs="Times New Roman"/>
          <w:bCs/>
          <w:kern w:val="0"/>
          <w:sz w:val="24"/>
          <w:szCs w:val="24"/>
          <w:lang w:val="en-GB" w:eastAsia="ro-RO"/>
        </w:rPr>
        <w:t xml:space="preserve"> </w:t>
      </w:r>
      <w:r w:rsidRPr="003771AE">
        <w:rPr>
          <w:rFonts w:ascii="Book Antiqua" w:eastAsia="Calibri" w:hAnsi="Book Antiqua" w:cs="Times New Roman"/>
          <w:kern w:val="0"/>
          <w:sz w:val="24"/>
          <w:szCs w:val="24"/>
          <w:lang w:val="en-GB" w:eastAsia="ro-RO"/>
        </w:rPr>
        <w:t>The homozygous AA genotype of IL-18RA rs917997 (IL-18 receptor accessory protein) may contribute to individual susceptibility to GC (OR = 1.83, 95%CI: 1.14</w:t>
      </w:r>
      <w:r w:rsidRPr="003771AE">
        <w:rPr>
          <w:rFonts w:ascii="Book Antiqua" w:eastAsia="LssbwrAdvTT3713a231+20" w:hAnsi="Book Antiqua" w:cs="Times New Roman"/>
          <w:kern w:val="0"/>
          <w:sz w:val="24"/>
          <w:szCs w:val="24"/>
          <w:lang w:val="en-GB" w:eastAsia="ro-RO"/>
        </w:rPr>
        <w:t>–</w:t>
      </w:r>
      <w:r w:rsidRPr="003771AE">
        <w:rPr>
          <w:rFonts w:ascii="Book Antiqua" w:eastAsia="Calibri" w:hAnsi="Book Antiqua" w:cs="Times New Roman"/>
          <w:kern w:val="0"/>
          <w:sz w:val="24"/>
          <w:szCs w:val="24"/>
          <w:lang w:val="en-GB" w:eastAsia="ro-RO"/>
        </w:rPr>
        <w:t>2.92) or precancerous lesions such as chronic atrophic gastritis (OR = 1.55, 95%CI: 1.07</w:t>
      </w:r>
      <w:r w:rsidRPr="003771AE">
        <w:rPr>
          <w:rFonts w:ascii="Book Antiqua" w:eastAsia="LssbwrAdvTT3713a231+20" w:hAnsi="Book Antiqua" w:cs="Times New Roman"/>
          <w:kern w:val="0"/>
          <w:sz w:val="24"/>
          <w:szCs w:val="24"/>
          <w:lang w:val="en-GB" w:eastAsia="ro-RO"/>
        </w:rPr>
        <w:t>–</w:t>
      </w:r>
      <w:r w:rsidRPr="003771AE">
        <w:rPr>
          <w:rFonts w:ascii="Book Antiqua" w:eastAsia="Calibri" w:hAnsi="Book Antiqua" w:cs="Times New Roman"/>
          <w:kern w:val="0"/>
          <w:sz w:val="24"/>
          <w:szCs w:val="24"/>
          <w:lang w:val="en-GB" w:eastAsia="ro-RO"/>
        </w:rPr>
        <w:t>2.24) in individuals from the Linqu County of China</w:t>
      </w:r>
      <w:r w:rsidRPr="003771AE">
        <w:rPr>
          <w:rFonts w:ascii="Book Antiqua" w:eastAsia="Calibri" w:hAnsi="Book Antiqua" w:cs="Times New Roman"/>
          <w:kern w:val="0"/>
          <w:sz w:val="24"/>
          <w:szCs w:val="24"/>
          <w:vertAlign w:val="superscript"/>
          <w:lang w:val="en-GB" w:eastAsia="ro-RO"/>
        </w:rPr>
        <w:t>[73]</w:t>
      </w:r>
      <w:r w:rsidRPr="003771AE">
        <w:rPr>
          <w:rFonts w:ascii="Book Antiqua" w:eastAsia="Calibri" w:hAnsi="Book Antiqua" w:cs="Times New Roman"/>
          <w:kern w:val="0"/>
          <w:sz w:val="24"/>
          <w:szCs w:val="24"/>
          <w:lang w:val="en-GB" w:eastAsia="ro-RO"/>
        </w:rPr>
        <w:t>.</w:t>
      </w:r>
    </w:p>
    <w:p w14:paraId="6B29E5A1" w14:textId="6EA18688" w:rsidR="0011105F" w:rsidRPr="003771AE" w:rsidRDefault="0011105F" w:rsidP="007933B2">
      <w:pPr>
        <w:widowControl/>
        <w:autoSpaceDE w:val="0"/>
        <w:autoSpaceDN w:val="0"/>
        <w:adjustRightInd w:val="0"/>
        <w:snapToGrid w:val="0"/>
        <w:spacing w:line="360" w:lineRule="auto"/>
        <w:ind w:firstLineChars="100" w:firstLine="240"/>
        <w:rPr>
          <w:rFonts w:ascii="Book Antiqua" w:eastAsia="Calibri" w:hAnsi="Book Antiqua" w:cs="Times New Roman"/>
          <w:kern w:val="0"/>
          <w:sz w:val="24"/>
          <w:szCs w:val="24"/>
          <w:lang w:val="en-GB" w:eastAsia="ro-RO"/>
        </w:rPr>
      </w:pPr>
      <w:r w:rsidRPr="003771AE">
        <w:rPr>
          <w:rFonts w:ascii="Book Antiqua" w:eastAsia="Calibri" w:hAnsi="Book Antiqua" w:cs="Times New Roman"/>
          <w:kern w:val="0"/>
          <w:sz w:val="24"/>
          <w:szCs w:val="24"/>
          <w:lang w:val="en-GB" w:eastAsia="en-US"/>
        </w:rPr>
        <w:t>IL-18</w:t>
      </w:r>
      <w:r w:rsidRPr="003771AE">
        <w:rPr>
          <w:rFonts w:ascii="Book Antiqua" w:eastAsia="Calibri" w:hAnsi="Book Antiqua" w:cs="Times New Roman"/>
          <w:kern w:val="0"/>
          <w:sz w:val="24"/>
          <w:szCs w:val="24"/>
          <w:lang w:val="en-GB" w:eastAsia="ro-RO"/>
        </w:rPr>
        <w:t xml:space="preserve"> is also involved in </w:t>
      </w:r>
      <w:r w:rsidRPr="003771AE">
        <w:rPr>
          <w:rFonts w:ascii="Book Antiqua" w:eastAsia="Calibri" w:hAnsi="Book Antiqua" w:cs="Times New Roman"/>
          <w:kern w:val="0"/>
          <w:sz w:val="24"/>
          <w:szCs w:val="24"/>
          <w:lang w:val="en-GB" w:eastAsia="en-US"/>
        </w:rPr>
        <w:t>cell-mediated immunity.</w:t>
      </w:r>
      <w:r w:rsidR="007933B2">
        <w:rPr>
          <w:rFonts w:ascii="Book Antiqua" w:eastAsia="Calibri" w:hAnsi="Book Antiqua" w:cs="Times New Roman"/>
          <w:kern w:val="0"/>
          <w:sz w:val="24"/>
          <w:szCs w:val="24"/>
          <w:lang w:val="en-GB" w:eastAsia="en-US"/>
        </w:rPr>
        <w:t xml:space="preserve"> </w:t>
      </w:r>
      <w:r w:rsidRPr="003771AE">
        <w:rPr>
          <w:rFonts w:ascii="Book Antiqua" w:eastAsia="Calibri" w:hAnsi="Book Antiqua" w:cs="Times New Roman"/>
          <w:kern w:val="0"/>
          <w:sz w:val="24"/>
          <w:szCs w:val="24"/>
          <w:lang w:val="en-GB" w:eastAsia="en-US"/>
        </w:rPr>
        <w:t xml:space="preserve">Signalling of IL-18 requires an IL-1R-related protein (subunit of the receptor for IL18), encoded by </w:t>
      </w:r>
      <w:r w:rsidRPr="003771AE">
        <w:rPr>
          <w:rFonts w:ascii="Book Antiqua" w:eastAsia="Calibri" w:hAnsi="Book Antiqua" w:cs="Times New Roman"/>
          <w:kern w:val="0"/>
          <w:sz w:val="24"/>
          <w:szCs w:val="24"/>
          <w:lang w:val="en-GB" w:eastAsia="ro-RO"/>
        </w:rPr>
        <w:t>IL-18RAP</w:t>
      </w:r>
      <w:r w:rsidRPr="003771AE">
        <w:rPr>
          <w:rFonts w:ascii="Book Antiqua" w:eastAsia="Calibri" w:hAnsi="Book Antiqua" w:cs="Times New Roman"/>
          <w:kern w:val="0"/>
          <w:sz w:val="24"/>
          <w:szCs w:val="24"/>
          <w:vertAlign w:val="superscript"/>
          <w:lang w:val="en-GB" w:eastAsia="ro-RO"/>
        </w:rPr>
        <w:t>[73]</w:t>
      </w:r>
      <w:r w:rsidRPr="003771AE">
        <w:rPr>
          <w:rFonts w:ascii="Book Antiqua" w:eastAsia="Calibri" w:hAnsi="Book Antiqua" w:cs="Times New Roman"/>
          <w:kern w:val="0"/>
          <w:sz w:val="24"/>
          <w:szCs w:val="24"/>
          <w:lang w:val="en-GB" w:eastAsia="ro-RO"/>
        </w:rPr>
        <w:t xml:space="preserve">. </w:t>
      </w:r>
      <w:r w:rsidRPr="003771AE">
        <w:rPr>
          <w:rFonts w:ascii="Book Antiqua" w:eastAsia="Calibri" w:hAnsi="Book Antiqua" w:cs="Times New Roman"/>
          <w:kern w:val="0"/>
          <w:sz w:val="24"/>
          <w:szCs w:val="24"/>
          <w:lang w:val="en-GB" w:eastAsia="en-US"/>
        </w:rPr>
        <w:t xml:space="preserve">This protein enhances the IL-18-binding activity of the IL-18 receptor and plays a role in IL-18 signalling. Further, </w:t>
      </w:r>
      <w:r w:rsidRPr="003771AE">
        <w:rPr>
          <w:rFonts w:ascii="Book Antiqua" w:eastAsia="Calibri" w:hAnsi="Book Antiqua" w:cs="Times New Roman"/>
          <w:kern w:val="0"/>
          <w:sz w:val="24"/>
          <w:szCs w:val="24"/>
          <w:lang w:val="en-GB" w:eastAsia="ro-RO"/>
        </w:rPr>
        <w:t xml:space="preserve">IL-18RAP has been shown to play an important role in the IL-18 signalling pathway </w:t>
      </w:r>
      <w:r w:rsidRPr="003771AE">
        <w:rPr>
          <w:rFonts w:ascii="Book Antiqua" w:eastAsia="Calibri" w:hAnsi="Book Antiqua" w:cs="Times New Roman"/>
          <w:i/>
          <w:kern w:val="0"/>
          <w:sz w:val="24"/>
          <w:szCs w:val="24"/>
          <w:lang w:val="en-GB" w:eastAsia="ro-RO"/>
        </w:rPr>
        <w:t>via</w:t>
      </w:r>
      <w:r w:rsidRPr="003771AE">
        <w:rPr>
          <w:rFonts w:ascii="Book Antiqua" w:eastAsia="Calibri" w:hAnsi="Book Antiqua" w:cs="Times New Roman"/>
          <w:kern w:val="0"/>
          <w:sz w:val="24"/>
          <w:szCs w:val="24"/>
          <w:lang w:val="en-GB" w:eastAsia="ro-RO"/>
        </w:rPr>
        <w:t xml:space="preserve"> production of IFN-γ</w:t>
      </w:r>
      <w:r w:rsidRPr="003771AE">
        <w:rPr>
          <w:rFonts w:ascii="Book Antiqua" w:eastAsia="Calibri" w:hAnsi="Book Antiqua" w:cs="Times New Roman"/>
          <w:kern w:val="0"/>
          <w:sz w:val="24"/>
          <w:szCs w:val="24"/>
          <w:vertAlign w:val="superscript"/>
          <w:lang w:val="en-GB" w:eastAsia="ro-RO"/>
        </w:rPr>
        <w:t>[112]</w:t>
      </w:r>
      <w:r w:rsidRPr="003771AE">
        <w:rPr>
          <w:rFonts w:ascii="Book Antiqua" w:eastAsia="Calibri" w:hAnsi="Book Antiqua" w:cs="Times New Roman"/>
          <w:kern w:val="0"/>
          <w:sz w:val="24"/>
          <w:szCs w:val="24"/>
          <w:lang w:val="en-GB" w:eastAsia="ro-RO"/>
        </w:rPr>
        <w:t>.</w:t>
      </w:r>
    </w:p>
    <w:p w14:paraId="415B3BA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kern w:val="0"/>
          <w:sz w:val="24"/>
          <w:szCs w:val="24"/>
          <w:lang w:val="en-GB" w:eastAsia="ro-RO"/>
        </w:rPr>
      </w:pPr>
    </w:p>
    <w:p w14:paraId="640CAB1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i/>
          <w:kern w:val="0"/>
          <w:sz w:val="24"/>
          <w:szCs w:val="24"/>
          <w:lang w:val="en-GB" w:eastAsia="ro-RO"/>
        </w:rPr>
      </w:pPr>
      <w:r w:rsidRPr="003771AE">
        <w:rPr>
          <w:rFonts w:ascii="Book Antiqua" w:eastAsia="Calibri" w:hAnsi="Book Antiqua" w:cs="Times New Roman"/>
          <w:b/>
          <w:i/>
          <w:kern w:val="0"/>
          <w:sz w:val="24"/>
          <w:szCs w:val="24"/>
          <w:lang w:val="en-GB" w:eastAsia="ro-RO"/>
        </w:rPr>
        <w:t>IL-22</w:t>
      </w:r>
    </w:p>
    <w:p w14:paraId="550BA1D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ro-RO"/>
        </w:rPr>
      </w:pPr>
      <w:r w:rsidRPr="003771AE">
        <w:rPr>
          <w:rFonts w:ascii="Book Antiqua" w:eastAsia="Calibri" w:hAnsi="Book Antiqua" w:cs="Times New Roman"/>
          <w:kern w:val="0"/>
          <w:sz w:val="24"/>
          <w:szCs w:val="24"/>
          <w:lang w:val="en-GB" w:eastAsia="ro-RO"/>
        </w:rPr>
        <w:t>IL-22 is a member of the IL-10 cytokine family</w:t>
      </w:r>
      <w:r w:rsidRPr="003771AE">
        <w:rPr>
          <w:rFonts w:ascii="Book Antiqua" w:eastAsia="Calibri" w:hAnsi="Book Antiqua" w:cs="Times New Roman"/>
          <w:kern w:val="0"/>
          <w:sz w:val="24"/>
          <w:szCs w:val="24"/>
          <w:vertAlign w:val="superscript"/>
          <w:lang w:val="en-GB" w:eastAsia="ro-RO"/>
        </w:rPr>
        <w:t>[113]</w:t>
      </w:r>
      <w:r w:rsidRPr="003771AE">
        <w:rPr>
          <w:rFonts w:ascii="Book Antiqua" w:eastAsia="Calibri" w:hAnsi="Book Antiqua" w:cs="Times New Roman"/>
          <w:kern w:val="0"/>
          <w:sz w:val="24"/>
          <w:szCs w:val="24"/>
          <w:lang w:val="en-GB" w:eastAsia="ro-RO"/>
        </w:rPr>
        <w:t xml:space="preserve">, its expression being reported in the gastric tissues of </w:t>
      </w:r>
      <w:r w:rsidRPr="003771AE">
        <w:rPr>
          <w:rFonts w:ascii="Book Antiqua" w:eastAsia="Calibri" w:hAnsi="Book Antiqua" w:cs="Times New Roman"/>
          <w:i/>
          <w:kern w:val="0"/>
          <w:sz w:val="24"/>
          <w:szCs w:val="24"/>
          <w:lang w:val="en-GB" w:eastAsia="ro-RO"/>
        </w:rPr>
        <w:t>H. pylori-</w:t>
      </w:r>
      <w:r w:rsidRPr="003771AE">
        <w:rPr>
          <w:rFonts w:ascii="Book Antiqua" w:eastAsia="Calibri" w:hAnsi="Book Antiqua" w:cs="Times New Roman"/>
          <w:kern w:val="0"/>
          <w:sz w:val="24"/>
          <w:szCs w:val="24"/>
          <w:lang w:val="en-GB" w:eastAsia="ro-RO"/>
        </w:rPr>
        <w:t>infected patients and GC patients</w:t>
      </w:r>
      <w:r w:rsidRPr="003771AE">
        <w:rPr>
          <w:rFonts w:ascii="Book Antiqua" w:eastAsia="Calibri" w:hAnsi="Book Antiqua" w:cs="Times New Roman"/>
          <w:kern w:val="0"/>
          <w:sz w:val="24"/>
          <w:szCs w:val="24"/>
          <w:vertAlign w:val="superscript"/>
          <w:lang w:val="en-GB" w:eastAsia="ro-RO"/>
        </w:rPr>
        <w:t>[114]</w:t>
      </w:r>
      <w:r w:rsidRPr="003771AE">
        <w:rPr>
          <w:rFonts w:ascii="Book Antiqua" w:eastAsia="Calibri" w:hAnsi="Book Antiqua" w:cs="Times New Roman"/>
          <w:kern w:val="0"/>
          <w:sz w:val="24"/>
          <w:szCs w:val="24"/>
          <w:lang w:val="en-GB" w:eastAsia="ro-RO"/>
        </w:rPr>
        <w:t xml:space="preserve">. In a study by Wang </w:t>
      </w:r>
      <w:r w:rsidRPr="003771AE">
        <w:rPr>
          <w:rFonts w:ascii="Book Antiqua" w:eastAsia="Calibri" w:hAnsi="Book Antiqua" w:cs="Times New Roman"/>
          <w:i/>
          <w:kern w:val="0"/>
          <w:sz w:val="24"/>
          <w:szCs w:val="24"/>
          <w:lang w:val="en-GB" w:eastAsia="ro-RO"/>
        </w:rPr>
        <w:t>et al</w:t>
      </w:r>
      <w:r w:rsidRPr="003771AE">
        <w:rPr>
          <w:rFonts w:ascii="Book Antiqua" w:eastAsia="Calibri" w:hAnsi="Book Antiqua" w:cs="Times New Roman"/>
          <w:kern w:val="0"/>
          <w:sz w:val="24"/>
          <w:szCs w:val="24"/>
          <w:vertAlign w:val="superscript"/>
          <w:lang w:val="en-GB" w:eastAsia="ro-RO"/>
        </w:rPr>
        <w:t>[17]</w:t>
      </w:r>
      <w:r w:rsidRPr="003771AE">
        <w:rPr>
          <w:rFonts w:ascii="Book Antiqua" w:eastAsia="Calibri" w:hAnsi="Book Antiqua" w:cs="Times New Roman"/>
          <w:kern w:val="0"/>
          <w:sz w:val="24"/>
          <w:szCs w:val="24"/>
          <w:lang w:val="en-GB" w:eastAsia="ro-RO"/>
        </w:rPr>
        <w:t>, elevated risks of atrophic gastritis (OR</w:t>
      </w:r>
      <w:r w:rsidRPr="003771AE">
        <w:rPr>
          <w:rFonts w:ascii="Times New Roman" w:eastAsia="Calibri" w:hAnsi="Times New Roman" w:cs="Times New Roman"/>
          <w:kern w:val="0"/>
          <w:sz w:val="24"/>
          <w:szCs w:val="24"/>
          <w:lang w:val="en-GB" w:eastAsia="ro-RO"/>
        </w:rPr>
        <w:t> </w:t>
      </w:r>
      <w:r w:rsidRPr="003771AE">
        <w:rPr>
          <w:rFonts w:ascii="Book Antiqua" w:eastAsia="Calibri" w:hAnsi="Book Antiqua" w:cs="Times New Roman"/>
          <w:kern w:val="0"/>
          <w:sz w:val="24"/>
          <w:szCs w:val="24"/>
          <w:lang w:val="en-GB" w:eastAsia="ro-RO"/>
        </w:rPr>
        <w:t>=</w:t>
      </w:r>
      <w:r w:rsidRPr="003771AE">
        <w:rPr>
          <w:rFonts w:ascii="Times New Roman" w:eastAsia="Calibri" w:hAnsi="Times New Roman" w:cs="Times New Roman"/>
          <w:kern w:val="0"/>
          <w:sz w:val="24"/>
          <w:szCs w:val="24"/>
          <w:lang w:val="en-GB" w:eastAsia="ro-RO"/>
        </w:rPr>
        <w:t> </w:t>
      </w:r>
      <w:r w:rsidRPr="003771AE">
        <w:rPr>
          <w:rFonts w:ascii="Book Antiqua" w:eastAsia="Calibri" w:hAnsi="Book Antiqua" w:cs="Times New Roman"/>
          <w:kern w:val="0"/>
          <w:sz w:val="24"/>
          <w:szCs w:val="24"/>
          <w:lang w:val="en-GB" w:eastAsia="ro-RO"/>
        </w:rPr>
        <w:t>2.64, 95%CI: 1.89–3.69), IM (OR</w:t>
      </w:r>
      <w:r w:rsidRPr="003771AE">
        <w:rPr>
          <w:rFonts w:ascii="Times New Roman" w:eastAsia="Calibri" w:hAnsi="Times New Roman" w:cs="Times New Roman"/>
          <w:kern w:val="0"/>
          <w:sz w:val="24"/>
          <w:szCs w:val="24"/>
          <w:lang w:val="en-GB" w:eastAsia="ro-RO"/>
        </w:rPr>
        <w:t> </w:t>
      </w:r>
      <w:r w:rsidRPr="003771AE">
        <w:rPr>
          <w:rFonts w:ascii="Book Antiqua" w:eastAsia="Calibri" w:hAnsi="Book Antiqua" w:cs="Times New Roman"/>
          <w:kern w:val="0"/>
          <w:sz w:val="24"/>
          <w:szCs w:val="24"/>
          <w:lang w:val="en-GB" w:eastAsia="ro-RO"/>
        </w:rPr>
        <w:t>=</w:t>
      </w:r>
      <w:r w:rsidRPr="003771AE">
        <w:rPr>
          <w:rFonts w:ascii="Times New Roman" w:eastAsia="Calibri" w:hAnsi="Times New Roman" w:cs="Times New Roman"/>
          <w:kern w:val="0"/>
          <w:sz w:val="24"/>
          <w:szCs w:val="24"/>
          <w:lang w:val="en-GB" w:eastAsia="ro-RO"/>
        </w:rPr>
        <w:t> </w:t>
      </w:r>
      <w:r w:rsidRPr="003771AE">
        <w:rPr>
          <w:rFonts w:ascii="Book Antiqua" w:eastAsia="Calibri" w:hAnsi="Book Antiqua" w:cs="Times New Roman"/>
          <w:kern w:val="0"/>
          <w:sz w:val="24"/>
          <w:szCs w:val="24"/>
          <w:lang w:val="en-GB" w:eastAsia="ro-RO"/>
        </w:rPr>
        <w:t>5.58, 95%CI: 3.86–8.05), and dysplasia (OR</w:t>
      </w:r>
      <w:r w:rsidRPr="003771AE">
        <w:rPr>
          <w:rFonts w:ascii="Times New Roman" w:eastAsia="Calibri" w:hAnsi="Times New Roman" w:cs="Times New Roman"/>
          <w:kern w:val="0"/>
          <w:sz w:val="24"/>
          <w:szCs w:val="24"/>
          <w:lang w:val="en-GB" w:eastAsia="ro-RO"/>
        </w:rPr>
        <w:t> </w:t>
      </w:r>
      <w:r w:rsidRPr="003771AE">
        <w:rPr>
          <w:rFonts w:ascii="Book Antiqua" w:eastAsia="Calibri" w:hAnsi="Book Antiqua" w:cs="Times New Roman"/>
          <w:kern w:val="0"/>
          <w:sz w:val="24"/>
          <w:szCs w:val="24"/>
          <w:lang w:val="en-GB" w:eastAsia="ro-RO"/>
        </w:rPr>
        <w:t>=</w:t>
      </w:r>
      <w:r w:rsidRPr="003771AE">
        <w:rPr>
          <w:rFonts w:ascii="Times New Roman" w:eastAsia="Calibri" w:hAnsi="Times New Roman" w:cs="Times New Roman"/>
          <w:kern w:val="0"/>
          <w:sz w:val="24"/>
          <w:szCs w:val="24"/>
          <w:lang w:val="en-GB" w:eastAsia="ro-RO"/>
        </w:rPr>
        <w:t> </w:t>
      </w:r>
      <w:r w:rsidRPr="003771AE">
        <w:rPr>
          <w:rFonts w:ascii="Book Antiqua" w:eastAsia="Calibri" w:hAnsi="Book Antiqua" w:cs="Times New Roman"/>
          <w:kern w:val="0"/>
          <w:sz w:val="24"/>
          <w:szCs w:val="24"/>
          <w:lang w:val="en-GB" w:eastAsia="ro-RO"/>
        </w:rPr>
        <w:t>1.64, 95%CI: 1.18–2.26) were observed in Chinese subjects who carried the IL-22 rs1179251 CC genotype.</w:t>
      </w:r>
    </w:p>
    <w:p w14:paraId="3A4D6A5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kern w:val="0"/>
          <w:sz w:val="24"/>
          <w:szCs w:val="24"/>
          <w:lang w:val="en-GB" w:eastAsia="ro-RO"/>
        </w:rPr>
      </w:pPr>
    </w:p>
    <w:p w14:paraId="46F530E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i/>
          <w:kern w:val="0"/>
          <w:sz w:val="24"/>
          <w:szCs w:val="24"/>
          <w:lang w:val="en-GB" w:eastAsia="ro-RO"/>
        </w:rPr>
      </w:pPr>
      <w:r w:rsidRPr="003771AE">
        <w:rPr>
          <w:rFonts w:ascii="Book Antiqua" w:eastAsia="Calibri" w:hAnsi="Book Antiqua" w:cs="Times New Roman"/>
          <w:b/>
          <w:i/>
          <w:kern w:val="0"/>
          <w:sz w:val="24"/>
          <w:szCs w:val="24"/>
          <w:lang w:val="en-GB" w:eastAsia="ro-RO"/>
        </w:rPr>
        <w:t>IL-32</w:t>
      </w:r>
    </w:p>
    <w:p w14:paraId="476292BE" w14:textId="45B2FC21"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ro-RO"/>
        </w:rPr>
      </w:pPr>
      <w:r w:rsidRPr="003771AE">
        <w:rPr>
          <w:rFonts w:ascii="Book Antiqua" w:eastAsia="Calibri" w:hAnsi="Book Antiqua" w:cs="Times New Roman"/>
          <w:kern w:val="0"/>
          <w:sz w:val="24"/>
          <w:szCs w:val="24"/>
          <w:lang w:val="en-GB" w:eastAsia="ro-RO"/>
        </w:rPr>
        <w:t>IL-32 is a cytokine involved in inflammation and cancer development,</w:t>
      </w:r>
      <w:r w:rsidR="007933B2">
        <w:rPr>
          <w:rFonts w:ascii="Book Antiqua" w:eastAsia="Calibri" w:hAnsi="Book Antiqua" w:cs="Times New Roman"/>
          <w:kern w:val="0"/>
          <w:sz w:val="24"/>
          <w:szCs w:val="24"/>
          <w:lang w:val="en-GB" w:eastAsia="ro-RO"/>
        </w:rPr>
        <w:t xml:space="preserve"> </w:t>
      </w:r>
      <w:r w:rsidRPr="003771AE">
        <w:rPr>
          <w:rFonts w:ascii="Book Antiqua" w:eastAsia="Calibri" w:hAnsi="Book Antiqua" w:cs="Times New Roman"/>
          <w:kern w:val="0"/>
          <w:sz w:val="24"/>
          <w:szCs w:val="24"/>
          <w:lang w:val="en-GB" w:eastAsia="ro-RO"/>
        </w:rPr>
        <w:t>being induced mainly by pathogens and proinflammatory cytokines and more prominent in immune cells than in non-immune tissues</w:t>
      </w:r>
      <w:r w:rsidRPr="003771AE">
        <w:rPr>
          <w:rFonts w:ascii="Book Antiqua" w:eastAsia="Calibri" w:hAnsi="Book Antiqua" w:cs="Times New Roman"/>
          <w:kern w:val="0"/>
          <w:sz w:val="24"/>
          <w:szCs w:val="24"/>
          <w:vertAlign w:val="superscript"/>
          <w:lang w:val="en-GB" w:eastAsia="ro-RO"/>
        </w:rPr>
        <w:t>[115]</w:t>
      </w:r>
      <w:r w:rsidRPr="003771AE">
        <w:rPr>
          <w:rFonts w:ascii="Book Antiqua" w:eastAsia="等线" w:hAnsi="Book Antiqua" w:cs="Times New Roman"/>
          <w:kern w:val="0"/>
          <w:sz w:val="24"/>
          <w:szCs w:val="24"/>
          <w:lang w:val="en-GB" w:eastAsia="en-US"/>
        </w:rPr>
        <w:t xml:space="preserve">. In Chinese subjects, </w:t>
      </w:r>
      <w:r w:rsidRPr="003771AE">
        <w:rPr>
          <w:rFonts w:ascii="Book Antiqua" w:eastAsia="Calibri" w:hAnsi="Book Antiqua" w:cs="Times New Roman"/>
          <w:kern w:val="0"/>
          <w:sz w:val="24"/>
          <w:szCs w:val="24"/>
          <w:lang w:val="en-GB" w:eastAsia="ro-RO"/>
        </w:rPr>
        <w:t>the risk for predisposing lesions for GC was elevated in those with the IL-32 rs2015620 A allele (AA</w:t>
      </w:r>
      <w:r w:rsidRPr="003771AE">
        <w:rPr>
          <w:rFonts w:ascii="Times New Roman" w:eastAsia="Calibri" w:hAnsi="Times New Roman" w:cs="Times New Roman"/>
          <w:kern w:val="0"/>
          <w:sz w:val="24"/>
          <w:szCs w:val="24"/>
          <w:lang w:val="en-GB" w:eastAsia="ro-RO"/>
        </w:rPr>
        <w:t> </w:t>
      </w:r>
      <w:r w:rsidRPr="003771AE">
        <w:rPr>
          <w:rFonts w:ascii="Book Antiqua" w:eastAsia="Calibri" w:hAnsi="Book Antiqua" w:cs="Times New Roman"/>
          <w:kern w:val="0"/>
          <w:sz w:val="24"/>
          <w:szCs w:val="24"/>
          <w:lang w:val="en-GB" w:eastAsia="ro-RO"/>
        </w:rPr>
        <w:t>+</w:t>
      </w:r>
      <w:r w:rsidRPr="003771AE">
        <w:rPr>
          <w:rFonts w:ascii="Times New Roman" w:eastAsia="Calibri" w:hAnsi="Times New Roman" w:cs="Times New Roman"/>
          <w:kern w:val="0"/>
          <w:sz w:val="24"/>
          <w:szCs w:val="24"/>
          <w:lang w:val="en-GB" w:eastAsia="ro-RO"/>
        </w:rPr>
        <w:t> </w:t>
      </w:r>
      <w:r w:rsidRPr="003771AE">
        <w:rPr>
          <w:rFonts w:ascii="Book Antiqua" w:eastAsia="Calibri" w:hAnsi="Book Antiqua" w:cs="Times New Roman"/>
          <w:kern w:val="0"/>
          <w:sz w:val="24"/>
          <w:szCs w:val="24"/>
          <w:lang w:val="en-GB" w:eastAsia="ro-RO"/>
        </w:rPr>
        <w:t xml:space="preserve">AT) or the IL-22 rs1179251 CC genotype and </w:t>
      </w:r>
      <w:r w:rsidRPr="003771AE">
        <w:rPr>
          <w:rFonts w:ascii="Book Antiqua" w:eastAsia="Calibri" w:hAnsi="Book Antiqua" w:cs="Times New Roman"/>
          <w:i/>
          <w:kern w:val="0"/>
          <w:sz w:val="24"/>
          <w:szCs w:val="24"/>
          <w:lang w:val="en-GB" w:eastAsia="ro-RO"/>
        </w:rPr>
        <w:t>H. pylori</w:t>
      </w:r>
      <w:r w:rsidRPr="003771AE">
        <w:rPr>
          <w:rFonts w:ascii="Book Antiqua" w:eastAsia="Calibri" w:hAnsi="Book Antiqua" w:cs="Times New Roman"/>
          <w:kern w:val="0"/>
          <w:sz w:val="24"/>
          <w:szCs w:val="24"/>
          <w:lang w:val="en-GB" w:eastAsia="ro-RO"/>
        </w:rPr>
        <w:t xml:space="preserve"> infection, and significant interactions between these two SNPs and </w:t>
      </w:r>
      <w:r w:rsidRPr="003771AE">
        <w:rPr>
          <w:rFonts w:ascii="Book Antiqua" w:eastAsia="Calibri" w:hAnsi="Book Antiqua" w:cs="Times New Roman"/>
          <w:i/>
          <w:kern w:val="0"/>
          <w:sz w:val="24"/>
          <w:szCs w:val="24"/>
          <w:lang w:val="en-GB" w:eastAsia="ro-RO"/>
        </w:rPr>
        <w:t>H. pylori</w:t>
      </w:r>
      <w:r w:rsidRPr="003771AE">
        <w:rPr>
          <w:rFonts w:ascii="Book Antiqua" w:eastAsia="Calibri" w:hAnsi="Book Antiqua" w:cs="Times New Roman"/>
          <w:kern w:val="0"/>
          <w:sz w:val="24"/>
          <w:szCs w:val="24"/>
          <w:lang w:val="en-GB" w:eastAsia="ro-RO"/>
        </w:rPr>
        <w:t xml:space="preserve"> infection were found</w:t>
      </w:r>
      <w:r w:rsidRPr="003771AE">
        <w:rPr>
          <w:rFonts w:ascii="Book Antiqua" w:eastAsia="Calibri" w:hAnsi="Book Antiqua" w:cs="Times New Roman"/>
          <w:kern w:val="0"/>
          <w:sz w:val="24"/>
          <w:szCs w:val="24"/>
          <w:vertAlign w:val="superscript"/>
          <w:lang w:val="en-GB" w:eastAsia="ro-RO"/>
        </w:rPr>
        <w:t>[17]</w:t>
      </w:r>
      <w:r w:rsidRPr="003771AE">
        <w:rPr>
          <w:rFonts w:ascii="Book Antiqua" w:eastAsia="Calibri" w:hAnsi="Book Antiqua" w:cs="Times New Roman"/>
          <w:kern w:val="0"/>
          <w:sz w:val="24"/>
          <w:szCs w:val="24"/>
          <w:lang w:val="en-GB" w:eastAsia="ro-RO"/>
        </w:rPr>
        <w:t xml:space="preserve">. </w:t>
      </w:r>
    </w:p>
    <w:p w14:paraId="2BA4680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kern w:val="0"/>
          <w:sz w:val="24"/>
          <w:szCs w:val="24"/>
          <w:lang w:val="en-GB" w:eastAsia="ro-RO"/>
        </w:rPr>
      </w:pPr>
    </w:p>
    <w:p w14:paraId="5D37A8B0" w14:textId="7E7F470A"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i/>
          <w:kern w:val="0"/>
          <w:sz w:val="24"/>
          <w:szCs w:val="24"/>
          <w:lang w:val="en-GB" w:eastAsia="ro-RO"/>
        </w:rPr>
      </w:pPr>
      <w:r w:rsidRPr="003771AE">
        <w:rPr>
          <w:rFonts w:ascii="Book Antiqua" w:eastAsia="Calibri" w:hAnsi="Book Antiqua" w:cs="Times New Roman"/>
          <w:b/>
          <w:i/>
          <w:kern w:val="0"/>
          <w:sz w:val="24"/>
          <w:szCs w:val="24"/>
          <w:lang w:val="en-GB" w:eastAsia="ro-RO"/>
        </w:rPr>
        <w:t>IFN-γ</w:t>
      </w:r>
    </w:p>
    <w:p w14:paraId="3B4F411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ro-RO"/>
        </w:rPr>
      </w:pPr>
      <w:r w:rsidRPr="003771AE">
        <w:rPr>
          <w:rFonts w:ascii="Book Antiqua" w:eastAsia="Calibri" w:hAnsi="Book Antiqua" w:cs="Times New Roman"/>
          <w:kern w:val="0"/>
          <w:sz w:val="24"/>
          <w:szCs w:val="24"/>
          <w:lang w:val="en-GB" w:eastAsia="ro-RO"/>
        </w:rPr>
        <w:t>IFN-γ is one of the main products of Th1-specific proinflammatory cytokines and exerts several effects on host defence and immune regulation through its antiviral, antimicrobial and antitumour activities. IFN-γ can inhibit angiogenesis and exert direct antiproliferative and antimetabolic effects on a wide variety of tumour cells.</w:t>
      </w:r>
      <w:r w:rsidRPr="003771AE">
        <w:rPr>
          <w:rFonts w:ascii="Book Antiqua" w:eastAsia="Calibri" w:hAnsi="Book Antiqua" w:cs="Times New Roman"/>
          <w:kern w:val="0"/>
          <w:sz w:val="24"/>
          <w:szCs w:val="24"/>
          <w:lang w:val="en-GB" w:eastAsia="en-US"/>
        </w:rPr>
        <w:t xml:space="preserve"> In a study that included </w:t>
      </w:r>
      <w:r w:rsidRPr="003771AE">
        <w:rPr>
          <w:rFonts w:ascii="Book Antiqua" w:eastAsia="Calibri" w:hAnsi="Book Antiqua" w:cs="Times New Roman"/>
          <w:kern w:val="0"/>
          <w:sz w:val="24"/>
          <w:szCs w:val="24"/>
          <w:lang w:val="en-GB" w:eastAsia="ro-RO"/>
        </w:rPr>
        <w:t>1,339 subjects from the North of Portugal,</w:t>
      </w:r>
      <w:r w:rsidRPr="003771AE">
        <w:rPr>
          <w:rFonts w:ascii="Book Antiqua" w:eastAsia="Calibri" w:hAnsi="Book Antiqua" w:cs="Times New Roman"/>
          <w:kern w:val="0"/>
          <w:sz w:val="24"/>
          <w:szCs w:val="24"/>
          <w:lang w:val="en-GB" w:eastAsia="en-US"/>
        </w:rPr>
        <w:t xml:space="preserve"> it has been demonstrated that </w:t>
      </w:r>
      <w:r w:rsidRPr="003771AE">
        <w:rPr>
          <w:rFonts w:ascii="Book Antiqua" w:eastAsia="Calibri" w:hAnsi="Book Antiqua" w:cs="Times New Roman"/>
          <w:kern w:val="0"/>
          <w:sz w:val="24"/>
          <w:szCs w:val="24"/>
          <w:lang w:val="en-GB" w:eastAsia="ro-RO"/>
        </w:rPr>
        <w:t>people under 40 years of age and who were TT homozygotes for IFN-γR1 –56C&gt;T had a 4-fold increased risk for developing early-onset GC (OR = 4.1, 95%CI: 1.6–10.6)</w:t>
      </w:r>
      <w:r w:rsidRPr="003771AE">
        <w:rPr>
          <w:rFonts w:ascii="Book Antiqua" w:eastAsia="Calibri" w:hAnsi="Book Antiqua" w:cs="Times New Roman"/>
          <w:kern w:val="0"/>
          <w:sz w:val="24"/>
          <w:szCs w:val="24"/>
          <w:vertAlign w:val="superscript"/>
          <w:lang w:val="en-GB" w:eastAsia="ro-RO"/>
        </w:rPr>
        <w:t>[116]</w:t>
      </w:r>
      <w:r w:rsidRPr="003771AE">
        <w:rPr>
          <w:rFonts w:ascii="Book Antiqua" w:eastAsia="Calibri" w:hAnsi="Book Antiqua" w:cs="Times New Roman"/>
          <w:kern w:val="0"/>
          <w:sz w:val="24"/>
          <w:szCs w:val="24"/>
          <w:lang w:val="en-GB" w:eastAsia="ro-RO"/>
        </w:rPr>
        <w:t xml:space="preserve">. </w:t>
      </w:r>
    </w:p>
    <w:p w14:paraId="6A816220" w14:textId="77777777" w:rsidR="0011105F" w:rsidRPr="003771AE" w:rsidRDefault="0011105F" w:rsidP="00F17106">
      <w:pPr>
        <w:widowControl/>
        <w:snapToGrid w:val="0"/>
        <w:spacing w:line="360" w:lineRule="auto"/>
        <w:rPr>
          <w:rFonts w:ascii="Book Antiqua" w:eastAsia="Times New Roman" w:hAnsi="Book Antiqua" w:cs="Times New Roman"/>
          <w:b/>
          <w:kern w:val="0"/>
          <w:sz w:val="24"/>
          <w:szCs w:val="24"/>
          <w:lang w:val="en-GB" w:eastAsia="ro-RO"/>
        </w:rPr>
      </w:pPr>
    </w:p>
    <w:p w14:paraId="009E641C" w14:textId="77777777" w:rsidR="0011105F" w:rsidRPr="003771AE" w:rsidRDefault="0011105F" w:rsidP="00F17106">
      <w:pPr>
        <w:widowControl/>
        <w:snapToGrid w:val="0"/>
        <w:spacing w:line="360" w:lineRule="auto"/>
        <w:rPr>
          <w:rFonts w:ascii="Book Antiqua" w:eastAsia="等线" w:hAnsi="Book Antiqua" w:cs="Times New Roman"/>
          <w:caps/>
          <w:kern w:val="0"/>
          <w:sz w:val="24"/>
          <w:szCs w:val="24"/>
          <w:lang w:val="en-GB" w:eastAsia="en-US"/>
        </w:rPr>
      </w:pPr>
      <w:r w:rsidRPr="003771AE">
        <w:rPr>
          <w:rFonts w:ascii="Book Antiqua" w:eastAsia="Times New Roman" w:hAnsi="Book Antiqua" w:cs="Times New Roman"/>
          <w:b/>
          <w:caps/>
          <w:kern w:val="0"/>
          <w:sz w:val="24"/>
          <w:szCs w:val="24"/>
          <w:lang w:val="en-GB" w:eastAsia="ro-RO"/>
        </w:rPr>
        <w:t xml:space="preserve">Relevance of studies questioning cytokine gene variants and premalignant gastric lesions </w:t>
      </w:r>
    </w:p>
    <w:p w14:paraId="57732AA9" w14:textId="6863B3ED" w:rsidR="0011105F" w:rsidRPr="003771AE" w:rsidRDefault="0011105F" w:rsidP="00F17106">
      <w:pPr>
        <w:widowControl/>
        <w:snapToGrid w:val="0"/>
        <w:spacing w:line="360" w:lineRule="auto"/>
        <w:rPr>
          <w:rFonts w:ascii="Book Antiqua" w:eastAsia="等线"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 xml:space="preserve">Extensive studies have aimed to correlate individual variations in inflammatory response with GC, but none with premalignant lesions. This is largely due to the inhomogeneity in study designs but is mostly due to the differences and the difficulties regarding the histological assessment of premalignant lesions and </w:t>
      </w:r>
      <w:r w:rsidRPr="003771AE">
        <w:rPr>
          <w:rFonts w:ascii="Book Antiqua" w:eastAsia="等线" w:hAnsi="Book Antiqua" w:cs="Times New Roman"/>
          <w:i/>
          <w:kern w:val="0"/>
          <w:sz w:val="24"/>
          <w:szCs w:val="24"/>
          <w:lang w:val="en-GB" w:eastAsia="en-US"/>
        </w:rPr>
        <w:t>H. pylori</w:t>
      </w:r>
      <w:r w:rsidR="001517A9">
        <w:rPr>
          <w:rFonts w:ascii="Book Antiqua" w:eastAsia="等线" w:hAnsi="Book Antiqua" w:cs="Times New Roman"/>
          <w:i/>
          <w:kern w:val="0"/>
          <w:sz w:val="24"/>
          <w:szCs w:val="24"/>
          <w:lang w:val="en-GB" w:eastAsia="en-US"/>
        </w:rPr>
        <w:t xml:space="preserve"> </w:t>
      </w:r>
      <w:r w:rsidRPr="003771AE">
        <w:rPr>
          <w:rFonts w:ascii="Book Antiqua" w:eastAsia="等线" w:hAnsi="Book Antiqua" w:cs="Times New Roman"/>
          <w:kern w:val="0"/>
          <w:sz w:val="24"/>
          <w:szCs w:val="24"/>
          <w:lang w:val="en-GB" w:eastAsia="en-US"/>
        </w:rPr>
        <w:t>infection</w:t>
      </w:r>
      <w:r w:rsidRPr="003771AE">
        <w:rPr>
          <w:rFonts w:ascii="Book Antiqua" w:eastAsia="等线" w:hAnsi="Book Antiqua" w:cs="Times New Roman"/>
          <w:kern w:val="0"/>
          <w:sz w:val="24"/>
          <w:szCs w:val="24"/>
          <w:vertAlign w:val="superscript"/>
          <w:lang w:val="en-GB" w:eastAsia="en-US"/>
        </w:rPr>
        <w:t>[36]</w:t>
      </w:r>
      <w:r w:rsidRPr="003771AE">
        <w:rPr>
          <w:rFonts w:ascii="Book Antiqua" w:eastAsia="等线" w:hAnsi="Book Antiqua" w:cs="Times New Roman"/>
          <w:kern w:val="0"/>
          <w:sz w:val="24"/>
          <w:szCs w:val="24"/>
          <w:lang w:val="en-GB" w:eastAsia="en-US"/>
        </w:rPr>
        <w:t>. To evaluate cytokine gene variants as univariate or multivariate predictors for premalignant gastric risk, we reviewed the mentioned scientific papers in an analytical scheme. We synthetized the sources of the data, the studied populations in whom clinical objectives were tested, the main outcomes, the potential confounding factors or other important covariates, the statistical control for bias, and the statistical methods used (Table 1).</w:t>
      </w:r>
    </w:p>
    <w:p w14:paraId="783880D7" w14:textId="018864B9" w:rsidR="0011105F" w:rsidRPr="003771AE" w:rsidRDefault="0011105F" w:rsidP="00BA78FE">
      <w:pPr>
        <w:widowControl/>
        <w:snapToGrid w:val="0"/>
        <w:spacing w:line="360" w:lineRule="auto"/>
        <w:ind w:firstLineChars="100" w:firstLine="240"/>
        <w:rPr>
          <w:rFonts w:ascii="Book Antiqua" w:eastAsia="等线"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In Table 2, we present the frequencies of the variant genotypes of the studied SNPs, along with the significance of the results obtained in Table 1. For every listed SNP of the cytokines, an association with GC was found in a specific population; whilst for premalignant gastric lesions, less association was detected. From among all the gene variants discussed above, only IL10T-819C, IL-8-251, IL-18RAP917997, IL-22 rs1179251, IL1-B-511, IL1-B-3954, IL4R-398 and IL1RN were predictors with age- and sex-adjustment for risk of premalignant gastric lesions. The different worldwide prevalence rates of infection and the risk of false-positive or false-negative results depends on the diagnostic method used (histological, serological, coproantigen or urea breath test)</w:t>
      </w:r>
      <w:r w:rsidRPr="003771AE">
        <w:rPr>
          <w:rFonts w:ascii="Book Antiqua" w:eastAsia="等线" w:hAnsi="Book Antiqua" w:cs="Times New Roman"/>
          <w:kern w:val="0"/>
          <w:sz w:val="24"/>
          <w:szCs w:val="24"/>
          <w:vertAlign w:val="superscript"/>
          <w:lang w:val="en-GB" w:eastAsia="en-US"/>
        </w:rPr>
        <w:t>[12,36]</w:t>
      </w:r>
      <w:r w:rsidRPr="003771AE">
        <w:rPr>
          <w:rFonts w:ascii="Book Antiqua" w:eastAsia="等线" w:hAnsi="Book Antiqua" w:cs="Times New Roman"/>
          <w:kern w:val="0"/>
          <w:sz w:val="24"/>
          <w:szCs w:val="24"/>
          <w:lang w:val="en-GB" w:eastAsia="en-US"/>
        </w:rPr>
        <w:t xml:space="preserve">. </w:t>
      </w:r>
    </w:p>
    <w:p w14:paraId="2AB3AF8B" w14:textId="77777777" w:rsidR="0011105F" w:rsidRPr="003771AE" w:rsidRDefault="0011105F" w:rsidP="00BA78FE">
      <w:pPr>
        <w:widowControl/>
        <w:snapToGrid w:val="0"/>
        <w:spacing w:line="360" w:lineRule="auto"/>
        <w:ind w:firstLineChars="100" w:firstLine="240"/>
        <w:rPr>
          <w:rFonts w:ascii="Book Antiqua" w:eastAsia="等线"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 xml:space="preserve">One of the most important limiting factors in the studies’ homogeneity is the lack of diagnosis of concomitant </w:t>
      </w:r>
      <w:r w:rsidRPr="003771AE">
        <w:rPr>
          <w:rFonts w:ascii="Book Antiqua" w:eastAsia="等线" w:hAnsi="Book Antiqua" w:cs="Times New Roman"/>
          <w:i/>
          <w:kern w:val="0"/>
          <w:sz w:val="24"/>
          <w:szCs w:val="24"/>
          <w:lang w:val="en-GB" w:eastAsia="en-US"/>
        </w:rPr>
        <w:t>H. pylori</w:t>
      </w:r>
      <w:r w:rsidRPr="003771AE">
        <w:rPr>
          <w:rFonts w:ascii="Book Antiqua" w:eastAsia="等线" w:hAnsi="Book Antiqua" w:cs="Times New Roman"/>
          <w:kern w:val="0"/>
          <w:sz w:val="24"/>
          <w:szCs w:val="24"/>
          <w:lang w:val="en-GB" w:eastAsia="en-US"/>
        </w:rPr>
        <w:t xml:space="preserve"> infection. The most recent research, like that of Wang </w:t>
      </w:r>
      <w:r w:rsidRPr="003771AE">
        <w:rPr>
          <w:rFonts w:ascii="Book Antiqua" w:eastAsia="等线" w:hAnsi="Book Antiqua" w:cs="Times New Roman"/>
          <w:i/>
          <w:kern w:val="0"/>
          <w:sz w:val="24"/>
          <w:szCs w:val="24"/>
          <w:lang w:val="en-GB" w:eastAsia="en-US"/>
        </w:rPr>
        <w:t>et al</w:t>
      </w:r>
      <w:r w:rsidRPr="003771AE">
        <w:rPr>
          <w:rFonts w:ascii="Book Antiqua" w:eastAsia="等线" w:hAnsi="Book Antiqua" w:cs="Times New Roman"/>
          <w:kern w:val="0"/>
          <w:sz w:val="24"/>
          <w:szCs w:val="24"/>
          <w:vertAlign w:val="superscript"/>
          <w:lang w:val="en-GB" w:eastAsia="en-US"/>
        </w:rPr>
        <w:t>[73]</w:t>
      </w:r>
      <w:r w:rsidRPr="003771AE">
        <w:rPr>
          <w:rFonts w:ascii="Book Antiqua" w:eastAsia="等线" w:hAnsi="Book Antiqua" w:cs="Times New Roman"/>
          <w:kern w:val="0"/>
          <w:sz w:val="24"/>
          <w:szCs w:val="24"/>
          <w:lang w:val="en-GB" w:eastAsia="en-US"/>
        </w:rPr>
        <w:t xml:space="preserve"> and Liu </w:t>
      </w:r>
      <w:r w:rsidRPr="003771AE">
        <w:rPr>
          <w:rFonts w:ascii="Book Antiqua" w:eastAsia="等线" w:hAnsi="Book Antiqua" w:cs="Times New Roman"/>
          <w:i/>
          <w:kern w:val="0"/>
          <w:sz w:val="24"/>
          <w:szCs w:val="24"/>
          <w:lang w:val="en-GB" w:eastAsia="en-US"/>
        </w:rPr>
        <w:t>et al</w:t>
      </w:r>
      <w:r w:rsidRPr="003771AE">
        <w:rPr>
          <w:rFonts w:ascii="Book Antiqua" w:eastAsia="等线" w:hAnsi="Book Antiqua" w:cs="Times New Roman"/>
          <w:kern w:val="0"/>
          <w:sz w:val="24"/>
          <w:szCs w:val="24"/>
          <w:vertAlign w:val="superscript"/>
          <w:lang w:val="en-GB" w:eastAsia="en-US"/>
        </w:rPr>
        <w:t>[106]</w:t>
      </w:r>
      <w:r w:rsidRPr="003771AE">
        <w:rPr>
          <w:rFonts w:ascii="Book Antiqua" w:eastAsia="等线" w:hAnsi="Book Antiqua" w:cs="Times New Roman"/>
          <w:kern w:val="0"/>
          <w:sz w:val="24"/>
          <w:szCs w:val="24"/>
          <w:lang w:val="en-GB" w:eastAsia="en-US"/>
        </w:rPr>
        <w:t xml:space="preserve">, has tested the effect of certain cytokine gene variants on the risk of premalignant gastric lesions, controlling for the presence of </w:t>
      </w:r>
      <w:r w:rsidRPr="003771AE">
        <w:rPr>
          <w:rFonts w:ascii="Book Antiqua" w:eastAsia="等线" w:hAnsi="Book Antiqua" w:cs="Times New Roman"/>
          <w:i/>
          <w:kern w:val="0"/>
          <w:sz w:val="24"/>
          <w:szCs w:val="24"/>
          <w:lang w:val="en-GB" w:eastAsia="en-US"/>
        </w:rPr>
        <w:t>H. pylori</w:t>
      </w:r>
      <w:r w:rsidRPr="003771AE">
        <w:rPr>
          <w:rFonts w:ascii="Book Antiqua" w:eastAsia="等线" w:hAnsi="Book Antiqua" w:cs="Times New Roman"/>
          <w:kern w:val="0"/>
          <w:sz w:val="24"/>
          <w:szCs w:val="24"/>
          <w:lang w:val="en-GB" w:eastAsia="en-US"/>
        </w:rPr>
        <w:t xml:space="preserve"> infection; a significant association was found but only for specific populations. Logistic models with interaction terms should be considered for testing the effect of cytokine variant genes on the risk of premalignant gastric lesions modified by </w:t>
      </w:r>
      <w:r w:rsidRPr="003771AE">
        <w:rPr>
          <w:rFonts w:ascii="Book Antiqua" w:eastAsia="等线" w:hAnsi="Book Antiqua" w:cs="Times New Roman"/>
          <w:i/>
          <w:kern w:val="0"/>
          <w:sz w:val="24"/>
          <w:szCs w:val="24"/>
          <w:lang w:val="en-GB" w:eastAsia="en-US"/>
        </w:rPr>
        <w:t>H. pylori</w:t>
      </w:r>
      <w:r w:rsidRPr="003771AE">
        <w:rPr>
          <w:rFonts w:ascii="Book Antiqua" w:eastAsia="等线" w:hAnsi="Book Antiqua" w:cs="Times New Roman"/>
          <w:kern w:val="0"/>
          <w:sz w:val="24"/>
          <w:szCs w:val="24"/>
          <w:lang w:val="en-GB" w:eastAsia="en-US"/>
        </w:rPr>
        <w:t xml:space="preserve"> infection. The Synergy Factor could be used to measure binary interaction between cytokine genetic variants and </w:t>
      </w:r>
      <w:r w:rsidRPr="003771AE">
        <w:rPr>
          <w:rFonts w:ascii="Book Antiqua" w:eastAsia="等线" w:hAnsi="Book Antiqua" w:cs="Times New Roman"/>
          <w:i/>
          <w:kern w:val="0"/>
          <w:sz w:val="24"/>
          <w:szCs w:val="24"/>
          <w:lang w:val="en-GB" w:eastAsia="en-US"/>
        </w:rPr>
        <w:t>H. pylori</w:t>
      </w:r>
      <w:r w:rsidRPr="003771AE">
        <w:rPr>
          <w:rFonts w:ascii="Book Antiqua" w:eastAsia="等线" w:hAnsi="Book Antiqua" w:cs="Times New Roman"/>
          <w:kern w:val="0"/>
          <w:sz w:val="24"/>
          <w:szCs w:val="24"/>
          <w:lang w:val="en-GB" w:eastAsia="en-US"/>
        </w:rPr>
        <w:t xml:space="preserve"> infection. </w:t>
      </w:r>
    </w:p>
    <w:p w14:paraId="4A622FA7" w14:textId="77777777" w:rsidR="0011105F" w:rsidRPr="003771AE" w:rsidRDefault="0011105F" w:rsidP="00F17106">
      <w:pPr>
        <w:widowControl/>
        <w:snapToGrid w:val="0"/>
        <w:spacing w:line="360" w:lineRule="auto"/>
        <w:rPr>
          <w:rFonts w:ascii="Book Antiqua" w:eastAsia="等线" w:hAnsi="Book Antiqua" w:cs="Times New Roman"/>
          <w:b/>
          <w:kern w:val="0"/>
          <w:sz w:val="24"/>
          <w:szCs w:val="24"/>
          <w:lang w:val="en-GB" w:eastAsia="en-US"/>
        </w:rPr>
      </w:pPr>
    </w:p>
    <w:p w14:paraId="33CAF070" w14:textId="77777777" w:rsidR="0011105F" w:rsidRPr="003771AE" w:rsidRDefault="0011105F" w:rsidP="00F17106">
      <w:pPr>
        <w:widowControl/>
        <w:snapToGrid w:val="0"/>
        <w:spacing w:line="360" w:lineRule="auto"/>
        <w:rPr>
          <w:rFonts w:ascii="Book Antiqua" w:eastAsia="等线" w:hAnsi="Book Antiqua" w:cs="Times New Roman"/>
          <w:b/>
          <w:caps/>
          <w:kern w:val="0"/>
          <w:sz w:val="24"/>
          <w:szCs w:val="24"/>
          <w:lang w:val="en-GB" w:eastAsia="en-US"/>
        </w:rPr>
      </w:pPr>
      <w:r w:rsidRPr="003771AE">
        <w:rPr>
          <w:rFonts w:ascii="Book Antiqua" w:eastAsia="等线" w:hAnsi="Book Antiqua" w:cs="Times New Roman"/>
          <w:b/>
          <w:caps/>
          <w:kern w:val="0"/>
          <w:sz w:val="24"/>
          <w:szCs w:val="24"/>
          <w:lang w:val="en-GB" w:eastAsia="en-US"/>
        </w:rPr>
        <w:t xml:space="preserve">Other </w:t>
      </w:r>
    </w:p>
    <w:p w14:paraId="0B76B934" w14:textId="77777777" w:rsidR="00FA15B8" w:rsidRPr="003771AE" w:rsidRDefault="0011105F" w:rsidP="00F17106">
      <w:pPr>
        <w:widowControl/>
        <w:snapToGrid w:val="0"/>
        <w:spacing w:line="360" w:lineRule="auto"/>
        <w:rPr>
          <w:rFonts w:ascii="Book Antiqua" w:eastAsia="等线" w:hAnsi="Book Antiqua" w:cs="Times New Roman"/>
          <w:iCs/>
          <w:kern w:val="0"/>
          <w:sz w:val="24"/>
          <w:szCs w:val="24"/>
          <w:lang w:val="en-GB" w:eastAsia="en-US"/>
        </w:rPr>
      </w:pPr>
      <w:r w:rsidRPr="003771AE">
        <w:rPr>
          <w:rFonts w:ascii="Book Antiqua" w:eastAsia="等线" w:hAnsi="Book Antiqua" w:cs="Times New Roman"/>
          <w:iCs/>
          <w:kern w:val="0"/>
          <w:sz w:val="24"/>
          <w:szCs w:val="24"/>
          <w:lang w:val="en-GB" w:eastAsia="en-US"/>
        </w:rPr>
        <w:t>Gastric cytokines are involved in the molecular events leading to proliferation, survival, angiogenesis, invasion, and metastasis of gastric tumour cells</w:t>
      </w:r>
      <w:r w:rsidRPr="003771AE">
        <w:rPr>
          <w:rFonts w:ascii="Book Antiqua" w:eastAsia="等线" w:hAnsi="Book Antiqua" w:cs="Times New Roman"/>
          <w:iCs/>
          <w:kern w:val="0"/>
          <w:sz w:val="24"/>
          <w:szCs w:val="24"/>
          <w:vertAlign w:val="superscript"/>
          <w:lang w:val="en-GB" w:eastAsia="en-US"/>
        </w:rPr>
        <w:t>[117]</w:t>
      </w:r>
      <w:r w:rsidRPr="003771AE">
        <w:rPr>
          <w:rFonts w:ascii="Book Antiqua" w:eastAsia="等线" w:hAnsi="Book Antiqua" w:cs="Times New Roman"/>
          <w:iCs/>
          <w:kern w:val="0"/>
          <w:sz w:val="24"/>
          <w:szCs w:val="24"/>
          <w:lang w:val="en-GB" w:eastAsia="en-US"/>
        </w:rPr>
        <w:t>. Except for cytokine gene variants, other molecular mechanisms have been questioned for potential relationship with the progression from inflammation toward GA and IM</w:t>
      </w:r>
      <w:r w:rsidRPr="003771AE">
        <w:rPr>
          <w:rFonts w:ascii="Book Antiqua" w:eastAsia="等线" w:hAnsi="Book Antiqua" w:cs="Times New Roman"/>
          <w:iCs/>
          <w:kern w:val="0"/>
          <w:sz w:val="24"/>
          <w:szCs w:val="24"/>
          <w:vertAlign w:val="superscript"/>
          <w:lang w:val="en-GB" w:eastAsia="en-US"/>
        </w:rPr>
        <w:t>[118]</w:t>
      </w:r>
      <w:r w:rsidRPr="003771AE">
        <w:rPr>
          <w:rFonts w:ascii="Book Antiqua" w:eastAsia="等线" w:hAnsi="Book Antiqua" w:cs="Times New Roman"/>
          <w:iCs/>
          <w:kern w:val="0"/>
          <w:sz w:val="24"/>
          <w:szCs w:val="24"/>
          <w:lang w:val="en-GB" w:eastAsia="en-US"/>
        </w:rPr>
        <w:t>.</w:t>
      </w:r>
    </w:p>
    <w:p w14:paraId="64ABC26D" w14:textId="688CB571" w:rsidR="00CA3894" w:rsidRPr="003771AE" w:rsidRDefault="007A709C" w:rsidP="00BA78FE">
      <w:pPr>
        <w:widowControl/>
        <w:snapToGrid w:val="0"/>
        <w:spacing w:line="360" w:lineRule="auto"/>
        <w:ind w:firstLineChars="100" w:firstLine="240"/>
        <w:rPr>
          <w:rFonts w:ascii="Book Antiqua" w:hAnsi="Book Antiqua"/>
          <w:bCs/>
          <w:sz w:val="24"/>
          <w:szCs w:val="24"/>
        </w:rPr>
      </w:pPr>
      <w:r w:rsidRPr="003771AE">
        <w:rPr>
          <w:rFonts w:ascii="Book Antiqua" w:hAnsi="Book Antiqua"/>
          <w:bCs/>
          <w:sz w:val="24"/>
          <w:szCs w:val="24"/>
        </w:rPr>
        <w:t xml:space="preserve">Current data support that infection with </w:t>
      </w:r>
      <w:r w:rsidRPr="003771AE">
        <w:rPr>
          <w:rFonts w:ascii="Book Antiqua" w:hAnsi="Book Antiqua"/>
          <w:bCs/>
          <w:i/>
          <w:sz w:val="24"/>
          <w:szCs w:val="24"/>
        </w:rPr>
        <w:t>H. pylori</w:t>
      </w:r>
      <w:r w:rsidRPr="003771AE">
        <w:rPr>
          <w:rFonts w:ascii="Book Antiqua" w:hAnsi="Book Antiqua"/>
          <w:bCs/>
          <w:sz w:val="24"/>
          <w:szCs w:val="24"/>
        </w:rPr>
        <w:t xml:space="preserve"> carrying specific virulence factors is associated with increased risk of n</w:t>
      </w:r>
      <w:r w:rsidR="005949E1" w:rsidRPr="003771AE">
        <w:rPr>
          <w:rFonts w:ascii="Book Antiqua" w:hAnsi="Book Antiqua"/>
          <w:bCs/>
          <w:sz w:val="24"/>
          <w:szCs w:val="24"/>
        </w:rPr>
        <w:t>eoplastic lesions</w:t>
      </w:r>
      <w:r w:rsidR="005E7E90" w:rsidRPr="003771AE">
        <w:rPr>
          <w:rFonts w:ascii="Book Antiqua" w:hAnsi="Book Antiqua"/>
          <w:bCs/>
          <w:sz w:val="24"/>
          <w:szCs w:val="24"/>
          <w:vertAlign w:val="superscript"/>
        </w:rPr>
        <w:t>[9]</w:t>
      </w:r>
      <w:r w:rsidR="005949E1" w:rsidRPr="003771AE">
        <w:rPr>
          <w:rFonts w:ascii="Book Antiqua" w:hAnsi="Book Antiqua"/>
          <w:bCs/>
          <w:sz w:val="24"/>
          <w:szCs w:val="24"/>
        </w:rPr>
        <w:t xml:space="preserve">. </w:t>
      </w:r>
      <w:r w:rsidR="00CA3894" w:rsidRPr="003771AE">
        <w:rPr>
          <w:rFonts w:ascii="Book Antiqua" w:hAnsi="Book Antiqua"/>
          <w:bCs/>
          <w:sz w:val="24"/>
          <w:szCs w:val="24"/>
        </w:rPr>
        <w:t xml:space="preserve">Even that </w:t>
      </w:r>
      <w:r w:rsidR="003F0BA8" w:rsidRPr="003771AE">
        <w:rPr>
          <w:rFonts w:ascii="Book Antiqua" w:hAnsi="Book Antiqua"/>
          <w:bCs/>
          <w:i/>
          <w:sz w:val="24"/>
          <w:szCs w:val="24"/>
        </w:rPr>
        <w:t>H.</w:t>
      </w:r>
      <w:r w:rsidR="00CA3894" w:rsidRPr="003771AE">
        <w:rPr>
          <w:rFonts w:ascii="Book Antiqua" w:hAnsi="Book Antiqua"/>
          <w:bCs/>
          <w:i/>
          <w:sz w:val="24"/>
          <w:szCs w:val="24"/>
        </w:rPr>
        <w:t xml:space="preserve"> pylori</w:t>
      </w:r>
      <w:r w:rsidR="00BA78FE">
        <w:rPr>
          <w:rFonts w:ascii="Book Antiqua" w:hAnsi="Book Antiqua"/>
          <w:bCs/>
          <w:i/>
          <w:sz w:val="24"/>
          <w:szCs w:val="24"/>
        </w:rPr>
        <w:t xml:space="preserve"> </w:t>
      </w:r>
      <w:r w:rsidR="003F0BA8" w:rsidRPr="003771AE">
        <w:rPr>
          <w:rFonts w:ascii="Book Antiqua" w:hAnsi="Book Antiqua"/>
          <w:bCs/>
          <w:sz w:val="24"/>
          <w:szCs w:val="24"/>
        </w:rPr>
        <w:t>of</w:t>
      </w:r>
      <w:r w:rsidR="00CA3894" w:rsidRPr="003771AE">
        <w:rPr>
          <w:rFonts w:ascii="Book Antiqua" w:hAnsi="Book Antiqua"/>
          <w:bCs/>
          <w:sz w:val="24"/>
          <w:szCs w:val="24"/>
        </w:rPr>
        <w:t xml:space="preserve">ten is undetectable in </w:t>
      </w:r>
      <w:r w:rsidR="003F0BA8" w:rsidRPr="003771AE">
        <w:rPr>
          <w:rFonts w:ascii="Book Antiqua" w:hAnsi="Book Antiqua"/>
          <w:bCs/>
          <w:sz w:val="24"/>
          <w:szCs w:val="24"/>
        </w:rPr>
        <w:t xml:space="preserve">gastric biopsies of patients with IM or </w:t>
      </w:r>
      <w:r w:rsidR="003D4D5F" w:rsidRPr="003771AE">
        <w:rPr>
          <w:rFonts w:ascii="Book Antiqua" w:hAnsi="Book Antiqua"/>
          <w:bCs/>
          <w:sz w:val="24"/>
          <w:szCs w:val="24"/>
        </w:rPr>
        <w:t xml:space="preserve">GC, </w:t>
      </w:r>
      <w:r w:rsidR="003D4D5F" w:rsidRPr="003771AE">
        <w:rPr>
          <w:rFonts w:ascii="Book Antiqua" w:hAnsi="Book Antiqua"/>
          <w:bCs/>
          <w:i/>
          <w:sz w:val="24"/>
          <w:szCs w:val="24"/>
        </w:rPr>
        <w:t>H.</w:t>
      </w:r>
      <w:r w:rsidR="00CA3894" w:rsidRPr="003771AE">
        <w:rPr>
          <w:rFonts w:ascii="Book Antiqua" w:hAnsi="Book Antiqua"/>
          <w:bCs/>
          <w:i/>
          <w:sz w:val="24"/>
          <w:szCs w:val="24"/>
        </w:rPr>
        <w:t xml:space="preserve"> pylori</w:t>
      </w:r>
      <w:r w:rsidR="00CA3894" w:rsidRPr="003771AE">
        <w:rPr>
          <w:rFonts w:ascii="Book Antiqua" w:hAnsi="Book Antiqua"/>
          <w:bCs/>
          <w:sz w:val="24"/>
          <w:szCs w:val="24"/>
        </w:rPr>
        <w:t xml:space="preserve"> and its genes were detected inside metaplastic, dysplastic, and neoplastic epithelial cells, and cagA and babA2 expression was co</w:t>
      </w:r>
      <w:r w:rsidRPr="003771AE">
        <w:rPr>
          <w:rFonts w:ascii="Book Antiqua" w:hAnsi="Book Antiqua"/>
          <w:bCs/>
          <w:sz w:val="24"/>
          <w:szCs w:val="24"/>
        </w:rPr>
        <w:t>-</w:t>
      </w:r>
      <w:r w:rsidR="00CA3894" w:rsidRPr="003771AE">
        <w:rPr>
          <w:rFonts w:ascii="Book Antiqua" w:hAnsi="Book Antiqua"/>
          <w:bCs/>
          <w:sz w:val="24"/>
          <w:szCs w:val="24"/>
        </w:rPr>
        <w:t>localized</w:t>
      </w:r>
      <w:r w:rsidR="005E7E90" w:rsidRPr="003771AE">
        <w:rPr>
          <w:rFonts w:ascii="Book Antiqua" w:hAnsi="Book Antiqua"/>
          <w:bCs/>
          <w:sz w:val="24"/>
          <w:szCs w:val="24"/>
          <w:vertAlign w:val="superscript"/>
        </w:rPr>
        <w:t>[</w:t>
      </w:r>
      <w:r w:rsidR="001066BC" w:rsidRPr="003771AE">
        <w:rPr>
          <w:rFonts w:ascii="Book Antiqua" w:hAnsi="Book Antiqua"/>
          <w:bCs/>
          <w:sz w:val="24"/>
          <w:szCs w:val="24"/>
          <w:vertAlign w:val="superscript"/>
        </w:rPr>
        <w:t>119</w:t>
      </w:r>
      <w:r w:rsidR="005E7E90" w:rsidRPr="003771AE">
        <w:rPr>
          <w:rFonts w:ascii="Book Antiqua" w:hAnsi="Book Antiqua"/>
          <w:bCs/>
          <w:sz w:val="24"/>
          <w:szCs w:val="24"/>
          <w:vertAlign w:val="superscript"/>
        </w:rPr>
        <w:t>]</w:t>
      </w:r>
      <w:r w:rsidR="00CA3894" w:rsidRPr="003771AE">
        <w:rPr>
          <w:rFonts w:ascii="Book Antiqua" w:hAnsi="Book Antiqua"/>
          <w:bCs/>
          <w:sz w:val="24"/>
          <w:szCs w:val="24"/>
        </w:rPr>
        <w:t xml:space="preserve">. The preneoplastic "acidic" MUC2 mucin was detected only in the presence of </w:t>
      </w:r>
      <w:r w:rsidR="00CA3894" w:rsidRPr="003771AE">
        <w:rPr>
          <w:rFonts w:ascii="Book Antiqua" w:hAnsi="Book Antiqua"/>
          <w:bCs/>
          <w:i/>
          <w:sz w:val="24"/>
          <w:szCs w:val="24"/>
        </w:rPr>
        <w:t>H. pylori</w:t>
      </w:r>
      <w:r w:rsidR="00CA3894" w:rsidRPr="003771AE">
        <w:rPr>
          <w:rFonts w:ascii="Book Antiqua" w:hAnsi="Book Antiqua"/>
          <w:bCs/>
          <w:sz w:val="24"/>
          <w:szCs w:val="24"/>
        </w:rPr>
        <w:t xml:space="preserve">, and MUC2 expression was higher in patients with IM, dysplasia, and cancer. </w:t>
      </w:r>
      <w:r w:rsidR="00BB5492" w:rsidRPr="003771AE">
        <w:rPr>
          <w:rFonts w:ascii="Book Antiqua" w:hAnsi="Book Antiqua"/>
          <w:bCs/>
          <w:sz w:val="24"/>
          <w:szCs w:val="24"/>
        </w:rPr>
        <w:t xml:space="preserve">The observations of Semino-Mora </w:t>
      </w:r>
      <w:r w:rsidR="00BB5492" w:rsidRPr="00BA78FE">
        <w:rPr>
          <w:rFonts w:ascii="Book Antiqua" w:hAnsi="Book Antiqua"/>
          <w:bCs/>
          <w:i/>
          <w:iCs/>
          <w:sz w:val="24"/>
          <w:szCs w:val="24"/>
        </w:rPr>
        <w:t>et al</w:t>
      </w:r>
      <w:r w:rsidR="00D115B2" w:rsidRPr="003771AE">
        <w:rPr>
          <w:rFonts w:ascii="Book Antiqua" w:hAnsi="Book Antiqua"/>
          <w:bCs/>
          <w:sz w:val="24"/>
          <w:szCs w:val="24"/>
          <w:vertAlign w:val="superscript"/>
        </w:rPr>
        <w:t>[119]</w:t>
      </w:r>
      <w:r w:rsidR="00BB5492" w:rsidRPr="003771AE">
        <w:rPr>
          <w:rFonts w:ascii="Book Antiqua" w:hAnsi="Book Antiqua"/>
          <w:bCs/>
          <w:sz w:val="24"/>
          <w:szCs w:val="24"/>
        </w:rPr>
        <w:t xml:space="preserve">. support the hypothesis that the persistent intracellular expression of </w:t>
      </w:r>
      <w:r w:rsidR="00BB5492" w:rsidRPr="003771AE">
        <w:rPr>
          <w:rFonts w:ascii="Book Antiqua" w:hAnsi="Book Antiqua"/>
          <w:bCs/>
          <w:i/>
          <w:sz w:val="24"/>
          <w:szCs w:val="24"/>
        </w:rPr>
        <w:t>H. pylori</w:t>
      </w:r>
      <w:r w:rsidR="00BB5492" w:rsidRPr="003771AE">
        <w:rPr>
          <w:rFonts w:ascii="Book Antiqua" w:hAnsi="Book Antiqua"/>
          <w:bCs/>
          <w:sz w:val="24"/>
          <w:szCs w:val="24"/>
        </w:rPr>
        <w:t xml:space="preserve"> virulence genes, </w:t>
      </w:r>
      <w:r w:rsidR="005E7E90" w:rsidRPr="003771AE">
        <w:rPr>
          <w:rFonts w:ascii="Book Antiqua" w:hAnsi="Book Antiqua"/>
          <w:bCs/>
          <w:sz w:val="24"/>
          <w:szCs w:val="24"/>
        </w:rPr>
        <w:t>mainly cagA</w:t>
      </w:r>
      <w:r w:rsidR="00BB5492" w:rsidRPr="003771AE">
        <w:rPr>
          <w:rFonts w:ascii="Book Antiqua" w:hAnsi="Book Antiqua"/>
          <w:bCs/>
          <w:sz w:val="24"/>
          <w:szCs w:val="24"/>
        </w:rPr>
        <w:t xml:space="preserve"> associated with aberrant expression of the MUC2 gene, play an important role in gastric carcinogenesis process</w:t>
      </w:r>
      <w:r w:rsidR="001066BC" w:rsidRPr="003771AE">
        <w:rPr>
          <w:rFonts w:ascii="Book Antiqua" w:hAnsi="Book Antiqua"/>
          <w:bCs/>
          <w:sz w:val="24"/>
          <w:szCs w:val="24"/>
          <w:vertAlign w:val="superscript"/>
        </w:rPr>
        <w:t>[119]</w:t>
      </w:r>
      <w:r w:rsidR="00BB5492" w:rsidRPr="003771AE">
        <w:rPr>
          <w:rFonts w:ascii="Book Antiqua" w:hAnsi="Book Antiqua"/>
          <w:bCs/>
          <w:sz w:val="24"/>
          <w:szCs w:val="24"/>
        </w:rPr>
        <w:t>.</w:t>
      </w:r>
    </w:p>
    <w:p w14:paraId="2C4EB4D4" w14:textId="7AE5A0CB" w:rsidR="008068AB" w:rsidRPr="003771AE" w:rsidRDefault="001404E1" w:rsidP="00BA78FE">
      <w:pPr>
        <w:widowControl/>
        <w:snapToGrid w:val="0"/>
        <w:spacing w:line="360" w:lineRule="auto"/>
        <w:ind w:firstLineChars="100" w:firstLine="240"/>
        <w:rPr>
          <w:rFonts w:ascii="Book Antiqua" w:eastAsia="等线" w:hAnsi="Book Antiqua" w:cs="Times New Roman"/>
          <w:iCs/>
          <w:kern w:val="0"/>
          <w:sz w:val="24"/>
          <w:szCs w:val="24"/>
          <w:lang w:val="en-GB" w:eastAsia="en-US"/>
        </w:rPr>
      </w:pPr>
      <w:r w:rsidRPr="003771AE">
        <w:rPr>
          <w:rFonts w:ascii="Book Antiqua" w:eastAsia="等线" w:hAnsi="Book Antiqua" w:cs="Times New Roman"/>
          <w:iCs/>
          <w:kern w:val="0"/>
          <w:sz w:val="24"/>
          <w:szCs w:val="24"/>
          <w:lang w:val="en-GB" w:eastAsia="en-US"/>
        </w:rPr>
        <w:t>An important study</w:t>
      </w:r>
      <w:r w:rsidR="00154867" w:rsidRPr="003771AE">
        <w:rPr>
          <w:rFonts w:ascii="Book Antiqua" w:eastAsia="等线" w:hAnsi="Book Antiqua" w:cs="Times New Roman"/>
          <w:iCs/>
          <w:kern w:val="0"/>
          <w:sz w:val="24"/>
          <w:szCs w:val="24"/>
          <w:lang w:val="en-GB" w:eastAsia="en-US"/>
        </w:rPr>
        <w:t xml:space="preserve"> of Houghton </w:t>
      </w:r>
      <w:r w:rsidR="00154867" w:rsidRPr="00BA78FE">
        <w:rPr>
          <w:rFonts w:ascii="Book Antiqua" w:eastAsia="等线" w:hAnsi="Book Antiqua" w:cs="Times New Roman"/>
          <w:i/>
          <w:kern w:val="0"/>
          <w:sz w:val="24"/>
          <w:szCs w:val="24"/>
          <w:lang w:val="en-GB" w:eastAsia="en-US"/>
        </w:rPr>
        <w:t>et al</w:t>
      </w:r>
      <w:r w:rsidR="00154867" w:rsidRPr="003771AE">
        <w:rPr>
          <w:rFonts w:ascii="Book Antiqua" w:eastAsia="等线" w:hAnsi="Book Antiqua" w:cs="Times New Roman"/>
          <w:iCs/>
          <w:kern w:val="0"/>
          <w:sz w:val="24"/>
          <w:szCs w:val="24"/>
          <w:vertAlign w:val="superscript"/>
          <w:lang w:val="en-GB" w:eastAsia="en-US"/>
        </w:rPr>
        <w:t>[120]</w:t>
      </w:r>
      <w:r w:rsidR="00154867" w:rsidRPr="003771AE">
        <w:rPr>
          <w:rFonts w:ascii="Book Antiqua" w:eastAsia="等线" w:hAnsi="Book Antiqua" w:cs="Times New Roman"/>
          <w:iCs/>
          <w:kern w:val="0"/>
          <w:sz w:val="24"/>
          <w:szCs w:val="24"/>
          <w:lang w:val="en-GB" w:eastAsia="en-US"/>
        </w:rPr>
        <w:t xml:space="preserve"> demonstrat</w:t>
      </w:r>
      <w:r w:rsidRPr="003771AE">
        <w:rPr>
          <w:rFonts w:ascii="Book Antiqua" w:eastAsia="等线" w:hAnsi="Book Antiqua" w:cs="Times New Roman"/>
          <w:iCs/>
          <w:kern w:val="0"/>
          <w:sz w:val="24"/>
          <w:szCs w:val="24"/>
          <w:lang w:val="en-GB" w:eastAsia="en-US"/>
        </w:rPr>
        <w:t xml:space="preserve">ed that </w:t>
      </w:r>
      <w:r w:rsidR="00154867" w:rsidRPr="003771AE">
        <w:rPr>
          <w:rFonts w:ascii="Book Antiqua" w:eastAsia="等线" w:hAnsi="Book Antiqua" w:cs="Times New Roman"/>
          <w:iCs/>
          <w:kern w:val="0"/>
          <w:sz w:val="24"/>
          <w:szCs w:val="24"/>
          <w:lang w:val="en-GB" w:eastAsia="en-US"/>
        </w:rPr>
        <w:t>epithelial cancers emerge from the transformati</w:t>
      </w:r>
      <w:r w:rsidRPr="003771AE">
        <w:rPr>
          <w:rFonts w:ascii="Book Antiqua" w:eastAsia="等线" w:hAnsi="Book Antiqua" w:cs="Times New Roman"/>
          <w:iCs/>
          <w:kern w:val="0"/>
          <w:sz w:val="24"/>
          <w:szCs w:val="24"/>
          <w:lang w:val="en-GB" w:eastAsia="en-US"/>
        </w:rPr>
        <w:t>on of tissue stem cells and</w:t>
      </w:r>
      <w:r w:rsidR="00154867" w:rsidRPr="003771AE">
        <w:rPr>
          <w:rFonts w:ascii="Book Antiqua" w:eastAsia="等线" w:hAnsi="Book Antiqua" w:cs="Times New Roman"/>
          <w:iCs/>
          <w:kern w:val="0"/>
          <w:sz w:val="24"/>
          <w:szCs w:val="24"/>
          <w:lang w:val="en-GB" w:eastAsia="en-US"/>
        </w:rPr>
        <w:t xml:space="preserve"> inflammation that favours th</w:t>
      </w:r>
      <w:r w:rsidRPr="003771AE">
        <w:rPr>
          <w:rFonts w:ascii="Book Antiqua" w:eastAsia="等线" w:hAnsi="Book Antiqua" w:cs="Times New Roman"/>
          <w:iCs/>
          <w:kern w:val="0"/>
          <w:sz w:val="24"/>
          <w:szCs w:val="24"/>
          <w:lang w:val="en-GB" w:eastAsia="en-US"/>
        </w:rPr>
        <w:t xml:space="preserve">e development of neoplasia has </w:t>
      </w:r>
      <w:r w:rsidR="00154867" w:rsidRPr="003771AE">
        <w:rPr>
          <w:rFonts w:ascii="Book Antiqua" w:eastAsia="等线" w:hAnsi="Book Antiqua" w:cs="Times New Roman"/>
          <w:iCs/>
          <w:kern w:val="0"/>
          <w:sz w:val="24"/>
          <w:szCs w:val="24"/>
          <w:lang w:val="en-GB" w:eastAsia="en-US"/>
        </w:rPr>
        <w:t xml:space="preserve">been linked to bone marrow–derived cells (BMDCs). </w:t>
      </w:r>
      <w:r w:rsidRPr="003771AE">
        <w:rPr>
          <w:rFonts w:ascii="Book Antiqua" w:eastAsia="等线" w:hAnsi="Book Antiqua" w:cs="Times New Roman"/>
          <w:iCs/>
          <w:kern w:val="0"/>
          <w:sz w:val="24"/>
          <w:szCs w:val="24"/>
          <w:lang w:val="en-GB" w:eastAsia="en-US"/>
        </w:rPr>
        <w:t>Therefore,</w:t>
      </w:r>
      <w:r w:rsidR="00154867" w:rsidRPr="003771AE">
        <w:rPr>
          <w:rFonts w:ascii="Book Antiqua" w:eastAsia="等线" w:hAnsi="Book Antiqua" w:cs="Times New Roman"/>
          <w:iCs/>
          <w:kern w:val="0"/>
          <w:sz w:val="24"/>
          <w:szCs w:val="24"/>
          <w:lang w:val="en-GB" w:eastAsia="en-US"/>
        </w:rPr>
        <w:t xml:space="preserve"> it was </w:t>
      </w:r>
      <w:r w:rsidRPr="003771AE">
        <w:rPr>
          <w:rFonts w:ascii="Book Antiqua" w:eastAsia="等线" w:hAnsi="Book Antiqua" w:cs="Times New Roman"/>
          <w:iCs/>
          <w:kern w:val="0"/>
          <w:sz w:val="24"/>
          <w:szCs w:val="24"/>
          <w:lang w:val="en-GB" w:eastAsia="en-US"/>
        </w:rPr>
        <w:t>hypothesised</w:t>
      </w:r>
      <w:r w:rsidR="00154867" w:rsidRPr="003771AE">
        <w:rPr>
          <w:rFonts w:ascii="Book Antiqua" w:eastAsia="等线" w:hAnsi="Book Antiqua" w:cs="Times New Roman"/>
          <w:iCs/>
          <w:kern w:val="0"/>
          <w:sz w:val="24"/>
          <w:szCs w:val="24"/>
          <w:lang w:val="en-GB" w:eastAsia="en-US"/>
        </w:rPr>
        <w:t xml:space="preserve"> that BMDCs, that are recruited toe the location of inflammation may represent a possible source of </w:t>
      </w:r>
      <w:r w:rsidRPr="003771AE">
        <w:rPr>
          <w:rFonts w:ascii="Book Antiqua" w:eastAsia="等线" w:hAnsi="Book Antiqua" w:cs="Times New Roman"/>
          <w:iCs/>
          <w:kern w:val="0"/>
          <w:sz w:val="24"/>
          <w:szCs w:val="24"/>
          <w:lang w:val="en-GB" w:eastAsia="en-US"/>
        </w:rPr>
        <w:t>neoplasia. The same mouse model study</w:t>
      </w:r>
      <w:r w:rsidRPr="003771AE">
        <w:rPr>
          <w:rFonts w:ascii="Book Antiqua" w:eastAsia="等线" w:hAnsi="Book Antiqua" w:cs="Times New Roman"/>
          <w:iCs/>
          <w:kern w:val="0"/>
          <w:sz w:val="24"/>
          <w:szCs w:val="24"/>
          <w:vertAlign w:val="superscript"/>
          <w:lang w:val="en-GB" w:eastAsia="en-US"/>
        </w:rPr>
        <w:t>[120]</w:t>
      </w:r>
      <w:r w:rsidR="000E1288" w:rsidRPr="003771AE">
        <w:rPr>
          <w:rFonts w:ascii="Book Antiqua" w:eastAsia="等线" w:hAnsi="Book Antiqua" w:cs="Times New Roman"/>
          <w:iCs/>
          <w:kern w:val="0"/>
          <w:sz w:val="24"/>
          <w:szCs w:val="24"/>
          <w:lang w:val="en-GB" w:eastAsia="en-US"/>
        </w:rPr>
        <w:t xml:space="preserve"> reveal</w:t>
      </w:r>
      <w:r w:rsidR="00154867" w:rsidRPr="003771AE">
        <w:rPr>
          <w:rFonts w:ascii="Book Antiqua" w:eastAsia="等线" w:hAnsi="Book Antiqua" w:cs="Times New Roman"/>
          <w:iCs/>
          <w:kern w:val="0"/>
          <w:sz w:val="24"/>
          <w:szCs w:val="24"/>
          <w:lang w:val="en-GB" w:eastAsia="en-US"/>
        </w:rPr>
        <w:t xml:space="preserve"> that chronic infection of C57BL/6 mice with </w:t>
      </w:r>
      <w:r w:rsidR="00154867" w:rsidRPr="003771AE">
        <w:rPr>
          <w:rFonts w:ascii="Book Antiqua" w:eastAsia="等线" w:hAnsi="Book Antiqua" w:cs="Times New Roman"/>
          <w:i/>
          <w:iCs/>
          <w:kern w:val="0"/>
          <w:sz w:val="24"/>
          <w:szCs w:val="24"/>
          <w:lang w:val="en-GB" w:eastAsia="en-US"/>
        </w:rPr>
        <w:t>H. pylori</w:t>
      </w:r>
      <w:r w:rsidR="00154867" w:rsidRPr="003771AE">
        <w:rPr>
          <w:rFonts w:ascii="Book Antiqua" w:eastAsia="等线" w:hAnsi="Book Antiqua" w:cs="Times New Roman"/>
          <w:iCs/>
          <w:kern w:val="0"/>
          <w:sz w:val="24"/>
          <w:szCs w:val="24"/>
          <w:lang w:val="en-GB" w:eastAsia="en-US"/>
        </w:rPr>
        <w:t xml:space="preserve"> may lead t</w:t>
      </w:r>
      <w:r w:rsidR="00D115B2" w:rsidRPr="003771AE">
        <w:rPr>
          <w:rFonts w:ascii="Book Antiqua" w:eastAsia="等线" w:hAnsi="Book Antiqua" w:cs="Times New Roman"/>
          <w:iCs/>
          <w:kern w:val="0"/>
          <w:sz w:val="24"/>
          <w:szCs w:val="24"/>
          <w:lang w:val="en-GB" w:eastAsia="en-US"/>
        </w:rPr>
        <w:t xml:space="preserve">o the repopulation </w:t>
      </w:r>
      <w:r w:rsidR="004B2865" w:rsidRPr="003771AE">
        <w:rPr>
          <w:rFonts w:ascii="Book Antiqua" w:eastAsia="等线" w:hAnsi="Book Antiqua" w:cs="Times New Roman"/>
          <w:iCs/>
          <w:kern w:val="0"/>
          <w:sz w:val="24"/>
          <w:szCs w:val="24"/>
          <w:lang w:val="en-GB" w:eastAsia="en-US"/>
        </w:rPr>
        <w:t xml:space="preserve">of the stomach </w:t>
      </w:r>
      <w:r w:rsidR="00D115B2" w:rsidRPr="003771AE">
        <w:rPr>
          <w:rFonts w:ascii="Book Antiqua" w:eastAsia="等线" w:hAnsi="Book Antiqua" w:cs="Times New Roman"/>
          <w:iCs/>
          <w:kern w:val="0"/>
          <w:sz w:val="24"/>
          <w:szCs w:val="24"/>
          <w:lang w:val="en-GB" w:eastAsia="en-US"/>
        </w:rPr>
        <w:t xml:space="preserve">with </w:t>
      </w:r>
      <w:r w:rsidR="004B2865" w:rsidRPr="003771AE">
        <w:rPr>
          <w:rFonts w:ascii="Book Antiqua" w:eastAsia="等线" w:hAnsi="Book Antiqua" w:cs="Times New Roman"/>
          <w:iCs/>
          <w:kern w:val="0"/>
          <w:sz w:val="24"/>
          <w:szCs w:val="24"/>
          <w:lang w:val="en-GB" w:eastAsia="en-US"/>
        </w:rPr>
        <w:t>BMDCs</w:t>
      </w:r>
      <w:r w:rsidR="00154867" w:rsidRPr="003771AE">
        <w:rPr>
          <w:rFonts w:ascii="Book Antiqua" w:eastAsia="等线" w:hAnsi="Book Antiqua" w:cs="Times New Roman"/>
          <w:iCs/>
          <w:kern w:val="0"/>
          <w:sz w:val="24"/>
          <w:szCs w:val="24"/>
          <w:lang w:val="en-GB" w:eastAsia="en-US"/>
        </w:rPr>
        <w:t xml:space="preserve">. The findings of Houghton </w:t>
      </w:r>
      <w:r w:rsidR="00154867" w:rsidRPr="00BA78FE">
        <w:rPr>
          <w:rFonts w:ascii="Book Antiqua" w:eastAsia="等线" w:hAnsi="Book Antiqua" w:cs="Times New Roman"/>
          <w:i/>
          <w:kern w:val="0"/>
          <w:sz w:val="24"/>
          <w:szCs w:val="24"/>
          <w:lang w:val="en-GB" w:eastAsia="en-US"/>
        </w:rPr>
        <w:t>et al</w:t>
      </w:r>
      <w:r w:rsidR="00BA78FE" w:rsidRPr="003771AE">
        <w:rPr>
          <w:rFonts w:ascii="Book Antiqua" w:eastAsia="等线" w:hAnsi="Book Antiqua" w:cs="Times New Roman"/>
          <w:iCs/>
          <w:kern w:val="0"/>
          <w:sz w:val="24"/>
          <w:szCs w:val="24"/>
          <w:vertAlign w:val="superscript"/>
          <w:lang w:val="en-GB" w:eastAsia="en-US"/>
        </w:rPr>
        <w:t>[120]</w:t>
      </w:r>
      <w:r w:rsidR="00154867" w:rsidRPr="003771AE">
        <w:rPr>
          <w:rFonts w:ascii="Book Antiqua" w:eastAsia="等线" w:hAnsi="Book Antiqua" w:cs="Times New Roman"/>
          <w:iCs/>
          <w:kern w:val="0"/>
          <w:sz w:val="24"/>
          <w:szCs w:val="24"/>
          <w:lang w:val="en-GB" w:eastAsia="en-US"/>
        </w:rPr>
        <w:t xml:space="preserve"> indicate that epithelial malignancies can a</w:t>
      </w:r>
      <w:r w:rsidR="004B2865" w:rsidRPr="003771AE">
        <w:rPr>
          <w:rFonts w:ascii="Book Antiqua" w:eastAsia="等线" w:hAnsi="Book Antiqua" w:cs="Times New Roman"/>
          <w:iCs/>
          <w:kern w:val="0"/>
          <w:sz w:val="24"/>
          <w:szCs w:val="24"/>
          <w:lang w:val="en-GB" w:eastAsia="en-US"/>
        </w:rPr>
        <w:t>rise from BMDCs and therefore it</w:t>
      </w:r>
      <w:r w:rsidR="00154867" w:rsidRPr="003771AE">
        <w:rPr>
          <w:rFonts w:ascii="Book Antiqua" w:eastAsia="等线" w:hAnsi="Book Antiqua" w:cs="Times New Roman"/>
          <w:iCs/>
          <w:kern w:val="0"/>
          <w:sz w:val="24"/>
          <w:szCs w:val="24"/>
          <w:lang w:val="en-GB" w:eastAsia="en-US"/>
        </w:rPr>
        <w:t xml:space="preserve"> have an important role in the multistep cancer progression. </w:t>
      </w:r>
      <w:r w:rsidR="00666E56" w:rsidRPr="003771AE">
        <w:rPr>
          <w:rFonts w:ascii="Book Antiqua" w:eastAsia="等线" w:hAnsi="Book Antiqua" w:cs="Times New Roman"/>
          <w:iCs/>
          <w:kern w:val="0"/>
          <w:sz w:val="24"/>
          <w:szCs w:val="24"/>
          <w:lang w:val="en-GB" w:eastAsia="en-US"/>
        </w:rPr>
        <w:t>It was showed that several cytokines are critical for recruitment of BMDCs</w:t>
      </w:r>
      <w:r w:rsidR="009E3B92" w:rsidRPr="003771AE">
        <w:rPr>
          <w:rFonts w:ascii="Book Antiqua" w:eastAsia="等线" w:hAnsi="Book Antiqua" w:cs="Times New Roman"/>
          <w:iCs/>
          <w:kern w:val="0"/>
          <w:sz w:val="24"/>
          <w:szCs w:val="24"/>
          <w:vertAlign w:val="superscript"/>
          <w:lang w:val="en-GB" w:eastAsia="en-US"/>
        </w:rPr>
        <w:t>[</w:t>
      </w:r>
      <w:r w:rsidR="008068AB" w:rsidRPr="003771AE">
        <w:rPr>
          <w:rFonts w:ascii="Book Antiqua" w:eastAsia="等线" w:hAnsi="Book Antiqua" w:cs="Times New Roman"/>
          <w:iCs/>
          <w:kern w:val="0"/>
          <w:sz w:val="24"/>
          <w:szCs w:val="24"/>
          <w:vertAlign w:val="superscript"/>
          <w:lang w:val="en-GB" w:eastAsia="en-US"/>
        </w:rPr>
        <w:t>120</w:t>
      </w:r>
      <w:r w:rsidR="009E3B92" w:rsidRPr="003771AE">
        <w:rPr>
          <w:rFonts w:ascii="Book Antiqua" w:eastAsia="等线" w:hAnsi="Book Antiqua" w:cs="Times New Roman"/>
          <w:iCs/>
          <w:kern w:val="0"/>
          <w:sz w:val="24"/>
          <w:szCs w:val="24"/>
          <w:vertAlign w:val="superscript"/>
          <w:lang w:val="en-GB" w:eastAsia="en-US"/>
        </w:rPr>
        <w:t>]</w:t>
      </w:r>
      <w:r w:rsidR="00666E56" w:rsidRPr="003771AE">
        <w:rPr>
          <w:rFonts w:ascii="Book Antiqua" w:eastAsia="等线" w:hAnsi="Book Antiqua" w:cs="Times New Roman"/>
          <w:iCs/>
          <w:kern w:val="0"/>
          <w:sz w:val="24"/>
          <w:szCs w:val="24"/>
          <w:lang w:val="en-GB" w:eastAsia="en-US"/>
        </w:rPr>
        <w:t>.</w:t>
      </w:r>
      <w:r w:rsidR="00BA78FE">
        <w:rPr>
          <w:rFonts w:ascii="Book Antiqua" w:eastAsia="等线" w:hAnsi="Book Antiqua" w:cs="Times New Roman"/>
          <w:iCs/>
          <w:kern w:val="0"/>
          <w:sz w:val="24"/>
          <w:szCs w:val="24"/>
          <w:lang w:val="en-GB" w:eastAsia="en-US"/>
        </w:rPr>
        <w:t xml:space="preserve"> </w:t>
      </w:r>
      <w:r w:rsidR="008068AB" w:rsidRPr="003771AE">
        <w:rPr>
          <w:rFonts w:ascii="Book Antiqua" w:eastAsia="等线" w:hAnsi="Book Antiqua" w:cs="Times New Roman"/>
          <w:iCs/>
          <w:kern w:val="0"/>
          <w:sz w:val="24"/>
          <w:szCs w:val="24"/>
          <w:lang w:val="en-GB" w:eastAsia="en-US"/>
        </w:rPr>
        <w:t>Considerable other data indicates that gastric cancer, and most of the cancers, may arise from aberrant stem cells that accumulate gene mutations</w:t>
      </w:r>
      <w:r w:rsidR="008068AB" w:rsidRPr="003771AE">
        <w:rPr>
          <w:rFonts w:ascii="Book Antiqua" w:eastAsia="等线" w:hAnsi="Book Antiqua" w:cs="Times New Roman"/>
          <w:iCs/>
          <w:kern w:val="0"/>
          <w:sz w:val="24"/>
          <w:szCs w:val="24"/>
          <w:vertAlign w:val="superscript"/>
          <w:lang w:val="en-GB" w:eastAsia="en-US"/>
        </w:rPr>
        <w:t>[121]</w:t>
      </w:r>
      <w:r w:rsidR="00575AD5" w:rsidRPr="003771AE">
        <w:rPr>
          <w:rFonts w:ascii="Book Antiqua" w:eastAsia="等线" w:hAnsi="Book Antiqua" w:cs="Times New Roman"/>
          <w:iCs/>
          <w:kern w:val="0"/>
          <w:sz w:val="24"/>
          <w:szCs w:val="24"/>
          <w:lang w:val="en-GB" w:eastAsia="en-US"/>
        </w:rPr>
        <w:t>.</w:t>
      </w:r>
    </w:p>
    <w:p w14:paraId="627BEBB3" w14:textId="4899A7A6" w:rsidR="0011105F" w:rsidRPr="003771AE" w:rsidRDefault="0011105F" w:rsidP="00BA78FE">
      <w:pPr>
        <w:widowControl/>
        <w:snapToGrid w:val="0"/>
        <w:spacing w:line="360" w:lineRule="auto"/>
        <w:ind w:firstLineChars="100" w:firstLine="240"/>
        <w:rPr>
          <w:rFonts w:ascii="Book Antiqua" w:eastAsia="等线" w:hAnsi="Book Antiqua" w:cs="Times New Roman"/>
          <w:iCs/>
          <w:kern w:val="0"/>
          <w:sz w:val="24"/>
          <w:szCs w:val="24"/>
          <w:lang w:val="en-GB" w:eastAsia="en-US"/>
        </w:rPr>
      </w:pPr>
      <w:r w:rsidRPr="003771AE">
        <w:rPr>
          <w:rFonts w:ascii="Book Antiqua" w:eastAsia="等线" w:hAnsi="Book Antiqua" w:cs="Times New Roman"/>
          <w:iCs/>
          <w:kern w:val="0"/>
          <w:sz w:val="24"/>
          <w:szCs w:val="24"/>
          <w:lang w:val="en-GB" w:eastAsia="en-US"/>
        </w:rPr>
        <w:t xml:space="preserve">A study of gene polymorphisms involved in oxidative stress (of </w:t>
      </w:r>
      <w:r w:rsidRPr="00A703A8">
        <w:rPr>
          <w:rFonts w:ascii="Book Antiqua" w:eastAsia="等线" w:hAnsi="Book Antiqua" w:cs="Times New Roman"/>
          <w:i/>
          <w:kern w:val="0"/>
          <w:sz w:val="24"/>
          <w:szCs w:val="24"/>
          <w:lang w:val="en-GB" w:eastAsia="en-US"/>
        </w:rPr>
        <w:t>CAT</w:t>
      </w:r>
      <w:r w:rsidRPr="003771AE">
        <w:rPr>
          <w:rFonts w:ascii="Book Antiqua" w:eastAsia="等线" w:hAnsi="Book Antiqua" w:cs="Times New Roman"/>
          <w:iCs/>
          <w:kern w:val="0"/>
          <w:sz w:val="24"/>
          <w:szCs w:val="24"/>
          <w:lang w:val="en-GB" w:eastAsia="en-US"/>
        </w:rPr>
        <w:t xml:space="preserve">, </w:t>
      </w:r>
      <w:r w:rsidRPr="00A703A8">
        <w:rPr>
          <w:rFonts w:ascii="Book Antiqua" w:eastAsia="等线" w:hAnsi="Book Antiqua" w:cs="Times New Roman"/>
          <w:i/>
          <w:kern w:val="0"/>
          <w:sz w:val="24"/>
          <w:szCs w:val="24"/>
          <w:lang w:val="en-GB" w:eastAsia="en-US"/>
        </w:rPr>
        <w:t>MnSOD</w:t>
      </w:r>
      <w:r w:rsidRPr="003771AE">
        <w:rPr>
          <w:rFonts w:ascii="Book Antiqua" w:eastAsia="等线" w:hAnsi="Book Antiqua" w:cs="Times New Roman"/>
          <w:iCs/>
          <w:kern w:val="0"/>
          <w:sz w:val="24"/>
          <w:szCs w:val="24"/>
          <w:lang w:val="en-GB" w:eastAsia="en-US"/>
        </w:rPr>
        <w:t xml:space="preserve"> and </w:t>
      </w:r>
      <w:r w:rsidRPr="00A703A8">
        <w:rPr>
          <w:rFonts w:ascii="Book Antiqua" w:eastAsia="等线" w:hAnsi="Book Antiqua" w:cs="Times New Roman"/>
          <w:i/>
          <w:kern w:val="0"/>
          <w:sz w:val="24"/>
          <w:szCs w:val="24"/>
          <w:lang w:val="en-GB" w:eastAsia="en-US"/>
        </w:rPr>
        <w:t>GPX1</w:t>
      </w:r>
      <w:r w:rsidRPr="003771AE">
        <w:rPr>
          <w:rFonts w:ascii="Book Antiqua" w:eastAsia="等线" w:hAnsi="Book Antiqua" w:cs="Times New Roman"/>
          <w:iCs/>
          <w:kern w:val="0"/>
          <w:sz w:val="24"/>
          <w:szCs w:val="24"/>
          <w:lang w:val="en-GB" w:eastAsia="en-US"/>
        </w:rPr>
        <w:t xml:space="preserve"> genes) in relation to premalignant gastric lesions demonstrated contradictory results in different populations</w:t>
      </w:r>
      <w:r w:rsidR="008068AB" w:rsidRPr="003771AE">
        <w:rPr>
          <w:rFonts w:ascii="Book Antiqua" w:eastAsia="等线" w:hAnsi="Book Antiqua" w:cs="Times New Roman"/>
          <w:iCs/>
          <w:kern w:val="0"/>
          <w:sz w:val="24"/>
          <w:szCs w:val="24"/>
          <w:vertAlign w:val="superscript"/>
          <w:lang w:val="en-GB" w:eastAsia="en-US"/>
        </w:rPr>
        <w:t>[</w:t>
      </w:r>
      <w:r w:rsidR="00666E56" w:rsidRPr="003771AE">
        <w:rPr>
          <w:rFonts w:ascii="Book Antiqua" w:eastAsia="等线" w:hAnsi="Book Antiqua" w:cs="Times New Roman"/>
          <w:iCs/>
          <w:kern w:val="0"/>
          <w:sz w:val="24"/>
          <w:szCs w:val="24"/>
          <w:vertAlign w:val="superscript"/>
          <w:lang w:val="en-GB" w:eastAsia="en-US"/>
        </w:rPr>
        <w:t>122</w:t>
      </w:r>
      <w:r w:rsidR="00BA78FE">
        <w:rPr>
          <w:rFonts w:ascii="Book Antiqua" w:eastAsia="等线" w:hAnsi="Book Antiqua" w:cs="Times New Roman"/>
          <w:iCs/>
          <w:kern w:val="0"/>
          <w:sz w:val="24"/>
          <w:szCs w:val="24"/>
          <w:vertAlign w:val="superscript"/>
          <w:lang w:val="en-GB" w:eastAsia="en-US"/>
        </w:rPr>
        <w:t>-</w:t>
      </w:r>
      <w:r w:rsidR="008068AB" w:rsidRPr="003771AE">
        <w:rPr>
          <w:rFonts w:ascii="Book Antiqua" w:eastAsia="等线" w:hAnsi="Book Antiqua" w:cs="Times New Roman"/>
          <w:iCs/>
          <w:kern w:val="0"/>
          <w:sz w:val="24"/>
          <w:szCs w:val="24"/>
          <w:vertAlign w:val="superscript"/>
          <w:lang w:val="en-GB" w:eastAsia="en-US"/>
        </w:rPr>
        <w:t>124</w:t>
      </w:r>
      <w:r w:rsidRPr="003771AE">
        <w:rPr>
          <w:rFonts w:ascii="Book Antiqua" w:eastAsia="等线" w:hAnsi="Book Antiqua" w:cs="Times New Roman"/>
          <w:iCs/>
          <w:kern w:val="0"/>
          <w:sz w:val="24"/>
          <w:szCs w:val="24"/>
          <w:vertAlign w:val="superscript"/>
          <w:lang w:val="en-GB" w:eastAsia="en-US"/>
        </w:rPr>
        <w:t>]</w:t>
      </w:r>
      <w:r w:rsidRPr="003771AE">
        <w:rPr>
          <w:rFonts w:ascii="Book Antiqua" w:eastAsia="等线" w:hAnsi="Book Antiqua" w:cs="Times New Roman"/>
          <w:iCs/>
          <w:kern w:val="0"/>
          <w:sz w:val="24"/>
          <w:szCs w:val="24"/>
          <w:lang w:val="en-GB" w:eastAsia="en-US"/>
        </w:rPr>
        <w:t xml:space="preserve">, despite the accepted role of oxidative stress as a consequence of </w:t>
      </w:r>
      <w:r w:rsidRPr="003771AE">
        <w:rPr>
          <w:rFonts w:ascii="Book Antiqua" w:eastAsia="等线" w:hAnsi="Book Antiqua" w:cs="Times New Roman"/>
          <w:i/>
          <w:iCs/>
          <w:kern w:val="0"/>
          <w:sz w:val="24"/>
          <w:szCs w:val="24"/>
          <w:lang w:val="en-GB" w:eastAsia="en-US"/>
        </w:rPr>
        <w:t>H. pylori</w:t>
      </w:r>
      <w:r w:rsidRPr="003771AE">
        <w:rPr>
          <w:rFonts w:ascii="Book Antiqua" w:eastAsia="等线" w:hAnsi="Book Antiqua" w:cs="Times New Roman"/>
          <w:iCs/>
          <w:kern w:val="0"/>
          <w:sz w:val="24"/>
          <w:szCs w:val="24"/>
          <w:lang w:val="en-GB" w:eastAsia="en-US"/>
        </w:rPr>
        <w:t xml:space="preserve"> being a contributing factor in gastric carcinogenesis</w:t>
      </w:r>
      <w:r w:rsidRPr="003771AE">
        <w:rPr>
          <w:rFonts w:ascii="Book Antiqua" w:eastAsia="等线" w:hAnsi="Book Antiqua" w:cs="Times New Roman"/>
          <w:iCs/>
          <w:kern w:val="0"/>
          <w:sz w:val="24"/>
          <w:szCs w:val="24"/>
          <w:vertAlign w:val="superscript"/>
          <w:lang w:val="en-GB" w:eastAsia="en-US"/>
        </w:rPr>
        <w:t>[118]</w:t>
      </w:r>
      <w:r w:rsidRPr="003771AE">
        <w:rPr>
          <w:rFonts w:ascii="Book Antiqua" w:eastAsia="等线" w:hAnsi="Book Antiqua" w:cs="Times New Roman"/>
          <w:iCs/>
          <w:kern w:val="0"/>
          <w:sz w:val="24"/>
          <w:szCs w:val="24"/>
          <w:lang w:val="en-GB" w:eastAsia="en-US"/>
        </w:rPr>
        <w:t>. The gene variants of glutathione S-transferases (GSTs) involved in the metabolism of carcinogens, drugs, and reactive oxygen species were shown to be involved in GC predisposition, but with discordant results</w:t>
      </w:r>
      <w:r w:rsidR="008068AB" w:rsidRPr="003771AE">
        <w:rPr>
          <w:rFonts w:ascii="Book Antiqua" w:eastAsia="等线" w:hAnsi="Book Antiqua" w:cs="Times New Roman"/>
          <w:iCs/>
          <w:kern w:val="0"/>
          <w:sz w:val="24"/>
          <w:szCs w:val="24"/>
          <w:vertAlign w:val="superscript"/>
          <w:lang w:val="en-GB" w:eastAsia="en-US"/>
        </w:rPr>
        <w:t>[125</w:t>
      </w:r>
      <w:r w:rsidRPr="003771AE">
        <w:rPr>
          <w:rFonts w:ascii="Book Antiqua" w:eastAsia="等线" w:hAnsi="Book Antiqua" w:cs="Times New Roman"/>
          <w:iCs/>
          <w:kern w:val="0"/>
          <w:sz w:val="24"/>
          <w:szCs w:val="24"/>
          <w:vertAlign w:val="superscript"/>
          <w:lang w:val="en-GB" w:eastAsia="en-US"/>
        </w:rPr>
        <w:t>]</w:t>
      </w:r>
      <w:r w:rsidRPr="003771AE">
        <w:rPr>
          <w:rFonts w:ascii="Book Antiqua" w:eastAsia="等线" w:hAnsi="Book Antiqua" w:cs="Times New Roman"/>
          <w:iCs/>
          <w:kern w:val="0"/>
          <w:sz w:val="24"/>
          <w:szCs w:val="24"/>
          <w:lang w:val="en-GB" w:eastAsia="en-US"/>
        </w:rPr>
        <w:t>. The GSTM1 and GSTT1 null genotypes seemed to increase the risk for premalignant lesions in a Caucasian population</w:t>
      </w:r>
      <w:r w:rsidR="008068AB" w:rsidRPr="003771AE">
        <w:rPr>
          <w:rFonts w:ascii="Book Antiqua" w:eastAsia="等线" w:hAnsi="Book Antiqua" w:cs="Times New Roman"/>
          <w:iCs/>
          <w:kern w:val="0"/>
          <w:sz w:val="24"/>
          <w:szCs w:val="24"/>
          <w:vertAlign w:val="superscript"/>
          <w:lang w:val="en-GB" w:eastAsia="en-US"/>
        </w:rPr>
        <w:t>[126</w:t>
      </w:r>
      <w:r w:rsidRPr="003771AE">
        <w:rPr>
          <w:rFonts w:ascii="Book Antiqua" w:eastAsia="等线" w:hAnsi="Book Antiqua" w:cs="Times New Roman"/>
          <w:iCs/>
          <w:kern w:val="0"/>
          <w:sz w:val="24"/>
          <w:szCs w:val="24"/>
          <w:vertAlign w:val="superscript"/>
          <w:lang w:val="en-GB" w:eastAsia="en-US"/>
        </w:rPr>
        <w:t>]</w:t>
      </w:r>
      <w:r w:rsidRPr="003771AE">
        <w:rPr>
          <w:rFonts w:ascii="Book Antiqua" w:eastAsia="等线" w:hAnsi="Book Antiqua" w:cs="Times New Roman"/>
          <w:iCs/>
          <w:kern w:val="0"/>
          <w:sz w:val="24"/>
          <w:szCs w:val="24"/>
          <w:lang w:val="en-GB" w:eastAsia="en-US"/>
        </w:rPr>
        <w:t xml:space="preserve"> but were not associated with GC in an Asian population in a study carried out by Chen </w:t>
      </w:r>
      <w:r w:rsidRPr="003771AE">
        <w:rPr>
          <w:rFonts w:ascii="Book Antiqua" w:eastAsia="等线" w:hAnsi="Book Antiqua" w:cs="Times New Roman"/>
          <w:i/>
          <w:iCs/>
          <w:kern w:val="0"/>
          <w:sz w:val="24"/>
          <w:szCs w:val="24"/>
          <w:lang w:val="en-GB" w:eastAsia="en-US"/>
        </w:rPr>
        <w:t>et al</w:t>
      </w:r>
      <w:r w:rsidR="008068AB" w:rsidRPr="003771AE">
        <w:rPr>
          <w:rFonts w:ascii="Book Antiqua" w:eastAsia="等线" w:hAnsi="Book Antiqua" w:cs="Times New Roman"/>
          <w:iCs/>
          <w:kern w:val="0"/>
          <w:sz w:val="24"/>
          <w:szCs w:val="24"/>
          <w:vertAlign w:val="superscript"/>
          <w:lang w:val="en-GB" w:eastAsia="en-US"/>
        </w:rPr>
        <w:t>[125</w:t>
      </w:r>
      <w:r w:rsidRPr="003771AE">
        <w:rPr>
          <w:rFonts w:ascii="Book Antiqua" w:eastAsia="等线" w:hAnsi="Book Antiqua" w:cs="Times New Roman"/>
          <w:iCs/>
          <w:kern w:val="0"/>
          <w:sz w:val="24"/>
          <w:szCs w:val="24"/>
          <w:vertAlign w:val="superscript"/>
          <w:lang w:val="en-GB" w:eastAsia="en-US"/>
        </w:rPr>
        <w:t>]</w:t>
      </w:r>
      <w:r w:rsidRPr="003771AE">
        <w:rPr>
          <w:rFonts w:ascii="Book Antiqua" w:eastAsia="等线" w:hAnsi="Book Antiqua" w:cs="Times New Roman"/>
          <w:iCs/>
          <w:kern w:val="0"/>
          <w:sz w:val="24"/>
          <w:szCs w:val="24"/>
          <w:lang w:val="en-GB" w:eastAsia="en-US"/>
        </w:rPr>
        <w:t>. The GSTP1Val allele seemed to reduce the risk of gastric premalignant lesions in Caucasians</w:t>
      </w:r>
      <w:r w:rsidR="008068AB" w:rsidRPr="003771AE">
        <w:rPr>
          <w:rFonts w:ascii="Book Antiqua" w:eastAsia="等线" w:hAnsi="Book Antiqua" w:cs="Times New Roman"/>
          <w:iCs/>
          <w:kern w:val="0"/>
          <w:sz w:val="24"/>
          <w:szCs w:val="24"/>
          <w:vertAlign w:val="superscript"/>
          <w:lang w:val="en-GB" w:eastAsia="en-US"/>
        </w:rPr>
        <w:t>[126</w:t>
      </w:r>
      <w:r w:rsidRPr="003771AE">
        <w:rPr>
          <w:rFonts w:ascii="Book Antiqua" w:eastAsia="等线" w:hAnsi="Book Antiqua" w:cs="Times New Roman"/>
          <w:iCs/>
          <w:kern w:val="0"/>
          <w:sz w:val="24"/>
          <w:szCs w:val="24"/>
          <w:vertAlign w:val="superscript"/>
          <w:lang w:val="en-GB" w:eastAsia="en-US"/>
        </w:rPr>
        <w:t>]</w:t>
      </w:r>
      <w:r w:rsidRPr="003771AE">
        <w:rPr>
          <w:rFonts w:ascii="Book Antiqua" w:eastAsia="等线" w:hAnsi="Book Antiqua" w:cs="Times New Roman"/>
          <w:iCs/>
          <w:kern w:val="0"/>
          <w:sz w:val="24"/>
          <w:szCs w:val="24"/>
          <w:lang w:val="en-GB" w:eastAsia="en-US"/>
        </w:rPr>
        <w:t xml:space="preserve"> but increased the risk for cancer in Asians</w:t>
      </w:r>
      <w:r w:rsidR="008068AB" w:rsidRPr="003771AE">
        <w:rPr>
          <w:rFonts w:ascii="Book Antiqua" w:eastAsia="等线" w:hAnsi="Book Antiqua" w:cs="Times New Roman"/>
          <w:iCs/>
          <w:kern w:val="0"/>
          <w:sz w:val="24"/>
          <w:szCs w:val="24"/>
          <w:vertAlign w:val="superscript"/>
          <w:lang w:val="en-GB" w:eastAsia="en-US"/>
        </w:rPr>
        <w:t>[125</w:t>
      </w:r>
      <w:r w:rsidRPr="003771AE">
        <w:rPr>
          <w:rFonts w:ascii="Book Antiqua" w:eastAsia="等线" w:hAnsi="Book Antiqua" w:cs="Times New Roman"/>
          <w:iCs/>
          <w:kern w:val="0"/>
          <w:sz w:val="24"/>
          <w:szCs w:val="24"/>
          <w:vertAlign w:val="superscript"/>
          <w:lang w:val="en-GB" w:eastAsia="en-US"/>
        </w:rPr>
        <w:t>]</w:t>
      </w:r>
      <w:r w:rsidRPr="003771AE">
        <w:rPr>
          <w:rFonts w:ascii="Book Antiqua" w:eastAsia="等线" w:hAnsi="Book Antiqua" w:cs="Times New Roman"/>
          <w:iCs/>
          <w:kern w:val="0"/>
          <w:sz w:val="24"/>
          <w:szCs w:val="24"/>
          <w:lang w:val="en-GB" w:eastAsia="en-US"/>
        </w:rPr>
        <w:t>. The renin-angiotensin system component in the gastric mucosa seems to mediate inflammation and fibrosis</w:t>
      </w:r>
      <w:r w:rsidR="008068AB" w:rsidRPr="003771AE">
        <w:rPr>
          <w:rFonts w:ascii="Book Antiqua" w:eastAsia="等线" w:hAnsi="Book Antiqua" w:cs="Times New Roman"/>
          <w:iCs/>
          <w:kern w:val="0"/>
          <w:sz w:val="24"/>
          <w:szCs w:val="24"/>
          <w:vertAlign w:val="superscript"/>
          <w:lang w:val="en-GB" w:eastAsia="en-US"/>
        </w:rPr>
        <w:t>[127</w:t>
      </w:r>
      <w:r w:rsidRPr="003771AE">
        <w:rPr>
          <w:rFonts w:ascii="Book Antiqua" w:eastAsia="等线" w:hAnsi="Book Antiqua" w:cs="Times New Roman"/>
          <w:iCs/>
          <w:kern w:val="0"/>
          <w:sz w:val="24"/>
          <w:szCs w:val="24"/>
          <w:vertAlign w:val="superscript"/>
          <w:lang w:val="en-GB" w:eastAsia="en-US"/>
        </w:rPr>
        <w:t>]</w:t>
      </w:r>
      <w:r w:rsidRPr="003771AE">
        <w:rPr>
          <w:rFonts w:ascii="Book Antiqua" w:eastAsia="等线" w:hAnsi="Book Antiqua" w:cs="Times New Roman"/>
          <w:iCs/>
          <w:kern w:val="0"/>
          <w:sz w:val="24"/>
          <w:szCs w:val="24"/>
          <w:lang w:val="en-GB" w:eastAsia="en-US"/>
        </w:rPr>
        <w:t>, and the variant homozygous CC genotype of the AGT A-20C gene polymorphism was shown to increase the risk for peptic ulcer bleeding in Japanese aspirin consumers</w:t>
      </w:r>
      <w:r w:rsidR="008068AB" w:rsidRPr="003771AE">
        <w:rPr>
          <w:rFonts w:ascii="Book Antiqua" w:eastAsia="等线" w:hAnsi="Book Antiqua" w:cs="Times New Roman"/>
          <w:iCs/>
          <w:kern w:val="0"/>
          <w:sz w:val="24"/>
          <w:szCs w:val="24"/>
          <w:vertAlign w:val="superscript"/>
          <w:lang w:val="en-GB" w:eastAsia="en-US"/>
        </w:rPr>
        <w:t>[128</w:t>
      </w:r>
      <w:r w:rsidRPr="003771AE">
        <w:rPr>
          <w:rFonts w:ascii="Book Antiqua" w:eastAsia="等线" w:hAnsi="Book Antiqua" w:cs="Times New Roman"/>
          <w:iCs/>
          <w:kern w:val="0"/>
          <w:sz w:val="24"/>
          <w:szCs w:val="24"/>
          <w:vertAlign w:val="superscript"/>
          <w:lang w:val="en-GB" w:eastAsia="en-US"/>
        </w:rPr>
        <w:t>]</w:t>
      </w:r>
      <w:r w:rsidRPr="003771AE">
        <w:rPr>
          <w:rFonts w:ascii="Book Antiqua" w:eastAsia="等线" w:hAnsi="Book Antiqua" w:cs="Times New Roman"/>
          <w:iCs/>
          <w:kern w:val="0"/>
          <w:sz w:val="24"/>
          <w:szCs w:val="24"/>
          <w:lang w:val="en-GB" w:eastAsia="en-US"/>
        </w:rPr>
        <w:t>. In a Romanian study, the frequency of premalignant gastric lesions decreased with increased AGT production according to genotype (AA 37.7% &lt; AC 25.3% &lt; CC 16.7%) but increased the risk of ulcer in carriers of the variant homozygous CC genotype</w:t>
      </w:r>
      <w:r w:rsidR="005234A1" w:rsidRPr="003771AE">
        <w:rPr>
          <w:rFonts w:ascii="Book Antiqua" w:eastAsia="等线" w:hAnsi="Book Antiqua" w:cs="Times New Roman"/>
          <w:iCs/>
          <w:kern w:val="0"/>
          <w:sz w:val="24"/>
          <w:szCs w:val="24"/>
          <w:vertAlign w:val="superscript"/>
          <w:lang w:val="en-GB" w:eastAsia="en-US"/>
        </w:rPr>
        <w:t>[129</w:t>
      </w:r>
      <w:r w:rsidRPr="003771AE">
        <w:rPr>
          <w:rFonts w:ascii="Book Antiqua" w:eastAsia="等线" w:hAnsi="Book Antiqua" w:cs="Times New Roman"/>
          <w:iCs/>
          <w:kern w:val="0"/>
          <w:sz w:val="24"/>
          <w:szCs w:val="24"/>
          <w:vertAlign w:val="superscript"/>
          <w:lang w:val="en-GB" w:eastAsia="en-US"/>
        </w:rPr>
        <w:t>]</w:t>
      </w:r>
      <w:r w:rsidRPr="003771AE">
        <w:rPr>
          <w:rFonts w:ascii="Book Antiqua" w:eastAsia="等线" w:hAnsi="Book Antiqua" w:cs="Times New Roman"/>
          <w:iCs/>
          <w:kern w:val="0"/>
          <w:sz w:val="24"/>
          <w:szCs w:val="24"/>
          <w:lang w:val="en-GB" w:eastAsia="en-US"/>
        </w:rPr>
        <w:t>.</w:t>
      </w:r>
    </w:p>
    <w:p w14:paraId="470E2531" w14:textId="06D06000" w:rsidR="0011105F" w:rsidRPr="003771AE" w:rsidRDefault="0011105F" w:rsidP="005B256A">
      <w:pPr>
        <w:widowControl/>
        <w:snapToGrid w:val="0"/>
        <w:spacing w:line="360" w:lineRule="auto"/>
        <w:ind w:firstLineChars="100" w:firstLine="240"/>
        <w:rPr>
          <w:rFonts w:ascii="Book Antiqua" w:eastAsia="等线" w:hAnsi="Book Antiqua" w:cs="Times New Roman"/>
          <w:iCs/>
          <w:kern w:val="0"/>
          <w:sz w:val="24"/>
          <w:szCs w:val="24"/>
          <w:lang w:val="en-GB" w:eastAsia="en-US"/>
        </w:rPr>
      </w:pPr>
      <w:r w:rsidRPr="003771AE">
        <w:rPr>
          <w:rFonts w:ascii="Book Antiqua" w:eastAsia="等线" w:hAnsi="Book Antiqua" w:cs="Times New Roman"/>
          <w:iCs/>
          <w:kern w:val="0"/>
          <w:sz w:val="24"/>
          <w:szCs w:val="24"/>
          <w:lang w:val="en-GB" w:eastAsia="en-US"/>
        </w:rPr>
        <w:t xml:space="preserve">Despite the lack of functional evaluation of all gene variants harbouring a risk for preneoplastic and neoplastic gastric lesions, the current research has increased our knowledge regarding GC, but while generating confusing results frequently. Our work summarized herein aimed to highlight the importance of research in populations with different prevalence rates of </w:t>
      </w:r>
      <w:r w:rsidRPr="003771AE">
        <w:rPr>
          <w:rFonts w:ascii="Book Antiqua" w:eastAsia="等线" w:hAnsi="Book Antiqua" w:cs="Times New Roman"/>
          <w:i/>
          <w:iCs/>
          <w:kern w:val="0"/>
          <w:sz w:val="24"/>
          <w:szCs w:val="24"/>
          <w:lang w:val="en-GB" w:eastAsia="en-US"/>
        </w:rPr>
        <w:t>H. pylori</w:t>
      </w:r>
      <w:r w:rsidRPr="003771AE">
        <w:rPr>
          <w:rFonts w:ascii="Book Antiqua" w:eastAsia="等线" w:hAnsi="Book Antiqua" w:cs="Times New Roman"/>
          <w:iCs/>
          <w:kern w:val="0"/>
          <w:sz w:val="24"/>
          <w:szCs w:val="24"/>
          <w:lang w:val="en-GB" w:eastAsia="en-US"/>
        </w:rPr>
        <w:t xml:space="preserve"> infection and strains, with different genetic backgrounds and environmental exposures, linking inflammatory mechanisms with the neoplastic transformation of the gastric mucosa.</w:t>
      </w:r>
    </w:p>
    <w:p w14:paraId="04B5A99D" w14:textId="77777777" w:rsidR="0011105F" w:rsidRPr="003771AE" w:rsidRDefault="0011105F" w:rsidP="00F17106">
      <w:pPr>
        <w:widowControl/>
        <w:snapToGrid w:val="0"/>
        <w:spacing w:line="360" w:lineRule="auto"/>
        <w:rPr>
          <w:rFonts w:ascii="Book Antiqua" w:eastAsia="等线" w:hAnsi="Book Antiqua" w:cs="Times New Roman"/>
          <w:b/>
          <w:kern w:val="0"/>
          <w:sz w:val="24"/>
          <w:szCs w:val="24"/>
          <w:lang w:val="en-GB" w:eastAsia="en-US"/>
        </w:rPr>
      </w:pPr>
    </w:p>
    <w:p w14:paraId="48389339" w14:textId="02FF82C5" w:rsidR="0011105F" w:rsidRPr="003771AE" w:rsidRDefault="0011105F" w:rsidP="00F17106">
      <w:pPr>
        <w:widowControl/>
        <w:snapToGrid w:val="0"/>
        <w:spacing w:line="360" w:lineRule="auto"/>
        <w:rPr>
          <w:rFonts w:ascii="Book Antiqua" w:eastAsia="等线" w:hAnsi="Book Antiqua" w:cs="Times New Roman"/>
          <w:b/>
          <w:caps/>
          <w:kern w:val="0"/>
          <w:sz w:val="24"/>
          <w:szCs w:val="24"/>
          <w:lang w:val="en-GB" w:eastAsia="en-US"/>
        </w:rPr>
      </w:pPr>
      <w:r w:rsidRPr="003771AE">
        <w:rPr>
          <w:rFonts w:ascii="Book Antiqua" w:eastAsia="等线" w:hAnsi="Book Antiqua" w:cs="Times New Roman"/>
          <w:b/>
          <w:caps/>
          <w:kern w:val="0"/>
          <w:sz w:val="24"/>
          <w:szCs w:val="24"/>
          <w:lang w:val="en-GB" w:eastAsia="en-US"/>
        </w:rPr>
        <w:t>Conclusion</w:t>
      </w:r>
    </w:p>
    <w:p w14:paraId="3D74CB79" w14:textId="77777777" w:rsidR="0011105F" w:rsidRPr="003771AE" w:rsidRDefault="0011105F" w:rsidP="00F17106">
      <w:pPr>
        <w:widowControl/>
        <w:snapToGrid w:val="0"/>
        <w:spacing w:line="360" w:lineRule="auto"/>
        <w:rPr>
          <w:rFonts w:ascii="Book Antiqua" w:eastAsia="等线"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Even though the role of extension, localisation, or phenotype of premalignant lesions on GC risk is still a matter of debate, risk stratification and surveillance are nowadays unanimously accepted in order to decrease the burden of mortality</w:t>
      </w:r>
      <w:r w:rsidR="005234A1" w:rsidRPr="003771AE">
        <w:rPr>
          <w:rFonts w:ascii="Book Antiqua" w:eastAsia="等线" w:hAnsi="Book Antiqua" w:cs="Times New Roman"/>
          <w:kern w:val="0"/>
          <w:sz w:val="24"/>
          <w:szCs w:val="24"/>
          <w:vertAlign w:val="superscript"/>
          <w:lang w:val="en-GB" w:eastAsia="en-US"/>
        </w:rPr>
        <w:t>[130,</w:t>
      </w:r>
      <w:bookmarkStart w:id="137" w:name="_GoBack"/>
      <w:r w:rsidR="005234A1" w:rsidRPr="003771AE">
        <w:rPr>
          <w:rFonts w:ascii="Book Antiqua" w:eastAsia="等线" w:hAnsi="Book Antiqua" w:cs="Times New Roman"/>
          <w:kern w:val="0"/>
          <w:sz w:val="24"/>
          <w:szCs w:val="24"/>
          <w:vertAlign w:val="superscript"/>
          <w:lang w:val="en-GB" w:eastAsia="en-US"/>
        </w:rPr>
        <w:t>131</w:t>
      </w:r>
      <w:r w:rsidRPr="003771AE">
        <w:rPr>
          <w:rFonts w:ascii="Book Antiqua" w:eastAsia="等线" w:hAnsi="Book Antiqua" w:cs="Times New Roman"/>
          <w:kern w:val="0"/>
          <w:sz w:val="24"/>
          <w:szCs w:val="24"/>
          <w:vertAlign w:val="superscript"/>
          <w:lang w:val="en-GB" w:eastAsia="en-US"/>
        </w:rPr>
        <w:t>]</w:t>
      </w:r>
      <w:bookmarkEnd w:id="137"/>
      <w:r w:rsidRPr="003771AE">
        <w:rPr>
          <w:rFonts w:ascii="Book Antiqua" w:eastAsia="等线" w:hAnsi="Book Antiqua" w:cs="Times New Roman"/>
          <w:kern w:val="0"/>
          <w:sz w:val="24"/>
          <w:szCs w:val="24"/>
          <w:lang w:val="en-GB" w:eastAsia="en-US"/>
        </w:rPr>
        <w:t>. At the same time, there are significant differences in the risk of progression to cancer in various populations. The endoscopic and histologic surveillance of premalignant gastric lesions should be continually evaluated, as recent research supports the importance of genetic events (</w:t>
      </w:r>
      <w:r w:rsidRPr="003771AE">
        <w:rPr>
          <w:rFonts w:ascii="Book Antiqua" w:eastAsia="等线" w:hAnsi="Book Antiqua" w:cs="Times New Roman"/>
          <w:i/>
          <w:kern w:val="0"/>
          <w:sz w:val="24"/>
          <w:szCs w:val="24"/>
          <w:lang w:val="en-GB" w:eastAsia="en-US"/>
        </w:rPr>
        <w:t>e.g.</w:t>
      </w:r>
      <w:r w:rsidRPr="003771AE">
        <w:rPr>
          <w:rFonts w:ascii="Book Antiqua" w:eastAsia="等线" w:hAnsi="Book Antiqua" w:cs="Times New Roman"/>
          <w:kern w:val="0"/>
          <w:sz w:val="24"/>
          <w:szCs w:val="24"/>
          <w:lang w:val="en-GB" w:eastAsia="en-US"/>
        </w:rPr>
        <w:t xml:space="preserve">, genetic instability, DNA damage, abnormal methylation, </w:t>
      </w:r>
      <w:r w:rsidRPr="003771AE">
        <w:rPr>
          <w:rFonts w:ascii="Book Antiqua" w:eastAsia="等线" w:hAnsi="Book Antiqua" w:cs="Times New Roman"/>
          <w:i/>
          <w:kern w:val="0"/>
          <w:sz w:val="24"/>
          <w:szCs w:val="24"/>
          <w:lang w:val="en-GB" w:eastAsia="en-US"/>
        </w:rPr>
        <w:t>etc</w:t>
      </w:r>
      <w:r w:rsidRPr="003771AE">
        <w:rPr>
          <w:rFonts w:ascii="Book Antiqua" w:eastAsia="等线" w:hAnsi="Book Antiqua" w:cs="Times New Roman"/>
          <w:kern w:val="0"/>
          <w:sz w:val="24"/>
          <w:szCs w:val="24"/>
          <w:lang w:val="en-GB" w:eastAsia="en-US"/>
        </w:rPr>
        <w:t>), rather than a direct transition from metaplasia to cancer</w:t>
      </w:r>
      <w:r w:rsidR="005234A1" w:rsidRPr="003771AE">
        <w:rPr>
          <w:rFonts w:ascii="Book Antiqua" w:eastAsia="等线" w:hAnsi="Book Antiqua" w:cs="Times New Roman"/>
          <w:kern w:val="0"/>
          <w:sz w:val="24"/>
          <w:szCs w:val="24"/>
          <w:vertAlign w:val="superscript"/>
          <w:lang w:val="en-GB" w:eastAsia="en-US"/>
        </w:rPr>
        <w:t>[130</w:t>
      </w:r>
      <w:r w:rsidRPr="003771AE">
        <w:rPr>
          <w:rFonts w:ascii="Book Antiqua" w:eastAsia="等线" w:hAnsi="Book Antiqua" w:cs="Times New Roman"/>
          <w:kern w:val="0"/>
          <w:sz w:val="24"/>
          <w:szCs w:val="24"/>
          <w:vertAlign w:val="superscript"/>
          <w:lang w:val="en-GB" w:eastAsia="en-US"/>
        </w:rPr>
        <w:t>]</w:t>
      </w:r>
      <w:r w:rsidRPr="003771AE">
        <w:rPr>
          <w:rFonts w:ascii="Book Antiqua" w:eastAsia="等线" w:hAnsi="Book Antiqua" w:cs="Times New Roman"/>
          <w:kern w:val="0"/>
          <w:sz w:val="24"/>
          <w:szCs w:val="24"/>
          <w:lang w:val="en-GB" w:eastAsia="en-US"/>
        </w:rPr>
        <w:t>. The changes in acid secretion, pH, or gastric microbiota induced by gastric atrophy seem to be more important than the presence of histologic lesions</w:t>
      </w:r>
      <w:r w:rsidRPr="003771AE">
        <w:rPr>
          <w:rFonts w:ascii="Book Antiqua" w:eastAsia="等线" w:hAnsi="Book Antiqua" w:cs="Times New Roman"/>
          <w:kern w:val="0"/>
          <w:sz w:val="24"/>
          <w:szCs w:val="24"/>
          <w:vertAlign w:val="superscript"/>
          <w:lang w:val="en-GB" w:eastAsia="en-US"/>
        </w:rPr>
        <w:t>[37]</w:t>
      </w:r>
      <w:r w:rsidRPr="003771AE">
        <w:rPr>
          <w:rFonts w:ascii="Book Antiqua" w:eastAsia="等线" w:hAnsi="Book Antiqua" w:cs="Times New Roman"/>
          <w:kern w:val="0"/>
          <w:sz w:val="24"/>
          <w:szCs w:val="24"/>
          <w:lang w:val="en-GB" w:eastAsia="en-US"/>
        </w:rPr>
        <w:t>.</w:t>
      </w:r>
    </w:p>
    <w:p w14:paraId="44AEABA9" w14:textId="77777777" w:rsidR="0011105F" w:rsidRPr="003771AE" w:rsidRDefault="0011105F" w:rsidP="00F22992">
      <w:pPr>
        <w:widowControl/>
        <w:snapToGrid w:val="0"/>
        <w:spacing w:line="360" w:lineRule="auto"/>
        <w:ind w:firstLineChars="100" w:firstLine="240"/>
        <w:rPr>
          <w:rFonts w:ascii="Book Antiqua" w:eastAsia="等线"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Among all the gene variants studied for GC risk, only IL10T-819C, IL-8-251, IL-18RAP917997, IL-22 rs1179251, IL1-B-511, IL1-B-3954, IL4R-398 and IL1RN were predictors for premalignant gastric lesion occurrence. Further studies should question the role of cytokine polymorphisms in both premalignant lesions and GC risk, in order to clarify the mechanisms that link inflammatory response with gastric carcinogenesis. Larger studies in different populations assessing gene-gene and gene-environment interactions can also facilitate improvements in prevention and treatment strategies.</w:t>
      </w:r>
    </w:p>
    <w:p w14:paraId="7BFC4FE7" w14:textId="77777777" w:rsidR="0011105F" w:rsidRPr="003771AE" w:rsidRDefault="0011105F" w:rsidP="00F17106">
      <w:pPr>
        <w:widowControl/>
        <w:snapToGrid w:val="0"/>
        <w:spacing w:line="360" w:lineRule="auto"/>
        <w:rPr>
          <w:rFonts w:ascii="Book Antiqua" w:eastAsia="等线" w:hAnsi="Book Antiqua" w:cs="Times New Roman"/>
          <w:kern w:val="0"/>
          <w:sz w:val="24"/>
          <w:szCs w:val="24"/>
          <w:lang w:val="en-GB" w:eastAsia="en-US"/>
        </w:rPr>
      </w:pPr>
    </w:p>
    <w:p w14:paraId="19924522" w14:textId="77777777" w:rsidR="0011105F" w:rsidRPr="003771AE" w:rsidRDefault="0011105F" w:rsidP="00F17106">
      <w:pPr>
        <w:widowControl/>
        <w:snapToGrid w:val="0"/>
        <w:spacing w:line="360" w:lineRule="auto"/>
        <w:rPr>
          <w:rFonts w:ascii="Book Antiqua" w:eastAsia="等线" w:hAnsi="Book Antiqua" w:cs="Times New Roman"/>
          <w:b/>
          <w:kern w:val="0"/>
          <w:sz w:val="24"/>
          <w:szCs w:val="24"/>
          <w:lang w:val="en-GB" w:eastAsia="en-US"/>
        </w:rPr>
      </w:pPr>
      <w:r w:rsidRPr="003771AE">
        <w:rPr>
          <w:rFonts w:ascii="Book Antiqua" w:eastAsia="等线" w:hAnsi="Book Antiqua" w:cs="Times New Roman"/>
          <w:b/>
          <w:kern w:val="0"/>
          <w:sz w:val="24"/>
          <w:szCs w:val="24"/>
          <w:lang w:val="en-GB" w:eastAsia="en-US"/>
        </w:rPr>
        <w:br w:type="page"/>
      </w:r>
    </w:p>
    <w:p w14:paraId="1B72F8B4" w14:textId="77777777" w:rsidR="0011105F" w:rsidRPr="003771AE" w:rsidRDefault="0011105F" w:rsidP="00F17106">
      <w:pPr>
        <w:widowControl/>
        <w:snapToGrid w:val="0"/>
        <w:spacing w:line="360" w:lineRule="auto"/>
        <w:rPr>
          <w:rFonts w:ascii="Book Antiqua" w:eastAsia="等线" w:hAnsi="Book Antiqua" w:cs="Times New Roman"/>
          <w:b/>
          <w:kern w:val="0"/>
          <w:sz w:val="24"/>
          <w:szCs w:val="24"/>
          <w:lang w:val="en-GB" w:eastAsia="en-US"/>
        </w:rPr>
      </w:pPr>
      <w:r w:rsidRPr="003771AE">
        <w:rPr>
          <w:rFonts w:ascii="Book Antiqua" w:eastAsia="等线" w:hAnsi="Book Antiqua" w:cs="Times New Roman"/>
          <w:b/>
          <w:kern w:val="0"/>
          <w:sz w:val="24"/>
          <w:szCs w:val="24"/>
          <w:lang w:val="en-GB" w:eastAsia="en-US"/>
        </w:rPr>
        <w:t>REFERENCES</w:t>
      </w:r>
    </w:p>
    <w:p w14:paraId="15968EC3"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 </w:t>
      </w:r>
      <w:r w:rsidRPr="009E4EDA">
        <w:rPr>
          <w:rFonts w:ascii="Book Antiqua" w:hAnsi="Book Antiqua"/>
          <w:b/>
          <w:sz w:val="24"/>
          <w:szCs w:val="24"/>
        </w:rPr>
        <w:t>Ferlay J</w:t>
      </w:r>
      <w:r w:rsidRPr="009E4EDA">
        <w:rPr>
          <w:rFonts w:ascii="Book Antiqua" w:hAnsi="Book Antiqua"/>
          <w:sz w:val="24"/>
          <w:szCs w:val="24"/>
        </w:rPr>
        <w:t xml:space="preserve">, Colombet M, Soerjomataram I, Mathers C, Parkin DM, Piñeros M, Znaor A, Bray F. Estimating the global cancer incidence and mortality in 2018: GLOBOCAN sources and methods. </w:t>
      </w:r>
      <w:r w:rsidRPr="009E4EDA">
        <w:rPr>
          <w:rFonts w:ascii="Book Antiqua" w:hAnsi="Book Antiqua"/>
          <w:i/>
          <w:sz w:val="24"/>
          <w:szCs w:val="24"/>
        </w:rPr>
        <w:t>Int J Cancer</w:t>
      </w:r>
      <w:r w:rsidRPr="009E4EDA">
        <w:rPr>
          <w:rFonts w:ascii="Book Antiqua" w:hAnsi="Book Antiqua"/>
          <w:sz w:val="24"/>
          <w:szCs w:val="24"/>
        </w:rPr>
        <w:t xml:space="preserve"> 2019; </w:t>
      </w:r>
      <w:r w:rsidRPr="009E4EDA">
        <w:rPr>
          <w:rFonts w:ascii="Book Antiqua" w:hAnsi="Book Antiqua"/>
          <w:b/>
          <w:sz w:val="24"/>
          <w:szCs w:val="24"/>
        </w:rPr>
        <w:t>144</w:t>
      </w:r>
      <w:r w:rsidRPr="009E4EDA">
        <w:rPr>
          <w:rFonts w:ascii="Book Antiqua" w:hAnsi="Book Antiqua"/>
          <w:sz w:val="24"/>
          <w:szCs w:val="24"/>
        </w:rPr>
        <w:t>: 1941-1953 [PMID: 30350310 DOI: 10.1002/ijc.31937]</w:t>
      </w:r>
    </w:p>
    <w:p w14:paraId="4BEF890F"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2 </w:t>
      </w:r>
      <w:r w:rsidRPr="009E4EDA">
        <w:rPr>
          <w:rFonts w:ascii="Book Antiqua" w:hAnsi="Book Antiqua"/>
          <w:b/>
          <w:sz w:val="24"/>
          <w:szCs w:val="24"/>
        </w:rPr>
        <w:t>Correa P</w:t>
      </w:r>
      <w:r w:rsidRPr="009E4EDA">
        <w:rPr>
          <w:rFonts w:ascii="Book Antiqua" w:hAnsi="Book Antiqua"/>
          <w:sz w:val="24"/>
          <w:szCs w:val="24"/>
        </w:rPr>
        <w:t xml:space="preserve">, Shiao YH. Phenotypic and genotypic events in gastric carcinogenesis. </w:t>
      </w:r>
      <w:r w:rsidRPr="009E4EDA">
        <w:rPr>
          <w:rFonts w:ascii="Book Antiqua" w:hAnsi="Book Antiqua"/>
          <w:i/>
          <w:sz w:val="24"/>
          <w:szCs w:val="24"/>
        </w:rPr>
        <w:t>Cancer Res</w:t>
      </w:r>
      <w:r w:rsidRPr="009E4EDA">
        <w:rPr>
          <w:rFonts w:ascii="Book Antiqua" w:hAnsi="Book Antiqua"/>
          <w:sz w:val="24"/>
          <w:szCs w:val="24"/>
        </w:rPr>
        <w:t xml:space="preserve"> 1994; </w:t>
      </w:r>
      <w:r w:rsidRPr="009E4EDA">
        <w:rPr>
          <w:rFonts w:ascii="Book Antiqua" w:hAnsi="Book Antiqua"/>
          <w:b/>
          <w:sz w:val="24"/>
          <w:szCs w:val="24"/>
        </w:rPr>
        <w:t>54</w:t>
      </w:r>
      <w:r w:rsidRPr="009E4EDA">
        <w:rPr>
          <w:rFonts w:ascii="Book Antiqua" w:hAnsi="Book Antiqua"/>
          <w:sz w:val="24"/>
          <w:szCs w:val="24"/>
        </w:rPr>
        <w:t>: 1941s-1943s [PMID: 8137316]</w:t>
      </w:r>
    </w:p>
    <w:p w14:paraId="3F69E375"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3 </w:t>
      </w:r>
      <w:r w:rsidRPr="009E4EDA">
        <w:rPr>
          <w:rFonts w:ascii="Book Antiqua" w:hAnsi="Book Antiqua"/>
          <w:b/>
          <w:sz w:val="24"/>
          <w:szCs w:val="24"/>
        </w:rPr>
        <w:t>Rugge M</w:t>
      </w:r>
      <w:r w:rsidRPr="009E4EDA">
        <w:rPr>
          <w:rFonts w:ascii="Book Antiqua" w:hAnsi="Book Antiqua"/>
          <w:sz w:val="24"/>
          <w:szCs w:val="24"/>
        </w:rPr>
        <w:t>, Genta RM, Graham DY, Di Mario F, Vaz Coelho LG, Kim N, Malfertheiner P, Sugano K, Tsukanov V, Correa P. Chronicles of a cancer foretold: 35</w:t>
      </w:r>
      <w:r w:rsidRPr="009E4EDA">
        <w:rPr>
          <w:rFonts w:ascii="Times New Roman" w:hAnsi="Times New Roman" w:cs="Times New Roman"/>
          <w:sz w:val="24"/>
          <w:szCs w:val="24"/>
        </w:rPr>
        <w:t> </w:t>
      </w:r>
      <w:r w:rsidRPr="009E4EDA">
        <w:rPr>
          <w:rFonts w:ascii="Book Antiqua" w:hAnsi="Book Antiqua"/>
          <w:sz w:val="24"/>
          <w:szCs w:val="24"/>
        </w:rPr>
        <w:t xml:space="preserve">years of gastric cancer risk assessment. </w:t>
      </w:r>
      <w:r w:rsidRPr="009E4EDA">
        <w:rPr>
          <w:rFonts w:ascii="Book Antiqua" w:hAnsi="Book Antiqua"/>
          <w:i/>
          <w:sz w:val="24"/>
          <w:szCs w:val="24"/>
        </w:rPr>
        <w:t>Gut</w:t>
      </w:r>
      <w:r w:rsidRPr="009E4EDA">
        <w:rPr>
          <w:rFonts w:ascii="Book Antiqua" w:hAnsi="Book Antiqua"/>
          <w:sz w:val="24"/>
          <w:szCs w:val="24"/>
        </w:rPr>
        <w:t xml:space="preserve"> 2016; </w:t>
      </w:r>
      <w:r w:rsidRPr="009E4EDA">
        <w:rPr>
          <w:rFonts w:ascii="Book Antiqua" w:hAnsi="Book Antiqua"/>
          <w:b/>
          <w:sz w:val="24"/>
          <w:szCs w:val="24"/>
        </w:rPr>
        <w:t>65</w:t>
      </w:r>
      <w:r w:rsidRPr="009E4EDA">
        <w:rPr>
          <w:rFonts w:ascii="Book Antiqua" w:hAnsi="Book Antiqua"/>
          <w:sz w:val="24"/>
          <w:szCs w:val="24"/>
        </w:rPr>
        <w:t>: 721-725 [PMID: 26927528 DOI: 10.1136/gutjnl-2015-310846]</w:t>
      </w:r>
    </w:p>
    <w:p w14:paraId="5C47E5A1"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4 </w:t>
      </w:r>
      <w:r w:rsidRPr="009E4EDA">
        <w:rPr>
          <w:rFonts w:ascii="Book Antiqua" w:hAnsi="Book Antiqua"/>
          <w:b/>
          <w:sz w:val="24"/>
          <w:szCs w:val="24"/>
        </w:rPr>
        <w:t>Kinoshita H</w:t>
      </w:r>
      <w:r w:rsidRPr="009E4EDA">
        <w:rPr>
          <w:rFonts w:ascii="Book Antiqua" w:hAnsi="Book Antiqua"/>
          <w:sz w:val="24"/>
          <w:szCs w:val="24"/>
        </w:rPr>
        <w:t xml:space="preserve">, Hayakawa Y, Koike K. Metaplasia in the Stomach-Precursor of Gastric Cancer? </w:t>
      </w:r>
      <w:r w:rsidRPr="009E4EDA">
        <w:rPr>
          <w:rFonts w:ascii="Book Antiqua" w:hAnsi="Book Antiqua"/>
          <w:i/>
          <w:sz w:val="24"/>
          <w:szCs w:val="24"/>
        </w:rPr>
        <w:t>Int J Mol Sci</w:t>
      </w:r>
      <w:r w:rsidRPr="009E4EDA">
        <w:rPr>
          <w:rFonts w:ascii="Book Antiqua" w:hAnsi="Book Antiqua"/>
          <w:sz w:val="24"/>
          <w:szCs w:val="24"/>
        </w:rPr>
        <w:t xml:space="preserve"> 2017; </w:t>
      </w:r>
      <w:r w:rsidRPr="009E4EDA">
        <w:rPr>
          <w:rFonts w:ascii="Book Antiqua" w:hAnsi="Book Antiqua"/>
          <w:b/>
          <w:sz w:val="24"/>
          <w:szCs w:val="24"/>
        </w:rPr>
        <w:t>18</w:t>
      </w:r>
      <w:r w:rsidRPr="009E4EDA">
        <w:rPr>
          <w:rFonts w:ascii="Book Antiqua" w:hAnsi="Book Antiqua"/>
          <w:sz w:val="24"/>
          <w:szCs w:val="24"/>
        </w:rPr>
        <w:t>:</w:t>
      </w:r>
      <w:r>
        <w:rPr>
          <w:rFonts w:ascii="Book Antiqua" w:hAnsi="Book Antiqua"/>
          <w:sz w:val="24"/>
          <w:szCs w:val="24"/>
        </w:rPr>
        <w:t xml:space="preserve"> </w:t>
      </w:r>
      <w:r w:rsidRPr="009E4EDA">
        <w:rPr>
          <w:rFonts w:ascii="Book Antiqua" w:hAnsi="Book Antiqua"/>
          <w:sz w:val="24"/>
          <w:szCs w:val="24"/>
        </w:rPr>
        <w:t>pii: E2063 [PMID: 28953255 DOI: 10.3390/ijms18102063]</w:t>
      </w:r>
    </w:p>
    <w:p w14:paraId="4D41416E"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5 </w:t>
      </w:r>
      <w:r w:rsidRPr="009E4EDA">
        <w:rPr>
          <w:rFonts w:ascii="Book Antiqua" w:hAnsi="Book Antiqua"/>
          <w:b/>
          <w:sz w:val="24"/>
          <w:szCs w:val="24"/>
        </w:rPr>
        <w:t>Giroux V</w:t>
      </w:r>
      <w:r w:rsidRPr="009E4EDA">
        <w:rPr>
          <w:rFonts w:ascii="Book Antiqua" w:hAnsi="Book Antiqua"/>
          <w:sz w:val="24"/>
          <w:szCs w:val="24"/>
        </w:rPr>
        <w:t xml:space="preserve">, Rustgi AK. Metaplasia: tissue injury adaptation and a precursor to the dysplasia-cancer sequence. </w:t>
      </w:r>
      <w:r w:rsidRPr="009E4EDA">
        <w:rPr>
          <w:rFonts w:ascii="Book Antiqua" w:hAnsi="Book Antiqua"/>
          <w:i/>
          <w:sz w:val="24"/>
          <w:szCs w:val="24"/>
        </w:rPr>
        <w:t>Nat Rev Cancer</w:t>
      </w:r>
      <w:r w:rsidRPr="009E4EDA">
        <w:rPr>
          <w:rFonts w:ascii="Book Antiqua" w:hAnsi="Book Antiqua"/>
          <w:sz w:val="24"/>
          <w:szCs w:val="24"/>
        </w:rPr>
        <w:t xml:space="preserve"> 2017; </w:t>
      </w:r>
      <w:r w:rsidRPr="009E4EDA">
        <w:rPr>
          <w:rFonts w:ascii="Book Antiqua" w:hAnsi="Book Antiqua"/>
          <w:b/>
          <w:sz w:val="24"/>
          <w:szCs w:val="24"/>
        </w:rPr>
        <w:t>17</w:t>
      </w:r>
      <w:r w:rsidRPr="009E4EDA">
        <w:rPr>
          <w:rFonts w:ascii="Book Antiqua" w:hAnsi="Book Antiqua"/>
          <w:sz w:val="24"/>
          <w:szCs w:val="24"/>
        </w:rPr>
        <w:t>: 594-604 [PMID: 28860646 DOI: 10.1038/nrc.2017.68]</w:t>
      </w:r>
    </w:p>
    <w:p w14:paraId="5B780109"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6 </w:t>
      </w:r>
      <w:r w:rsidRPr="009E4EDA">
        <w:rPr>
          <w:rFonts w:ascii="Book Antiqua" w:hAnsi="Book Antiqua"/>
          <w:b/>
          <w:sz w:val="24"/>
          <w:szCs w:val="24"/>
        </w:rPr>
        <w:t>Amieva M</w:t>
      </w:r>
      <w:r w:rsidRPr="009E4EDA">
        <w:rPr>
          <w:rFonts w:ascii="Book Antiqua" w:hAnsi="Book Antiqua"/>
          <w:sz w:val="24"/>
          <w:szCs w:val="24"/>
        </w:rPr>
        <w:t xml:space="preserve">, Peek RM Jr. Pathobiology of Helicobacter pylori-Induced Gastric Cancer. </w:t>
      </w:r>
      <w:r w:rsidRPr="009E4EDA">
        <w:rPr>
          <w:rFonts w:ascii="Book Antiqua" w:hAnsi="Book Antiqua"/>
          <w:i/>
          <w:sz w:val="24"/>
          <w:szCs w:val="24"/>
        </w:rPr>
        <w:t>Gastroenterology</w:t>
      </w:r>
      <w:r w:rsidRPr="009E4EDA">
        <w:rPr>
          <w:rFonts w:ascii="Book Antiqua" w:hAnsi="Book Antiqua"/>
          <w:sz w:val="24"/>
          <w:szCs w:val="24"/>
        </w:rPr>
        <w:t xml:space="preserve"> 2016; </w:t>
      </w:r>
      <w:r w:rsidRPr="009E4EDA">
        <w:rPr>
          <w:rFonts w:ascii="Book Antiqua" w:hAnsi="Book Antiqua"/>
          <w:b/>
          <w:sz w:val="24"/>
          <w:szCs w:val="24"/>
        </w:rPr>
        <w:t>150</w:t>
      </w:r>
      <w:r w:rsidRPr="009E4EDA">
        <w:rPr>
          <w:rFonts w:ascii="Book Antiqua" w:hAnsi="Book Antiqua"/>
          <w:sz w:val="24"/>
          <w:szCs w:val="24"/>
        </w:rPr>
        <w:t>: 64-78 [PMID: 26385073 DOI: 10.1053/j.gastro.2015.09.004]</w:t>
      </w:r>
    </w:p>
    <w:p w14:paraId="25CC9B93"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7 </w:t>
      </w:r>
      <w:r w:rsidRPr="009E4EDA">
        <w:rPr>
          <w:rFonts w:ascii="Book Antiqua" w:hAnsi="Book Antiqua"/>
          <w:b/>
          <w:sz w:val="24"/>
          <w:szCs w:val="24"/>
        </w:rPr>
        <w:t>Lott PC</w:t>
      </w:r>
      <w:r w:rsidRPr="009E4EDA">
        <w:rPr>
          <w:rFonts w:ascii="Book Antiqua" w:hAnsi="Book Antiqua"/>
          <w:sz w:val="24"/>
          <w:szCs w:val="24"/>
        </w:rPr>
        <w:t xml:space="preserve">, Carvajal-Carmona LG. Resolving gastric cancer aetiology: an update in genetic predisposition. </w:t>
      </w:r>
      <w:r w:rsidRPr="009E4EDA">
        <w:rPr>
          <w:rFonts w:ascii="Book Antiqua" w:hAnsi="Book Antiqua"/>
          <w:i/>
          <w:sz w:val="24"/>
          <w:szCs w:val="24"/>
        </w:rPr>
        <w:t>Lancet Gastroenterol Hepatol</w:t>
      </w:r>
      <w:r w:rsidRPr="009E4EDA">
        <w:rPr>
          <w:rFonts w:ascii="Book Antiqua" w:hAnsi="Book Antiqua"/>
          <w:sz w:val="24"/>
          <w:szCs w:val="24"/>
        </w:rPr>
        <w:t xml:space="preserve"> 2018; </w:t>
      </w:r>
      <w:r w:rsidRPr="009E4EDA">
        <w:rPr>
          <w:rFonts w:ascii="Book Antiqua" w:hAnsi="Book Antiqua"/>
          <w:b/>
          <w:sz w:val="24"/>
          <w:szCs w:val="24"/>
        </w:rPr>
        <w:t>3</w:t>
      </w:r>
      <w:r w:rsidRPr="009E4EDA">
        <w:rPr>
          <w:rFonts w:ascii="Book Antiqua" w:hAnsi="Book Antiqua"/>
          <w:sz w:val="24"/>
          <w:szCs w:val="24"/>
        </w:rPr>
        <w:t>: 874-883 [PMID: 30507471 DOI: 10.1016/S2468-1253(18)30237-1]</w:t>
      </w:r>
    </w:p>
    <w:p w14:paraId="3579200F"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8 </w:t>
      </w:r>
      <w:r w:rsidRPr="009E4EDA">
        <w:rPr>
          <w:rFonts w:ascii="Book Antiqua" w:hAnsi="Book Antiqua"/>
          <w:b/>
          <w:sz w:val="24"/>
          <w:szCs w:val="24"/>
        </w:rPr>
        <w:t>Gigek CO</w:t>
      </w:r>
      <w:r w:rsidRPr="009E4EDA">
        <w:rPr>
          <w:rFonts w:ascii="Book Antiqua" w:hAnsi="Book Antiqua"/>
          <w:sz w:val="24"/>
          <w:szCs w:val="24"/>
        </w:rPr>
        <w:t xml:space="preserve">, Calcagno DQ, Rasmussen LT, Santos LC, Leal MF, Wisnieski F, Burbano RR, Lourenço LG, Lopes-Filho GJ, Smith MAC. Genetic variants in gastric cancer: Risks and clinical implications. </w:t>
      </w:r>
      <w:r w:rsidRPr="009E4EDA">
        <w:rPr>
          <w:rFonts w:ascii="Book Antiqua" w:hAnsi="Book Antiqua"/>
          <w:i/>
          <w:sz w:val="24"/>
          <w:szCs w:val="24"/>
        </w:rPr>
        <w:t>Exp Mol Pathol</w:t>
      </w:r>
      <w:r w:rsidRPr="009E4EDA">
        <w:rPr>
          <w:rFonts w:ascii="Book Antiqua" w:hAnsi="Book Antiqua"/>
          <w:sz w:val="24"/>
          <w:szCs w:val="24"/>
        </w:rPr>
        <w:t xml:space="preserve"> 2017; </w:t>
      </w:r>
      <w:r w:rsidRPr="009E4EDA">
        <w:rPr>
          <w:rFonts w:ascii="Book Antiqua" w:hAnsi="Book Antiqua"/>
          <w:b/>
          <w:sz w:val="24"/>
          <w:szCs w:val="24"/>
        </w:rPr>
        <w:t>103</w:t>
      </w:r>
      <w:r w:rsidRPr="009E4EDA">
        <w:rPr>
          <w:rFonts w:ascii="Book Antiqua" w:hAnsi="Book Antiqua"/>
          <w:sz w:val="24"/>
          <w:szCs w:val="24"/>
        </w:rPr>
        <w:t>: 101-111 [PMID: 28736214 DOI: 10.1016/j.yexmp.2017.07.004]</w:t>
      </w:r>
    </w:p>
    <w:p w14:paraId="02CFA822"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9 </w:t>
      </w:r>
      <w:r w:rsidRPr="009E4EDA">
        <w:rPr>
          <w:rFonts w:ascii="Book Antiqua" w:hAnsi="Book Antiqua"/>
          <w:b/>
          <w:sz w:val="24"/>
          <w:szCs w:val="24"/>
        </w:rPr>
        <w:t>de Brito BB</w:t>
      </w:r>
      <w:r w:rsidRPr="009E4EDA">
        <w:rPr>
          <w:rFonts w:ascii="Book Antiqua" w:hAnsi="Book Antiqua"/>
          <w:sz w:val="24"/>
          <w:szCs w:val="24"/>
        </w:rPr>
        <w:t xml:space="preserve">, da Silva FAF, de Melo FF. Role of polymorphisms in genes that encode cytokines and Helicobacter pylori virulence factors in gastric carcinogenesis. </w:t>
      </w:r>
      <w:r w:rsidRPr="009E4EDA">
        <w:rPr>
          <w:rFonts w:ascii="Book Antiqua" w:hAnsi="Book Antiqua"/>
          <w:i/>
          <w:sz w:val="24"/>
          <w:szCs w:val="24"/>
        </w:rPr>
        <w:t>World J Clin Oncol</w:t>
      </w:r>
      <w:r w:rsidRPr="009E4EDA">
        <w:rPr>
          <w:rFonts w:ascii="Book Antiqua" w:hAnsi="Book Antiqua"/>
          <w:sz w:val="24"/>
          <w:szCs w:val="24"/>
        </w:rPr>
        <w:t xml:space="preserve"> 2018; </w:t>
      </w:r>
      <w:r w:rsidRPr="009E4EDA">
        <w:rPr>
          <w:rFonts w:ascii="Book Antiqua" w:hAnsi="Book Antiqua"/>
          <w:b/>
          <w:sz w:val="24"/>
          <w:szCs w:val="24"/>
        </w:rPr>
        <w:t>9</w:t>
      </w:r>
      <w:r w:rsidRPr="009E4EDA">
        <w:rPr>
          <w:rFonts w:ascii="Book Antiqua" w:hAnsi="Book Antiqua"/>
          <w:sz w:val="24"/>
          <w:szCs w:val="24"/>
        </w:rPr>
        <w:t>: 83-89 [PMID: 30254963 DOI: 10.5306/wjco.v9.i5.83]</w:t>
      </w:r>
    </w:p>
    <w:p w14:paraId="7371DB2B"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10 </w:t>
      </w:r>
      <w:r w:rsidRPr="009E4EDA">
        <w:rPr>
          <w:rFonts w:ascii="Book Antiqua" w:hAnsi="Book Antiqua"/>
          <w:b/>
          <w:sz w:val="24"/>
          <w:szCs w:val="24"/>
        </w:rPr>
        <w:t>Kodaman N</w:t>
      </w:r>
      <w:r w:rsidRPr="009E4EDA">
        <w:rPr>
          <w:rFonts w:ascii="Book Antiqua" w:hAnsi="Book Antiqua"/>
          <w:sz w:val="24"/>
          <w:szCs w:val="24"/>
        </w:rPr>
        <w:t xml:space="preserve">, Pazos A, Schneider BG, Piazuelo MB, Mera R, Sobota RS, Sicinschi LA, Shaffer CL, Romero-Gallo J, de Sablet T, Harder RH, Bravo LE, Peek RM Jr, Wilson KT, Cover TL, Williams SM, Correa P. Human and Helicobacter pylori coevolution shapes the risk of gastric disease. </w:t>
      </w:r>
      <w:r w:rsidRPr="009E4EDA">
        <w:rPr>
          <w:rFonts w:ascii="Book Antiqua" w:hAnsi="Book Antiqua"/>
          <w:i/>
          <w:sz w:val="24"/>
          <w:szCs w:val="24"/>
        </w:rPr>
        <w:t>Proc Natl Acad Sci U S A</w:t>
      </w:r>
      <w:r w:rsidRPr="009E4EDA">
        <w:rPr>
          <w:rFonts w:ascii="Book Antiqua" w:hAnsi="Book Antiqua"/>
          <w:sz w:val="24"/>
          <w:szCs w:val="24"/>
        </w:rPr>
        <w:t xml:space="preserve"> 2014; </w:t>
      </w:r>
      <w:r w:rsidRPr="009E4EDA">
        <w:rPr>
          <w:rFonts w:ascii="Book Antiqua" w:hAnsi="Book Antiqua"/>
          <w:b/>
          <w:sz w:val="24"/>
          <w:szCs w:val="24"/>
        </w:rPr>
        <w:t>111</w:t>
      </w:r>
      <w:r w:rsidRPr="009E4EDA">
        <w:rPr>
          <w:rFonts w:ascii="Book Antiqua" w:hAnsi="Book Antiqua"/>
          <w:sz w:val="24"/>
          <w:szCs w:val="24"/>
        </w:rPr>
        <w:t>: 1455-1460 [PMID: 24474772 DOI: 10.1073/pnas.1318093111]</w:t>
      </w:r>
    </w:p>
    <w:p w14:paraId="71F1F103"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11 </w:t>
      </w:r>
      <w:r w:rsidRPr="009E4EDA">
        <w:rPr>
          <w:rFonts w:ascii="Book Antiqua" w:hAnsi="Book Antiqua"/>
          <w:b/>
          <w:sz w:val="24"/>
          <w:szCs w:val="24"/>
        </w:rPr>
        <w:t>Pormohammad A</w:t>
      </w:r>
      <w:r w:rsidRPr="009E4EDA">
        <w:rPr>
          <w:rFonts w:ascii="Book Antiqua" w:hAnsi="Book Antiqua"/>
          <w:sz w:val="24"/>
          <w:szCs w:val="24"/>
        </w:rPr>
        <w:t xml:space="preserve">, Mohtavinejad N, Gholizadeh P, Dabiri H, Salimi Chirani A, Hashemi A, Nasiri MJ. Global estimate of gastric cancer in Helicobacter pylori-infected population: A systematic review and meta-analysis. </w:t>
      </w:r>
      <w:r w:rsidRPr="009E4EDA">
        <w:rPr>
          <w:rFonts w:ascii="Book Antiqua" w:hAnsi="Book Antiqua"/>
          <w:i/>
          <w:sz w:val="24"/>
          <w:szCs w:val="24"/>
        </w:rPr>
        <w:t>J Cell Physiol</w:t>
      </w:r>
      <w:r w:rsidRPr="009E4EDA">
        <w:rPr>
          <w:rFonts w:ascii="Book Antiqua" w:hAnsi="Book Antiqua"/>
          <w:sz w:val="24"/>
          <w:szCs w:val="24"/>
        </w:rPr>
        <w:t xml:space="preserve"> 2019; </w:t>
      </w:r>
      <w:r w:rsidRPr="009E4EDA">
        <w:rPr>
          <w:rFonts w:ascii="Book Antiqua" w:hAnsi="Book Antiqua"/>
          <w:b/>
          <w:sz w:val="24"/>
          <w:szCs w:val="24"/>
        </w:rPr>
        <w:t>234</w:t>
      </w:r>
      <w:r w:rsidRPr="009E4EDA">
        <w:rPr>
          <w:rFonts w:ascii="Book Antiqua" w:hAnsi="Book Antiqua"/>
          <w:sz w:val="24"/>
          <w:szCs w:val="24"/>
        </w:rPr>
        <w:t>: 1208-1218 [PMID: 30132888 DOI: 10.1002/jcp.27114]</w:t>
      </w:r>
    </w:p>
    <w:p w14:paraId="69B802B0"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12 </w:t>
      </w:r>
      <w:r w:rsidRPr="009E4EDA">
        <w:rPr>
          <w:rFonts w:ascii="Book Antiqua" w:hAnsi="Book Antiqua"/>
          <w:b/>
          <w:sz w:val="24"/>
          <w:szCs w:val="24"/>
        </w:rPr>
        <w:t>Hooi JKY</w:t>
      </w:r>
      <w:r w:rsidRPr="009E4EDA">
        <w:rPr>
          <w:rFonts w:ascii="Book Antiqua" w:hAnsi="Book Antiqua"/>
          <w:sz w:val="24"/>
          <w:szCs w:val="24"/>
        </w:rPr>
        <w:t xml:space="preserve">, Lai WY, Ng WK, Suen MMY, Underwood FE, Tanyingoh D, Malfertheiner P, Graham DY, Wong VWS, Wu JCY, Chan FKL, Sung JJY, Kaplan GG, Ng SC. Global Prevalence of Helicobacter pylori Infection: Systematic Review and Meta-Analysis. </w:t>
      </w:r>
      <w:r w:rsidRPr="009E4EDA">
        <w:rPr>
          <w:rFonts w:ascii="Book Antiqua" w:hAnsi="Book Antiqua"/>
          <w:i/>
          <w:sz w:val="24"/>
          <w:szCs w:val="24"/>
        </w:rPr>
        <w:t>Gastroenterology</w:t>
      </w:r>
      <w:r w:rsidRPr="009E4EDA">
        <w:rPr>
          <w:rFonts w:ascii="Book Antiqua" w:hAnsi="Book Antiqua"/>
          <w:sz w:val="24"/>
          <w:szCs w:val="24"/>
        </w:rPr>
        <w:t xml:space="preserve"> 2017; </w:t>
      </w:r>
      <w:r w:rsidRPr="009E4EDA">
        <w:rPr>
          <w:rFonts w:ascii="Book Antiqua" w:hAnsi="Book Antiqua"/>
          <w:b/>
          <w:sz w:val="24"/>
          <w:szCs w:val="24"/>
        </w:rPr>
        <w:t>153</w:t>
      </w:r>
      <w:r w:rsidRPr="009E4EDA">
        <w:rPr>
          <w:rFonts w:ascii="Book Antiqua" w:hAnsi="Book Antiqua"/>
          <w:sz w:val="24"/>
          <w:szCs w:val="24"/>
        </w:rPr>
        <w:t>: 420-429 [PMID: 28456631 DOI: 10.1053/j.gastro.2017.04.022]</w:t>
      </w:r>
    </w:p>
    <w:p w14:paraId="534C0ADB"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13 </w:t>
      </w:r>
      <w:r w:rsidRPr="009E4EDA">
        <w:rPr>
          <w:rFonts w:ascii="Book Antiqua" w:hAnsi="Book Antiqua"/>
          <w:b/>
          <w:sz w:val="24"/>
          <w:szCs w:val="24"/>
        </w:rPr>
        <w:t>Jencks DS</w:t>
      </w:r>
      <w:r w:rsidRPr="009E4EDA">
        <w:rPr>
          <w:rFonts w:ascii="Book Antiqua" w:hAnsi="Book Antiqua"/>
          <w:sz w:val="24"/>
          <w:szCs w:val="24"/>
        </w:rPr>
        <w:t xml:space="preserve">, Adam JD, Borum ML, Koh JM, Stephen S, Doman DB. Overview of Current Concepts in Gastric Intestinal Metaplasia and Gastric Cancer. </w:t>
      </w:r>
      <w:r w:rsidRPr="009E4EDA">
        <w:rPr>
          <w:rFonts w:ascii="Book Antiqua" w:hAnsi="Book Antiqua"/>
          <w:i/>
          <w:sz w:val="24"/>
          <w:szCs w:val="24"/>
        </w:rPr>
        <w:t>Gastroenterol Hepatol (N Y)</w:t>
      </w:r>
      <w:r w:rsidRPr="009E4EDA">
        <w:rPr>
          <w:rFonts w:ascii="Book Antiqua" w:hAnsi="Book Antiqua"/>
          <w:sz w:val="24"/>
          <w:szCs w:val="24"/>
        </w:rPr>
        <w:t xml:space="preserve"> 2018; </w:t>
      </w:r>
      <w:r w:rsidRPr="009E4EDA">
        <w:rPr>
          <w:rFonts w:ascii="Book Antiqua" w:hAnsi="Book Antiqua"/>
          <w:b/>
          <w:sz w:val="24"/>
          <w:szCs w:val="24"/>
        </w:rPr>
        <w:t>14</w:t>
      </w:r>
      <w:r w:rsidRPr="009E4EDA">
        <w:rPr>
          <w:rFonts w:ascii="Book Antiqua" w:hAnsi="Book Antiqua"/>
          <w:sz w:val="24"/>
          <w:szCs w:val="24"/>
        </w:rPr>
        <w:t>: 92-101 [PMID: 29606921]</w:t>
      </w:r>
    </w:p>
    <w:p w14:paraId="27494322"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14 </w:t>
      </w:r>
      <w:r w:rsidRPr="009E4EDA">
        <w:rPr>
          <w:rFonts w:ascii="Book Antiqua" w:hAnsi="Book Antiqua"/>
          <w:b/>
          <w:sz w:val="24"/>
          <w:szCs w:val="24"/>
        </w:rPr>
        <w:t>Sonnenberg A</w:t>
      </w:r>
      <w:r w:rsidRPr="009E4EDA">
        <w:rPr>
          <w:rFonts w:ascii="Book Antiqua" w:hAnsi="Book Antiqua"/>
          <w:sz w:val="24"/>
          <w:szCs w:val="24"/>
        </w:rPr>
        <w:t xml:space="preserve">, Lash RH, Genta RM. A national study of Helicobactor pylori infection in gastric biopsy specimens. </w:t>
      </w:r>
      <w:r w:rsidRPr="009E4EDA">
        <w:rPr>
          <w:rFonts w:ascii="Book Antiqua" w:hAnsi="Book Antiqua"/>
          <w:i/>
          <w:sz w:val="24"/>
          <w:szCs w:val="24"/>
        </w:rPr>
        <w:t>Gastroenterology</w:t>
      </w:r>
      <w:r w:rsidRPr="009E4EDA">
        <w:rPr>
          <w:rFonts w:ascii="Book Antiqua" w:hAnsi="Book Antiqua"/>
          <w:sz w:val="24"/>
          <w:szCs w:val="24"/>
        </w:rPr>
        <w:t xml:space="preserve"> 2010; </w:t>
      </w:r>
      <w:r w:rsidRPr="009E4EDA">
        <w:rPr>
          <w:rFonts w:ascii="Book Antiqua" w:hAnsi="Book Antiqua"/>
          <w:b/>
          <w:sz w:val="24"/>
          <w:szCs w:val="24"/>
        </w:rPr>
        <w:t>139</w:t>
      </w:r>
      <w:r w:rsidRPr="009E4EDA">
        <w:rPr>
          <w:rFonts w:ascii="Book Antiqua" w:hAnsi="Book Antiqua"/>
          <w:sz w:val="24"/>
          <w:szCs w:val="24"/>
        </w:rPr>
        <w:t>: 1894-1901.e2; quiz e12 [PMID: 20727889 DOI: 10.1053/j.gastro.2010.08.018]</w:t>
      </w:r>
    </w:p>
    <w:p w14:paraId="40A14572"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15 </w:t>
      </w:r>
      <w:r w:rsidRPr="009E4EDA">
        <w:rPr>
          <w:rFonts w:ascii="Book Antiqua" w:hAnsi="Book Antiqua"/>
          <w:b/>
          <w:sz w:val="24"/>
          <w:szCs w:val="24"/>
        </w:rPr>
        <w:t>Negovan A</w:t>
      </w:r>
      <w:r w:rsidRPr="009E4EDA">
        <w:rPr>
          <w:rFonts w:ascii="Book Antiqua" w:hAnsi="Book Antiqua"/>
          <w:sz w:val="24"/>
          <w:szCs w:val="24"/>
        </w:rPr>
        <w:t xml:space="preserve">, Iancu M, Moldovan V, Pantea M, Sarkany K, Bataga S, Cozlea L, Mocan S, Banescu C. Influence of MDR1 C3435T, CYP2C19*2 and CYP2C19*3 gene polymorphisms and clinical characteristics on the severity of gastric lesions: a case-control study. </w:t>
      </w:r>
      <w:r w:rsidRPr="009E4EDA">
        <w:rPr>
          <w:rFonts w:ascii="Book Antiqua" w:hAnsi="Book Antiqua"/>
          <w:i/>
          <w:sz w:val="24"/>
          <w:szCs w:val="24"/>
        </w:rPr>
        <w:t>J Gastrointestin Liver Dis</w:t>
      </w:r>
      <w:r w:rsidRPr="009E4EDA">
        <w:rPr>
          <w:rFonts w:ascii="Book Antiqua" w:hAnsi="Book Antiqua"/>
          <w:sz w:val="24"/>
          <w:szCs w:val="24"/>
        </w:rPr>
        <w:t xml:space="preserve"> 2016; </w:t>
      </w:r>
      <w:r w:rsidRPr="009E4EDA">
        <w:rPr>
          <w:rFonts w:ascii="Book Antiqua" w:hAnsi="Book Antiqua"/>
          <w:b/>
          <w:sz w:val="24"/>
          <w:szCs w:val="24"/>
        </w:rPr>
        <w:t>25</w:t>
      </w:r>
      <w:r w:rsidRPr="009E4EDA">
        <w:rPr>
          <w:rFonts w:ascii="Book Antiqua" w:hAnsi="Book Antiqua"/>
          <w:sz w:val="24"/>
          <w:szCs w:val="24"/>
        </w:rPr>
        <w:t>: 258-260 [PMID: 27308662 DOI: 10.15403/jgld.2014.1121.252.mdr]</w:t>
      </w:r>
    </w:p>
    <w:p w14:paraId="05F1F4F1"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16 </w:t>
      </w:r>
      <w:r w:rsidRPr="009E4EDA">
        <w:rPr>
          <w:rFonts w:ascii="Book Antiqua" w:hAnsi="Book Antiqua"/>
          <w:b/>
          <w:sz w:val="24"/>
          <w:szCs w:val="24"/>
        </w:rPr>
        <w:t>Olmez S</w:t>
      </w:r>
      <w:r w:rsidRPr="009E4EDA">
        <w:rPr>
          <w:rFonts w:ascii="Book Antiqua" w:hAnsi="Book Antiqua"/>
          <w:sz w:val="24"/>
          <w:szCs w:val="24"/>
        </w:rPr>
        <w:t xml:space="preserve">, Aslan M, Erten R, Sayar S, Bayram I. The Prevalence of Gastric Intestinal Metaplasia and Distribution of Helicobacter pylori Infection, Atrophy, Dysplasia, and Cancer in Its Subtypes. </w:t>
      </w:r>
      <w:r w:rsidRPr="009E4EDA">
        <w:rPr>
          <w:rFonts w:ascii="Book Antiqua" w:hAnsi="Book Antiqua"/>
          <w:i/>
          <w:sz w:val="24"/>
          <w:szCs w:val="24"/>
        </w:rPr>
        <w:t>Gastroenterol Res Pract</w:t>
      </w:r>
      <w:r w:rsidRPr="009E4EDA">
        <w:rPr>
          <w:rFonts w:ascii="Book Antiqua" w:hAnsi="Book Antiqua"/>
          <w:sz w:val="24"/>
          <w:szCs w:val="24"/>
        </w:rPr>
        <w:t xml:space="preserve"> 2015; </w:t>
      </w:r>
      <w:r w:rsidRPr="009E4EDA">
        <w:rPr>
          <w:rFonts w:ascii="Book Antiqua" w:hAnsi="Book Antiqua"/>
          <w:b/>
          <w:sz w:val="24"/>
          <w:szCs w:val="24"/>
        </w:rPr>
        <w:t>2015</w:t>
      </w:r>
      <w:r w:rsidRPr="009E4EDA">
        <w:rPr>
          <w:rFonts w:ascii="Book Antiqua" w:hAnsi="Book Antiqua"/>
          <w:sz w:val="24"/>
          <w:szCs w:val="24"/>
        </w:rPr>
        <w:t>: 434039 [PMID: 26635875 DOI: 10.1155/2015/434039]</w:t>
      </w:r>
    </w:p>
    <w:p w14:paraId="2E4E82D1"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17 </w:t>
      </w:r>
      <w:r w:rsidRPr="009E4EDA">
        <w:rPr>
          <w:rFonts w:ascii="Book Antiqua" w:hAnsi="Book Antiqua"/>
          <w:b/>
          <w:sz w:val="24"/>
          <w:szCs w:val="24"/>
        </w:rPr>
        <w:t>Song JH</w:t>
      </w:r>
      <w:r w:rsidRPr="009E4EDA">
        <w:rPr>
          <w:rFonts w:ascii="Book Antiqua" w:hAnsi="Book Antiqua"/>
          <w:sz w:val="24"/>
          <w:szCs w:val="24"/>
        </w:rPr>
        <w:t xml:space="preserve">, Kim YS, Heo NJ, Lim JH, Yang SY, Chung GE, Kim JS. High Salt Intake Is Associated with Atrophic Gastritis with Intestinal Metaplasia. </w:t>
      </w:r>
      <w:r w:rsidRPr="009E4EDA">
        <w:rPr>
          <w:rFonts w:ascii="Book Antiqua" w:hAnsi="Book Antiqua"/>
          <w:i/>
          <w:sz w:val="24"/>
          <w:szCs w:val="24"/>
        </w:rPr>
        <w:t>Cancer Epidemiol Biomarkers Prev</w:t>
      </w:r>
      <w:r w:rsidRPr="009E4EDA">
        <w:rPr>
          <w:rFonts w:ascii="Book Antiqua" w:hAnsi="Book Antiqua"/>
          <w:sz w:val="24"/>
          <w:szCs w:val="24"/>
        </w:rPr>
        <w:t xml:space="preserve"> 2017; </w:t>
      </w:r>
      <w:r w:rsidRPr="009E4EDA">
        <w:rPr>
          <w:rFonts w:ascii="Book Antiqua" w:hAnsi="Book Antiqua"/>
          <w:b/>
          <w:sz w:val="24"/>
          <w:szCs w:val="24"/>
        </w:rPr>
        <w:t>26</w:t>
      </w:r>
      <w:r w:rsidRPr="009E4EDA">
        <w:rPr>
          <w:rFonts w:ascii="Book Antiqua" w:hAnsi="Book Antiqua"/>
          <w:sz w:val="24"/>
          <w:szCs w:val="24"/>
        </w:rPr>
        <w:t>: 1133-1138 [PMID: 28341758 DOI: 10.1158/1055-9965.EPI-16-1024]</w:t>
      </w:r>
    </w:p>
    <w:p w14:paraId="14FD476C"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18 </w:t>
      </w:r>
      <w:r w:rsidRPr="009E4EDA">
        <w:rPr>
          <w:rFonts w:ascii="Book Antiqua" w:hAnsi="Book Antiqua"/>
          <w:b/>
          <w:sz w:val="24"/>
          <w:szCs w:val="24"/>
        </w:rPr>
        <w:t>Pantea M</w:t>
      </w:r>
      <w:r w:rsidRPr="009E4EDA">
        <w:rPr>
          <w:rFonts w:ascii="Book Antiqua" w:hAnsi="Book Antiqua"/>
          <w:sz w:val="24"/>
          <w:szCs w:val="24"/>
        </w:rPr>
        <w:t xml:space="preserve">, Negovan A, Banescu C, Bataga S, Neagoe R, Mocan S, Iancu M. Factors Associated with Recurrent Ulcers in Patients with Gastric Surgery after More Than 15 Years: A Cross-Sectional Single-Center Study. </w:t>
      </w:r>
      <w:r w:rsidRPr="009E4EDA">
        <w:rPr>
          <w:rFonts w:ascii="Book Antiqua" w:hAnsi="Book Antiqua"/>
          <w:i/>
          <w:sz w:val="24"/>
          <w:szCs w:val="24"/>
        </w:rPr>
        <w:t>Gastroenterol Res Pract</w:t>
      </w:r>
      <w:r w:rsidRPr="009E4EDA">
        <w:rPr>
          <w:rFonts w:ascii="Book Antiqua" w:hAnsi="Book Antiqua"/>
          <w:sz w:val="24"/>
          <w:szCs w:val="24"/>
        </w:rPr>
        <w:t xml:space="preserve"> 2018; </w:t>
      </w:r>
      <w:r w:rsidRPr="009E4EDA">
        <w:rPr>
          <w:rFonts w:ascii="Book Antiqua" w:hAnsi="Book Antiqua"/>
          <w:b/>
          <w:sz w:val="24"/>
          <w:szCs w:val="24"/>
        </w:rPr>
        <w:t>2018</w:t>
      </w:r>
      <w:r w:rsidRPr="009E4EDA">
        <w:rPr>
          <w:rFonts w:ascii="Book Antiqua" w:hAnsi="Book Antiqua"/>
          <w:sz w:val="24"/>
          <w:szCs w:val="24"/>
        </w:rPr>
        <w:t>: 8319481 [PMID: 30524477 DOI: 10.1155/2018/8319481]</w:t>
      </w:r>
    </w:p>
    <w:p w14:paraId="53A9B640"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19 </w:t>
      </w:r>
      <w:r w:rsidRPr="009E4EDA">
        <w:rPr>
          <w:rFonts w:ascii="Book Antiqua" w:hAnsi="Book Antiqua"/>
          <w:b/>
          <w:sz w:val="24"/>
          <w:szCs w:val="24"/>
        </w:rPr>
        <w:t>Negovan A</w:t>
      </w:r>
      <w:r w:rsidRPr="009E4EDA">
        <w:rPr>
          <w:rFonts w:ascii="Book Antiqua" w:hAnsi="Book Antiqua"/>
          <w:sz w:val="24"/>
          <w:szCs w:val="24"/>
        </w:rPr>
        <w:t xml:space="preserve">, Iancu M, Moldovan V, Sàrkàny K, Bataga S, Mocan S, </w:t>
      </w:r>
      <w:r w:rsidRPr="009E4EDA">
        <w:rPr>
          <w:rFonts w:ascii="Cambria" w:hAnsi="Cambria" w:cs="Cambria"/>
          <w:sz w:val="24"/>
          <w:szCs w:val="24"/>
        </w:rPr>
        <w:t>Ț</w:t>
      </w:r>
      <w:r w:rsidRPr="009E4EDA">
        <w:rPr>
          <w:rFonts w:ascii="Book Antiqua" w:hAnsi="Book Antiqua"/>
          <w:sz w:val="24"/>
          <w:szCs w:val="24"/>
        </w:rPr>
        <w:t xml:space="preserve">ilea I, Banescu C. The contribution of clinical and pathological predisposing factors to severe gastro-duodenal lesions in patients with long-term low-dose aspirin and proton pump inhibitor therapy. </w:t>
      </w:r>
      <w:r w:rsidRPr="009E4EDA">
        <w:rPr>
          <w:rFonts w:ascii="Book Antiqua" w:hAnsi="Book Antiqua"/>
          <w:i/>
          <w:sz w:val="24"/>
          <w:szCs w:val="24"/>
        </w:rPr>
        <w:t>Eur J Intern Med</w:t>
      </w:r>
      <w:r w:rsidRPr="009E4EDA">
        <w:rPr>
          <w:rFonts w:ascii="Book Antiqua" w:hAnsi="Book Antiqua"/>
          <w:sz w:val="24"/>
          <w:szCs w:val="24"/>
        </w:rPr>
        <w:t xml:space="preserve"> 2017; </w:t>
      </w:r>
      <w:r w:rsidRPr="009E4EDA">
        <w:rPr>
          <w:rFonts w:ascii="Book Antiqua" w:hAnsi="Book Antiqua"/>
          <w:b/>
          <w:sz w:val="24"/>
          <w:szCs w:val="24"/>
        </w:rPr>
        <w:t>44</w:t>
      </w:r>
      <w:r w:rsidRPr="009E4EDA">
        <w:rPr>
          <w:rFonts w:ascii="Book Antiqua" w:hAnsi="Book Antiqua"/>
          <w:sz w:val="24"/>
          <w:szCs w:val="24"/>
        </w:rPr>
        <w:t>: 62-66 [PMID: 28576397 DOI: 10.1016/j.ejim.2017.05.017]</w:t>
      </w:r>
    </w:p>
    <w:p w14:paraId="30C1A20C"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20 </w:t>
      </w:r>
      <w:r w:rsidRPr="009E4EDA">
        <w:rPr>
          <w:rFonts w:ascii="Book Antiqua" w:hAnsi="Book Antiqua"/>
          <w:b/>
          <w:sz w:val="24"/>
          <w:szCs w:val="24"/>
        </w:rPr>
        <w:t>Song H</w:t>
      </w:r>
      <w:r w:rsidRPr="009E4EDA">
        <w:rPr>
          <w:rFonts w:ascii="Book Antiqua" w:hAnsi="Book Antiqua"/>
          <w:sz w:val="24"/>
          <w:szCs w:val="24"/>
        </w:rPr>
        <w:t xml:space="preserve">, Ekheden IG, Zheng Z, Ericsson J, Nyrén O, Ye W. Incidence of gastric cancer among patients with gastric precancerous lesions: observational cohort study in a low risk Western population. </w:t>
      </w:r>
      <w:r w:rsidRPr="009E4EDA">
        <w:rPr>
          <w:rFonts w:ascii="Book Antiqua" w:hAnsi="Book Antiqua"/>
          <w:i/>
          <w:sz w:val="24"/>
          <w:szCs w:val="24"/>
        </w:rPr>
        <w:t>BMJ</w:t>
      </w:r>
      <w:r w:rsidRPr="009E4EDA">
        <w:rPr>
          <w:rFonts w:ascii="Book Antiqua" w:hAnsi="Book Antiqua"/>
          <w:sz w:val="24"/>
          <w:szCs w:val="24"/>
        </w:rPr>
        <w:t xml:space="preserve"> 2015; </w:t>
      </w:r>
      <w:r w:rsidRPr="009E4EDA">
        <w:rPr>
          <w:rFonts w:ascii="Book Antiqua" w:hAnsi="Book Antiqua"/>
          <w:b/>
          <w:sz w:val="24"/>
          <w:szCs w:val="24"/>
        </w:rPr>
        <w:t>351</w:t>
      </w:r>
      <w:r w:rsidRPr="009E4EDA">
        <w:rPr>
          <w:rFonts w:ascii="Book Antiqua" w:hAnsi="Book Antiqua"/>
          <w:sz w:val="24"/>
          <w:szCs w:val="24"/>
        </w:rPr>
        <w:t>: h3867 [PMID: 26215280 DOI: 10.1136/bmj.h3867]</w:t>
      </w:r>
    </w:p>
    <w:p w14:paraId="0F727650"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21 </w:t>
      </w:r>
      <w:r w:rsidRPr="009E4EDA">
        <w:rPr>
          <w:rFonts w:ascii="Book Antiqua" w:hAnsi="Book Antiqua"/>
          <w:b/>
          <w:sz w:val="24"/>
          <w:szCs w:val="24"/>
        </w:rPr>
        <w:t>Shao L</w:t>
      </w:r>
      <w:r w:rsidRPr="009E4EDA">
        <w:rPr>
          <w:rFonts w:ascii="Book Antiqua" w:hAnsi="Book Antiqua"/>
          <w:sz w:val="24"/>
          <w:szCs w:val="24"/>
        </w:rPr>
        <w:t xml:space="preserve">, Li P, Ye J, Chen J, Han Y, Cai J, Lu X. Risk of gastric cancer among patients with gastric intestinal metaplasia. </w:t>
      </w:r>
      <w:r w:rsidRPr="009E4EDA">
        <w:rPr>
          <w:rFonts w:ascii="Book Antiqua" w:hAnsi="Book Antiqua"/>
          <w:i/>
          <w:sz w:val="24"/>
          <w:szCs w:val="24"/>
        </w:rPr>
        <w:t>Int J Cancer</w:t>
      </w:r>
      <w:r w:rsidRPr="009E4EDA">
        <w:rPr>
          <w:rFonts w:ascii="Book Antiqua" w:hAnsi="Book Antiqua"/>
          <w:sz w:val="24"/>
          <w:szCs w:val="24"/>
        </w:rPr>
        <w:t xml:space="preserve"> 2018</w:t>
      </w:r>
      <w:r>
        <w:rPr>
          <w:rFonts w:ascii="Book Antiqua" w:hAnsi="Book Antiqua"/>
          <w:sz w:val="24"/>
          <w:szCs w:val="24"/>
        </w:rPr>
        <w:t xml:space="preserve"> </w:t>
      </w:r>
      <w:r w:rsidRPr="009E4EDA">
        <w:rPr>
          <w:rFonts w:ascii="Book Antiqua" w:hAnsi="Book Antiqua"/>
          <w:sz w:val="24"/>
          <w:szCs w:val="24"/>
        </w:rPr>
        <w:t>[PMID: 29707766 DOI: 10.1002/ijc.31571]</w:t>
      </w:r>
    </w:p>
    <w:p w14:paraId="35318745"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22 </w:t>
      </w:r>
      <w:r w:rsidRPr="009E4EDA">
        <w:rPr>
          <w:rFonts w:ascii="Book Antiqua" w:hAnsi="Book Antiqua"/>
          <w:b/>
          <w:sz w:val="24"/>
          <w:szCs w:val="24"/>
        </w:rPr>
        <w:t>Spence AD</w:t>
      </w:r>
      <w:r w:rsidRPr="009E4EDA">
        <w:rPr>
          <w:rFonts w:ascii="Book Antiqua" w:hAnsi="Book Antiqua"/>
          <w:sz w:val="24"/>
          <w:szCs w:val="24"/>
        </w:rPr>
        <w:t xml:space="preserve">, Cardwell CR, McMenamin ÚC, Hicks BM, Johnston BT, Murray LJ, Coleman HG. Adenocarcinoma risk in gastric atrophy and intestinal metaplasia: a systematic review. </w:t>
      </w:r>
      <w:r w:rsidRPr="009E4EDA">
        <w:rPr>
          <w:rFonts w:ascii="Book Antiqua" w:hAnsi="Book Antiqua"/>
          <w:i/>
          <w:sz w:val="24"/>
          <w:szCs w:val="24"/>
        </w:rPr>
        <w:t>BMC Gastroenterol</w:t>
      </w:r>
      <w:r w:rsidRPr="009E4EDA">
        <w:rPr>
          <w:rFonts w:ascii="Book Antiqua" w:hAnsi="Book Antiqua"/>
          <w:sz w:val="24"/>
          <w:szCs w:val="24"/>
        </w:rPr>
        <w:t xml:space="preserve"> 2017; </w:t>
      </w:r>
      <w:r w:rsidRPr="009E4EDA">
        <w:rPr>
          <w:rFonts w:ascii="Book Antiqua" w:hAnsi="Book Antiqua"/>
          <w:b/>
          <w:sz w:val="24"/>
          <w:szCs w:val="24"/>
        </w:rPr>
        <w:t>17</w:t>
      </w:r>
      <w:r w:rsidRPr="009E4EDA">
        <w:rPr>
          <w:rFonts w:ascii="Book Antiqua" w:hAnsi="Book Antiqua"/>
          <w:sz w:val="24"/>
          <w:szCs w:val="24"/>
        </w:rPr>
        <w:t>: 157 [PMID: 29228909 DOI: 10.1186/s12876-017-0708-4]</w:t>
      </w:r>
    </w:p>
    <w:p w14:paraId="481F4259"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23 </w:t>
      </w:r>
      <w:r w:rsidRPr="009E4EDA">
        <w:rPr>
          <w:rFonts w:ascii="Book Antiqua" w:hAnsi="Book Antiqua"/>
          <w:b/>
          <w:sz w:val="24"/>
          <w:szCs w:val="24"/>
        </w:rPr>
        <w:t>Song H</w:t>
      </w:r>
      <w:r w:rsidRPr="009E4EDA">
        <w:rPr>
          <w:rFonts w:ascii="Book Antiqua" w:hAnsi="Book Antiqua"/>
          <w:sz w:val="24"/>
          <w:szCs w:val="24"/>
        </w:rPr>
        <w:t xml:space="preserve">, Ekheden IG, Ploner A, Ericsson J, Nyren O, Ye W. Family history of gastric mucosal abnormality and the risk of gastric cancer: a population-based observational study. </w:t>
      </w:r>
      <w:r w:rsidRPr="009E4EDA">
        <w:rPr>
          <w:rFonts w:ascii="Book Antiqua" w:hAnsi="Book Antiqua"/>
          <w:i/>
          <w:sz w:val="24"/>
          <w:szCs w:val="24"/>
        </w:rPr>
        <w:t>Int J Epidemiol</w:t>
      </w:r>
      <w:r w:rsidRPr="009E4EDA">
        <w:rPr>
          <w:rFonts w:ascii="Book Antiqua" w:hAnsi="Book Antiqua"/>
          <w:sz w:val="24"/>
          <w:szCs w:val="24"/>
        </w:rPr>
        <w:t xml:space="preserve"> 2018; </w:t>
      </w:r>
      <w:r w:rsidRPr="009E4EDA">
        <w:rPr>
          <w:rFonts w:ascii="Book Antiqua" w:hAnsi="Book Antiqua"/>
          <w:b/>
          <w:sz w:val="24"/>
          <w:szCs w:val="24"/>
        </w:rPr>
        <w:t>47</w:t>
      </w:r>
      <w:r w:rsidRPr="009E4EDA">
        <w:rPr>
          <w:rFonts w:ascii="Book Antiqua" w:hAnsi="Book Antiqua"/>
          <w:sz w:val="24"/>
          <w:szCs w:val="24"/>
        </w:rPr>
        <w:t>: 440-449 [PMID: 29161426 DOI: 10.1093/ije/dyx238]</w:t>
      </w:r>
    </w:p>
    <w:p w14:paraId="724139D4"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24 </w:t>
      </w:r>
      <w:r w:rsidRPr="009E4EDA">
        <w:rPr>
          <w:rFonts w:ascii="Book Antiqua" w:hAnsi="Book Antiqua"/>
          <w:b/>
          <w:sz w:val="24"/>
          <w:szCs w:val="24"/>
        </w:rPr>
        <w:t>Shichijo S</w:t>
      </w:r>
      <w:r w:rsidRPr="009E4EDA">
        <w:rPr>
          <w:rFonts w:ascii="Book Antiqua" w:hAnsi="Book Antiqua"/>
          <w:sz w:val="24"/>
          <w:szCs w:val="24"/>
        </w:rPr>
        <w:t xml:space="preserve">, Hirata Y. Characteristics and predictors of gastric cancer after &lt;i&gt;Helicobacter pylori&lt;/i&gt; eradication. </w:t>
      </w:r>
      <w:r w:rsidRPr="009E4EDA">
        <w:rPr>
          <w:rFonts w:ascii="Book Antiqua" w:hAnsi="Book Antiqua"/>
          <w:i/>
          <w:sz w:val="24"/>
          <w:szCs w:val="24"/>
        </w:rPr>
        <w:t>World J Gastroenterol</w:t>
      </w:r>
      <w:r w:rsidRPr="009E4EDA">
        <w:rPr>
          <w:rFonts w:ascii="Book Antiqua" w:hAnsi="Book Antiqua"/>
          <w:sz w:val="24"/>
          <w:szCs w:val="24"/>
        </w:rPr>
        <w:t xml:space="preserve"> 2018; </w:t>
      </w:r>
      <w:r w:rsidRPr="009E4EDA">
        <w:rPr>
          <w:rFonts w:ascii="Book Antiqua" w:hAnsi="Book Antiqua"/>
          <w:b/>
          <w:sz w:val="24"/>
          <w:szCs w:val="24"/>
        </w:rPr>
        <w:t>24</w:t>
      </w:r>
      <w:r w:rsidRPr="009E4EDA">
        <w:rPr>
          <w:rFonts w:ascii="Book Antiqua" w:hAnsi="Book Antiqua"/>
          <w:sz w:val="24"/>
          <w:szCs w:val="24"/>
        </w:rPr>
        <w:t>: 2163-2172 [PMID: 29853734 DOI: 10.3748/wjg.v24.i20.2163]</w:t>
      </w:r>
    </w:p>
    <w:p w14:paraId="4B5470A0"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25 </w:t>
      </w:r>
      <w:r w:rsidRPr="009E4EDA">
        <w:rPr>
          <w:rFonts w:ascii="Book Antiqua" w:hAnsi="Book Antiqua"/>
          <w:b/>
          <w:sz w:val="24"/>
          <w:szCs w:val="24"/>
        </w:rPr>
        <w:t>González CA</w:t>
      </w:r>
      <w:r w:rsidRPr="009E4EDA">
        <w:rPr>
          <w:rFonts w:ascii="Book Antiqua" w:hAnsi="Book Antiqua"/>
          <w:sz w:val="24"/>
          <w:szCs w:val="24"/>
        </w:rPr>
        <w:t xml:space="preserve">, Sanz-Anquela JM, Gisbert JP, Correa P. Utility of subtyping intestinal metaplasia as marker of gastric cancer risk. A review of the evidence. </w:t>
      </w:r>
      <w:r w:rsidRPr="009E4EDA">
        <w:rPr>
          <w:rFonts w:ascii="Book Antiqua" w:hAnsi="Book Antiqua"/>
          <w:i/>
          <w:sz w:val="24"/>
          <w:szCs w:val="24"/>
        </w:rPr>
        <w:t>Int J Cancer</w:t>
      </w:r>
      <w:r w:rsidRPr="009E4EDA">
        <w:rPr>
          <w:rFonts w:ascii="Book Antiqua" w:hAnsi="Book Antiqua"/>
          <w:sz w:val="24"/>
          <w:szCs w:val="24"/>
        </w:rPr>
        <w:t xml:space="preserve"> 2013; </w:t>
      </w:r>
      <w:r w:rsidRPr="009E4EDA">
        <w:rPr>
          <w:rFonts w:ascii="Book Antiqua" w:hAnsi="Book Antiqua"/>
          <w:b/>
          <w:sz w:val="24"/>
          <w:szCs w:val="24"/>
        </w:rPr>
        <w:t>133</w:t>
      </w:r>
      <w:r w:rsidRPr="009E4EDA">
        <w:rPr>
          <w:rFonts w:ascii="Book Antiqua" w:hAnsi="Book Antiqua"/>
          <w:sz w:val="24"/>
          <w:szCs w:val="24"/>
        </w:rPr>
        <w:t>: 1023-1032 [PMID: 23280711 DOI: 10.1002/ijc.28003]</w:t>
      </w:r>
    </w:p>
    <w:p w14:paraId="017198A6"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26 </w:t>
      </w:r>
      <w:r w:rsidRPr="009E4EDA">
        <w:rPr>
          <w:rFonts w:ascii="Book Antiqua" w:hAnsi="Book Antiqua"/>
          <w:b/>
          <w:sz w:val="24"/>
          <w:szCs w:val="24"/>
        </w:rPr>
        <w:t>Correa P</w:t>
      </w:r>
      <w:r w:rsidRPr="009E4EDA">
        <w:rPr>
          <w:rFonts w:ascii="Book Antiqua" w:hAnsi="Book Antiqua"/>
          <w:sz w:val="24"/>
          <w:szCs w:val="24"/>
        </w:rPr>
        <w:t xml:space="preserve">. A human model of gastric carcinogenesis. </w:t>
      </w:r>
      <w:r w:rsidRPr="009E4EDA">
        <w:rPr>
          <w:rFonts w:ascii="Book Antiqua" w:hAnsi="Book Antiqua"/>
          <w:i/>
          <w:sz w:val="24"/>
          <w:szCs w:val="24"/>
        </w:rPr>
        <w:t>Cancer Res</w:t>
      </w:r>
      <w:r w:rsidRPr="009E4EDA">
        <w:rPr>
          <w:rFonts w:ascii="Book Antiqua" w:hAnsi="Book Antiqua"/>
          <w:sz w:val="24"/>
          <w:szCs w:val="24"/>
        </w:rPr>
        <w:t xml:space="preserve"> 1988; </w:t>
      </w:r>
      <w:r w:rsidRPr="009E4EDA">
        <w:rPr>
          <w:rFonts w:ascii="Book Antiqua" w:hAnsi="Book Antiqua"/>
          <w:b/>
          <w:sz w:val="24"/>
          <w:szCs w:val="24"/>
        </w:rPr>
        <w:t>48</w:t>
      </w:r>
      <w:r w:rsidRPr="009E4EDA">
        <w:rPr>
          <w:rFonts w:ascii="Book Antiqua" w:hAnsi="Book Antiqua"/>
          <w:sz w:val="24"/>
          <w:szCs w:val="24"/>
        </w:rPr>
        <w:t>: 3554-3560 [PMID: 3288329]</w:t>
      </w:r>
    </w:p>
    <w:p w14:paraId="7DF9C8B4"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27 </w:t>
      </w:r>
      <w:r w:rsidRPr="009E4EDA">
        <w:rPr>
          <w:rFonts w:ascii="Book Antiqua" w:hAnsi="Book Antiqua"/>
          <w:b/>
          <w:sz w:val="24"/>
          <w:szCs w:val="24"/>
        </w:rPr>
        <w:t>González CA</w:t>
      </w:r>
      <w:r w:rsidRPr="009E4EDA">
        <w:rPr>
          <w:rFonts w:ascii="Book Antiqua" w:hAnsi="Book Antiqua"/>
          <w:sz w:val="24"/>
          <w:szCs w:val="24"/>
        </w:rPr>
        <w:t xml:space="preserve">, Pardo ML, Liso JM, Alonso P, Bonet C, Garcia RM, Sala N, Capella G, Sanz-Anquela JM. Gastric cancer occurrence in preneoplastic lesions: a long-term follow-up in a high-risk area in Spain. </w:t>
      </w:r>
      <w:r w:rsidRPr="009E4EDA">
        <w:rPr>
          <w:rFonts w:ascii="Book Antiqua" w:hAnsi="Book Antiqua"/>
          <w:i/>
          <w:sz w:val="24"/>
          <w:szCs w:val="24"/>
        </w:rPr>
        <w:t>Int J Cancer</w:t>
      </w:r>
      <w:r w:rsidRPr="009E4EDA">
        <w:rPr>
          <w:rFonts w:ascii="Book Antiqua" w:hAnsi="Book Antiqua"/>
          <w:sz w:val="24"/>
          <w:szCs w:val="24"/>
        </w:rPr>
        <w:t xml:space="preserve"> 2010; </w:t>
      </w:r>
      <w:r w:rsidRPr="009E4EDA">
        <w:rPr>
          <w:rFonts w:ascii="Book Antiqua" w:hAnsi="Book Antiqua"/>
          <w:b/>
          <w:sz w:val="24"/>
          <w:szCs w:val="24"/>
        </w:rPr>
        <w:t>127</w:t>
      </w:r>
      <w:r w:rsidRPr="009E4EDA">
        <w:rPr>
          <w:rFonts w:ascii="Book Antiqua" w:hAnsi="Book Antiqua"/>
          <w:sz w:val="24"/>
          <w:szCs w:val="24"/>
        </w:rPr>
        <w:t>: 2654-2660 [PMID: 20178099 DOI: 10.1002/ijc.25273]</w:t>
      </w:r>
    </w:p>
    <w:p w14:paraId="7295AEA1"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28 </w:t>
      </w:r>
      <w:r w:rsidRPr="009E4EDA">
        <w:rPr>
          <w:rFonts w:ascii="Book Antiqua" w:hAnsi="Book Antiqua"/>
          <w:b/>
          <w:sz w:val="24"/>
          <w:szCs w:val="24"/>
        </w:rPr>
        <w:t>Rugge M</w:t>
      </w:r>
      <w:r w:rsidRPr="009E4EDA">
        <w:rPr>
          <w:rFonts w:ascii="Book Antiqua" w:hAnsi="Book Antiqua"/>
          <w:sz w:val="24"/>
          <w:szCs w:val="24"/>
        </w:rPr>
        <w:t xml:space="preserve">, Capelle LG, Cappellesso R, Nitti D, Kuipers EJ. Precancerous lesions in the stomach: from biology to clinical patient management. </w:t>
      </w:r>
      <w:r w:rsidRPr="009E4EDA">
        <w:rPr>
          <w:rFonts w:ascii="Book Antiqua" w:hAnsi="Book Antiqua"/>
          <w:i/>
          <w:sz w:val="24"/>
          <w:szCs w:val="24"/>
        </w:rPr>
        <w:t>Best Pract Res Clin Gastroenterol</w:t>
      </w:r>
      <w:r w:rsidRPr="009E4EDA">
        <w:rPr>
          <w:rFonts w:ascii="Book Antiqua" w:hAnsi="Book Antiqua"/>
          <w:sz w:val="24"/>
          <w:szCs w:val="24"/>
        </w:rPr>
        <w:t xml:space="preserve"> 2013; </w:t>
      </w:r>
      <w:r w:rsidRPr="009E4EDA">
        <w:rPr>
          <w:rFonts w:ascii="Book Antiqua" w:hAnsi="Book Antiqua"/>
          <w:b/>
          <w:sz w:val="24"/>
          <w:szCs w:val="24"/>
        </w:rPr>
        <w:t>27</w:t>
      </w:r>
      <w:r w:rsidRPr="009E4EDA">
        <w:rPr>
          <w:rFonts w:ascii="Book Antiqua" w:hAnsi="Book Antiqua"/>
          <w:sz w:val="24"/>
          <w:szCs w:val="24"/>
        </w:rPr>
        <w:t>: 205-223 [PMID: 23809241 DOI: 10.1016/j.bpg.2012.12.007]</w:t>
      </w:r>
    </w:p>
    <w:p w14:paraId="73594B00"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29 </w:t>
      </w:r>
      <w:r w:rsidRPr="009E4EDA">
        <w:rPr>
          <w:rFonts w:ascii="Book Antiqua" w:hAnsi="Book Antiqua"/>
          <w:b/>
          <w:sz w:val="24"/>
          <w:szCs w:val="24"/>
        </w:rPr>
        <w:t>Graham DY</w:t>
      </w:r>
      <w:r w:rsidRPr="009E4EDA">
        <w:rPr>
          <w:rFonts w:ascii="Book Antiqua" w:hAnsi="Book Antiqua"/>
          <w:sz w:val="24"/>
          <w:szCs w:val="24"/>
        </w:rPr>
        <w:t xml:space="preserve">. Helicobacter pylori update: gastric cancer, reliable therapy, and possible benefits. </w:t>
      </w:r>
      <w:r w:rsidRPr="009E4EDA">
        <w:rPr>
          <w:rFonts w:ascii="Book Antiqua" w:hAnsi="Book Antiqua"/>
          <w:i/>
          <w:sz w:val="24"/>
          <w:szCs w:val="24"/>
        </w:rPr>
        <w:t>Gastroenterology</w:t>
      </w:r>
      <w:r w:rsidRPr="009E4EDA">
        <w:rPr>
          <w:rFonts w:ascii="Book Antiqua" w:hAnsi="Book Antiqua"/>
          <w:sz w:val="24"/>
          <w:szCs w:val="24"/>
        </w:rPr>
        <w:t xml:space="preserve"> 2015; </w:t>
      </w:r>
      <w:r w:rsidRPr="009E4EDA">
        <w:rPr>
          <w:rFonts w:ascii="Book Antiqua" w:hAnsi="Book Antiqua"/>
          <w:b/>
          <w:sz w:val="24"/>
          <w:szCs w:val="24"/>
        </w:rPr>
        <w:t>148</w:t>
      </w:r>
      <w:r w:rsidRPr="009E4EDA">
        <w:rPr>
          <w:rFonts w:ascii="Book Antiqua" w:hAnsi="Book Antiqua"/>
          <w:sz w:val="24"/>
          <w:szCs w:val="24"/>
        </w:rPr>
        <w:t>: 719-31.e3 [PMID: 25655557 DOI: 10.1053/j.gastro.2015.01.040]</w:t>
      </w:r>
    </w:p>
    <w:p w14:paraId="439F2A39"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30 </w:t>
      </w:r>
      <w:r w:rsidRPr="009E4EDA">
        <w:rPr>
          <w:rFonts w:ascii="Book Antiqua" w:hAnsi="Book Antiqua"/>
          <w:b/>
          <w:sz w:val="24"/>
          <w:szCs w:val="24"/>
        </w:rPr>
        <w:t>Correa P</w:t>
      </w:r>
      <w:r w:rsidRPr="009E4EDA">
        <w:rPr>
          <w:rFonts w:ascii="Book Antiqua" w:hAnsi="Book Antiqua"/>
          <w:sz w:val="24"/>
          <w:szCs w:val="24"/>
        </w:rPr>
        <w:t xml:space="preserve">, Piazuelo MB. The gastric precancerous cascade. </w:t>
      </w:r>
      <w:r w:rsidRPr="009E4EDA">
        <w:rPr>
          <w:rFonts w:ascii="Book Antiqua" w:hAnsi="Book Antiqua"/>
          <w:i/>
          <w:sz w:val="24"/>
          <w:szCs w:val="24"/>
        </w:rPr>
        <w:t>J Dig Dis</w:t>
      </w:r>
      <w:r w:rsidRPr="009E4EDA">
        <w:rPr>
          <w:rFonts w:ascii="Book Antiqua" w:hAnsi="Book Antiqua"/>
          <w:sz w:val="24"/>
          <w:szCs w:val="24"/>
        </w:rPr>
        <w:t xml:space="preserve"> 2012; </w:t>
      </w:r>
      <w:r w:rsidRPr="009E4EDA">
        <w:rPr>
          <w:rFonts w:ascii="Book Antiqua" w:hAnsi="Book Antiqua"/>
          <w:b/>
          <w:sz w:val="24"/>
          <w:szCs w:val="24"/>
        </w:rPr>
        <w:t>13</w:t>
      </w:r>
      <w:r w:rsidRPr="009E4EDA">
        <w:rPr>
          <w:rFonts w:ascii="Book Antiqua" w:hAnsi="Book Antiqua"/>
          <w:sz w:val="24"/>
          <w:szCs w:val="24"/>
        </w:rPr>
        <w:t>: 2-9 [PMID: 22188910 DOI: 10.1111/j.1751-2980.2011.00550.x]</w:t>
      </w:r>
    </w:p>
    <w:p w14:paraId="4C23A3D9"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31 </w:t>
      </w:r>
      <w:r w:rsidRPr="009E4EDA">
        <w:rPr>
          <w:rFonts w:ascii="Book Antiqua" w:hAnsi="Book Antiqua"/>
          <w:b/>
          <w:sz w:val="24"/>
          <w:szCs w:val="24"/>
        </w:rPr>
        <w:t>Rugge M</w:t>
      </w:r>
      <w:r w:rsidRPr="009E4EDA">
        <w:rPr>
          <w:rFonts w:ascii="Book Antiqua" w:hAnsi="Book Antiqua"/>
          <w:sz w:val="24"/>
          <w:szCs w:val="24"/>
        </w:rPr>
        <w:t xml:space="preserve">, Meggio A, Pennelli G, Piscioli F, Giacomelli L, De Pretis G, Graham DY. Gastritis staging in clinical practice: the OLGA staging system. </w:t>
      </w:r>
      <w:r w:rsidRPr="009E4EDA">
        <w:rPr>
          <w:rFonts w:ascii="Book Antiqua" w:hAnsi="Book Antiqua"/>
          <w:i/>
          <w:sz w:val="24"/>
          <w:szCs w:val="24"/>
        </w:rPr>
        <w:t>Gut</w:t>
      </w:r>
      <w:r w:rsidRPr="009E4EDA">
        <w:rPr>
          <w:rFonts w:ascii="Book Antiqua" w:hAnsi="Book Antiqua"/>
          <w:sz w:val="24"/>
          <w:szCs w:val="24"/>
        </w:rPr>
        <w:t xml:space="preserve"> 2007; </w:t>
      </w:r>
      <w:r w:rsidRPr="009E4EDA">
        <w:rPr>
          <w:rFonts w:ascii="Book Antiqua" w:hAnsi="Book Antiqua"/>
          <w:b/>
          <w:sz w:val="24"/>
          <w:szCs w:val="24"/>
        </w:rPr>
        <w:t>56</w:t>
      </w:r>
      <w:r w:rsidRPr="009E4EDA">
        <w:rPr>
          <w:rFonts w:ascii="Book Antiqua" w:hAnsi="Book Antiqua"/>
          <w:sz w:val="24"/>
          <w:szCs w:val="24"/>
        </w:rPr>
        <w:t>: 631-636 [PMID: 17142647 DOI: 10.1136/gut.2006.106666]</w:t>
      </w:r>
    </w:p>
    <w:p w14:paraId="0E519F31"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32 </w:t>
      </w:r>
      <w:r w:rsidRPr="009E4EDA">
        <w:rPr>
          <w:rFonts w:ascii="Book Antiqua" w:hAnsi="Book Antiqua"/>
          <w:b/>
          <w:sz w:val="24"/>
          <w:szCs w:val="24"/>
        </w:rPr>
        <w:t>Dixon MF</w:t>
      </w:r>
      <w:r w:rsidRPr="009E4EDA">
        <w:rPr>
          <w:rFonts w:ascii="Book Antiqua" w:hAnsi="Book Antiqua"/>
          <w:sz w:val="24"/>
          <w:szCs w:val="24"/>
        </w:rPr>
        <w:t xml:space="preserve">, Genta RM, Yardley JH, Correa P. Classification and grading of gastritis. The updated Sydney System. International Workshop on the Histopathology of Gastritis, Houston 1994. </w:t>
      </w:r>
      <w:r w:rsidRPr="009E4EDA">
        <w:rPr>
          <w:rFonts w:ascii="Book Antiqua" w:hAnsi="Book Antiqua"/>
          <w:i/>
          <w:sz w:val="24"/>
          <w:szCs w:val="24"/>
        </w:rPr>
        <w:t>Am J Surg Pathol</w:t>
      </w:r>
      <w:r w:rsidRPr="009E4EDA">
        <w:rPr>
          <w:rFonts w:ascii="Book Antiqua" w:hAnsi="Book Antiqua"/>
          <w:sz w:val="24"/>
          <w:szCs w:val="24"/>
        </w:rPr>
        <w:t xml:space="preserve"> 1996; </w:t>
      </w:r>
      <w:r w:rsidRPr="009E4EDA">
        <w:rPr>
          <w:rFonts w:ascii="Book Antiqua" w:hAnsi="Book Antiqua"/>
          <w:b/>
          <w:sz w:val="24"/>
          <w:szCs w:val="24"/>
        </w:rPr>
        <w:t>20</w:t>
      </w:r>
      <w:r w:rsidRPr="009E4EDA">
        <w:rPr>
          <w:rFonts w:ascii="Book Antiqua" w:hAnsi="Book Antiqua"/>
          <w:sz w:val="24"/>
          <w:szCs w:val="24"/>
        </w:rPr>
        <w:t>: 1161-1181 [PMID: 8827022]</w:t>
      </w:r>
    </w:p>
    <w:p w14:paraId="6C54C8BB"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33 </w:t>
      </w:r>
      <w:r w:rsidRPr="009E4EDA">
        <w:rPr>
          <w:rFonts w:ascii="Book Antiqua" w:hAnsi="Book Antiqua"/>
          <w:b/>
          <w:sz w:val="24"/>
          <w:szCs w:val="24"/>
        </w:rPr>
        <w:t>Lee JY</w:t>
      </w:r>
      <w:r w:rsidRPr="009E4EDA">
        <w:rPr>
          <w:rFonts w:ascii="Book Antiqua" w:hAnsi="Book Antiqua"/>
          <w:sz w:val="24"/>
          <w:szCs w:val="24"/>
        </w:rPr>
        <w:t xml:space="preserve">, Kim N. Diagnosis of Helicobacter pylori by invasive test: histology. </w:t>
      </w:r>
      <w:r w:rsidRPr="009E4EDA">
        <w:rPr>
          <w:rFonts w:ascii="Book Antiqua" w:hAnsi="Book Antiqua"/>
          <w:i/>
          <w:sz w:val="24"/>
          <w:szCs w:val="24"/>
        </w:rPr>
        <w:t>Ann Transl Med</w:t>
      </w:r>
      <w:r w:rsidRPr="009E4EDA">
        <w:rPr>
          <w:rFonts w:ascii="Book Antiqua" w:hAnsi="Book Antiqua"/>
          <w:sz w:val="24"/>
          <w:szCs w:val="24"/>
        </w:rPr>
        <w:t xml:space="preserve"> 2015; </w:t>
      </w:r>
      <w:r w:rsidRPr="009E4EDA">
        <w:rPr>
          <w:rFonts w:ascii="Book Antiqua" w:hAnsi="Book Antiqua"/>
          <w:b/>
          <w:sz w:val="24"/>
          <w:szCs w:val="24"/>
        </w:rPr>
        <w:t>3</w:t>
      </w:r>
      <w:r w:rsidRPr="009E4EDA">
        <w:rPr>
          <w:rFonts w:ascii="Book Antiqua" w:hAnsi="Book Antiqua"/>
          <w:sz w:val="24"/>
          <w:szCs w:val="24"/>
        </w:rPr>
        <w:t>: 10 [PMID: 25705642 DOI: 10.3978/j.issn.2305-5839.2014.11.03]</w:t>
      </w:r>
    </w:p>
    <w:p w14:paraId="0BA5950A"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34 </w:t>
      </w:r>
      <w:r w:rsidRPr="009E4EDA">
        <w:rPr>
          <w:rFonts w:ascii="Book Antiqua" w:hAnsi="Book Antiqua"/>
          <w:b/>
          <w:sz w:val="24"/>
          <w:szCs w:val="24"/>
        </w:rPr>
        <w:t>Shin CM</w:t>
      </w:r>
      <w:r w:rsidRPr="009E4EDA">
        <w:rPr>
          <w:rFonts w:ascii="Book Antiqua" w:hAnsi="Book Antiqua"/>
          <w:sz w:val="24"/>
          <w:szCs w:val="24"/>
        </w:rPr>
        <w:t xml:space="preserve">, Kim N, Lee HS, Lee HE, Lee SH, Park YS, Hwang JH, Kim JW, Jeong SH, Lee DH, Jung HC, Song IS. Validation of diagnostic tests for Helicobacter pylori with regard to grade of atrophic gastritis and/or intestinal metaplasia. </w:t>
      </w:r>
      <w:r w:rsidRPr="009E4EDA">
        <w:rPr>
          <w:rFonts w:ascii="Book Antiqua" w:hAnsi="Book Antiqua"/>
          <w:i/>
          <w:sz w:val="24"/>
          <w:szCs w:val="24"/>
        </w:rPr>
        <w:t>Helicobacter</w:t>
      </w:r>
      <w:r w:rsidRPr="009E4EDA">
        <w:rPr>
          <w:rFonts w:ascii="Book Antiqua" w:hAnsi="Book Antiqua"/>
          <w:sz w:val="24"/>
          <w:szCs w:val="24"/>
        </w:rPr>
        <w:t xml:space="preserve"> 2009; </w:t>
      </w:r>
      <w:r w:rsidRPr="009E4EDA">
        <w:rPr>
          <w:rFonts w:ascii="Book Antiqua" w:hAnsi="Book Antiqua"/>
          <w:b/>
          <w:sz w:val="24"/>
          <w:szCs w:val="24"/>
        </w:rPr>
        <w:t>14</w:t>
      </w:r>
      <w:r w:rsidRPr="009E4EDA">
        <w:rPr>
          <w:rFonts w:ascii="Book Antiqua" w:hAnsi="Book Antiqua"/>
          <w:sz w:val="24"/>
          <w:szCs w:val="24"/>
        </w:rPr>
        <w:t>: 512-519 [PMID: 19889068 DOI: 10.1111/j.1523-5378.2009.00726.x]</w:t>
      </w:r>
    </w:p>
    <w:p w14:paraId="6A5351B5"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35 </w:t>
      </w:r>
      <w:r w:rsidRPr="009E4EDA">
        <w:rPr>
          <w:rFonts w:ascii="Book Antiqua" w:hAnsi="Book Antiqua"/>
          <w:b/>
          <w:sz w:val="24"/>
          <w:szCs w:val="24"/>
        </w:rPr>
        <w:t>Testerman TL</w:t>
      </w:r>
      <w:r w:rsidRPr="009E4EDA">
        <w:rPr>
          <w:rFonts w:ascii="Book Antiqua" w:hAnsi="Book Antiqua"/>
          <w:sz w:val="24"/>
          <w:szCs w:val="24"/>
        </w:rPr>
        <w:t xml:space="preserve">, Morris J. Beyond the stomach: an updated view of Helicobacter pylori pathogenesis, diagnosis, and treatment. </w:t>
      </w:r>
      <w:r w:rsidRPr="009E4EDA">
        <w:rPr>
          <w:rFonts w:ascii="Book Antiqua" w:hAnsi="Book Antiqua"/>
          <w:i/>
          <w:sz w:val="24"/>
          <w:szCs w:val="24"/>
        </w:rPr>
        <w:t>World J Gastroenterol</w:t>
      </w:r>
      <w:r w:rsidRPr="009E4EDA">
        <w:rPr>
          <w:rFonts w:ascii="Book Antiqua" w:hAnsi="Book Antiqua"/>
          <w:sz w:val="24"/>
          <w:szCs w:val="24"/>
        </w:rPr>
        <w:t xml:space="preserve"> 2014; </w:t>
      </w:r>
      <w:r w:rsidRPr="009E4EDA">
        <w:rPr>
          <w:rFonts w:ascii="Book Antiqua" w:hAnsi="Book Antiqua"/>
          <w:b/>
          <w:sz w:val="24"/>
          <w:szCs w:val="24"/>
        </w:rPr>
        <w:t>20</w:t>
      </w:r>
      <w:r w:rsidRPr="009E4EDA">
        <w:rPr>
          <w:rFonts w:ascii="Book Antiqua" w:hAnsi="Book Antiqua"/>
          <w:sz w:val="24"/>
          <w:szCs w:val="24"/>
        </w:rPr>
        <w:t>: 12781-12808 [PMID: 25278678 DOI: 10.3748/wjg.v20.i36.12781]</w:t>
      </w:r>
    </w:p>
    <w:p w14:paraId="19728BFC"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36 </w:t>
      </w:r>
      <w:r w:rsidRPr="009E4EDA">
        <w:rPr>
          <w:rFonts w:ascii="Book Antiqua" w:hAnsi="Book Antiqua"/>
          <w:b/>
          <w:sz w:val="24"/>
          <w:szCs w:val="24"/>
        </w:rPr>
        <w:t>Malfertheiner P</w:t>
      </w:r>
      <w:r w:rsidRPr="009E4EDA">
        <w:rPr>
          <w:rFonts w:ascii="Book Antiqua" w:hAnsi="Book Antiqua"/>
          <w:sz w:val="24"/>
          <w:szCs w:val="24"/>
        </w:rPr>
        <w:t xml:space="preserve">, Megraud F, O'Morain CA, Gisbert JP, Kuipers EJ, Axon AT, Bazzoli F, Gasbarrini A, Atherton J, Graham DY, Hunt R, Moayyedi P, Rokkas T, Rugge M, Selgrad M, Suerbaum S, Sugano K, El-Omar EM; European Helicobacter and Microbiota Study Group and Consensus panel. Management of Helicobacter pylori infection-the Maastricht V/Florence Consensus Report. </w:t>
      </w:r>
      <w:r w:rsidRPr="009E4EDA">
        <w:rPr>
          <w:rFonts w:ascii="Book Antiqua" w:hAnsi="Book Antiqua"/>
          <w:i/>
          <w:sz w:val="24"/>
          <w:szCs w:val="24"/>
        </w:rPr>
        <w:t>Gut</w:t>
      </w:r>
      <w:r w:rsidRPr="009E4EDA">
        <w:rPr>
          <w:rFonts w:ascii="Book Antiqua" w:hAnsi="Book Antiqua"/>
          <w:sz w:val="24"/>
          <w:szCs w:val="24"/>
        </w:rPr>
        <w:t xml:space="preserve"> 2017; </w:t>
      </w:r>
      <w:r w:rsidRPr="009E4EDA">
        <w:rPr>
          <w:rFonts w:ascii="Book Antiqua" w:hAnsi="Book Antiqua"/>
          <w:b/>
          <w:sz w:val="24"/>
          <w:szCs w:val="24"/>
        </w:rPr>
        <w:t>66</w:t>
      </w:r>
      <w:r w:rsidRPr="009E4EDA">
        <w:rPr>
          <w:rFonts w:ascii="Book Antiqua" w:hAnsi="Book Antiqua"/>
          <w:sz w:val="24"/>
          <w:szCs w:val="24"/>
        </w:rPr>
        <w:t>: 6-30 [PMID: 27707777 DOI: 10.1136/gutjnl-2016-312288]</w:t>
      </w:r>
    </w:p>
    <w:p w14:paraId="5A71065B"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37 </w:t>
      </w:r>
      <w:r w:rsidRPr="009E4EDA">
        <w:rPr>
          <w:rFonts w:ascii="Book Antiqua" w:hAnsi="Book Antiqua"/>
          <w:b/>
          <w:sz w:val="24"/>
          <w:szCs w:val="24"/>
        </w:rPr>
        <w:t>Rugge M</w:t>
      </w:r>
      <w:r w:rsidRPr="009E4EDA">
        <w:rPr>
          <w:rFonts w:ascii="Book Antiqua" w:hAnsi="Book Antiqua"/>
          <w:sz w:val="24"/>
          <w:szCs w:val="24"/>
        </w:rPr>
        <w:t xml:space="preserve">, Sugano K, Scarpignato C, Sacchi D, Oblitas WJ, Naccarato AG. Gastric cancer prevention targeted on risk assessment: Gastritis OLGA staging. </w:t>
      </w:r>
      <w:r w:rsidRPr="009E4EDA">
        <w:rPr>
          <w:rFonts w:ascii="Book Antiqua" w:hAnsi="Book Antiqua"/>
          <w:i/>
          <w:sz w:val="24"/>
          <w:szCs w:val="24"/>
        </w:rPr>
        <w:t>Helicobacter</w:t>
      </w:r>
      <w:r w:rsidRPr="009E4EDA">
        <w:rPr>
          <w:rFonts w:ascii="Book Antiqua" w:hAnsi="Book Antiqua"/>
          <w:sz w:val="24"/>
          <w:szCs w:val="24"/>
        </w:rPr>
        <w:t xml:space="preserve"> 2019; </w:t>
      </w:r>
      <w:r w:rsidRPr="009E4EDA">
        <w:rPr>
          <w:rFonts w:ascii="Book Antiqua" w:hAnsi="Book Antiqua"/>
          <w:b/>
          <w:sz w:val="24"/>
          <w:szCs w:val="24"/>
        </w:rPr>
        <w:t>24</w:t>
      </w:r>
      <w:r w:rsidRPr="009E4EDA">
        <w:rPr>
          <w:rFonts w:ascii="Book Antiqua" w:hAnsi="Book Antiqua"/>
          <w:sz w:val="24"/>
          <w:szCs w:val="24"/>
        </w:rPr>
        <w:t>: e12571 [PMID: 30773732 DOI: 10.1111/hel.12571]</w:t>
      </w:r>
    </w:p>
    <w:p w14:paraId="3D0DB9A9"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38 </w:t>
      </w:r>
      <w:r w:rsidRPr="009E4EDA">
        <w:rPr>
          <w:rFonts w:ascii="Book Antiqua" w:hAnsi="Book Antiqua"/>
          <w:b/>
          <w:sz w:val="24"/>
          <w:szCs w:val="24"/>
        </w:rPr>
        <w:t>Isajevs S</w:t>
      </w:r>
      <w:r w:rsidRPr="009E4EDA">
        <w:rPr>
          <w:rFonts w:ascii="Book Antiqua" w:hAnsi="Book Antiqua"/>
          <w:sz w:val="24"/>
          <w:szCs w:val="24"/>
        </w:rPr>
        <w:t xml:space="preserve">, Liepniece-Karele I, Janciauskas D, Moisejevs G, Putnins V, Funka K, Kikuste I, Vanags A, Tolmanis I, Leja M. Gastritis staging: interobserver agreement by applying OLGA and OLGIM systems. </w:t>
      </w:r>
      <w:r w:rsidRPr="009E4EDA">
        <w:rPr>
          <w:rFonts w:ascii="Book Antiqua" w:hAnsi="Book Antiqua"/>
          <w:i/>
          <w:sz w:val="24"/>
          <w:szCs w:val="24"/>
        </w:rPr>
        <w:t>Virchows Arch</w:t>
      </w:r>
      <w:r w:rsidRPr="009E4EDA">
        <w:rPr>
          <w:rFonts w:ascii="Book Antiqua" w:hAnsi="Book Antiqua"/>
          <w:sz w:val="24"/>
          <w:szCs w:val="24"/>
        </w:rPr>
        <w:t xml:space="preserve"> 2014; </w:t>
      </w:r>
      <w:r w:rsidRPr="009E4EDA">
        <w:rPr>
          <w:rFonts w:ascii="Book Antiqua" w:hAnsi="Book Antiqua"/>
          <w:b/>
          <w:sz w:val="24"/>
          <w:szCs w:val="24"/>
        </w:rPr>
        <w:t>464</w:t>
      </w:r>
      <w:r w:rsidRPr="009E4EDA">
        <w:rPr>
          <w:rFonts w:ascii="Book Antiqua" w:hAnsi="Book Antiqua"/>
          <w:sz w:val="24"/>
          <w:szCs w:val="24"/>
        </w:rPr>
        <w:t>: 403-407 [PMID: 24477629 DOI: 10.1007/s00428-014-1544-3]</w:t>
      </w:r>
    </w:p>
    <w:p w14:paraId="529851C0"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39 </w:t>
      </w:r>
      <w:r w:rsidRPr="009E4EDA">
        <w:rPr>
          <w:rFonts w:ascii="Book Antiqua" w:hAnsi="Book Antiqua"/>
          <w:b/>
          <w:sz w:val="24"/>
          <w:szCs w:val="24"/>
        </w:rPr>
        <w:t>Eriksson NK</w:t>
      </w:r>
      <w:r w:rsidRPr="009E4EDA">
        <w:rPr>
          <w:rFonts w:ascii="Book Antiqua" w:hAnsi="Book Antiqua"/>
          <w:sz w:val="24"/>
          <w:szCs w:val="24"/>
        </w:rPr>
        <w:t xml:space="preserve">, Kärkkäinen PA, Färkkilä MA, Arkkila PE. Prevalence and distribution of gastric intestinal metaplasia and its subtypes. </w:t>
      </w:r>
      <w:r w:rsidRPr="009E4EDA">
        <w:rPr>
          <w:rFonts w:ascii="Book Antiqua" w:hAnsi="Book Antiqua"/>
          <w:i/>
          <w:sz w:val="24"/>
          <w:szCs w:val="24"/>
        </w:rPr>
        <w:t>Dig Liver Dis</w:t>
      </w:r>
      <w:r w:rsidRPr="009E4EDA">
        <w:rPr>
          <w:rFonts w:ascii="Book Antiqua" w:hAnsi="Book Antiqua"/>
          <w:sz w:val="24"/>
          <w:szCs w:val="24"/>
        </w:rPr>
        <w:t xml:space="preserve"> 2008; </w:t>
      </w:r>
      <w:r w:rsidRPr="009E4EDA">
        <w:rPr>
          <w:rFonts w:ascii="Book Antiqua" w:hAnsi="Book Antiqua"/>
          <w:b/>
          <w:sz w:val="24"/>
          <w:szCs w:val="24"/>
        </w:rPr>
        <w:t>40</w:t>
      </w:r>
      <w:r w:rsidRPr="009E4EDA">
        <w:rPr>
          <w:rFonts w:ascii="Book Antiqua" w:hAnsi="Book Antiqua"/>
          <w:sz w:val="24"/>
          <w:szCs w:val="24"/>
        </w:rPr>
        <w:t>: 355-360 [PMID: 18291729 DOI: 10.1016/j.dld.2007.12.012]</w:t>
      </w:r>
    </w:p>
    <w:p w14:paraId="388505EC"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40 </w:t>
      </w:r>
      <w:r w:rsidRPr="009E4EDA">
        <w:rPr>
          <w:rFonts w:ascii="Book Antiqua" w:hAnsi="Book Antiqua"/>
          <w:b/>
          <w:sz w:val="24"/>
          <w:szCs w:val="24"/>
        </w:rPr>
        <w:t>Correa P</w:t>
      </w:r>
      <w:r w:rsidRPr="009E4EDA">
        <w:rPr>
          <w:rFonts w:ascii="Book Antiqua" w:hAnsi="Book Antiqua"/>
          <w:sz w:val="24"/>
          <w:szCs w:val="24"/>
        </w:rPr>
        <w:t xml:space="preserve">, Haenszel W, Cuello C, Tannenbaum S, Archer M. A model for gastric cancer epidemiology. </w:t>
      </w:r>
      <w:r w:rsidRPr="009E4EDA">
        <w:rPr>
          <w:rFonts w:ascii="Book Antiqua" w:hAnsi="Book Antiqua"/>
          <w:i/>
          <w:sz w:val="24"/>
          <w:szCs w:val="24"/>
        </w:rPr>
        <w:t>Lancet</w:t>
      </w:r>
      <w:r w:rsidRPr="009E4EDA">
        <w:rPr>
          <w:rFonts w:ascii="Book Antiqua" w:hAnsi="Book Antiqua"/>
          <w:sz w:val="24"/>
          <w:szCs w:val="24"/>
        </w:rPr>
        <w:t xml:space="preserve"> 1975; </w:t>
      </w:r>
      <w:r w:rsidRPr="009E4EDA">
        <w:rPr>
          <w:rFonts w:ascii="Book Antiqua" w:hAnsi="Book Antiqua"/>
          <w:b/>
          <w:sz w:val="24"/>
          <w:szCs w:val="24"/>
        </w:rPr>
        <w:t>2</w:t>
      </w:r>
      <w:r w:rsidRPr="009E4EDA">
        <w:rPr>
          <w:rFonts w:ascii="Book Antiqua" w:hAnsi="Book Antiqua"/>
          <w:sz w:val="24"/>
          <w:szCs w:val="24"/>
        </w:rPr>
        <w:t>: 58-60 [PMID: 49653]</w:t>
      </w:r>
    </w:p>
    <w:p w14:paraId="6240FA09"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41 </w:t>
      </w:r>
      <w:r w:rsidRPr="009E4EDA">
        <w:rPr>
          <w:rFonts w:ascii="Book Antiqua" w:hAnsi="Book Antiqua"/>
          <w:b/>
          <w:sz w:val="24"/>
          <w:szCs w:val="24"/>
        </w:rPr>
        <w:t>Coati I</w:t>
      </w:r>
      <w:r w:rsidRPr="009E4EDA">
        <w:rPr>
          <w:rFonts w:ascii="Book Antiqua" w:hAnsi="Book Antiqua"/>
          <w:sz w:val="24"/>
          <w:szCs w:val="24"/>
        </w:rPr>
        <w:t xml:space="preserve">, Fassan M, Farinati F, Graham DY, Genta RM, Rugge M. Autoimmune gastritis: Pathologist's viewpoint. </w:t>
      </w:r>
      <w:r w:rsidRPr="009E4EDA">
        <w:rPr>
          <w:rFonts w:ascii="Book Antiqua" w:hAnsi="Book Antiqua"/>
          <w:i/>
          <w:sz w:val="24"/>
          <w:szCs w:val="24"/>
        </w:rPr>
        <w:t>World J Gastroenterol</w:t>
      </w:r>
      <w:r w:rsidRPr="009E4EDA">
        <w:rPr>
          <w:rFonts w:ascii="Book Antiqua" w:hAnsi="Book Antiqua"/>
          <w:sz w:val="24"/>
          <w:szCs w:val="24"/>
        </w:rPr>
        <w:t xml:space="preserve"> 2015; </w:t>
      </w:r>
      <w:r w:rsidRPr="009E4EDA">
        <w:rPr>
          <w:rFonts w:ascii="Book Antiqua" w:hAnsi="Book Antiqua"/>
          <w:b/>
          <w:sz w:val="24"/>
          <w:szCs w:val="24"/>
        </w:rPr>
        <w:t>21</w:t>
      </w:r>
      <w:r w:rsidRPr="009E4EDA">
        <w:rPr>
          <w:rFonts w:ascii="Book Antiqua" w:hAnsi="Book Antiqua"/>
          <w:sz w:val="24"/>
          <w:szCs w:val="24"/>
        </w:rPr>
        <w:t>: 12179-12189 [PMID: 26576102 DOI: 10.3748/wjg.v21.i42.12179]</w:t>
      </w:r>
    </w:p>
    <w:p w14:paraId="71C51A29"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42 </w:t>
      </w:r>
      <w:r w:rsidRPr="009E4EDA">
        <w:rPr>
          <w:rFonts w:ascii="Book Antiqua" w:hAnsi="Book Antiqua"/>
          <w:b/>
          <w:sz w:val="24"/>
          <w:szCs w:val="24"/>
        </w:rPr>
        <w:t>Xu Q</w:t>
      </w:r>
      <w:r w:rsidRPr="009E4EDA">
        <w:rPr>
          <w:rFonts w:ascii="Book Antiqua" w:hAnsi="Book Antiqua"/>
          <w:sz w:val="24"/>
          <w:szCs w:val="24"/>
        </w:rPr>
        <w:t xml:space="preserve">, Chen MY, He CY, Sun LP, Yuan Y. Promoter polymorphisms in trefoil factor 2 and trefoil factor 3 genes and susceptibility to gastric cancer and atrophic gastritis among Chinese population. </w:t>
      </w:r>
      <w:r w:rsidRPr="009E4EDA">
        <w:rPr>
          <w:rFonts w:ascii="Book Antiqua" w:hAnsi="Book Antiqua"/>
          <w:i/>
          <w:sz w:val="24"/>
          <w:szCs w:val="24"/>
        </w:rPr>
        <w:t>Gene</w:t>
      </w:r>
      <w:r w:rsidRPr="009E4EDA">
        <w:rPr>
          <w:rFonts w:ascii="Book Antiqua" w:hAnsi="Book Antiqua"/>
          <w:sz w:val="24"/>
          <w:szCs w:val="24"/>
        </w:rPr>
        <w:t xml:space="preserve"> 2013; </w:t>
      </w:r>
      <w:r w:rsidRPr="009E4EDA">
        <w:rPr>
          <w:rFonts w:ascii="Book Antiqua" w:hAnsi="Book Antiqua"/>
          <w:b/>
          <w:sz w:val="24"/>
          <w:szCs w:val="24"/>
        </w:rPr>
        <w:t>529</w:t>
      </w:r>
      <w:r w:rsidRPr="009E4EDA">
        <w:rPr>
          <w:rFonts w:ascii="Book Antiqua" w:hAnsi="Book Antiqua"/>
          <w:sz w:val="24"/>
          <w:szCs w:val="24"/>
        </w:rPr>
        <w:t>: 104-112 [PMID: 23933418 DOI: 10.1016/j.gene.2013.07.070]</w:t>
      </w:r>
    </w:p>
    <w:p w14:paraId="31899081"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43 </w:t>
      </w:r>
      <w:r w:rsidRPr="009E4EDA">
        <w:rPr>
          <w:rFonts w:ascii="Book Antiqua" w:hAnsi="Book Antiqua"/>
          <w:b/>
          <w:sz w:val="24"/>
          <w:szCs w:val="24"/>
        </w:rPr>
        <w:t>Rugge M</w:t>
      </w:r>
      <w:r w:rsidRPr="009E4EDA">
        <w:rPr>
          <w:rFonts w:ascii="Book Antiqua" w:hAnsi="Book Antiqua"/>
          <w:sz w:val="24"/>
          <w:szCs w:val="24"/>
        </w:rPr>
        <w:t xml:space="preserve">, Pennelli G, Pilozzi E, Fassan M, Ingravallo G, Russo VM, Di Mario F; Gruppo Italiano Patologi Apparato Digerente (GIPAD); Società Italiana di Anatomia Patologica e Citopatologia Diagnostica/International Academy of Pathology, Italian division (SIAPEC/IAP). Gastritis: the histology report. </w:t>
      </w:r>
      <w:r w:rsidRPr="009E4EDA">
        <w:rPr>
          <w:rFonts w:ascii="Book Antiqua" w:hAnsi="Book Antiqua"/>
          <w:i/>
          <w:sz w:val="24"/>
          <w:szCs w:val="24"/>
        </w:rPr>
        <w:t>Dig Liver Dis</w:t>
      </w:r>
      <w:r w:rsidRPr="009E4EDA">
        <w:rPr>
          <w:rFonts w:ascii="Book Antiqua" w:hAnsi="Book Antiqua"/>
          <w:sz w:val="24"/>
          <w:szCs w:val="24"/>
        </w:rPr>
        <w:t xml:space="preserve"> 2011; </w:t>
      </w:r>
      <w:r w:rsidRPr="009E4EDA">
        <w:rPr>
          <w:rFonts w:ascii="Book Antiqua" w:hAnsi="Book Antiqua"/>
          <w:b/>
          <w:sz w:val="24"/>
          <w:szCs w:val="24"/>
        </w:rPr>
        <w:t>43 Suppl 4</w:t>
      </w:r>
      <w:r w:rsidRPr="009E4EDA">
        <w:rPr>
          <w:rFonts w:ascii="Book Antiqua" w:hAnsi="Book Antiqua"/>
          <w:sz w:val="24"/>
          <w:szCs w:val="24"/>
        </w:rPr>
        <w:t>: S373-S384 [PMID: 21459343 DOI: 10.1016/S1590-8658(11)60593-8]</w:t>
      </w:r>
    </w:p>
    <w:p w14:paraId="05797737"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44 </w:t>
      </w:r>
      <w:r w:rsidRPr="009E4EDA">
        <w:rPr>
          <w:rFonts w:ascii="Book Antiqua" w:hAnsi="Book Antiqua"/>
          <w:b/>
          <w:sz w:val="24"/>
          <w:szCs w:val="24"/>
        </w:rPr>
        <w:t>Pittman ME</w:t>
      </w:r>
      <w:r w:rsidRPr="009E4EDA">
        <w:rPr>
          <w:rFonts w:ascii="Book Antiqua" w:hAnsi="Book Antiqua"/>
          <w:sz w:val="24"/>
          <w:szCs w:val="24"/>
        </w:rPr>
        <w:t xml:space="preserve">, Voltaggio L, Bhaijee F, Robertson SA, Montgomery EA. Autoimmune Metaplastic Atrophic Gastritis: Recognizing Precursor Lesions for Appropriate Patient Evaluation. </w:t>
      </w:r>
      <w:r w:rsidRPr="009E4EDA">
        <w:rPr>
          <w:rFonts w:ascii="Book Antiqua" w:hAnsi="Book Antiqua"/>
          <w:i/>
          <w:sz w:val="24"/>
          <w:szCs w:val="24"/>
        </w:rPr>
        <w:t>Am J Surg Pathol</w:t>
      </w:r>
      <w:r w:rsidRPr="009E4EDA">
        <w:rPr>
          <w:rFonts w:ascii="Book Antiqua" w:hAnsi="Book Antiqua"/>
          <w:sz w:val="24"/>
          <w:szCs w:val="24"/>
        </w:rPr>
        <w:t xml:space="preserve"> 2015; </w:t>
      </w:r>
      <w:r w:rsidRPr="009E4EDA">
        <w:rPr>
          <w:rFonts w:ascii="Book Antiqua" w:hAnsi="Book Antiqua"/>
          <w:b/>
          <w:sz w:val="24"/>
          <w:szCs w:val="24"/>
        </w:rPr>
        <w:t>39</w:t>
      </w:r>
      <w:r w:rsidRPr="009E4EDA">
        <w:rPr>
          <w:rFonts w:ascii="Book Antiqua" w:hAnsi="Book Antiqua"/>
          <w:sz w:val="24"/>
          <w:szCs w:val="24"/>
        </w:rPr>
        <w:t>: 1611-1620 [PMID: 26291507 DOI: 10.1097/PAS.0000000000000481]</w:t>
      </w:r>
    </w:p>
    <w:p w14:paraId="1FDF1DFF"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45 </w:t>
      </w:r>
      <w:r w:rsidRPr="009E4EDA">
        <w:rPr>
          <w:rFonts w:ascii="Book Antiqua" w:hAnsi="Book Antiqua"/>
          <w:b/>
          <w:sz w:val="24"/>
          <w:szCs w:val="24"/>
        </w:rPr>
        <w:t>Minalyan A</w:t>
      </w:r>
      <w:r w:rsidRPr="009E4EDA">
        <w:rPr>
          <w:rFonts w:ascii="Book Antiqua" w:hAnsi="Book Antiqua"/>
          <w:sz w:val="24"/>
          <w:szCs w:val="24"/>
        </w:rPr>
        <w:t xml:space="preserve">, Benhammou JN, Artashesyan A, Lewis MS, Pisegna JR. Autoimmune atrophic gastritis: current perspectives. </w:t>
      </w:r>
      <w:r w:rsidRPr="009E4EDA">
        <w:rPr>
          <w:rFonts w:ascii="Book Antiqua" w:hAnsi="Book Antiqua"/>
          <w:i/>
          <w:sz w:val="24"/>
          <w:szCs w:val="24"/>
        </w:rPr>
        <w:t>Clin Exp Gastroenterol</w:t>
      </w:r>
      <w:r w:rsidRPr="009E4EDA">
        <w:rPr>
          <w:rFonts w:ascii="Book Antiqua" w:hAnsi="Book Antiqua"/>
          <w:sz w:val="24"/>
          <w:szCs w:val="24"/>
        </w:rPr>
        <w:t xml:space="preserve"> 2017; </w:t>
      </w:r>
      <w:r w:rsidRPr="009E4EDA">
        <w:rPr>
          <w:rFonts w:ascii="Book Antiqua" w:hAnsi="Book Antiqua"/>
          <w:b/>
          <w:sz w:val="24"/>
          <w:szCs w:val="24"/>
        </w:rPr>
        <w:t>10</w:t>
      </w:r>
      <w:r w:rsidRPr="009E4EDA">
        <w:rPr>
          <w:rFonts w:ascii="Book Antiqua" w:hAnsi="Book Antiqua"/>
          <w:sz w:val="24"/>
          <w:szCs w:val="24"/>
        </w:rPr>
        <w:t>: 19-27 [PMID: 28223833 DOI: 10.2147/CEG.S109123]</w:t>
      </w:r>
    </w:p>
    <w:p w14:paraId="4D8E8F23"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46 </w:t>
      </w:r>
      <w:r w:rsidRPr="009E4EDA">
        <w:rPr>
          <w:rFonts w:ascii="Book Antiqua" w:hAnsi="Book Antiqua"/>
          <w:b/>
          <w:sz w:val="24"/>
          <w:szCs w:val="24"/>
        </w:rPr>
        <w:t>Pimentel-Nunes P</w:t>
      </w:r>
      <w:r w:rsidRPr="009E4EDA">
        <w:rPr>
          <w:rFonts w:ascii="Book Antiqua" w:hAnsi="Book Antiqua"/>
          <w:sz w:val="24"/>
          <w:szCs w:val="24"/>
        </w:rPr>
        <w:t xml:space="preserve">, Libânio D, Marcos-Pinto R, Areia M, Leja M, Esposito G, Garrido M, Kikuste I, Megraud F, Matysiak-Budnik T, Annibale B, Dumonceau JM, Barros R, Fléjou JF, Carneiro F, van Hooft JE, Kuipers EJ, Dinis-Ribeiro M. Management of epithelial precancerous conditions and lesions in the stomach (MAPS II): European Society of Gastrointestinal Endoscopy (ESGE), European Helicobacter and Microbiota Study Group (EHMSG), European Society of Pathology (ESP), and Sociedade Portuguesa de Endoscopia Digestiva (SPED) guideline update 2019. </w:t>
      </w:r>
      <w:r w:rsidRPr="009E4EDA">
        <w:rPr>
          <w:rFonts w:ascii="Book Antiqua" w:hAnsi="Book Antiqua"/>
          <w:i/>
          <w:sz w:val="24"/>
          <w:szCs w:val="24"/>
        </w:rPr>
        <w:t>Endoscopy</w:t>
      </w:r>
      <w:r w:rsidRPr="009E4EDA">
        <w:rPr>
          <w:rFonts w:ascii="Book Antiqua" w:hAnsi="Book Antiqua"/>
          <w:sz w:val="24"/>
          <w:szCs w:val="24"/>
        </w:rPr>
        <w:t xml:space="preserve"> 2019; </w:t>
      </w:r>
      <w:r w:rsidRPr="009E4EDA">
        <w:rPr>
          <w:rFonts w:ascii="Book Antiqua" w:hAnsi="Book Antiqua"/>
          <w:b/>
          <w:sz w:val="24"/>
          <w:szCs w:val="24"/>
        </w:rPr>
        <w:t>51</w:t>
      </w:r>
      <w:r w:rsidRPr="009E4EDA">
        <w:rPr>
          <w:rFonts w:ascii="Book Antiqua" w:hAnsi="Book Antiqua"/>
          <w:sz w:val="24"/>
          <w:szCs w:val="24"/>
        </w:rPr>
        <w:t>: 365-388 [PMID: 30841008 DOI: 10.1055/a-0859-1883]</w:t>
      </w:r>
    </w:p>
    <w:p w14:paraId="711600D6"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47 </w:t>
      </w:r>
      <w:r w:rsidRPr="009E4EDA">
        <w:rPr>
          <w:rFonts w:ascii="Book Antiqua" w:hAnsi="Book Antiqua"/>
          <w:b/>
          <w:sz w:val="24"/>
          <w:szCs w:val="24"/>
        </w:rPr>
        <w:t>Babu SD</w:t>
      </w:r>
      <w:r w:rsidRPr="009E4EDA">
        <w:rPr>
          <w:rFonts w:ascii="Book Antiqua" w:hAnsi="Book Antiqua"/>
          <w:sz w:val="24"/>
          <w:szCs w:val="24"/>
        </w:rPr>
        <w:t xml:space="preserve">, Jayanthi V, Devaraj N, Reis CA, Devaraj H. Expression profile of mucins (MUC2, MUC5AC and MUC6) in Helicobacter pylori infected pre-neoplastic and neoplastic human gastric epithelium. </w:t>
      </w:r>
      <w:r w:rsidRPr="009E4EDA">
        <w:rPr>
          <w:rFonts w:ascii="Book Antiqua" w:hAnsi="Book Antiqua"/>
          <w:i/>
          <w:sz w:val="24"/>
          <w:szCs w:val="24"/>
        </w:rPr>
        <w:t>Mol Cancer</w:t>
      </w:r>
      <w:r w:rsidRPr="009E4EDA">
        <w:rPr>
          <w:rFonts w:ascii="Book Antiqua" w:hAnsi="Book Antiqua"/>
          <w:sz w:val="24"/>
          <w:szCs w:val="24"/>
        </w:rPr>
        <w:t xml:space="preserve"> 2006; </w:t>
      </w:r>
      <w:r w:rsidRPr="009E4EDA">
        <w:rPr>
          <w:rFonts w:ascii="Book Antiqua" w:hAnsi="Book Antiqua"/>
          <w:b/>
          <w:sz w:val="24"/>
          <w:szCs w:val="24"/>
        </w:rPr>
        <w:t>5</w:t>
      </w:r>
      <w:r w:rsidRPr="009E4EDA">
        <w:rPr>
          <w:rFonts w:ascii="Book Antiqua" w:hAnsi="Book Antiqua"/>
          <w:sz w:val="24"/>
          <w:szCs w:val="24"/>
        </w:rPr>
        <w:t>: 10 [PMID: 16545139 DOI: 10.1186/1476-4598-5-10]</w:t>
      </w:r>
    </w:p>
    <w:p w14:paraId="742B0AC0"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48 </w:t>
      </w:r>
      <w:r w:rsidRPr="009E4EDA">
        <w:rPr>
          <w:rFonts w:ascii="Book Antiqua" w:hAnsi="Book Antiqua"/>
          <w:b/>
          <w:sz w:val="24"/>
          <w:szCs w:val="24"/>
        </w:rPr>
        <w:t>Reis CA</w:t>
      </w:r>
      <w:r w:rsidRPr="009E4EDA">
        <w:rPr>
          <w:rFonts w:ascii="Book Antiqua" w:hAnsi="Book Antiqua"/>
          <w:sz w:val="24"/>
          <w:szCs w:val="24"/>
        </w:rPr>
        <w:t xml:space="preserve">, David L, Correa P, Carneiro F, de Bolós C, Garcia E, Mandel U, Clausen H, Sobrinho-Simões M. Intestinal metaplasia of human stomach displays distinct patterns of mucin (MUC1, MUC2, MUC5AC, and MUC6) expression. </w:t>
      </w:r>
      <w:r w:rsidRPr="009E4EDA">
        <w:rPr>
          <w:rFonts w:ascii="Book Antiqua" w:hAnsi="Book Antiqua"/>
          <w:i/>
          <w:sz w:val="24"/>
          <w:szCs w:val="24"/>
        </w:rPr>
        <w:t>Cancer Res</w:t>
      </w:r>
      <w:r w:rsidRPr="009E4EDA">
        <w:rPr>
          <w:rFonts w:ascii="Book Antiqua" w:hAnsi="Book Antiqua"/>
          <w:sz w:val="24"/>
          <w:szCs w:val="24"/>
        </w:rPr>
        <w:t xml:space="preserve"> 1999; </w:t>
      </w:r>
      <w:r w:rsidRPr="009E4EDA">
        <w:rPr>
          <w:rFonts w:ascii="Book Antiqua" w:hAnsi="Book Antiqua"/>
          <w:b/>
          <w:sz w:val="24"/>
          <w:szCs w:val="24"/>
        </w:rPr>
        <w:t>59</w:t>
      </w:r>
      <w:r w:rsidRPr="009E4EDA">
        <w:rPr>
          <w:rFonts w:ascii="Book Antiqua" w:hAnsi="Book Antiqua"/>
          <w:sz w:val="24"/>
          <w:szCs w:val="24"/>
        </w:rPr>
        <w:t>: 1003-1007 [PMID: 10070955]</w:t>
      </w:r>
    </w:p>
    <w:p w14:paraId="32484F14"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49 </w:t>
      </w:r>
      <w:r w:rsidRPr="009E4EDA">
        <w:rPr>
          <w:rFonts w:ascii="Book Antiqua" w:hAnsi="Book Antiqua"/>
          <w:b/>
          <w:sz w:val="24"/>
          <w:szCs w:val="24"/>
        </w:rPr>
        <w:t>Jung SH</w:t>
      </w:r>
      <w:r w:rsidRPr="009E4EDA">
        <w:rPr>
          <w:rFonts w:ascii="Book Antiqua" w:hAnsi="Book Antiqua"/>
          <w:sz w:val="24"/>
          <w:szCs w:val="24"/>
        </w:rPr>
        <w:t xml:space="preserve">, Chung WC, Lee KM, Paik CN, Jung JH, Lee MK, Lee YK, Chung IS. Risk factors in malignant transformation of gastric epithelial neoplasia categorized by the revised Vienna classification: endoscopic, pathological, and immunophenotypic features. </w:t>
      </w:r>
      <w:r w:rsidRPr="009E4EDA">
        <w:rPr>
          <w:rFonts w:ascii="Book Antiqua" w:hAnsi="Book Antiqua"/>
          <w:i/>
          <w:sz w:val="24"/>
          <w:szCs w:val="24"/>
        </w:rPr>
        <w:t>Gastric Cancer</w:t>
      </w:r>
      <w:r w:rsidRPr="009E4EDA">
        <w:rPr>
          <w:rFonts w:ascii="Book Antiqua" w:hAnsi="Book Antiqua"/>
          <w:sz w:val="24"/>
          <w:szCs w:val="24"/>
        </w:rPr>
        <w:t xml:space="preserve"> 2010; </w:t>
      </w:r>
      <w:r w:rsidRPr="009E4EDA">
        <w:rPr>
          <w:rFonts w:ascii="Book Antiqua" w:hAnsi="Book Antiqua"/>
          <w:b/>
          <w:sz w:val="24"/>
          <w:szCs w:val="24"/>
        </w:rPr>
        <w:t>13</w:t>
      </w:r>
      <w:r w:rsidRPr="009E4EDA">
        <w:rPr>
          <w:rFonts w:ascii="Book Antiqua" w:hAnsi="Book Antiqua"/>
          <w:sz w:val="24"/>
          <w:szCs w:val="24"/>
        </w:rPr>
        <w:t>: 123-130 [PMID: 20602200 DOI: 10.1007/s10120-010-0550-7]</w:t>
      </w:r>
    </w:p>
    <w:p w14:paraId="1B0E7853"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50 </w:t>
      </w:r>
      <w:r w:rsidRPr="009E4EDA">
        <w:rPr>
          <w:rFonts w:ascii="Book Antiqua" w:hAnsi="Book Antiqua"/>
          <w:b/>
          <w:sz w:val="24"/>
          <w:szCs w:val="24"/>
        </w:rPr>
        <w:t>Ikarashi S</w:t>
      </w:r>
      <w:r w:rsidRPr="009E4EDA">
        <w:rPr>
          <w:rFonts w:ascii="Book Antiqua" w:hAnsi="Book Antiqua"/>
          <w:sz w:val="24"/>
          <w:szCs w:val="24"/>
        </w:rPr>
        <w:t xml:space="preserve">, Nishikura K, Ajioka Y, Aoyagi Y. Re-evaluation of phenotypic expression in undifferentiated-type early gastric adenocarcinomas using mucin core protein and CDX2. </w:t>
      </w:r>
      <w:r w:rsidRPr="009E4EDA">
        <w:rPr>
          <w:rFonts w:ascii="Book Antiqua" w:hAnsi="Book Antiqua"/>
          <w:i/>
          <w:sz w:val="24"/>
          <w:szCs w:val="24"/>
        </w:rPr>
        <w:t>Gastric Cancer</w:t>
      </w:r>
      <w:r w:rsidRPr="009E4EDA">
        <w:rPr>
          <w:rFonts w:ascii="Book Antiqua" w:hAnsi="Book Antiqua"/>
          <w:sz w:val="24"/>
          <w:szCs w:val="24"/>
        </w:rPr>
        <w:t xml:space="preserve"> 2013; </w:t>
      </w:r>
      <w:r w:rsidRPr="009E4EDA">
        <w:rPr>
          <w:rFonts w:ascii="Book Antiqua" w:hAnsi="Book Antiqua"/>
          <w:b/>
          <w:sz w:val="24"/>
          <w:szCs w:val="24"/>
        </w:rPr>
        <w:t>16</w:t>
      </w:r>
      <w:r w:rsidRPr="009E4EDA">
        <w:rPr>
          <w:rFonts w:ascii="Book Antiqua" w:hAnsi="Book Antiqua"/>
          <w:sz w:val="24"/>
          <w:szCs w:val="24"/>
        </w:rPr>
        <w:t>: 208-219 [PMID: 22829163 DOI: 10.1007/s10120-012-0172-3]</w:t>
      </w:r>
    </w:p>
    <w:p w14:paraId="152ADBA0"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51 </w:t>
      </w:r>
      <w:r w:rsidRPr="009E4EDA">
        <w:rPr>
          <w:rFonts w:ascii="Book Antiqua" w:hAnsi="Book Antiqua"/>
          <w:b/>
          <w:sz w:val="24"/>
          <w:szCs w:val="24"/>
        </w:rPr>
        <w:t>Milne AN</w:t>
      </w:r>
      <w:r w:rsidRPr="009E4EDA">
        <w:rPr>
          <w:rFonts w:ascii="Book Antiqua" w:hAnsi="Book Antiqua"/>
          <w:sz w:val="24"/>
          <w:szCs w:val="24"/>
        </w:rPr>
        <w:t xml:space="preserve">, Sitarz R, Carvalho R, Carneiro F, Offerhaus GJ. Early onset gastric cancer: on the road to unraveling gastric carcinogenesis. </w:t>
      </w:r>
      <w:r w:rsidRPr="009E4EDA">
        <w:rPr>
          <w:rFonts w:ascii="Book Antiqua" w:hAnsi="Book Antiqua"/>
          <w:i/>
          <w:sz w:val="24"/>
          <w:szCs w:val="24"/>
        </w:rPr>
        <w:t>Curr Mol Med</w:t>
      </w:r>
      <w:r w:rsidRPr="009E4EDA">
        <w:rPr>
          <w:rFonts w:ascii="Book Antiqua" w:hAnsi="Book Antiqua"/>
          <w:sz w:val="24"/>
          <w:szCs w:val="24"/>
        </w:rPr>
        <w:t xml:space="preserve"> 2007; </w:t>
      </w:r>
      <w:r w:rsidRPr="009E4EDA">
        <w:rPr>
          <w:rFonts w:ascii="Book Antiqua" w:hAnsi="Book Antiqua"/>
          <w:b/>
          <w:sz w:val="24"/>
          <w:szCs w:val="24"/>
        </w:rPr>
        <w:t>7</w:t>
      </w:r>
      <w:r w:rsidRPr="009E4EDA">
        <w:rPr>
          <w:rFonts w:ascii="Book Antiqua" w:hAnsi="Book Antiqua"/>
          <w:sz w:val="24"/>
          <w:szCs w:val="24"/>
        </w:rPr>
        <w:t>: 15-28 [PMID: 17311530]</w:t>
      </w:r>
    </w:p>
    <w:p w14:paraId="283849F1"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52 </w:t>
      </w:r>
      <w:r w:rsidRPr="009E4EDA">
        <w:rPr>
          <w:rFonts w:ascii="Book Antiqua" w:hAnsi="Book Antiqua"/>
          <w:b/>
          <w:sz w:val="24"/>
          <w:szCs w:val="24"/>
        </w:rPr>
        <w:t>Ito K</w:t>
      </w:r>
      <w:r w:rsidRPr="009E4EDA">
        <w:rPr>
          <w:rFonts w:ascii="Book Antiqua" w:hAnsi="Book Antiqua"/>
          <w:sz w:val="24"/>
          <w:szCs w:val="24"/>
        </w:rPr>
        <w:t xml:space="preserve">, Liu Q, Salto-Tellez M, Yano T, Tada K, Ida H, Huang C, Shah N, Inoue M, Rajnakova A, Hiong KC, Peh BK, Han HC, Ito T, Teh M, Yeoh KG, Ito Y. RUNX3, a novel tumor suppressor, is frequently inactivated in gastric cancer by protein mislocalization. </w:t>
      </w:r>
      <w:r w:rsidRPr="009E4EDA">
        <w:rPr>
          <w:rFonts w:ascii="Book Antiqua" w:hAnsi="Book Antiqua"/>
          <w:i/>
          <w:sz w:val="24"/>
          <w:szCs w:val="24"/>
        </w:rPr>
        <w:t>Cancer Res</w:t>
      </w:r>
      <w:r w:rsidRPr="009E4EDA">
        <w:rPr>
          <w:rFonts w:ascii="Book Antiqua" w:hAnsi="Book Antiqua"/>
          <w:sz w:val="24"/>
          <w:szCs w:val="24"/>
        </w:rPr>
        <w:t xml:space="preserve"> 2005; </w:t>
      </w:r>
      <w:r w:rsidRPr="009E4EDA">
        <w:rPr>
          <w:rFonts w:ascii="Book Antiqua" w:hAnsi="Book Antiqua"/>
          <w:b/>
          <w:sz w:val="24"/>
          <w:szCs w:val="24"/>
        </w:rPr>
        <w:t>65</w:t>
      </w:r>
      <w:r w:rsidRPr="009E4EDA">
        <w:rPr>
          <w:rFonts w:ascii="Book Antiqua" w:hAnsi="Book Antiqua"/>
          <w:sz w:val="24"/>
          <w:szCs w:val="24"/>
        </w:rPr>
        <w:t>: 7743-7750 [PMID: 16140942 DOI: 10.1158/0008-5472.CAN-05-0743]</w:t>
      </w:r>
    </w:p>
    <w:p w14:paraId="12795A9A"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53 </w:t>
      </w:r>
      <w:r w:rsidRPr="009E4EDA">
        <w:rPr>
          <w:rFonts w:ascii="Book Antiqua" w:hAnsi="Book Antiqua"/>
          <w:b/>
          <w:sz w:val="24"/>
          <w:szCs w:val="24"/>
        </w:rPr>
        <w:t>Song JY</w:t>
      </w:r>
      <w:r w:rsidRPr="009E4EDA">
        <w:rPr>
          <w:rFonts w:ascii="Book Antiqua" w:hAnsi="Book Antiqua"/>
          <w:sz w:val="24"/>
          <w:szCs w:val="24"/>
        </w:rPr>
        <w:t xml:space="preserve">, Kim BW, Lee AW, Lee KY, Chung IS, Lee BI, Choi H, Ji JS, Chae HS, Choi KY. Expression of MUC5AC and Trefoil Peptide 1 (TFF1) in the Subtypes of Intestinal Metaplasia. </w:t>
      </w:r>
      <w:r w:rsidRPr="009E4EDA">
        <w:rPr>
          <w:rFonts w:ascii="Book Antiqua" w:hAnsi="Book Antiqua"/>
          <w:i/>
          <w:sz w:val="24"/>
          <w:szCs w:val="24"/>
        </w:rPr>
        <w:t>Clin Endosc</w:t>
      </w:r>
      <w:r w:rsidRPr="009E4EDA">
        <w:rPr>
          <w:rFonts w:ascii="Book Antiqua" w:hAnsi="Book Antiqua"/>
          <w:sz w:val="24"/>
          <w:szCs w:val="24"/>
        </w:rPr>
        <w:t xml:space="preserve"> 2012; </w:t>
      </w:r>
      <w:r w:rsidRPr="009E4EDA">
        <w:rPr>
          <w:rFonts w:ascii="Book Antiqua" w:hAnsi="Book Antiqua"/>
          <w:b/>
          <w:sz w:val="24"/>
          <w:szCs w:val="24"/>
        </w:rPr>
        <w:t>45</w:t>
      </w:r>
      <w:r w:rsidRPr="009E4EDA">
        <w:rPr>
          <w:rFonts w:ascii="Book Antiqua" w:hAnsi="Book Antiqua"/>
          <w:sz w:val="24"/>
          <w:szCs w:val="24"/>
        </w:rPr>
        <w:t>: 151-154 [PMID: 22866256 DOI: 10.5946/ce.2012.45.2.151]</w:t>
      </w:r>
    </w:p>
    <w:p w14:paraId="54957453"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54 </w:t>
      </w:r>
      <w:r w:rsidRPr="009E4EDA">
        <w:rPr>
          <w:rFonts w:ascii="Book Antiqua" w:hAnsi="Book Antiqua"/>
          <w:b/>
          <w:sz w:val="24"/>
          <w:szCs w:val="24"/>
        </w:rPr>
        <w:t>Schildberg C</w:t>
      </w:r>
      <w:r w:rsidRPr="009E4EDA">
        <w:rPr>
          <w:rFonts w:ascii="Book Antiqua" w:hAnsi="Book Antiqua"/>
          <w:sz w:val="24"/>
          <w:szCs w:val="24"/>
        </w:rPr>
        <w:t xml:space="preserve">, Abbas M, Merkel S, Agaimy A, Dimmler A, Schlabrakowski A, Croner R, Leupolt J, Hohenberger W, Allgayer H. COX-2, TFF1, and Src define better prognosis in young patients with gastric cancer. </w:t>
      </w:r>
      <w:r w:rsidRPr="009E4EDA">
        <w:rPr>
          <w:rFonts w:ascii="Book Antiqua" w:hAnsi="Book Antiqua"/>
          <w:i/>
          <w:sz w:val="24"/>
          <w:szCs w:val="24"/>
        </w:rPr>
        <w:t>J Surg Oncol</w:t>
      </w:r>
      <w:r w:rsidRPr="009E4EDA">
        <w:rPr>
          <w:rFonts w:ascii="Book Antiqua" w:hAnsi="Book Antiqua"/>
          <w:sz w:val="24"/>
          <w:szCs w:val="24"/>
        </w:rPr>
        <w:t xml:space="preserve"> 2013; </w:t>
      </w:r>
      <w:r w:rsidRPr="009E4EDA">
        <w:rPr>
          <w:rFonts w:ascii="Book Antiqua" w:hAnsi="Book Antiqua"/>
          <w:b/>
          <w:sz w:val="24"/>
          <w:szCs w:val="24"/>
        </w:rPr>
        <w:t>108</w:t>
      </w:r>
      <w:r w:rsidRPr="009E4EDA">
        <w:rPr>
          <w:rFonts w:ascii="Book Antiqua" w:hAnsi="Book Antiqua"/>
          <w:sz w:val="24"/>
          <w:szCs w:val="24"/>
        </w:rPr>
        <w:t>: 409-413 [PMID: 24037722 DOI: 10.1002/jso.23416]</w:t>
      </w:r>
    </w:p>
    <w:p w14:paraId="049C7EB4"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55 </w:t>
      </w:r>
      <w:r w:rsidRPr="009E4EDA">
        <w:rPr>
          <w:rFonts w:ascii="Book Antiqua" w:hAnsi="Book Antiqua"/>
          <w:b/>
          <w:sz w:val="24"/>
          <w:szCs w:val="24"/>
        </w:rPr>
        <w:t>Qin R</w:t>
      </w:r>
      <w:r w:rsidRPr="009E4EDA">
        <w:rPr>
          <w:rFonts w:ascii="Book Antiqua" w:hAnsi="Book Antiqua"/>
          <w:sz w:val="24"/>
          <w:szCs w:val="24"/>
        </w:rPr>
        <w:t xml:space="preserve">, Wang NN, Chu J, Wang X. Expression and significance of homeodomain protein Cdx2 in gastric carcinoma and precancerous lesions. </w:t>
      </w:r>
      <w:r w:rsidRPr="009E4EDA">
        <w:rPr>
          <w:rFonts w:ascii="Book Antiqua" w:hAnsi="Book Antiqua"/>
          <w:i/>
          <w:sz w:val="24"/>
          <w:szCs w:val="24"/>
        </w:rPr>
        <w:t>World J Gastroenterol</w:t>
      </w:r>
      <w:r w:rsidRPr="009E4EDA">
        <w:rPr>
          <w:rFonts w:ascii="Book Antiqua" w:hAnsi="Book Antiqua"/>
          <w:sz w:val="24"/>
          <w:szCs w:val="24"/>
        </w:rPr>
        <w:t xml:space="preserve"> 2012; </w:t>
      </w:r>
      <w:r w:rsidRPr="009E4EDA">
        <w:rPr>
          <w:rFonts w:ascii="Book Antiqua" w:hAnsi="Book Antiqua"/>
          <w:b/>
          <w:sz w:val="24"/>
          <w:szCs w:val="24"/>
        </w:rPr>
        <w:t>18</w:t>
      </w:r>
      <w:r w:rsidRPr="009E4EDA">
        <w:rPr>
          <w:rFonts w:ascii="Book Antiqua" w:hAnsi="Book Antiqua"/>
          <w:sz w:val="24"/>
          <w:szCs w:val="24"/>
        </w:rPr>
        <w:t>: 3296-3302 [PMID: 22783055 DOI: 10.3748/wjg.v18.i25.3296]</w:t>
      </w:r>
    </w:p>
    <w:p w14:paraId="02B57E1C"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56 </w:t>
      </w:r>
      <w:r w:rsidRPr="009E4EDA">
        <w:rPr>
          <w:rFonts w:ascii="Book Antiqua" w:hAnsi="Book Antiqua"/>
          <w:b/>
          <w:sz w:val="24"/>
          <w:szCs w:val="24"/>
        </w:rPr>
        <w:t>Zhang XY</w:t>
      </w:r>
      <w:r w:rsidRPr="009E4EDA">
        <w:rPr>
          <w:rFonts w:ascii="Book Antiqua" w:hAnsi="Book Antiqua"/>
          <w:sz w:val="24"/>
          <w:szCs w:val="24"/>
        </w:rPr>
        <w:t xml:space="preserve">, Zhang PY, Aboul-Soud MA. From inflammation to gastric cancer: Role of &lt;i&gt;Helicobacter pylori&lt;/i&gt;. </w:t>
      </w:r>
      <w:r w:rsidRPr="009E4EDA">
        <w:rPr>
          <w:rFonts w:ascii="Book Antiqua" w:hAnsi="Book Antiqua"/>
          <w:i/>
          <w:sz w:val="24"/>
          <w:szCs w:val="24"/>
        </w:rPr>
        <w:t>Oncol Lett</w:t>
      </w:r>
      <w:r w:rsidRPr="009E4EDA">
        <w:rPr>
          <w:rFonts w:ascii="Book Antiqua" w:hAnsi="Book Antiqua"/>
          <w:sz w:val="24"/>
          <w:szCs w:val="24"/>
        </w:rPr>
        <w:t xml:space="preserve"> 2017; </w:t>
      </w:r>
      <w:r w:rsidRPr="009E4EDA">
        <w:rPr>
          <w:rFonts w:ascii="Book Antiqua" w:hAnsi="Book Antiqua"/>
          <w:b/>
          <w:sz w:val="24"/>
          <w:szCs w:val="24"/>
        </w:rPr>
        <w:t>13</w:t>
      </w:r>
      <w:r w:rsidRPr="009E4EDA">
        <w:rPr>
          <w:rFonts w:ascii="Book Antiqua" w:hAnsi="Book Antiqua"/>
          <w:sz w:val="24"/>
          <w:szCs w:val="24"/>
        </w:rPr>
        <w:t>: 543-548 [PMID: 28356927 DOI: 10.3892/ol.2016.5506]</w:t>
      </w:r>
    </w:p>
    <w:p w14:paraId="07B3ACED"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57 </w:t>
      </w:r>
      <w:r w:rsidRPr="009E4EDA">
        <w:rPr>
          <w:rFonts w:ascii="Book Antiqua" w:hAnsi="Book Antiqua"/>
          <w:b/>
          <w:sz w:val="24"/>
          <w:szCs w:val="24"/>
        </w:rPr>
        <w:t>Chung HW</w:t>
      </w:r>
      <w:r w:rsidRPr="009E4EDA">
        <w:rPr>
          <w:rFonts w:ascii="Book Antiqua" w:hAnsi="Book Antiqua"/>
          <w:sz w:val="24"/>
          <w:szCs w:val="24"/>
        </w:rPr>
        <w:t xml:space="preserve">, Lim JB. Role of the tumor microenvironment in the pathogenesis of gastric carcinoma. </w:t>
      </w:r>
      <w:r w:rsidRPr="009E4EDA">
        <w:rPr>
          <w:rFonts w:ascii="Book Antiqua" w:hAnsi="Book Antiqua"/>
          <w:i/>
          <w:sz w:val="24"/>
          <w:szCs w:val="24"/>
        </w:rPr>
        <w:t>World J Gastroenterol</w:t>
      </w:r>
      <w:r w:rsidRPr="009E4EDA">
        <w:rPr>
          <w:rFonts w:ascii="Book Antiqua" w:hAnsi="Book Antiqua"/>
          <w:sz w:val="24"/>
          <w:szCs w:val="24"/>
        </w:rPr>
        <w:t xml:space="preserve"> 2014; </w:t>
      </w:r>
      <w:r w:rsidRPr="009E4EDA">
        <w:rPr>
          <w:rFonts w:ascii="Book Antiqua" w:hAnsi="Book Antiqua"/>
          <w:b/>
          <w:sz w:val="24"/>
          <w:szCs w:val="24"/>
        </w:rPr>
        <w:t>20</w:t>
      </w:r>
      <w:r w:rsidRPr="009E4EDA">
        <w:rPr>
          <w:rFonts w:ascii="Book Antiqua" w:hAnsi="Book Antiqua"/>
          <w:sz w:val="24"/>
          <w:szCs w:val="24"/>
        </w:rPr>
        <w:t>: 1667-1680 [PMID: 24587646 DOI: 10.3748/wjg.v20.i7.1667]</w:t>
      </w:r>
    </w:p>
    <w:p w14:paraId="12FDAEC9"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58 </w:t>
      </w:r>
      <w:r w:rsidRPr="009E4EDA">
        <w:rPr>
          <w:rFonts w:ascii="Book Antiqua" w:hAnsi="Book Antiqua"/>
          <w:b/>
          <w:sz w:val="24"/>
          <w:szCs w:val="24"/>
        </w:rPr>
        <w:t>Liu KS</w:t>
      </w:r>
      <w:r w:rsidRPr="009E4EDA">
        <w:rPr>
          <w:rFonts w:ascii="Book Antiqua" w:hAnsi="Book Antiqua"/>
          <w:sz w:val="24"/>
          <w:szCs w:val="24"/>
        </w:rPr>
        <w:t xml:space="preserve">, Wong IO, Leung WK. Helicobacter pylori associated gastric intestinal metaplasia: Treatment and surveillance. </w:t>
      </w:r>
      <w:r w:rsidRPr="009E4EDA">
        <w:rPr>
          <w:rFonts w:ascii="Book Antiqua" w:hAnsi="Book Antiqua"/>
          <w:i/>
          <w:sz w:val="24"/>
          <w:szCs w:val="24"/>
        </w:rPr>
        <w:t>World J Gastroenterol</w:t>
      </w:r>
      <w:r w:rsidRPr="009E4EDA">
        <w:rPr>
          <w:rFonts w:ascii="Book Antiqua" w:hAnsi="Book Antiqua"/>
          <w:sz w:val="24"/>
          <w:szCs w:val="24"/>
        </w:rPr>
        <w:t xml:space="preserve"> 2016; </w:t>
      </w:r>
      <w:r w:rsidRPr="009E4EDA">
        <w:rPr>
          <w:rFonts w:ascii="Book Antiqua" w:hAnsi="Book Antiqua"/>
          <w:b/>
          <w:sz w:val="24"/>
          <w:szCs w:val="24"/>
        </w:rPr>
        <w:t>22</w:t>
      </w:r>
      <w:r w:rsidRPr="009E4EDA">
        <w:rPr>
          <w:rFonts w:ascii="Book Antiqua" w:hAnsi="Book Antiqua"/>
          <w:sz w:val="24"/>
          <w:szCs w:val="24"/>
        </w:rPr>
        <w:t>: 1311-1320 [PMID: 26811668 DOI: 10.3748/wjg.v22.i3.1311]</w:t>
      </w:r>
    </w:p>
    <w:p w14:paraId="2926FF59"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59 </w:t>
      </w:r>
      <w:r w:rsidRPr="009E4EDA">
        <w:rPr>
          <w:rFonts w:ascii="Book Antiqua" w:hAnsi="Book Antiqua"/>
          <w:b/>
          <w:sz w:val="24"/>
          <w:szCs w:val="24"/>
        </w:rPr>
        <w:t>Fujimoto A</w:t>
      </w:r>
      <w:r w:rsidRPr="009E4EDA">
        <w:rPr>
          <w:rFonts w:ascii="Book Antiqua" w:hAnsi="Book Antiqua"/>
          <w:sz w:val="24"/>
          <w:szCs w:val="24"/>
        </w:rPr>
        <w:t xml:space="preserve">, Ishikawa Y, Ishii T, Yamada A, Igarashi Y, Ohmoto Y, Kaise M. Differences between gastric signet-ring cell carcinoma and poorly differentiated adenocarcinoma: A comparison of histopathologic features determined by mucin core protein and trefoil factor family peptide immunohistochemistry. </w:t>
      </w:r>
      <w:r w:rsidRPr="009E4EDA">
        <w:rPr>
          <w:rFonts w:ascii="Book Antiqua" w:hAnsi="Book Antiqua"/>
          <w:i/>
          <w:sz w:val="24"/>
          <w:szCs w:val="24"/>
        </w:rPr>
        <w:t>Pathol Int</w:t>
      </w:r>
      <w:r w:rsidRPr="009E4EDA">
        <w:rPr>
          <w:rFonts w:ascii="Book Antiqua" w:hAnsi="Book Antiqua"/>
          <w:sz w:val="24"/>
          <w:szCs w:val="24"/>
        </w:rPr>
        <w:t xml:space="preserve"> 2017; </w:t>
      </w:r>
      <w:r w:rsidRPr="009E4EDA">
        <w:rPr>
          <w:rFonts w:ascii="Book Antiqua" w:hAnsi="Book Antiqua"/>
          <w:b/>
          <w:sz w:val="24"/>
          <w:szCs w:val="24"/>
        </w:rPr>
        <w:t>67</w:t>
      </w:r>
      <w:r w:rsidRPr="009E4EDA">
        <w:rPr>
          <w:rFonts w:ascii="Book Antiqua" w:hAnsi="Book Antiqua"/>
          <w:sz w:val="24"/>
          <w:szCs w:val="24"/>
        </w:rPr>
        <w:t>: 398-403 [PMID: 28691258 DOI: 10.1111/pin.12559]</w:t>
      </w:r>
    </w:p>
    <w:p w14:paraId="581EB59C" w14:textId="0EE14D86"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60 </w:t>
      </w:r>
      <w:r w:rsidRPr="009E4EDA">
        <w:rPr>
          <w:rFonts w:ascii="Book Antiqua" w:hAnsi="Book Antiqua"/>
          <w:b/>
          <w:sz w:val="24"/>
          <w:szCs w:val="24"/>
        </w:rPr>
        <w:t>Lahner E</w:t>
      </w:r>
      <w:r w:rsidRPr="009E4EDA">
        <w:rPr>
          <w:rFonts w:ascii="Book Antiqua" w:hAnsi="Book Antiqua"/>
          <w:sz w:val="24"/>
          <w:szCs w:val="24"/>
        </w:rPr>
        <w:t>, Carabotti M, Annibale B. Treatment of</w:t>
      </w:r>
      <w:r w:rsidR="003E1EA8">
        <w:rPr>
          <w:rFonts w:ascii="Book Antiqua" w:hAnsi="Book Antiqua"/>
          <w:sz w:val="24"/>
          <w:szCs w:val="24"/>
        </w:rPr>
        <w:t xml:space="preserve"> </w:t>
      </w:r>
      <w:r w:rsidRPr="003E1EA8">
        <w:rPr>
          <w:rFonts w:ascii="Book Antiqua" w:hAnsi="Book Antiqua"/>
          <w:i/>
          <w:iCs/>
          <w:sz w:val="24"/>
          <w:szCs w:val="24"/>
        </w:rPr>
        <w:t>Helicobacter</w:t>
      </w:r>
      <w:r w:rsidR="003E1EA8">
        <w:rPr>
          <w:rFonts w:ascii="Book Antiqua" w:hAnsi="Book Antiqua"/>
          <w:i/>
          <w:iCs/>
          <w:sz w:val="24"/>
          <w:szCs w:val="24"/>
        </w:rPr>
        <w:t xml:space="preserve"> </w:t>
      </w:r>
      <w:r w:rsidRPr="003E1EA8">
        <w:rPr>
          <w:rFonts w:ascii="Book Antiqua" w:hAnsi="Book Antiqua"/>
          <w:i/>
          <w:iCs/>
          <w:sz w:val="24"/>
          <w:szCs w:val="24"/>
        </w:rPr>
        <w:t>pylori</w:t>
      </w:r>
      <w:r w:rsidR="003E1EA8">
        <w:rPr>
          <w:rFonts w:ascii="Book Antiqua" w:hAnsi="Book Antiqua"/>
          <w:sz w:val="24"/>
          <w:szCs w:val="24"/>
        </w:rPr>
        <w:t xml:space="preserve"> </w:t>
      </w:r>
      <w:r w:rsidRPr="009E4EDA">
        <w:rPr>
          <w:rFonts w:ascii="Book Antiqua" w:hAnsi="Book Antiqua"/>
          <w:sz w:val="24"/>
          <w:szCs w:val="24"/>
        </w:rPr>
        <w:t xml:space="preserve">infection in atrophic gastritis. </w:t>
      </w:r>
      <w:r w:rsidRPr="009E4EDA">
        <w:rPr>
          <w:rFonts w:ascii="Book Antiqua" w:hAnsi="Book Antiqua"/>
          <w:i/>
          <w:sz w:val="24"/>
          <w:szCs w:val="24"/>
        </w:rPr>
        <w:t>World J Gastroenterol</w:t>
      </w:r>
      <w:r w:rsidRPr="009E4EDA">
        <w:rPr>
          <w:rFonts w:ascii="Book Antiqua" w:hAnsi="Book Antiqua"/>
          <w:sz w:val="24"/>
          <w:szCs w:val="24"/>
        </w:rPr>
        <w:t xml:space="preserve"> 2018; </w:t>
      </w:r>
      <w:r w:rsidRPr="009E4EDA">
        <w:rPr>
          <w:rFonts w:ascii="Book Antiqua" w:hAnsi="Book Antiqua"/>
          <w:b/>
          <w:sz w:val="24"/>
          <w:szCs w:val="24"/>
        </w:rPr>
        <w:t>24</w:t>
      </w:r>
      <w:r w:rsidRPr="009E4EDA">
        <w:rPr>
          <w:rFonts w:ascii="Book Antiqua" w:hAnsi="Book Antiqua"/>
          <w:sz w:val="24"/>
          <w:szCs w:val="24"/>
        </w:rPr>
        <w:t>: 2373-2380 [PMID: 29904244 DOI: 10.3748/wjg.v24.i22.2373]</w:t>
      </w:r>
    </w:p>
    <w:p w14:paraId="2D2A13AD"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61 </w:t>
      </w:r>
      <w:r w:rsidRPr="009E4EDA">
        <w:rPr>
          <w:rFonts w:ascii="Book Antiqua" w:hAnsi="Book Antiqua"/>
          <w:b/>
          <w:sz w:val="24"/>
          <w:szCs w:val="24"/>
        </w:rPr>
        <w:t>Del Prete A</w:t>
      </w:r>
      <w:r w:rsidRPr="009E4EDA">
        <w:rPr>
          <w:rFonts w:ascii="Book Antiqua" w:hAnsi="Book Antiqua"/>
          <w:sz w:val="24"/>
          <w:szCs w:val="24"/>
        </w:rPr>
        <w:t xml:space="preserve">, Allavena P, Santoro G, Fumarulo R, Corsi MM, Mantovani A. Molecular pathways in cancer-related inflammation. </w:t>
      </w:r>
      <w:r w:rsidRPr="009E4EDA">
        <w:rPr>
          <w:rFonts w:ascii="Book Antiqua" w:hAnsi="Book Antiqua"/>
          <w:i/>
          <w:sz w:val="24"/>
          <w:szCs w:val="24"/>
        </w:rPr>
        <w:t>Biochem Med (Zagreb)</w:t>
      </w:r>
      <w:r w:rsidRPr="009E4EDA">
        <w:rPr>
          <w:rFonts w:ascii="Book Antiqua" w:hAnsi="Book Antiqua"/>
          <w:sz w:val="24"/>
          <w:szCs w:val="24"/>
        </w:rPr>
        <w:t xml:space="preserve"> 2011; </w:t>
      </w:r>
      <w:r w:rsidRPr="009E4EDA">
        <w:rPr>
          <w:rFonts w:ascii="Book Antiqua" w:hAnsi="Book Antiqua"/>
          <w:b/>
          <w:sz w:val="24"/>
          <w:szCs w:val="24"/>
        </w:rPr>
        <w:t>21</w:t>
      </w:r>
      <w:r w:rsidRPr="009E4EDA">
        <w:rPr>
          <w:rFonts w:ascii="Book Antiqua" w:hAnsi="Book Antiqua"/>
          <w:sz w:val="24"/>
          <w:szCs w:val="24"/>
        </w:rPr>
        <w:t>: 264-275 [PMID: 22420240]</w:t>
      </w:r>
    </w:p>
    <w:p w14:paraId="4241A884"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62 </w:t>
      </w:r>
      <w:r w:rsidRPr="009E4EDA">
        <w:rPr>
          <w:rFonts w:ascii="Book Antiqua" w:hAnsi="Book Antiqua"/>
          <w:b/>
          <w:sz w:val="24"/>
          <w:szCs w:val="24"/>
        </w:rPr>
        <w:t>Colotta F</w:t>
      </w:r>
      <w:r w:rsidRPr="009E4EDA">
        <w:rPr>
          <w:rFonts w:ascii="Book Antiqua" w:hAnsi="Book Antiqua"/>
          <w:sz w:val="24"/>
          <w:szCs w:val="24"/>
        </w:rPr>
        <w:t xml:space="preserve">, Allavena P, Sica A, Garlanda C, Mantovani A. Cancer-related inflammation, the seventh hallmark of cancer: links to genetic instability. </w:t>
      </w:r>
      <w:r w:rsidRPr="009E4EDA">
        <w:rPr>
          <w:rFonts w:ascii="Book Antiqua" w:hAnsi="Book Antiqua"/>
          <w:i/>
          <w:sz w:val="24"/>
          <w:szCs w:val="24"/>
        </w:rPr>
        <w:t>Carcinogenesis</w:t>
      </w:r>
      <w:r w:rsidRPr="009E4EDA">
        <w:rPr>
          <w:rFonts w:ascii="Book Antiqua" w:hAnsi="Book Antiqua"/>
          <w:sz w:val="24"/>
          <w:szCs w:val="24"/>
        </w:rPr>
        <w:t xml:space="preserve"> 2009; </w:t>
      </w:r>
      <w:r w:rsidRPr="009E4EDA">
        <w:rPr>
          <w:rFonts w:ascii="Book Antiqua" w:hAnsi="Book Antiqua"/>
          <w:b/>
          <w:sz w:val="24"/>
          <w:szCs w:val="24"/>
        </w:rPr>
        <w:t>30</w:t>
      </w:r>
      <w:r w:rsidRPr="009E4EDA">
        <w:rPr>
          <w:rFonts w:ascii="Book Antiqua" w:hAnsi="Book Antiqua"/>
          <w:sz w:val="24"/>
          <w:szCs w:val="24"/>
        </w:rPr>
        <w:t>: 1073-1081 [PMID: 19468060 DOI: 10.1093/carcin/bgp127]</w:t>
      </w:r>
    </w:p>
    <w:p w14:paraId="6BEAB388"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63 </w:t>
      </w:r>
      <w:r w:rsidRPr="009E4EDA">
        <w:rPr>
          <w:rFonts w:ascii="Book Antiqua" w:hAnsi="Book Antiqua"/>
          <w:b/>
          <w:sz w:val="24"/>
          <w:szCs w:val="24"/>
        </w:rPr>
        <w:t>Multhoff G</w:t>
      </w:r>
      <w:r w:rsidRPr="009E4EDA">
        <w:rPr>
          <w:rFonts w:ascii="Book Antiqua" w:hAnsi="Book Antiqua"/>
          <w:sz w:val="24"/>
          <w:szCs w:val="24"/>
        </w:rPr>
        <w:t xml:space="preserve">, Radons J. Radiation, inflammation, and immune responses in cancer. </w:t>
      </w:r>
      <w:r w:rsidRPr="009E4EDA">
        <w:rPr>
          <w:rFonts w:ascii="Book Antiqua" w:hAnsi="Book Antiqua"/>
          <w:i/>
          <w:sz w:val="24"/>
          <w:szCs w:val="24"/>
        </w:rPr>
        <w:t>Front Oncol</w:t>
      </w:r>
      <w:r w:rsidRPr="009E4EDA">
        <w:rPr>
          <w:rFonts w:ascii="Book Antiqua" w:hAnsi="Book Antiqua"/>
          <w:sz w:val="24"/>
          <w:szCs w:val="24"/>
        </w:rPr>
        <w:t xml:space="preserve"> 2012; </w:t>
      </w:r>
      <w:r w:rsidRPr="009E4EDA">
        <w:rPr>
          <w:rFonts w:ascii="Book Antiqua" w:hAnsi="Book Antiqua"/>
          <w:b/>
          <w:sz w:val="24"/>
          <w:szCs w:val="24"/>
        </w:rPr>
        <w:t>2</w:t>
      </w:r>
      <w:r w:rsidRPr="009E4EDA">
        <w:rPr>
          <w:rFonts w:ascii="Book Antiqua" w:hAnsi="Book Antiqua"/>
          <w:sz w:val="24"/>
          <w:szCs w:val="24"/>
        </w:rPr>
        <w:t>: 58 [PMID: 22675673 DOI: 10.3389/fonc.2012.00058]</w:t>
      </w:r>
    </w:p>
    <w:p w14:paraId="25F6519C"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64 </w:t>
      </w:r>
      <w:r w:rsidRPr="009E4EDA">
        <w:rPr>
          <w:rFonts w:ascii="Book Antiqua" w:hAnsi="Book Antiqua"/>
          <w:b/>
          <w:sz w:val="24"/>
          <w:szCs w:val="24"/>
        </w:rPr>
        <w:t>Qu X</w:t>
      </w:r>
      <w:r w:rsidRPr="009E4EDA">
        <w:rPr>
          <w:rFonts w:ascii="Book Antiqua" w:hAnsi="Book Antiqua"/>
          <w:sz w:val="24"/>
          <w:szCs w:val="24"/>
        </w:rPr>
        <w:t xml:space="preserve">, Tang Y, Hua S. Immunological Approaches Towards Cancer and Inflammation: A Cross Talk. </w:t>
      </w:r>
      <w:r w:rsidRPr="009E4EDA">
        <w:rPr>
          <w:rFonts w:ascii="Book Antiqua" w:hAnsi="Book Antiqua"/>
          <w:i/>
          <w:sz w:val="24"/>
          <w:szCs w:val="24"/>
        </w:rPr>
        <w:t>Front Immunol</w:t>
      </w:r>
      <w:r w:rsidRPr="009E4EDA">
        <w:rPr>
          <w:rFonts w:ascii="Book Antiqua" w:hAnsi="Book Antiqua"/>
          <w:sz w:val="24"/>
          <w:szCs w:val="24"/>
        </w:rPr>
        <w:t xml:space="preserve"> 2018; </w:t>
      </w:r>
      <w:r w:rsidRPr="009E4EDA">
        <w:rPr>
          <w:rFonts w:ascii="Book Antiqua" w:hAnsi="Book Antiqua"/>
          <w:b/>
          <w:sz w:val="24"/>
          <w:szCs w:val="24"/>
        </w:rPr>
        <w:t>9</w:t>
      </w:r>
      <w:r w:rsidRPr="009E4EDA">
        <w:rPr>
          <w:rFonts w:ascii="Book Antiqua" w:hAnsi="Book Antiqua"/>
          <w:sz w:val="24"/>
          <w:szCs w:val="24"/>
        </w:rPr>
        <w:t>: 563 [PMID: 29662489 DOI: 10.3389/fimmu.2018.00563]</w:t>
      </w:r>
    </w:p>
    <w:p w14:paraId="75A5820B"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65 </w:t>
      </w:r>
      <w:r w:rsidRPr="009E4EDA">
        <w:rPr>
          <w:rFonts w:ascii="Book Antiqua" w:hAnsi="Book Antiqua"/>
          <w:b/>
          <w:sz w:val="24"/>
          <w:szCs w:val="24"/>
        </w:rPr>
        <w:t>Hussain SP</w:t>
      </w:r>
      <w:r w:rsidRPr="009E4EDA">
        <w:rPr>
          <w:rFonts w:ascii="Book Antiqua" w:hAnsi="Book Antiqua"/>
          <w:sz w:val="24"/>
          <w:szCs w:val="24"/>
        </w:rPr>
        <w:t xml:space="preserve">, Harris CC. Inflammation and cancer: an ancient link with novel potentials. </w:t>
      </w:r>
      <w:r w:rsidRPr="009E4EDA">
        <w:rPr>
          <w:rFonts w:ascii="Book Antiqua" w:hAnsi="Book Antiqua"/>
          <w:i/>
          <w:sz w:val="24"/>
          <w:szCs w:val="24"/>
        </w:rPr>
        <w:t>Int J Cancer</w:t>
      </w:r>
      <w:r w:rsidRPr="009E4EDA">
        <w:rPr>
          <w:rFonts w:ascii="Book Antiqua" w:hAnsi="Book Antiqua"/>
          <w:sz w:val="24"/>
          <w:szCs w:val="24"/>
        </w:rPr>
        <w:t xml:space="preserve"> 2007; </w:t>
      </w:r>
      <w:r w:rsidRPr="009E4EDA">
        <w:rPr>
          <w:rFonts w:ascii="Book Antiqua" w:hAnsi="Book Antiqua"/>
          <w:b/>
          <w:sz w:val="24"/>
          <w:szCs w:val="24"/>
        </w:rPr>
        <w:t>121</w:t>
      </w:r>
      <w:r w:rsidRPr="009E4EDA">
        <w:rPr>
          <w:rFonts w:ascii="Book Antiqua" w:hAnsi="Book Antiqua"/>
          <w:sz w:val="24"/>
          <w:szCs w:val="24"/>
        </w:rPr>
        <w:t>: 2373-2380 [PMID: 17893866 DOI: 10.1002/ijc.23173]</w:t>
      </w:r>
    </w:p>
    <w:p w14:paraId="697ADEEC"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66 </w:t>
      </w:r>
      <w:r w:rsidRPr="009E4EDA">
        <w:rPr>
          <w:rFonts w:ascii="Book Antiqua" w:hAnsi="Book Antiqua"/>
          <w:b/>
          <w:sz w:val="24"/>
          <w:szCs w:val="24"/>
        </w:rPr>
        <w:t>Georgescu AM</w:t>
      </w:r>
      <w:r w:rsidRPr="00D662A6">
        <w:rPr>
          <w:rFonts w:ascii="Book Antiqua" w:hAnsi="Book Antiqua"/>
          <w:bCs/>
          <w:sz w:val="24"/>
          <w:szCs w:val="24"/>
        </w:rPr>
        <w:t>,</w:t>
      </w:r>
      <w:r>
        <w:rPr>
          <w:rFonts w:ascii="Book Antiqua" w:hAnsi="Book Antiqua"/>
          <w:sz w:val="24"/>
          <w:szCs w:val="24"/>
        </w:rPr>
        <w:t xml:space="preserve"> </w:t>
      </w:r>
      <w:r w:rsidRPr="009E4EDA">
        <w:rPr>
          <w:rFonts w:ascii="Book Antiqua" w:hAnsi="Book Antiqua"/>
          <w:sz w:val="24"/>
          <w:szCs w:val="24"/>
        </w:rPr>
        <w:t>Bănescu C, Badea I, Moldovan V, Hu</w:t>
      </w:r>
      <w:r w:rsidRPr="009E4EDA">
        <w:rPr>
          <w:rFonts w:ascii="Cambria" w:hAnsi="Cambria" w:cs="Cambria"/>
          <w:sz w:val="24"/>
          <w:szCs w:val="24"/>
        </w:rPr>
        <w:t>ț</w:t>
      </w:r>
      <w:r w:rsidRPr="009E4EDA">
        <w:rPr>
          <w:rFonts w:ascii="Book Antiqua" w:hAnsi="Book Antiqua"/>
          <w:sz w:val="24"/>
          <w:szCs w:val="24"/>
        </w:rPr>
        <w:t>anu A, Void</w:t>
      </w:r>
      <w:r w:rsidRPr="009E4EDA">
        <w:rPr>
          <w:rFonts w:ascii="Book Antiqua" w:hAnsi="Book Antiqua" w:cs="Book Antiqua"/>
          <w:sz w:val="24"/>
          <w:szCs w:val="24"/>
        </w:rPr>
        <w:t>ă</w:t>
      </w:r>
      <w:r w:rsidRPr="009E4EDA">
        <w:rPr>
          <w:rFonts w:ascii="Book Antiqua" w:hAnsi="Book Antiqua"/>
          <w:sz w:val="24"/>
          <w:szCs w:val="24"/>
        </w:rPr>
        <w:t xml:space="preserve">zan S, Dobreanu M, Azamfirei L. IL-6 gene polymorphisms and sepsis in ICU adult Romanian patients: a prospective study. </w:t>
      </w:r>
      <w:r w:rsidRPr="00D662A6">
        <w:rPr>
          <w:rFonts w:ascii="Book Antiqua" w:hAnsi="Book Antiqua"/>
          <w:i/>
          <w:iCs/>
          <w:sz w:val="24"/>
          <w:szCs w:val="24"/>
        </w:rPr>
        <w:t xml:space="preserve">Rev Romana Med Lab </w:t>
      </w:r>
      <w:r w:rsidRPr="009E4EDA">
        <w:rPr>
          <w:rFonts w:ascii="Book Antiqua" w:hAnsi="Book Antiqua"/>
          <w:sz w:val="24"/>
          <w:szCs w:val="24"/>
        </w:rPr>
        <w:t>2017;</w:t>
      </w:r>
      <w:r>
        <w:rPr>
          <w:rFonts w:ascii="Book Antiqua" w:hAnsi="Book Antiqua"/>
          <w:sz w:val="24"/>
          <w:szCs w:val="24"/>
        </w:rPr>
        <w:t xml:space="preserve"> </w:t>
      </w:r>
      <w:r w:rsidRPr="00D662A6">
        <w:rPr>
          <w:rFonts w:ascii="Book Antiqua" w:hAnsi="Book Antiqua"/>
          <w:b/>
          <w:bCs/>
          <w:sz w:val="24"/>
          <w:szCs w:val="24"/>
        </w:rPr>
        <w:t>25</w:t>
      </w:r>
      <w:r w:rsidRPr="009E4EDA">
        <w:rPr>
          <w:rFonts w:ascii="Book Antiqua" w:hAnsi="Book Antiqua"/>
          <w:sz w:val="24"/>
          <w:szCs w:val="24"/>
        </w:rPr>
        <w:t>: 75-89</w:t>
      </w:r>
      <w:r>
        <w:rPr>
          <w:rFonts w:ascii="Book Antiqua" w:hAnsi="Book Antiqua"/>
          <w:sz w:val="24"/>
          <w:szCs w:val="24"/>
        </w:rPr>
        <w:t xml:space="preserve"> </w:t>
      </w:r>
      <w:r w:rsidRPr="009E4EDA">
        <w:rPr>
          <w:rFonts w:ascii="Book Antiqua" w:hAnsi="Book Antiqua"/>
          <w:sz w:val="24"/>
          <w:szCs w:val="24"/>
        </w:rPr>
        <w:t>[DOI: 10.1515/rrlm-2016-0044]</w:t>
      </w:r>
    </w:p>
    <w:p w14:paraId="29C6F88D"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67 </w:t>
      </w:r>
      <w:r w:rsidRPr="009E4EDA">
        <w:rPr>
          <w:rFonts w:ascii="Book Antiqua" w:hAnsi="Book Antiqua"/>
          <w:b/>
          <w:sz w:val="24"/>
          <w:szCs w:val="24"/>
        </w:rPr>
        <w:t>Sanjabi S</w:t>
      </w:r>
      <w:r w:rsidRPr="009E4EDA">
        <w:rPr>
          <w:rFonts w:ascii="Book Antiqua" w:hAnsi="Book Antiqua"/>
          <w:sz w:val="24"/>
          <w:szCs w:val="24"/>
        </w:rPr>
        <w:t xml:space="preserve">, Zenewicz LA, Kamanaka M, Flavell RA. Anti-inflammatory and pro-inflammatory roles of TGF-beta, IL-10, and IL-22 in immunity and autoimmunity. </w:t>
      </w:r>
      <w:r w:rsidRPr="009E4EDA">
        <w:rPr>
          <w:rFonts w:ascii="Book Antiqua" w:hAnsi="Book Antiqua"/>
          <w:i/>
          <w:sz w:val="24"/>
          <w:szCs w:val="24"/>
        </w:rPr>
        <w:t>Curr Opin Pharmacol</w:t>
      </w:r>
      <w:r w:rsidRPr="009E4EDA">
        <w:rPr>
          <w:rFonts w:ascii="Book Antiqua" w:hAnsi="Book Antiqua"/>
          <w:sz w:val="24"/>
          <w:szCs w:val="24"/>
        </w:rPr>
        <w:t xml:space="preserve"> 2009; </w:t>
      </w:r>
      <w:r w:rsidRPr="009E4EDA">
        <w:rPr>
          <w:rFonts w:ascii="Book Antiqua" w:hAnsi="Book Antiqua"/>
          <w:b/>
          <w:sz w:val="24"/>
          <w:szCs w:val="24"/>
        </w:rPr>
        <w:t>9</w:t>
      </w:r>
      <w:r w:rsidRPr="009E4EDA">
        <w:rPr>
          <w:rFonts w:ascii="Book Antiqua" w:hAnsi="Book Antiqua"/>
          <w:sz w:val="24"/>
          <w:szCs w:val="24"/>
        </w:rPr>
        <w:t>: 447-453 [PMID: 19481975 DOI: 10.1016/j.coph.2009.04.008]</w:t>
      </w:r>
    </w:p>
    <w:p w14:paraId="5139F384"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68 </w:t>
      </w:r>
      <w:r w:rsidRPr="009E4EDA">
        <w:rPr>
          <w:rFonts w:ascii="Book Antiqua" w:hAnsi="Book Antiqua"/>
          <w:b/>
          <w:sz w:val="24"/>
          <w:szCs w:val="24"/>
        </w:rPr>
        <w:t>Hosono K</w:t>
      </w:r>
      <w:r w:rsidRPr="009E4EDA">
        <w:rPr>
          <w:rFonts w:ascii="Book Antiqua" w:hAnsi="Book Antiqua"/>
          <w:sz w:val="24"/>
          <w:szCs w:val="24"/>
        </w:rPr>
        <w:t xml:space="preserve">, Yamada E, Endo H, Takahashi H, Inamori M, Hippo Y, Nakagama H, Nakajima A. Increased tumor necrosis factor receptor 1 expression in human colorectal adenomas. </w:t>
      </w:r>
      <w:r w:rsidRPr="009E4EDA">
        <w:rPr>
          <w:rFonts w:ascii="Book Antiqua" w:hAnsi="Book Antiqua"/>
          <w:i/>
          <w:sz w:val="24"/>
          <w:szCs w:val="24"/>
        </w:rPr>
        <w:t>World J Gastroenterol</w:t>
      </w:r>
      <w:r w:rsidRPr="009E4EDA">
        <w:rPr>
          <w:rFonts w:ascii="Book Antiqua" w:hAnsi="Book Antiqua"/>
          <w:sz w:val="24"/>
          <w:szCs w:val="24"/>
        </w:rPr>
        <w:t xml:space="preserve"> 2012; </w:t>
      </w:r>
      <w:r w:rsidRPr="009E4EDA">
        <w:rPr>
          <w:rFonts w:ascii="Book Antiqua" w:hAnsi="Book Antiqua"/>
          <w:b/>
          <w:sz w:val="24"/>
          <w:szCs w:val="24"/>
        </w:rPr>
        <w:t>18</w:t>
      </w:r>
      <w:r w:rsidRPr="009E4EDA">
        <w:rPr>
          <w:rFonts w:ascii="Book Antiqua" w:hAnsi="Book Antiqua"/>
          <w:sz w:val="24"/>
          <w:szCs w:val="24"/>
        </w:rPr>
        <w:t>: 5360-5368 [PMID: 23082052 DOI: 10.3748/wjg.v18.i38.536]</w:t>
      </w:r>
    </w:p>
    <w:p w14:paraId="373FF4EE"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69 </w:t>
      </w:r>
      <w:r w:rsidRPr="009E4EDA">
        <w:rPr>
          <w:rFonts w:ascii="Book Antiqua" w:hAnsi="Book Antiqua"/>
          <w:b/>
          <w:sz w:val="24"/>
          <w:szCs w:val="24"/>
        </w:rPr>
        <w:t>Fei BY</w:t>
      </w:r>
      <w:r w:rsidRPr="009E4EDA">
        <w:rPr>
          <w:rFonts w:ascii="Book Antiqua" w:hAnsi="Book Antiqua"/>
          <w:sz w:val="24"/>
          <w:szCs w:val="24"/>
        </w:rPr>
        <w:t xml:space="preserve">, Lv HX, Cheng YW, Yang JM. Association between the IFN-γ and IL-1 genetic polymorphisms and colorectal cancer in the Chinese Han population. </w:t>
      </w:r>
      <w:r w:rsidRPr="009E4EDA">
        <w:rPr>
          <w:rFonts w:ascii="Book Antiqua" w:hAnsi="Book Antiqua"/>
          <w:i/>
          <w:sz w:val="24"/>
          <w:szCs w:val="24"/>
        </w:rPr>
        <w:t>J Genet</w:t>
      </w:r>
      <w:r w:rsidRPr="009E4EDA">
        <w:rPr>
          <w:rFonts w:ascii="Book Antiqua" w:hAnsi="Book Antiqua"/>
          <w:sz w:val="24"/>
          <w:szCs w:val="24"/>
        </w:rPr>
        <w:t xml:space="preserve"> 2014; </w:t>
      </w:r>
      <w:r w:rsidRPr="009E4EDA">
        <w:rPr>
          <w:rFonts w:ascii="Book Antiqua" w:hAnsi="Book Antiqua"/>
          <w:b/>
          <w:sz w:val="24"/>
          <w:szCs w:val="24"/>
        </w:rPr>
        <w:t>93</w:t>
      </w:r>
      <w:r w:rsidRPr="009E4EDA">
        <w:rPr>
          <w:rFonts w:ascii="Book Antiqua" w:hAnsi="Book Antiqua"/>
          <w:sz w:val="24"/>
          <w:szCs w:val="24"/>
        </w:rPr>
        <w:t>: 235-239 [PMID: 24840847]</w:t>
      </w:r>
    </w:p>
    <w:p w14:paraId="2BA43078"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70 </w:t>
      </w:r>
      <w:r w:rsidRPr="009E4EDA">
        <w:rPr>
          <w:rFonts w:ascii="Book Antiqua" w:hAnsi="Book Antiqua"/>
          <w:b/>
          <w:sz w:val="24"/>
          <w:szCs w:val="24"/>
        </w:rPr>
        <w:t>Trifunović J</w:t>
      </w:r>
      <w:r w:rsidRPr="009E4EDA">
        <w:rPr>
          <w:rFonts w:ascii="Book Antiqua" w:hAnsi="Book Antiqua"/>
          <w:sz w:val="24"/>
          <w:szCs w:val="24"/>
        </w:rPr>
        <w:t xml:space="preserve">, Miller L, Debeljak Ž, Horvat V. Pathologic patterns of interleukin 10 expression--a review. </w:t>
      </w:r>
      <w:r w:rsidRPr="009E4EDA">
        <w:rPr>
          <w:rFonts w:ascii="Book Antiqua" w:hAnsi="Book Antiqua"/>
          <w:i/>
          <w:sz w:val="24"/>
          <w:szCs w:val="24"/>
        </w:rPr>
        <w:t>Biochem Med (Zagreb)</w:t>
      </w:r>
      <w:r w:rsidRPr="009E4EDA">
        <w:rPr>
          <w:rFonts w:ascii="Book Antiqua" w:hAnsi="Book Antiqua"/>
          <w:sz w:val="24"/>
          <w:szCs w:val="24"/>
        </w:rPr>
        <w:t xml:space="preserve"> 2015; </w:t>
      </w:r>
      <w:r w:rsidRPr="009E4EDA">
        <w:rPr>
          <w:rFonts w:ascii="Book Antiqua" w:hAnsi="Book Antiqua"/>
          <w:b/>
          <w:sz w:val="24"/>
          <w:szCs w:val="24"/>
        </w:rPr>
        <w:t>25</w:t>
      </w:r>
      <w:r w:rsidRPr="009E4EDA">
        <w:rPr>
          <w:rFonts w:ascii="Book Antiqua" w:hAnsi="Book Antiqua"/>
          <w:sz w:val="24"/>
          <w:szCs w:val="24"/>
        </w:rPr>
        <w:t>: 36-48 [PMID: 25672465 DOI: 10.11613/BM.2015.004]</w:t>
      </w:r>
    </w:p>
    <w:p w14:paraId="54E4358C"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71 </w:t>
      </w:r>
      <w:r w:rsidRPr="009E4EDA">
        <w:rPr>
          <w:rFonts w:ascii="Book Antiqua" w:hAnsi="Book Antiqua"/>
          <w:b/>
          <w:sz w:val="24"/>
          <w:szCs w:val="24"/>
        </w:rPr>
        <w:t>Figueiredo CA</w:t>
      </w:r>
      <w:r w:rsidRPr="009E4EDA">
        <w:rPr>
          <w:rFonts w:ascii="Book Antiqua" w:hAnsi="Book Antiqua"/>
          <w:sz w:val="24"/>
          <w:szCs w:val="24"/>
        </w:rPr>
        <w:t xml:space="preserve">, Marques CR, Costa Rdos S, da Silva HB, Alcantara-Neves NM. Cytokines, cytokine gene polymorphisms and Helicobacter pylori infection: friend or foe? </w:t>
      </w:r>
      <w:r w:rsidRPr="009E4EDA">
        <w:rPr>
          <w:rFonts w:ascii="Book Antiqua" w:hAnsi="Book Antiqua"/>
          <w:i/>
          <w:sz w:val="24"/>
          <w:szCs w:val="24"/>
        </w:rPr>
        <w:t>World J Gastroenterol</w:t>
      </w:r>
      <w:r w:rsidRPr="009E4EDA">
        <w:rPr>
          <w:rFonts w:ascii="Book Antiqua" w:hAnsi="Book Antiqua"/>
          <w:sz w:val="24"/>
          <w:szCs w:val="24"/>
        </w:rPr>
        <w:t xml:space="preserve"> 2014; </w:t>
      </w:r>
      <w:r w:rsidRPr="009E4EDA">
        <w:rPr>
          <w:rFonts w:ascii="Book Antiqua" w:hAnsi="Book Antiqua"/>
          <w:b/>
          <w:sz w:val="24"/>
          <w:szCs w:val="24"/>
        </w:rPr>
        <w:t>20</w:t>
      </w:r>
      <w:r w:rsidRPr="009E4EDA">
        <w:rPr>
          <w:rFonts w:ascii="Book Antiqua" w:hAnsi="Book Antiqua"/>
          <w:sz w:val="24"/>
          <w:szCs w:val="24"/>
        </w:rPr>
        <w:t>: 5235-5243 [PMID: 24833853 DOI: 10.3748/wjg.v20.i18.5235]</w:t>
      </w:r>
    </w:p>
    <w:p w14:paraId="51E7206A"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72 </w:t>
      </w:r>
      <w:r w:rsidRPr="009E4EDA">
        <w:rPr>
          <w:rFonts w:ascii="Book Antiqua" w:hAnsi="Book Antiqua"/>
          <w:b/>
          <w:sz w:val="24"/>
          <w:szCs w:val="24"/>
        </w:rPr>
        <w:t>El-Omar EM</w:t>
      </w:r>
      <w:r w:rsidRPr="009E4EDA">
        <w:rPr>
          <w:rFonts w:ascii="Book Antiqua" w:hAnsi="Book Antiqua"/>
          <w:sz w:val="24"/>
          <w:szCs w:val="24"/>
        </w:rPr>
        <w:t xml:space="preserve">, Carrington M, Chow WH, McColl KE, Bream JH, Young HA, Herrera J, Lissowska J, Yuan CC, Rothman N, Lanyon G, Martin M, Fraumeni JF Jr, Rabkin CS. Interleukin-1 polymorphisms associated with increased risk of gastric cancer. </w:t>
      </w:r>
      <w:r w:rsidRPr="009E4EDA">
        <w:rPr>
          <w:rFonts w:ascii="Book Antiqua" w:hAnsi="Book Antiqua"/>
          <w:i/>
          <w:sz w:val="24"/>
          <w:szCs w:val="24"/>
        </w:rPr>
        <w:t>Nature</w:t>
      </w:r>
      <w:r w:rsidRPr="009E4EDA">
        <w:rPr>
          <w:rFonts w:ascii="Book Antiqua" w:hAnsi="Book Antiqua"/>
          <w:sz w:val="24"/>
          <w:szCs w:val="24"/>
        </w:rPr>
        <w:t xml:space="preserve"> 2000; </w:t>
      </w:r>
      <w:r w:rsidRPr="009E4EDA">
        <w:rPr>
          <w:rFonts w:ascii="Book Antiqua" w:hAnsi="Book Antiqua"/>
          <w:b/>
          <w:sz w:val="24"/>
          <w:szCs w:val="24"/>
        </w:rPr>
        <w:t>404</w:t>
      </w:r>
      <w:r w:rsidRPr="009E4EDA">
        <w:rPr>
          <w:rFonts w:ascii="Book Antiqua" w:hAnsi="Book Antiqua"/>
          <w:sz w:val="24"/>
          <w:szCs w:val="24"/>
        </w:rPr>
        <w:t>: 398-402 [PMID: 10746728 DOI: 10.1038/35006081]</w:t>
      </w:r>
    </w:p>
    <w:p w14:paraId="2AD35335"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73 </w:t>
      </w:r>
      <w:r w:rsidRPr="009E4EDA">
        <w:rPr>
          <w:rFonts w:ascii="Book Antiqua" w:hAnsi="Book Antiqua"/>
          <w:b/>
          <w:sz w:val="24"/>
          <w:szCs w:val="24"/>
        </w:rPr>
        <w:t>Wang YM</w:t>
      </w:r>
      <w:r w:rsidRPr="009E4EDA">
        <w:rPr>
          <w:rFonts w:ascii="Book Antiqua" w:hAnsi="Book Antiqua"/>
          <w:sz w:val="24"/>
          <w:szCs w:val="24"/>
        </w:rPr>
        <w:t xml:space="preserve">, Li ZX, Tang FB, Zhang Y, Zhou T, Zhang L, Ma JL, You WC, Pan KF. Association of genetic polymorphisms of interleukins with gastric cancer and precancerous gastric lesions in a high-risk Chinese population. </w:t>
      </w:r>
      <w:r w:rsidRPr="009E4EDA">
        <w:rPr>
          <w:rFonts w:ascii="Book Antiqua" w:hAnsi="Book Antiqua"/>
          <w:i/>
          <w:sz w:val="24"/>
          <w:szCs w:val="24"/>
        </w:rPr>
        <w:t>Tumour Biol</w:t>
      </w:r>
      <w:r w:rsidRPr="009E4EDA">
        <w:rPr>
          <w:rFonts w:ascii="Book Antiqua" w:hAnsi="Book Antiqua"/>
          <w:sz w:val="24"/>
          <w:szCs w:val="24"/>
        </w:rPr>
        <w:t xml:space="preserve"> 2016; </w:t>
      </w:r>
      <w:r w:rsidRPr="009E4EDA">
        <w:rPr>
          <w:rFonts w:ascii="Book Antiqua" w:hAnsi="Book Antiqua"/>
          <w:b/>
          <w:sz w:val="24"/>
          <w:szCs w:val="24"/>
        </w:rPr>
        <w:t>37</w:t>
      </w:r>
      <w:r w:rsidRPr="009E4EDA">
        <w:rPr>
          <w:rFonts w:ascii="Book Antiqua" w:hAnsi="Book Antiqua"/>
          <w:sz w:val="24"/>
          <w:szCs w:val="24"/>
        </w:rPr>
        <w:t>: 2233-2242 [PMID: 26358252 DOI: 10.1007/s13277-015-4022-x]</w:t>
      </w:r>
    </w:p>
    <w:p w14:paraId="082BE3C9" w14:textId="0FA010FD"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74 </w:t>
      </w:r>
      <w:r w:rsidRPr="009E4EDA">
        <w:rPr>
          <w:rFonts w:ascii="Book Antiqua" w:hAnsi="Book Antiqua"/>
          <w:b/>
          <w:sz w:val="24"/>
          <w:szCs w:val="24"/>
        </w:rPr>
        <w:t>Bockerstett</w:t>
      </w:r>
      <w:r w:rsidR="003E1EA8">
        <w:rPr>
          <w:rFonts w:ascii="Book Antiqua" w:hAnsi="Book Antiqua"/>
          <w:b/>
          <w:sz w:val="24"/>
          <w:szCs w:val="24"/>
        </w:rPr>
        <w:t xml:space="preserve"> </w:t>
      </w:r>
      <w:r w:rsidRPr="009E4EDA">
        <w:rPr>
          <w:rFonts w:ascii="Book Antiqua" w:hAnsi="Book Antiqua"/>
          <w:b/>
          <w:sz w:val="24"/>
          <w:szCs w:val="24"/>
        </w:rPr>
        <w:t>KA</w:t>
      </w:r>
      <w:r w:rsidRPr="009E4EDA">
        <w:rPr>
          <w:rFonts w:ascii="Book Antiqua" w:hAnsi="Book Antiqua"/>
          <w:sz w:val="24"/>
          <w:szCs w:val="24"/>
        </w:rPr>
        <w:t xml:space="preserve">, DiPaolo RJ. Regulation of Gastric Carcinogenesis by Inflammatory Cytokines. </w:t>
      </w:r>
      <w:r w:rsidRPr="009E4EDA">
        <w:rPr>
          <w:rFonts w:ascii="Book Antiqua" w:hAnsi="Book Antiqua"/>
          <w:i/>
          <w:sz w:val="24"/>
          <w:szCs w:val="24"/>
        </w:rPr>
        <w:t>Cell Mol Gastroenterol Hepatol</w:t>
      </w:r>
      <w:r w:rsidRPr="009E4EDA">
        <w:rPr>
          <w:rFonts w:ascii="Book Antiqua" w:hAnsi="Book Antiqua"/>
          <w:sz w:val="24"/>
          <w:szCs w:val="24"/>
        </w:rPr>
        <w:t xml:space="preserve"> 2017; </w:t>
      </w:r>
      <w:r w:rsidRPr="009E4EDA">
        <w:rPr>
          <w:rFonts w:ascii="Book Antiqua" w:hAnsi="Book Antiqua"/>
          <w:b/>
          <w:sz w:val="24"/>
          <w:szCs w:val="24"/>
        </w:rPr>
        <w:t>4</w:t>
      </w:r>
      <w:r w:rsidRPr="009E4EDA">
        <w:rPr>
          <w:rFonts w:ascii="Book Antiqua" w:hAnsi="Book Antiqua"/>
          <w:sz w:val="24"/>
          <w:szCs w:val="24"/>
        </w:rPr>
        <w:t>: 47-53 [PMID: 28560288 DOI: 10.1016/j.jcmgh.2017.03.005]</w:t>
      </w:r>
    </w:p>
    <w:p w14:paraId="16CE4D18" w14:textId="5FB9871A"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75 </w:t>
      </w:r>
      <w:r w:rsidRPr="009E4EDA">
        <w:rPr>
          <w:rFonts w:ascii="Book Antiqua" w:hAnsi="Book Antiqua"/>
          <w:b/>
          <w:sz w:val="24"/>
          <w:szCs w:val="24"/>
        </w:rPr>
        <w:t>Stubljar D</w:t>
      </w:r>
      <w:r w:rsidRPr="009E4EDA">
        <w:rPr>
          <w:rFonts w:ascii="Book Antiqua" w:hAnsi="Book Antiqua"/>
          <w:sz w:val="24"/>
          <w:szCs w:val="24"/>
        </w:rPr>
        <w:t>,</w:t>
      </w:r>
      <w:r w:rsidR="003E1EA8">
        <w:rPr>
          <w:rFonts w:ascii="Book Antiqua" w:hAnsi="Book Antiqua"/>
          <w:sz w:val="24"/>
          <w:szCs w:val="24"/>
        </w:rPr>
        <w:t xml:space="preserve"> </w:t>
      </w:r>
      <w:r w:rsidRPr="009E4EDA">
        <w:rPr>
          <w:rFonts w:ascii="Book Antiqua" w:hAnsi="Book Antiqua"/>
          <w:sz w:val="24"/>
          <w:szCs w:val="24"/>
        </w:rPr>
        <w:t xml:space="preserve">Jeverica S, Jukic T, Skvarc M, Pintar T, Tepes B, Kavalar R, Stabuc B, Peterlin B, Ihan A. The influence of cytokine gene polymorphisms on the risk of developing gastric cancer in patients with Helicobacter pylori infection. </w:t>
      </w:r>
      <w:r w:rsidRPr="009E4EDA">
        <w:rPr>
          <w:rFonts w:ascii="Book Antiqua" w:hAnsi="Book Antiqua"/>
          <w:i/>
          <w:sz w:val="24"/>
          <w:szCs w:val="24"/>
        </w:rPr>
        <w:t>Radiol Oncol</w:t>
      </w:r>
      <w:r w:rsidRPr="009E4EDA">
        <w:rPr>
          <w:rFonts w:ascii="Book Antiqua" w:hAnsi="Book Antiqua"/>
          <w:sz w:val="24"/>
          <w:szCs w:val="24"/>
        </w:rPr>
        <w:t xml:space="preserve"> 2015; </w:t>
      </w:r>
      <w:r w:rsidRPr="009E4EDA">
        <w:rPr>
          <w:rFonts w:ascii="Book Antiqua" w:hAnsi="Book Antiqua"/>
          <w:b/>
          <w:sz w:val="24"/>
          <w:szCs w:val="24"/>
        </w:rPr>
        <w:t>49</w:t>
      </w:r>
      <w:r w:rsidRPr="009E4EDA">
        <w:rPr>
          <w:rFonts w:ascii="Book Antiqua" w:hAnsi="Book Antiqua"/>
          <w:sz w:val="24"/>
          <w:szCs w:val="24"/>
        </w:rPr>
        <w:t>: 256-264 [PMID: 26401131 DOI: 10.2478/raon-2014-0041]</w:t>
      </w:r>
    </w:p>
    <w:p w14:paraId="0370589B"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76 </w:t>
      </w:r>
      <w:r w:rsidRPr="009E4EDA">
        <w:rPr>
          <w:rFonts w:ascii="Book Antiqua" w:hAnsi="Book Antiqua"/>
          <w:b/>
          <w:sz w:val="24"/>
          <w:szCs w:val="24"/>
        </w:rPr>
        <w:t>Gao L</w:t>
      </w:r>
      <w:r w:rsidRPr="009E4EDA">
        <w:rPr>
          <w:rFonts w:ascii="Book Antiqua" w:hAnsi="Book Antiqua"/>
          <w:sz w:val="24"/>
          <w:szCs w:val="24"/>
        </w:rPr>
        <w:t xml:space="preserve">, Weck MN, Michel A, Pawlita M, Brenner H. Association between chronic atrophic gastritis and serum antibodies to 15 Helicobacter pylori proteins measured by multiplex serology. </w:t>
      </w:r>
      <w:r w:rsidRPr="009E4EDA">
        <w:rPr>
          <w:rFonts w:ascii="Book Antiqua" w:hAnsi="Book Antiqua"/>
          <w:i/>
          <w:sz w:val="24"/>
          <w:szCs w:val="24"/>
        </w:rPr>
        <w:t>Cancer Res</w:t>
      </w:r>
      <w:r w:rsidRPr="009E4EDA">
        <w:rPr>
          <w:rFonts w:ascii="Book Antiqua" w:hAnsi="Book Antiqua"/>
          <w:sz w:val="24"/>
          <w:szCs w:val="24"/>
        </w:rPr>
        <w:t xml:space="preserve"> 2009; </w:t>
      </w:r>
      <w:r w:rsidRPr="009E4EDA">
        <w:rPr>
          <w:rFonts w:ascii="Book Antiqua" w:hAnsi="Book Antiqua"/>
          <w:b/>
          <w:sz w:val="24"/>
          <w:szCs w:val="24"/>
        </w:rPr>
        <w:t>69</w:t>
      </w:r>
      <w:r w:rsidRPr="009E4EDA">
        <w:rPr>
          <w:rFonts w:ascii="Book Antiqua" w:hAnsi="Book Antiqua"/>
          <w:sz w:val="24"/>
          <w:szCs w:val="24"/>
        </w:rPr>
        <w:t>: 2973-2980 [PMID: 19318564 DOI: 10.1158/0008-5472.CAN-08-3477]</w:t>
      </w:r>
    </w:p>
    <w:p w14:paraId="0803DF58"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77 </w:t>
      </w:r>
      <w:r w:rsidRPr="009E4EDA">
        <w:rPr>
          <w:rFonts w:ascii="Book Antiqua" w:hAnsi="Book Antiqua"/>
          <w:b/>
          <w:sz w:val="24"/>
          <w:szCs w:val="24"/>
        </w:rPr>
        <w:t>Peleteiro B</w:t>
      </w:r>
      <w:r w:rsidRPr="009E4EDA">
        <w:rPr>
          <w:rFonts w:ascii="Book Antiqua" w:hAnsi="Book Antiqua"/>
          <w:sz w:val="24"/>
          <w:szCs w:val="24"/>
        </w:rPr>
        <w:t xml:space="preserve">, Lunet N, Carrilho C, Durães C, Machado JC, La Vecchia C, Barros H. Association between cytokine gene polymorphisms and gastric precancerous lesions: systematic review and meta-analysis. </w:t>
      </w:r>
      <w:r w:rsidRPr="009E4EDA">
        <w:rPr>
          <w:rFonts w:ascii="Book Antiqua" w:hAnsi="Book Antiqua"/>
          <w:i/>
          <w:sz w:val="24"/>
          <w:szCs w:val="24"/>
        </w:rPr>
        <w:t>Cancer Epidemiol Biomarkers Prev</w:t>
      </w:r>
      <w:r w:rsidRPr="009E4EDA">
        <w:rPr>
          <w:rFonts w:ascii="Book Antiqua" w:hAnsi="Book Antiqua"/>
          <w:sz w:val="24"/>
          <w:szCs w:val="24"/>
        </w:rPr>
        <w:t xml:space="preserve"> 2010; </w:t>
      </w:r>
      <w:r w:rsidRPr="009E4EDA">
        <w:rPr>
          <w:rFonts w:ascii="Book Antiqua" w:hAnsi="Book Antiqua"/>
          <w:b/>
          <w:sz w:val="24"/>
          <w:szCs w:val="24"/>
        </w:rPr>
        <w:t>19</w:t>
      </w:r>
      <w:r w:rsidRPr="009E4EDA">
        <w:rPr>
          <w:rFonts w:ascii="Book Antiqua" w:hAnsi="Book Antiqua"/>
          <w:sz w:val="24"/>
          <w:szCs w:val="24"/>
        </w:rPr>
        <w:t>: 762-776 [PMID: 20200422 DOI: 10.1158/1055-9965.EPI-09-0917]</w:t>
      </w:r>
    </w:p>
    <w:p w14:paraId="179BECD1"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78 </w:t>
      </w:r>
      <w:r w:rsidRPr="009E4EDA">
        <w:rPr>
          <w:rFonts w:ascii="Book Antiqua" w:hAnsi="Book Antiqua"/>
          <w:b/>
          <w:sz w:val="24"/>
          <w:szCs w:val="24"/>
        </w:rPr>
        <w:t>Zhao H</w:t>
      </w:r>
      <w:r w:rsidRPr="009E4EDA">
        <w:rPr>
          <w:rFonts w:ascii="Book Antiqua" w:hAnsi="Book Antiqua"/>
          <w:sz w:val="24"/>
          <w:szCs w:val="24"/>
        </w:rPr>
        <w:t xml:space="preserve">, Liu L, Liu B, Wang Y, Li F, Yu H. An updated association between TNF-α -238G/A polymorphism and gastric cancer susceptibility in East Asians. </w:t>
      </w:r>
      <w:r w:rsidRPr="009E4EDA">
        <w:rPr>
          <w:rFonts w:ascii="Book Antiqua" w:hAnsi="Book Antiqua"/>
          <w:i/>
          <w:sz w:val="24"/>
          <w:szCs w:val="24"/>
        </w:rPr>
        <w:t>Biosci Rep</w:t>
      </w:r>
      <w:r w:rsidRPr="009E4EDA">
        <w:rPr>
          <w:rFonts w:ascii="Book Antiqua" w:hAnsi="Book Antiqua"/>
          <w:sz w:val="24"/>
          <w:szCs w:val="24"/>
        </w:rPr>
        <w:t xml:space="preserve"> 2018; </w:t>
      </w:r>
      <w:r w:rsidRPr="009E4EDA">
        <w:rPr>
          <w:rFonts w:ascii="Book Antiqua" w:hAnsi="Book Antiqua"/>
          <w:b/>
          <w:sz w:val="24"/>
          <w:szCs w:val="24"/>
        </w:rPr>
        <w:t>38</w:t>
      </w:r>
      <w:r w:rsidRPr="009E4EDA">
        <w:rPr>
          <w:rFonts w:ascii="Book Antiqua" w:hAnsi="Book Antiqua"/>
          <w:sz w:val="24"/>
          <w:szCs w:val="24"/>
        </w:rPr>
        <w:t>:</w:t>
      </w:r>
      <w:r>
        <w:rPr>
          <w:rFonts w:ascii="Book Antiqua" w:hAnsi="Book Antiqua"/>
          <w:sz w:val="24"/>
          <w:szCs w:val="24"/>
        </w:rPr>
        <w:t xml:space="preserve"> </w:t>
      </w:r>
      <w:r w:rsidRPr="00501884">
        <w:rPr>
          <w:rFonts w:ascii="Book Antiqua" w:hAnsi="Book Antiqua"/>
          <w:sz w:val="24"/>
          <w:szCs w:val="24"/>
        </w:rPr>
        <w:t xml:space="preserve">pii: BSR20181231 </w:t>
      </w:r>
      <w:r w:rsidRPr="009E4EDA">
        <w:rPr>
          <w:rFonts w:ascii="Book Antiqua" w:hAnsi="Book Antiqua"/>
          <w:sz w:val="24"/>
          <w:szCs w:val="24"/>
        </w:rPr>
        <w:t>[PMID: 30413607 DOI: 10.1042/BSR20181231]</w:t>
      </w:r>
    </w:p>
    <w:p w14:paraId="53D8CA18"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79 </w:t>
      </w:r>
      <w:r w:rsidRPr="009E4EDA">
        <w:rPr>
          <w:rFonts w:ascii="Book Antiqua" w:hAnsi="Book Antiqua"/>
          <w:b/>
          <w:sz w:val="24"/>
          <w:szCs w:val="24"/>
        </w:rPr>
        <w:t>Santos JC</w:t>
      </w:r>
      <w:r w:rsidRPr="009E4EDA">
        <w:rPr>
          <w:rFonts w:ascii="Book Antiqua" w:hAnsi="Book Antiqua"/>
          <w:sz w:val="24"/>
          <w:szCs w:val="24"/>
        </w:rPr>
        <w:t xml:space="preserve">, Ladeira MS, Pedrazzoli J Jr, Ribeiro ML. Relationship of IL-1 and TNF-α polymorphisms with Helicobacter pylori in gastric diseases in a Brazilian population. </w:t>
      </w:r>
      <w:r w:rsidRPr="009E4EDA">
        <w:rPr>
          <w:rFonts w:ascii="Book Antiqua" w:hAnsi="Book Antiqua"/>
          <w:i/>
          <w:sz w:val="24"/>
          <w:szCs w:val="24"/>
        </w:rPr>
        <w:t>Braz J Med Biol Res</w:t>
      </w:r>
      <w:r w:rsidRPr="009E4EDA">
        <w:rPr>
          <w:rFonts w:ascii="Book Antiqua" w:hAnsi="Book Antiqua"/>
          <w:sz w:val="24"/>
          <w:szCs w:val="24"/>
        </w:rPr>
        <w:t xml:space="preserve"> 2012; </w:t>
      </w:r>
      <w:r w:rsidRPr="009E4EDA">
        <w:rPr>
          <w:rFonts w:ascii="Book Antiqua" w:hAnsi="Book Antiqua"/>
          <w:b/>
          <w:sz w:val="24"/>
          <w:szCs w:val="24"/>
        </w:rPr>
        <w:t>45</w:t>
      </w:r>
      <w:r w:rsidRPr="009E4EDA">
        <w:rPr>
          <w:rFonts w:ascii="Book Antiqua" w:hAnsi="Book Antiqua"/>
          <w:sz w:val="24"/>
          <w:szCs w:val="24"/>
        </w:rPr>
        <w:t>: 811-817 [PMID: 22714811]</w:t>
      </w:r>
    </w:p>
    <w:p w14:paraId="3ECDCF17"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80 </w:t>
      </w:r>
      <w:r w:rsidRPr="009E4EDA">
        <w:rPr>
          <w:rFonts w:ascii="Book Antiqua" w:hAnsi="Book Antiqua"/>
          <w:b/>
          <w:sz w:val="24"/>
          <w:szCs w:val="24"/>
        </w:rPr>
        <w:t>Starzyńska T</w:t>
      </w:r>
      <w:r w:rsidRPr="009E4EDA">
        <w:rPr>
          <w:rFonts w:ascii="Book Antiqua" w:hAnsi="Book Antiqua"/>
          <w:sz w:val="24"/>
          <w:szCs w:val="24"/>
        </w:rPr>
        <w:t xml:space="preserve">, Ferenc K, Wex T, Kähne T, Lubiński J, Lawniczak M, Marlicz K, Malfertheiner P. The association between the interleukin-1 polymorphisms and gastric cancer risk depends on the family history of gastric carcinoma in the study population. </w:t>
      </w:r>
      <w:r w:rsidRPr="009E4EDA">
        <w:rPr>
          <w:rFonts w:ascii="Book Antiqua" w:hAnsi="Book Antiqua"/>
          <w:i/>
          <w:sz w:val="24"/>
          <w:szCs w:val="24"/>
        </w:rPr>
        <w:t>Am J Gastroenterol</w:t>
      </w:r>
      <w:r w:rsidRPr="009E4EDA">
        <w:rPr>
          <w:rFonts w:ascii="Book Antiqua" w:hAnsi="Book Antiqua"/>
          <w:sz w:val="24"/>
          <w:szCs w:val="24"/>
        </w:rPr>
        <w:t xml:space="preserve"> 2006; </w:t>
      </w:r>
      <w:r w:rsidRPr="009E4EDA">
        <w:rPr>
          <w:rFonts w:ascii="Book Antiqua" w:hAnsi="Book Antiqua"/>
          <w:b/>
          <w:sz w:val="24"/>
          <w:szCs w:val="24"/>
        </w:rPr>
        <w:t>101</w:t>
      </w:r>
      <w:r w:rsidRPr="009E4EDA">
        <w:rPr>
          <w:rFonts w:ascii="Book Antiqua" w:hAnsi="Book Antiqua"/>
          <w:sz w:val="24"/>
          <w:szCs w:val="24"/>
        </w:rPr>
        <w:t>: 248-254 [PMID: 16454826 DOI: 10.1111/j.1572-0241.2006.00422.x]</w:t>
      </w:r>
    </w:p>
    <w:p w14:paraId="788E6D0F"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81 </w:t>
      </w:r>
      <w:r w:rsidRPr="009E4EDA">
        <w:rPr>
          <w:rFonts w:ascii="Book Antiqua" w:hAnsi="Book Antiqua"/>
          <w:b/>
          <w:sz w:val="24"/>
          <w:szCs w:val="24"/>
        </w:rPr>
        <w:t>Bagheri V</w:t>
      </w:r>
      <w:r w:rsidRPr="009E4EDA">
        <w:rPr>
          <w:rFonts w:ascii="Book Antiqua" w:hAnsi="Book Antiqua"/>
          <w:sz w:val="24"/>
          <w:szCs w:val="24"/>
        </w:rPr>
        <w:t xml:space="preserve">, Memar B, Momtazi AA, Sahebkar A, Gholamin M, Abbaszadegan MR. Cytokine networks and their association with Helicobacter pylori infection in gastric carcinoma. </w:t>
      </w:r>
      <w:r w:rsidRPr="009E4EDA">
        <w:rPr>
          <w:rFonts w:ascii="Book Antiqua" w:hAnsi="Book Antiqua"/>
          <w:i/>
          <w:sz w:val="24"/>
          <w:szCs w:val="24"/>
        </w:rPr>
        <w:t>J Cell Physiol</w:t>
      </w:r>
      <w:r w:rsidRPr="009E4EDA">
        <w:rPr>
          <w:rFonts w:ascii="Book Antiqua" w:hAnsi="Book Antiqua"/>
          <w:sz w:val="24"/>
          <w:szCs w:val="24"/>
        </w:rPr>
        <w:t xml:space="preserve"> 2018; </w:t>
      </w:r>
      <w:r w:rsidRPr="009E4EDA">
        <w:rPr>
          <w:rFonts w:ascii="Book Antiqua" w:hAnsi="Book Antiqua"/>
          <w:b/>
          <w:sz w:val="24"/>
          <w:szCs w:val="24"/>
        </w:rPr>
        <w:t>233</w:t>
      </w:r>
      <w:r w:rsidRPr="009E4EDA">
        <w:rPr>
          <w:rFonts w:ascii="Book Antiqua" w:hAnsi="Book Antiqua"/>
          <w:sz w:val="24"/>
          <w:szCs w:val="24"/>
        </w:rPr>
        <w:t>: 2791-2803 [PMID: 28121015 DOI: 10.1002/jcp.25822]</w:t>
      </w:r>
    </w:p>
    <w:p w14:paraId="0AFAD223"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82 </w:t>
      </w:r>
      <w:r w:rsidRPr="009E4EDA">
        <w:rPr>
          <w:rFonts w:ascii="Book Antiqua" w:hAnsi="Book Antiqua"/>
          <w:b/>
          <w:sz w:val="24"/>
          <w:szCs w:val="24"/>
        </w:rPr>
        <w:t>Xue H</w:t>
      </w:r>
      <w:r w:rsidRPr="009E4EDA">
        <w:rPr>
          <w:rFonts w:ascii="Book Antiqua" w:hAnsi="Book Antiqua"/>
          <w:sz w:val="24"/>
          <w:szCs w:val="24"/>
        </w:rPr>
        <w:t xml:space="preserve">, Lin B, Ni P, Xu H, Huang G. Interleukin-1B and interleukin-1 RN polymorphisms and gastric carcinoma risk: a meta-analysis. </w:t>
      </w:r>
      <w:r w:rsidRPr="009E4EDA">
        <w:rPr>
          <w:rFonts w:ascii="Book Antiqua" w:hAnsi="Book Antiqua"/>
          <w:i/>
          <w:sz w:val="24"/>
          <w:szCs w:val="24"/>
        </w:rPr>
        <w:t>J Gastroenterol Hepatol</w:t>
      </w:r>
      <w:r w:rsidRPr="009E4EDA">
        <w:rPr>
          <w:rFonts w:ascii="Book Antiqua" w:hAnsi="Book Antiqua"/>
          <w:sz w:val="24"/>
          <w:szCs w:val="24"/>
        </w:rPr>
        <w:t xml:space="preserve"> 2010; </w:t>
      </w:r>
      <w:r w:rsidRPr="009E4EDA">
        <w:rPr>
          <w:rFonts w:ascii="Book Antiqua" w:hAnsi="Book Antiqua"/>
          <w:b/>
          <w:sz w:val="24"/>
          <w:szCs w:val="24"/>
        </w:rPr>
        <w:t>25</w:t>
      </w:r>
      <w:r w:rsidRPr="009E4EDA">
        <w:rPr>
          <w:rFonts w:ascii="Book Antiqua" w:hAnsi="Book Antiqua"/>
          <w:sz w:val="24"/>
          <w:szCs w:val="24"/>
        </w:rPr>
        <w:t>: 1604-1617 [PMID: 20880168 DOI: 10.1111/j.1440-1746.2010.06428.x]</w:t>
      </w:r>
    </w:p>
    <w:p w14:paraId="535C3B97"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83 </w:t>
      </w:r>
      <w:r w:rsidRPr="009E4EDA">
        <w:rPr>
          <w:rFonts w:ascii="Book Antiqua" w:hAnsi="Book Antiqua"/>
          <w:b/>
          <w:sz w:val="24"/>
          <w:szCs w:val="24"/>
        </w:rPr>
        <w:t>Gehmert S</w:t>
      </w:r>
      <w:r w:rsidRPr="009E4EDA">
        <w:rPr>
          <w:rFonts w:ascii="Book Antiqua" w:hAnsi="Book Antiqua"/>
          <w:sz w:val="24"/>
          <w:szCs w:val="24"/>
        </w:rPr>
        <w:t xml:space="preserve">, Velapatiño B, Herrera P, Balqui J, Santivañez L, Cok J, Vargas G, Combe J, Passaro DJ, Wen S, Meyer F, Berg DE, Gilman RH. Interleukin-1 beta single-nucleotide polymorphism's C allele is associated with elevated risk of gastric cancer in Helicobacter pylori-infected Peruvians. </w:t>
      </w:r>
      <w:r w:rsidRPr="009E4EDA">
        <w:rPr>
          <w:rFonts w:ascii="Book Antiqua" w:hAnsi="Book Antiqua"/>
          <w:i/>
          <w:sz w:val="24"/>
          <w:szCs w:val="24"/>
        </w:rPr>
        <w:t>Am J Trop Med Hyg</w:t>
      </w:r>
      <w:r w:rsidRPr="009E4EDA">
        <w:rPr>
          <w:rFonts w:ascii="Book Antiqua" w:hAnsi="Book Antiqua"/>
          <w:sz w:val="24"/>
          <w:szCs w:val="24"/>
        </w:rPr>
        <w:t xml:space="preserve"> 2009; </w:t>
      </w:r>
      <w:r w:rsidRPr="009E4EDA">
        <w:rPr>
          <w:rFonts w:ascii="Book Antiqua" w:hAnsi="Book Antiqua"/>
          <w:b/>
          <w:sz w:val="24"/>
          <w:szCs w:val="24"/>
        </w:rPr>
        <w:t>81</w:t>
      </w:r>
      <w:r w:rsidRPr="009E4EDA">
        <w:rPr>
          <w:rFonts w:ascii="Book Antiqua" w:hAnsi="Book Antiqua"/>
          <w:sz w:val="24"/>
          <w:szCs w:val="24"/>
        </w:rPr>
        <w:t>: 804-810 [PMID: 19861615 DOI: 10.4269/ajtmh.2009.08-0494]</w:t>
      </w:r>
    </w:p>
    <w:p w14:paraId="1466F683"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84 </w:t>
      </w:r>
      <w:r w:rsidRPr="009E4EDA">
        <w:rPr>
          <w:rFonts w:ascii="Book Antiqua" w:hAnsi="Book Antiqua"/>
          <w:b/>
          <w:sz w:val="24"/>
          <w:szCs w:val="24"/>
        </w:rPr>
        <w:t>Chiurillo MA</w:t>
      </w:r>
      <w:r w:rsidRPr="009E4EDA">
        <w:rPr>
          <w:rFonts w:ascii="Book Antiqua" w:hAnsi="Book Antiqua"/>
          <w:sz w:val="24"/>
          <w:szCs w:val="24"/>
        </w:rPr>
        <w:t xml:space="preserve">, Moran Y, Cañas M, Valderrama E, Alvarez A, Armanie E. Combination of Helicobacter pylori-iceA2 and proinflammatory interleukin-1 polymorphisms is associated with the severity of histological changes in Venezuelan chronic gastritis patients. </w:t>
      </w:r>
      <w:r w:rsidRPr="009E4EDA">
        <w:rPr>
          <w:rFonts w:ascii="Book Antiqua" w:hAnsi="Book Antiqua"/>
          <w:i/>
          <w:sz w:val="24"/>
          <w:szCs w:val="24"/>
        </w:rPr>
        <w:t>FEMS Immunol Med Microbiol</w:t>
      </w:r>
      <w:r w:rsidRPr="009E4EDA">
        <w:rPr>
          <w:rFonts w:ascii="Book Antiqua" w:hAnsi="Book Antiqua"/>
          <w:sz w:val="24"/>
          <w:szCs w:val="24"/>
        </w:rPr>
        <w:t xml:space="preserve"> 2010; </w:t>
      </w:r>
      <w:r w:rsidRPr="009E4EDA">
        <w:rPr>
          <w:rFonts w:ascii="Book Antiqua" w:hAnsi="Book Antiqua"/>
          <w:b/>
          <w:sz w:val="24"/>
          <w:szCs w:val="24"/>
        </w:rPr>
        <w:t>59</w:t>
      </w:r>
      <w:r w:rsidRPr="009E4EDA">
        <w:rPr>
          <w:rFonts w:ascii="Book Antiqua" w:hAnsi="Book Antiqua"/>
          <w:sz w:val="24"/>
          <w:szCs w:val="24"/>
        </w:rPr>
        <w:t>: 170-176 [PMID: 20482626 DOI: 10.1111/j.1574-695X.2010.00675.x]</w:t>
      </w:r>
    </w:p>
    <w:p w14:paraId="4D0BAD39"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85 </w:t>
      </w:r>
      <w:r w:rsidRPr="009E4EDA">
        <w:rPr>
          <w:rFonts w:ascii="Book Antiqua" w:hAnsi="Book Antiqua"/>
          <w:b/>
          <w:sz w:val="24"/>
          <w:szCs w:val="24"/>
        </w:rPr>
        <w:t>Chiurillo MA</w:t>
      </w:r>
      <w:r w:rsidRPr="009E4EDA">
        <w:rPr>
          <w:rFonts w:ascii="Book Antiqua" w:hAnsi="Book Antiqua"/>
          <w:sz w:val="24"/>
          <w:szCs w:val="24"/>
        </w:rPr>
        <w:t xml:space="preserve">, Moran YH, Cañas M, Valderrama EJ, Armanie E. Infection with specific Helicobacter pylori-cag pathogenicity island strains is associated with interleukin-1B gene polymorphisms in Venezuelan chronic gastritis patients. </w:t>
      </w:r>
      <w:r w:rsidRPr="009E4EDA">
        <w:rPr>
          <w:rFonts w:ascii="Book Antiqua" w:hAnsi="Book Antiqua"/>
          <w:i/>
          <w:sz w:val="24"/>
          <w:szCs w:val="24"/>
        </w:rPr>
        <w:t>Dig Dis Sci</w:t>
      </w:r>
      <w:r w:rsidRPr="009E4EDA">
        <w:rPr>
          <w:rFonts w:ascii="Book Antiqua" w:hAnsi="Book Antiqua"/>
          <w:sz w:val="24"/>
          <w:szCs w:val="24"/>
        </w:rPr>
        <w:t xml:space="preserve"> 2011; </w:t>
      </w:r>
      <w:r w:rsidRPr="009E4EDA">
        <w:rPr>
          <w:rFonts w:ascii="Book Antiqua" w:hAnsi="Book Antiqua"/>
          <w:b/>
          <w:sz w:val="24"/>
          <w:szCs w:val="24"/>
        </w:rPr>
        <w:t>56</w:t>
      </w:r>
      <w:r w:rsidRPr="009E4EDA">
        <w:rPr>
          <w:rFonts w:ascii="Book Antiqua" w:hAnsi="Book Antiqua"/>
          <w:sz w:val="24"/>
          <w:szCs w:val="24"/>
        </w:rPr>
        <w:t>: 449-456 [PMID: 20585978 DOI: 10.1007/s10620-010-1316-0]</w:t>
      </w:r>
    </w:p>
    <w:p w14:paraId="54012EEF"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86 </w:t>
      </w:r>
      <w:r w:rsidRPr="009E4EDA">
        <w:rPr>
          <w:rFonts w:ascii="Book Antiqua" w:hAnsi="Book Antiqua"/>
          <w:b/>
          <w:sz w:val="24"/>
          <w:szCs w:val="24"/>
        </w:rPr>
        <w:t>Caleman Neto A</w:t>
      </w:r>
      <w:r w:rsidRPr="009E4EDA">
        <w:rPr>
          <w:rFonts w:ascii="Book Antiqua" w:hAnsi="Book Antiqua"/>
          <w:sz w:val="24"/>
          <w:szCs w:val="24"/>
        </w:rPr>
        <w:t xml:space="preserve">, Rasmussen LT, de Labio RW, de Queiroz VF, Smith Mde A, Viani GA, Payão SL. Gene polymorphism of interleukin 1 and 8 in chronic gastritis patients infected with Helicobacter pylori. </w:t>
      </w:r>
      <w:r w:rsidRPr="009E4EDA">
        <w:rPr>
          <w:rFonts w:ascii="Book Antiqua" w:hAnsi="Book Antiqua"/>
          <w:i/>
          <w:sz w:val="24"/>
          <w:szCs w:val="24"/>
        </w:rPr>
        <w:t>J Venom Anim Toxins Incl Trop Dis</w:t>
      </w:r>
      <w:r w:rsidRPr="009E4EDA">
        <w:rPr>
          <w:rFonts w:ascii="Book Antiqua" w:hAnsi="Book Antiqua"/>
          <w:sz w:val="24"/>
          <w:szCs w:val="24"/>
        </w:rPr>
        <w:t xml:space="preserve"> 2014; </w:t>
      </w:r>
      <w:r w:rsidRPr="009E4EDA">
        <w:rPr>
          <w:rFonts w:ascii="Book Antiqua" w:hAnsi="Book Antiqua"/>
          <w:b/>
          <w:sz w:val="24"/>
          <w:szCs w:val="24"/>
        </w:rPr>
        <w:t>20</w:t>
      </w:r>
      <w:r w:rsidRPr="009E4EDA">
        <w:rPr>
          <w:rFonts w:ascii="Book Antiqua" w:hAnsi="Book Antiqua"/>
          <w:sz w:val="24"/>
          <w:szCs w:val="24"/>
        </w:rPr>
        <w:t>: 17 [PMID: 24803922 DOI: 10.1186/1678-9199-20-17]</w:t>
      </w:r>
    </w:p>
    <w:p w14:paraId="4C726EC0"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87 </w:t>
      </w:r>
      <w:r w:rsidRPr="009E4EDA">
        <w:rPr>
          <w:rFonts w:ascii="Book Antiqua" w:hAnsi="Book Antiqua"/>
          <w:b/>
          <w:sz w:val="24"/>
          <w:szCs w:val="24"/>
        </w:rPr>
        <w:t>Con SA</w:t>
      </w:r>
      <w:r w:rsidRPr="009E4EDA">
        <w:rPr>
          <w:rFonts w:ascii="Book Antiqua" w:hAnsi="Book Antiqua"/>
          <w:sz w:val="24"/>
          <w:szCs w:val="24"/>
        </w:rPr>
        <w:t xml:space="preserve">, Con-Wong R, Con-Chin GR, Con-Chin VG, Takeuchi H, Valerín AL, Echandi G, Mena F, Brenes F, Yasuda N, Araki K, Sugiura T. Serum pepsinogen levels, Helicobacter pylori CagA Status, and cytokine gene polymorphisms associated with gastric premalignant lesions in Costa Rica. </w:t>
      </w:r>
      <w:r w:rsidRPr="009E4EDA">
        <w:rPr>
          <w:rFonts w:ascii="Book Antiqua" w:hAnsi="Book Antiqua"/>
          <w:i/>
          <w:sz w:val="24"/>
          <w:szCs w:val="24"/>
        </w:rPr>
        <w:t>Cancer Epidemiol Biomarkers Prev</w:t>
      </w:r>
      <w:r w:rsidRPr="009E4EDA">
        <w:rPr>
          <w:rFonts w:ascii="Book Antiqua" w:hAnsi="Book Antiqua"/>
          <w:sz w:val="24"/>
          <w:szCs w:val="24"/>
        </w:rPr>
        <w:t xml:space="preserve"> 2007; </w:t>
      </w:r>
      <w:r w:rsidRPr="009E4EDA">
        <w:rPr>
          <w:rFonts w:ascii="Book Antiqua" w:hAnsi="Book Antiqua"/>
          <w:b/>
          <w:sz w:val="24"/>
          <w:szCs w:val="24"/>
        </w:rPr>
        <w:t>16</w:t>
      </w:r>
      <w:r w:rsidRPr="009E4EDA">
        <w:rPr>
          <w:rFonts w:ascii="Book Antiqua" w:hAnsi="Book Antiqua"/>
          <w:sz w:val="24"/>
          <w:szCs w:val="24"/>
        </w:rPr>
        <w:t>: 2631-2636 [PMID: 18086767 DOI: 10.1158/1055-9965.EPI-07-0215]</w:t>
      </w:r>
    </w:p>
    <w:p w14:paraId="5D0F931D"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88 </w:t>
      </w:r>
      <w:r w:rsidRPr="009E4EDA">
        <w:rPr>
          <w:rFonts w:ascii="Book Antiqua" w:hAnsi="Book Antiqua"/>
          <w:b/>
          <w:sz w:val="24"/>
          <w:szCs w:val="24"/>
        </w:rPr>
        <w:t>Chen ML</w:t>
      </w:r>
      <w:r w:rsidRPr="009E4EDA">
        <w:rPr>
          <w:rFonts w:ascii="Book Antiqua" w:hAnsi="Book Antiqua"/>
          <w:sz w:val="24"/>
          <w:szCs w:val="24"/>
        </w:rPr>
        <w:t xml:space="preserve">, Liao N, Zhao H, Huang J, Xie ZF. Association between the IL1B (-511), IL1B (+3954), IL1RN (VNTR) polymorphisms and Graves' disease risk: a meta-analysis of 11 case-control studies. </w:t>
      </w:r>
      <w:r w:rsidRPr="009E4EDA">
        <w:rPr>
          <w:rFonts w:ascii="Book Antiqua" w:hAnsi="Book Antiqua"/>
          <w:i/>
          <w:sz w:val="24"/>
          <w:szCs w:val="24"/>
        </w:rPr>
        <w:t>PLoS One</w:t>
      </w:r>
      <w:r w:rsidRPr="009E4EDA">
        <w:rPr>
          <w:rFonts w:ascii="Book Antiqua" w:hAnsi="Book Antiqua"/>
          <w:sz w:val="24"/>
          <w:szCs w:val="24"/>
        </w:rPr>
        <w:t xml:space="preserve"> 2014; </w:t>
      </w:r>
      <w:r w:rsidRPr="009E4EDA">
        <w:rPr>
          <w:rFonts w:ascii="Book Antiqua" w:hAnsi="Book Antiqua"/>
          <w:b/>
          <w:sz w:val="24"/>
          <w:szCs w:val="24"/>
        </w:rPr>
        <w:t>9</w:t>
      </w:r>
      <w:r w:rsidRPr="009E4EDA">
        <w:rPr>
          <w:rFonts w:ascii="Book Antiqua" w:hAnsi="Book Antiqua"/>
          <w:sz w:val="24"/>
          <w:szCs w:val="24"/>
        </w:rPr>
        <w:t>: e86077 [PMID: 24465880 DOI: 10.1371/journal.pone.0086077]</w:t>
      </w:r>
    </w:p>
    <w:p w14:paraId="398BB7CC"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89 </w:t>
      </w:r>
      <w:r w:rsidRPr="009E4EDA">
        <w:rPr>
          <w:rFonts w:ascii="Book Antiqua" w:hAnsi="Book Antiqua"/>
          <w:b/>
          <w:sz w:val="24"/>
          <w:szCs w:val="24"/>
        </w:rPr>
        <w:t>Melchiades JL</w:t>
      </w:r>
      <w:r w:rsidRPr="009E4EDA">
        <w:rPr>
          <w:rFonts w:ascii="Book Antiqua" w:hAnsi="Book Antiqua"/>
          <w:sz w:val="24"/>
          <w:szCs w:val="24"/>
        </w:rPr>
        <w:t xml:space="preserve">, Zabaglia LM, Sallas ML, Orcini WA, Chen E, Smith MAC, Payão SLM, Rasmussen LT. Polymorphisms and haplotypes of the interleukin 2 gene are associated with an increased risk of gastric cancer. The possible involvement of Helicobacter pylori. </w:t>
      </w:r>
      <w:r w:rsidRPr="009E4EDA">
        <w:rPr>
          <w:rFonts w:ascii="Book Antiqua" w:hAnsi="Book Antiqua"/>
          <w:i/>
          <w:sz w:val="24"/>
          <w:szCs w:val="24"/>
        </w:rPr>
        <w:t>Cytokine</w:t>
      </w:r>
      <w:r w:rsidRPr="009E4EDA">
        <w:rPr>
          <w:rFonts w:ascii="Book Antiqua" w:hAnsi="Book Antiqua"/>
          <w:sz w:val="24"/>
          <w:szCs w:val="24"/>
        </w:rPr>
        <w:t xml:space="preserve"> 2017; </w:t>
      </w:r>
      <w:r w:rsidRPr="009E4EDA">
        <w:rPr>
          <w:rFonts w:ascii="Book Antiqua" w:hAnsi="Book Antiqua"/>
          <w:b/>
          <w:sz w:val="24"/>
          <w:szCs w:val="24"/>
        </w:rPr>
        <w:t>96</w:t>
      </w:r>
      <w:r w:rsidRPr="009E4EDA">
        <w:rPr>
          <w:rFonts w:ascii="Book Antiqua" w:hAnsi="Book Antiqua"/>
          <w:sz w:val="24"/>
          <w:szCs w:val="24"/>
        </w:rPr>
        <w:t>: 203-207 [PMID: 28458166 DOI: 10.1016/j.cyto.2017.04.020]</w:t>
      </w:r>
    </w:p>
    <w:p w14:paraId="4016D50A"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90 </w:t>
      </w:r>
      <w:r w:rsidRPr="009E4EDA">
        <w:rPr>
          <w:rFonts w:ascii="Book Antiqua" w:hAnsi="Book Antiqua"/>
          <w:b/>
          <w:sz w:val="24"/>
          <w:szCs w:val="24"/>
        </w:rPr>
        <w:t>Shin WG</w:t>
      </w:r>
      <w:r w:rsidRPr="009E4EDA">
        <w:rPr>
          <w:rFonts w:ascii="Book Antiqua" w:hAnsi="Book Antiqua"/>
          <w:sz w:val="24"/>
          <w:szCs w:val="24"/>
        </w:rPr>
        <w:t xml:space="preserve">, Jang JS, Kim HS, Kim SJ, Kim KH, Jang MK, Lee JH, Kim HJ, Kim HY. Polymorphisms of interleukin-1 and interleukin-2 genes in patients with gastric cancer in Korea. </w:t>
      </w:r>
      <w:r w:rsidRPr="009E4EDA">
        <w:rPr>
          <w:rFonts w:ascii="Book Antiqua" w:hAnsi="Book Antiqua"/>
          <w:i/>
          <w:sz w:val="24"/>
          <w:szCs w:val="24"/>
        </w:rPr>
        <w:t>J Gastroenterol Hepatol</w:t>
      </w:r>
      <w:r w:rsidRPr="009E4EDA">
        <w:rPr>
          <w:rFonts w:ascii="Book Antiqua" w:hAnsi="Book Antiqua"/>
          <w:sz w:val="24"/>
          <w:szCs w:val="24"/>
        </w:rPr>
        <w:t xml:space="preserve"> 2008; </w:t>
      </w:r>
      <w:r w:rsidRPr="009E4EDA">
        <w:rPr>
          <w:rFonts w:ascii="Book Antiqua" w:hAnsi="Book Antiqua"/>
          <w:b/>
          <w:sz w:val="24"/>
          <w:szCs w:val="24"/>
        </w:rPr>
        <w:t>23</w:t>
      </w:r>
      <w:r w:rsidRPr="009E4EDA">
        <w:rPr>
          <w:rFonts w:ascii="Book Antiqua" w:hAnsi="Book Antiqua"/>
          <w:sz w:val="24"/>
          <w:szCs w:val="24"/>
        </w:rPr>
        <w:t>: 1567-1573 [PMID: 18761558 DOI: 10.1111/j.1440-1746.2008.05479.x]</w:t>
      </w:r>
    </w:p>
    <w:p w14:paraId="46F7C8DC"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91 </w:t>
      </w:r>
      <w:r w:rsidRPr="009E4EDA">
        <w:rPr>
          <w:rFonts w:ascii="Book Antiqua" w:hAnsi="Book Antiqua"/>
          <w:b/>
          <w:sz w:val="24"/>
          <w:szCs w:val="24"/>
        </w:rPr>
        <w:t>Zhao H</w:t>
      </w:r>
      <w:r w:rsidRPr="009E4EDA">
        <w:rPr>
          <w:rFonts w:ascii="Book Antiqua" w:hAnsi="Book Antiqua"/>
          <w:sz w:val="24"/>
          <w:szCs w:val="24"/>
        </w:rPr>
        <w:t xml:space="preserve">, Wang R. IL-2 -330T/G polymorphism and cancer risk: a meta-analysis. </w:t>
      </w:r>
      <w:r w:rsidRPr="009E4EDA">
        <w:rPr>
          <w:rFonts w:ascii="Book Antiqua" w:hAnsi="Book Antiqua"/>
          <w:i/>
          <w:sz w:val="24"/>
          <w:szCs w:val="24"/>
        </w:rPr>
        <w:t>Onco Targets Ther</w:t>
      </w:r>
      <w:r w:rsidRPr="009E4EDA">
        <w:rPr>
          <w:rFonts w:ascii="Book Antiqua" w:hAnsi="Book Antiqua"/>
          <w:sz w:val="24"/>
          <w:szCs w:val="24"/>
        </w:rPr>
        <w:t xml:space="preserve"> 2015; </w:t>
      </w:r>
      <w:r w:rsidRPr="009E4EDA">
        <w:rPr>
          <w:rFonts w:ascii="Book Antiqua" w:hAnsi="Book Antiqua"/>
          <w:b/>
          <w:sz w:val="24"/>
          <w:szCs w:val="24"/>
        </w:rPr>
        <w:t>8</w:t>
      </w:r>
      <w:r w:rsidRPr="009E4EDA">
        <w:rPr>
          <w:rFonts w:ascii="Book Antiqua" w:hAnsi="Book Antiqua"/>
          <w:sz w:val="24"/>
          <w:szCs w:val="24"/>
        </w:rPr>
        <w:t>: 1753-1760 [PMID: 26229483 DOI: 10.2147/OTT.S86136]</w:t>
      </w:r>
    </w:p>
    <w:p w14:paraId="2AE16CCD"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92 </w:t>
      </w:r>
      <w:r w:rsidRPr="009E4EDA">
        <w:rPr>
          <w:rFonts w:ascii="Book Antiqua" w:hAnsi="Book Antiqua"/>
          <w:b/>
          <w:sz w:val="24"/>
          <w:szCs w:val="24"/>
        </w:rPr>
        <w:t>Liu Y</w:t>
      </w:r>
      <w:r w:rsidRPr="009E4EDA">
        <w:rPr>
          <w:rFonts w:ascii="Book Antiqua" w:hAnsi="Book Antiqua"/>
          <w:sz w:val="24"/>
          <w:szCs w:val="24"/>
        </w:rPr>
        <w:t xml:space="preserve">, Xu Y, Wang Y, Yao Y, Yang J. Associations between interleukin gene polymorphisms and the risk of gastric cancer: A meta-analysis. </w:t>
      </w:r>
      <w:r w:rsidRPr="009E4EDA">
        <w:rPr>
          <w:rFonts w:ascii="Book Antiqua" w:hAnsi="Book Antiqua"/>
          <w:i/>
          <w:sz w:val="24"/>
          <w:szCs w:val="24"/>
        </w:rPr>
        <w:t>Clin Exp Pharmacol Physiol</w:t>
      </w:r>
      <w:r w:rsidRPr="009E4EDA">
        <w:rPr>
          <w:rFonts w:ascii="Book Antiqua" w:hAnsi="Book Antiqua"/>
          <w:sz w:val="24"/>
          <w:szCs w:val="24"/>
        </w:rPr>
        <w:t xml:space="preserve"> 2018; </w:t>
      </w:r>
      <w:r w:rsidRPr="009E4EDA">
        <w:rPr>
          <w:rFonts w:ascii="Book Antiqua" w:hAnsi="Book Antiqua"/>
          <w:b/>
          <w:sz w:val="24"/>
          <w:szCs w:val="24"/>
        </w:rPr>
        <w:t>45</w:t>
      </w:r>
      <w:r w:rsidRPr="009E4EDA">
        <w:rPr>
          <w:rFonts w:ascii="Book Antiqua" w:hAnsi="Book Antiqua"/>
          <w:sz w:val="24"/>
          <w:szCs w:val="24"/>
        </w:rPr>
        <w:t>: 1236-1244 [PMID: 30071135 DOI: 10.1111/1440-1681.13021]</w:t>
      </w:r>
    </w:p>
    <w:p w14:paraId="2517B5E3"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93 </w:t>
      </w:r>
      <w:r w:rsidRPr="009E4EDA">
        <w:rPr>
          <w:rFonts w:ascii="Book Antiqua" w:hAnsi="Book Antiqua"/>
          <w:b/>
          <w:sz w:val="24"/>
          <w:szCs w:val="24"/>
        </w:rPr>
        <w:t>Van Dyken SJ</w:t>
      </w:r>
      <w:r w:rsidRPr="009E4EDA">
        <w:rPr>
          <w:rFonts w:ascii="Book Antiqua" w:hAnsi="Book Antiqua"/>
          <w:sz w:val="24"/>
          <w:szCs w:val="24"/>
        </w:rPr>
        <w:t xml:space="preserve">, Locksley RM. Interleukin-4- and interleukin-13-mediated alternatively activated macrophages: roles in homeostasis and disease. </w:t>
      </w:r>
      <w:r w:rsidRPr="009E4EDA">
        <w:rPr>
          <w:rFonts w:ascii="Book Antiqua" w:hAnsi="Book Antiqua"/>
          <w:i/>
          <w:sz w:val="24"/>
          <w:szCs w:val="24"/>
        </w:rPr>
        <w:t>Annu Rev Immunol</w:t>
      </w:r>
      <w:r w:rsidRPr="009E4EDA">
        <w:rPr>
          <w:rFonts w:ascii="Book Antiqua" w:hAnsi="Book Antiqua"/>
          <w:sz w:val="24"/>
          <w:szCs w:val="24"/>
        </w:rPr>
        <w:t xml:space="preserve"> 2013; </w:t>
      </w:r>
      <w:r w:rsidRPr="009E4EDA">
        <w:rPr>
          <w:rFonts w:ascii="Book Antiqua" w:hAnsi="Book Antiqua"/>
          <w:b/>
          <w:sz w:val="24"/>
          <w:szCs w:val="24"/>
        </w:rPr>
        <w:t>31</w:t>
      </w:r>
      <w:r w:rsidRPr="009E4EDA">
        <w:rPr>
          <w:rFonts w:ascii="Book Antiqua" w:hAnsi="Book Antiqua"/>
          <w:sz w:val="24"/>
          <w:szCs w:val="24"/>
        </w:rPr>
        <w:t>: 317-343 [PMID: 23298208 DOI: 10.1146/annurev-immunol-032712-095906]</w:t>
      </w:r>
    </w:p>
    <w:p w14:paraId="19A98EE6"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94 </w:t>
      </w:r>
      <w:r w:rsidRPr="009E4EDA">
        <w:rPr>
          <w:rFonts w:ascii="Book Antiqua" w:hAnsi="Book Antiqua"/>
          <w:b/>
          <w:sz w:val="24"/>
          <w:szCs w:val="24"/>
        </w:rPr>
        <w:t>Sampaio AM</w:t>
      </w:r>
      <w:r w:rsidRPr="009E4EDA">
        <w:rPr>
          <w:rFonts w:ascii="Book Antiqua" w:hAnsi="Book Antiqua"/>
          <w:sz w:val="24"/>
          <w:szCs w:val="24"/>
        </w:rPr>
        <w:t xml:space="preserve">, Balseiro SC, Silva MR, Alarcão A, d'Aguiar MJ, Ferreira T, Carvalho L. Association Between IL-4 and IL-6 Expression Variants and Gastric Cancer Among Portuguese Population. </w:t>
      </w:r>
      <w:r w:rsidRPr="009E4EDA">
        <w:rPr>
          <w:rFonts w:ascii="Book Antiqua" w:hAnsi="Book Antiqua"/>
          <w:i/>
          <w:sz w:val="24"/>
          <w:szCs w:val="24"/>
        </w:rPr>
        <w:t>GE Port J Gastroenterol</w:t>
      </w:r>
      <w:r w:rsidRPr="009E4EDA">
        <w:rPr>
          <w:rFonts w:ascii="Book Antiqua" w:hAnsi="Book Antiqua"/>
          <w:sz w:val="24"/>
          <w:szCs w:val="24"/>
        </w:rPr>
        <w:t xml:space="preserve"> 2015; </w:t>
      </w:r>
      <w:r w:rsidRPr="009E4EDA">
        <w:rPr>
          <w:rFonts w:ascii="Book Antiqua" w:hAnsi="Book Antiqua"/>
          <w:b/>
          <w:sz w:val="24"/>
          <w:szCs w:val="24"/>
        </w:rPr>
        <w:t>22</w:t>
      </w:r>
      <w:r w:rsidRPr="009E4EDA">
        <w:rPr>
          <w:rFonts w:ascii="Book Antiqua" w:hAnsi="Book Antiqua"/>
          <w:sz w:val="24"/>
          <w:szCs w:val="24"/>
        </w:rPr>
        <w:t>: 143-152 [PMID: 28868397 DOI: 10.1016/j.jpge.2015.04.001]</w:t>
      </w:r>
    </w:p>
    <w:p w14:paraId="18DBC155"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95 </w:t>
      </w:r>
      <w:r w:rsidRPr="009E4EDA">
        <w:rPr>
          <w:rFonts w:ascii="Book Antiqua" w:hAnsi="Book Antiqua"/>
          <w:b/>
          <w:sz w:val="24"/>
          <w:szCs w:val="24"/>
        </w:rPr>
        <w:t>Pan XF</w:t>
      </w:r>
      <w:r w:rsidRPr="009E4EDA">
        <w:rPr>
          <w:rFonts w:ascii="Book Antiqua" w:hAnsi="Book Antiqua"/>
          <w:sz w:val="24"/>
          <w:szCs w:val="24"/>
        </w:rPr>
        <w:t xml:space="preserve">, Wen Y, Loh M, Wen YY, Yang SJ, Zhao ZM, Tian Z, Huang H, Lan H, Chen F, Soong R, Yang CX. Interleukin-4 and -8 gene polymorphisms and risk of gastric cancer in a population in Southwestern China. </w:t>
      </w:r>
      <w:r w:rsidRPr="009E4EDA">
        <w:rPr>
          <w:rFonts w:ascii="Book Antiqua" w:hAnsi="Book Antiqua"/>
          <w:i/>
          <w:sz w:val="24"/>
          <w:szCs w:val="24"/>
        </w:rPr>
        <w:t>Asian Pac J Cancer Prev</w:t>
      </w:r>
      <w:r w:rsidRPr="009E4EDA">
        <w:rPr>
          <w:rFonts w:ascii="Book Antiqua" w:hAnsi="Book Antiqua"/>
          <w:sz w:val="24"/>
          <w:szCs w:val="24"/>
        </w:rPr>
        <w:t xml:space="preserve"> 2014; </w:t>
      </w:r>
      <w:r w:rsidRPr="009E4EDA">
        <w:rPr>
          <w:rFonts w:ascii="Book Antiqua" w:hAnsi="Book Antiqua"/>
          <w:b/>
          <w:sz w:val="24"/>
          <w:szCs w:val="24"/>
        </w:rPr>
        <w:t>15</w:t>
      </w:r>
      <w:r w:rsidRPr="009E4EDA">
        <w:rPr>
          <w:rFonts w:ascii="Book Antiqua" w:hAnsi="Book Antiqua"/>
          <w:sz w:val="24"/>
          <w:szCs w:val="24"/>
        </w:rPr>
        <w:t>: 2951-2957 [PMID: 24815430]</w:t>
      </w:r>
    </w:p>
    <w:p w14:paraId="4194A110"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96 </w:t>
      </w:r>
      <w:r w:rsidRPr="009E4EDA">
        <w:rPr>
          <w:rFonts w:ascii="Book Antiqua" w:hAnsi="Book Antiqua"/>
          <w:b/>
          <w:sz w:val="24"/>
          <w:szCs w:val="24"/>
        </w:rPr>
        <w:t>Kato I</w:t>
      </w:r>
      <w:r w:rsidRPr="009E4EDA">
        <w:rPr>
          <w:rFonts w:ascii="Book Antiqua" w:hAnsi="Book Antiqua"/>
          <w:sz w:val="24"/>
          <w:szCs w:val="24"/>
        </w:rPr>
        <w:t xml:space="preserve">, Canzian F, Franceschi S, Plummer M, van Doorn LJ, Lu Y, Gioia-Patricola L, Vivas J, Lopez G, Severson RK, Schwartz AG, Muñoz N. Genetic polymorphisms in anti-inflammatory cytokine signaling and the prevalence of gastric precancerous lesions in Venezuela. </w:t>
      </w:r>
      <w:r w:rsidRPr="009E4EDA">
        <w:rPr>
          <w:rFonts w:ascii="Book Antiqua" w:hAnsi="Book Antiqua"/>
          <w:i/>
          <w:sz w:val="24"/>
          <w:szCs w:val="24"/>
        </w:rPr>
        <w:t>Cancer Causes Control</w:t>
      </w:r>
      <w:r w:rsidRPr="009E4EDA">
        <w:rPr>
          <w:rFonts w:ascii="Book Antiqua" w:hAnsi="Book Antiqua"/>
          <w:sz w:val="24"/>
          <w:szCs w:val="24"/>
        </w:rPr>
        <w:t xml:space="preserve"> 2006; </w:t>
      </w:r>
      <w:r w:rsidRPr="009E4EDA">
        <w:rPr>
          <w:rFonts w:ascii="Book Antiqua" w:hAnsi="Book Antiqua"/>
          <w:b/>
          <w:sz w:val="24"/>
          <w:szCs w:val="24"/>
        </w:rPr>
        <w:t>17</w:t>
      </w:r>
      <w:r w:rsidRPr="009E4EDA">
        <w:rPr>
          <w:rFonts w:ascii="Book Antiqua" w:hAnsi="Book Antiqua"/>
          <w:sz w:val="24"/>
          <w:szCs w:val="24"/>
        </w:rPr>
        <w:t>: 1183-1191 [PMID: 17006724 DOI: 10.1007/s10552-006-0060-4]</w:t>
      </w:r>
    </w:p>
    <w:p w14:paraId="7DF3ABB7"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97 </w:t>
      </w:r>
      <w:r w:rsidRPr="009E4EDA">
        <w:rPr>
          <w:rFonts w:ascii="Book Antiqua" w:hAnsi="Book Antiqua"/>
          <w:b/>
          <w:sz w:val="24"/>
          <w:szCs w:val="24"/>
        </w:rPr>
        <w:t>Leja M</w:t>
      </w:r>
      <w:r w:rsidRPr="009E4EDA">
        <w:rPr>
          <w:rFonts w:ascii="Book Antiqua" w:hAnsi="Book Antiqua"/>
          <w:sz w:val="24"/>
          <w:szCs w:val="24"/>
        </w:rPr>
        <w:t xml:space="preserve">, Wex T, Malfertheiner P. Markers for gastric cancer premalignant lesions: where do we go? </w:t>
      </w:r>
      <w:r w:rsidRPr="009E4EDA">
        <w:rPr>
          <w:rFonts w:ascii="Book Antiqua" w:hAnsi="Book Antiqua"/>
          <w:i/>
          <w:sz w:val="24"/>
          <w:szCs w:val="24"/>
        </w:rPr>
        <w:t>Dig Dis</w:t>
      </w:r>
      <w:r w:rsidRPr="009E4EDA">
        <w:rPr>
          <w:rFonts w:ascii="Book Antiqua" w:hAnsi="Book Antiqua"/>
          <w:sz w:val="24"/>
          <w:szCs w:val="24"/>
        </w:rPr>
        <w:t xml:space="preserve"> 2012; </w:t>
      </w:r>
      <w:r w:rsidRPr="009E4EDA">
        <w:rPr>
          <w:rFonts w:ascii="Book Antiqua" w:hAnsi="Book Antiqua"/>
          <w:b/>
          <w:sz w:val="24"/>
          <w:szCs w:val="24"/>
        </w:rPr>
        <w:t>30</w:t>
      </w:r>
      <w:r w:rsidRPr="009E4EDA">
        <w:rPr>
          <w:rFonts w:ascii="Book Antiqua" w:hAnsi="Book Antiqua"/>
          <w:sz w:val="24"/>
          <w:szCs w:val="24"/>
        </w:rPr>
        <w:t>: 268-276 [PMID: 22722551 DOI: 10.1159/000336990]</w:t>
      </w:r>
    </w:p>
    <w:p w14:paraId="080F8192"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98 </w:t>
      </w:r>
      <w:r w:rsidRPr="009E4EDA">
        <w:rPr>
          <w:rFonts w:ascii="Book Antiqua" w:hAnsi="Book Antiqua"/>
          <w:b/>
          <w:sz w:val="24"/>
          <w:szCs w:val="24"/>
        </w:rPr>
        <w:t>Fishman D</w:t>
      </w:r>
      <w:r w:rsidRPr="009E4EDA">
        <w:rPr>
          <w:rFonts w:ascii="Book Antiqua" w:hAnsi="Book Antiqua"/>
          <w:sz w:val="24"/>
          <w:szCs w:val="24"/>
        </w:rPr>
        <w:t xml:space="preserve">, Faulds G, Jeffery R, Mohamed-Ali V, Yudkin JS, Humphries S, Woo P. The effect of novel polymorphisms in the interleukin-6 (IL-6) gene on IL-6 transcription and plasma IL-6 levels, and an association with systemic-onset juvenile chronic arthritis. </w:t>
      </w:r>
      <w:r w:rsidRPr="009E4EDA">
        <w:rPr>
          <w:rFonts w:ascii="Book Antiqua" w:hAnsi="Book Antiqua"/>
          <w:i/>
          <w:sz w:val="24"/>
          <w:szCs w:val="24"/>
        </w:rPr>
        <w:t>J Clin Invest</w:t>
      </w:r>
      <w:r w:rsidRPr="009E4EDA">
        <w:rPr>
          <w:rFonts w:ascii="Book Antiqua" w:hAnsi="Book Antiqua"/>
          <w:sz w:val="24"/>
          <w:szCs w:val="24"/>
        </w:rPr>
        <w:t xml:space="preserve"> 1998; </w:t>
      </w:r>
      <w:r w:rsidRPr="009E4EDA">
        <w:rPr>
          <w:rFonts w:ascii="Book Antiqua" w:hAnsi="Book Antiqua"/>
          <w:b/>
          <w:sz w:val="24"/>
          <w:szCs w:val="24"/>
        </w:rPr>
        <w:t>102</w:t>
      </w:r>
      <w:r w:rsidRPr="009E4EDA">
        <w:rPr>
          <w:rFonts w:ascii="Book Antiqua" w:hAnsi="Book Antiqua"/>
          <w:sz w:val="24"/>
          <w:szCs w:val="24"/>
        </w:rPr>
        <w:t>: 1369-1376 [PMID: 9769329 DOI: 10.1172/JCI2629]</w:t>
      </w:r>
    </w:p>
    <w:p w14:paraId="55EA7BB4"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99 </w:t>
      </w:r>
      <w:r w:rsidRPr="009E4EDA">
        <w:rPr>
          <w:rFonts w:ascii="Book Antiqua" w:hAnsi="Book Antiqua"/>
          <w:b/>
          <w:sz w:val="24"/>
          <w:szCs w:val="24"/>
        </w:rPr>
        <w:t>Yamaoka Y</w:t>
      </w:r>
      <w:r w:rsidRPr="009E4EDA">
        <w:rPr>
          <w:rFonts w:ascii="Book Antiqua" w:hAnsi="Book Antiqua"/>
          <w:sz w:val="24"/>
          <w:szCs w:val="24"/>
        </w:rPr>
        <w:t xml:space="preserve">, Kita M, Kodama T, Sawai N, Imanishi J. Helicobacter pylori cagA gene and expression of cytokine messenger RNA in gastric mucosa. </w:t>
      </w:r>
      <w:r w:rsidRPr="009E4EDA">
        <w:rPr>
          <w:rFonts w:ascii="Book Antiqua" w:hAnsi="Book Antiqua"/>
          <w:i/>
          <w:sz w:val="24"/>
          <w:szCs w:val="24"/>
        </w:rPr>
        <w:t>Gastroenterology</w:t>
      </w:r>
      <w:r w:rsidRPr="009E4EDA">
        <w:rPr>
          <w:rFonts w:ascii="Book Antiqua" w:hAnsi="Book Antiqua"/>
          <w:sz w:val="24"/>
          <w:szCs w:val="24"/>
        </w:rPr>
        <w:t xml:space="preserve"> 1996; </w:t>
      </w:r>
      <w:r w:rsidRPr="009E4EDA">
        <w:rPr>
          <w:rFonts w:ascii="Book Antiqua" w:hAnsi="Book Antiqua"/>
          <w:b/>
          <w:sz w:val="24"/>
          <w:szCs w:val="24"/>
        </w:rPr>
        <w:t>110</w:t>
      </w:r>
      <w:r w:rsidRPr="009E4EDA">
        <w:rPr>
          <w:rFonts w:ascii="Book Antiqua" w:hAnsi="Book Antiqua"/>
          <w:sz w:val="24"/>
          <w:szCs w:val="24"/>
        </w:rPr>
        <w:t>: 1744-1752 [PMID: 8964399]</w:t>
      </w:r>
    </w:p>
    <w:p w14:paraId="1F98950A"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100 </w:t>
      </w:r>
      <w:r w:rsidRPr="009E4EDA">
        <w:rPr>
          <w:rFonts w:ascii="Book Antiqua" w:hAnsi="Book Antiqua"/>
          <w:b/>
          <w:sz w:val="24"/>
          <w:szCs w:val="24"/>
        </w:rPr>
        <w:t>Crusius JB</w:t>
      </w:r>
      <w:r w:rsidRPr="009E4EDA">
        <w:rPr>
          <w:rFonts w:ascii="Book Antiqua" w:hAnsi="Book Antiqua"/>
          <w:sz w:val="24"/>
          <w:szCs w:val="24"/>
        </w:rPr>
        <w:t xml:space="preserve">, Canzian F, Capellá G, Peña AS, Pera G, Sala N, Agudo A, Rico F, Del Giudice G, Palli D, Plebani M, Boeing H, Bueno-de-Mesquita HB, Carneiro F, Pala V, Save VE, Vineis P, Tumino R, Panico S, Berglund G, Manjer J, Stenling R, Hallmans G, Martínez C, Dorronsoro M, Barricarte A, Navarro C, Quirós JR, Allen N, Key TJ, Binghan S, Caldas C, Linseisen J, Kaaks R, Overvad K, Tjønneland A, Büchner FC, Peeters PH, Numans ME, Clavel-Chapelon F, Trichopoulou A, Lund E, Jenab M, Rinaldi S, Ferrari P, Riboli E, González CA. Cytokine gene polymorphisms and the risk of adenocarcinoma of the stomach in the European prospective investigation into cancer and nutrition (EPIC-EURGAST). </w:t>
      </w:r>
      <w:r w:rsidRPr="009E4EDA">
        <w:rPr>
          <w:rFonts w:ascii="Book Antiqua" w:hAnsi="Book Antiqua"/>
          <w:i/>
          <w:sz w:val="24"/>
          <w:szCs w:val="24"/>
        </w:rPr>
        <w:t>Ann Oncol</w:t>
      </w:r>
      <w:r w:rsidRPr="009E4EDA">
        <w:rPr>
          <w:rFonts w:ascii="Book Antiqua" w:hAnsi="Book Antiqua"/>
          <w:sz w:val="24"/>
          <w:szCs w:val="24"/>
        </w:rPr>
        <w:t xml:space="preserve"> 2008; </w:t>
      </w:r>
      <w:r w:rsidRPr="009E4EDA">
        <w:rPr>
          <w:rFonts w:ascii="Book Antiqua" w:hAnsi="Book Antiqua"/>
          <w:b/>
          <w:sz w:val="24"/>
          <w:szCs w:val="24"/>
        </w:rPr>
        <w:t>19</w:t>
      </w:r>
      <w:r w:rsidRPr="009E4EDA">
        <w:rPr>
          <w:rFonts w:ascii="Book Antiqua" w:hAnsi="Book Antiqua"/>
          <w:sz w:val="24"/>
          <w:szCs w:val="24"/>
        </w:rPr>
        <w:t>: 1894-1902 [PMID: 18628242 DOI: 10.1093/annonc/mdn400]</w:t>
      </w:r>
    </w:p>
    <w:p w14:paraId="3B9A62A5"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101 </w:t>
      </w:r>
      <w:r w:rsidRPr="009E4EDA">
        <w:rPr>
          <w:rFonts w:ascii="Book Antiqua" w:hAnsi="Book Antiqua"/>
          <w:b/>
          <w:sz w:val="24"/>
          <w:szCs w:val="24"/>
        </w:rPr>
        <w:t>Gatti LL</w:t>
      </w:r>
      <w:r w:rsidRPr="009E4EDA">
        <w:rPr>
          <w:rFonts w:ascii="Book Antiqua" w:hAnsi="Book Antiqua"/>
          <w:sz w:val="24"/>
          <w:szCs w:val="24"/>
        </w:rPr>
        <w:t xml:space="preserve">, Burbano RR, Zambaldi-Tunes M, de-Lábio RW, de Assumpção PP, de Arruda Cardoso-Smith M, Marques-Payão SL. Interleukin-6 polymorphisms, Helicobacter pylori infection in adult Brazilian patients with chronic gastritis and gastric adenocarcinoma. </w:t>
      </w:r>
      <w:r w:rsidRPr="009E4EDA">
        <w:rPr>
          <w:rFonts w:ascii="Book Antiqua" w:hAnsi="Book Antiqua"/>
          <w:i/>
          <w:sz w:val="24"/>
          <w:szCs w:val="24"/>
        </w:rPr>
        <w:t>Arch Med Res</w:t>
      </w:r>
      <w:r w:rsidRPr="009E4EDA">
        <w:rPr>
          <w:rFonts w:ascii="Book Antiqua" w:hAnsi="Book Antiqua"/>
          <w:sz w:val="24"/>
          <w:szCs w:val="24"/>
        </w:rPr>
        <w:t xml:space="preserve"> 2007; </w:t>
      </w:r>
      <w:r w:rsidRPr="009E4EDA">
        <w:rPr>
          <w:rFonts w:ascii="Book Antiqua" w:hAnsi="Book Antiqua"/>
          <w:b/>
          <w:sz w:val="24"/>
          <w:szCs w:val="24"/>
        </w:rPr>
        <w:t>38</w:t>
      </w:r>
      <w:r w:rsidRPr="009E4EDA">
        <w:rPr>
          <w:rFonts w:ascii="Book Antiqua" w:hAnsi="Book Antiqua"/>
          <w:sz w:val="24"/>
          <w:szCs w:val="24"/>
        </w:rPr>
        <w:t>: 551-555 [PMID: 17560462 DOI: 10.1016/j.arcmed.2006.12.011]</w:t>
      </w:r>
    </w:p>
    <w:p w14:paraId="2CC72EC2"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102 </w:t>
      </w:r>
      <w:r w:rsidRPr="009E4EDA">
        <w:rPr>
          <w:rFonts w:ascii="Book Antiqua" w:hAnsi="Book Antiqua"/>
          <w:b/>
          <w:sz w:val="24"/>
          <w:szCs w:val="24"/>
        </w:rPr>
        <w:t>Taguchi A</w:t>
      </w:r>
      <w:r w:rsidRPr="009E4EDA">
        <w:rPr>
          <w:rFonts w:ascii="Book Antiqua" w:hAnsi="Book Antiqua"/>
          <w:sz w:val="24"/>
          <w:szCs w:val="24"/>
        </w:rPr>
        <w:t xml:space="preserve">, Ohmiya N, Shirai K, Mabuchi N, Itoh A, Hirooka Y, Niwa Y, Goto H. Interleukin-8 promoter polymorphism increases the risk of atrophic gastritis and gastric cancer in Japan. </w:t>
      </w:r>
      <w:r w:rsidRPr="009E4EDA">
        <w:rPr>
          <w:rFonts w:ascii="Book Antiqua" w:hAnsi="Book Antiqua"/>
          <w:i/>
          <w:sz w:val="24"/>
          <w:szCs w:val="24"/>
        </w:rPr>
        <w:t>Cancer Epidemiol Biomarkers Prev</w:t>
      </w:r>
      <w:r w:rsidRPr="009E4EDA">
        <w:rPr>
          <w:rFonts w:ascii="Book Antiqua" w:hAnsi="Book Antiqua"/>
          <w:sz w:val="24"/>
          <w:szCs w:val="24"/>
        </w:rPr>
        <w:t xml:space="preserve"> 2005; </w:t>
      </w:r>
      <w:r w:rsidRPr="009E4EDA">
        <w:rPr>
          <w:rFonts w:ascii="Book Antiqua" w:hAnsi="Book Antiqua"/>
          <w:b/>
          <w:sz w:val="24"/>
          <w:szCs w:val="24"/>
        </w:rPr>
        <w:t>14</w:t>
      </w:r>
      <w:r w:rsidRPr="009E4EDA">
        <w:rPr>
          <w:rFonts w:ascii="Book Antiqua" w:hAnsi="Book Antiqua"/>
          <w:sz w:val="24"/>
          <w:szCs w:val="24"/>
        </w:rPr>
        <w:t>: 2487-2493 [PMID: 16284368 DOI: 10.1158/1055-9965.EPI-05-0326]</w:t>
      </w:r>
    </w:p>
    <w:p w14:paraId="705981A5"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103 </w:t>
      </w:r>
      <w:r w:rsidRPr="009E4EDA">
        <w:rPr>
          <w:rFonts w:ascii="Book Antiqua" w:hAnsi="Book Antiqua"/>
          <w:b/>
          <w:sz w:val="24"/>
          <w:szCs w:val="24"/>
        </w:rPr>
        <w:t>Li ZW</w:t>
      </w:r>
      <w:r w:rsidRPr="009E4EDA">
        <w:rPr>
          <w:rFonts w:ascii="Book Antiqua" w:hAnsi="Book Antiqua"/>
          <w:sz w:val="24"/>
          <w:szCs w:val="24"/>
        </w:rPr>
        <w:t xml:space="preserve">, Wu Y, Sun Y, Liu LY, Tian MM, Feng GS, You WC, Li JY. Inflammatory cytokine gene polymorphisms increase the risk of atrophic gastritis and intestinal metaplasia. </w:t>
      </w:r>
      <w:r w:rsidRPr="009E4EDA">
        <w:rPr>
          <w:rFonts w:ascii="Book Antiqua" w:hAnsi="Book Antiqua"/>
          <w:i/>
          <w:sz w:val="24"/>
          <w:szCs w:val="24"/>
        </w:rPr>
        <w:t>World J Gastroenterol</w:t>
      </w:r>
      <w:r w:rsidRPr="009E4EDA">
        <w:rPr>
          <w:rFonts w:ascii="Book Antiqua" w:hAnsi="Book Antiqua"/>
          <w:sz w:val="24"/>
          <w:szCs w:val="24"/>
        </w:rPr>
        <w:t xml:space="preserve"> 2010; </w:t>
      </w:r>
      <w:r w:rsidRPr="009E4EDA">
        <w:rPr>
          <w:rFonts w:ascii="Book Antiqua" w:hAnsi="Book Antiqua"/>
          <w:b/>
          <w:sz w:val="24"/>
          <w:szCs w:val="24"/>
        </w:rPr>
        <w:t>16</w:t>
      </w:r>
      <w:r w:rsidRPr="009E4EDA">
        <w:rPr>
          <w:rFonts w:ascii="Book Antiqua" w:hAnsi="Book Antiqua"/>
          <w:sz w:val="24"/>
          <w:szCs w:val="24"/>
        </w:rPr>
        <w:t>: 1788-1794 [PMID: 20380014]</w:t>
      </w:r>
    </w:p>
    <w:p w14:paraId="34CF877C"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104 </w:t>
      </w:r>
      <w:r w:rsidRPr="009E4EDA">
        <w:rPr>
          <w:rFonts w:ascii="Book Antiqua" w:hAnsi="Book Antiqua"/>
          <w:b/>
          <w:sz w:val="24"/>
          <w:szCs w:val="24"/>
        </w:rPr>
        <w:t>Chang YW</w:t>
      </w:r>
      <w:r w:rsidRPr="009E4EDA">
        <w:rPr>
          <w:rFonts w:ascii="Book Antiqua" w:hAnsi="Book Antiqua"/>
          <w:sz w:val="24"/>
          <w:szCs w:val="24"/>
        </w:rPr>
        <w:t xml:space="preserve">, Oh CH, Kim JW, Lee JW, Park MJ, Shim JJ, Lee CK, Jang JY, Dong SH, Kim HJ, Kim SS, Kim BH. Combination of Helicobacter pylori infection and the interleukin 8 -251 T &amp;gt; A polymorphism, but not the mannose-binding lectin 2 codon 54 G &amp;gt; A polymorphism, might be a risk factor of gastric cancer. </w:t>
      </w:r>
      <w:r w:rsidRPr="009E4EDA">
        <w:rPr>
          <w:rFonts w:ascii="Book Antiqua" w:hAnsi="Book Antiqua"/>
          <w:i/>
          <w:sz w:val="24"/>
          <w:szCs w:val="24"/>
        </w:rPr>
        <w:t>BMC Cancer</w:t>
      </w:r>
      <w:r w:rsidRPr="009E4EDA">
        <w:rPr>
          <w:rFonts w:ascii="Book Antiqua" w:hAnsi="Book Antiqua"/>
          <w:sz w:val="24"/>
          <w:szCs w:val="24"/>
        </w:rPr>
        <w:t xml:space="preserve"> 2017; </w:t>
      </w:r>
      <w:r w:rsidRPr="009E4EDA">
        <w:rPr>
          <w:rFonts w:ascii="Book Antiqua" w:hAnsi="Book Antiqua"/>
          <w:b/>
          <w:sz w:val="24"/>
          <w:szCs w:val="24"/>
        </w:rPr>
        <w:t>17</w:t>
      </w:r>
      <w:r w:rsidRPr="009E4EDA">
        <w:rPr>
          <w:rFonts w:ascii="Book Antiqua" w:hAnsi="Book Antiqua"/>
          <w:sz w:val="24"/>
          <w:szCs w:val="24"/>
        </w:rPr>
        <w:t>: 388 [PMID: 28558668 DOI: 10.1186/s12885-017-3378-2]</w:t>
      </w:r>
    </w:p>
    <w:p w14:paraId="188D734C"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105 </w:t>
      </w:r>
      <w:r w:rsidRPr="009E4EDA">
        <w:rPr>
          <w:rFonts w:ascii="Book Antiqua" w:hAnsi="Book Antiqua"/>
          <w:b/>
          <w:sz w:val="24"/>
          <w:szCs w:val="24"/>
        </w:rPr>
        <w:t>Lu W</w:t>
      </w:r>
      <w:r w:rsidRPr="009E4EDA">
        <w:rPr>
          <w:rFonts w:ascii="Book Antiqua" w:hAnsi="Book Antiqua"/>
          <w:sz w:val="24"/>
          <w:szCs w:val="24"/>
        </w:rPr>
        <w:t xml:space="preserve">, Pan K, Zhang L, Lin D, Miao X, You W. Genetic polymorphisms of interleukin (IL)-1B, IL-1RN, IL-8, IL-10 and tumor necrosis factor {alpha} and risk of gastric cancer in a Chinese population. </w:t>
      </w:r>
      <w:r w:rsidRPr="009E4EDA">
        <w:rPr>
          <w:rFonts w:ascii="Book Antiqua" w:hAnsi="Book Antiqua"/>
          <w:i/>
          <w:sz w:val="24"/>
          <w:szCs w:val="24"/>
        </w:rPr>
        <w:t>Carcinogenesis</w:t>
      </w:r>
      <w:r w:rsidRPr="009E4EDA">
        <w:rPr>
          <w:rFonts w:ascii="Book Antiqua" w:hAnsi="Book Antiqua"/>
          <w:sz w:val="24"/>
          <w:szCs w:val="24"/>
        </w:rPr>
        <w:t xml:space="preserve"> 2005; </w:t>
      </w:r>
      <w:r w:rsidRPr="009E4EDA">
        <w:rPr>
          <w:rFonts w:ascii="Book Antiqua" w:hAnsi="Book Antiqua"/>
          <w:b/>
          <w:sz w:val="24"/>
          <w:szCs w:val="24"/>
        </w:rPr>
        <w:t>26</w:t>
      </w:r>
      <w:r w:rsidRPr="009E4EDA">
        <w:rPr>
          <w:rFonts w:ascii="Book Antiqua" w:hAnsi="Book Antiqua"/>
          <w:sz w:val="24"/>
          <w:szCs w:val="24"/>
        </w:rPr>
        <w:t>: 631-636 [PMID: 15579481 DOI: 10.1093/carcin/bgh349]</w:t>
      </w:r>
    </w:p>
    <w:p w14:paraId="058CD685"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106 </w:t>
      </w:r>
      <w:r w:rsidRPr="009E4EDA">
        <w:rPr>
          <w:rFonts w:ascii="Book Antiqua" w:hAnsi="Book Antiqua"/>
          <w:b/>
          <w:sz w:val="24"/>
          <w:szCs w:val="24"/>
        </w:rPr>
        <w:t>Liu S</w:t>
      </w:r>
      <w:r w:rsidRPr="009E4EDA">
        <w:rPr>
          <w:rFonts w:ascii="Book Antiqua" w:hAnsi="Book Antiqua"/>
          <w:sz w:val="24"/>
          <w:szCs w:val="24"/>
        </w:rPr>
        <w:t xml:space="preserve">, Liu JW, Sun LP, Gong YH, Xu Q, Jing JJ, Yuan Y. Association of IL10 gene promoter polymorphisms with risks of gastric cancer and atrophic gastritis. </w:t>
      </w:r>
      <w:r w:rsidRPr="009E4EDA">
        <w:rPr>
          <w:rFonts w:ascii="Book Antiqua" w:hAnsi="Book Antiqua"/>
          <w:i/>
          <w:sz w:val="24"/>
          <w:szCs w:val="24"/>
        </w:rPr>
        <w:t>J Int Med Res</w:t>
      </w:r>
      <w:r w:rsidRPr="009E4EDA">
        <w:rPr>
          <w:rFonts w:ascii="Book Antiqua" w:hAnsi="Book Antiqua"/>
          <w:sz w:val="24"/>
          <w:szCs w:val="24"/>
        </w:rPr>
        <w:t xml:space="preserve"> 2018; </w:t>
      </w:r>
      <w:r w:rsidRPr="009E4EDA">
        <w:rPr>
          <w:rFonts w:ascii="Book Antiqua" w:hAnsi="Book Antiqua"/>
          <w:b/>
          <w:sz w:val="24"/>
          <w:szCs w:val="24"/>
        </w:rPr>
        <w:t>46</w:t>
      </w:r>
      <w:r w:rsidRPr="009E4EDA">
        <w:rPr>
          <w:rFonts w:ascii="Book Antiqua" w:hAnsi="Book Antiqua"/>
          <w:sz w:val="24"/>
          <w:szCs w:val="24"/>
        </w:rPr>
        <w:t>: 5155-5166 [PMID: 30205739 DOI: 10.1177/0300060518792785]</w:t>
      </w:r>
    </w:p>
    <w:p w14:paraId="070E70BB"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107 </w:t>
      </w:r>
      <w:r w:rsidRPr="009E4EDA">
        <w:rPr>
          <w:rFonts w:ascii="Book Antiqua" w:hAnsi="Book Antiqua"/>
          <w:b/>
          <w:sz w:val="24"/>
          <w:szCs w:val="24"/>
        </w:rPr>
        <w:t>Con SA</w:t>
      </w:r>
      <w:r w:rsidRPr="009E4EDA">
        <w:rPr>
          <w:rFonts w:ascii="Book Antiqua" w:hAnsi="Book Antiqua"/>
          <w:sz w:val="24"/>
          <w:szCs w:val="24"/>
        </w:rPr>
        <w:t xml:space="preserve">, Takeuchi H, Con-Chin GR, Con-Chin VG, Yasuda N, Con-Wong R. Role of bacterial and genetic factors in gastric cancer in Costa Rica. </w:t>
      </w:r>
      <w:r w:rsidRPr="009E4EDA">
        <w:rPr>
          <w:rFonts w:ascii="Book Antiqua" w:hAnsi="Book Antiqua"/>
          <w:i/>
          <w:sz w:val="24"/>
          <w:szCs w:val="24"/>
        </w:rPr>
        <w:t>World J Gastroenterol</w:t>
      </w:r>
      <w:r w:rsidRPr="009E4EDA">
        <w:rPr>
          <w:rFonts w:ascii="Book Antiqua" w:hAnsi="Book Antiqua"/>
          <w:sz w:val="24"/>
          <w:szCs w:val="24"/>
        </w:rPr>
        <w:t xml:space="preserve"> 2009; </w:t>
      </w:r>
      <w:r w:rsidRPr="009E4EDA">
        <w:rPr>
          <w:rFonts w:ascii="Book Antiqua" w:hAnsi="Book Antiqua"/>
          <w:b/>
          <w:sz w:val="24"/>
          <w:szCs w:val="24"/>
        </w:rPr>
        <w:t>15</w:t>
      </w:r>
      <w:r w:rsidRPr="009E4EDA">
        <w:rPr>
          <w:rFonts w:ascii="Book Antiqua" w:hAnsi="Book Antiqua"/>
          <w:sz w:val="24"/>
          <w:szCs w:val="24"/>
        </w:rPr>
        <w:t>: 211-218 [PMID: 19132772 DOI: 10.3748/wjg.15.211]</w:t>
      </w:r>
    </w:p>
    <w:p w14:paraId="50076331"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108 </w:t>
      </w:r>
      <w:r w:rsidRPr="009E4EDA">
        <w:rPr>
          <w:rFonts w:ascii="Book Antiqua" w:hAnsi="Book Antiqua"/>
          <w:b/>
          <w:sz w:val="24"/>
          <w:szCs w:val="24"/>
        </w:rPr>
        <w:t>Ramis IB</w:t>
      </w:r>
      <w:r w:rsidRPr="009E4EDA">
        <w:rPr>
          <w:rFonts w:ascii="Book Antiqua" w:hAnsi="Book Antiqua"/>
          <w:sz w:val="24"/>
          <w:szCs w:val="24"/>
        </w:rPr>
        <w:t xml:space="preserve">, Vianna JS, Gonçalves CV, von Groll A, Dellagostin OA, da Silva PEA. Polymorphisms of the IL-6, IL-8 and IL-10 genes and the risk of gastric pathology in patients infected with Helicobacter pylori. </w:t>
      </w:r>
      <w:r w:rsidRPr="009E4EDA">
        <w:rPr>
          <w:rFonts w:ascii="Book Antiqua" w:hAnsi="Book Antiqua"/>
          <w:i/>
          <w:sz w:val="24"/>
          <w:szCs w:val="24"/>
        </w:rPr>
        <w:t>J Microbiol Immunol Infect</w:t>
      </w:r>
      <w:r w:rsidRPr="009E4EDA">
        <w:rPr>
          <w:rFonts w:ascii="Book Antiqua" w:hAnsi="Book Antiqua"/>
          <w:sz w:val="24"/>
          <w:szCs w:val="24"/>
        </w:rPr>
        <w:t xml:space="preserve"> 2017; </w:t>
      </w:r>
      <w:r w:rsidRPr="009E4EDA">
        <w:rPr>
          <w:rFonts w:ascii="Book Antiqua" w:hAnsi="Book Antiqua"/>
          <w:b/>
          <w:sz w:val="24"/>
          <w:szCs w:val="24"/>
        </w:rPr>
        <w:t>50</w:t>
      </w:r>
      <w:r w:rsidRPr="009E4EDA">
        <w:rPr>
          <w:rFonts w:ascii="Book Antiqua" w:hAnsi="Book Antiqua"/>
          <w:sz w:val="24"/>
          <w:szCs w:val="24"/>
        </w:rPr>
        <w:t>: 153-159 [PMID: 25888319 DOI: 10.1016/j.jmii.2015.03.002]</w:t>
      </w:r>
    </w:p>
    <w:p w14:paraId="46751D8D"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109 </w:t>
      </w:r>
      <w:r w:rsidRPr="009E4EDA">
        <w:rPr>
          <w:rFonts w:ascii="Book Antiqua" w:hAnsi="Book Antiqua"/>
          <w:b/>
          <w:sz w:val="24"/>
          <w:szCs w:val="24"/>
        </w:rPr>
        <w:t>Murphy G</w:t>
      </w:r>
      <w:r w:rsidRPr="009E4EDA">
        <w:rPr>
          <w:rFonts w:ascii="Book Antiqua" w:hAnsi="Book Antiqua"/>
          <w:sz w:val="24"/>
          <w:szCs w:val="24"/>
        </w:rPr>
        <w:t xml:space="preserve">, Thornton J, McManus R, Swan N, Ryan B, Hughes DJ, O'Morain CA, O'Sullivan M. Association of gastric disease with polymorphisms in the inflammatory-related genes IL-1B, IL-1RN, IL-10, TNF and TLR4. </w:t>
      </w:r>
      <w:r w:rsidRPr="009E4EDA">
        <w:rPr>
          <w:rFonts w:ascii="Book Antiqua" w:hAnsi="Book Antiqua"/>
          <w:i/>
          <w:sz w:val="24"/>
          <w:szCs w:val="24"/>
        </w:rPr>
        <w:t>Eur J Gastroenterol Hepatol</w:t>
      </w:r>
      <w:r w:rsidRPr="009E4EDA">
        <w:rPr>
          <w:rFonts w:ascii="Book Antiqua" w:hAnsi="Book Antiqua"/>
          <w:sz w:val="24"/>
          <w:szCs w:val="24"/>
        </w:rPr>
        <w:t xml:space="preserve"> 2009; </w:t>
      </w:r>
      <w:r w:rsidRPr="009E4EDA">
        <w:rPr>
          <w:rFonts w:ascii="Book Antiqua" w:hAnsi="Book Antiqua"/>
          <w:b/>
          <w:sz w:val="24"/>
          <w:szCs w:val="24"/>
        </w:rPr>
        <w:t>21</w:t>
      </w:r>
      <w:r w:rsidRPr="009E4EDA">
        <w:rPr>
          <w:rFonts w:ascii="Book Antiqua" w:hAnsi="Book Antiqua"/>
          <w:sz w:val="24"/>
          <w:szCs w:val="24"/>
        </w:rPr>
        <w:t>: 630-635 [PMID: 19295440 DOI: 10.1097/MEG.0b013e3283140eea]</w:t>
      </w:r>
    </w:p>
    <w:p w14:paraId="15FB8065"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110 </w:t>
      </w:r>
      <w:r w:rsidRPr="009E4EDA">
        <w:rPr>
          <w:rFonts w:ascii="Book Antiqua" w:hAnsi="Book Antiqua"/>
          <w:b/>
          <w:sz w:val="24"/>
          <w:szCs w:val="24"/>
        </w:rPr>
        <w:t>Myung DS</w:t>
      </w:r>
      <w:r w:rsidRPr="009E4EDA">
        <w:rPr>
          <w:rFonts w:ascii="Book Antiqua" w:hAnsi="Book Antiqua"/>
          <w:sz w:val="24"/>
          <w:szCs w:val="24"/>
        </w:rPr>
        <w:t xml:space="preserve">, Lee WS, Park YL, Kim N, Oh HH, Kim MY, Oak CY, Chung CY, Park HC, Kim JS, Cho SB, Kweon SS, Joo YE. Association between interleukin-18 gene polymorphism and Helicobacter pylori infection in the Korean population. </w:t>
      </w:r>
      <w:r w:rsidRPr="009E4EDA">
        <w:rPr>
          <w:rFonts w:ascii="Book Antiqua" w:hAnsi="Book Antiqua"/>
          <w:i/>
          <w:sz w:val="24"/>
          <w:szCs w:val="24"/>
        </w:rPr>
        <w:t>Sci Rep</w:t>
      </w:r>
      <w:r w:rsidRPr="009E4EDA">
        <w:rPr>
          <w:rFonts w:ascii="Book Antiqua" w:hAnsi="Book Antiqua"/>
          <w:sz w:val="24"/>
          <w:szCs w:val="24"/>
        </w:rPr>
        <w:t xml:space="preserve"> 2015; </w:t>
      </w:r>
      <w:r w:rsidRPr="009E4EDA">
        <w:rPr>
          <w:rFonts w:ascii="Book Antiqua" w:hAnsi="Book Antiqua"/>
          <w:b/>
          <w:sz w:val="24"/>
          <w:szCs w:val="24"/>
        </w:rPr>
        <w:t>5</w:t>
      </w:r>
      <w:r w:rsidRPr="009E4EDA">
        <w:rPr>
          <w:rFonts w:ascii="Book Antiqua" w:hAnsi="Book Antiqua"/>
          <w:sz w:val="24"/>
          <w:szCs w:val="24"/>
        </w:rPr>
        <w:t>: 11535 [PMID: 26096341 DOI: 10.1038/srep11535]</w:t>
      </w:r>
    </w:p>
    <w:p w14:paraId="6C7951D2"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111 </w:t>
      </w:r>
      <w:r w:rsidRPr="009E4EDA">
        <w:rPr>
          <w:rFonts w:ascii="Book Antiqua" w:hAnsi="Book Antiqua"/>
          <w:b/>
          <w:sz w:val="24"/>
          <w:szCs w:val="24"/>
        </w:rPr>
        <w:t>Leung WK</w:t>
      </w:r>
      <w:r w:rsidRPr="009E4EDA">
        <w:rPr>
          <w:rFonts w:ascii="Book Antiqua" w:hAnsi="Book Antiqua"/>
          <w:sz w:val="24"/>
          <w:szCs w:val="24"/>
        </w:rPr>
        <w:t xml:space="preserve">, Chan MC, To KF, Man EP, Ng EK, Chu ES, Lau JY, Lin SR, Sung JJ. H. pylori genotypes and cytokine gene polymorphisms influence the development of gastric intestinal metaplasia in a Chinese population. </w:t>
      </w:r>
      <w:r w:rsidRPr="009E4EDA">
        <w:rPr>
          <w:rFonts w:ascii="Book Antiqua" w:hAnsi="Book Antiqua"/>
          <w:i/>
          <w:sz w:val="24"/>
          <w:szCs w:val="24"/>
        </w:rPr>
        <w:t>Am J Gastroenterol</w:t>
      </w:r>
      <w:r w:rsidRPr="009E4EDA">
        <w:rPr>
          <w:rFonts w:ascii="Book Antiqua" w:hAnsi="Book Antiqua"/>
          <w:sz w:val="24"/>
          <w:szCs w:val="24"/>
        </w:rPr>
        <w:t xml:space="preserve"> 2006; </w:t>
      </w:r>
      <w:r w:rsidRPr="009E4EDA">
        <w:rPr>
          <w:rFonts w:ascii="Book Antiqua" w:hAnsi="Book Antiqua"/>
          <w:b/>
          <w:sz w:val="24"/>
          <w:szCs w:val="24"/>
        </w:rPr>
        <w:t>101</w:t>
      </w:r>
      <w:r w:rsidRPr="009E4EDA">
        <w:rPr>
          <w:rFonts w:ascii="Book Antiqua" w:hAnsi="Book Antiqua"/>
          <w:sz w:val="24"/>
          <w:szCs w:val="24"/>
        </w:rPr>
        <w:t>: 714-720 [PMID: 16635219 DOI: 10.1111/j.1572-0241.2006.00560.x]</w:t>
      </w:r>
    </w:p>
    <w:p w14:paraId="0544C8CC"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112 </w:t>
      </w:r>
      <w:r w:rsidRPr="009E4EDA">
        <w:rPr>
          <w:rFonts w:ascii="Book Antiqua" w:hAnsi="Book Antiqua"/>
          <w:b/>
          <w:sz w:val="24"/>
          <w:szCs w:val="24"/>
        </w:rPr>
        <w:t>Cheung H</w:t>
      </w:r>
      <w:r w:rsidRPr="009E4EDA">
        <w:rPr>
          <w:rFonts w:ascii="Book Antiqua" w:hAnsi="Book Antiqua"/>
          <w:sz w:val="24"/>
          <w:szCs w:val="24"/>
        </w:rPr>
        <w:t xml:space="preserve">, Chen NJ, Cao Z, Ono N, Ohashi PS, Yeh WC. Accessory protein-like is essential for IL-18-mediated signaling. </w:t>
      </w:r>
      <w:r w:rsidRPr="009E4EDA">
        <w:rPr>
          <w:rFonts w:ascii="Book Antiqua" w:hAnsi="Book Antiqua"/>
          <w:i/>
          <w:sz w:val="24"/>
          <w:szCs w:val="24"/>
        </w:rPr>
        <w:t>J Immunol</w:t>
      </w:r>
      <w:r w:rsidRPr="009E4EDA">
        <w:rPr>
          <w:rFonts w:ascii="Book Antiqua" w:hAnsi="Book Antiqua"/>
          <w:sz w:val="24"/>
          <w:szCs w:val="24"/>
        </w:rPr>
        <w:t xml:space="preserve"> 2005; </w:t>
      </w:r>
      <w:r w:rsidRPr="009E4EDA">
        <w:rPr>
          <w:rFonts w:ascii="Book Antiqua" w:hAnsi="Book Antiqua"/>
          <w:b/>
          <w:sz w:val="24"/>
          <w:szCs w:val="24"/>
        </w:rPr>
        <w:t>174</w:t>
      </w:r>
      <w:r w:rsidRPr="009E4EDA">
        <w:rPr>
          <w:rFonts w:ascii="Book Antiqua" w:hAnsi="Book Antiqua"/>
          <w:sz w:val="24"/>
          <w:szCs w:val="24"/>
        </w:rPr>
        <w:t>: 5351-5357 [PMID: 15843532]</w:t>
      </w:r>
    </w:p>
    <w:p w14:paraId="3AD7F5FA"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113 </w:t>
      </w:r>
      <w:r w:rsidRPr="009E4EDA">
        <w:rPr>
          <w:rFonts w:ascii="Book Antiqua" w:hAnsi="Book Antiqua"/>
          <w:b/>
          <w:sz w:val="24"/>
          <w:szCs w:val="24"/>
        </w:rPr>
        <w:t>Zhuang Y</w:t>
      </w:r>
      <w:r w:rsidRPr="009E4EDA">
        <w:rPr>
          <w:rFonts w:ascii="Book Antiqua" w:hAnsi="Book Antiqua"/>
          <w:sz w:val="24"/>
          <w:szCs w:val="24"/>
        </w:rPr>
        <w:t xml:space="preserve">, Cheng P, Liu XF, Peng LS, Li BS, Wang TT, Chen N, Li WH, Shi Y, Chen W, Pang KC, Zeng M, Mao XH, Yang SM, Guo H, Guo G, Liu T, Zuo QF, Yang HJ, Yang LY, Mao FY, Lv YP, Zou QM. A pro-inflammatory role for Th22 cells in Helicobacter pylori-associated gastritis. </w:t>
      </w:r>
      <w:r w:rsidRPr="009E4EDA">
        <w:rPr>
          <w:rFonts w:ascii="Book Antiqua" w:hAnsi="Book Antiqua"/>
          <w:i/>
          <w:sz w:val="24"/>
          <w:szCs w:val="24"/>
        </w:rPr>
        <w:t>Gut</w:t>
      </w:r>
      <w:r w:rsidRPr="009E4EDA">
        <w:rPr>
          <w:rFonts w:ascii="Book Antiqua" w:hAnsi="Book Antiqua"/>
          <w:sz w:val="24"/>
          <w:szCs w:val="24"/>
        </w:rPr>
        <w:t xml:space="preserve"> 2015; </w:t>
      </w:r>
      <w:r w:rsidRPr="009E4EDA">
        <w:rPr>
          <w:rFonts w:ascii="Book Antiqua" w:hAnsi="Book Antiqua"/>
          <w:b/>
          <w:sz w:val="24"/>
          <w:szCs w:val="24"/>
        </w:rPr>
        <w:t>64</w:t>
      </w:r>
      <w:r w:rsidRPr="009E4EDA">
        <w:rPr>
          <w:rFonts w:ascii="Book Antiqua" w:hAnsi="Book Antiqua"/>
          <w:sz w:val="24"/>
          <w:szCs w:val="24"/>
        </w:rPr>
        <w:t>: 1368-1378 [PMID: 25134787 DOI: 10.1136/gutjnl-2014-307020]</w:t>
      </w:r>
    </w:p>
    <w:p w14:paraId="0A0456AF"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114 </w:t>
      </w:r>
      <w:r w:rsidRPr="009E4EDA">
        <w:rPr>
          <w:rFonts w:ascii="Book Antiqua" w:hAnsi="Book Antiqua"/>
          <w:b/>
          <w:sz w:val="24"/>
          <w:szCs w:val="24"/>
        </w:rPr>
        <w:t>Dixon BR</w:t>
      </w:r>
      <w:r w:rsidRPr="009E4EDA">
        <w:rPr>
          <w:rFonts w:ascii="Book Antiqua" w:hAnsi="Book Antiqua"/>
          <w:sz w:val="24"/>
          <w:szCs w:val="24"/>
        </w:rPr>
        <w:t xml:space="preserve">, Radin JN, Piazuelo MB, Contreras DC, Algood HM. IL-17a and IL-22 Induce Expression of Antimicrobials in Gastrointestinal Epithelial Cells and May Contribute to Epithelial Cell Defense against Helicobacter pylori. </w:t>
      </w:r>
      <w:r w:rsidRPr="009E4EDA">
        <w:rPr>
          <w:rFonts w:ascii="Book Antiqua" w:hAnsi="Book Antiqua"/>
          <w:i/>
          <w:sz w:val="24"/>
          <w:szCs w:val="24"/>
        </w:rPr>
        <w:t>PLoS One</w:t>
      </w:r>
      <w:r w:rsidRPr="009E4EDA">
        <w:rPr>
          <w:rFonts w:ascii="Book Antiqua" w:hAnsi="Book Antiqua"/>
          <w:sz w:val="24"/>
          <w:szCs w:val="24"/>
        </w:rPr>
        <w:t xml:space="preserve"> 2016; </w:t>
      </w:r>
      <w:r w:rsidRPr="009E4EDA">
        <w:rPr>
          <w:rFonts w:ascii="Book Antiqua" w:hAnsi="Book Antiqua"/>
          <w:b/>
          <w:sz w:val="24"/>
          <w:szCs w:val="24"/>
        </w:rPr>
        <w:t>11</w:t>
      </w:r>
      <w:r w:rsidRPr="009E4EDA">
        <w:rPr>
          <w:rFonts w:ascii="Book Antiqua" w:hAnsi="Book Antiqua"/>
          <w:sz w:val="24"/>
          <w:szCs w:val="24"/>
        </w:rPr>
        <w:t>: e0148514 [PMID: 26867135 DOI: 10.1371/journal.pone.0148514]</w:t>
      </w:r>
    </w:p>
    <w:p w14:paraId="637E2966"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115 </w:t>
      </w:r>
      <w:r w:rsidRPr="009E4EDA">
        <w:rPr>
          <w:rFonts w:ascii="Book Antiqua" w:hAnsi="Book Antiqua"/>
          <w:b/>
          <w:sz w:val="24"/>
          <w:szCs w:val="24"/>
        </w:rPr>
        <w:t>Hong JT</w:t>
      </w:r>
      <w:r w:rsidRPr="009E4EDA">
        <w:rPr>
          <w:rFonts w:ascii="Book Antiqua" w:hAnsi="Book Antiqua"/>
          <w:sz w:val="24"/>
          <w:szCs w:val="24"/>
        </w:rPr>
        <w:t xml:space="preserve">, Son DJ, Lee CK, Yoon DY, Lee DH, Park MH. Interleukin 32, inflammation and cancer. </w:t>
      </w:r>
      <w:r w:rsidRPr="009E4EDA">
        <w:rPr>
          <w:rFonts w:ascii="Book Antiqua" w:hAnsi="Book Antiqua"/>
          <w:i/>
          <w:sz w:val="24"/>
          <w:szCs w:val="24"/>
        </w:rPr>
        <w:t>Pharmacol Ther</w:t>
      </w:r>
      <w:r w:rsidRPr="009E4EDA">
        <w:rPr>
          <w:rFonts w:ascii="Book Antiqua" w:hAnsi="Book Antiqua"/>
          <w:sz w:val="24"/>
          <w:szCs w:val="24"/>
        </w:rPr>
        <w:t xml:space="preserve"> 2017; </w:t>
      </w:r>
      <w:r w:rsidRPr="009E4EDA">
        <w:rPr>
          <w:rFonts w:ascii="Book Antiqua" w:hAnsi="Book Antiqua"/>
          <w:b/>
          <w:sz w:val="24"/>
          <w:szCs w:val="24"/>
        </w:rPr>
        <w:t>174</w:t>
      </w:r>
      <w:r w:rsidRPr="009E4EDA">
        <w:rPr>
          <w:rFonts w:ascii="Book Antiqua" w:hAnsi="Book Antiqua"/>
          <w:sz w:val="24"/>
          <w:szCs w:val="24"/>
        </w:rPr>
        <w:t>: 127-137 [PMID: 28223235 DOI: 10.1016/j.pharmthera.2017.02.025]</w:t>
      </w:r>
    </w:p>
    <w:p w14:paraId="7A07263D"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116 </w:t>
      </w:r>
      <w:r w:rsidRPr="009E4EDA">
        <w:rPr>
          <w:rFonts w:ascii="Book Antiqua" w:hAnsi="Book Antiqua"/>
          <w:b/>
          <w:sz w:val="24"/>
          <w:szCs w:val="24"/>
        </w:rPr>
        <w:t>Canedo P</w:t>
      </w:r>
      <w:r w:rsidRPr="009E4EDA">
        <w:rPr>
          <w:rFonts w:ascii="Book Antiqua" w:hAnsi="Book Antiqua"/>
          <w:sz w:val="24"/>
          <w:szCs w:val="24"/>
        </w:rPr>
        <w:t xml:space="preserve">, Corso G, Pereira F, Lunet N, Suriano G, Figueiredo C, Pedrazzani C, Moreira H, Barros H, Carneiro F, Seruca R, Roviello F, Machado JC. The interferon gamma receptor 1 (IFNGR1) -56C/T gene polymorphism is associated with increased risk of early gastric carcinoma. </w:t>
      </w:r>
      <w:r w:rsidRPr="009E4EDA">
        <w:rPr>
          <w:rFonts w:ascii="Book Antiqua" w:hAnsi="Book Antiqua"/>
          <w:i/>
          <w:sz w:val="24"/>
          <w:szCs w:val="24"/>
        </w:rPr>
        <w:t>Gut</w:t>
      </w:r>
      <w:r w:rsidRPr="009E4EDA">
        <w:rPr>
          <w:rFonts w:ascii="Book Antiqua" w:hAnsi="Book Antiqua"/>
          <w:sz w:val="24"/>
          <w:szCs w:val="24"/>
        </w:rPr>
        <w:t xml:space="preserve"> 2008; </w:t>
      </w:r>
      <w:r w:rsidRPr="009E4EDA">
        <w:rPr>
          <w:rFonts w:ascii="Book Antiqua" w:hAnsi="Book Antiqua"/>
          <w:b/>
          <w:sz w:val="24"/>
          <w:szCs w:val="24"/>
        </w:rPr>
        <w:t>57</w:t>
      </w:r>
      <w:r w:rsidRPr="009E4EDA">
        <w:rPr>
          <w:rFonts w:ascii="Book Antiqua" w:hAnsi="Book Antiqua"/>
          <w:sz w:val="24"/>
          <w:szCs w:val="24"/>
        </w:rPr>
        <w:t>: 1504-1508 [PMID: 18593809 DOI: 10.1136/gut.2007.143578]</w:t>
      </w:r>
    </w:p>
    <w:p w14:paraId="7F52D97C"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117 </w:t>
      </w:r>
      <w:r w:rsidRPr="009E4EDA">
        <w:rPr>
          <w:rFonts w:ascii="Book Antiqua" w:hAnsi="Book Antiqua"/>
          <w:b/>
          <w:sz w:val="24"/>
          <w:szCs w:val="24"/>
        </w:rPr>
        <w:t>Figura N</w:t>
      </w:r>
      <w:r w:rsidRPr="009E4EDA">
        <w:rPr>
          <w:rFonts w:ascii="Book Antiqua" w:hAnsi="Book Antiqua"/>
          <w:sz w:val="24"/>
          <w:szCs w:val="24"/>
        </w:rPr>
        <w:t xml:space="preserve">, Marano L, Moretti E, Ponzetto A. Helicobacter pylori infection and gastric carcinoma: Not all the strains and patients are alike. </w:t>
      </w:r>
      <w:r w:rsidRPr="009E4EDA">
        <w:rPr>
          <w:rFonts w:ascii="Book Antiqua" w:hAnsi="Book Antiqua"/>
          <w:i/>
          <w:sz w:val="24"/>
          <w:szCs w:val="24"/>
        </w:rPr>
        <w:t>World J Gastrointest Oncol</w:t>
      </w:r>
      <w:r w:rsidRPr="009E4EDA">
        <w:rPr>
          <w:rFonts w:ascii="Book Antiqua" w:hAnsi="Book Antiqua"/>
          <w:sz w:val="24"/>
          <w:szCs w:val="24"/>
        </w:rPr>
        <w:t xml:space="preserve"> 2016; </w:t>
      </w:r>
      <w:r w:rsidRPr="009E4EDA">
        <w:rPr>
          <w:rFonts w:ascii="Book Antiqua" w:hAnsi="Book Antiqua"/>
          <w:b/>
          <w:sz w:val="24"/>
          <w:szCs w:val="24"/>
        </w:rPr>
        <w:t>8</w:t>
      </w:r>
      <w:r w:rsidRPr="009E4EDA">
        <w:rPr>
          <w:rFonts w:ascii="Book Antiqua" w:hAnsi="Book Antiqua"/>
          <w:sz w:val="24"/>
          <w:szCs w:val="24"/>
        </w:rPr>
        <w:t>: 40-54 [PMID: 26798436 DOI: 10.4251/wjgo.v8.i1.40]</w:t>
      </w:r>
    </w:p>
    <w:p w14:paraId="286E5678"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118 </w:t>
      </w:r>
      <w:r w:rsidRPr="009E4EDA">
        <w:rPr>
          <w:rFonts w:ascii="Book Antiqua" w:hAnsi="Book Antiqua"/>
          <w:b/>
          <w:sz w:val="24"/>
          <w:szCs w:val="24"/>
        </w:rPr>
        <w:t>Díaz P</w:t>
      </w:r>
      <w:r w:rsidRPr="009E4EDA">
        <w:rPr>
          <w:rFonts w:ascii="Book Antiqua" w:hAnsi="Book Antiqua"/>
          <w:sz w:val="24"/>
          <w:szCs w:val="24"/>
        </w:rPr>
        <w:t>, Valenzuela Valderrama M, Bravo J, Quest AFG.</w:t>
      </w:r>
      <w:r>
        <w:rPr>
          <w:rFonts w:ascii="Book Antiqua" w:hAnsi="Book Antiqua"/>
          <w:sz w:val="24"/>
          <w:szCs w:val="24"/>
        </w:rPr>
        <w:t xml:space="preserve"> </w:t>
      </w:r>
      <w:r w:rsidRPr="00251E36">
        <w:rPr>
          <w:rFonts w:ascii="Book Antiqua" w:hAnsi="Book Antiqua"/>
          <w:i/>
          <w:iCs/>
          <w:sz w:val="24"/>
          <w:szCs w:val="24"/>
        </w:rPr>
        <w:t>Helicobacter pylori</w:t>
      </w:r>
      <w:r>
        <w:rPr>
          <w:rFonts w:ascii="Book Antiqua" w:hAnsi="Book Antiqua"/>
          <w:sz w:val="24"/>
          <w:szCs w:val="24"/>
        </w:rPr>
        <w:t xml:space="preserve"> </w:t>
      </w:r>
      <w:r w:rsidRPr="009E4EDA">
        <w:rPr>
          <w:rFonts w:ascii="Book Antiqua" w:hAnsi="Book Antiqua"/>
          <w:sz w:val="24"/>
          <w:szCs w:val="24"/>
        </w:rPr>
        <w:t xml:space="preserve">and Gastric Cancer: Adaptive Cellular Mechanisms Involved in Disease Progression. </w:t>
      </w:r>
      <w:r w:rsidRPr="009E4EDA">
        <w:rPr>
          <w:rFonts w:ascii="Book Antiqua" w:hAnsi="Book Antiqua"/>
          <w:i/>
          <w:sz w:val="24"/>
          <w:szCs w:val="24"/>
        </w:rPr>
        <w:t>Front Microbiol</w:t>
      </w:r>
      <w:r w:rsidRPr="009E4EDA">
        <w:rPr>
          <w:rFonts w:ascii="Book Antiqua" w:hAnsi="Book Antiqua"/>
          <w:sz w:val="24"/>
          <w:szCs w:val="24"/>
        </w:rPr>
        <w:t xml:space="preserve"> 2018; </w:t>
      </w:r>
      <w:r w:rsidRPr="009E4EDA">
        <w:rPr>
          <w:rFonts w:ascii="Book Antiqua" w:hAnsi="Book Antiqua"/>
          <w:b/>
          <w:sz w:val="24"/>
          <w:szCs w:val="24"/>
        </w:rPr>
        <w:t>9</w:t>
      </w:r>
      <w:r w:rsidRPr="009E4EDA">
        <w:rPr>
          <w:rFonts w:ascii="Book Antiqua" w:hAnsi="Book Antiqua"/>
          <w:sz w:val="24"/>
          <w:szCs w:val="24"/>
        </w:rPr>
        <w:t>: 5 [PMID: 29403459 DOI: 10.3389/fmicb.2018.00005]</w:t>
      </w:r>
    </w:p>
    <w:p w14:paraId="2BF80D24"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119 </w:t>
      </w:r>
      <w:r w:rsidRPr="009E4EDA">
        <w:rPr>
          <w:rFonts w:ascii="Book Antiqua" w:hAnsi="Book Antiqua"/>
          <w:b/>
          <w:sz w:val="24"/>
          <w:szCs w:val="24"/>
        </w:rPr>
        <w:t>Semino-Mora C</w:t>
      </w:r>
      <w:r w:rsidRPr="009E4EDA">
        <w:rPr>
          <w:rFonts w:ascii="Book Antiqua" w:hAnsi="Book Antiqua"/>
          <w:sz w:val="24"/>
          <w:szCs w:val="24"/>
        </w:rPr>
        <w:t xml:space="preserve">, Doi SQ, Marty A, Simko V, Carlstedt I, Dubois A. Intracellular and interstitial expression of Helicobacter pylori virulence genes in gastric precancerous intestinal metaplasia and adenocarcinoma. </w:t>
      </w:r>
      <w:r w:rsidRPr="009E4EDA">
        <w:rPr>
          <w:rFonts w:ascii="Book Antiqua" w:hAnsi="Book Antiqua"/>
          <w:i/>
          <w:sz w:val="24"/>
          <w:szCs w:val="24"/>
        </w:rPr>
        <w:t>J Infect Dis</w:t>
      </w:r>
      <w:r w:rsidRPr="009E4EDA">
        <w:rPr>
          <w:rFonts w:ascii="Book Antiqua" w:hAnsi="Book Antiqua"/>
          <w:sz w:val="24"/>
          <w:szCs w:val="24"/>
        </w:rPr>
        <w:t xml:space="preserve"> 2003; </w:t>
      </w:r>
      <w:r w:rsidRPr="009E4EDA">
        <w:rPr>
          <w:rFonts w:ascii="Book Antiqua" w:hAnsi="Book Antiqua"/>
          <w:b/>
          <w:sz w:val="24"/>
          <w:szCs w:val="24"/>
        </w:rPr>
        <w:t>187</w:t>
      </w:r>
      <w:r w:rsidRPr="009E4EDA">
        <w:rPr>
          <w:rFonts w:ascii="Book Antiqua" w:hAnsi="Book Antiqua"/>
          <w:sz w:val="24"/>
          <w:szCs w:val="24"/>
        </w:rPr>
        <w:t>: 1165-1177 [PMID: 12695995 DOI: 10.1086/368133]</w:t>
      </w:r>
    </w:p>
    <w:p w14:paraId="661CE5DC"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120 </w:t>
      </w:r>
      <w:r w:rsidRPr="009E4EDA">
        <w:rPr>
          <w:rFonts w:ascii="Book Antiqua" w:hAnsi="Book Antiqua"/>
          <w:b/>
          <w:sz w:val="24"/>
          <w:szCs w:val="24"/>
        </w:rPr>
        <w:t>Houghton J</w:t>
      </w:r>
      <w:r w:rsidRPr="009E4EDA">
        <w:rPr>
          <w:rFonts w:ascii="Book Antiqua" w:hAnsi="Book Antiqua"/>
          <w:sz w:val="24"/>
          <w:szCs w:val="24"/>
        </w:rPr>
        <w:t xml:space="preserve">, Stoicov C, Nomura S, Rogers AB, Carlson J, Li H, Cai X, Fox JG, Goldenring JR, Wang TC. Gastric cancer originating from bone marrow-derived cells. </w:t>
      </w:r>
      <w:r w:rsidRPr="009E4EDA">
        <w:rPr>
          <w:rFonts w:ascii="Book Antiqua" w:hAnsi="Book Antiqua"/>
          <w:i/>
          <w:sz w:val="24"/>
          <w:szCs w:val="24"/>
        </w:rPr>
        <w:t>Science</w:t>
      </w:r>
      <w:r w:rsidRPr="009E4EDA">
        <w:rPr>
          <w:rFonts w:ascii="Book Antiqua" w:hAnsi="Book Antiqua"/>
          <w:sz w:val="24"/>
          <w:szCs w:val="24"/>
        </w:rPr>
        <w:t xml:space="preserve"> 2004; </w:t>
      </w:r>
      <w:r w:rsidRPr="009E4EDA">
        <w:rPr>
          <w:rFonts w:ascii="Book Antiqua" w:hAnsi="Book Antiqua"/>
          <w:b/>
          <w:sz w:val="24"/>
          <w:szCs w:val="24"/>
        </w:rPr>
        <w:t>306</w:t>
      </w:r>
      <w:r w:rsidRPr="009E4EDA">
        <w:rPr>
          <w:rFonts w:ascii="Book Antiqua" w:hAnsi="Book Antiqua"/>
          <w:sz w:val="24"/>
          <w:szCs w:val="24"/>
        </w:rPr>
        <w:t>: 1568-1571 [PMID: 15567866 DOI: 10.1126/science.1099513]</w:t>
      </w:r>
    </w:p>
    <w:p w14:paraId="7DAB0335"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121 </w:t>
      </w:r>
      <w:r w:rsidRPr="009E4EDA">
        <w:rPr>
          <w:rFonts w:ascii="Book Antiqua" w:hAnsi="Book Antiqua"/>
          <w:b/>
          <w:sz w:val="24"/>
          <w:szCs w:val="24"/>
        </w:rPr>
        <w:t>Hayakawa Y</w:t>
      </w:r>
      <w:r w:rsidRPr="009E4EDA">
        <w:rPr>
          <w:rFonts w:ascii="Book Antiqua" w:hAnsi="Book Antiqua"/>
          <w:sz w:val="24"/>
          <w:szCs w:val="24"/>
        </w:rPr>
        <w:t xml:space="preserve">, Fox JG, Wang TC. The Origins of Gastric Cancer From Gastric Stem Cells: Lessons From Mouse Models. </w:t>
      </w:r>
      <w:r w:rsidRPr="009E4EDA">
        <w:rPr>
          <w:rFonts w:ascii="Book Antiqua" w:hAnsi="Book Antiqua"/>
          <w:i/>
          <w:sz w:val="24"/>
          <w:szCs w:val="24"/>
        </w:rPr>
        <w:t>Cell Mol Gastroenterol Hepatol</w:t>
      </w:r>
      <w:r w:rsidRPr="009E4EDA">
        <w:rPr>
          <w:rFonts w:ascii="Book Antiqua" w:hAnsi="Book Antiqua"/>
          <w:sz w:val="24"/>
          <w:szCs w:val="24"/>
        </w:rPr>
        <w:t xml:space="preserve"> 2017; </w:t>
      </w:r>
      <w:r w:rsidRPr="009E4EDA">
        <w:rPr>
          <w:rFonts w:ascii="Book Antiqua" w:hAnsi="Book Antiqua"/>
          <w:b/>
          <w:sz w:val="24"/>
          <w:szCs w:val="24"/>
        </w:rPr>
        <w:t>3</w:t>
      </w:r>
      <w:r w:rsidRPr="009E4EDA">
        <w:rPr>
          <w:rFonts w:ascii="Book Antiqua" w:hAnsi="Book Antiqua"/>
          <w:sz w:val="24"/>
          <w:szCs w:val="24"/>
        </w:rPr>
        <w:t>: 331-338 [PMID: 28462375 DOI: 10.1016/j.jcmgh.2017.01.013]</w:t>
      </w:r>
    </w:p>
    <w:p w14:paraId="24A703BD"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122 </w:t>
      </w:r>
      <w:r w:rsidRPr="009E4EDA">
        <w:rPr>
          <w:rFonts w:ascii="Book Antiqua" w:hAnsi="Book Antiqua"/>
          <w:b/>
          <w:sz w:val="24"/>
          <w:szCs w:val="24"/>
        </w:rPr>
        <w:t>Steenport M</w:t>
      </w:r>
      <w:r w:rsidRPr="009E4EDA">
        <w:rPr>
          <w:rFonts w:ascii="Book Antiqua" w:hAnsi="Book Antiqua"/>
          <w:sz w:val="24"/>
          <w:szCs w:val="24"/>
        </w:rPr>
        <w:t xml:space="preserve">, Eom H, Uezu M, Schneller J, Gupta R, Mustafa Y, Villanueva R, Straus EW, Raffaniello RD. Association of polymorphisms in myeloperoxidase and catalase genes with precancerous changes in the gastric mucosa of patients at inner-city hospitals in New York. </w:t>
      </w:r>
      <w:r w:rsidRPr="009E4EDA">
        <w:rPr>
          <w:rFonts w:ascii="Book Antiqua" w:hAnsi="Book Antiqua"/>
          <w:i/>
          <w:sz w:val="24"/>
          <w:szCs w:val="24"/>
        </w:rPr>
        <w:t>Oncol Rep</w:t>
      </w:r>
      <w:r w:rsidRPr="009E4EDA">
        <w:rPr>
          <w:rFonts w:ascii="Book Antiqua" w:hAnsi="Book Antiqua"/>
          <w:sz w:val="24"/>
          <w:szCs w:val="24"/>
        </w:rPr>
        <w:t xml:space="preserve"> 2007; </w:t>
      </w:r>
      <w:r w:rsidRPr="009E4EDA">
        <w:rPr>
          <w:rFonts w:ascii="Book Antiqua" w:hAnsi="Book Antiqua"/>
          <w:b/>
          <w:sz w:val="24"/>
          <w:szCs w:val="24"/>
        </w:rPr>
        <w:t>18</w:t>
      </w:r>
      <w:r w:rsidRPr="009E4EDA">
        <w:rPr>
          <w:rFonts w:ascii="Book Antiqua" w:hAnsi="Book Antiqua"/>
          <w:sz w:val="24"/>
          <w:szCs w:val="24"/>
        </w:rPr>
        <w:t>: 235-240 [PMID: 17549373]</w:t>
      </w:r>
    </w:p>
    <w:p w14:paraId="36472A53"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123 </w:t>
      </w:r>
      <w:r w:rsidRPr="009E4EDA">
        <w:rPr>
          <w:rFonts w:ascii="Book Antiqua" w:hAnsi="Book Antiqua"/>
          <w:b/>
          <w:sz w:val="24"/>
          <w:szCs w:val="24"/>
        </w:rPr>
        <w:t>Yi JF</w:t>
      </w:r>
      <w:r w:rsidRPr="009E4EDA">
        <w:rPr>
          <w:rFonts w:ascii="Book Antiqua" w:hAnsi="Book Antiqua"/>
          <w:sz w:val="24"/>
          <w:szCs w:val="24"/>
        </w:rPr>
        <w:t xml:space="preserve">, Li YM, Liu T, He WT, Li X, Zhou WC, Kang SL, Zeng XT, Zhang JQ. Mn-SOD and CuZn-SOD polymorphisms and interactions with risk factors in gastric cancer. </w:t>
      </w:r>
      <w:r w:rsidRPr="009E4EDA">
        <w:rPr>
          <w:rFonts w:ascii="Book Antiqua" w:hAnsi="Book Antiqua"/>
          <w:i/>
          <w:sz w:val="24"/>
          <w:szCs w:val="24"/>
        </w:rPr>
        <w:t>World J Gastroenterol</w:t>
      </w:r>
      <w:r w:rsidRPr="009E4EDA">
        <w:rPr>
          <w:rFonts w:ascii="Book Antiqua" w:hAnsi="Book Antiqua"/>
          <w:sz w:val="24"/>
          <w:szCs w:val="24"/>
        </w:rPr>
        <w:t xml:space="preserve"> 2010; </w:t>
      </w:r>
      <w:r w:rsidRPr="009E4EDA">
        <w:rPr>
          <w:rFonts w:ascii="Book Antiqua" w:hAnsi="Book Antiqua"/>
          <w:b/>
          <w:sz w:val="24"/>
          <w:szCs w:val="24"/>
        </w:rPr>
        <w:t>16</w:t>
      </w:r>
      <w:r w:rsidRPr="009E4EDA">
        <w:rPr>
          <w:rFonts w:ascii="Book Antiqua" w:hAnsi="Book Antiqua"/>
          <w:sz w:val="24"/>
          <w:szCs w:val="24"/>
        </w:rPr>
        <w:t>: 4738-4746 [PMID: 20872977]</w:t>
      </w:r>
    </w:p>
    <w:p w14:paraId="632F82A0"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124 </w:t>
      </w:r>
      <w:r w:rsidRPr="009E4EDA">
        <w:rPr>
          <w:rFonts w:ascii="Book Antiqua" w:hAnsi="Book Antiqua"/>
          <w:b/>
          <w:sz w:val="24"/>
          <w:szCs w:val="24"/>
        </w:rPr>
        <w:t>Negovan A</w:t>
      </w:r>
      <w:r w:rsidRPr="009E4EDA">
        <w:rPr>
          <w:rFonts w:ascii="Book Antiqua" w:hAnsi="Book Antiqua"/>
          <w:sz w:val="24"/>
          <w:szCs w:val="24"/>
        </w:rPr>
        <w:t xml:space="preserve">, Iancu M, Tripon F, Crauciuc A, Mocan S, Bănescu C. The CAT-262 C&amp;gt;T, MnSOD Ala16Val, GPX1 Pro198Leu Polymorphisms Related to Oxidative Stress and the Presence of Gastric Lesions. </w:t>
      </w:r>
      <w:r w:rsidRPr="009E4EDA">
        <w:rPr>
          <w:rFonts w:ascii="Book Antiqua" w:hAnsi="Book Antiqua"/>
          <w:i/>
          <w:sz w:val="24"/>
          <w:szCs w:val="24"/>
        </w:rPr>
        <w:t>J Gastrointestin Liver Dis</w:t>
      </w:r>
      <w:r w:rsidRPr="009E4EDA">
        <w:rPr>
          <w:rFonts w:ascii="Book Antiqua" w:hAnsi="Book Antiqua"/>
          <w:sz w:val="24"/>
          <w:szCs w:val="24"/>
        </w:rPr>
        <w:t xml:space="preserve"> 2018; </w:t>
      </w:r>
      <w:r w:rsidRPr="009E4EDA">
        <w:rPr>
          <w:rFonts w:ascii="Book Antiqua" w:hAnsi="Book Antiqua"/>
          <w:b/>
          <w:sz w:val="24"/>
          <w:szCs w:val="24"/>
        </w:rPr>
        <w:t>27</w:t>
      </w:r>
      <w:r w:rsidRPr="009E4EDA">
        <w:rPr>
          <w:rFonts w:ascii="Book Antiqua" w:hAnsi="Book Antiqua"/>
          <w:sz w:val="24"/>
          <w:szCs w:val="24"/>
        </w:rPr>
        <w:t>: 371-378 [PMID: 30574618 DOI: 10.15403/jgld.2014.1121.274.cat]</w:t>
      </w:r>
    </w:p>
    <w:p w14:paraId="30B3111D"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125 </w:t>
      </w:r>
      <w:r w:rsidRPr="009E4EDA">
        <w:rPr>
          <w:rFonts w:ascii="Book Antiqua" w:hAnsi="Book Antiqua"/>
          <w:b/>
          <w:sz w:val="24"/>
          <w:szCs w:val="24"/>
        </w:rPr>
        <w:t>Chen ZH</w:t>
      </w:r>
      <w:r w:rsidRPr="009E4EDA">
        <w:rPr>
          <w:rFonts w:ascii="Book Antiqua" w:hAnsi="Book Antiqua"/>
          <w:sz w:val="24"/>
          <w:szCs w:val="24"/>
        </w:rPr>
        <w:t xml:space="preserve">, Xian JF, Luo LP. Association between GSTM1, GSTT1, and GSTP1 polymorphisms and gastric cancer risk, and their interactions with environmental factors. </w:t>
      </w:r>
      <w:r w:rsidRPr="009E4EDA">
        <w:rPr>
          <w:rFonts w:ascii="Book Antiqua" w:hAnsi="Book Antiqua"/>
          <w:i/>
          <w:sz w:val="24"/>
          <w:szCs w:val="24"/>
        </w:rPr>
        <w:t>Genet Mol Res</w:t>
      </w:r>
      <w:r w:rsidRPr="009E4EDA">
        <w:rPr>
          <w:rFonts w:ascii="Book Antiqua" w:hAnsi="Book Antiqua"/>
          <w:sz w:val="24"/>
          <w:szCs w:val="24"/>
        </w:rPr>
        <w:t xml:space="preserve"> 2017; </w:t>
      </w:r>
      <w:r w:rsidRPr="009E4EDA">
        <w:rPr>
          <w:rFonts w:ascii="Book Antiqua" w:hAnsi="Book Antiqua"/>
          <w:b/>
          <w:sz w:val="24"/>
          <w:szCs w:val="24"/>
        </w:rPr>
        <w:t>16</w:t>
      </w:r>
      <w:r w:rsidRPr="009E4EDA">
        <w:rPr>
          <w:rFonts w:ascii="Book Antiqua" w:hAnsi="Book Antiqua"/>
          <w:sz w:val="24"/>
          <w:szCs w:val="24"/>
        </w:rPr>
        <w:t>:  [PMID: 28198496 DOI: 10.4238/gmr16018877]</w:t>
      </w:r>
    </w:p>
    <w:p w14:paraId="60A448F8"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126 </w:t>
      </w:r>
      <w:r w:rsidRPr="009E4EDA">
        <w:rPr>
          <w:rFonts w:ascii="Book Antiqua" w:hAnsi="Book Antiqua"/>
          <w:b/>
          <w:sz w:val="24"/>
          <w:szCs w:val="24"/>
        </w:rPr>
        <w:t>Negovan A</w:t>
      </w:r>
      <w:r w:rsidRPr="009E4EDA">
        <w:rPr>
          <w:rFonts w:ascii="Book Antiqua" w:hAnsi="Book Antiqua"/>
          <w:sz w:val="24"/>
          <w:szCs w:val="24"/>
        </w:rPr>
        <w:t xml:space="preserve">, Iancu M, Moldovan V, Mocan S, Banescu C. The Interaction between &lt;i&gt;GSTT1&lt;/i&gt;, &lt;i&gt;GSTM1&lt;/i&gt;, and &lt;i&gt;GSTP1&lt;/i&gt; Ile105Val Gene Polymorphisms and Environmental Risk Factors in Premalignant Gastric Lesions Risk. </w:t>
      </w:r>
      <w:r w:rsidRPr="009E4EDA">
        <w:rPr>
          <w:rFonts w:ascii="Book Antiqua" w:hAnsi="Book Antiqua"/>
          <w:i/>
          <w:sz w:val="24"/>
          <w:szCs w:val="24"/>
        </w:rPr>
        <w:t>Biomed Res Int</w:t>
      </w:r>
      <w:r w:rsidRPr="009E4EDA">
        <w:rPr>
          <w:rFonts w:ascii="Book Antiqua" w:hAnsi="Book Antiqua"/>
          <w:sz w:val="24"/>
          <w:szCs w:val="24"/>
        </w:rPr>
        <w:t xml:space="preserve"> 2017; </w:t>
      </w:r>
      <w:r w:rsidRPr="009E4EDA">
        <w:rPr>
          <w:rFonts w:ascii="Book Antiqua" w:hAnsi="Book Antiqua"/>
          <w:b/>
          <w:sz w:val="24"/>
          <w:szCs w:val="24"/>
        </w:rPr>
        <w:t>2017</w:t>
      </w:r>
      <w:r w:rsidRPr="009E4EDA">
        <w:rPr>
          <w:rFonts w:ascii="Book Antiqua" w:hAnsi="Book Antiqua"/>
          <w:sz w:val="24"/>
          <w:szCs w:val="24"/>
        </w:rPr>
        <w:t>: 7365080 [PMID: 28182092 DOI: 10.1155/2017/7365080]</w:t>
      </w:r>
    </w:p>
    <w:p w14:paraId="19903E38"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127 </w:t>
      </w:r>
      <w:r w:rsidRPr="009E4EDA">
        <w:rPr>
          <w:rFonts w:ascii="Book Antiqua" w:hAnsi="Book Antiqua"/>
          <w:b/>
          <w:sz w:val="24"/>
          <w:szCs w:val="24"/>
        </w:rPr>
        <w:t>Garg M</w:t>
      </w:r>
      <w:r w:rsidRPr="009E4EDA">
        <w:rPr>
          <w:rFonts w:ascii="Book Antiqua" w:hAnsi="Book Antiqua"/>
          <w:sz w:val="24"/>
          <w:szCs w:val="24"/>
        </w:rPr>
        <w:t xml:space="preserve">, Angus PW, Burrell LM, Herath C, Gibson PR, Lubel JS. Review article: the pathophysiological roles of the renin-angiotensin system in the gastrointestinal tract. </w:t>
      </w:r>
      <w:r w:rsidRPr="009E4EDA">
        <w:rPr>
          <w:rFonts w:ascii="Book Antiqua" w:hAnsi="Book Antiqua"/>
          <w:i/>
          <w:sz w:val="24"/>
          <w:szCs w:val="24"/>
        </w:rPr>
        <w:t>Aliment Pharmacol Ther</w:t>
      </w:r>
      <w:r w:rsidRPr="009E4EDA">
        <w:rPr>
          <w:rFonts w:ascii="Book Antiqua" w:hAnsi="Book Antiqua"/>
          <w:sz w:val="24"/>
          <w:szCs w:val="24"/>
        </w:rPr>
        <w:t xml:space="preserve"> 2012; </w:t>
      </w:r>
      <w:r w:rsidRPr="009E4EDA">
        <w:rPr>
          <w:rFonts w:ascii="Book Antiqua" w:hAnsi="Book Antiqua"/>
          <w:b/>
          <w:sz w:val="24"/>
          <w:szCs w:val="24"/>
        </w:rPr>
        <w:t>35</w:t>
      </w:r>
      <w:r w:rsidRPr="009E4EDA">
        <w:rPr>
          <w:rFonts w:ascii="Book Antiqua" w:hAnsi="Book Antiqua"/>
          <w:sz w:val="24"/>
          <w:szCs w:val="24"/>
        </w:rPr>
        <w:t>: 414-428 [PMID: 22221317 DOI: 10.1111/j.1365-2036.2011.04971.x]</w:t>
      </w:r>
    </w:p>
    <w:p w14:paraId="4DAFA1F1"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128 </w:t>
      </w:r>
      <w:r w:rsidRPr="009E4EDA">
        <w:rPr>
          <w:rFonts w:ascii="Book Antiqua" w:hAnsi="Book Antiqua"/>
          <w:b/>
          <w:sz w:val="24"/>
          <w:szCs w:val="24"/>
        </w:rPr>
        <w:t>Shiotani A</w:t>
      </w:r>
      <w:r w:rsidRPr="009E4EDA">
        <w:rPr>
          <w:rFonts w:ascii="Book Antiqua" w:hAnsi="Book Antiqua"/>
          <w:sz w:val="24"/>
          <w:szCs w:val="24"/>
        </w:rPr>
        <w:t xml:space="preserve">, Nishi R, Yamanaka Y, Murao T, Matsumoto H, Tarumi K, Kamada T, Sakakibara T, Haruma K. Renin-angiotensin system associated with risk of upper GI mucosal injury induced by low dose aspirin: renin angiotensin system genes' polymorphism. </w:t>
      </w:r>
      <w:r w:rsidRPr="009E4EDA">
        <w:rPr>
          <w:rFonts w:ascii="Book Antiqua" w:hAnsi="Book Antiqua"/>
          <w:i/>
          <w:sz w:val="24"/>
          <w:szCs w:val="24"/>
        </w:rPr>
        <w:t>Dig Dis Sci</w:t>
      </w:r>
      <w:r w:rsidRPr="009E4EDA">
        <w:rPr>
          <w:rFonts w:ascii="Book Antiqua" w:hAnsi="Book Antiqua"/>
          <w:sz w:val="24"/>
          <w:szCs w:val="24"/>
        </w:rPr>
        <w:t xml:space="preserve"> 2011; </w:t>
      </w:r>
      <w:r w:rsidRPr="009E4EDA">
        <w:rPr>
          <w:rFonts w:ascii="Book Antiqua" w:hAnsi="Book Antiqua"/>
          <w:b/>
          <w:sz w:val="24"/>
          <w:szCs w:val="24"/>
        </w:rPr>
        <w:t>56</w:t>
      </w:r>
      <w:r w:rsidRPr="009E4EDA">
        <w:rPr>
          <w:rFonts w:ascii="Book Antiqua" w:hAnsi="Book Antiqua"/>
          <w:sz w:val="24"/>
          <w:szCs w:val="24"/>
        </w:rPr>
        <w:t>: 465-471 [PMID: 20824505 DOI: 10.1007/s10620-010-1382-3]</w:t>
      </w:r>
    </w:p>
    <w:p w14:paraId="65E46BD9"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129 </w:t>
      </w:r>
      <w:r w:rsidRPr="009E4EDA">
        <w:rPr>
          <w:rFonts w:ascii="Book Antiqua" w:hAnsi="Book Antiqua"/>
          <w:b/>
          <w:sz w:val="24"/>
          <w:szCs w:val="24"/>
        </w:rPr>
        <w:t>Negovan A</w:t>
      </w:r>
      <w:r w:rsidRPr="00D863C4">
        <w:rPr>
          <w:rFonts w:ascii="Book Antiqua" w:hAnsi="Book Antiqua"/>
          <w:bCs/>
          <w:sz w:val="24"/>
          <w:szCs w:val="24"/>
        </w:rPr>
        <w:t xml:space="preserve">, </w:t>
      </w:r>
      <w:r w:rsidRPr="009E4EDA">
        <w:rPr>
          <w:rFonts w:ascii="Book Antiqua" w:hAnsi="Book Antiqua"/>
          <w:sz w:val="24"/>
          <w:szCs w:val="24"/>
        </w:rPr>
        <w:t xml:space="preserve">Voidăzan S, Pantea M, Moldovan V, Bataga S, Cozlea L, Mocan S, Banescu C. AGT A-20C (rs5050) gene polymorphism and ulcer occurrence in patients treated with low-dose aspirin: a case-control study. </w:t>
      </w:r>
      <w:r w:rsidRPr="00D863C4">
        <w:rPr>
          <w:rFonts w:ascii="Book Antiqua" w:hAnsi="Book Antiqua"/>
          <w:i/>
          <w:iCs/>
          <w:sz w:val="24"/>
          <w:szCs w:val="24"/>
        </w:rPr>
        <w:t>Rev Romana Med Lab 2015</w:t>
      </w:r>
      <w:r w:rsidRPr="009E4EDA">
        <w:rPr>
          <w:rFonts w:ascii="Book Antiqua" w:hAnsi="Book Antiqua"/>
          <w:sz w:val="24"/>
          <w:szCs w:val="24"/>
        </w:rPr>
        <w:t xml:space="preserve">; </w:t>
      </w:r>
      <w:r w:rsidRPr="00D863C4">
        <w:rPr>
          <w:rFonts w:ascii="Book Antiqua" w:hAnsi="Book Antiqua"/>
          <w:b/>
          <w:bCs/>
          <w:sz w:val="24"/>
          <w:szCs w:val="24"/>
        </w:rPr>
        <w:t>23</w:t>
      </w:r>
      <w:r w:rsidRPr="009E4EDA">
        <w:rPr>
          <w:rFonts w:ascii="Book Antiqua" w:hAnsi="Book Antiqua"/>
          <w:sz w:val="24"/>
          <w:szCs w:val="24"/>
        </w:rPr>
        <w:t>: 179-87 [DOI: 10.1515/rrlm-2015-0017]</w:t>
      </w:r>
    </w:p>
    <w:p w14:paraId="070A40BF" w14:textId="77777777" w:rsidR="00F85F1D" w:rsidRPr="009E4EDA"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130 </w:t>
      </w:r>
      <w:r w:rsidRPr="009E4EDA">
        <w:rPr>
          <w:rFonts w:ascii="Book Antiqua" w:hAnsi="Book Antiqua"/>
          <w:b/>
          <w:sz w:val="24"/>
          <w:szCs w:val="24"/>
        </w:rPr>
        <w:t>Graham DY</w:t>
      </w:r>
      <w:r w:rsidRPr="009E4EDA">
        <w:rPr>
          <w:rFonts w:ascii="Book Antiqua" w:hAnsi="Book Antiqua"/>
          <w:sz w:val="24"/>
          <w:szCs w:val="24"/>
        </w:rPr>
        <w:t xml:space="preserve">, Zou WY. Guilt by association: intestinal metaplasia does not progress to gastric cancer. </w:t>
      </w:r>
      <w:r w:rsidRPr="009E4EDA">
        <w:rPr>
          <w:rFonts w:ascii="Book Antiqua" w:hAnsi="Book Antiqua"/>
          <w:i/>
          <w:sz w:val="24"/>
          <w:szCs w:val="24"/>
        </w:rPr>
        <w:t>Curr Opin Gastroenterol</w:t>
      </w:r>
      <w:r w:rsidRPr="009E4EDA">
        <w:rPr>
          <w:rFonts w:ascii="Book Antiqua" w:hAnsi="Book Antiqua"/>
          <w:sz w:val="24"/>
          <w:szCs w:val="24"/>
        </w:rPr>
        <w:t xml:space="preserve"> 2018; </w:t>
      </w:r>
      <w:r w:rsidRPr="009E4EDA">
        <w:rPr>
          <w:rFonts w:ascii="Book Antiqua" w:hAnsi="Book Antiqua"/>
          <w:b/>
          <w:sz w:val="24"/>
          <w:szCs w:val="24"/>
        </w:rPr>
        <w:t>34</w:t>
      </w:r>
      <w:r w:rsidRPr="009E4EDA">
        <w:rPr>
          <w:rFonts w:ascii="Book Antiqua" w:hAnsi="Book Antiqua"/>
          <w:sz w:val="24"/>
          <w:szCs w:val="24"/>
        </w:rPr>
        <w:t>: 458-464 [PMID: 30138135 DOI: 10.1097/MOG.0000000000000472]</w:t>
      </w:r>
    </w:p>
    <w:p w14:paraId="2F629BDB" w14:textId="77777777" w:rsidR="00F85F1D" w:rsidRDefault="00F85F1D" w:rsidP="00F85F1D">
      <w:pPr>
        <w:snapToGrid w:val="0"/>
        <w:spacing w:line="360" w:lineRule="auto"/>
        <w:rPr>
          <w:rFonts w:ascii="Book Antiqua" w:hAnsi="Book Antiqua"/>
          <w:sz w:val="24"/>
          <w:szCs w:val="24"/>
        </w:rPr>
      </w:pPr>
      <w:r w:rsidRPr="009E4EDA">
        <w:rPr>
          <w:rFonts w:ascii="Book Antiqua" w:hAnsi="Book Antiqua"/>
          <w:sz w:val="24"/>
          <w:szCs w:val="24"/>
        </w:rPr>
        <w:t xml:space="preserve">131 </w:t>
      </w:r>
      <w:r w:rsidRPr="009E4EDA">
        <w:rPr>
          <w:rFonts w:ascii="Book Antiqua" w:hAnsi="Book Antiqua"/>
          <w:b/>
          <w:sz w:val="24"/>
          <w:szCs w:val="24"/>
        </w:rPr>
        <w:t>Trieu JA</w:t>
      </w:r>
      <w:r w:rsidRPr="009E4EDA">
        <w:rPr>
          <w:rFonts w:ascii="Book Antiqua" w:hAnsi="Book Antiqua"/>
          <w:sz w:val="24"/>
          <w:szCs w:val="24"/>
        </w:rPr>
        <w:t xml:space="preserve">, Bilal M, Saraireh H, Wang AY. Update on the Diagnosis and Management of Gastric Intestinal Metaplasia in the USA. </w:t>
      </w:r>
      <w:r w:rsidRPr="009E4EDA">
        <w:rPr>
          <w:rFonts w:ascii="Book Antiqua" w:hAnsi="Book Antiqua"/>
          <w:i/>
          <w:sz w:val="24"/>
          <w:szCs w:val="24"/>
        </w:rPr>
        <w:t>Dig Dis Sci</w:t>
      </w:r>
      <w:r w:rsidRPr="009E4EDA">
        <w:rPr>
          <w:rFonts w:ascii="Book Antiqua" w:hAnsi="Book Antiqua"/>
          <w:sz w:val="24"/>
          <w:szCs w:val="24"/>
        </w:rPr>
        <w:t xml:space="preserve"> 2019; </w:t>
      </w:r>
      <w:r w:rsidRPr="009E4EDA">
        <w:rPr>
          <w:rFonts w:ascii="Book Antiqua" w:hAnsi="Book Antiqua"/>
          <w:b/>
          <w:sz w:val="24"/>
          <w:szCs w:val="24"/>
        </w:rPr>
        <w:t>64</w:t>
      </w:r>
      <w:r w:rsidRPr="009E4EDA">
        <w:rPr>
          <w:rFonts w:ascii="Book Antiqua" w:hAnsi="Book Antiqua"/>
          <w:sz w:val="24"/>
          <w:szCs w:val="24"/>
        </w:rPr>
        <w:t>: 1079-1088 [PMID: 30771043 DOI: 10.1007/s10620-019-05526-5]</w:t>
      </w:r>
    </w:p>
    <w:p w14:paraId="7501EA6F" w14:textId="77777777" w:rsidR="00F85F1D" w:rsidRPr="00E27F95" w:rsidRDefault="00F85F1D" w:rsidP="00F85F1D">
      <w:pPr>
        <w:widowControl/>
        <w:snapToGrid w:val="0"/>
        <w:spacing w:line="360" w:lineRule="auto"/>
        <w:jc w:val="right"/>
        <w:rPr>
          <w:rFonts w:ascii="Book Antiqua" w:eastAsia="宋体" w:hAnsi="Book Antiqua" w:cs="Times New Roman"/>
          <w:kern w:val="0"/>
          <w:sz w:val="24"/>
          <w:szCs w:val="24"/>
        </w:rPr>
      </w:pPr>
      <w:bookmarkStart w:id="138" w:name="OLE_LINK51"/>
      <w:bookmarkStart w:id="139" w:name="OLE_LINK52"/>
      <w:bookmarkStart w:id="140" w:name="OLE_LINK120"/>
      <w:bookmarkStart w:id="141" w:name="OLE_LINK148"/>
      <w:bookmarkStart w:id="142" w:name="OLE_LINK72"/>
      <w:bookmarkStart w:id="143" w:name="OLE_LINK112"/>
      <w:bookmarkStart w:id="144" w:name="OLE_LINK320"/>
      <w:bookmarkStart w:id="145" w:name="OLE_LINK387"/>
      <w:bookmarkStart w:id="146" w:name="OLE_LINK183"/>
      <w:bookmarkStart w:id="147" w:name="OLE_LINK254"/>
      <w:bookmarkStart w:id="148" w:name="OLE_LINK149"/>
      <w:bookmarkStart w:id="149" w:name="OLE_LINK225"/>
      <w:bookmarkStart w:id="150" w:name="OLE_LINK207"/>
      <w:bookmarkStart w:id="151" w:name="OLE_LINK226"/>
      <w:bookmarkStart w:id="152" w:name="OLE_LINK212"/>
      <w:bookmarkStart w:id="153" w:name="OLE_LINK250"/>
      <w:bookmarkStart w:id="154" w:name="OLE_LINK281"/>
      <w:bookmarkStart w:id="155" w:name="OLE_LINK282"/>
      <w:bookmarkStart w:id="156" w:name="OLE_LINK313"/>
      <w:bookmarkStart w:id="157" w:name="OLE_LINK304"/>
      <w:bookmarkStart w:id="158" w:name="OLE_LINK321"/>
      <w:bookmarkStart w:id="159" w:name="OLE_LINK385"/>
      <w:bookmarkStart w:id="160" w:name="OLE_LINK400"/>
      <w:bookmarkStart w:id="161" w:name="OLE_LINK346"/>
      <w:bookmarkStart w:id="162" w:name="OLE_LINK371"/>
      <w:bookmarkStart w:id="163" w:name="OLE_LINK334"/>
      <w:bookmarkStart w:id="164" w:name="OLE_LINK1830"/>
      <w:bookmarkStart w:id="165" w:name="OLE_LINK457"/>
      <w:bookmarkStart w:id="166" w:name="OLE_LINK288"/>
      <w:bookmarkStart w:id="167" w:name="OLE_LINK384"/>
      <w:bookmarkStart w:id="168" w:name="OLE_LINK379"/>
      <w:bookmarkStart w:id="169" w:name="OLE_LINK303"/>
      <w:bookmarkStart w:id="170" w:name="OLE_LINK450"/>
      <w:bookmarkStart w:id="171" w:name="OLE_LINK489"/>
      <w:bookmarkStart w:id="172" w:name="OLE_LINK535"/>
      <w:bookmarkStart w:id="173" w:name="OLE_LINK648"/>
      <w:bookmarkStart w:id="174" w:name="OLE_LINK686"/>
      <w:bookmarkStart w:id="175" w:name="OLE_LINK462"/>
      <w:bookmarkStart w:id="176" w:name="OLE_LINK519"/>
      <w:bookmarkStart w:id="177" w:name="OLE_LINK491"/>
      <w:bookmarkStart w:id="178" w:name="OLE_LINK532"/>
      <w:bookmarkStart w:id="179" w:name="OLE_LINK572"/>
      <w:bookmarkStart w:id="180" w:name="OLE_LINK574"/>
      <w:bookmarkStart w:id="181" w:name="OLE_LINK480"/>
      <w:bookmarkStart w:id="182" w:name="OLE_LINK567"/>
      <w:bookmarkStart w:id="183" w:name="OLE_LINK2700"/>
      <w:bookmarkStart w:id="184" w:name="OLE_LINK581"/>
      <w:bookmarkStart w:id="185" w:name="OLE_LINK639"/>
      <w:bookmarkStart w:id="186" w:name="OLE_LINK688"/>
      <w:bookmarkStart w:id="187" w:name="OLE_LINK722"/>
      <w:bookmarkStart w:id="188" w:name="OLE_LINK542"/>
      <w:bookmarkStart w:id="189" w:name="OLE_LINK589"/>
      <w:bookmarkStart w:id="190" w:name="OLE_LINK582"/>
      <w:bookmarkStart w:id="191" w:name="OLE_LINK593"/>
      <w:bookmarkStart w:id="192" w:name="OLE_LINK716"/>
      <w:bookmarkStart w:id="193" w:name="OLE_LINK770"/>
      <w:bookmarkStart w:id="194" w:name="OLE_LINK801"/>
      <w:bookmarkStart w:id="195" w:name="OLE_LINK660"/>
      <w:bookmarkStart w:id="196" w:name="OLE_LINK781"/>
      <w:bookmarkStart w:id="197" w:name="OLE_LINK833"/>
      <w:bookmarkStart w:id="198" w:name="OLE_LINK642"/>
      <w:bookmarkStart w:id="199" w:name="OLE_LINK700"/>
      <w:bookmarkStart w:id="200" w:name="OLE_LINK792"/>
      <w:bookmarkStart w:id="201" w:name="OLE_LINK2882"/>
      <w:bookmarkStart w:id="202" w:name="OLE_LINK836"/>
      <w:bookmarkStart w:id="203" w:name="OLE_LINK889"/>
      <w:bookmarkStart w:id="204" w:name="OLE_LINK782"/>
      <w:bookmarkStart w:id="205" w:name="OLE_LINK826"/>
      <w:bookmarkStart w:id="206" w:name="OLE_LINK865"/>
      <w:bookmarkStart w:id="207" w:name="OLE_LINK856"/>
      <w:bookmarkStart w:id="208" w:name="OLE_LINK908"/>
      <w:bookmarkStart w:id="209" w:name="OLE_LINK980"/>
      <w:bookmarkStart w:id="210" w:name="OLE_LINK1018"/>
      <w:bookmarkStart w:id="211" w:name="OLE_LINK1049"/>
      <w:bookmarkStart w:id="212" w:name="OLE_LINK1076"/>
      <w:bookmarkStart w:id="213" w:name="OLE_LINK1106"/>
      <w:bookmarkStart w:id="214" w:name="OLE_LINK891"/>
      <w:bookmarkStart w:id="215" w:name="OLE_LINK943"/>
      <w:bookmarkStart w:id="216" w:name="OLE_LINK981"/>
      <w:bookmarkStart w:id="217" w:name="OLE_LINK1030"/>
      <w:bookmarkStart w:id="218" w:name="OLE_LINK847"/>
      <w:bookmarkStart w:id="219" w:name="OLE_LINK909"/>
      <w:bookmarkStart w:id="220" w:name="OLE_LINK992"/>
      <w:bookmarkStart w:id="221" w:name="OLE_LINK993"/>
      <w:bookmarkStart w:id="222" w:name="OLE_LINK1052"/>
      <w:bookmarkStart w:id="223" w:name="OLE_LINK946"/>
      <w:bookmarkStart w:id="224" w:name="OLE_LINK911"/>
      <w:bookmarkStart w:id="225" w:name="OLE_LINK930"/>
      <w:bookmarkStart w:id="226" w:name="OLE_LINK1059"/>
      <w:bookmarkStart w:id="227" w:name="OLE_LINK1174"/>
      <w:bookmarkStart w:id="228" w:name="OLE_LINK1137"/>
      <w:bookmarkStart w:id="229" w:name="OLE_LINK1167"/>
      <w:bookmarkStart w:id="230" w:name="OLE_LINK1200"/>
      <w:bookmarkStart w:id="231" w:name="OLE_LINK1241"/>
      <w:bookmarkStart w:id="232" w:name="OLE_LINK1288"/>
      <w:bookmarkStart w:id="233" w:name="OLE_LINK1056"/>
      <w:bookmarkStart w:id="234" w:name="OLE_LINK1158"/>
      <w:bookmarkStart w:id="235" w:name="OLE_LINK1175"/>
      <w:bookmarkStart w:id="236" w:name="OLE_LINK1074"/>
      <w:bookmarkStart w:id="237" w:name="OLE_LINK1169"/>
      <w:bookmarkStart w:id="238" w:name="_Hlk11235039"/>
      <w:r w:rsidRPr="00E27F95">
        <w:rPr>
          <w:rFonts w:ascii="Book Antiqua" w:eastAsia="宋体" w:hAnsi="Book Antiqua" w:cs="Times New Roman"/>
          <w:b/>
          <w:bCs/>
          <w:kern w:val="0"/>
          <w:sz w:val="24"/>
          <w:szCs w:val="24"/>
        </w:rPr>
        <w:t xml:space="preserve">P-Reviewer: </w:t>
      </w:r>
      <w:r w:rsidRPr="00E27F95">
        <w:rPr>
          <w:rFonts w:ascii="Book Antiqua" w:eastAsia="宋体" w:hAnsi="Book Antiqua" w:cs="Times New Roman"/>
          <w:kern w:val="0"/>
          <w:sz w:val="24"/>
          <w:szCs w:val="24"/>
        </w:rPr>
        <w:t>Amiri M, Buzas G, Link A, Tarnawski AS</w:t>
      </w:r>
      <w:r>
        <w:rPr>
          <w:rFonts w:ascii="Book Antiqua" w:eastAsia="宋体" w:hAnsi="Book Antiqua" w:cs="Times New Roman"/>
          <w:b/>
          <w:bCs/>
          <w:kern w:val="0"/>
          <w:sz w:val="24"/>
          <w:szCs w:val="24"/>
        </w:rPr>
        <w:t xml:space="preserve"> </w:t>
      </w:r>
      <w:r w:rsidRPr="00E27F95">
        <w:rPr>
          <w:rFonts w:ascii="Book Antiqua" w:eastAsia="宋体" w:hAnsi="Book Antiqua" w:cs="Times New Roman"/>
          <w:b/>
          <w:bCs/>
          <w:kern w:val="0"/>
          <w:sz w:val="24"/>
          <w:szCs w:val="24"/>
        </w:rPr>
        <w:t>S-Editor:</w:t>
      </w:r>
      <w:r w:rsidRPr="00E27F95">
        <w:rPr>
          <w:rFonts w:ascii="Book Antiqua" w:eastAsia="宋体" w:hAnsi="Book Antiqua" w:cs="Times New Roman"/>
          <w:kern w:val="0"/>
          <w:sz w:val="24"/>
          <w:szCs w:val="24"/>
        </w:rPr>
        <w:t xml:space="preserve"> Gong ZM</w:t>
      </w:r>
    </w:p>
    <w:p w14:paraId="658BA845" w14:textId="77777777" w:rsidR="00F85F1D" w:rsidRPr="00E27F95" w:rsidRDefault="00F85F1D" w:rsidP="00F85F1D">
      <w:pPr>
        <w:widowControl/>
        <w:snapToGrid w:val="0"/>
        <w:spacing w:line="360" w:lineRule="auto"/>
        <w:jc w:val="right"/>
        <w:rPr>
          <w:rFonts w:ascii="Book Antiqua" w:eastAsia="宋体" w:hAnsi="Book Antiqua" w:cs="Times New Roman"/>
          <w:b/>
          <w:bCs/>
          <w:kern w:val="0"/>
          <w:sz w:val="24"/>
          <w:szCs w:val="24"/>
        </w:rPr>
      </w:pPr>
      <w:r w:rsidRPr="00E27F95">
        <w:rPr>
          <w:rFonts w:ascii="Book Antiqua" w:eastAsia="宋体" w:hAnsi="Book Antiqua" w:cs="Times New Roman"/>
          <w:b/>
          <w:bCs/>
          <w:kern w:val="0"/>
          <w:sz w:val="24"/>
          <w:szCs w:val="24"/>
        </w:rPr>
        <w:t>L-Editor:</w:t>
      </w:r>
      <w:r w:rsidRPr="00E27F95">
        <w:rPr>
          <w:rFonts w:ascii="Book Antiqua" w:eastAsia="宋体" w:hAnsi="Book Antiqua" w:cs="Times New Roman"/>
          <w:kern w:val="0"/>
          <w:sz w:val="24"/>
          <w:szCs w:val="24"/>
        </w:rPr>
        <w:t xml:space="preserve"> </w:t>
      </w:r>
      <w:r w:rsidRPr="00E27F95">
        <w:rPr>
          <w:rFonts w:ascii="Book Antiqua" w:eastAsia="宋体" w:hAnsi="Book Antiqua" w:cs="Times New Roman"/>
          <w:b/>
          <w:bCs/>
          <w:kern w:val="0"/>
          <w:sz w:val="24"/>
          <w:szCs w:val="24"/>
        </w:rPr>
        <w:t>E-Editor:</w:t>
      </w:r>
    </w:p>
    <w:p w14:paraId="39C35A53" w14:textId="77777777" w:rsidR="00F85F1D" w:rsidRPr="00E27F95" w:rsidRDefault="00F85F1D" w:rsidP="00F85F1D">
      <w:pPr>
        <w:widowControl/>
        <w:shd w:val="clear" w:color="auto" w:fill="FFFFFF"/>
        <w:snapToGrid w:val="0"/>
        <w:spacing w:line="360" w:lineRule="auto"/>
        <w:rPr>
          <w:rFonts w:ascii="Book Antiqua" w:eastAsia="宋体" w:hAnsi="Book Antiqua" w:cs="Helvetica"/>
          <w:b/>
          <w:kern w:val="0"/>
          <w:sz w:val="24"/>
          <w:szCs w:val="24"/>
        </w:rPr>
      </w:pPr>
      <w:bookmarkStart w:id="239" w:name="OLE_LINK880"/>
      <w:bookmarkStart w:id="240" w:name="OLE_LINK881"/>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E27F95">
        <w:rPr>
          <w:rFonts w:ascii="Book Antiqua" w:eastAsia="宋体" w:hAnsi="Book Antiqua" w:cs="Helvetica"/>
          <w:b/>
          <w:kern w:val="0"/>
          <w:sz w:val="24"/>
          <w:szCs w:val="24"/>
        </w:rPr>
        <w:t xml:space="preserve">Specialty type: </w:t>
      </w:r>
      <w:r w:rsidRPr="00E27F95">
        <w:rPr>
          <w:rFonts w:ascii="Book Antiqua" w:eastAsia="宋体" w:hAnsi="Book Antiqua" w:cs="Helvetica"/>
          <w:kern w:val="0"/>
          <w:sz w:val="24"/>
          <w:szCs w:val="24"/>
        </w:rPr>
        <w:t>Gastroenterology and hepatology</w:t>
      </w:r>
    </w:p>
    <w:p w14:paraId="166CF447" w14:textId="77777777" w:rsidR="00F85F1D" w:rsidRPr="00E27F95" w:rsidRDefault="00F85F1D" w:rsidP="00F85F1D">
      <w:pPr>
        <w:widowControl/>
        <w:shd w:val="clear" w:color="auto" w:fill="FFFFFF"/>
        <w:snapToGrid w:val="0"/>
        <w:spacing w:line="360" w:lineRule="auto"/>
        <w:rPr>
          <w:rFonts w:ascii="Book Antiqua" w:eastAsia="宋体" w:hAnsi="Book Antiqua" w:cs="Helvetica"/>
          <w:b/>
          <w:kern w:val="0"/>
          <w:sz w:val="24"/>
          <w:szCs w:val="24"/>
        </w:rPr>
      </w:pPr>
      <w:r w:rsidRPr="00E27F95">
        <w:rPr>
          <w:rFonts w:ascii="Book Antiqua" w:eastAsia="宋体" w:hAnsi="Book Antiqua" w:cs="Helvetica"/>
          <w:b/>
          <w:kern w:val="0"/>
          <w:sz w:val="24"/>
          <w:szCs w:val="24"/>
        </w:rPr>
        <w:t xml:space="preserve">Country of origin: </w:t>
      </w:r>
      <w:r w:rsidRPr="00E27F95">
        <w:rPr>
          <w:rFonts w:ascii="Book Antiqua" w:eastAsia="宋体" w:hAnsi="Book Antiqua" w:cs="Helvetica"/>
          <w:bCs/>
          <w:kern w:val="0"/>
          <w:sz w:val="24"/>
          <w:szCs w:val="24"/>
        </w:rPr>
        <w:t>Romania</w:t>
      </w:r>
    </w:p>
    <w:p w14:paraId="6CE3FE43" w14:textId="77777777" w:rsidR="00F85F1D" w:rsidRPr="00E27F95" w:rsidRDefault="00F85F1D" w:rsidP="00F85F1D">
      <w:pPr>
        <w:widowControl/>
        <w:shd w:val="clear" w:color="auto" w:fill="FFFFFF"/>
        <w:snapToGrid w:val="0"/>
        <w:spacing w:line="360" w:lineRule="auto"/>
        <w:rPr>
          <w:rFonts w:ascii="Book Antiqua" w:eastAsia="宋体" w:hAnsi="Book Antiqua" w:cs="Helvetica"/>
          <w:b/>
          <w:kern w:val="0"/>
          <w:sz w:val="24"/>
          <w:szCs w:val="24"/>
        </w:rPr>
      </w:pPr>
      <w:r w:rsidRPr="00E27F95">
        <w:rPr>
          <w:rFonts w:ascii="Book Antiqua" w:eastAsia="宋体" w:hAnsi="Book Antiqua" w:cs="Helvetica"/>
          <w:b/>
          <w:kern w:val="0"/>
          <w:sz w:val="24"/>
          <w:szCs w:val="24"/>
        </w:rPr>
        <w:t>Peer-review report classification</w:t>
      </w:r>
    </w:p>
    <w:p w14:paraId="019E5292" w14:textId="77777777" w:rsidR="00F85F1D" w:rsidRPr="00E27F95" w:rsidRDefault="00F85F1D" w:rsidP="00F85F1D">
      <w:pPr>
        <w:widowControl/>
        <w:shd w:val="clear" w:color="auto" w:fill="FFFFFF"/>
        <w:snapToGrid w:val="0"/>
        <w:spacing w:line="360" w:lineRule="auto"/>
        <w:rPr>
          <w:rFonts w:ascii="Book Antiqua" w:eastAsia="宋体" w:hAnsi="Book Antiqua" w:cs="Helvetica"/>
          <w:kern w:val="0"/>
          <w:sz w:val="24"/>
          <w:szCs w:val="24"/>
        </w:rPr>
      </w:pPr>
      <w:r w:rsidRPr="00E27F95">
        <w:rPr>
          <w:rFonts w:ascii="Book Antiqua" w:eastAsia="宋体" w:hAnsi="Book Antiqua" w:cs="Helvetica"/>
          <w:kern w:val="0"/>
          <w:sz w:val="24"/>
          <w:szCs w:val="24"/>
        </w:rPr>
        <w:t>Grade A (Excellent): 0</w:t>
      </w:r>
    </w:p>
    <w:p w14:paraId="31D252D4" w14:textId="77777777" w:rsidR="00F85F1D" w:rsidRPr="00E27F95" w:rsidRDefault="00F85F1D" w:rsidP="00F85F1D">
      <w:pPr>
        <w:widowControl/>
        <w:shd w:val="clear" w:color="auto" w:fill="FFFFFF"/>
        <w:snapToGrid w:val="0"/>
        <w:spacing w:line="360" w:lineRule="auto"/>
        <w:rPr>
          <w:rFonts w:ascii="Book Antiqua" w:eastAsia="宋体" w:hAnsi="Book Antiqua" w:cs="Helvetica"/>
          <w:kern w:val="0"/>
          <w:sz w:val="24"/>
          <w:szCs w:val="24"/>
        </w:rPr>
      </w:pPr>
      <w:r w:rsidRPr="00E27F95">
        <w:rPr>
          <w:rFonts w:ascii="Book Antiqua" w:eastAsia="宋体" w:hAnsi="Book Antiqua" w:cs="Helvetica"/>
          <w:kern w:val="0"/>
          <w:sz w:val="24"/>
          <w:szCs w:val="24"/>
        </w:rPr>
        <w:t xml:space="preserve">Grade B (Very good): </w:t>
      </w:r>
      <w:r>
        <w:rPr>
          <w:rFonts w:ascii="Book Antiqua" w:eastAsia="宋体" w:hAnsi="Book Antiqua" w:cs="Helvetica"/>
          <w:kern w:val="0"/>
          <w:sz w:val="24"/>
          <w:szCs w:val="24"/>
        </w:rPr>
        <w:t>B, B</w:t>
      </w:r>
    </w:p>
    <w:p w14:paraId="6CC053CC" w14:textId="77777777" w:rsidR="00F85F1D" w:rsidRPr="00E27F95" w:rsidRDefault="00F85F1D" w:rsidP="00F85F1D">
      <w:pPr>
        <w:widowControl/>
        <w:shd w:val="clear" w:color="auto" w:fill="FFFFFF"/>
        <w:snapToGrid w:val="0"/>
        <w:spacing w:line="360" w:lineRule="auto"/>
        <w:rPr>
          <w:rFonts w:ascii="Book Antiqua" w:eastAsia="宋体" w:hAnsi="Book Antiqua" w:cs="Helvetica"/>
          <w:kern w:val="0"/>
          <w:sz w:val="24"/>
          <w:szCs w:val="24"/>
        </w:rPr>
      </w:pPr>
      <w:r w:rsidRPr="00E27F95">
        <w:rPr>
          <w:rFonts w:ascii="Book Antiqua" w:eastAsia="宋体" w:hAnsi="Book Antiqua" w:cs="Helvetica"/>
          <w:kern w:val="0"/>
          <w:sz w:val="24"/>
          <w:szCs w:val="24"/>
        </w:rPr>
        <w:t>Grade C (Good): C</w:t>
      </w:r>
    </w:p>
    <w:p w14:paraId="295BBB13" w14:textId="77777777" w:rsidR="00F85F1D" w:rsidRPr="00E27F95" w:rsidRDefault="00F85F1D" w:rsidP="00F85F1D">
      <w:pPr>
        <w:widowControl/>
        <w:shd w:val="clear" w:color="auto" w:fill="FFFFFF"/>
        <w:snapToGrid w:val="0"/>
        <w:spacing w:line="360" w:lineRule="auto"/>
        <w:rPr>
          <w:rFonts w:ascii="Book Antiqua" w:eastAsia="宋体" w:hAnsi="Book Antiqua" w:cs="Helvetica"/>
          <w:kern w:val="0"/>
          <w:sz w:val="24"/>
          <w:szCs w:val="24"/>
        </w:rPr>
      </w:pPr>
      <w:r w:rsidRPr="00E27F95">
        <w:rPr>
          <w:rFonts w:ascii="Book Antiqua" w:eastAsia="宋体" w:hAnsi="Book Antiqua" w:cs="Helvetica"/>
          <w:kern w:val="0"/>
          <w:sz w:val="24"/>
          <w:szCs w:val="24"/>
        </w:rPr>
        <w:t xml:space="preserve">Grade D (Fair): </w:t>
      </w:r>
      <w:r>
        <w:rPr>
          <w:rFonts w:ascii="Book Antiqua" w:eastAsia="宋体" w:hAnsi="Book Antiqua" w:cs="Helvetica"/>
          <w:kern w:val="0"/>
          <w:sz w:val="24"/>
          <w:szCs w:val="24"/>
        </w:rPr>
        <w:t>D</w:t>
      </w:r>
    </w:p>
    <w:p w14:paraId="456B75F1" w14:textId="77148B5D" w:rsidR="0011105F" w:rsidRPr="00F85F1D" w:rsidRDefault="00F85F1D" w:rsidP="00F85F1D">
      <w:pPr>
        <w:widowControl/>
        <w:shd w:val="clear" w:color="auto" w:fill="FFFFFF"/>
        <w:snapToGrid w:val="0"/>
        <w:spacing w:line="360" w:lineRule="auto"/>
        <w:rPr>
          <w:rFonts w:ascii="Book Antiqua" w:eastAsia="宋体" w:hAnsi="Book Antiqua" w:cs="Helvetica"/>
          <w:kern w:val="0"/>
          <w:sz w:val="24"/>
          <w:szCs w:val="24"/>
        </w:rPr>
      </w:pPr>
      <w:r w:rsidRPr="00E27F95">
        <w:rPr>
          <w:rFonts w:ascii="Book Antiqua" w:eastAsia="宋体" w:hAnsi="Book Antiqua" w:cs="Helvetica"/>
          <w:kern w:val="0"/>
          <w:sz w:val="24"/>
          <w:szCs w:val="24"/>
        </w:rPr>
        <w:t>Grade E (Poor): 0</w:t>
      </w:r>
      <w:bookmarkEnd w:id="239"/>
      <w:bookmarkEnd w:id="240"/>
      <w:r w:rsidRPr="00E27F95">
        <w:rPr>
          <w:rFonts w:ascii="Book Antiqua" w:eastAsia="宋体" w:hAnsi="Book Antiqua" w:cs="Helvetica"/>
          <w:kern w:val="0"/>
          <w:sz w:val="24"/>
          <w:szCs w:val="24"/>
        </w:rPr>
        <w:t xml:space="preserve"> </w:t>
      </w:r>
      <w:bookmarkEnd w:id="238"/>
    </w:p>
    <w:p w14:paraId="7532295E" w14:textId="77777777" w:rsidR="0011105F" w:rsidRPr="003771AE" w:rsidRDefault="0011105F" w:rsidP="00F17106">
      <w:pPr>
        <w:widowControl/>
        <w:snapToGrid w:val="0"/>
        <w:spacing w:line="360" w:lineRule="auto"/>
        <w:rPr>
          <w:rFonts w:ascii="Book Antiqua" w:eastAsia="Times New Roman" w:hAnsi="Book Antiqua" w:cs="Times New Roman"/>
          <w:kern w:val="0"/>
          <w:sz w:val="24"/>
          <w:szCs w:val="24"/>
          <w:lang w:val="en-GB" w:eastAsia="ro-RO"/>
        </w:rPr>
        <w:sectPr w:rsidR="0011105F" w:rsidRPr="003771AE" w:rsidSect="0025251E">
          <w:footerReference w:type="even" r:id="rId10"/>
          <w:footerReference w:type="default" r:id="rId11"/>
          <w:pgSz w:w="11906" w:h="16838"/>
          <w:pgMar w:top="1417" w:right="1417" w:bottom="1417" w:left="1417" w:header="709" w:footer="709" w:gutter="0"/>
          <w:cols w:space="708"/>
          <w:docGrid w:linePitch="360"/>
        </w:sectPr>
      </w:pPr>
    </w:p>
    <w:p w14:paraId="2069E40D" w14:textId="77777777" w:rsidR="0011105F" w:rsidRPr="003771AE" w:rsidRDefault="0011105F" w:rsidP="00F17106">
      <w:pPr>
        <w:widowControl/>
        <w:snapToGrid w:val="0"/>
        <w:spacing w:line="360" w:lineRule="auto"/>
        <w:rPr>
          <w:rFonts w:ascii="Book Antiqua" w:eastAsia="Times New Roman" w:hAnsi="Book Antiqua" w:cs="Times New Roman"/>
          <w:b/>
          <w:kern w:val="0"/>
          <w:sz w:val="24"/>
          <w:szCs w:val="24"/>
          <w:lang w:val="en-GB" w:eastAsia="ro-RO"/>
        </w:rPr>
      </w:pPr>
      <w:r w:rsidRPr="003771AE">
        <w:rPr>
          <w:rFonts w:ascii="Book Antiqua" w:eastAsia="Times New Roman" w:hAnsi="Book Antiqua" w:cs="Times New Roman"/>
          <w:b/>
          <w:kern w:val="0"/>
          <w:sz w:val="24"/>
          <w:szCs w:val="24"/>
          <w:lang w:val="en-GB" w:eastAsia="ro-RO"/>
        </w:rPr>
        <w:t>Table 1 Statistical methods used in mentioned original research articles that analysed the relationship between cytokine gene variants and premalignant gastric lesions</w:t>
      </w:r>
    </w:p>
    <w:tbl>
      <w:tblPr>
        <w:tblW w:w="5211" w:type="pct"/>
        <w:tblInd w:w="-601" w:type="dxa"/>
        <w:tblLayout w:type="fixed"/>
        <w:tblLook w:val="04A0" w:firstRow="1" w:lastRow="0" w:firstColumn="1" w:lastColumn="0" w:noHBand="0" w:noVBand="1"/>
      </w:tblPr>
      <w:tblGrid>
        <w:gridCol w:w="1397"/>
        <w:gridCol w:w="1674"/>
        <w:gridCol w:w="4047"/>
        <w:gridCol w:w="1538"/>
        <w:gridCol w:w="1675"/>
        <w:gridCol w:w="1675"/>
        <w:gridCol w:w="2582"/>
      </w:tblGrid>
      <w:tr w:rsidR="00823C5B" w:rsidRPr="003771AE" w14:paraId="3C595052" w14:textId="77777777" w:rsidTr="00823C5B">
        <w:tc>
          <w:tcPr>
            <w:tcW w:w="479" w:type="pct"/>
            <w:tcBorders>
              <w:top w:val="single" w:sz="4" w:space="0" w:color="auto"/>
              <w:bottom w:val="single" w:sz="4" w:space="0" w:color="auto"/>
            </w:tcBorders>
            <w:shd w:val="clear" w:color="auto" w:fill="auto"/>
            <w:vAlign w:val="center"/>
          </w:tcPr>
          <w:p w14:paraId="195E8597" w14:textId="64F5F3F5" w:rsidR="0011105F" w:rsidRPr="003771AE" w:rsidRDefault="00823C5B" w:rsidP="00F17106">
            <w:pPr>
              <w:widowControl/>
              <w:autoSpaceDE w:val="0"/>
              <w:autoSpaceDN w:val="0"/>
              <w:adjustRightInd w:val="0"/>
              <w:snapToGrid w:val="0"/>
              <w:spacing w:line="360" w:lineRule="auto"/>
              <w:rPr>
                <w:rFonts w:ascii="Book Antiqua" w:eastAsia="Calibri" w:hAnsi="Book Antiqua" w:cs="Times New Roman"/>
                <w:b/>
                <w:kern w:val="0"/>
                <w:sz w:val="24"/>
                <w:szCs w:val="24"/>
                <w:lang w:val="en-GB" w:eastAsia="en-US"/>
              </w:rPr>
            </w:pPr>
            <w:r>
              <w:rPr>
                <w:rFonts w:ascii="Book Antiqua" w:eastAsia="Calibri" w:hAnsi="Book Antiqua" w:cs="Times New Roman"/>
                <w:b/>
                <w:kern w:val="0"/>
                <w:sz w:val="24"/>
                <w:szCs w:val="24"/>
                <w:lang w:val="en-GB" w:eastAsia="en-US"/>
              </w:rPr>
              <w:t>Ref.</w:t>
            </w:r>
          </w:p>
        </w:tc>
        <w:tc>
          <w:tcPr>
            <w:tcW w:w="574" w:type="pct"/>
            <w:tcBorders>
              <w:top w:val="single" w:sz="4" w:space="0" w:color="auto"/>
              <w:bottom w:val="single" w:sz="4" w:space="0" w:color="auto"/>
            </w:tcBorders>
            <w:shd w:val="clear" w:color="auto" w:fill="auto"/>
            <w:vAlign w:val="center"/>
          </w:tcPr>
          <w:p w14:paraId="2616054D" w14:textId="22FE7FFB"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kern w:val="0"/>
                <w:sz w:val="24"/>
                <w:szCs w:val="24"/>
                <w:lang w:val="en-GB" w:eastAsia="en-US"/>
              </w:rPr>
            </w:pPr>
            <w:r w:rsidRPr="003771AE">
              <w:rPr>
                <w:rFonts w:ascii="Book Antiqua" w:eastAsia="Calibri" w:hAnsi="Book Antiqua" w:cs="Times New Roman"/>
                <w:b/>
                <w:kern w:val="0"/>
                <w:sz w:val="24"/>
                <w:szCs w:val="24"/>
                <w:lang w:val="en-GB" w:eastAsia="en-US"/>
              </w:rPr>
              <w:t>Target population</w:t>
            </w:r>
            <w:r w:rsidR="001E36F9">
              <w:rPr>
                <w:rFonts w:ascii="Book Antiqua" w:hAnsi="Book Antiqua" w:cs="Times New Roman" w:hint="eastAsia"/>
                <w:b/>
                <w:kern w:val="0"/>
                <w:sz w:val="24"/>
                <w:szCs w:val="24"/>
                <w:lang w:val="en-GB"/>
              </w:rPr>
              <w:t xml:space="preserve"> </w:t>
            </w:r>
            <w:r w:rsidRPr="003771AE">
              <w:rPr>
                <w:rFonts w:ascii="Book Antiqua" w:eastAsia="Calibri" w:hAnsi="Book Antiqua" w:cs="Times New Roman"/>
                <w:b/>
                <w:kern w:val="0"/>
                <w:sz w:val="24"/>
                <w:szCs w:val="24"/>
                <w:lang w:val="en-GB" w:eastAsia="en-US"/>
              </w:rPr>
              <w:t>(</w:t>
            </w:r>
            <w:r w:rsidR="001E36F9" w:rsidRPr="003771AE">
              <w:rPr>
                <w:rFonts w:ascii="Book Antiqua" w:eastAsia="Calibri" w:hAnsi="Book Antiqua" w:cs="Times New Roman"/>
                <w:b/>
                <w:kern w:val="0"/>
                <w:sz w:val="24"/>
                <w:szCs w:val="24"/>
                <w:lang w:val="en-GB" w:eastAsia="en-US"/>
              </w:rPr>
              <w:t>s</w:t>
            </w:r>
            <w:r w:rsidRPr="003771AE">
              <w:rPr>
                <w:rFonts w:ascii="Book Antiqua" w:eastAsia="Calibri" w:hAnsi="Book Antiqua" w:cs="Times New Roman"/>
                <w:b/>
                <w:kern w:val="0"/>
                <w:sz w:val="24"/>
                <w:szCs w:val="24"/>
                <w:lang w:val="en-GB" w:eastAsia="en-US"/>
              </w:rPr>
              <w:t>ample size)</w:t>
            </w:r>
          </w:p>
        </w:tc>
        <w:tc>
          <w:tcPr>
            <w:tcW w:w="1387" w:type="pct"/>
            <w:tcBorders>
              <w:top w:val="single" w:sz="4" w:space="0" w:color="auto"/>
              <w:bottom w:val="single" w:sz="4" w:space="0" w:color="auto"/>
            </w:tcBorders>
            <w:shd w:val="clear" w:color="auto" w:fill="auto"/>
            <w:vAlign w:val="center"/>
          </w:tcPr>
          <w:p w14:paraId="35D6156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kern w:val="0"/>
                <w:sz w:val="24"/>
                <w:szCs w:val="24"/>
                <w:vertAlign w:val="superscript"/>
                <w:lang w:val="en-GB" w:eastAsia="en-US"/>
              </w:rPr>
            </w:pPr>
            <w:r w:rsidRPr="003771AE">
              <w:rPr>
                <w:rFonts w:ascii="Book Antiqua" w:eastAsia="Calibri" w:hAnsi="Book Antiqua" w:cs="Times New Roman"/>
                <w:b/>
                <w:kern w:val="0"/>
                <w:sz w:val="24"/>
                <w:szCs w:val="24"/>
                <w:lang w:val="en-GB" w:eastAsia="en-US"/>
              </w:rPr>
              <w:t>Cytokine SNPs</w:t>
            </w:r>
            <w:r w:rsidR="00B352EB" w:rsidRPr="003771AE">
              <w:rPr>
                <w:rFonts w:ascii="Book Antiqua" w:eastAsia="Calibri" w:hAnsi="Book Antiqua" w:cs="Times New Roman"/>
                <w:b/>
                <w:kern w:val="0"/>
                <w:sz w:val="24"/>
                <w:szCs w:val="24"/>
                <w:vertAlign w:val="superscript"/>
                <w:lang w:val="en-GB" w:eastAsia="en-US"/>
              </w:rPr>
              <w:t>1</w:t>
            </w:r>
          </w:p>
        </w:tc>
        <w:tc>
          <w:tcPr>
            <w:tcW w:w="527" w:type="pct"/>
            <w:tcBorders>
              <w:top w:val="single" w:sz="4" w:space="0" w:color="auto"/>
              <w:bottom w:val="single" w:sz="4" w:space="0" w:color="auto"/>
            </w:tcBorders>
            <w:shd w:val="clear" w:color="auto" w:fill="auto"/>
            <w:vAlign w:val="center"/>
          </w:tcPr>
          <w:p w14:paraId="7100776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kern w:val="0"/>
                <w:sz w:val="24"/>
                <w:szCs w:val="24"/>
                <w:lang w:val="en-GB" w:eastAsia="en-US"/>
              </w:rPr>
            </w:pPr>
          </w:p>
          <w:p w14:paraId="39F2440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kern w:val="0"/>
                <w:sz w:val="24"/>
                <w:szCs w:val="24"/>
                <w:vertAlign w:val="superscript"/>
                <w:lang w:val="en-GB" w:eastAsia="en-US"/>
              </w:rPr>
            </w:pPr>
            <w:r w:rsidRPr="003771AE">
              <w:rPr>
                <w:rFonts w:ascii="Book Antiqua" w:eastAsia="Calibri" w:hAnsi="Book Antiqua" w:cs="Times New Roman"/>
                <w:b/>
                <w:kern w:val="0"/>
                <w:sz w:val="24"/>
                <w:szCs w:val="24"/>
                <w:lang w:val="en-GB" w:eastAsia="en-US"/>
              </w:rPr>
              <w:t>Outcomes</w:t>
            </w:r>
          </w:p>
        </w:tc>
        <w:tc>
          <w:tcPr>
            <w:tcW w:w="574" w:type="pct"/>
            <w:tcBorders>
              <w:top w:val="single" w:sz="4" w:space="0" w:color="auto"/>
              <w:bottom w:val="single" w:sz="4" w:space="0" w:color="auto"/>
            </w:tcBorders>
            <w:vAlign w:val="center"/>
          </w:tcPr>
          <w:p w14:paraId="1E277ED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kern w:val="0"/>
                <w:sz w:val="24"/>
                <w:szCs w:val="24"/>
                <w:lang w:val="en-GB" w:eastAsia="en-US"/>
              </w:rPr>
            </w:pPr>
            <w:r w:rsidRPr="003771AE">
              <w:rPr>
                <w:rFonts w:ascii="Book Antiqua" w:eastAsia="Calibri" w:hAnsi="Book Antiqua" w:cs="Times New Roman"/>
                <w:b/>
                <w:kern w:val="0"/>
                <w:sz w:val="24"/>
                <w:szCs w:val="24"/>
                <w:lang w:val="en-GB" w:eastAsia="en-US"/>
              </w:rPr>
              <w:t>Confounding factors/other covariates</w:t>
            </w:r>
          </w:p>
        </w:tc>
        <w:tc>
          <w:tcPr>
            <w:tcW w:w="574" w:type="pct"/>
            <w:tcBorders>
              <w:top w:val="single" w:sz="4" w:space="0" w:color="auto"/>
              <w:bottom w:val="single" w:sz="4" w:space="0" w:color="auto"/>
            </w:tcBorders>
            <w:vAlign w:val="center"/>
          </w:tcPr>
          <w:p w14:paraId="6C3A5CA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kern w:val="0"/>
                <w:sz w:val="24"/>
                <w:szCs w:val="24"/>
                <w:lang w:val="en-GB" w:eastAsia="en-US"/>
              </w:rPr>
            </w:pPr>
            <w:r w:rsidRPr="003771AE">
              <w:rPr>
                <w:rFonts w:ascii="Book Antiqua" w:eastAsia="Calibri" w:hAnsi="Book Antiqua" w:cs="Times New Roman"/>
                <w:b/>
                <w:kern w:val="0"/>
                <w:sz w:val="24"/>
                <w:szCs w:val="24"/>
                <w:lang w:val="en-GB" w:eastAsia="en-US"/>
              </w:rPr>
              <w:t>Control for confounding/covariate effect</w:t>
            </w:r>
          </w:p>
        </w:tc>
        <w:tc>
          <w:tcPr>
            <w:tcW w:w="886" w:type="pct"/>
            <w:tcBorders>
              <w:top w:val="single" w:sz="4" w:space="0" w:color="auto"/>
              <w:bottom w:val="single" w:sz="4" w:space="0" w:color="auto"/>
            </w:tcBorders>
            <w:shd w:val="clear" w:color="auto" w:fill="auto"/>
            <w:vAlign w:val="center"/>
          </w:tcPr>
          <w:p w14:paraId="1600EB8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kern w:val="0"/>
                <w:sz w:val="24"/>
                <w:szCs w:val="24"/>
                <w:lang w:val="en-GB" w:eastAsia="en-US"/>
              </w:rPr>
            </w:pPr>
            <w:r w:rsidRPr="003771AE">
              <w:rPr>
                <w:rFonts w:ascii="Book Antiqua" w:eastAsia="Calibri" w:hAnsi="Book Antiqua" w:cs="Times New Roman"/>
                <w:b/>
                <w:kern w:val="0"/>
                <w:sz w:val="24"/>
                <w:szCs w:val="24"/>
                <w:lang w:val="en-GB" w:eastAsia="en-US"/>
              </w:rPr>
              <w:t xml:space="preserve">Statistical </w:t>
            </w:r>
            <w:r w:rsidR="00B352EB" w:rsidRPr="003771AE">
              <w:rPr>
                <w:rFonts w:ascii="Book Antiqua" w:eastAsia="Calibri" w:hAnsi="Book Antiqua" w:cs="Times New Roman"/>
                <w:b/>
                <w:kern w:val="0"/>
                <w:sz w:val="24"/>
                <w:szCs w:val="24"/>
                <w:lang w:val="en-GB" w:eastAsia="en-US"/>
              </w:rPr>
              <w:t>methods</w:t>
            </w:r>
          </w:p>
        </w:tc>
      </w:tr>
      <w:tr w:rsidR="00823C5B" w:rsidRPr="003771AE" w14:paraId="1B0F3C7F" w14:textId="77777777" w:rsidTr="00823C5B">
        <w:trPr>
          <w:trHeight w:val="776"/>
        </w:trPr>
        <w:tc>
          <w:tcPr>
            <w:tcW w:w="479" w:type="pct"/>
            <w:tcBorders>
              <w:top w:val="single" w:sz="4" w:space="0" w:color="auto"/>
            </w:tcBorders>
            <w:shd w:val="clear" w:color="auto" w:fill="auto"/>
          </w:tcPr>
          <w:p w14:paraId="496B3A4C" w14:textId="77777777" w:rsidR="0011105F" w:rsidRPr="00823C5B"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823C5B">
              <w:rPr>
                <w:rFonts w:ascii="Book Antiqua" w:eastAsia="Calibri" w:hAnsi="Book Antiqua" w:cs="Times New Roman"/>
                <w:kern w:val="0"/>
                <w:sz w:val="24"/>
                <w:szCs w:val="24"/>
                <w:lang w:val="en-GB" w:eastAsia="en-US"/>
              </w:rPr>
              <w:t>[73]</w:t>
            </w:r>
          </w:p>
        </w:tc>
        <w:tc>
          <w:tcPr>
            <w:tcW w:w="574" w:type="pct"/>
            <w:tcBorders>
              <w:top w:val="single" w:sz="4" w:space="0" w:color="auto"/>
            </w:tcBorders>
            <w:shd w:val="clear" w:color="auto" w:fill="auto"/>
          </w:tcPr>
          <w:p w14:paraId="31A84DA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Chinese adult patients (1330)</w:t>
            </w:r>
          </w:p>
        </w:tc>
        <w:tc>
          <w:tcPr>
            <w:tcW w:w="1387" w:type="pct"/>
            <w:tcBorders>
              <w:top w:val="single" w:sz="4" w:space="0" w:color="auto"/>
            </w:tcBorders>
            <w:shd w:val="clear" w:color="auto" w:fill="auto"/>
          </w:tcPr>
          <w:p w14:paraId="20B7C38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IL-8-4073, IL-18RAP917997, IL-1Brs1143627, IL-1B rs1143634, IL-1Brs16944, IL-4Rrs2057768, IL-10rs1800896, IL-22rs1179251, IL-32rs2015620</w:t>
            </w:r>
          </w:p>
        </w:tc>
        <w:tc>
          <w:tcPr>
            <w:tcW w:w="527" w:type="pct"/>
            <w:tcBorders>
              <w:top w:val="single" w:sz="4" w:space="0" w:color="auto"/>
            </w:tcBorders>
            <w:shd w:val="clear" w:color="auto" w:fill="auto"/>
          </w:tcPr>
          <w:p w14:paraId="44D5E7C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ChAG risk</w:t>
            </w:r>
          </w:p>
          <w:p w14:paraId="5D2A1BF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risk</w:t>
            </w:r>
          </w:p>
          <w:p w14:paraId="33803FB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DYS risk</w:t>
            </w:r>
          </w:p>
          <w:p w14:paraId="5A19B0B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GC risk</w:t>
            </w:r>
          </w:p>
        </w:tc>
        <w:tc>
          <w:tcPr>
            <w:tcW w:w="574" w:type="pct"/>
            <w:tcBorders>
              <w:top w:val="single" w:sz="4" w:space="0" w:color="auto"/>
            </w:tcBorders>
          </w:tcPr>
          <w:p w14:paraId="269D36C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 xml:space="preserve">Age, sex, smoking status, </w:t>
            </w:r>
            <w:r w:rsidRPr="003771AE">
              <w:rPr>
                <w:rFonts w:ascii="Book Antiqua" w:eastAsia="Calibri" w:hAnsi="Book Antiqua" w:cs="Times New Roman"/>
                <w:i/>
                <w:kern w:val="0"/>
                <w:sz w:val="24"/>
                <w:szCs w:val="24"/>
                <w:lang w:val="en-GB" w:eastAsia="en-US"/>
              </w:rPr>
              <w:t xml:space="preserve">H. pylori </w:t>
            </w:r>
          </w:p>
        </w:tc>
        <w:tc>
          <w:tcPr>
            <w:tcW w:w="574" w:type="pct"/>
            <w:tcBorders>
              <w:top w:val="single" w:sz="4" w:space="0" w:color="auto"/>
            </w:tcBorders>
          </w:tcPr>
          <w:p w14:paraId="784AF8A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Stratification, adjustment</w:t>
            </w:r>
          </w:p>
        </w:tc>
        <w:tc>
          <w:tcPr>
            <w:tcW w:w="886" w:type="pct"/>
            <w:tcBorders>
              <w:top w:val="single" w:sz="4" w:space="0" w:color="auto"/>
            </w:tcBorders>
            <w:shd w:val="clear" w:color="auto" w:fill="auto"/>
          </w:tcPr>
          <w:p w14:paraId="6F33389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0B289B">
              <w:rPr>
                <w:rFonts w:ascii="Book Antiqua" w:eastAsia="Calibri" w:hAnsi="Book Antiqua" w:cs="Times New Roman"/>
                <w:i/>
                <w:iCs/>
                <w:kern w:val="0"/>
                <w:sz w:val="24"/>
                <w:szCs w:val="24"/>
                <w:lang w:val="en-GB" w:eastAsia="en-US"/>
              </w:rPr>
              <w:t>χ</w:t>
            </w:r>
            <w:r w:rsidRPr="000B289B">
              <w:rPr>
                <w:rFonts w:ascii="Book Antiqua" w:eastAsia="Calibri" w:hAnsi="Book Antiqua" w:cs="Times New Roman"/>
                <w:i/>
                <w:iCs/>
                <w:kern w:val="0"/>
                <w:sz w:val="24"/>
                <w:szCs w:val="24"/>
                <w:vertAlign w:val="superscript"/>
                <w:lang w:val="en-GB" w:eastAsia="en-US"/>
              </w:rPr>
              <w:t>2</w:t>
            </w:r>
            <w:r w:rsidRPr="003771AE">
              <w:rPr>
                <w:rFonts w:ascii="Book Antiqua" w:eastAsia="Calibri" w:hAnsi="Book Antiqua" w:cs="Times New Roman"/>
                <w:kern w:val="0"/>
                <w:sz w:val="24"/>
                <w:szCs w:val="24"/>
                <w:lang w:val="en-GB" w:eastAsia="en-US"/>
              </w:rPr>
              <w:t xml:space="preserve"> test, multivariable logistic model with interaction term, Synergy index</w:t>
            </w:r>
          </w:p>
        </w:tc>
      </w:tr>
      <w:tr w:rsidR="00823C5B" w:rsidRPr="003771AE" w14:paraId="358E30B0" w14:textId="77777777" w:rsidTr="00823C5B">
        <w:trPr>
          <w:trHeight w:val="776"/>
        </w:trPr>
        <w:tc>
          <w:tcPr>
            <w:tcW w:w="479" w:type="pct"/>
            <w:shd w:val="clear" w:color="auto" w:fill="auto"/>
          </w:tcPr>
          <w:p w14:paraId="329091CE" w14:textId="77777777" w:rsidR="0011105F" w:rsidRPr="00823C5B"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823C5B">
              <w:rPr>
                <w:rFonts w:ascii="Book Antiqua" w:eastAsia="Calibri" w:hAnsi="Book Antiqua" w:cs="Times New Roman"/>
                <w:kern w:val="0"/>
                <w:sz w:val="24"/>
                <w:szCs w:val="24"/>
                <w:lang w:val="en-GB" w:eastAsia="en-US"/>
              </w:rPr>
              <w:t>[75]</w:t>
            </w:r>
          </w:p>
        </w:tc>
        <w:tc>
          <w:tcPr>
            <w:tcW w:w="574" w:type="pct"/>
            <w:shd w:val="clear" w:color="auto" w:fill="auto"/>
          </w:tcPr>
          <w:p w14:paraId="6F36521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Slovenian adults (318)</w:t>
            </w:r>
          </w:p>
        </w:tc>
        <w:tc>
          <w:tcPr>
            <w:tcW w:w="1387" w:type="pct"/>
            <w:shd w:val="clear" w:color="auto" w:fill="auto"/>
          </w:tcPr>
          <w:p w14:paraId="11F9314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 xml:space="preserve">TNF-α -308, IL-1RN, </w:t>
            </w:r>
          </w:p>
          <w:p w14:paraId="1FE4255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IL-1B -511</w:t>
            </w:r>
          </w:p>
        </w:tc>
        <w:tc>
          <w:tcPr>
            <w:tcW w:w="527" w:type="pct"/>
            <w:shd w:val="clear" w:color="auto" w:fill="auto"/>
          </w:tcPr>
          <w:p w14:paraId="0E787AE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ChAG risk,</w:t>
            </w:r>
          </w:p>
          <w:p w14:paraId="3F10C28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GC risk</w:t>
            </w:r>
          </w:p>
        </w:tc>
        <w:tc>
          <w:tcPr>
            <w:tcW w:w="574" w:type="pct"/>
          </w:tcPr>
          <w:p w14:paraId="01033BC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Gender</w:t>
            </w:r>
          </w:p>
        </w:tc>
        <w:tc>
          <w:tcPr>
            <w:tcW w:w="574" w:type="pct"/>
          </w:tcPr>
          <w:p w14:paraId="7419753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Adjustment</w:t>
            </w:r>
          </w:p>
        </w:tc>
        <w:tc>
          <w:tcPr>
            <w:tcW w:w="886" w:type="pct"/>
            <w:shd w:val="clear" w:color="auto" w:fill="auto"/>
          </w:tcPr>
          <w:p w14:paraId="0FB1DD94" w14:textId="36DD22CB" w:rsidR="0011105F" w:rsidRPr="003771AE" w:rsidRDefault="000B289B"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0B289B">
              <w:rPr>
                <w:rFonts w:ascii="Book Antiqua" w:eastAsia="Calibri" w:hAnsi="Book Antiqua" w:cs="Times New Roman"/>
                <w:i/>
                <w:iCs/>
                <w:kern w:val="0"/>
                <w:sz w:val="24"/>
                <w:szCs w:val="24"/>
                <w:lang w:val="en-GB" w:eastAsia="en-US"/>
              </w:rPr>
              <w:t>χ</w:t>
            </w:r>
            <w:r w:rsidRPr="000B289B">
              <w:rPr>
                <w:rFonts w:ascii="Book Antiqua" w:eastAsia="Calibri" w:hAnsi="Book Antiqua" w:cs="Times New Roman"/>
                <w:i/>
                <w:iCs/>
                <w:kern w:val="0"/>
                <w:sz w:val="24"/>
                <w:szCs w:val="24"/>
                <w:vertAlign w:val="superscript"/>
                <w:lang w:val="en-GB" w:eastAsia="en-US"/>
              </w:rPr>
              <w:t>2</w:t>
            </w:r>
            <w:r w:rsidR="0011105F" w:rsidRPr="003771AE">
              <w:rPr>
                <w:rFonts w:ascii="Book Antiqua" w:eastAsia="Calibri" w:hAnsi="Book Antiqua" w:cs="Times New Roman"/>
                <w:kern w:val="0"/>
                <w:sz w:val="24"/>
                <w:szCs w:val="24"/>
                <w:lang w:val="en-GB" w:eastAsia="en-US"/>
              </w:rPr>
              <w:t xml:space="preserve"> test, Multivariable logistic model</w:t>
            </w:r>
          </w:p>
        </w:tc>
      </w:tr>
      <w:tr w:rsidR="00823C5B" w:rsidRPr="003771AE" w14:paraId="169E75D6" w14:textId="77777777" w:rsidTr="00823C5B">
        <w:trPr>
          <w:trHeight w:val="776"/>
        </w:trPr>
        <w:tc>
          <w:tcPr>
            <w:tcW w:w="479" w:type="pct"/>
            <w:shd w:val="clear" w:color="auto" w:fill="auto"/>
          </w:tcPr>
          <w:p w14:paraId="2AEE9313" w14:textId="77777777" w:rsidR="0011105F" w:rsidRPr="00823C5B"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823C5B">
              <w:rPr>
                <w:rFonts w:ascii="Book Antiqua" w:eastAsia="Calibri" w:hAnsi="Book Antiqua" w:cs="Times New Roman"/>
                <w:kern w:val="0"/>
                <w:sz w:val="24"/>
                <w:szCs w:val="24"/>
                <w:lang w:val="en-GB" w:eastAsia="en-US"/>
              </w:rPr>
              <w:t>[76]</w:t>
            </w:r>
          </w:p>
        </w:tc>
        <w:tc>
          <w:tcPr>
            <w:tcW w:w="574" w:type="pct"/>
            <w:shd w:val="clear" w:color="auto" w:fill="auto"/>
          </w:tcPr>
          <w:p w14:paraId="1D8D102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 xml:space="preserve">German older </w:t>
            </w:r>
          </w:p>
          <w:p w14:paraId="47B1704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adults (1068)</w:t>
            </w:r>
          </w:p>
        </w:tc>
        <w:tc>
          <w:tcPr>
            <w:tcW w:w="1387" w:type="pct"/>
            <w:shd w:val="clear" w:color="auto" w:fill="auto"/>
          </w:tcPr>
          <w:p w14:paraId="7D2C170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TNF-α -308, IL10T-819C, IL10A-1082G, IL1AC-889T, IL1B C-511T, IL1RN 9589T, IL8 T-251A</w:t>
            </w:r>
          </w:p>
        </w:tc>
        <w:tc>
          <w:tcPr>
            <w:tcW w:w="527" w:type="pct"/>
            <w:shd w:val="clear" w:color="auto" w:fill="auto"/>
          </w:tcPr>
          <w:p w14:paraId="1F7D125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ChAG risk</w:t>
            </w:r>
          </w:p>
        </w:tc>
        <w:tc>
          <w:tcPr>
            <w:tcW w:w="574" w:type="pct"/>
          </w:tcPr>
          <w:p w14:paraId="1C36159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Age, gender</w:t>
            </w:r>
          </w:p>
        </w:tc>
        <w:tc>
          <w:tcPr>
            <w:tcW w:w="574" w:type="pct"/>
          </w:tcPr>
          <w:p w14:paraId="61E6DDE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Adjustment</w:t>
            </w:r>
          </w:p>
        </w:tc>
        <w:tc>
          <w:tcPr>
            <w:tcW w:w="886" w:type="pct"/>
            <w:shd w:val="clear" w:color="auto" w:fill="auto"/>
          </w:tcPr>
          <w:p w14:paraId="70DAD80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Multivariable logistic model</w:t>
            </w:r>
          </w:p>
        </w:tc>
      </w:tr>
      <w:tr w:rsidR="00823C5B" w:rsidRPr="003771AE" w14:paraId="7D26D9F3" w14:textId="77777777" w:rsidTr="00823C5B">
        <w:trPr>
          <w:trHeight w:val="776"/>
        </w:trPr>
        <w:tc>
          <w:tcPr>
            <w:tcW w:w="479" w:type="pct"/>
            <w:shd w:val="clear" w:color="auto" w:fill="auto"/>
          </w:tcPr>
          <w:p w14:paraId="581B5ECB" w14:textId="77777777" w:rsidR="0011105F" w:rsidRPr="00823C5B"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823C5B">
              <w:rPr>
                <w:rFonts w:ascii="Book Antiqua" w:eastAsia="Calibri" w:hAnsi="Book Antiqua" w:cs="Times New Roman"/>
                <w:kern w:val="0"/>
                <w:sz w:val="24"/>
                <w:szCs w:val="24"/>
                <w:lang w:val="en-GB" w:eastAsia="en-US"/>
              </w:rPr>
              <w:t>[83]</w:t>
            </w:r>
          </w:p>
        </w:tc>
        <w:tc>
          <w:tcPr>
            <w:tcW w:w="574" w:type="pct"/>
            <w:shd w:val="clear" w:color="auto" w:fill="auto"/>
          </w:tcPr>
          <w:p w14:paraId="2D10799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Peruvian Amerindian adults (334)</w:t>
            </w:r>
          </w:p>
        </w:tc>
        <w:tc>
          <w:tcPr>
            <w:tcW w:w="1387" w:type="pct"/>
            <w:shd w:val="clear" w:color="auto" w:fill="auto"/>
          </w:tcPr>
          <w:p w14:paraId="6C15B2F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IL-1B-511, IL-1RN</w:t>
            </w:r>
          </w:p>
        </w:tc>
        <w:tc>
          <w:tcPr>
            <w:tcW w:w="527" w:type="pct"/>
            <w:shd w:val="clear" w:color="auto" w:fill="auto"/>
          </w:tcPr>
          <w:p w14:paraId="17801D3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ChAG risk</w:t>
            </w:r>
          </w:p>
          <w:p w14:paraId="28ED1B7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GCrisk</w:t>
            </w:r>
          </w:p>
        </w:tc>
        <w:tc>
          <w:tcPr>
            <w:tcW w:w="574" w:type="pct"/>
          </w:tcPr>
          <w:p w14:paraId="2B42D02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Age, gender,</w:t>
            </w:r>
          </w:p>
          <w:p w14:paraId="3D38966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i/>
                <w:kern w:val="0"/>
                <w:sz w:val="24"/>
                <w:szCs w:val="24"/>
                <w:lang w:val="en-GB" w:eastAsia="en-US"/>
              </w:rPr>
            </w:pPr>
            <w:r w:rsidRPr="003771AE">
              <w:rPr>
                <w:rFonts w:ascii="Book Antiqua" w:eastAsia="Calibri" w:hAnsi="Book Antiqua" w:cs="Times New Roman"/>
                <w:i/>
                <w:kern w:val="0"/>
                <w:sz w:val="24"/>
                <w:szCs w:val="24"/>
                <w:lang w:val="en-GB" w:eastAsia="en-US"/>
              </w:rPr>
              <w:t>H. pylori</w:t>
            </w:r>
          </w:p>
        </w:tc>
        <w:tc>
          <w:tcPr>
            <w:tcW w:w="574" w:type="pct"/>
          </w:tcPr>
          <w:p w14:paraId="3EEDC6C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Adjustment</w:t>
            </w:r>
          </w:p>
        </w:tc>
        <w:tc>
          <w:tcPr>
            <w:tcW w:w="886" w:type="pct"/>
            <w:shd w:val="clear" w:color="auto" w:fill="auto"/>
          </w:tcPr>
          <w:p w14:paraId="42EF9B55" w14:textId="1A06CCD7" w:rsidR="0011105F" w:rsidRPr="003771AE" w:rsidRDefault="000B289B"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0B289B">
              <w:rPr>
                <w:rFonts w:ascii="Book Antiqua" w:eastAsia="Calibri" w:hAnsi="Book Antiqua" w:cs="Times New Roman"/>
                <w:i/>
                <w:iCs/>
                <w:kern w:val="0"/>
                <w:sz w:val="24"/>
                <w:szCs w:val="24"/>
                <w:lang w:val="en-GB" w:eastAsia="en-US"/>
              </w:rPr>
              <w:t>χ</w:t>
            </w:r>
            <w:r w:rsidRPr="000B289B">
              <w:rPr>
                <w:rFonts w:ascii="Book Antiqua" w:eastAsia="Calibri" w:hAnsi="Book Antiqua" w:cs="Times New Roman"/>
                <w:i/>
                <w:iCs/>
                <w:kern w:val="0"/>
                <w:sz w:val="24"/>
                <w:szCs w:val="24"/>
                <w:vertAlign w:val="superscript"/>
                <w:lang w:val="en-GB" w:eastAsia="en-US"/>
              </w:rPr>
              <w:t>2</w:t>
            </w:r>
            <w:r w:rsidR="0011105F" w:rsidRPr="003771AE">
              <w:rPr>
                <w:rFonts w:ascii="Book Antiqua" w:eastAsia="Calibri" w:hAnsi="Book Antiqua" w:cs="Times New Roman"/>
                <w:kern w:val="0"/>
                <w:sz w:val="24"/>
                <w:szCs w:val="24"/>
                <w:lang w:val="en-GB" w:eastAsia="en-US"/>
              </w:rPr>
              <w:t xml:space="preserve"> test/Fisher’s exact test, multivariable logistic model</w:t>
            </w:r>
          </w:p>
        </w:tc>
      </w:tr>
      <w:tr w:rsidR="00823C5B" w:rsidRPr="003771AE" w14:paraId="0325D90C" w14:textId="77777777" w:rsidTr="00823C5B">
        <w:trPr>
          <w:trHeight w:val="776"/>
        </w:trPr>
        <w:tc>
          <w:tcPr>
            <w:tcW w:w="479" w:type="pct"/>
            <w:shd w:val="clear" w:color="auto" w:fill="auto"/>
          </w:tcPr>
          <w:p w14:paraId="568449D2" w14:textId="77777777" w:rsidR="0011105F" w:rsidRPr="00823C5B"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823C5B">
              <w:rPr>
                <w:rFonts w:ascii="Book Antiqua" w:eastAsia="Calibri" w:hAnsi="Book Antiqua" w:cs="Times New Roman"/>
                <w:kern w:val="0"/>
                <w:sz w:val="24"/>
                <w:szCs w:val="24"/>
                <w:lang w:val="en-GB" w:eastAsia="en-US"/>
              </w:rPr>
              <w:t>[84]</w:t>
            </w:r>
          </w:p>
        </w:tc>
        <w:tc>
          <w:tcPr>
            <w:tcW w:w="574" w:type="pct"/>
            <w:shd w:val="clear" w:color="auto" w:fill="auto"/>
          </w:tcPr>
          <w:p w14:paraId="2C10D19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Venezuelan adults (109)</w:t>
            </w:r>
          </w:p>
        </w:tc>
        <w:tc>
          <w:tcPr>
            <w:tcW w:w="1387" w:type="pct"/>
            <w:shd w:val="clear" w:color="auto" w:fill="auto"/>
          </w:tcPr>
          <w:p w14:paraId="1C45283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 xml:space="preserve">IL-1B-31, IL-1B-511, IL-1B+13954, </w:t>
            </w:r>
          </w:p>
          <w:p w14:paraId="242536E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IL-1RN</w:t>
            </w:r>
          </w:p>
        </w:tc>
        <w:tc>
          <w:tcPr>
            <w:tcW w:w="527" w:type="pct"/>
            <w:shd w:val="clear" w:color="auto" w:fill="auto"/>
          </w:tcPr>
          <w:p w14:paraId="42B7083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ChAG risk</w:t>
            </w:r>
          </w:p>
          <w:p w14:paraId="02C3F65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GI risk</w:t>
            </w:r>
          </w:p>
          <w:p w14:paraId="32CE037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LI risk</w:t>
            </w:r>
          </w:p>
        </w:tc>
        <w:tc>
          <w:tcPr>
            <w:tcW w:w="574" w:type="pct"/>
          </w:tcPr>
          <w:p w14:paraId="24684F0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i/>
                <w:kern w:val="0"/>
                <w:sz w:val="24"/>
                <w:szCs w:val="24"/>
                <w:lang w:val="en-GB" w:eastAsia="en-US"/>
              </w:rPr>
            </w:pPr>
            <w:r w:rsidRPr="003771AE">
              <w:rPr>
                <w:rFonts w:ascii="Book Antiqua" w:eastAsia="Calibri" w:hAnsi="Book Antiqua" w:cs="Times New Roman"/>
                <w:i/>
                <w:kern w:val="0"/>
                <w:sz w:val="24"/>
                <w:szCs w:val="24"/>
                <w:lang w:val="en-GB" w:eastAsia="en-US"/>
              </w:rPr>
              <w:t>H. pylori</w:t>
            </w:r>
          </w:p>
        </w:tc>
        <w:tc>
          <w:tcPr>
            <w:tcW w:w="574" w:type="pct"/>
          </w:tcPr>
          <w:p w14:paraId="50AD1CC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Adjustment</w:t>
            </w:r>
          </w:p>
        </w:tc>
        <w:tc>
          <w:tcPr>
            <w:tcW w:w="886" w:type="pct"/>
            <w:shd w:val="clear" w:color="auto" w:fill="auto"/>
          </w:tcPr>
          <w:p w14:paraId="1C36F370" w14:textId="4D992D2E" w:rsidR="0011105F" w:rsidRPr="003771AE" w:rsidRDefault="000B289B"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0B289B">
              <w:rPr>
                <w:rFonts w:ascii="Book Antiqua" w:eastAsia="Calibri" w:hAnsi="Book Antiqua" w:cs="Times New Roman"/>
                <w:i/>
                <w:iCs/>
                <w:kern w:val="0"/>
                <w:sz w:val="24"/>
                <w:szCs w:val="24"/>
                <w:lang w:val="en-GB" w:eastAsia="en-US"/>
              </w:rPr>
              <w:t>χ</w:t>
            </w:r>
            <w:r w:rsidRPr="000B289B">
              <w:rPr>
                <w:rFonts w:ascii="Book Antiqua" w:eastAsia="Calibri" w:hAnsi="Book Antiqua" w:cs="Times New Roman"/>
                <w:i/>
                <w:iCs/>
                <w:kern w:val="0"/>
                <w:sz w:val="24"/>
                <w:szCs w:val="24"/>
                <w:vertAlign w:val="superscript"/>
                <w:lang w:val="en-GB" w:eastAsia="en-US"/>
              </w:rPr>
              <w:t>2</w:t>
            </w:r>
            <w:r w:rsidR="0011105F" w:rsidRPr="003771AE">
              <w:rPr>
                <w:rFonts w:ascii="Book Antiqua" w:eastAsia="Calibri" w:hAnsi="Book Antiqua" w:cs="Times New Roman"/>
                <w:kern w:val="0"/>
                <w:sz w:val="24"/>
                <w:szCs w:val="24"/>
                <w:lang w:val="en-GB" w:eastAsia="en-US"/>
              </w:rPr>
              <w:t xml:space="preserve"> test/Fisher’s exact test, univariable logistic model</w:t>
            </w:r>
          </w:p>
        </w:tc>
      </w:tr>
      <w:tr w:rsidR="00823C5B" w:rsidRPr="003771AE" w14:paraId="3193A2D8" w14:textId="77777777" w:rsidTr="00823C5B">
        <w:trPr>
          <w:trHeight w:val="776"/>
        </w:trPr>
        <w:tc>
          <w:tcPr>
            <w:tcW w:w="479" w:type="pct"/>
            <w:shd w:val="clear" w:color="auto" w:fill="auto"/>
          </w:tcPr>
          <w:p w14:paraId="5E044E2A" w14:textId="77777777" w:rsidR="0011105F" w:rsidRPr="00823C5B"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823C5B">
              <w:rPr>
                <w:rFonts w:ascii="Book Antiqua" w:eastAsia="Calibri" w:hAnsi="Book Antiqua" w:cs="Times New Roman"/>
                <w:kern w:val="0"/>
                <w:sz w:val="24"/>
                <w:szCs w:val="24"/>
                <w:lang w:val="en-GB" w:eastAsia="en-US"/>
              </w:rPr>
              <w:t>[87]</w:t>
            </w:r>
          </w:p>
        </w:tc>
        <w:tc>
          <w:tcPr>
            <w:tcW w:w="574" w:type="pct"/>
            <w:shd w:val="clear" w:color="auto" w:fill="auto"/>
          </w:tcPr>
          <w:p w14:paraId="663792E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Costa Rican</w:t>
            </w:r>
          </w:p>
          <w:p w14:paraId="7D0C6DA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adults (223)</w:t>
            </w:r>
          </w:p>
        </w:tc>
        <w:tc>
          <w:tcPr>
            <w:tcW w:w="1387" w:type="pct"/>
            <w:shd w:val="clear" w:color="auto" w:fill="auto"/>
          </w:tcPr>
          <w:p w14:paraId="60D6AA07" w14:textId="77777777" w:rsidR="0011105F" w:rsidRPr="003771AE" w:rsidRDefault="0011105F" w:rsidP="00F17106">
            <w:pPr>
              <w:widowControl/>
              <w:autoSpaceDE w:val="0"/>
              <w:autoSpaceDN w:val="0"/>
              <w:adjustRightInd w:val="0"/>
              <w:snapToGrid w:val="0"/>
              <w:spacing w:line="360" w:lineRule="auto"/>
              <w:rPr>
                <w:rFonts w:ascii="Book Antiqua" w:eastAsia="等线"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IL-1β-511, IL-1β-</w:t>
            </w:r>
            <w:r w:rsidRPr="003771AE">
              <w:rPr>
                <w:rFonts w:ascii="Book Antiqua" w:eastAsia="等线" w:hAnsi="Book Antiqua" w:cs="Times New Roman"/>
                <w:kern w:val="0"/>
                <w:sz w:val="24"/>
                <w:szCs w:val="24"/>
                <w:lang w:val="en-GB" w:eastAsia="en-US"/>
              </w:rPr>
              <w:t>3954, IL-1RN intron 2, IL-10 -1082, IL-10 -592</w:t>
            </w:r>
          </w:p>
          <w:p w14:paraId="2645C82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527" w:type="pct"/>
            <w:shd w:val="clear" w:color="auto" w:fill="auto"/>
          </w:tcPr>
          <w:p w14:paraId="5E1C527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 risk</w:t>
            </w:r>
          </w:p>
          <w:p w14:paraId="7F937D7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CoAG risk</w:t>
            </w:r>
          </w:p>
          <w:p w14:paraId="5840EB7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risk</w:t>
            </w:r>
          </w:p>
        </w:tc>
        <w:tc>
          <w:tcPr>
            <w:tcW w:w="574" w:type="pct"/>
          </w:tcPr>
          <w:p w14:paraId="4D96E92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 xml:space="preserve">Sex, age, </w:t>
            </w:r>
            <w:r w:rsidRPr="003771AE">
              <w:rPr>
                <w:rFonts w:ascii="Book Antiqua" w:eastAsia="Calibri" w:hAnsi="Book Antiqua" w:cs="Times New Roman"/>
                <w:i/>
                <w:kern w:val="0"/>
                <w:sz w:val="24"/>
                <w:szCs w:val="24"/>
                <w:lang w:val="en-GB" w:eastAsia="en-US"/>
              </w:rPr>
              <w:t>H. pylori</w:t>
            </w:r>
          </w:p>
        </w:tc>
        <w:tc>
          <w:tcPr>
            <w:tcW w:w="574" w:type="pct"/>
          </w:tcPr>
          <w:p w14:paraId="317BA01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Adjustment</w:t>
            </w:r>
          </w:p>
        </w:tc>
        <w:tc>
          <w:tcPr>
            <w:tcW w:w="886" w:type="pct"/>
            <w:shd w:val="clear" w:color="auto" w:fill="auto"/>
          </w:tcPr>
          <w:p w14:paraId="6EB85B4E" w14:textId="75E28F2F" w:rsidR="0011105F" w:rsidRPr="003771AE" w:rsidRDefault="000B289B"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0B289B">
              <w:rPr>
                <w:rFonts w:ascii="Book Antiqua" w:eastAsia="Calibri" w:hAnsi="Book Antiqua" w:cs="Times New Roman"/>
                <w:i/>
                <w:iCs/>
                <w:kern w:val="0"/>
                <w:sz w:val="24"/>
                <w:szCs w:val="24"/>
                <w:lang w:val="en-GB" w:eastAsia="en-US"/>
              </w:rPr>
              <w:t>χ</w:t>
            </w:r>
            <w:r w:rsidRPr="000B289B">
              <w:rPr>
                <w:rFonts w:ascii="Book Antiqua" w:eastAsia="Calibri" w:hAnsi="Book Antiqua" w:cs="Times New Roman"/>
                <w:i/>
                <w:iCs/>
                <w:kern w:val="0"/>
                <w:sz w:val="24"/>
                <w:szCs w:val="24"/>
                <w:vertAlign w:val="superscript"/>
                <w:lang w:val="en-GB" w:eastAsia="en-US"/>
              </w:rPr>
              <w:t>2</w:t>
            </w:r>
            <w:r w:rsidR="0011105F" w:rsidRPr="003771AE">
              <w:rPr>
                <w:rFonts w:ascii="Book Antiqua" w:eastAsia="Calibri" w:hAnsi="Book Antiqua" w:cs="Times New Roman"/>
                <w:kern w:val="0"/>
                <w:sz w:val="24"/>
                <w:szCs w:val="24"/>
                <w:lang w:val="en-GB" w:eastAsia="en-US"/>
              </w:rPr>
              <w:t xml:space="preserve"> test/Fisher’s exact test, multivariable logistic model</w:t>
            </w:r>
          </w:p>
        </w:tc>
      </w:tr>
      <w:tr w:rsidR="00823C5B" w:rsidRPr="003771AE" w14:paraId="6A9B64B4" w14:textId="77777777" w:rsidTr="00823C5B">
        <w:trPr>
          <w:trHeight w:val="776"/>
        </w:trPr>
        <w:tc>
          <w:tcPr>
            <w:tcW w:w="479" w:type="pct"/>
            <w:shd w:val="clear" w:color="auto" w:fill="auto"/>
          </w:tcPr>
          <w:p w14:paraId="07DAF457" w14:textId="77777777" w:rsidR="0011105F" w:rsidRPr="00823C5B"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823C5B">
              <w:rPr>
                <w:rFonts w:ascii="Book Antiqua" w:eastAsia="Calibri" w:hAnsi="Book Antiqua" w:cs="Times New Roman"/>
                <w:kern w:val="0"/>
                <w:sz w:val="24"/>
                <w:szCs w:val="24"/>
                <w:lang w:val="en-GB" w:eastAsia="en-US"/>
              </w:rPr>
              <w:t>[96]</w:t>
            </w:r>
          </w:p>
        </w:tc>
        <w:tc>
          <w:tcPr>
            <w:tcW w:w="574" w:type="pct"/>
            <w:shd w:val="clear" w:color="auto" w:fill="auto"/>
          </w:tcPr>
          <w:p w14:paraId="75DC661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Venezuelan adults (2033)</w:t>
            </w:r>
          </w:p>
        </w:tc>
        <w:tc>
          <w:tcPr>
            <w:tcW w:w="1387" w:type="pct"/>
            <w:shd w:val="clear" w:color="auto" w:fill="auto"/>
          </w:tcPr>
          <w:p w14:paraId="2345CBA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IL4 –590, IL4R -3223,</w:t>
            </w:r>
          </w:p>
          <w:p w14:paraId="47A1FE1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IL4R -398, IL10 –1082</w:t>
            </w:r>
          </w:p>
        </w:tc>
        <w:tc>
          <w:tcPr>
            <w:tcW w:w="527" w:type="pct"/>
            <w:shd w:val="clear" w:color="auto" w:fill="auto"/>
          </w:tcPr>
          <w:p w14:paraId="2C9E667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 risk</w:t>
            </w:r>
          </w:p>
          <w:p w14:paraId="53CDCB7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risk</w:t>
            </w:r>
          </w:p>
          <w:p w14:paraId="1903146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DYS risk</w:t>
            </w:r>
          </w:p>
        </w:tc>
        <w:tc>
          <w:tcPr>
            <w:tcW w:w="574" w:type="pct"/>
          </w:tcPr>
          <w:p w14:paraId="2631B50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 xml:space="preserve">Age, sex, </w:t>
            </w:r>
            <w:r w:rsidRPr="003771AE">
              <w:rPr>
                <w:rFonts w:ascii="Book Antiqua" w:eastAsia="Calibri" w:hAnsi="Book Antiqua" w:cs="Times New Roman"/>
                <w:i/>
                <w:kern w:val="0"/>
                <w:sz w:val="24"/>
                <w:szCs w:val="24"/>
                <w:lang w:val="en-GB" w:eastAsia="en-US"/>
              </w:rPr>
              <w:t xml:space="preserve">H. pylori, </w:t>
            </w:r>
            <w:r w:rsidRPr="003771AE">
              <w:rPr>
                <w:rFonts w:ascii="Book Antiqua" w:eastAsia="Calibri" w:hAnsi="Book Antiqua" w:cs="Times New Roman"/>
                <w:kern w:val="0"/>
                <w:sz w:val="24"/>
                <w:szCs w:val="24"/>
                <w:lang w:val="en-GB" w:eastAsia="en-US"/>
              </w:rPr>
              <w:t>education, environmental factors</w:t>
            </w:r>
          </w:p>
        </w:tc>
        <w:tc>
          <w:tcPr>
            <w:tcW w:w="574" w:type="pct"/>
          </w:tcPr>
          <w:p w14:paraId="5BFA23E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Adjustment</w:t>
            </w:r>
          </w:p>
        </w:tc>
        <w:tc>
          <w:tcPr>
            <w:tcW w:w="886" w:type="pct"/>
            <w:shd w:val="clear" w:color="auto" w:fill="auto"/>
          </w:tcPr>
          <w:p w14:paraId="263F6F3E" w14:textId="6ED2B766" w:rsidR="0011105F" w:rsidRPr="003771AE" w:rsidRDefault="000B289B"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0B289B">
              <w:rPr>
                <w:rFonts w:ascii="Book Antiqua" w:eastAsia="Calibri" w:hAnsi="Book Antiqua" w:cs="Times New Roman"/>
                <w:i/>
                <w:iCs/>
                <w:kern w:val="0"/>
                <w:sz w:val="24"/>
                <w:szCs w:val="24"/>
                <w:lang w:val="en-GB" w:eastAsia="en-US"/>
              </w:rPr>
              <w:t>χ</w:t>
            </w:r>
            <w:r w:rsidRPr="000B289B">
              <w:rPr>
                <w:rFonts w:ascii="Book Antiqua" w:eastAsia="Calibri" w:hAnsi="Book Antiqua" w:cs="Times New Roman"/>
                <w:i/>
                <w:iCs/>
                <w:kern w:val="0"/>
                <w:sz w:val="24"/>
                <w:szCs w:val="24"/>
                <w:vertAlign w:val="superscript"/>
                <w:lang w:val="en-GB" w:eastAsia="en-US"/>
              </w:rPr>
              <w:t>2</w:t>
            </w:r>
            <w:r w:rsidR="0011105F" w:rsidRPr="003771AE">
              <w:rPr>
                <w:rFonts w:ascii="Book Antiqua" w:eastAsia="Calibri" w:hAnsi="Book Antiqua" w:cs="Times New Roman"/>
                <w:kern w:val="0"/>
                <w:sz w:val="24"/>
                <w:szCs w:val="24"/>
                <w:lang w:val="en-GB" w:eastAsia="en-US"/>
              </w:rPr>
              <w:t xml:space="preserve"> test/Fisher’s exact test, multivariable logistic model</w:t>
            </w:r>
          </w:p>
        </w:tc>
      </w:tr>
      <w:tr w:rsidR="00823C5B" w:rsidRPr="003771AE" w14:paraId="4E42359D" w14:textId="77777777" w:rsidTr="00823C5B">
        <w:trPr>
          <w:trHeight w:val="688"/>
        </w:trPr>
        <w:tc>
          <w:tcPr>
            <w:tcW w:w="479" w:type="pct"/>
            <w:shd w:val="clear" w:color="auto" w:fill="auto"/>
          </w:tcPr>
          <w:p w14:paraId="66733CA8" w14:textId="77777777" w:rsidR="0011105F" w:rsidRPr="00823C5B"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823C5B">
              <w:rPr>
                <w:rFonts w:ascii="Book Antiqua" w:eastAsia="Calibri" w:hAnsi="Book Antiqua" w:cs="Times New Roman"/>
                <w:kern w:val="0"/>
                <w:sz w:val="24"/>
                <w:szCs w:val="24"/>
                <w:lang w:val="en-GB" w:eastAsia="en-US"/>
              </w:rPr>
              <w:t>[101]</w:t>
            </w:r>
          </w:p>
        </w:tc>
        <w:tc>
          <w:tcPr>
            <w:tcW w:w="574" w:type="pct"/>
            <w:shd w:val="clear" w:color="auto" w:fill="auto"/>
          </w:tcPr>
          <w:p w14:paraId="6DEAEF1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Brazilian adults (112)</w:t>
            </w:r>
          </w:p>
        </w:tc>
        <w:tc>
          <w:tcPr>
            <w:tcW w:w="1387" w:type="pct"/>
            <w:shd w:val="clear" w:color="auto" w:fill="auto"/>
          </w:tcPr>
          <w:p w14:paraId="68E435E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IL-6</w:t>
            </w:r>
          </w:p>
        </w:tc>
        <w:tc>
          <w:tcPr>
            <w:tcW w:w="527" w:type="pct"/>
            <w:shd w:val="clear" w:color="auto" w:fill="auto"/>
          </w:tcPr>
          <w:p w14:paraId="15F5B1D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vertAlign w:val="superscript"/>
                <w:lang w:val="en-GB" w:eastAsia="en-US"/>
              </w:rPr>
            </w:pPr>
            <w:r w:rsidRPr="003771AE">
              <w:rPr>
                <w:rFonts w:ascii="Book Antiqua" w:eastAsia="Calibri" w:hAnsi="Book Antiqua" w:cs="Times New Roman"/>
                <w:kern w:val="0"/>
                <w:sz w:val="24"/>
                <w:szCs w:val="24"/>
                <w:lang w:val="en-GB" w:eastAsia="en-US"/>
              </w:rPr>
              <w:t>ChG</w:t>
            </w:r>
          </w:p>
          <w:p w14:paraId="0DB38E4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 xml:space="preserve">GC </w:t>
            </w:r>
          </w:p>
        </w:tc>
        <w:tc>
          <w:tcPr>
            <w:tcW w:w="574" w:type="pct"/>
          </w:tcPr>
          <w:p w14:paraId="3C65C3C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None</w:t>
            </w:r>
          </w:p>
        </w:tc>
        <w:tc>
          <w:tcPr>
            <w:tcW w:w="574" w:type="pct"/>
          </w:tcPr>
          <w:p w14:paraId="2713C96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None</w:t>
            </w:r>
          </w:p>
        </w:tc>
        <w:tc>
          <w:tcPr>
            <w:tcW w:w="886" w:type="pct"/>
            <w:shd w:val="clear" w:color="auto" w:fill="auto"/>
          </w:tcPr>
          <w:p w14:paraId="3D21A19F" w14:textId="43361B84" w:rsidR="0011105F" w:rsidRPr="003771AE" w:rsidRDefault="000B289B"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0B289B">
              <w:rPr>
                <w:rFonts w:ascii="Book Antiqua" w:eastAsia="Calibri" w:hAnsi="Book Antiqua" w:cs="Times New Roman"/>
                <w:i/>
                <w:iCs/>
                <w:kern w:val="0"/>
                <w:sz w:val="24"/>
                <w:szCs w:val="24"/>
                <w:lang w:val="en-GB" w:eastAsia="en-US"/>
              </w:rPr>
              <w:t>χ</w:t>
            </w:r>
            <w:r w:rsidRPr="000B289B">
              <w:rPr>
                <w:rFonts w:ascii="Book Antiqua" w:eastAsia="Calibri" w:hAnsi="Book Antiqua" w:cs="Times New Roman"/>
                <w:i/>
                <w:iCs/>
                <w:kern w:val="0"/>
                <w:sz w:val="24"/>
                <w:szCs w:val="24"/>
                <w:vertAlign w:val="superscript"/>
                <w:lang w:val="en-GB" w:eastAsia="en-US"/>
              </w:rPr>
              <w:t>2</w:t>
            </w:r>
            <w:r w:rsidR="0011105F" w:rsidRPr="003771AE">
              <w:rPr>
                <w:rFonts w:ascii="Book Antiqua" w:eastAsia="Calibri" w:hAnsi="Book Antiqua" w:cs="Times New Roman"/>
                <w:kern w:val="0"/>
                <w:sz w:val="24"/>
                <w:szCs w:val="24"/>
                <w:lang w:val="en-GB" w:eastAsia="en-US"/>
              </w:rPr>
              <w:t xml:space="preserve"> test/Fisher’s exact test</w:t>
            </w:r>
          </w:p>
        </w:tc>
      </w:tr>
      <w:tr w:rsidR="00823C5B" w:rsidRPr="003771AE" w14:paraId="07B586E7" w14:textId="77777777" w:rsidTr="00823C5B">
        <w:trPr>
          <w:trHeight w:val="1182"/>
        </w:trPr>
        <w:tc>
          <w:tcPr>
            <w:tcW w:w="479" w:type="pct"/>
            <w:shd w:val="clear" w:color="auto" w:fill="auto"/>
          </w:tcPr>
          <w:p w14:paraId="5D0FB49B" w14:textId="77777777" w:rsidR="0011105F" w:rsidRPr="00823C5B"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823C5B">
              <w:rPr>
                <w:rFonts w:ascii="Book Antiqua" w:eastAsia="Calibri" w:hAnsi="Book Antiqua" w:cs="Times New Roman"/>
                <w:kern w:val="0"/>
                <w:sz w:val="24"/>
                <w:szCs w:val="24"/>
                <w:lang w:val="en-GB" w:eastAsia="en-US"/>
              </w:rPr>
              <w:t>[102]</w:t>
            </w:r>
          </w:p>
        </w:tc>
        <w:tc>
          <w:tcPr>
            <w:tcW w:w="574" w:type="pct"/>
            <w:shd w:val="clear" w:color="auto" w:fill="auto"/>
          </w:tcPr>
          <w:p w14:paraId="3E907FB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Japanese adults (863)</w:t>
            </w:r>
          </w:p>
        </w:tc>
        <w:tc>
          <w:tcPr>
            <w:tcW w:w="1387" w:type="pct"/>
            <w:shd w:val="clear" w:color="auto" w:fill="auto"/>
          </w:tcPr>
          <w:p w14:paraId="48806E6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IL-8 -251, IL-1B -511, IL-1RN</w:t>
            </w:r>
          </w:p>
        </w:tc>
        <w:tc>
          <w:tcPr>
            <w:tcW w:w="527" w:type="pct"/>
            <w:shd w:val="clear" w:color="auto" w:fill="auto"/>
          </w:tcPr>
          <w:p w14:paraId="0218B7A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w:t>
            </w:r>
          </w:p>
          <w:p w14:paraId="094AE8D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GC</w:t>
            </w:r>
          </w:p>
        </w:tc>
        <w:tc>
          <w:tcPr>
            <w:tcW w:w="574" w:type="pct"/>
          </w:tcPr>
          <w:p w14:paraId="19D2A7F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 xml:space="preserve">Age, sex, </w:t>
            </w:r>
            <w:r w:rsidRPr="003771AE">
              <w:rPr>
                <w:rFonts w:ascii="Book Antiqua" w:eastAsia="Calibri" w:hAnsi="Book Antiqua" w:cs="Times New Roman"/>
                <w:i/>
                <w:kern w:val="0"/>
                <w:sz w:val="24"/>
                <w:szCs w:val="24"/>
                <w:lang w:val="en-GB" w:eastAsia="en-US"/>
              </w:rPr>
              <w:t>H. pylori</w:t>
            </w:r>
          </w:p>
        </w:tc>
        <w:tc>
          <w:tcPr>
            <w:tcW w:w="574" w:type="pct"/>
          </w:tcPr>
          <w:p w14:paraId="418394B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Adjustment</w:t>
            </w:r>
          </w:p>
        </w:tc>
        <w:tc>
          <w:tcPr>
            <w:tcW w:w="886" w:type="pct"/>
            <w:shd w:val="clear" w:color="auto" w:fill="auto"/>
          </w:tcPr>
          <w:p w14:paraId="6FED8FE0" w14:textId="2ABA88E5" w:rsidR="0011105F" w:rsidRPr="003771AE" w:rsidRDefault="000B289B"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0B289B">
              <w:rPr>
                <w:rFonts w:ascii="Book Antiqua" w:eastAsia="Calibri" w:hAnsi="Book Antiqua" w:cs="Times New Roman"/>
                <w:i/>
                <w:iCs/>
                <w:kern w:val="0"/>
                <w:sz w:val="24"/>
                <w:szCs w:val="24"/>
                <w:lang w:val="en-GB" w:eastAsia="en-US"/>
              </w:rPr>
              <w:t>χ</w:t>
            </w:r>
            <w:r w:rsidRPr="000B289B">
              <w:rPr>
                <w:rFonts w:ascii="Book Antiqua" w:eastAsia="Calibri" w:hAnsi="Book Antiqua" w:cs="Times New Roman"/>
                <w:i/>
                <w:iCs/>
                <w:kern w:val="0"/>
                <w:sz w:val="24"/>
                <w:szCs w:val="24"/>
                <w:vertAlign w:val="superscript"/>
                <w:lang w:val="en-GB" w:eastAsia="en-US"/>
              </w:rPr>
              <w:t>2</w:t>
            </w:r>
            <w:r w:rsidR="0011105F" w:rsidRPr="003771AE">
              <w:rPr>
                <w:rFonts w:ascii="Book Antiqua" w:eastAsia="Calibri" w:hAnsi="Book Antiqua" w:cs="Times New Roman"/>
                <w:kern w:val="0"/>
                <w:sz w:val="24"/>
                <w:szCs w:val="24"/>
                <w:lang w:val="en-GB" w:eastAsia="en-US"/>
              </w:rPr>
              <w:t xml:space="preserve"> test/Fisher’s exact test, multivariable logistic model  </w:t>
            </w:r>
          </w:p>
        </w:tc>
      </w:tr>
      <w:tr w:rsidR="00823C5B" w:rsidRPr="003771AE" w14:paraId="5DBE87C1" w14:textId="77777777" w:rsidTr="00823C5B">
        <w:trPr>
          <w:trHeight w:val="1182"/>
        </w:trPr>
        <w:tc>
          <w:tcPr>
            <w:tcW w:w="479" w:type="pct"/>
            <w:shd w:val="clear" w:color="auto" w:fill="auto"/>
          </w:tcPr>
          <w:p w14:paraId="5A050F94" w14:textId="77777777" w:rsidR="0011105F" w:rsidRPr="00823C5B"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823C5B">
              <w:rPr>
                <w:rFonts w:ascii="Book Antiqua" w:eastAsia="Calibri" w:hAnsi="Book Antiqua" w:cs="Times New Roman"/>
                <w:kern w:val="0"/>
                <w:sz w:val="24"/>
                <w:szCs w:val="24"/>
                <w:lang w:val="en-GB" w:eastAsia="en-US"/>
              </w:rPr>
              <w:t>[103]</w:t>
            </w:r>
          </w:p>
        </w:tc>
        <w:tc>
          <w:tcPr>
            <w:tcW w:w="574" w:type="pct"/>
            <w:shd w:val="clear" w:color="auto" w:fill="auto"/>
          </w:tcPr>
          <w:p w14:paraId="0F337B6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Chinese adults</w:t>
            </w:r>
          </w:p>
          <w:p w14:paraId="4512FC8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(372)</w:t>
            </w:r>
          </w:p>
        </w:tc>
        <w:tc>
          <w:tcPr>
            <w:tcW w:w="1387" w:type="pct"/>
            <w:shd w:val="clear" w:color="auto" w:fill="auto"/>
          </w:tcPr>
          <w:p w14:paraId="046FCC6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IL-8-251</w:t>
            </w:r>
          </w:p>
        </w:tc>
        <w:tc>
          <w:tcPr>
            <w:tcW w:w="527" w:type="pct"/>
            <w:shd w:val="clear" w:color="auto" w:fill="auto"/>
          </w:tcPr>
          <w:p w14:paraId="50002AD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Severe ChAG risk</w:t>
            </w:r>
          </w:p>
          <w:p w14:paraId="3179054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risk</w:t>
            </w:r>
          </w:p>
        </w:tc>
        <w:tc>
          <w:tcPr>
            <w:tcW w:w="574" w:type="pct"/>
          </w:tcPr>
          <w:p w14:paraId="0ACD2A7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Age, gender</w:t>
            </w:r>
          </w:p>
        </w:tc>
        <w:tc>
          <w:tcPr>
            <w:tcW w:w="574" w:type="pct"/>
          </w:tcPr>
          <w:p w14:paraId="7BE3331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Stratification, adjustment</w:t>
            </w:r>
          </w:p>
        </w:tc>
        <w:tc>
          <w:tcPr>
            <w:tcW w:w="886" w:type="pct"/>
            <w:shd w:val="clear" w:color="auto" w:fill="auto"/>
          </w:tcPr>
          <w:p w14:paraId="562B7F46" w14:textId="31FFFEAA" w:rsidR="0011105F" w:rsidRPr="003771AE" w:rsidRDefault="000B289B"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0B289B">
              <w:rPr>
                <w:rFonts w:ascii="Book Antiqua" w:eastAsia="Calibri" w:hAnsi="Book Antiqua" w:cs="Times New Roman"/>
                <w:i/>
                <w:iCs/>
                <w:kern w:val="0"/>
                <w:sz w:val="24"/>
                <w:szCs w:val="24"/>
                <w:lang w:val="en-GB" w:eastAsia="en-US"/>
              </w:rPr>
              <w:t>χ</w:t>
            </w:r>
            <w:r w:rsidRPr="000B289B">
              <w:rPr>
                <w:rFonts w:ascii="Book Antiqua" w:eastAsia="Calibri" w:hAnsi="Book Antiqua" w:cs="Times New Roman"/>
                <w:i/>
                <w:iCs/>
                <w:kern w:val="0"/>
                <w:sz w:val="24"/>
                <w:szCs w:val="24"/>
                <w:vertAlign w:val="superscript"/>
                <w:lang w:val="en-GB" w:eastAsia="en-US"/>
              </w:rPr>
              <w:t>2</w:t>
            </w:r>
            <w:r w:rsidR="0011105F" w:rsidRPr="003771AE">
              <w:rPr>
                <w:rFonts w:ascii="Book Antiqua" w:eastAsia="Calibri" w:hAnsi="Book Antiqua" w:cs="Times New Roman"/>
                <w:kern w:val="0"/>
                <w:sz w:val="24"/>
                <w:szCs w:val="24"/>
                <w:lang w:val="en-GB" w:eastAsia="en-US"/>
              </w:rPr>
              <w:t xml:space="preserve"> test, multivariable logistic model, Synergy index</w:t>
            </w:r>
          </w:p>
        </w:tc>
      </w:tr>
      <w:tr w:rsidR="00823C5B" w:rsidRPr="003771AE" w14:paraId="74756A58" w14:textId="77777777" w:rsidTr="00823C5B">
        <w:trPr>
          <w:trHeight w:val="447"/>
        </w:trPr>
        <w:tc>
          <w:tcPr>
            <w:tcW w:w="479" w:type="pct"/>
            <w:vMerge w:val="restart"/>
            <w:shd w:val="clear" w:color="auto" w:fill="auto"/>
          </w:tcPr>
          <w:p w14:paraId="716AE375" w14:textId="77777777" w:rsidR="0011105F" w:rsidRPr="00823C5B"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823C5B">
              <w:rPr>
                <w:rFonts w:ascii="Book Antiqua" w:eastAsia="Calibri" w:hAnsi="Book Antiqua" w:cs="Times New Roman"/>
                <w:kern w:val="0"/>
                <w:sz w:val="24"/>
                <w:szCs w:val="24"/>
                <w:lang w:val="en-GB" w:eastAsia="en-US"/>
              </w:rPr>
              <w:t>[106]</w:t>
            </w:r>
          </w:p>
        </w:tc>
        <w:tc>
          <w:tcPr>
            <w:tcW w:w="574" w:type="pct"/>
            <w:vMerge w:val="restart"/>
            <w:shd w:val="clear" w:color="auto" w:fill="auto"/>
          </w:tcPr>
          <w:p w14:paraId="2CA4F25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Chinese adult patients (556)</w:t>
            </w:r>
          </w:p>
        </w:tc>
        <w:tc>
          <w:tcPr>
            <w:tcW w:w="1387" w:type="pct"/>
            <w:vMerge w:val="restart"/>
            <w:shd w:val="clear" w:color="auto" w:fill="auto"/>
          </w:tcPr>
          <w:p w14:paraId="4EF2EB8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IL-10-1082, IL-10-819, IL-10-592</w:t>
            </w:r>
          </w:p>
          <w:p w14:paraId="5842325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p w14:paraId="7E9147E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527" w:type="pct"/>
            <w:vMerge w:val="restart"/>
            <w:shd w:val="clear" w:color="auto" w:fill="auto"/>
          </w:tcPr>
          <w:p w14:paraId="268174F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 risk</w:t>
            </w:r>
          </w:p>
          <w:p w14:paraId="4F71EDB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GC risk</w:t>
            </w:r>
          </w:p>
          <w:p w14:paraId="60BA781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574" w:type="pct"/>
            <w:vMerge w:val="restart"/>
          </w:tcPr>
          <w:p w14:paraId="6C9D59E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 xml:space="preserve">Age, sex, </w:t>
            </w:r>
            <w:r w:rsidRPr="003771AE">
              <w:rPr>
                <w:rFonts w:ascii="Book Antiqua" w:eastAsia="Calibri" w:hAnsi="Book Antiqua" w:cs="Times New Roman"/>
                <w:i/>
                <w:kern w:val="0"/>
                <w:sz w:val="24"/>
                <w:szCs w:val="24"/>
                <w:lang w:val="en-GB" w:eastAsia="en-US"/>
              </w:rPr>
              <w:t xml:space="preserve">H. pylori </w:t>
            </w:r>
          </w:p>
        </w:tc>
        <w:tc>
          <w:tcPr>
            <w:tcW w:w="574" w:type="pct"/>
            <w:vMerge w:val="restart"/>
          </w:tcPr>
          <w:p w14:paraId="6B8DD29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Stratification, adjustment</w:t>
            </w:r>
          </w:p>
        </w:tc>
        <w:tc>
          <w:tcPr>
            <w:tcW w:w="886" w:type="pct"/>
            <w:vMerge w:val="restart"/>
            <w:shd w:val="clear" w:color="auto" w:fill="auto"/>
          </w:tcPr>
          <w:p w14:paraId="3AD40FF8" w14:textId="67909AA9" w:rsidR="0011105F" w:rsidRPr="003771AE" w:rsidRDefault="000B289B"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0B289B">
              <w:rPr>
                <w:rFonts w:ascii="Book Antiqua" w:eastAsia="Calibri" w:hAnsi="Book Antiqua" w:cs="Times New Roman"/>
                <w:i/>
                <w:iCs/>
                <w:kern w:val="0"/>
                <w:sz w:val="24"/>
                <w:szCs w:val="24"/>
                <w:lang w:val="en-GB" w:eastAsia="en-US"/>
              </w:rPr>
              <w:t>χ</w:t>
            </w:r>
            <w:r w:rsidRPr="000B289B">
              <w:rPr>
                <w:rFonts w:ascii="Book Antiqua" w:eastAsia="Calibri" w:hAnsi="Book Antiqua" w:cs="Times New Roman"/>
                <w:i/>
                <w:iCs/>
                <w:kern w:val="0"/>
                <w:sz w:val="24"/>
                <w:szCs w:val="24"/>
                <w:vertAlign w:val="superscript"/>
                <w:lang w:val="en-GB" w:eastAsia="en-US"/>
              </w:rPr>
              <w:t>2</w:t>
            </w:r>
            <w:r w:rsidR="0011105F" w:rsidRPr="003771AE">
              <w:rPr>
                <w:rFonts w:ascii="Book Antiqua" w:eastAsia="Calibri" w:hAnsi="Book Antiqua" w:cs="Times New Roman"/>
                <w:kern w:val="0"/>
                <w:sz w:val="24"/>
                <w:szCs w:val="24"/>
                <w:lang w:val="en-GB" w:eastAsia="en-US"/>
              </w:rPr>
              <w:t xml:space="preserve"> test, multivariable logistic model with interaction term </w:t>
            </w:r>
          </w:p>
        </w:tc>
      </w:tr>
      <w:tr w:rsidR="00823C5B" w:rsidRPr="003771AE" w14:paraId="0EDA3B37" w14:textId="77777777" w:rsidTr="00823C5B">
        <w:trPr>
          <w:trHeight w:val="447"/>
        </w:trPr>
        <w:tc>
          <w:tcPr>
            <w:tcW w:w="479" w:type="pct"/>
            <w:vMerge/>
            <w:shd w:val="clear" w:color="auto" w:fill="auto"/>
          </w:tcPr>
          <w:p w14:paraId="577D9639" w14:textId="77777777" w:rsidR="0011105F" w:rsidRPr="00823C5B"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574" w:type="pct"/>
            <w:vMerge/>
            <w:shd w:val="clear" w:color="auto" w:fill="auto"/>
          </w:tcPr>
          <w:p w14:paraId="07F8E40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387" w:type="pct"/>
            <w:vMerge/>
            <w:shd w:val="clear" w:color="auto" w:fill="auto"/>
          </w:tcPr>
          <w:p w14:paraId="725163F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527" w:type="pct"/>
            <w:vMerge/>
            <w:shd w:val="clear" w:color="auto" w:fill="auto"/>
          </w:tcPr>
          <w:p w14:paraId="37740E9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574" w:type="pct"/>
            <w:vMerge/>
          </w:tcPr>
          <w:p w14:paraId="7A614C7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574" w:type="pct"/>
            <w:vMerge/>
          </w:tcPr>
          <w:p w14:paraId="01BF4A4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86" w:type="pct"/>
            <w:vMerge/>
            <w:shd w:val="clear" w:color="auto" w:fill="auto"/>
          </w:tcPr>
          <w:p w14:paraId="229024A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823C5B" w:rsidRPr="003771AE" w14:paraId="6DA2B7B1" w14:textId="77777777" w:rsidTr="00823C5B">
        <w:trPr>
          <w:trHeight w:val="447"/>
        </w:trPr>
        <w:tc>
          <w:tcPr>
            <w:tcW w:w="479" w:type="pct"/>
            <w:vMerge/>
            <w:shd w:val="clear" w:color="auto" w:fill="auto"/>
          </w:tcPr>
          <w:p w14:paraId="651E67B9" w14:textId="77777777" w:rsidR="0011105F" w:rsidRPr="00823C5B"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574" w:type="pct"/>
            <w:vMerge/>
            <w:shd w:val="clear" w:color="auto" w:fill="auto"/>
          </w:tcPr>
          <w:p w14:paraId="5A7E0DA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387" w:type="pct"/>
            <w:vMerge/>
            <w:shd w:val="clear" w:color="auto" w:fill="auto"/>
          </w:tcPr>
          <w:p w14:paraId="30DDC92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527" w:type="pct"/>
            <w:vMerge/>
            <w:shd w:val="clear" w:color="auto" w:fill="auto"/>
          </w:tcPr>
          <w:p w14:paraId="4779E98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574" w:type="pct"/>
            <w:vMerge/>
          </w:tcPr>
          <w:p w14:paraId="2B01BC0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574" w:type="pct"/>
            <w:vMerge/>
          </w:tcPr>
          <w:p w14:paraId="7C96873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86" w:type="pct"/>
            <w:vMerge/>
            <w:shd w:val="clear" w:color="auto" w:fill="auto"/>
          </w:tcPr>
          <w:p w14:paraId="35CF52A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823C5B" w:rsidRPr="003771AE" w14:paraId="5FBB7D1C" w14:textId="77777777" w:rsidTr="00823C5B">
        <w:trPr>
          <w:trHeight w:val="677"/>
        </w:trPr>
        <w:tc>
          <w:tcPr>
            <w:tcW w:w="479" w:type="pct"/>
            <w:shd w:val="clear" w:color="auto" w:fill="auto"/>
          </w:tcPr>
          <w:p w14:paraId="166DF824" w14:textId="77777777" w:rsidR="0011105F" w:rsidRPr="00823C5B"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823C5B">
              <w:rPr>
                <w:rFonts w:ascii="Book Antiqua" w:eastAsia="Calibri" w:hAnsi="Book Antiqua" w:cs="Times New Roman"/>
                <w:kern w:val="0"/>
                <w:sz w:val="24"/>
                <w:szCs w:val="24"/>
                <w:lang w:val="en-GB" w:eastAsia="en-US"/>
              </w:rPr>
              <w:t>[108]</w:t>
            </w:r>
          </w:p>
        </w:tc>
        <w:tc>
          <w:tcPr>
            <w:tcW w:w="574" w:type="pct"/>
            <w:shd w:val="clear" w:color="auto" w:fill="auto"/>
          </w:tcPr>
          <w:p w14:paraId="13D533D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Brazilian adults (227)</w:t>
            </w:r>
          </w:p>
        </w:tc>
        <w:tc>
          <w:tcPr>
            <w:tcW w:w="1387" w:type="pct"/>
            <w:shd w:val="clear" w:color="auto" w:fill="auto"/>
          </w:tcPr>
          <w:p w14:paraId="7533039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IL-6-174, IL-8-251, IL-10-819</w:t>
            </w:r>
          </w:p>
        </w:tc>
        <w:tc>
          <w:tcPr>
            <w:tcW w:w="527" w:type="pct"/>
            <w:shd w:val="clear" w:color="auto" w:fill="auto"/>
          </w:tcPr>
          <w:p w14:paraId="411CB58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Gastritis, peptic ulcer, GC</w:t>
            </w:r>
          </w:p>
        </w:tc>
        <w:tc>
          <w:tcPr>
            <w:tcW w:w="574" w:type="pct"/>
          </w:tcPr>
          <w:p w14:paraId="056DE76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i/>
                <w:kern w:val="0"/>
                <w:sz w:val="24"/>
                <w:szCs w:val="24"/>
                <w:lang w:val="en-GB" w:eastAsia="en-US"/>
              </w:rPr>
              <w:t>H. pylori</w:t>
            </w:r>
            <w:r w:rsidRPr="003771AE">
              <w:rPr>
                <w:rFonts w:ascii="Book Antiqua" w:eastAsia="Calibri" w:hAnsi="Book Antiqua" w:cs="Times New Roman"/>
                <w:kern w:val="0"/>
                <w:sz w:val="24"/>
                <w:szCs w:val="24"/>
                <w:lang w:val="en-GB" w:eastAsia="en-US"/>
              </w:rPr>
              <w:t xml:space="preserve"> infection</w:t>
            </w:r>
          </w:p>
        </w:tc>
        <w:tc>
          <w:tcPr>
            <w:tcW w:w="574" w:type="pct"/>
          </w:tcPr>
          <w:p w14:paraId="6451F8B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Stratification</w:t>
            </w:r>
          </w:p>
        </w:tc>
        <w:tc>
          <w:tcPr>
            <w:tcW w:w="886" w:type="pct"/>
            <w:shd w:val="clear" w:color="auto" w:fill="auto"/>
          </w:tcPr>
          <w:p w14:paraId="37C01A3E" w14:textId="1FFEB75E" w:rsidR="0011105F" w:rsidRPr="003771AE" w:rsidRDefault="000B289B"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0B289B">
              <w:rPr>
                <w:rFonts w:ascii="Book Antiqua" w:eastAsia="Calibri" w:hAnsi="Book Antiqua" w:cs="Times New Roman"/>
                <w:i/>
                <w:iCs/>
                <w:kern w:val="0"/>
                <w:sz w:val="24"/>
                <w:szCs w:val="24"/>
                <w:lang w:val="en-GB" w:eastAsia="en-US"/>
              </w:rPr>
              <w:t>χ</w:t>
            </w:r>
            <w:r w:rsidRPr="000B289B">
              <w:rPr>
                <w:rFonts w:ascii="Book Antiqua" w:eastAsia="Calibri" w:hAnsi="Book Antiqua" w:cs="Times New Roman"/>
                <w:i/>
                <w:iCs/>
                <w:kern w:val="0"/>
                <w:sz w:val="24"/>
                <w:szCs w:val="24"/>
                <w:vertAlign w:val="superscript"/>
                <w:lang w:val="en-GB" w:eastAsia="en-US"/>
              </w:rPr>
              <w:t>2</w:t>
            </w:r>
            <w:r w:rsidR="0011105F" w:rsidRPr="003771AE">
              <w:rPr>
                <w:rFonts w:ascii="Book Antiqua" w:eastAsia="Calibri" w:hAnsi="Book Antiqua" w:cs="Times New Roman"/>
                <w:kern w:val="0"/>
                <w:sz w:val="24"/>
                <w:szCs w:val="24"/>
                <w:lang w:val="en-GB" w:eastAsia="en-US"/>
              </w:rPr>
              <w:t xml:space="preserve"> test/Fisher’s exact test</w:t>
            </w:r>
          </w:p>
        </w:tc>
      </w:tr>
      <w:tr w:rsidR="00823C5B" w:rsidRPr="003771AE" w14:paraId="60ED4B0B" w14:textId="77777777" w:rsidTr="00823C5B">
        <w:trPr>
          <w:trHeight w:val="447"/>
        </w:trPr>
        <w:tc>
          <w:tcPr>
            <w:tcW w:w="479" w:type="pct"/>
            <w:vMerge w:val="restart"/>
            <w:shd w:val="clear" w:color="auto" w:fill="auto"/>
          </w:tcPr>
          <w:p w14:paraId="36BB8B0A" w14:textId="77777777" w:rsidR="0011105F" w:rsidRPr="00823C5B"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823C5B">
              <w:rPr>
                <w:rFonts w:ascii="Book Antiqua" w:eastAsia="Calibri" w:hAnsi="Book Antiqua" w:cs="Times New Roman"/>
                <w:kern w:val="0"/>
                <w:sz w:val="24"/>
                <w:szCs w:val="24"/>
                <w:lang w:val="en-GB" w:eastAsia="en-US"/>
              </w:rPr>
              <w:t>[111]</w:t>
            </w:r>
          </w:p>
        </w:tc>
        <w:tc>
          <w:tcPr>
            <w:tcW w:w="574" w:type="pct"/>
            <w:vMerge w:val="restart"/>
            <w:shd w:val="clear" w:color="auto" w:fill="auto"/>
          </w:tcPr>
          <w:p w14:paraId="53D1DFB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 xml:space="preserve">Chinese adults </w:t>
            </w:r>
            <w:r w:rsidRPr="003771AE">
              <w:rPr>
                <w:rFonts w:ascii="Book Antiqua" w:eastAsia="Calibri" w:hAnsi="Book Antiqua" w:cs="Times New Roman"/>
                <w:i/>
                <w:kern w:val="0"/>
                <w:sz w:val="24"/>
                <w:szCs w:val="24"/>
                <w:lang w:val="en-GB" w:eastAsia="en-US"/>
              </w:rPr>
              <w:t>H. pylori</w:t>
            </w:r>
            <w:r w:rsidRPr="003771AE">
              <w:rPr>
                <w:rFonts w:ascii="Book Antiqua" w:eastAsia="Calibri" w:hAnsi="Book Antiqua" w:cs="Times New Roman"/>
                <w:kern w:val="0"/>
                <w:sz w:val="24"/>
                <w:szCs w:val="24"/>
                <w:lang w:val="en-GB" w:eastAsia="en-US"/>
              </w:rPr>
              <w:t xml:space="preserve"> (302)</w:t>
            </w:r>
          </w:p>
        </w:tc>
        <w:tc>
          <w:tcPr>
            <w:tcW w:w="1387" w:type="pct"/>
            <w:vMerge w:val="restart"/>
            <w:shd w:val="clear" w:color="auto" w:fill="auto"/>
          </w:tcPr>
          <w:p w14:paraId="35813F1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IL-1B-511</w:t>
            </w:r>
          </w:p>
        </w:tc>
        <w:tc>
          <w:tcPr>
            <w:tcW w:w="527" w:type="pct"/>
            <w:vMerge w:val="restart"/>
            <w:shd w:val="clear" w:color="auto" w:fill="auto"/>
          </w:tcPr>
          <w:p w14:paraId="3A5DF84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risk</w:t>
            </w:r>
          </w:p>
        </w:tc>
        <w:tc>
          <w:tcPr>
            <w:tcW w:w="574" w:type="pct"/>
            <w:vMerge w:val="restart"/>
          </w:tcPr>
          <w:p w14:paraId="420A61A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Age</w:t>
            </w:r>
          </w:p>
        </w:tc>
        <w:tc>
          <w:tcPr>
            <w:tcW w:w="574" w:type="pct"/>
            <w:vMerge w:val="restart"/>
          </w:tcPr>
          <w:p w14:paraId="2350534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Adjustment</w:t>
            </w:r>
          </w:p>
        </w:tc>
        <w:tc>
          <w:tcPr>
            <w:tcW w:w="886" w:type="pct"/>
            <w:vMerge w:val="restart"/>
            <w:shd w:val="clear" w:color="auto" w:fill="auto"/>
          </w:tcPr>
          <w:p w14:paraId="5B9792F3" w14:textId="27F5E470" w:rsidR="0011105F" w:rsidRPr="003771AE" w:rsidRDefault="000B289B"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0B289B">
              <w:rPr>
                <w:rFonts w:ascii="Book Antiqua" w:eastAsia="Calibri" w:hAnsi="Book Antiqua" w:cs="Times New Roman"/>
                <w:i/>
                <w:iCs/>
                <w:kern w:val="0"/>
                <w:sz w:val="24"/>
                <w:szCs w:val="24"/>
                <w:lang w:val="en-GB" w:eastAsia="en-US"/>
              </w:rPr>
              <w:t>χ</w:t>
            </w:r>
            <w:r w:rsidRPr="000B289B">
              <w:rPr>
                <w:rFonts w:ascii="Book Antiqua" w:eastAsia="Calibri" w:hAnsi="Book Antiqua" w:cs="Times New Roman"/>
                <w:i/>
                <w:iCs/>
                <w:kern w:val="0"/>
                <w:sz w:val="24"/>
                <w:szCs w:val="24"/>
                <w:vertAlign w:val="superscript"/>
                <w:lang w:val="en-GB" w:eastAsia="en-US"/>
              </w:rPr>
              <w:t>2</w:t>
            </w:r>
            <w:r w:rsidR="0011105F" w:rsidRPr="003771AE">
              <w:rPr>
                <w:rFonts w:ascii="Book Antiqua" w:eastAsia="Calibri" w:hAnsi="Book Antiqua" w:cs="Times New Roman"/>
                <w:kern w:val="0"/>
                <w:sz w:val="24"/>
                <w:szCs w:val="24"/>
                <w:lang w:val="en-GB" w:eastAsia="en-US"/>
              </w:rPr>
              <w:t xml:space="preserve"> test/Fisher’s exact test, univariable/multivariable logistic model</w:t>
            </w:r>
          </w:p>
        </w:tc>
      </w:tr>
      <w:tr w:rsidR="00823C5B" w:rsidRPr="003771AE" w14:paraId="00BF6796" w14:textId="77777777" w:rsidTr="00823C5B">
        <w:trPr>
          <w:trHeight w:val="447"/>
        </w:trPr>
        <w:tc>
          <w:tcPr>
            <w:tcW w:w="479" w:type="pct"/>
            <w:vMerge/>
            <w:shd w:val="clear" w:color="auto" w:fill="auto"/>
          </w:tcPr>
          <w:p w14:paraId="0A64CBE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574" w:type="pct"/>
            <w:vMerge/>
            <w:shd w:val="clear" w:color="auto" w:fill="auto"/>
          </w:tcPr>
          <w:p w14:paraId="57EE12E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387" w:type="pct"/>
            <w:vMerge/>
            <w:shd w:val="clear" w:color="auto" w:fill="auto"/>
          </w:tcPr>
          <w:p w14:paraId="635859D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527" w:type="pct"/>
            <w:vMerge/>
            <w:shd w:val="clear" w:color="auto" w:fill="auto"/>
          </w:tcPr>
          <w:p w14:paraId="4F7CA91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574" w:type="pct"/>
            <w:vMerge/>
          </w:tcPr>
          <w:p w14:paraId="7C6E979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574" w:type="pct"/>
            <w:vMerge/>
          </w:tcPr>
          <w:p w14:paraId="39BB42D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86" w:type="pct"/>
            <w:vMerge/>
            <w:shd w:val="clear" w:color="auto" w:fill="auto"/>
          </w:tcPr>
          <w:p w14:paraId="6000260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823C5B" w:rsidRPr="003771AE" w14:paraId="7409CBF7" w14:textId="77777777" w:rsidTr="00823C5B">
        <w:trPr>
          <w:trHeight w:val="447"/>
        </w:trPr>
        <w:tc>
          <w:tcPr>
            <w:tcW w:w="479" w:type="pct"/>
            <w:vMerge/>
            <w:shd w:val="clear" w:color="auto" w:fill="auto"/>
          </w:tcPr>
          <w:p w14:paraId="49F589D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574" w:type="pct"/>
            <w:vMerge/>
            <w:shd w:val="clear" w:color="auto" w:fill="auto"/>
          </w:tcPr>
          <w:p w14:paraId="6BB58DE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387" w:type="pct"/>
            <w:vMerge/>
            <w:shd w:val="clear" w:color="auto" w:fill="auto"/>
          </w:tcPr>
          <w:p w14:paraId="2F113D2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527" w:type="pct"/>
            <w:vMerge/>
            <w:shd w:val="clear" w:color="auto" w:fill="auto"/>
          </w:tcPr>
          <w:p w14:paraId="43637BB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574" w:type="pct"/>
            <w:vMerge/>
          </w:tcPr>
          <w:p w14:paraId="5A8D51E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574" w:type="pct"/>
            <w:vMerge/>
          </w:tcPr>
          <w:p w14:paraId="7A8BD68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86" w:type="pct"/>
            <w:vMerge/>
            <w:shd w:val="clear" w:color="auto" w:fill="auto"/>
          </w:tcPr>
          <w:p w14:paraId="61B190B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823C5B" w:rsidRPr="003771AE" w14:paraId="4965B58C" w14:textId="77777777" w:rsidTr="00823C5B">
        <w:trPr>
          <w:trHeight w:val="447"/>
        </w:trPr>
        <w:tc>
          <w:tcPr>
            <w:tcW w:w="479" w:type="pct"/>
            <w:vMerge/>
            <w:shd w:val="clear" w:color="auto" w:fill="auto"/>
          </w:tcPr>
          <w:p w14:paraId="36E2BCD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574" w:type="pct"/>
            <w:vMerge/>
            <w:shd w:val="clear" w:color="auto" w:fill="auto"/>
          </w:tcPr>
          <w:p w14:paraId="3374471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387" w:type="pct"/>
            <w:vMerge/>
            <w:shd w:val="clear" w:color="auto" w:fill="auto"/>
          </w:tcPr>
          <w:p w14:paraId="0ED94C2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527" w:type="pct"/>
            <w:vMerge/>
            <w:shd w:val="clear" w:color="auto" w:fill="auto"/>
          </w:tcPr>
          <w:p w14:paraId="414A35A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574" w:type="pct"/>
            <w:vMerge/>
          </w:tcPr>
          <w:p w14:paraId="56F8185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574" w:type="pct"/>
            <w:vMerge/>
          </w:tcPr>
          <w:p w14:paraId="06CA739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86" w:type="pct"/>
            <w:vMerge/>
            <w:shd w:val="clear" w:color="auto" w:fill="auto"/>
          </w:tcPr>
          <w:p w14:paraId="1FC0FAE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bl>
    <w:p w14:paraId="5DF2A8F4" w14:textId="3B12AC4B" w:rsidR="0011105F" w:rsidRPr="003771AE" w:rsidRDefault="0011105F" w:rsidP="00F17106">
      <w:pPr>
        <w:widowControl/>
        <w:pBdr>
          <w:top w:val="single" w:sz="4" w:space="18" w:color="auto"/>
        </w:pBdr>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 xml:space="preserve">Only the original research articles containing analysis of cytokines’ genotypes (not haplotypes) were included. </w:t>
      </w:r>
      <w:r w:rsidR="00E441FA" w:rsidRPr="003771AE">
        <w:rPr>
          <w:rFonts w:ascii="Book Antiqua" w:eastAsia="Calibri" w:hAnsi="Book Antiqua" w:cs="Times New Roman"/>
          <w:kern w:val="0"/>
          <w:sz w:val="24"/>
          <w:szCs w:val="24"/>
          <w:vertAlign w:val="superscript"/>
          <w:lang w:val="en-GB" w:eastAsia="en-US"/>
        </w:rPr>
        <w:t>1</w:t>
      </w:r>
      <w:r w:rsidRPr="003771AE">
        <w:rPr>
          <w:rFonts w:ascii="Book Antiqua" w:eastAsia="Calibri" w:hAnsi="Book Antiqua" w:cs="Times New Roman"/>
          <w:kern w:val="0"/>
          <w:sz w:val="24"/>
          <w:szCs w:val="24"/>
          <w:lang w:val="en-GB" w:eastAsia="en-US"/>
        </w:rPr>
        <w:t>Only the discussed cytokine SNPs of interest (and not all of SNPs mentioned in the above studies) are described.</w:t>
      </w:r>
      <w:r w:rsidR="00823C5B">
        <w:rPr>
          <w:rFonts w:ascii="Book Antiqua" w:eastAsia="Calibri" w:hAnsi="Book Antiqua" w:cs="Times New Roman"/>
          <w:kern w:val="0"/>
          <w:sz w:val="24"/>
          <w:szCs w:val="24"/>
          <w:lang w:val="en-GB" w:eastAsia="en-US"/>
        </w:rPr>
        <w:t xml:space="preserve"> </w:t>
      </w:r>
      <w:r w:rsidRPr="003771AE">
        <w:rPr>
          <w:rFonts w:ascii="Book Antiqua" w:eastAsia="Calibri" w:hAnsi="Book Antiqua" w:cs="Times New Roman"/>
          <w:kern w:val="0"/>
          <w:sz w:val="24"/>
          <w:szCs w:val="24"/>
          <w:lang w:val="en-GB" w:eastAsia="en-US"/>
        </w:rPr>
        <w:t>AG: Atrophic gastritis; CoAG:</w:t>
      </w:r>
      <w:r w:rsidR="00823C5B">
        <w:rPr>
          <w:rFonts w:ascii="Book Antiqua" w:eastAsia="Calibri" w:hAnsi="Book Antiqua" w:cs="Times New Roman"/>
          <w:kern w:val="0"/>
          <w:sz w:val="24"/>
          <w:szCs w:val="24"/>
          <w:lang w:val="en-GB" w:eastAsia="en-US"/>
        </w:rPr>
        <w:t xml:space="preserve"> </w:t>
      </w:r>
      <w:r w:rsidRPr="003771AE">
        <w:rPr>
          <w:rFonts w:ascii="Book Antiqua" w:eastAsia="Calibri" w:hAnsi="Book Antiqua" w:cs="Times New Roman"/>
          <w:kern w:val="0"/>
          <w:sz w:val="24"/>
          <w:szCs w:val="24"/>
          <w:lang w:val="en-GB" w:eastAsia="en-US"/>
        </w:rPr>
        <w:t>Corpus atrophic gastritis;</w:t>
      </w:r>
      <w:r w:rsidR="00823C5B">
        <w:rPr>
          <w:rFonts w:ascii="Book Antiqua" w:eastAsia="Calibri" w:hAnsi="Book Antiqua" w:cs="Times New Roman"/>
          <w:kern w:val="0"/>
          <w:sz w:val="24"/>
          <w:szCs w:val="24"/>
          <w:lang w:val="en-GB" w:eastAsia="en-US"/>
        </w:rPr>
        <w:t xml:space="preserve"> </w:t>
      </w:r>
      <w:r w:rsidRPr="003771AE">
        <w:rPr>
          <w:rFonts w:ascii="Book Antiqua" w:eastAsia="Calibri" w:hAnsi="Book Antiqua" w:cs="Times New Roman"/>
          <w:kern w:val="0"/>
          <w:sz w:val="24"/>
          <w:szCs w:val="24"/>
          <w:lang w:val="en-GB" w:eastAsia="en-US"/>
        </w:rPr>
        <w:t>ChAG:</w:t>
      </w:r>
      <w:r w:rsidR="00823C5B">
        <w:rPr>
          <w:rFonts w:ascii="Book Antiqua" w:eastAsia="Calibri" w:hAnsi="Book Antiqua" w:cs="Times New Roman"/>
          <w:kern w:val="0"/>
          <w:sz w:val="24"/>
          <w:szCs w:val="24"/>
          <w:lang w:val="en-GB" w:eastAsia="en-US"/>
        </w:rPr>
        <w:t xml:space="preserve"> </w:t>
      </w:r>
      <w:r w:rsidRPr="003771AE">
        <w:rPr>
          <w:rFonts w:ascii="Book Antiqua" w:eastAsia="Calibri" w:hAnsi="Book Antiqua" w:cs="Times New Roman"/>
          <w:kern w:val="0"/>
          <w:sz w:val="24"/>
          <w:szCs w:val="24"/>
          <w:lang w:val="en-GB" w:eastAsia="en-US"/>
        </w:rPr>
        <w:t xml:space="preserve">Chronic atrophic gastritis (the term used in original research); ChG: Chronic gastritis; </w:t>
      </w:r>
      <w:r w:rsidRPr="003771AE">
        <w:rPr>
          <w:rFonts w:ascii="Book Antiqua" w:eastAsia="等线" w:hAnsi="Book Antiqua" w:cs="Times New Roman"/>
          <w:kern w:val="0"/>
          <w:sz w:val="24"/>
          <w:szCs w:val="24"/>
          <w:lang w:val="en-GB" w:eastAsia="en-US"/>
        </w:rPr>
        <w:t xml:space="preserve">DYS: Dysplasia; GC: Gastric cancer; </w:t>
      </w:r>
      <w:r w:rsidRPr="003771AE">
        <w:rPr>
          <w:rFonts w:ascii="Book Antiqua" w:eastAsia="Calibri" w:hAnsi="Book Antiqua" w:cs="Times New Roman"/>
          <w:kern w:val="0"/>
          <w:sz w:val="24"/>
          <w:szCs w:val="24"/>
          <w:lang w:val="en-GB" w:eastAsia="en-US"/>
        </w:rPr>
        <w:t>GI: Granulocytic infiltration; IM: Intestinal metaplasia; LI: Lymphocytic infiltration</w:t>
      </w:r>
      <w:r w:rsidR="000B289B">
        <w:rPr>
          <w:rFonts w:ascii="Book Antiqua" w:eastAsia="Calibri" w:hAnsi="Book Antiqua" w:cs="Times New Roman"/>
          <w:kern w:val="0"/>
          <w:sz w:val="24"/>
          <w:szCs w:val="24"/>
          <w:lang w:val="en-GB" w:eastAsia="en-US"/>
        </w:rPr>
        <w:t xml:space="preserve">; </w:t>
      </w:r>
      <w:r w:rsidR="000B289B" w:rsidRPr="003771AE">
        <w:rPr>
          <w:rFonts w:ascii="Book Antiqua" w:eastAsia="Calibri" w:hAnsi="Book Antiqua" w:cs="Times New Roman"/>
          <w:i/>
          <w:kern w:val="0"/>
          <w:sz w:val="24"/>
          <w:szCs w:val="24"/>
          <w:lang w:val="en-GB" w:eastAsia="en-US"/>
        </w:rPr>
        <w:t>H. pylori</w:t>
      </w:r>
      <w:r w:rsidR="000B289B" w:rsidRPr="000B289B">
        <w:rPr>
          <w:rFonts w:ascii="Book Antiqua" w:eastAsia="Calibri" w:hAnsi="Book Antiqua" w:cs="Times New Roman"/>
          <w:iCs/>
          <w:kern w:val="0"/>
          <w:sz w:val="24"/>
          <w:szCs w:val="24"/>
          <w:lang w:val="en-GB" w:eastAsia="en-US"/>
        </w:rPr>
        <w:t>:</w:t>
      </w:r>
      <w:r w:rsidR="000B289B">
        <w:rPr>
          <w:rFonts w:ascii="Book Antiqua" w:eastAsia="Calibri" w:hAnsi="Book Antiqua" w:cs="Times New Roman"/>
          <w:i/>
          <w:kern w:val="0"/>
          <w:sz w:val="24"/>
          <w:szCs w:val="24"/>
          <w:lang w:val="en-GB" w:eastAsia="en-US"/>
        </w:rPr>
        <w:t xml:space="preserve"> </w:t>
      </w:r>
      <w:r w:rsidR="000B289B" w:rsidRPr="003771AE">
        <w:rPr>
          <w:rFonts w:ascii="Book Antiqua" w:eastAsia="Calibri" w:hAnsi="Book Antiqua" w:cs="Times New Roman"/>
          <w:i/>
          <w:iCs/>
          <w:kern w:val="0"/>
          <w:sz w:val="24"/>
          <w:szCs w:val="24"/>
          <w:lang w:val="en-GB" w:eastAsia="en-US"/>
        </w:rPr>
        <w:t>Helicobacter pylori</w:t>
      </w:r>
      <w:r w:rsidR="000B289B" w:rsidRPr="000B289B">
        <w:rPr>
          <w:rFonts w:ascii="Book Antiqua" w:eastAsia="Calibri" w:hAnsi="Book Antiqua" w:cs="Times New Roman"/>
          <w:kern w:val="0"/>
          <w:sz w:val="24"/>
          <w:szCs w:val="24"/>
          <w:lang w:val="en-GB" w:eastAsia="en-US"/>
        </w:rPr>
        <w:t>.</w:t>
      </w:r>
    </w:p>
    <w:p w14:paraId="41488476" w14:textId="77777777" w:rsidR="0011105F" w:rsidRPr="003771AE" w:rsidRDefault="0011105F" w:rsidP="00F17106">
      <w:pPr>
        <w:widowControl/>
        <w:pBdr>
          <w:top w:val="single" w:sz="4" w:space="18" w:color="auto"/>
        </w:pBdr>
        <w:snapToGrid w:val="0"/>
        <w:spacing w:line="360" w:lineRule="auto"/>
        <w:rPr>
          <w:rFonts w:ascii="Book Antiqua" w:eastAsia="Calibri" w:hAnsi="Book Antiqua" w:cs="Times New Roman"/>
          <w:kern w:val="0"/>
          <w:sz w:val="24"/>
          <w:szCs w:val="24"/>
          <w:lang w:val="en-GB" w:eastAsia="en-US"/>
        </w:rPr>
      </w:pPr>
    </w:p>
    <w:p w14:paraId="160E8B52" w14:textId="77777777" w:rsidR="0011105F" w:rsidRPr="003771AE" w:rsidRDefault="0011105F" w:rsidP="00F17106">
      <w:pPr>
        <w:widowControl/>
        <w:snapToGrid w:val="0"/>
        <w:spacing w:line="360" w:lineRule="auto"/>
        <w:rPr>
          <w:rFonts w:ascii="Book Antiqua" w:eastAsia="Times New Roman" w:hAnsi="Book Antiqua" w:cs="Times New Roman"/>
          <w:kern w:val="0"/>
          <w:sz w:val="24"/>
          <w:szCs w:val="24"/>
          <w:lang w:val="en-GB" w:eastAsia="ro-RO"/>
        </w:rPr>
      </w:pPr>
      <w:r w:rsidRPr="003771AE">
        <w:rPr>
          <w:rFonts w:ascii="Book Antiqua" w:eastAsia="Times New Roman" w:hAnsi="Book Antiqua" w:cs="Times New Roman"/>
          <w:kern w:val="0"/>
          <w:sz w:val="24"/>
          <w:szCs w:val="24"/>
          <w:lang w:val="en-GB" w:eastAsia="ro-RO"/>
        </w:rPr>
        <w:br w:type="page"/>
      </w:r>
    </w:p>
    <w:p w14:paraId="47038435" w14:textId="77777777" w:rsidR="0011105F" w:rsidRPr="003771AE" w:rsidRDefault="0011105F" w:rsidP="00F17106">
      <w:pPr>
        <w:widowControl/>
        <w:snapToGrid w:val="0"/>
        <w:spacing w:line="360" w:lineRule="auto"/>
        <w:rPr>
          <w:rFonts w:ascii="Book Antiqua" w:eastAsia="Times New Roman" w:hAnsi="Book Antiqua" w:cs="Times New Roman"/>
          <w:b/>
          <w:kern w:val="0"/>
          <w:sz w:val="24"/>
          <w:szCs w:val="24"/>
          <w:lang w:val="en-GB" w:eastAsia="ro-RO"/>
        </w:rPr>
      </w:pPr>
      <w:r w:rsidRPr="003771AE">
        <w:rPr>
          <w:rFonts w:ascii="Book Antiqua" w:eastAsia="Times New Roman" w:hAnsi="Book Antiqua" w:cs="Times New Roman"/>
          <w:b/>
          <w:kern w:val="0"/>
          <w:sz w:val="24"/>
          <w:szCs w:val="24"/>
          <w:lang w:val="en-GB" w:eastAsia="ro-RO"/>
        </w:rPr>
        <w:t>Table 2 Frequencies of studied cytokine SNP genotypes and significance of relationships with premalignant gastric lesions in the discussed scientific articles</w:t>
      </w:r>
    </w:p>
    <w:tbl>
      <w:tblPr>
        <w:tblW w:w="5000" w:type="pct"/>
        <w:tblLook w:val="04A0" w:firstRow="1" w:lastRow="0" w:firstColumn="1" w:lastColumn="0" w:noHBand="0" w:noVBand="1"/>
      </w:tblPr>
      <w:tblGrid>
        <w:gridCol w:w="1565"/>
        <w:gridCol w:w="2312"/>
        <w:gridCol w:w="2920"/>
        <w:gridCol w:w="3928"/>
        <w:gridCol w:w="3272"/>
      </w:tblGrid>
      <w:tr w:rsidR="0011105F" w:rsidRPr="003771AE" w14:paraId="3E3D9FFC" w14:textId="77777777" w:rsidTr="0025251E">
        <w:tc>
          <w:tcPr>
            <w:tcW w:w="559" w:type="pct"/>
            <w:tcBorders>
              <w:top w:val="single" w:sz="4" w:space="0" w:color="auto"/>
              <w:bottom w:val="single" w:sz="4" w:space="0" w:color="auto"/>
            </w:tcBorders>
            <w:shd w:val="clear" w:color="auto" w:fill="auto"/>
            <w:vAlign w:val="center"/>
          </w:tcPr>
          <w:p w14:paraId="6CF3C0AA" w14:textId="404C259E" w:rsidR="0011105F" w:rsidRPr="003771AE" w:rsidRDefault="001E36F9" w:rsidP="00F17106">
            <w:pPr>
              <w:widowControl/>
              <w:autoSpaceDE w:val="0"/>
              <w:autoSpaceDN w:val="0"/>
              <w:adjustRightInd w:val="0"/>
              <w:snapToGrid w:val="0"/>
              <w:spacing w:line="360" w:lineRule="auto"/>
              <w:rPr>
                <w:rFonts w:ascii="Book Antiqua" w:eastAsia="Calibri" w:hAnsi="Book Antiqua" w:cs="Times New Roman"/>
                <w:b/>
                <w:kern w:val="0"/>
                <w:sz w:val="24"/>
                <w:szCs w:val="24"/>
                <w:lang w:val="en-GB" w:eastAsia="en-US"/>
              </w:rPr>
            </w:pPr>
            <w:r>
              <w:rPr>
                <w:rFonts w:ascii="Book Antiqua" w:eastAsia="Calibri" w:hAnsi="Book Antiqua" w:cs="Times New Roman"/>
                <w:b/>
                <w:kern w:val="0"/>
                <w:sz w:val="24"/>
                <w:szCs w:val="24"/>
                <w:lang w:val="en-GB" w:eastAsia="en-US"/>
              </w:rPr>
              <w:t>Ref.</w:t>
            </w:r>
          </w:p>
        </w:tc>
        <w:tc>
          <w:tcPr>
            <w:tcW w:w="826" w:type="pct"/>
            <w:tcBorders>
              <w:top w:val="single" w:sz="4" w:space="0" w:color="auto"/>
              <w:bottom w:val="single" w:sz="4" w:space="0" w:color="auto"/>
            </w:tcBorders>
            <w:shd w:val="clear" w:color="auto" w:fill="auto"/>
            <w:vAlign w:val="center"/>
          </w:tcPr>
          <w:p w14:paraId="5E332AA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kern w:val="0"/>
                <w:sz w:val="24"/>
                <w:szCs w:val="24"/>
                <w:vertAlign w:val="superscript"/>
                <w:lang w:val="en-GB" w:eastAsia="en-US"/>
              </w:rPr>
            </w:pPr>
            <w:r w:rsidRPr="003771AE">
              <w:rPr>
                <w:rFonts w:ascii="Book Antiqua" w:eastAsia="Calibri" w:hAnsi="Book Antiqua" w:cs="Times New Roman"/>
                <w:b/>
                <w:kern w:val="0"/>
                <w:sz w:val="24"/>
                <w:szCs w:val="24"/>
                <w:lang w:val="en-GB" w:eastAsia="en-US"/>
              </w:rPr>
              <w:t>SNP</w:t>
            </w:r>
            <w:r w:rsidR="00E441FA" w:rsidRPr="003771AE">
              <w:rPr>
                <w:rFonts w:ascii="Book Antiqua" w:eastAsia="Calibri" w:hAnsi="Book Antiqua" w:cs="Times New Roman"/>
                <w:b/>
                <w:kern w:val="0"/>
                <w:sz w:val="24"/>
                <w:szCs w:val="24"/>
                <w:vertAlign w:val="superscript"/>
                <w:lang w:val="en-GB" w:eastAsia="en-US"/>
              </w:rPr>
              <w:t>1</w:t>
            </w:r>
          </w:p>
        </w:tc>
        <w:tc>
          <w:tcPr>
            <w:tcW w:w="1043" w:type="pct"/>
            <w:tcBorders>
              <w:top w:val="single" w:sz="4" w:space="0" w:color="auto"/>
              <w:bottom w:val="single" w:sz="4" w:space="0" w:color="auto"/>
            </w:tcBorders>
            <w:vAlign w:val="center"/>
          </w:tcPr>
          <w:p w14:paraId="6BF8FE7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kern w:val="0"/>
                <w:sz w:val="24"/>
                <w:szCs w:val="24"/>
                <w:lang w:val="en-GB" w:eastAsia="en-US"/>
              </w:rPr>
            </w:pPr>
            <w:r w:rsidRPr="003771AE">
              <w:rPr>
                <w:rFonts w:ascii="Book Antiqua" w:eastAsia="Calibri" w:hAnsi="Book Antiqua" w:cs="Times New Roman"/>
                <w:b/>
                <w:kern w:val="0"/>
                <w:sz w:val="24"/>
                <w:szCs w:val="24"/>
                <w:lang w:val="en-GB" w:eastAsia="en-US"/>
              </w:rPr>
              <w:t>Variant genotypes</w:t>
            </w:r>
          </w:p>
        </w:tc>
        <w:tc>
          <w:tcPr>
            <w:tcW w:w="1403" w:type="pct"/>
            <w:tcBorders>
              <w:top w:val="single" w:sz="4" w:space="0" w:color="auto"/>
              <w:bottom w:val="single" w:sz="4" w:space="0" w:color="auto"/>
            </w:tcBorders>
            <w:shd w:val="clear" w:color="auto" w:fill="auto"/>
            <w:vAlign w:val="center"/>
          </w:tcPr>
          <w:p w14:paraId="4A482B3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kern w:val="0"/>
                <w:sz w:val="24"/>
                <w:szCs w:val="24"/>
                <w:lang w:val="en-GB" w:eastAsia="en-US"/>
              </w:rPr>
            </w:pPr>
            <w:r w:rsidRPr="003771AE">
              <w:rPr>
                <w:rFonts w:ascii="Book Antiqua" w:eastAsia="Calibri" w:hAnsi="Book Antiqua" w:cs="Times New Roman"/>
                <w:b/>
                <w:kern w:val="0"/>
                <w:sz w:val="24"/>
                <w:szCs w:val="24"/>
                <w:lang w:val="en-GB" w:eastAsia="en-US"/>
              </w:rPr>
              <w:t xml:space="preserve">Frequency (%) of variant genotypes in premalignant gastric lesions </w:t>
            </w:r>
            <w:r w:rsidRPr="003771AE">
              <w:rPr>
                <w:rFonts w:ascii="Book Antiqua" w:eastAsia="Calibri" w:hAnsi="Book Antiqua" w:cs="Times New Roman"/>
                <w:b/>
                <w:i/>
                <w:kern w:val="0"/>
                <w:sz w:val="24"/>
                <w:szCs w:val="24"/>
                <w:lang w:val="en-GB" w:eastAsia="en-US"/>
              </w:rPr>
              <w:t>vs</w:t>
            </w:r>
            <w:r w:rsidRPr="003771AE">
              <w:rPr>
                <w:rFonts w:ascii="Book Antiqua" w:eastAsia="Calibri" w:hAnsi="Book Antiqua" w:cs="Times New Roman"/>
                <w:b/>
                <w:kern w:val="0"/>
                <w:sz w:val="24"/>
                <w:szCs w:val="24"/>
                <w:lang w:val="en-GB" w:eastAsia="en-US"/>
              </w:rPr>
              <w:t xml:space="preserve"> control</w:t>
            </w:r>
          </w:p>
        </w:tc>
        <w:tc>
          <w:tcPr>
            <w:tcW w:w="1169" w:type="pct"/>
            <w:tcBorders>
              <w:top w:val="single" w:sz="4" w:space="0" w:color="auto"/>
              <w:bottom w:val="single" w:sz="4" w:space="0" w:color="auto"/>
            </w:tcBorders>
            <w:shd w:val="clear" w:color="auto" w:fill="auto"/>
            <w:vAlign w:val="center"/>
          </w:tcPr>
          <w:p w14:paraId="4DAE0E1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kern w:val="0"/>
                <w:sz w:val="24"/>
                <w:szCs w:val="24"/>
                <w:lang w:val="en-GB" w:eastAsia="en-US"/>
              </w:rPr>
            </w:pPr>
          </w:p>
          <w:p w14:paraId="295F0B3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b/>
                <w:kern w:val="0"/>
                <w:sz w:val="24"/>
                <w:szCs w:val="24"/>
                <w:vertAlign w:val="superscript"/>
                <w:lang w:val="en-GB" w:eastAsia="en-US"/>
              </w:rPr>
            </w:pPr>
            <w:r w:rsidRPr="003771AE">
              <w:rPr>
                <w:rFonts w:ascii="Book Antiqua" w:eastAsia="Calibri" w:hAnsi="Book Antiqua" w:cs="Times New Roman"/>
                <w:b/>
                <w:kern w:val="0"/>
                <w:sz w:val="24"/>
                <w:szCs w:val="24"/>
                <w:lang w:val="en-GB" w:eastAsia="en-US"/>
              </w:rPr>
              <w:t>Premalignant gastric lesions</w:t>
            </w:r>
          </w:p>
        </w:tc>
      </w:tr>
      <w:tr w:rsidR="0011105F" w:rsidRPr="003771AE" w14:paraId="3B864191" w14:textId="77777777" w:rsidTr="0025251E">
        <w:trPr>
          <w:trHeight w:val="279"/>
        </w:trPr>
        <w:tc>
          <w:tcPr>
            <w:tcW w:w="559" w:type="pct"/>
            <w:tcBorders>
              <w:top w:val="single" w:sz="4" w:space="0" w:color="auto"/>
            </w:tcBorders>
            <w:shd w:val="clear" w:color="auto" w:fill="auto"/>
          </w:tcPr>
          <w:p w14:paraId="5D2F5512"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1E36F9">
              <w:rPr>
                <w:rFonts w:ascii="Book Antiqua" w:eastAsia="Calibri" w:hAnsi="Book Antiqua" w:cs="Times New Roman"/>
                <w:kern w:val="0"/>
                <w:sz w:val="24"/>
                <w:szCs w:val="24"/>
                <w:lang w:val="en-GB" w:eastAsia="en-US"/>
              </w:rPr>
              <w:t>[73]</w:t>
            </w:r>
          </w:p>
        </w:tc>
        <w:tc>
          <w:tcPr>
            <w:tcW w:w="826" w:type="pct"/>
            <w:tcBorders>
              <w:top w:val="single" w:sz="4" w:space="0" w:color="auto"/>
            </w:tcBorders>
            <w:shd w:val="clear" w:color="auto" w:fill="auto"/>
          </w:tcPr>
          <w:p w14:paraId="7BDF7B2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IL-8-4073</w:t>
            </w:r>
          </w:p>
        </w:tc>
        <w:tc>
          <w:tcPr>
            <w:tcW w:w="1043" w:type="pct"/>
            <w:tcBorders>
              <w:top w:val="single" w:sz="4" w:space="0" w:color="auto"/>
            </w:tcBorders>
          </w:tcPr>
          <w:p w14:paraId="4784DC1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TA</w:t>
            </w:r>
          </w:p>
        </w:tc>
        <w:tc>
          <w:tcPr>
            <w:tcW w:w="1403" w:type="pct"/>
            <w:tcBorders>
              <w:top w:val="single" w:sz="4" w:space="0" w:color="auto"/>
            </w:tcBorders>
            <w:shd w:val="clear" w:color="auto" w:fill="auto"/>
          </w:tcPr>
          <w:p w14:paraId="4EFD271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145 (48.5)/144 (48.6)</w:t>
            </w:r>
          </w:p>
        </w:tc>
        <w:tc>
          <w:tcPr>
            <w:tcW w:w="1169" w:type="pct"/>
            <w:tcBorders>
              <w:top w:val="single" w:sz="4" w:space="0" w:color="auto"/>
            </w:tcBorders>
            <w:shd w:val="clear" w:color="auto" w:fill="auto"/>
          </w:tcPr>
          <w:p w14:paraId="60D08B8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ChAG susceptibility</w:t>
            </w:r>
          </w:p>
        </w:tc>
      </w:tr>
      <w:tr w:rsidR="0011105F" w:rsidRPr="003771AE" w14:paraId="42E0D321" w14:textId="77777777" w:rsidTr="0025251E">
        <w:trPr>
          <w:trHeight w:val="279"/>
        </w:trPr>
        <w:tc>
          <w:tcPr>
            <w:tcW w:w="559" w:type="pct"/>
            <w:shd w:val="clear" w:color="auto" w:fill="auto"/>
          </w:tcPr>
          <w:p w14:paraId="288E2AFF"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711451E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3395E50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AA</w:t>
            </w:r>
          </w:p>
        </w:tc>
        <w:tc>
          <w:tcPr>
            <w:tcW w:w="1403" w:type="pct"/>
            <w:shd w:val="clear" w:color="auto" w:fill="auto"/>
          </w:tcPr>
          <w:p w14:paraId="188011B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53 (17.7)/50 (16.9)</w:t>
            </w:r>
          </w:p>
        </w:tc>
        <w:tc>
          <w:tcPr>
            <w:tcW w:w="1169" w:type="pct"/>
            <w:shd w:val="clear" w:color="auto" w:fill="auto"/>
          </w:tcPr>
          <w:p w14:paraId="0433661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0A5EC435" w14:textId="77777777" w:rsidTr="0025251E">
        <w:trPr>
          <w:trHeight w:val="279"/>
        </w:trPr>
        <w:tc>
          <w:tcPr>
            <w:tcW w:w="559" w:type="pct"/>
            <w:shd w:val="clear" w:color="auto" w:fill="auto"/>
          </w:tcPr>
          <w:p w14:paraId="4610711B"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7FCFE3A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655DB5D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TA</w:t>
            </w:r>
          </w:p>
        </w:tc>
        <w:tc>
          <w:tcPr>
            <w:tcW w:w="1403" w:type="pct"/>
            <w:shd w:val="clear" w:color="auto" w:fill="auto"/>
          </w:tcPr>
          <w:p w14:paraId="5715E53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148 (49.5)/144 (48.6)</w:t>
            </w:r>
          </w:p>
        </w:tc>
        <w:tc>
          <w:tcPr>
            <w:tcW w:w="1169" w:type="pct"/>
            <w:shd w:val="clear" w:color="auto" w:fill="auto"/>
          </w:tcPr>
          <w:p w14:paraId="7E07C00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susceptibility</w:t>
            </w:r>
          </w:p>
        </w:tc>
      </w:tr>
      <w:tr w:rsidR="0011105F" w:rsidRPr="003771AE" w14:paraId="41D3E832" w14:textId="77777777" w:rsidTr="0025251E">
        <w:trPr>
          <w:trHeight w:val="279"/>
        </w:trPr>
        <w:tc>
          <w:tcPr>
            <w:tcW w:w="559" w:type="pct"/>
            <w:shd w:val="clear" w:color="auto" w:fill="auto"/>
          </w:tcPr>
          <w:p w14:paraId="7099DBE0"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59950A2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45B4261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AA</w:t>
            </w:r>
          </w:p>
        </w:tc>
        <w:tc>
          <w:tcPr>
            <w:tcW w:w="1403" w:type="pct"/>
            <w:shd w:val="clear" w:color="auto" w:fill="auto"/>
          </w:tcPr>
          <w:p w14:paraId="2B26B7C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50 (16.7)/50 (16.9)</w:t>
            </w:r>
          </w:p>
        </w:tc>
        <w:tc>
          <w:tcPr>
            <w:tcW w:w="1169" w:type="pct"/>
            <w:shd w:val="clear" w:color="auto" w:fill="auto"/>
          </w:tcPr>
          <w:p w14:paraId="0764D1D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0A39CF1D" w14:textId="77777777" w:rsidTr="0025251E">
        <w:trPr>
          <w:trHeight w:val="279"/>
        </w:trPr>
        <w:tc>
          <w:tcPr>
            <w:tcW w:w="559" w:type="pct"/>
            <w:shd w:val="clear" w:color="auto" w:fill="auto"/>
          </w:tcPr>
          <w:p w14:paraId="797FA8FE"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3183088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0AEA8DB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TA</w:t>
            </w:r>
          </w:p>
        </w:tc>
        <w:tc>
          <w:tcPr>
            <w:tcW w:w="1403" w:type="pct"/>
            <w:shd w:val="clear" w:color="auto" w:fill="auto"/>
          </w:tcPr>
          <w:p w14:paraId="634A7BB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140 (46.4)/144 (48.6)</w:t>
            </w:r>
          </w:p>
        </w:tc>
        <w:tc>
          <w:tcPr>
            <w:tcW w:w="1169" w:type="pct"/>
            <w:shd w:val="clear" w:color="auto" w:fill="auto"/>
          </w:tcPr>
          <w:p w14:paraId="3B781E9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DYS susceptibility</w:t>
            </w:r>
          </w:p>
        </w:tc>
      </w:tr>
      <w:tr w:rsidR="0011105F" w:rsidRPr="003771AE" w14:paraId="0412AD86" w14:textId="77777777" w:rsidTr="0025251E">
        <w:trPr>
          <w:trHeight w:val="279"/>
        </w:trPr>
        <w:tc>
          <w:tcPr>
            <w:tcW w:w="559" w:type="pct"/>
            <w:shd w:val="clear" w:color="auto" w:fill="auto"/>
          </w:tcPr>
          <w:p w14:paraId="66CB399D"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1D6E311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275D751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AA</w:t>
            </w:r>
          </w:p>
        </w:tc>
        <w:tc>
          <w:tcPr>
            <w:tcW w:w="1403" w:type="pct"/>
            <w:shd w:val="clear" w:color="auto" w:fill="auto"/>
          </w:tcPr>
          <w:p w14:paraId="4762400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48 (15.9)/50 (16.9)</w:t>
            </w:r>
          </w:p>
        </w:tc>
        <w:tc>
          <w:tcPr>
            <w:tcW w:w="1169" w:type="pct"/>
            <w:shd w:val="clear" w:color="auto" w:fill="auto"/>
          </w:tcPr>
          <w:p w14:paraId="1F40629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2062D8AF" w14:textId="77777777" w:rsidTr="0025251E">
        <w:trPr>
          <w:trHeight w:val="279"/>
        </w:trPr>
        <w:tc>
          <w:tcPr>
            <w:tcW w:w="559" w:type="pct"/>
            <w:shd w:val="clear" w:color="auto" w:fill="auto"/>
          </w:tcPr>
          <w:p w14:paraId="5B97946B"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6125A33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IL-18RAP917997</w:t>
            </w:r>
          </w:p>
        </w:tc>
        <w:tc>
          <w:tcPr>
            <w:tcW w:w="1043" w:type="pct"/>
          </w:tcPr>
          <w:p w14:paraId="7BF24BD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w:t>
            </w:r>
            <w:r w:rsidRPr="003771AE">
              <w:rPr>
                <w:rFonts w:ascii="Book Antiqua" w:eastAsia="Calibri" w:hAnsi="Book Antiqua" w:cs="Times New Roman"/>
                <w:kern w:val="0"/>
                <w:sz w:val="24"/>
                <w:szCs w:val="24"/>
                <w:vertAlign w:val="superscript"/>
                <w:lang w:val="en-GB" w:eastAsia="en-US"/>
              </w:rPr>
              <w:t>a</w:t>
            </w:r>
          </w:p>
        </w:tc>
        <w:tc>
          <w:tcPr>
            <w:tcW w:w="1403" w:type="pct"/>
            <w:shd w:val="clear" w:color="auto" w:fill="auto"/>
          </w:tcPr>
          <w:p w14:paraId="19555EE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130 (43.9)/166 (56.3)</w:t>
            </w:r>
          </w:p>
        </w:tc>
        <w:tc>
          <w:tcPr>
            <w:tcW w:w="1169" w:type="pct"/>
            <w:shd w:val="clear" w:color="auto" w:fill="auto"/>
          </w:tcPr>
          <w:p w14:paraId="7B26F3C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ChAG susceptibility</w:t>
            </w:r>
          </w:p>
        </w:tc>
      </w:tr>
      <w:tr w:rsidR="0011105F" w:rsidRPr="003771AE" w14:paraId="7CE1F5DA" w14:textId="77777777" w:rsidTr="0025251E">
        <w:trPr>
          <w:trHeight w:val="279"/>
        </w:trPr>
        <w:tc>
          <w:tcPr>
            <w:tcW w:w="559" w:type="pct"/>
            <w:shd w:val="clear" w:color="auto" w:fill="auto"/>
          </w:tcPr>
          <w:p w14:paraId="0B1F7ED4"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525148E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1366C77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GG</w:t>
            </w:r>
          </w:p>
        </w:tc>
        <w:tc>
          <w:tcPr>
            <w:tcW w:w="1403" w:type="pct"/>
            <w:shd w:val="clear" w:color="auto" w:fill="auto"/>
          </w:tcPr>
          <w:p w14:paraId="68FF229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72 (24.3)/61 (20.7)</w:t>
            </w:r>
          </w:p>
        </w:tc>
        <w:tc>
          <w:tcPr>
            <w:tcW w:w="1169" w:type="pct"/>
            <w:shd w:val="clear" w:color="auto" w:fill="auto"/>
          </w:tcPr>
          <w:p w14:paraId="1EDF703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3A99B1BD" w14:textId="77777777" w:rsidTr="0025251E">
        <w:trPr>
          <w:trHeight w:val="279"/>
        </w:trPr>
        <w:tc>
          <w:tcPr>
            <w:tcW w:w="559" w:type="pct"/>
            <w:shd w:val="clear" w:color="auto" w:fill="auto"/>
          </w:tcPr>
          <w:p w14:paraId="03A1ABA7"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6C42D81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5B68F3E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w:t>
            </w:r>
          </w:p>
        </w:tc>
        <w:tc>
          <w:tcPr>
            <w:tcW w:w="1403" w:type="pct"/>
            <w:shd w:val="clear" w:color="auto" w:fill="auto"/>
          </w:tcPr>
          <w:p w14:paraId="6462917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167 (56.4)/166 (56.3)</w:t>
            </w:r>
          </w:p>
        </w:tc>
        <w:tc>
          <w:tcPr>
            <w:tcW w:w="1169" w:type="pct"/>
            <w:shd w:val="clear" w:color="auto" w:fill="auto"/>
          </w:tcPr>
          <w:p w14:paraId="3472FE7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susceptibility</w:t>
            </w:r>
          </w:p>
        </w:tc>
      </w:tr>
      <w:tr w:rsidR="0011105F" w:rsidRPr="003771AE" w14:paraId="74559BEC" w14:textId="77777777" w:rsidTr="0025251E">
        <w:trPr>
          <w:trHeight w:val="279"/>
        </w:trPr>
        <w:tc>
          <w:tcPr>
            <w:tcW w:w="559" w:type="pct"/>
            <w:shd w:val="clear" w:color="auto" w:fill="auto"/>
          </w:tcPr>
          <w:p w14:paraId="35447F92"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1FDECAB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4112F38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GG</w:t>
            </w:r>
          </w:p>
        </w:tc>
        <w:tc>
          <w:tcPr>
            <w:tcW w:w="1403" w:type="pct"/>
            <w:shd w:val="clear" w:color="auto" w:fill="auto"/>
          </w:tcPr>
          <w:p w14:paraId="0F14FB8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57 (19.3)/61 (20.7)</w:t>
            </w:r>
          </w:p>
        </w:tc>
        <w:tc>
          <w:tcPr>
            <w:tcW w:w="1169" w:type="pct"/>
            <w:shd w:val="clear" w:color="auto" w:fill="auto"/>
          </w:tcPr>
          <w:p w14:paraId="3302251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6A298C49" w14:textId="77777777" w:rsidTr="0025251E">
        <w:trPr>
          <w:trHeight w:val="279"/>
        </w:trPr>
        <w:tc>
          <w:tcPr>
            <w:tcW w:w="559" w:type="pct"/>
            <w:shd w:val="clear" w:color="auto" w:fill="auto"/>
          </w:tcPr>
          <w:p w14:paraId="134BB242"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5A025BD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2789A34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w:t>
            </w:r>
          </w:p>
        </w:tc>
        <w:tc>
          <w:tcPr>
            <w:tcW w:w="1403" w:type="pct"/>
            <w:shd w:val="clear" w:color="auto" w:fill="auto"/>
          </w:tcPr>
          <w:p w14:paraId="664A2E7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151 (50.0)/166 (56.3)</w:t>
            </w:r>
          </w:p>
        </w:tc>
        <w:tc>
          <w:tcPr>
            <w:tcW w:w="1169" w:type="pct"/>
            <w:shd w:val="clear" w:color="auto" w:fill="auto"/>
          </w:tcPr>
          <w:p w14:paraId="46E56A3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DYS susceptibility</w:t>
            </w:r>
          </w:p>
        </w:tc>
      </w:tr>
      <w:tr w:rsidR="0011105F" w:rsidRPr="003771AE" w14:paraId="1B2E8173" w14:textId="77777777" w:rsidTr="0025251E">
        <w:trPr>
          <w:trHeight w:val="279"/>
        </w:trPr>
        <w:tc>
          <w:tcPr>
            <w:tcW w:w="559" w:type="pct"/>
            <w:shd w:val="clear" w:color="auto" w:fill="auto"/>
          </w:tcPr>
          <w:p w14:paraId="56F7BC76"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7905E2F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71E01CD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GG</w:t>
            </w:r>
          </w:p>
        </w:tc>
        <w:tc>
          <w:tcPr>
            <w:tcW w:w="1403" w:type="pct"/>
            <w:shd w:val="clear" w:color="auto" w:fill="auto"/>
          </w:tcPr>
          <w:p w14:paraId="3DBFC73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66 (21.8)/61 (20.7)</w:t>
            </w:r>
          </w:p>
        </w:tc>
        <w:tc>
          <w:tcPr>
            <w:tcW w:w="1169" w:type="pct"/>
            <w:shd w:val="clear" w:color="auto" w:fill="auto"/>
          </w:tcPr>
          <w:p w14:paraId="014A51B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525E0F34" w14:textId="77777777" w:rsidTr="0025251E">
        <w:trPr>
          <w:trHeight w:val="279"/>
        </w:trPr>
        <w:tc>
          <w:tcPr>
            <w:tcW w:w="559" w:type="pct"/>
            <w:shd w:val="clear" w:color="auto" w:fill="auto"/>
          </w:tcPr>
          <w:p w14:paraId="6228DEAF"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54F3D6F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IL-1Brs1143627</w:t>
            </w:r>
          </w:p>
        </w:tc>
        <w:tc>
          <w:tcPr>
            <w:tcW w:w="1043" w:type="pct"/>
          </w:tcPr>
          <w:p w14:paraId="298AE62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TC</w:t>
            </w:r>
          </w:p>
        </w:tc>
        <w:tc>
          <w:tcPr>
            <w:tcW w:w="1403" w:type="pct"/>
            <w:shd w:val="clear" w:color="auto" w:fill="auto"/>
          </w:tcPr>
          <w:p w14:paraId="50AB210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152 (50.9)/144 (48.5)</w:t>
            </w:r>
          </w:p>
        </w:tc>
        <w:tc>
          <w:tcPr>
            <w:tcW w:w="1169" w:type="pct"/>
            <w:shd w:val="clear" w:color="auto" w:fill="auto"/>
          </w:tcPr>
          <w:p w14:paraId="501F0DB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ChAG susceptibility</w:t>
            </w:r>
          </w:p>
        </w:tc>
      </w:tr>
      <w:tr w:rsidR="0011105F" w:rsidRPr="003771AE" w14:paraId="04890848" w14:textId="77777777" w:rsidTr="0025251E">
        <w:trPr>
          <w:trHeight w:val="279"/>
        </w:trPr>
        <w:tc>
          <w:tcPr>
            <w:tcW w:w="559" w:type="pct"/>
            <w:shd w:val="clear" w:color="auto" w:fill="auto"/>
          </w:tcPr>
          <w:p w14:paraId="7D7A230A"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519F3F1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6543B34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CC</w:t>
            </w:r>
          </w:p>
        </w:tc>
        <w:tc>
          <w:tcPr>
            <w:tcW w:w="1403" w:type="pct"/>
            <w:shd w:val="clear" w:color="auto" w:fill="auto"/>
          </w:tcPr>
          <w:p w14:paraId="7140F8B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59 (19.7)/66 (22.2)</w:t>
            </w:r>
          </w:p>
        </w:tc>
        <w:tc>
          <w:tcPr>
            <w:tcW w:w="1169" w:type="pct"/>
            <w:shd w:val="clear" w:color="auto" w:fill="auto"/>
          </w:tcPr>
          <w:p w14:paraId="64935DF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780EB5EA" w14:textId="77777777" w:rsidTr="0025251E">
        <w:trPr>
          <w:trHeight w:val="279"/>
        </w:trPr>
        <w:tc>
          <w:tcPr>
            <w:tcW w:w="559" w:type="pct"/>
            <w:shd w:val="clear" w:color="auto" w:fill="auto"/>
          </w:tcPr>
          <w:p w14:paraId="180F5813"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1FB280E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1E0914D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TC</w:t>
            </w:r>
          </w:p>
        </w:tc>
        <w:tc>
          <w:tcPr>
            <w:tcW w:w="1403" w:type="pct"/>
            <w:shd w:val="clear" w:color="auto" w:fill="auto"/>
          </w:tcPr>
          <w:p w14:paraId="5D72131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148 (49.3)/144 (48.5)</w:t>
            </w:r>
          </w:p>
        </w:tc>
        <w:tc>
          <w:tcPr>
            <w:tcW w:w="1169" w:type="pct"/>
            <w:shd w:val="clear" w:color="auto" w:fill="auto"/>
          </w:tcPr>
          <w:p w14:paraId="7C52302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susceptibility</w:t>
            </w:r>
          </w:p>
        </w:tc>
      </w:tr>
      <w:tr w:rsidR="0011105F" w:rsidRPr="003771AE" w14:paraId="04E8C59E" w14:textId="77777777" w:rsidTr="0025251E">
        <w:trPr>
          <w:trHeight w:val="279"/>
        </w:trPr>
        <w:tc>
          <w:tcPr>
            <w:tcW w:w="559" w:type="pct"/>
            <w:shd w:val="clear" w:color="auto" w:fill="auto"/>
          </w:tcPr>
          <w:p w14:paraId="6765B92F"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447E1E8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35672FA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CC</w:t>
            </w:r>
          </w:p>
        </w:tc>
        <w:tc>
          <w:tcPr>
            <w:tcW w:w="1403" w:type="pct"/>
            <w:shd w:val="clear" w:color="auto" w:fill="auto"/>
          </w:tcPr>
          <w:p w14:paraId="529C4CD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68 (22.7)/66 (22.2)</w:t>
            </w:r>
          </w:p>
        </w:tc>
        <w:tc>
          <w:tcPr>
            <w:tcW w:w="1169" w:type="pct"/>
            <w:shd w:val="clear" w:color="auto" w:fill="auto"/>
          </w:tcPr>
          <w:p w14:paraId="513BF9B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51A6A823" w14:textId="77777777" w:rsidTr="0025251E">
        <w:trPr>
          <w:trHeight w:val="279"/>
        </w:trPr>
        <w:tc>
          <w:tcPr>
            <w:tcW w:w="559" w:type="pct"/>
            <w:shd w:val="clear" w:color="auto" w:fill="auto"/>
          </w:tcPr>
          <w:p w14:paraId="70F1FED6"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ECA39A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7F1364E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TC</w:t>
            </w:r>
          </w:p>
        </w:tc>
        <w:tc>
          <w:tcPr>
            <w:tcW w:w="1403" w:type="pct"/>
            <w:shd w:val="clear" w:color="auto" w:fill="auto"/>
          </w:tcPr>
          <w:p w14:paraId="261307E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158 (52.5)/144 (48.5)</w:t>
            </w:r>
          </w:p>
        </w:tc>
        <w:tc>
          <w:tcPr>
            <w:tcW w:w="1169" w:type="pct"/>
            <w:shd w:val="clear" w:color="auto" w:fill="auto"/>
          </w:tcPr>
          <w:p w14:paraId="4323DB7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DYS susceptibility</w:t>
            </w:r>
          </w:p>
        </w:tc>
      </w:tr>
      <w:tr w:rsidR="0011105F" w:rsidRPr="003771AE" w14:paraId="30F5D138" w14:textId="77777777" w:rsidTr="0025251E">
        <w:trPr>
          <w:trHeight w:val="279"/>
        </w:trPr>
        <w:tc>
          <w:tcPr>
            <w:tcW w:w="559" w:type="pct"/>
            <w:shd w:val="clear" w:color="auto" w:fill="auto"/>
          </w:tcPr>
          <w:p w14:paraId="018D2CFF"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2003E3C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50469C3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CC</w:t>
            </w:r>
          </w:p>
        </w:tc>
        <w:tc>
          <w:tcPr>
            <w:tcW w:w="1403" w:type="pct"/>
            <w:shd w:val="clear" w:color="auto" w:fill="auto"/>
          </w:tcPr>
          <w:p w14:paraId="3FE3DB8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71 (23.6)/66 (22.2)</w:t>
            </w:r>
          </w:p>
        </w:tc>
        <w:tc>
          <w:tcPr>
            <w:tcW w:w="1169" w:type="pct"/>
            <w:shd w:val="clear" w:color="auto" w:fill="auto"/>
          </w:tcPr>
          <w:p w14:paraId="2369E7F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04D6600D" w14:textId="77777777" w:rsidTr="0025251E">
        <w:trPr>
          <w:trHeight w:val="279"/>
        </w:trPr>
        <w:tc>
          <w:tcPr>
            <w:tcW w:w="559" w:type="pct"/>
            <w:shd w:val="clear" w:color="auto" w:fill="auto"/>
          </w:tcPr>
          <w:p w14:paraId="616811EE"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7084C75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IL-1Brs1143634</w:t>
            </w:r>
          </w:p>
        </w:tc>
        <w:tc>
          <w:tcPr>
            <w:tcW w:w="1043" w:type="pct"/>
          </w:tcPr>
          <w:p w14:paraId="30DFC2A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CT</w:t>
            </w:r>
          </w:p>
        </w:tc>
        <w:tc>
          <w:tcPr>
            <w:tcW w:w="1403" w:type="pct"/>
            <w:shd w:val="clear" w:color="auto" w:fill="auto"/>
          </w:tcPr>
          <w:p w14:paraId="133A373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15 (5.0)/21 (7.1)</w:t>
            </w:r>
          </w:p>
        </w:tc>
        <w:tc>
          <w:tcPr>
            <w:tcW w:w="1169" w:type="pct"/>
            <w:shd w:val="clear" w:color="auto" w:fill="auto"/>
          </w:tcPr>
          <w:p w14:paraId="3B63F5B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ChAG susceptibility</w:t>
            </w:r>
          </w:p>
        </w:tc>
      </w:tr>
      <w:tr w:rsidR="0011105F" w:rsidRPr="003771AE" w14:paraId="4D0C5239" w14:textId="77777777" w:rsidTr="0025251E">
        <w:trPr>
          <w:trHeight w:val="279"/>
        </w:trPr>
        <w:tc>
          <w:tcPr>
            <w:tcW w:w="559" w:type="pct"/>
            <w:shd w:val="clear" w:color="auto" w:fill="auto"/>
          </w:tcPr>
          <w:p w14:paraId="2F2F7BC9"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4BAC962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370A131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TT</w:t>
            </w:r>
          </w:p>
        </w:tc>
        <w:tc>
          <w:tcPr>
            <w:tcW w:w="1403" w:type="pct"/>
            <w:shd w:val="clear" w:color="auto" w:fill="auto"/>
          </w:tcPr>
          <w:p w14:paraId="188C266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0 (0.0)/1 (0.3)</w:t>
            </w:r>
          </w:p>
        </w:tc>
        <w:tc>
          <w:tcPr>
            <w:tcW w:w="1169" w:type="pct"/>
            <w:shd w:val="clear" w:color="auto" w:fill="auto"/>
          </w:tcPr>
          <w:p w14:paraId="53AA730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18603AD4" w14:textId="77777777" w:rsidTr="0025251E">
        <w:trPr>
          <w:trHeight w:val="279"/>
        </w:trPr>
        <w:tc>
          <w:tcPr>
            <w:tcW w:w="559" w:type="pct"/>
            <w:shd w:val="clear" w:color="auto" w:fill="auto"/>
          </w:tcPr>
          <w:p w14:paraId="6CBB3DC1"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663D084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4E736CA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CT</w:t>
            </w:r>
          </w:p>
        </w:tc>
        <w:tc>
          <w:tcPr>
            <w:tcW w:w="1403" w:type="pct"/>
            <w:shd w:val="clear" w:color="auto" w:fill="auto"/>
          </w:tcPr>
          <w:p w14:paraId="3D1CFD5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14 (4.7)/21 (7.1)</w:t>
            </w:r>
          </w:p>
        </w:tc>
        <w:tc>
          <w:tcPr>
            <w:tcW w:w="1169" w:type="pct"/>
            <w:shd w:val="clear" w:color="auto" w:fill="auto"/>
          </w:tcPr>
          <w:p w14:paraId="1C30D4C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susceptibility</w:t>
            </w:r>
          </w:p>
        </w:tc>
      </w:tr>
      <w:tr w:rsidR="0011105F" w:rsidRPr="003771AE" w14:paraId="54FA3977" w14:textId="77777777" w:rsidTr="0025251E">
        <w:trPr>
          <w:trHeight w:val="279"/>
        </w:trPr>
        <w:tc>
          <w:tcPr>
            <w:tcW w:w="559" w:type="pct"/>
            <w:shd w:val="clear" w:color="auto" w:fill="auto"/>
          </w:tcPr>
          <w:p w14:paraId="3EBD8AA4"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87C953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2E74239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TT</w:t>
            </w:r>
          </w:p>
        </w:tc>
        <w:tc>
          <w:tcPr>
            <w:tcW w:w="1403" w:type="pct"/>
            <w:shd w:val="clear" w:color="auto" w:fill="auto"/>
          </w:tcPr>
          <w:p w14:paraId="3886007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0 (0.0)/1 (0.3)</w:t>
            </w:r>
          </w:p>
        </w:tc>
        <w:tc>
          <w:tcPr>
            <w:tcW w:w="1169" w:type="pct"/>
            <w:shd w:val="clear" w:color="auto" w:fill="auto"/>
          </w:tcPr>
          <w:p w14:paraId="07CCC04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04FE5B5F" w14:textId="77777777" w:rsidTr="0025251E">
        <w:trPr>
          <w:trHeight w:val="279"/>
        </w:trPr>
        <w:tc>
          <w:tcPr>
            <w:tcW w:w="559" w:type="pct"/>
            <w:shd w:val="clear" w:color="auto" w:fill="auto"/>
          </w:tcPr>
          <w:p w14:paraId="1E7B6EDD"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058C59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68A0F94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CT</w:t>
            </w:r>
          </w:p>
        </w:tc>
        <w:tc>
          <w:tcPr>
            <w:tcW w:w="1403" w:type="pct"/>
            <w:shd w:val="clear" w:color="auto" w:fill="auto"/>
          </w:tcPr>
          <w:p w14:paraId="02875D2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13 (4.3)/21 (7.1)</w:t>
            </w:r>
          </w:p>
        </w:tc>
        <w:tc>
          <w:tcPr>
            <w:tcW w:w="1169" w:type="pct"/>
            <w:shd w:val="clear" w:color="auto" w:fill="auto"/>
          </w:tcPr>
          <w:p w14:paraId="1E0D72E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DYS susceptibility</w:t>
            </w:r>
          </w:p>
        </w:tc>
      </w:tr>
      <w:tr w:rsidR="0011105F" w:rsidRPr="003771AE" w14:paraId="75062B26" w14:textId="77777777" w:rsidTr="0025251E">
        <w:trPr>
          <w:trHeight w:val="279"/>
        </w:trPr>
        <w:tc>
          <w:tcPr>
            <w:tcW w:w="559" w:type="pct"/>
            <w:shd w:val="clear" w:color="auto" w:fill="auto"/>
          </w:tcPr>
          <w:p w14:paraId="2D040642"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E70D50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19A9A9E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TT</w:t>
            </w:r>
          </w:p>
        </w:tc>
        <w:tc>
          <w:tcPr>
            <w:tcW w:w="1403" w:type="pct"/>
            <w:shd w:val="clear" w:color="auto" w:fill="auto"/>
          </w:tcPr>
          <w:p w14:paraId="1CE8423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0 (0.0)/1 (0.3)</w:t>
            </w:r>
          </w:p>
        </w:tc>
        <w:tc>
          <w:tcPr>
            <w:tcW w:w="1169" w:type="pct"/>
            <w:shd w:val="clear" w:color="auto" w:fill="auto"/>
          </w:tcPr>
          <w:p w14:paraId="1540E10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642B636E" w14:textId="77777777" w:rsidTr="0025251E">
        <w:trPr>
          <w:trHeight w:val="279"/>
        </w:trPr>
        <w:tc>
          <w:tcPr>
            <w:tcW w:w="559" w:type="pct"/>
            <w:shd w:val="clear" w:color="auto" w:fill="auto"/>
          </w:tcPr>
          <w:p w14:paraId="08B24DF0"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3B64B0D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IL-1Brs16944</w:t>
            </w:r>
          </w:p>
        </w:tc>
        <w:tc>
          <w:tcPr>
            <w:tcW w:w="1043" w:type="pct"/>
          </w:tcPr>
          <w:p w14:paraId="20E16BA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GA</w:t>
            </w:r>
          </w:p>
        </w:tc>
        <w:tc>
          <w:tcPr>
            <w:tcW w:w="1403" w:type="pct"/>
            <w:shd w:val="clear" w:color="auto" w:fill="auto"/>
          </w:tcPr>
          <w:p w14:paraId="02EC5C1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153 (51.2)/143 (48.2)</w:t>
            </w:r>
          </w:p>
        </w:tc>
        <w:tc>
          <w:tcPr>
            <w:tcW w:w="1169" w:type="pct"/>
            <w:shd w:val="clear" w:color="auto" w:fill="auto"/>
          </w:tcPr>
          <w:p w14:paraId="4096619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ChAG susceptibility</w:t>
            </w:r>
          </w:p>
        </w:tc>
      </w:tr>
      <w:tr w:rsidR="0011105F" w:rsidRPr="003771AE" w14:paraId="392436EC" w14:textId="77777777" w:rsidTr="0025251E">
        <w:trPr>
          <w:trHeight w:val="279"/>
        </w:trPr>
        <w:tc>
          <w:tcPr>
            <w:tcW w:w="559" w:type="pct"/>
            <w:shd w:val="clear" w:color="auto" w:fill="auto"/>
          </w:tcPr>
          <w:p w14:paraId="6F9267EC"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5EA9B75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2FEAEF4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AA</w:t>
            </w:r>
          </w:p>
        </w:tc>
        <w:tc>
          <w:tcPr>
            <w:tcW w:w="1403" w:type="pct"/>
            <w:shd w:val="clear" w:color="auto" w:fill="auto"/>
          </w:tcPr>
          <w:p w14:paraId="62E94D0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57 (19.0)/66 (22.2)</w:t>
            </w:r>
          </w:p>
        </w:tc>
        <w:tc>
          <w:tcPr>
            <w:tcW w:w="1169" w:type="pct"/>
            <w:shd w:val="clear" w:color="auto" w:fill="auto"/>
          </w:tcPr>
          <w:p w14:paraId="2B3C08A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3C5FD0D5" w14:textId="77777777" w:rsidTr="0025251E">
        <w:trPr>
          <w:trHeight w:val="279"/>
        </w:trPr>
        <w:tc>
          <w:tcPr>
            <w:tcW w:w="559" w:type="pct"/>
            <w:shd w:val="clear" w:color="auto" w:fill="auto"/>
          </w:tcPr>
          <w:p w14:paraId="3D5BD02E"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64E436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037BFC2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GA</w:t>
            </w:r>
          </w:p>
        </w:tc>
        <w:tc>
          <w:tcPr>
            <w:tcW w:w="1403" w:type="pct"/>
            <w:shd w:val="clear" w:color="auto" w:fill="auto"/>
          </w:tcPr>
          <w:p w14:paraId="4685B0D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147 (49.0)/143 (48.2)</w:t>
            </w:r>
          </w:p>
        </w:tc>
        <w:tc>
          <w:tcPr>
            <w:tcW w:w="1169" w:type="pct"/>
            <w:shd w:val="clear" w:color="auto" w:fill="auto"/>
          </w:tcPr>
          <w:p w14:paraId="11DF3E2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susceptibility</w:t>
            </w:r>
          </w:p>
        </w:tc>
      </w:tr>
      <w:tr w:rsidR="0011105F" w:rsidRPr="003771AE" w14:paraId="536CF5A5" w14:textId="77777777" w:rsidTr="0025251E">
        <w:trPr>
          <w:trHeight w:val="279"/>
        </w:trPr>
        <w:tc>
          <w:tcPr>
            <w:tcW w:w="559" w:type="pct"/>
            <w:shd w:val="clear" w:color="auto" w:fill="auto"/>
          </w:tcPr>
          <w:p w14:paraId="42DB487B"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71786D0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33FA7C6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AA</w:t>
            </w:r>
          </w:p>
        </w:tc>
        <w:tc>
          <w:tcPr>
            <w:tcW w:w="1403" w:type="pct"/>
            <w:shd w:val="clear" w:color="auto" w:fill="auto"/>
          </w:tcPr>
          <w:p w14:paraId="2B84634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67 (22.3)/66 (22.2)</w:t>
            </w:r>
          </w:p>
        </w:tc>
        <w:tc>
          <w:tcPr>
            <w:tcW w:w="1169" w:type="pct"/>
            <w:shd w:val="clear" w:color="auto" w:fill="auto"/>
          </w:tcPr>
          <w:p w14:paraId="10E2449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3958324F" w14:textId="77777777" w:rsidTr="0025251E">
        <w:trPr>
          <w:trHeight w:val="279"/>
        </w:trPr>
        <w:tc>
          <w:tcPr>
            <w:tcW w:w="559" w:type="pct"/>
            <w:shd w:val="clear" w:color="auto" w:fill="auto"/>
          </w:tcPr>
          <w:p w14:paraId="161890AA"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4772757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0D1045E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GA</w:t>
            </w:r>
          </w:p>
        </w:tc>
        <w:tc>
          <w:tcPr>
            <w:tcW w:w="1403" w:type="pct"/>
            <w:shd w:val="clear" w:color="auto" w:fill="auto"/>
          </w:tcPr>
          <w:p w14:paraId="4457285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156 (51.6)/143 (48.2)</w:t>
            </w:r>
          </w:p>
        </w:tc>
        <w:tc>
          <w:tcPr>
            <w:tcW w:w="1169" w:type="pct"/>
            <w:shd w:val="clear" w:color="auto" w:fill="auto"/>
          </w:tcPr>
          <w:p w14:paraId="5EB3F8A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DYS susceptibility</w:t>
            </w:r>
          </w:p>
        </w:tc>
      </w:tr>
      <w:tr w:rsidR="0011105F" w:rsidRPr="003771AE" w14:paraId="2A3C73CF" w14:textId="77777777" w:rsidTr="0025251E">
        <w:trPr>
          <w:trHeight w:val="279"/>
        </w:trPr>
        <w:tc>
          <w:tcPr>
            <w:tcW w:w="559" w:type="pct"/>
            <w:shd w:val="clear" w:color="auto" w:fill="auto"/>
          </w:tcPr>
          <w:p w14:paraId="078EC749"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B7FF30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469BB75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AA</w:t>
            </w:r>
          </w:p>
        </w:tc>
        <w:tc>
          <w:tcPr>
            <w:tcW w:w="1403" w:type="pct"/>
            <w:shd w:val="clear" w:color="auto" w:fill="auto"/>
          </w:tcPr>
          <w:p w14:paraId="5ED4CC2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70 (23.2)/66 (22.2)</w:t>
            </w:r>
          </w:p>
        </w:tc>
        <w:tc>
          <w:tcPr>
            <w:tcW w:w="1169" w:type="pct"/>
            <w:shd w:val="clear" w:color="auto" w:fill="auto"/>
          </w:tcPr>
          <w:p w14:paraId="24AA098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7C8734B3" w14:textId="77777777" w:rsidTr="0025251E">
        <w:trPr>
          <w:trHeight w:val="279"/>
        </w:trPr>
        <w:tc>
          <w:tcPr>
            <w:tcW w:w="559" w:type="pct"/>
            <w:shd w:val="clear" w:color="auto" w:fill="auto"/>
          </w:tcPr>
          <w:p w14:paraId="6C339806"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125C177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IL-4Rrs2057768</w:t>
            </w:r>
          </w:p>
        </w:tc>
        <w:tc>
          <w:tcPr>
            <w:tcW w:w="1043" w:type="pct"/>
          </w:tcPr>
          <w:p w14:paraId="71FDF33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w:t>
            </w:r>
          </w:p>
        </w:tc>
        <w:tc>
          <w:tcPr>
            <w:tcW w:w="1403" w:type="pct"/>
            <w:shd w:val="clear" w:color="auto" w:fill="auto"/>
          </w:tcPr>
          <w:p w14:paraId="366993C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140 (46.8)/150 (50.7)</w:t>
            </w:r>
          </w:p>
        </w:tc>
        <w:tc>
          <w:tcPr>
            <w:tcW w:w="1169" w:type="pct"/>
            <w:shd w:val="clear" w:color="auto" w:fill="auto"/>
          </w:tcPr>
          <w:p w14:paraId="0B55FAE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ChAG susceptibility</w:t>
            </w:r>
          </w:p>
        </w:tc>
      </w:tr>
      <w:tr w:rsidR="0011105F" w:rsidRPr="003771AE" w14:paraId="179AC829" w14:textId="77777777" w:rsidTr="0025251E">
        <w:trPr>
          <w:trHeight w:val="279"/>
        </w:trPr>
        <w:tc>
          <w:tcPr>
            <w:tcW w:w="559" w:type="pct"/>
            <w:shd w:val="clear" w:color="auto" w:fill="auto"/>
          </w:tcPr>
          <w:p w14:paraId="69FDAD7D"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43F574F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3A96134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GG</w:t>
            </w:r>
          </w:p>
        </w:tc>
        <w:tc>
          <w:tcPr>
            <w:tcW w:w="1403" w:type="pct"/>
            <w:shd w:val="clear" w:color="auto" w:fill="auto"/>
          </w:tcPr>
          <w:p w14:paraId="2A6E974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71 (23.8)/61 (20.6)</w:t>
            </w:r>
          </w:p>
        </w:tc>
        <w:tc>
          <w:tcPr>
            <w:tcW w:w="1169" w:type="pct"/>
            <w:shd w:val="clear" w:color="auto" w:fill="auto"/>
          </w:tcPr>
          <w:p w14:paraId="6FAE951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7A67D08B" w14:textId="77777777" w:rsidTr="0025251E">
        <w:trPr>
          <w:trHeight w:val="279"/>
        </w:trPr>
        <w:tc>
          <w:tcPr>
            <w:tcW w:w="559" w:type="pct"/>
            <w:shd w:val="clear" w:color="auto" w:fill="auto"/>
          </w:tcPr>
          <w:p w14:paraId="27FD8BE9"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44ED3A4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5BE12DA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w:t>
            </w:r>
          </w:p>
        </w:tc>
        <w:tc>
          <w:tcPr>
            <w:tcW w:w="1403" w:type="pct"/>
            <w:shd w:val="clear" w:color="auto" w:fill="auto"/>
          </w:tcPr>
          <w:p w14:paraId="68A034A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129 (43.1)/150 (50.7)</w:t>
            </w:r>
          </w:p>
        </w:tc>
        <w:tc>
          <w:tcPr>
            <w:tcW w:w="1169" w:type="pct"/>
            <w:shd w:val="clear" w:color="auto" w:fill="auto"/>
          </w:tcPr>
          <w:p w14:paraId="6511E41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susceptibility</w:t>
            </w:r>
          </w:p>
        </w:tc>
      </w:tr>
      <w:tr w:rsidR="0011105F" w:rsidRPr="003771AE" w14:paraId="42E41083" w14:textId="77777777" w:rsidTr="0025251E">
        <w:trPr>
          <w:trHeight w:val="279"/>
        </w:trPr>
        <w:tc>
          <w:tcPr>
            <w:tcW w:w="559" w:type="pct"/>
            <w:shd w:val="clear" w:color="auto" w:fill="auto"/>
          </w:tcPr>
          <w:p w14:paraId="7BB8594E"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6A470C6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42B4C4F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GG</w:t>
            </w:r>
          </w:p>
        </w:tc>
        <w:tc>
          <w:tcPr>
            <w:tcW w:w="1403" w:type="pct"/>
            <w:shd w:val="clear" w:color="auto" w:fill="auto"/>
          </w:tcPr>
          <w:p w14:paraId="2BF5B60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80 (26.8)/61 (20.6)</w:t>
            </w:r>
          </w:p>
        </w:tc>
        <w:tc>
          <w:tcPr>
            <w:tcW w:w="1169" w:type="pct"/>
            <w:shd w:val="clear" w:color="auto" w:fill="auto"/>
          </w:tcPr>
          <w:p w14:paraId="0C5563D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0846577B" w14:textId="77777777" w:rsidTr="0025251E">
        <w:trPr>
          <w:trHeight w:val="279"/>
        </w:trPr>
        <w:tc>
          <w:tcPr>
            <w:tcW w:w="559" w:type="pct"/>
            <w:shd w:val="clear" w:color="auto" w:fill="auto"/>
          </w:tcPr>
          <w:p w14:paraId="425A5086"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1DD003D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50301CC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w:t>
            </w:r>
          </w:p>
        </w:tc>
        <w:tc>
          <w:tcPr>
            <w:tcW w:w="1403" w:type="pct"/>
            <w:shd w:val="clear" w:color="auto" w:fill="auto"/>
          </w:tcPr>
          <w:p w14:paraId="60CDF28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154 (51.2)/150 (50.7)</w:t>
            </w:r>
          </w:p>
        </w:tc>
        <w:tc>
          <w:tcPr>
            <w:tcW w:w="1169" w:type="pct"/>
            <w:shd w:val="clear" w:color="auto" w:fill="auto"/>
          </w:tcPr>
          <w:p w14:paraId="57DE5A9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DYS susceptibility</w:t>
            </w:r>
          </w:p>
        </w:tc>
      </w:tr>
      <w:tr w:rsidR="0011105F" w:rsidRPr="003771AE" w14:paraId="050707B8" w14:textId="77777777" w:rsidTr="0025251E">
        <w:trPr>
          <w:trHeight w:val="279"/>
        </w:trPr>
        <w:tc>
          <w:tcPr>
            <w:tcW w:w="559" w:type="pct"/>
            <w:shd w:val="clear" w:color="auto" w:fill="auto"/>
          </w:tcPr>
          <w:p w14:paraId="0D96D07F"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6DC93E3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5C640ED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GG</w:t>
            </w:r>
          </w:p>
        </w:tc>
        <w:tc>
          <w:tcPr>
            <w:tcW w:w="1403" w:type="pct"/>
            <w:shd w:val="clear" w:color="auto" w:fill="auto"/>
          </w:tcPr>
          <w:p w14:paraId="059AC9C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59 (19.6)/61 (20.6)</w:t>
            </w:r>
          </w:p>
        </w:tc>
        <w:tc>
          <w:tcPr>
            <w:tcW w:w="1169" w:type="pct"/>
            <w:shd w:val="clear" w:color="auto" w:fill="auto"/>
          </w:tcPr>
          <w:p w14:paraId="1E3C293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49F34F22" w14:textId="77777777" w:rsidTr="0025251E">
        <w:trPr>
          <w:trHeight w:val="279"/>
        </w:trPr>
        <w:tc>
          <w:tcPr>
            <w:tcW w:w="559" w:type="pct"/>
            <w:shd w:val="clear" w:color="auto" w:fill="auto"/>
          </w:tcPr>
          <w:p w14:paraId="79BFC94D"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4D9A764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IL-10rs1800896</w:t>
            </w:r>
          </w:p>
        </w:tc>
        <w:tc>
          <w:tcPr>
            <w:tcW w:w="1043" w:type="pct"/>
          </w:tcPr>
          <w:p w14:paraId="39B92E0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w:t>
            </w:r>
          </w:p>
        </w:tc>
        <w:tc>
          <w:tcPr>
            <w:tcW w:w="1403" w:type="pct"/>
            <w:shd w:val="clear" w:color="auto" w:fill="auto"/>
          </w:tcPr>
          <w:p w14:paraId="1027BC6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61 (20.4)/53 (17.9)</w:t>
            </w:r>
          </w:p>
        </w:tc>
        <w:tc>
          <w:tcPr>
            <w:tcW w:w="1169" w:type="pct"/>
            <w:shd w:val="clear" w:color="auto" w:fill="auto"/>
          </w:tcPr>
          <w:p w14:paraId="5F72960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ChAG susceptibility</w:t>
            </w:r>
          </w:p>
        </w:tc>
      </w:tr>
      <w:tr w:rsidR="0011105F" w:rsidRPr="003771AE" w14:paraId="61EC19BA" w14:textId="77777777" w:rsidTr="0025251E">
        <w:trPr>
          <w:trHeight w:val="279"/>
        </w:trPr>
        <w:tc>
          <w:tcPr>
            <w:tcW w:w="559" w:type="pct"/>
            <w:shd w:val="clear" w:color="auto" w:fill="auto"/>
          </w:tcPr>
          <w:p w14:paraId="162FA019"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3C1DA34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580D4CC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GG</w:t>
            </w:r>
          </w:p>
        </w:tc>
        <w:tc>
          <w:tcPr>
            <w:tcW w:w="1403" w:type="pct"/>
            <w:shd w:val="clear" w:color="auto" w:fill="auto"/>
          </w:tcPr>
          <w:p w14:paraId="11476FC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 (0.3)/3 (1.0)</w:t>
            </w:r>
          </w:p>
        </w:tc>
        <w:tc>
          <w:tcPr>
            <w:tcW w:w="1169" w:type="pct"/>
            <w:shd w:val="clear" w:color="auto" w:fill="auto"/>
          </w:tcPr>
          <w:p w14:paraId="7C97AD9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0B5132AD" w14:textId="77777777" w:rsidTr="0025251E">
        <w:trPr>
          <w:trHeight w:val="279"/>
        </w:trPr>
        <w:tc>
          <w:tcPr>
            <w:tcW w:w="559" w:type="pct"/>
            <w:shd w:val="clear" w:color="auto" w:fill="auto"/>
          </w:tcPr>
          <w:p w14:paraId="39A3EFAE"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612EAA6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564BC9C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w:t>
            </w:r>
          </w:p>
        </w:tc>
        <w:tc>
          <w:tcPr>
            <w:tcW w:w="1403" w:type="pct"/>
            <w:shd w:val="clear" w:color="auto" w:fill="auto"/>
          </w:tcPr>
          <w:p w14:paraId="348865A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53 (17.6)/53 (17.9)</w:t>
            </w:r>
          </w:p>
        </w:tc>
        <w:tc>
          <w:tcPr>
            <w:tcW w:w="1169" w:type="pct"/>
            <w:shd w:val="clear" w:color="auto" w:fill="auto"/>
          </w:tcPr>
          <w:p w14:paraId="6FB1994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susceptibility</w:t>
            </w:r>
          </w:p>
        </w:tc>
      </w:tr>
      <w:tr w:rsidR="0011105F" w:rsidRPr="003771AE" w14:paraId="3BA97235" w14:textId="77777777" w:rsidTr="0025251E">
        <w:trPr>
          <w:trHeight w:val="279"/>
        </w:trPr>
        <w:tc>
          <w:tcPr>
            <w:tcW w:w="559" w:type="pct"/>
            <w:shd w:val="clear" w:color="auto" w:fill="auto"/>
          </w:tcPr>
          <w:p w14:paraId="4511C53A"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55C82C9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7B648E7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GG</w:t>
            </w:r>
          </w:p>
        </w:tc>
        <w:tc>
          <w:tcPr>
            <w:tcW w:w="1403" w:type="pct"/>
            <w:shd w:val="clear" w:color="auto" w:fill="auto"/>
          </w:tcPr>
          <w:p w14:paraId="5BBAB96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5 (1.7)/3 (1.0)</w:t>
            </w:r>
          </w:p>
        </w:tc>
        <w:tc>
          <w:tcPr>
            <w:tcW w:w="1169" w:type="pct"/>
            <w:shd w:val="clear" w:color="auto" w:fill="auto"/>
          </w:tcPr>
          <w:p w14:paraId="2568AC5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454770C6" w14:textId="77777777" w:rsidTr="0025251E">
        <w:trPr>
          <w:trHeight w:val="279"/>
        </w:trPr>
        <w:tc>
          <w:tcPr>
            <w:tcW w:w="559" w:type="pct"/>
            <w:shd w:val="clear" w:color="auto" w:fill="auto"/>
          </w:tcPr>
          <w:p w14:paraId="6E8F2FD8"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62B747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4C1F005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w:t>
            </w:r>
          </w:p>
        </w:tc>
        <w:tc>
          <w:tcPr>
            <w:tcW w:w="1403" w:type="pct"/>
            <w:shd w:val="clear" w:color="auto" w:fill="auto"/>
          </w:tcPr>
          <w:p w14:paraId="5C5E16E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52 (17.3)/53 (17.9)</w:t>
            </w:r>
          </w:p>
        </w:tc>
        <w:tc>
          <w:tcPr>
            <w:tcW w:w="1169" w:type="pct"/>
            <w:shd w:val="clear" w:color="auto" w:fill="auto"/>
          </w:tcPr>
          <w:p w14:paraId="20A06B7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DYS susceptibility</w:t>
            </w:r>
          </w:p>
        </w:tc>
      </w:tr>
      <w:tr w:rsidR="0011105F" w:rsidRPr="003771AE" w14:paraId="2C305560" w14:textId="77777777" w:rsidTr="0025251E">
        <w:trPr>
          <w:trHeight w:val="279"/>
        </w:trPr>
        <w:tc>
          <w:tcPr>
            <w:tcW w:w="559" w:type="pct"/>
            <w:shd w:val="clear" w:color="auto" w:fill="auto"/>
          </w:tcPr>
          <w:p w14:paraId="60BE2CC7"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7AC8A7C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7ED892A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GG</w:t>
            </w:r>
          </w:p>
        </w:tc>
        <w:tc>
          <w:tcPr>
            <w:tcW w:w="1403" w:type="pct"/>
            <w:shd w:val="clear" w:color="auto" w:fill="auto"/>
          </w:tcPr>
          <w:p w14:paraId="557F983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 (0.7)/3 (1.0)</w:t>
            </w:r>
          </w:p>
        </w:tc>
        <w:tc>
          <w:tcPr>
            <w:tcW w:w="1169" w:type="pct"/>
            <w:shd w:val="clear" w:color="auto" w:fill="auto"/>
          </w:tcPr>
          <w:p w14:paraId="1AFE633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72245C78" w14:textId="77777777" w:rsidTr="0025251E">
        <w:trPr>
          <w:trHeight w:val="279"/>
        </w:trPr>
        <w:tc>
          <w:tcPr>
            <w:tcW w:w="559" w:type="pct"/>
            <w:shd w:val="clear" w:color="auto" w:fill="auto"/>
          </w:tcPr>
          <w:p w14:paraId="5548000B"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46367A5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IL-32rs2015620</w:t>
            </w:r>
          </w:p>
        </w:tc>
        <w:tc>
          <w:tcPr>
            <w:tcW w:w="1043" w:type="pct"/>
          </w:tcPr>
          <w:p w14:paraId="33012FD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AT</w:t>
            </w:r>
          </w:p>
        </w:tc>
        <w:tc>
          <w:tcPr>
            <w:tcW w:w="1403" w:type="pct"/>
            <w:shd w:val="clear" w:color="auto" w:fill="auto"/>
          </w:tcPr>
          <w:p w14:paraId="4F95B7E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135 (45.8)/133 (45.7)</w:t>
            </w:r>
          </w:p>
        </w:tc>
        <w:tc>
          <w:tcPr>
            <w:tcW w:w="1169" w:type="pct"/>
            <w:shd w:val="clear" w:color="auto" w:fill="auto"/>
          </w:tcPr>
          <w:p w14:paraId="3DBC0BF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ChAG susceptibility</w:t>
            </w:r>
          </w:p>
        </w:tc>
      </w:tr>
      <w:tr w:rsidR="0011105F" w:rsidRPr="003771AE" w14:paraId="21AEA1BC" w14:textId="77777777" w:rsidTr="0025251E">
        <w:trPr>
          <w:trHeight w:val="279"/>
        </w:trPr>
        <w:tc>
          <w:tcPr>
            <w:tcW w:w="559" w:type="pct"/>
            <w:shd w:val="clear" w:color="auto" w:fill="auto"/>
          </w:tcPr>
          <w:p w14:paraId="77FC61F3"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284698F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3766448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TT</w:t>
            </w:r>
          </w:p>
        </w:tc>
        <w:tc>
          <w:tcPr>
            <w:tcW w:w="1403" w:type="pct"/>
            <w:shd w:val="clear" w:color="auto" w:fill="auto"/>
          </w:tcPr>
          <w:p w14:paraId="695F7C8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78 (26.4)/82 (28.2)</w:t>
            </w:r>
          </w:p>
        </w:tc>
        <w:tc>
          <w:tcPr>
            <w:tcW w:w="1169" w:type="pct"/>
            <w:shd w:val="clear" w:color="auto" w:fill="auto"/>
          </w:tcPr>
          <w:p w14:paraId="0F393B8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3F97D650" w14:textId="77777777" w:rsidTr="0025251E">
        <w:trPr>
          <w:trHeight w:val="279"/>
        </w:trPr>
        <w:tc>
          <w:tcPr>
            <w:tcW w:w="559" w:type="pct"/>
            <w:shd w:val="clear" w:color="auto" w:fill="auto"/>
          </w:tcPr>
          <w:p w14:paraId="437F7965"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C60F83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7F1E949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AT</w:t>
            </w:r>
          </w:p>
        </w:tc>
        <w:tc>
          <w:tcPr>
            <w:tcW w:w="1403" w:type="pct"/>
            <w:shd w:val="clear" w:color="auto" w:fill="auto"/>
          </w:tcPr>
          <w:p w14:paraId="533668E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144 (48.8)/133 (45.7)</w:t>
            </w:r>
          </w:p>
        </w:tc>
        <w:tc>
          <w:tcPr>
            <w:tcW w:w="1169" w:type="pct"/>
            <w:shd w:val="clear" w:color="auto" w:fill="auto"/>
          </w:tcPr>
          <w:p w14:paraId="6964157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susceptibility</w:t>
            </w:r>
          </w:p>
        </w:tc>
      </w:tr>
      <w:tr w:rsidR="0011105F" w:rsidRPr="003771AE" w14:paraId="4D697ED4" w14:textId="77777777" w:rsidTr="0025251E">
        <w:trPr>
          <w:trHeight w:val="279"/>
        </w:trPr>
        <w:tc>
          <w:tcPr>
            <w:tcW w:w="559" w:type="pct"/>
            <w:shd w:val="clear" w:color="auto" w:fill="auto"/>
          </w:tcPr>
          <w:p w14:paraId="3F05865E"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52008CA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7A21C27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TT</w:t>
            </w:r>
          </w:p>
        </w:tc>
        <w:tc>
          <w:tcPr>
            <w:tcW w:w="1403" w:type="pct"/>
            <w:shd w:val="clear" w:color="auto" w:fill="auto"/>
          </w:tcPr>
          <w:p w14:paraId="7C2DD4C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73 (24.8)/82 (28.2)</w:t>
            </w:r>
          </w:p>
        </w:tc>
        <w:tc>
          <w:tcPr>
            <w:tcW w:w="1169" w:type="pct"/>
            <w:shd w:val="clear" w:color="auto" w:fill="auto"/>
          </w:tcPr>
          <w:p w14:paraId="05489AD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6FF2082F" w14:textId="77777777" w:rsidTr="0025251E">
        <w:trPr>
          <w:trHeight w:val="279"/>
        </w:trPr>
        <w:tc>
          <w:tcPr>
            <w:tcW w:w="559" w:type="pct"/>
            <w:shd w:val="clear" w:color="auto" w:fill="auto"/>
          </w:tcPr>
          <w:p w14:paraId="6333587D"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43D6AC9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1DA72BD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AT</w:t>
            </w:r>
          </w:p>
        </w:tc>
        <w:tc>
          <w:tcPr>
            <w:tcW w:w="1403" w:type="pct"/>
            <w:shd w:val="clear" w:color="auto" w:fill="auto"/>
          </w:tcPr>
          <w:p w14:paraId="314A9A6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151 (50.0)/133 (45.7)</w:t>
            </w:r>
          </w:p>
        </w:tc>
        <w:tc>
          <w:tcPr>
            <w:tcW w:w="1169" w:type="pct"/>
            <w:shd w:val="clear" w:color="auto" w:fill="auto"/>
          </w:tcPr>
          <w:p w14:paraId="1612F29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DYS susceptibility</w:t>
            </w:r>
          </w:p>
        </w:tc>
      </w:tr>
      <w:tr w:rsidR="0011105F" w:rsidRPr="003771AE" w14:paraId="541B226F" w14:textId="77777777" w:rsidTr="0025251E">
        <w:trPr>
          <w:trHeight w:val="279"/>
        </w:trPr>
        <w:tc>
          <w:tcPr>
            <w:tcW w:w="559" w:type="pct"/>
            <w:shd w:val="clear" w:color="auto" w:fill="auto"/>
          </w:tcPr>
          <w:p w14:paraId="3330F826"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78AC940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0FB8DD8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TT</w:t>
            </w:r>
          </w:p>
        </w:tc>
        <w:tc>
          <w:tcPr>
            <w:tcW w:w="1403" w:type="pct"/>
            <w:shd w:val="clear" w:color="auto" w:fill="auto"/>
          </w:tcPr>
          <w:p w14:paraId="4216D15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76 (25.2)/82 (28.2)</w:t>
            </w:r>
          </w:p>
        </w:tc>
        <w:tc>
          <w:tcPr>
            <w:tcW w:w="1169" w:type="pct"/>
            <w:shd w:val="clear" w:color="auto" w:fill="auto"/>
          </w:tcPr>
          <w:p w14:paraId="0068EB6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276309AE" w14:textId="77777777" w:rsidTr="0025251E">
        <w:trPr>
          <w:trHeight w:val="279"/>
        </w:trPr>
        <w:tc>
          <w:tcPr>
            <w:tcW w:w="559" w:type="pct"/>
            <w:shd w:val="clear" w:color="auto" w:fill="auto"/>
          </w:tcPr>
          <w:p w14:paraId="3004E4A1"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46C3B05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IL-22rs1179251</w:t>
            </w:r>
          </w:p>
        </w:tc>
        <w:tc>
          <w:tcPr>
            <w:tcW w:w="1043" w:type="pct"/>
          </w:tcPr>
          <w:p w14:paraId="5C5171E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CG</w:t>
            </w:r>
            <w:r w:rsidRPr="003771AE">
              <w:rPr>
                <w:rFonts w:ascii="Book Antiqua" w:eastAsia="Calibri" w:hAnsi="Book Antiqua" w:cs="Times New Roman"/>
                <w:kern w:val="0"/>
                <w:sz w:val="24"/>
                <w:szCs w:val="24"/>
                <w:vertAlign w:val="superscript"/>
                <w:lang w:val="en-GB" w:eastAsia="en-US"/>
              </w:rPr>
              <w:t>a</w:t>
            </w:r>
          </w:p>
        </w:tc>
        <w:tc>
          <w:tcPr>
            <w:tcW w:w="1403" w:type="pct"/>
            <w:shd w:val="clear" w:color="auto" w:fill="auto"/>
          </w:tcPr>
          <w:p w14:paraId="3B8C1C9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82 (27.4)/143 (48.1)</w:t>
            </w:r>
          </w:p>
        </w:tc>
        <w:tc>
          <w:tcPr>
            <w:tcW w:w="1169" w:type="pct"/>
            <w:shd w:val="clear" w:color="auto" w:fill="auto"/>
          </w:tcPr>
          <w:p w14:paraId="0930922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ChAG susceptibility</w:t>
            </w:r>
          </w:p>
        </w:tc>
      </w:tr>
      <w:tr w:rsidR="0011105F" w:rsidRPr="003771AE" w14:paraId="0D7194FC" w14:textId="77777777" w:rsidTr="0025251E">
        <w:trPr>
          <w:trHeight w:val="279"/>
        </w:trPr>
        <w:tc>
          <w:tcPr>
            <w:tcW w:w="559" w:type="pct"/>
            <w:shd w:val="clear" w:color="auto" w:fill="auto"/>
          </w:tcPr>
          <w:p w14:paraId="1D771E32"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7DCE30A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6A2DD50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GG</w:t>
            </w:r>
            <w:r w:rsidRPr="003771AE">
              <w:rPr>
                <w:rFonts w:ascii="Book Antiqua" w:eastAsia="Calibri" w:hAnsi="Book Antiqua" w:cs="Times New Roman"/>
                <w:kern w:val="0"/>
                <w:sz w:val="24"/>
                <w:szCs w:val="24"/>
                <w:vertAlign w:val="superscript"/>
                <w:lang w:val="en-GB" w:eastAsia="en-US"/>
              </w:rPr>
              <w:t>a</w:t>
            </w:r>
          </w:p>
        </w:tc>
        <w:tc>
          <w:tcPr>
            <w:tcW w:w="1403" w:type="pct"/>
            <w:shd w:val="clear" w:color="auto" w:fill="auto"/>
          </w:tcPr>
          <w:p w14:paraId="7B53581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20 (6.7)/29 (9.8)</w:t>
            </w:r>
          </w:p>
        </w:tc>
        <w:tc>
          <w:tcPr>
            <w:tcW w:w="1169" w:type="pct"/>
            <w:shd w:val="clear" w:color="auto" w:fill="auto"/>
          </w:tcPr>
          <w:p w14:paraId="4768758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77234976" w14:textId="77777777" w:rsidTr="0025251E">
        <w:trPr>
          <w:trHeight w:val="279"/>
        </w:trPr>
        <w:tc>
          <w:tcPr>
            <w:tcW w:w="559" w:type="pct"/>
            <w:shd w:val="clear" w:color="auto" w:fill="auto"/>
          </w:tcPr>
          <w:p w14:paraId="596D5253"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51FC1EA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502FF69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CG</w:t>
            </w:r>
            <w:r w:rsidRPr="003771AE">
              <w:rPr>
                <w:rFonts w:ascii="Book Antiqua" w:eastAsia="Calibri" w:hAnsi="Book Antiqua" w:cs="Times New Roman"/>
                <w:kern w:val="0"/>
                <w:sz w:val="24"/>
                <w:szCs w:val="24"/>
                <w:vertAlign w:val="superscript"/>
                <w:lang w:val="en-GB" w:eastAsia="en-US"/>
              </w:rPr>
              <w:t>a</w:t>
            </w:r>
          </w:p>
        </w:tc>
        <w:tc>
          <w:tcPr>
            <w:tcW w:w="1403" w:type="pct"/>
            <w:shd w:val="clear" w:color="auto" w:fill="auto"/>
          </w:tcPr>
          <w:p w14:paraId="5B1381C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47 (15.7)/143 (48.1)</w:t>
            </w:r>
          </w:p>
        </w:tc>
        <w:tc>
          <w:tcPr>
            <w:tcW w:w="1169" w:type="pct"/>
            <w:shd w:val="clear" w:color="auto" w:fill="auto"/>
          </w:tcPr>
          <w:p w14:paraId="16668C5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susceptibility</w:t>
            </w:r>
          </w:p>
        </w:tc>
      </w:tr>
      <w:tr w:rsidR="0011105F" w:rsidRPr="003771AE" w14:paraId="734CF6E3" w14:textId="77777777" w:rsidTr="0025251E">
        <w:trPr>
          <w:trHeight w:val="279"/>
        </w:trPr>
        <w:tc>
          <w:tcPr>
            <w:tcW w:w="559" w:type="pct"/>
            <w:shd w:val="clear" w:color="auto" w:fill="auto"/>
          </w:tcPr>
          <w:p w14:paraId="1FC61BDF"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E27F1F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2D7B1E5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GG</w:t>
            </w:r>
            <w:r w:rsidRPr="003771AE">
              <w:rPr>
                <w:rFonts w:ascii="Book Antiqua" w:eastAsia="Calibri" w:hAnsi="Book Antiqua" w:cs="Times New Roman"/>
                <w:kern w:val="0"/>
                <w:sz w:val="24"/>
                <w:szCs w:val="24"/>
                <w:vertAlign w:val="superscript"/>
                <w:lang w:val="en-GB" w:eastAsia="en-US"/>
              </w:rPr>
              <w:t>a</w:t>
            </w:r>
          </w:p>
        </w:tc>
        <w:tc>
          <w:tcPr>
            <w:tcW w:w="1403" w:type="pct"/>
            <w:shd w:val="clear" w:color="auto" w:fill="auto"/>
          </w:tcPr>
          <w:p w14:paraId="67471E7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12 (4.0)/29 (9.8)</w:t>
            </w:r>
          </w:p>
        </w:tc>
        <w:tc>
          <w:tcPr>
            <w:tcW w:w="1169" w:type="pct"/>
            <w:shd w:val="clear" w:color="auto" w:fill="auto"/>
          </w:tcPr>
          <w:p w14:paraId="2E68533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2BF3E537" w14:textId="77777777" w:rsidTr="0025251E">
        <w:trPr>
          <w:trHeight w:val="279"/>
        </w:trPr>
        <w:tc>
          <w:tcPr>
            <w:tcW w:w="559" w:type="pct"/>
            <w:shd w:val="clear" w:color="auto" w:fill="auto"/>
          </w:tcPr>
          <w:p w14:paraId="6AA84C1D"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557CD2D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30B282C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CG</w:t>
            </w:r>
          </w:p>
        </w:tc>
        <w:tc>
          <w:tcPr>
            <w:tcW w:w="1403" w:type="pct"/>
            <w:shd w:val="clear" w:color="auto" w:fill="auto"/>
          </w:tcPr>
          <w:p w14:paraId="4B5047B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111 (36.7)/143 (48.1)</w:t>
            </w:r>
          </w:p>
        </w:tc>
        <w:tc>
          <w:tcPr>
            <w:tcW w:w="1169" w:type="pct"/>
            <w:shd w:val="clear" w:color="auto" w:fill="auto"/>
          </w:tcPr>
          <w:p w14:paraId="61DB0FA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DYS susceptibility</w:t>
            </w:r>
          </w:p>
        </w:tc>
      </w:tr>
      <w:tr w:rsidR="0011105F" w:rsidRPr="003771AE" w14:paraId="3DC1EC95" w14:textId="77777777" w:rsidTr="0025251E">
        <w:trPr>
          <w:trHeight w:val="279"/>
        </w:trPr>
        <w:tc>
          <w:tcPr>
            <w:tcW w:w="559" w:type="pct"/>
            <w:shd w:val="clear" w:color="auto" w:fill="auto"/>
          </w:tcPr>
          <w:p w14:paraId="46AD3244"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7D6E38E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088942A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GG</w:t>
            </w:r>
          </w:p>
        </w:tc>
        <w:tc>
          <w:tcPr>
            <w:tcW w:w="1403" w:type="pct"/>
            <w:shd w:val="clear" w:color="auto" w:fill="auto"/>
          </w:tcPr>
          <w:p w14:paraId="14CF6AA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28 (9.3)/29 (9.8)</w:t>
            </w:r>
          </w:p>
        </w:tc>
        <w:tc>
          <w:tcPr>
            <w:tcW w:w="1169" w:type="pct"/>
            <w:shd w:val="clear" w:color="auto" w:fill="auto"/>
          </w:tcPr>
          <w:p w14:paraId="743C061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24473630" w14:textId="77777777" w:rsidTr="0025251E">
        <w:trPr>
          <w:trHeight w:val="279"/>
        </w:trPr>
        <w:tc>
          <w:tcPr>
            <w:tcW w:w="559" w:type="pct"/>
            <w:shd w:val="clear" w:color="auto" w:fill="auto"/>
          </w:tcPr>
          <w:p w14:paraId="539DD656"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1E36F9">
              <w:rPr>
                <w:rFonts w:ascii="Book Antiqua" w:eastAsia="Calibri" w:hAnsi="Book Antiqua" w:cs="Times New Roman"/>
                <w:kern w:val="0"/>
                <w:sz w:val="24"/>
                <w:szCs w:val="24"/>
                <w:lang w:val="en-GB" w:eastAsia="en-US"/>
              </w:rPr>
              <w:t>[75]</w:t>
            </w:r>
          </w:p>
        </w:tc>
        <w:tc>
          <w:tcPr>
            <w:tcW w:w="826" w:type="pct"/>
            <w:shd w:val="clear" w:color="auto" w:fill="auto"/>
          </w:tcPr>
          <w:p w14:paraId="693482A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TNF-α -308</w:t>
            </w:r>
          </w:p>
        </w:tc>
        <w:tc>
          <w:tcPr>
            <w:tcW w:w="1043" w:type="pct"/>
          </w:tcPr>
          <w:p w14:paraId="1E84F93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GA</w:t>
            </w:r>
          </w:p>
        </w:tc>
        <w:tc>
          <w:tcPr>
            <w:tcW w:w="1403" w:type="pct"/>
            <w:shd w:val="clear" w:color="auto" w:fill="auto"/>
          </w:tcPr>
          <w:p w14:paraId="6E5A785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15 (29.4)/22 (20.4)</w:t>
            </w:r>
          </w:p>
        </w:tc>
        <w:tc>
          <w:tcPr>
            <w:tcW w:w="1169" w:type="pct"/>
            <w:shd w:val="clear" w:color="auto" w:fill="auto"/>
          </w:tcPr>
          <w:p w14:paraId="1FC6AF7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ChAG susceptibility</w:t>
            </w:r>
          </w:p>
        </w:tc>
      </w:tr>
      <w:tr w:rsidR="0011105F" w:rsidRPr="003771AE" w14:paraId="5DCD9339" w14:textId="77777777" w:rsidTr="0025251E">
        <w:trPr>
          <w:trHeight w:val="700"/>
        </w:trPr>
        <w:tc>
          <w:tcPr>
            <w:tcW w:w="559" w:type="pct"/>
            <w:shd w:val="clear" w:color="auto" w:fill="auto"/>
          </w:tcPr>
          <w:p w14:paraId="5AF698DE"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415356C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35354A9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AA</w:t>
            </w:r>
          </w:p>
        </w:tc>
        <w:tc>
          <w:tcPr>
            <w:tcW w:w="1403" w:type="pct"/>
            <w:shd w:val="clear" w:color="auto" w:fill="auto"/>
          </w:tcPr>
          <w:p w14:paraId="587A659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0 (0)/3 (2.8)</w:t>
            </w:r>
          </w:p>
        </w:tc>
        <w:tc>
          <w:tcPr>
            <w:tcW w:w="1169" w:type="pct"/>
            <w:shd w:val="clear" w:color="auto" w:fill="auto"/>
          </w:tcPr>
          <w:p w14:paraId="6A97D4D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14EFCF22" w14:textId="77777777" w:rsidTr="0025251E">
        <w:trPr>
          <w:trHeight w:val="564"/>
        </w:trPr>
        <w:tc>
          <w:tcPr>
            <w:tcW w:w="559" w:type="pct"/>
            <w:shd w:val="clear" w:color="auto" w:fill="auto"/>
          </w:tcPr>
          <w:p w14:paraId="3295DE5B"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3A800B1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IL-1B -511</w:t>
            </w:r>
          </w:p>
        </w:tc>
        <w:tc>
          <w:tcPr>
            <w:tcW w:w="1043" w:type="pct"/>
          </w:tcPr>
          <w:p w14:paraId="5D358C5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CT</w:t>
            </w:r>
          </w:p>
        </w:tc>
        <w:tc>
          <w:tcPr>
            <w:tcW w:w="1403" w:type="pct"/>
            <w:shd w:val="clear" w:color="auto" w:fill="auto"/>
          </w:tcPr>
          <w:p w14:paraId="6A56383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18 (35.3)/53 (49.1)</w:t>
            </w:r>
          </w:p>
        </w:tc>
        <w:tc>
          <w:tcPr>
            <w:tcW w:w="1169" w:type="pct"/>
            <w:shd w:val="clear" w:color="auto" w:fill="auto"/>
          </w:tcPr>
          <w:p w14:paraId="08B7F99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ChAG susceptibility</w:t>
            </w:r>
          </w:p>
        </w:tc>
      </w:tr>
      <w:tr w:rsidR="0011105F" w:rsidRPr="003771AE" w14:paraId="6D195D38" w14:textId="77777777" w:rsidTr="0025251E">
        <w:trPr>
          <w:trHeight w:val="564"/>
        </w:trPr>
        <w:tc>
          <w:tcPr>
            <w:tcW w:w="559" w:type="pct"/>
            <w:shd w:val="clear" w:color="auto" w:fill="auto"/>
          </w:tcPr>
          <w:p w14:paraId="4EEA0FB0"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4689F9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3CBF36B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TT</w:t>
            </w:r>
          </w:p>
        </w:tc>
        <w:tc>
          <w:tcPr>
            <w:tcW w:w="1403" w:type="pct"/>
            <w:shd w:val="clear" w:color="auto" w:fill="auto"/>
          </w:tcPr>
          <w:p w14:paraId="0EA3535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3 (5.9)/</w:t>
            </w:r>
            <w:r w:rsidRPr="003771AE">
              <w:rPr>
                <w:rFonts w:ascii="Book Antiqua" w:eastAsia="等线" w:hAnsi="Book Antiqua" w:cs="Times New Roman"/>
                <w:kern w:val="0"/>
                <w:sz w:val="24"/>
                <w:szCs w:val="24"/>
                <w:lang w:val="en-GB" w:eastAsia="en-US"/>
              </w:rPr>
              <w:t>13</w:t>
            </w:r>
            <w:r w:rsidRPr="003771AE">
              <w:rPr>
                <w:rFonts w:ascii="Book Antiqua" w:eastAsia="Calibri" w:hAnsi="Book Antiqua" w:cs="Times New Roman"/>
                <w:kern w:val="0"/>
                <w:sz w:val="24"/>
                <w:szCs w:val="24"/>
                <w:lang w:val="en-GB" w:eastAsia="en-US"/>
              </w:rPr>
              <w:t xml:space="preserve"> (12.0)</w:t>
            </w:r>
          </w:p>
        </w:tc>
        <w:tc>
          <w:tcPr>
            <w:tcW w:w="1169" w:type="pct"/>
            <w:shd w:val="clear" w:color="auto" w:fill="auto"/>
          </w:tcPr>
          <w:p w14:paraId="2AC1EFC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60C4D462" w14:textId="77777777" w:rsidTr="0025251E">
        <w:trPr>
          <w:trHeight w:val="564"/>
        </w:trPr>
        <w:tc>
          <w:tcPr>
            <w:tcW w:w="559" w:type="pct"/>
            <w:shd w:val="clear" w:color="auto" w:fill="auto"/>
          </w:tcPr>
          <w:p w14:paraId="011A0DB5"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5F8C7CA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IL-1RN</w:t>
            </w:r>
          </w:p>
        </w:tc>
        <w:tc>
          <w:tcPr>
            <w:tcW w:w="1043" w:type="pct"/>
          </w:tcPr>
          <w:p w14:paraId="2B96A00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L/2</w:t>
            </w:r>
          </w:p>
        </w:tc>
        <w:tc>
          <w:tcPr>
            <w:tcW w:w="1403" w:type="pct"/>
            <w:shd w:val="clear" w:color="auto" w:fill="auto"/>
          </w:tcPr>
          <w:p w14:paraId="4C85386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15 (29.4)/32 (29.6)</w:t>
            </w:r>
          </w:p>
        </w:tc>
        <w:tc>
          <w:tcPr>
            <w:tcW w:w="1169" w:type="pct"/>
            <w:shd w:val="clear" w:color="auto" w:fill="auto"/>
          </w:tcPr>
          <w:p w14:paraId="2DD1B2C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ChAG susceptibility</w:t>
            </w:r>
          </w:p>
        </w:tc>
      </w:tr>
      <w:tr w:rsidR="0011105F" w:rsidRPr="003771AE" w14:paraId="22D2763C" w14:textId="77777777" w:rsidTr="0025251E">
        <w:trPr>
          <w:trHeight w:val="564"/>
        </w:trPr>
        <w:tc>
          <w:tcPr>
            <w:tcW w:w="559" w:type="pct"/>
            <w:shd w:val="clear" w:color="auto" w:fill="auto"/>
          </w:tcPr>
          <w:p w14:paraId="7A14AE1B"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668415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689F601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2/2</w:t>
            </w:r>
          </w:p>
        </w:tc>
        <w:tc>
          <w:tcPr>
            <w:tcW w:w="1403" w:type="pct"/>
            <w:shd w:val="clear" w:color="auto" w:fill="auto"/>
          </w:tcPr>
          <w:p w14:paraId="45359EF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 (3.9)/</w:t>
            </w:r>
            <w:r w:rsidRPr="003771AE">
              <w:rPr>
                <w:rFonts w:ascii="Book Antiqua" w:eastAsia="等线" w:hAnsi="Book Antiqua" w:cs="Times New Roman"/>
                <w:kern w:val="0"/>
                <w:sz w:val="24"/>
                <w:szCs w:val="24"/>
                <w:lang w:val="en-GB" w:eastAsia="en-US"/>
              </w:rPr>
              <w:t>13</w:t>
            </w:r>
            <w:r w:rsidRPr="003771AE">
              <w:rPr>
                <w:rFonts w:ascii="Book Antiqua" w:eastAsia="Calibri" w:hAnsi="Book Antiqua" w:cs="Times New Roman"/>
                <w:kern w:val="0"/>
                <w:sz w:val="24"/>
                <w:szCs w:val="24"/>
                <w:lang w:val="en-GB" w:eastAsia="en-US"/>
              </w:rPr>
              <w:t xml:space="preserve"> (12.0)</w:t>
            </w:r>
          </w:p>
        </w:tc>
        <w:tc>
          <w:tcPr>
            <w:tcW w:w="1169" w:type="pct"/>
            <w:shd w:val="clear" w:color="auto" w:fill="auto"/>
          </w:tcPr>
          <w:p w14:paraId="351FDF9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269FB969" w14:textId="77777777" w:rsidTr="0025251E">
        <w:trPr>
          <w:trHeight w:val="488"/>
        </w:trPr>
        <w:tc>
          <w:tcPr>
            <w:tcW w:w="559" w:type="pct"/>
            <w:shd w:val="clear" w:color="auto" w:fill="auto"/>
          </w:tcPr>
          <w:p w14:paraId="7F0E9A5C"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1E36F9">
              <w:rPr>
                <w:rFonts w:ascii="Book Antiqua" w:eastAsia="Calibri" w:hAnsi="Book Antiqua" w:cs="Times New Roman"/>
                <w:kern w:val="0"/>
                <w:sz w:val="24"/>
                <w:szCs w:val="24"/>
                <w:lang w:val="en-GB" w:eastAsia="en-US"/>
              </w:rPr>
              <w:t>[76]</w:t>
            </w:r>
          </w:p>
        </w:tc>
        <w:tc>
          <w:tcPr>
            <w:tcW w:w="826" w:type="pct"/>
            <w:shd w:val="clear" w:color="auto" w:fill="auto"/>
          </w:tcPr>
          <w:p w14:paraId="6E44AEF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TNF-α -308</w:t>
            </w:r>
          </w:p>
        </w:tc>
        <w:tc>
          <w:tcPr>
            <w:tcW w:w="1043" w:type="pct"/>
          </w:tcPr>
          <w:p w14:paraId="5BF8F0C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GA</w:t>
            </w:r>
          </w:p>
        </w:tc>
        <w:tc>
          <w:tcPr>
            <w:tcW w:w="1403" w:type="pct"/>
            <w:shd w:val="clear" w:color="auto" w:fill="auto"/>
          </w:tcPr>
          <w:p w14:paraId="783AD5C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125 (23.4)/129 (24.2)</w:t>
            </w:r>
          </w:p>
        </w:tc>
        <w:tc>
          <w:tcPr>
            <w:tcW w:w="1169" w:type="pct"/>
            <w:shd w:val="clear" w:color="auto" w:fill="auto"/>
          </w:tcPr>
          <w:p w14:paraId="0428A71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ChAG susceptibility</w:t>
            </w:r>
          </w:p>
        </w:tc>
      </w:tr>
      <w:tr w:rsidR="0011105F" w:rsidRPr="003771AE" w14:paraId="11455C7C" w14:textId="77777777" w:rsidTr="0025251E">
        <w:trPr>
          <w:trHeight w:val="487"/>
        </w:trPr>
        <w:tc>
          <w:tcPr>
            <w:tcW w:w="559" w:type="pct"/>
            <w:shd w:val="clear" w:color="auto" w:fill="auto"/>
          </w:tcPr>
          <w:p w14:paraId="5898BB9F"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7662B1B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43492D2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AA</w:t>
            </w:r>
          </w:p>
        </w:tc>
        <w:tc>
          <w:tcPr>
            <w:tcW w:w="1403" w:type="pct"/>
            <w:shd w:val="clear" w:color="auto" w:fill="auto"/>
          </w:tcPr>
          <w:p w14:paraId="6955D8F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13 (2.4)/8 (1.5)</w:t>
            </w:r>
          </w:p>
        </w:tc>
        <w:tc>
          <w:tcPr>
            <w:tcW w:w="1169" w:type="pct"/>
            <w:shd w:val="clear" w:color="auto" w:fill="auto"/>
          </w:tcPr>
          <w:p w14:paraId="1D70F3C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45BBBFBC" w14:textId="77777777" w:rsidTr="0025251E">
        <w:trPr>
          <w:trHeight w:val="366"/>
        </w:trPr>
        <w:tc>
          <w:tcPr>
            <w:tcW w:w="559" w:type="pct"/>
            <w:shd w:val="clear" w:color="auto" w:fill="auto"/>
          </w:tcPr>
          <w:p w14:paraId="2CF9BB31"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38F1ED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IL10T-819C</w:t>
            </w:r>
          </w:p>
        </w:tc>
        <w:tc>
          <w:tcPr>
            <w:tcW w:w="1043" w:type="pct"/>
          </w:tcPr>
          <w:p w14:paraId="249F085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TC</w:t>
            </w:r>
          </w:p>
        </w:tc>
        <w:tc>
          <w:tcPr>
            <w:tcW w:w="1403" w:type="pct"/>
            <w:shd w:val="clear" w:color="auto" w:fill="auto"/>
          </w:tcPr>
          <w:p w14:paraId="0410544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200 (37.5)/199 (37.3)</w:t>
            </w:r>
          </w:p>
        </w:tc>
        <w:tc>
          <w:tcPr>
            <w:tcW w:w="1169" w:type="pct"/>
            <w:shd w:val="clear" w:color="auto" w:fill="auto"/>
          </w:tcPr>
          <w:p w14:paraId="017D79F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ChAG susceptibility</w:t>
            </w:r>
          </w:p>
        </w:tc>
      </w:tr>
      <w:tr w:rsidR="0011105F" w:rsidRPr="003771AE" w14:paraId="1503B96A" w14:textId="77777777" w:rsidTr="0025251E">
        <w:trPr>
          <w:trHeight w:val="366"/>
        </w:trPr>
        <w:tc>
          <w:tcPr>
            <w:tcW w:w="559" w:type="pct"/>
            <w:shd w:val="clear" w:color="auto" w:fill="auto"/>
          </w:tcPr>
          <w:p w14:paraId="4EB75714"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6A94800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5E000CE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vertAlign w:val="superscript"/>
                <w:lang w:val="en-GB" w:eastAsia="en-US"/>
              </w:rPr>
            </w:pPr>
            <w:r w:rsidRPr="003771AE">
              <w:rPr>
                <w:rFonts w:ascii="Book Antiqua" w:eastAsia="Calibri" w:hAnsi="Book Antiqua" w:cs="Times New Roman"/>
                <w:kern w:val="0"/>
                <w:sz w:val="24"/>
                <w:szCs w:val="24"/>
                <w:lang w:val="en-GB" w:eastAsia="en-US"/>
              </w:rPr>
              <w:t>CC</w:t>
            </w:r>
            <w:r w:rsidRPr="003771AE">
              <w:rPr>
                <w:rFonts w:ascii="Book Antiqua" w:eastAsia="Calibri" w:hAnsi="Book Antiqua" w:cs="Times New Roman"/>
                <w:kern w:val="0"/>
                <w:sz w:val="24"/>
                <w:szCs w:val="24"/>
                <w:vertAlign w:val="superscript"/>
                <w:lang w:val="en-GB" w:eastAsia="en-US"/>
              </w:rPr>
              <w:t>a</w:t>
            </w:r>
          </w:p>
        </w:tc>
        <w:tc>
          <w:tcPr>
            <w:tcW w:w="1403" w:type="pct"/>
            <w:shd w:val="clear" w:color="auto" w:fill="auto"/>
          </w:tcPr>
          <w:p w14:paraId="42FC69B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44 (8.2)/28 (5.2)</w:t>
            </w:r>
          </w:p>
        </w:tc>
        <w:tc>
          <w:tcPr>
            <w:tcW w:w="1169" w:type="pct"/>
            <w:shd w:val="clear" w:color="auto" w:fill="auto"/>
          </w:tcPr>
          <w:p w14:paraId="686F685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01EF3CEF" w14:textId="77777777" w:rsidTr="0025251E">
        <w:trPr>
          <w:trHeight w:val="486"/>
        </w:trPr>
        <w:tc>
          <w:tcPr>
            <w:tcW w:w="559" w:type="pct"/>
            <w:shd w:val="clear" w:color="auto" w:fill="auto"/>
          </w:tcPr>
          <w:p w14:paraId="4AECD420"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7A92A77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 xml:space="preserve">IL10 A-1082G </w:t>
            </w:r>
          </w:p>
        </w:tc>
        <w:tc>
          <w:tcPr>
            <w:tcW w:w="1043" w:type="pct"/>
          </w:tcPr>
          <w:p w14:paraId="672E6F6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w:t>
            </w:r>
          </w:p>
        </w:tc>
        <w:tc>
          <w:tcPr>
            <w:tcW w:w="1403" w:type="pct"/>
            <w:shd w:val="clear" w:color="auto" w:fill="auto"/>
          </w:tcPr>
          <w:p w14:paraId="7B744B5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246 (46.1)/262 (49.1)</w:t>
            </w:r>
          </w:p>
        </w:tc>
        <w:tc>
          <w:tcPr>
            <w:tcW w:w="1169" w:type="pct"/>
            <w:shd w:val="clear" w:color="auto" w:fill="auto"/>
          </w:tcPr>
          <w:p w14:paraId="377AED5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ChAG susceptibility</w:t>
            </w:r>
          </w:p>
        </w:tc>
      </w:tr>
      <w:tr w:rsidR="0011105F" w:rsidRPr="003771AE" w14:paraId="69EEF2D5" w14:textId="77777777" w:rsidTr="0025251E">
        <w:trPr>
          <w:trHeight w:val="486"/>
        </w:trPr>
        <w:tc>
          <w:tcPr>
            <w:tcW w:w="559" w:type="pct"/>
            <w:shd w:val="clear" w:color="auto" w:fill="auto"/>
          </w:tcPr>
          <w:p w14:paraId="52013DA4"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14A6ABD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591B8A8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GG</w:t>
            </w:r>
          </w:p>
        </w:tc>
        <w:tc>
          <w:tcPr>
            <w:tcW w:w="1403" w:type="pct"/>
            <w:shd w:val="clear" w:color="auto" w:fill="auto"/>
          </w:tcPr>
          <w:p w14:paraId="109F6AE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109 (20.4)/116 (21.7)</w:t>
            </w:r>
          </w:p>
        </w:tc>
        <w:tc>
          <w:tcPr>
            <w:tcW w:w="1169" w:type="pct"/>
            <w:shd w:val="clear" w:color="auto" w:fill="auto"/>
          </w:tcPr>
          <w:p w14:paraId="4ED55A1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0E3A3382" w14:textId="77777777" w:rsidTr="0025251E">
        <w:trPr>
          <w:trHeight w:val="366"/>
        </w:trPr>
        <w:tc>
          <w:tcPr>
            <w:tcW w:w="559" w:type="pct"/>
            <w:shd w:val="clear" w:color="auto" w:fill="auto"/>
          </w:tcPr>
          <w:p w14:paraId="0EE6CF97"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47B6912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IL1A C-889T</w:t>
            </w:r>
          </w:p>
        </w:tc>
        <w:tc>
          <w:tcPr>
            <w:tcW w:w="1043" w:type="pct"/>
          </w:tcPr>
          <w:p w14:paraId="41EB289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CT</w:t>
            </w:r>
          </w:p>
        </w:tc>
        <w:tc>
          <w:tcPr>
            <w:tcW w:w="1403" w:type="pct"/>
            <w:shd w:val="clear" w:color="auto" w:fill="auto"/>
          </w:tcPr>
          <w:p w14:paraId="7581BF4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213 (39.9)/203 (38.0)</w:t>
            </w:r>
          </w:p>
        </w:tc>
        <w:tc>
          <w:tcPr>
            <w:tcW w:w="1169" w:type="pct"/>
            <w:shd w:val="clear" w:color="auto" w:fill="auto"/>
          </w:tcPr>
          <w:p w14:paraId="0D9452D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ChAG susceptibility</w:t>
            </w:r>
          </w:p>
        </w:tc>
      </w:tr>
      <w:tr w:rsidR="0011105F" w:rsidRPr="003771AE" w14:paraId="30C9C7A9" w14:textId="77777777" w:rsidTr="0025251E">
        <w:trPr>
          <w:trHeight w:val="366"/>
        </w:trPr>
        <w:tc>
          <w:tcPr>
            <w:tcW w:w="559" w:type="pct"/>
            <w:shd w:val="clear" w:color="auto" w:fill="auto"/>
          </w:tcPr>
          <w:p w14:paraId="69D6C74F"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6FA90DA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437E4F8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TT</w:t>
            </w:r>
          </w:p>
        </w:tc>
        <w:tc>
          <w:tcPr>
            <w:tcW w:w="1403" w:type="pct"/>
            <w:shd w:val="clear" w:color="auto" w:fill="auto"/>
          </w:tcPr>
          <w:p w14:paraId="5FBD07C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37 (6.9)/43 (8.1)</w:t>
            </w:r>
          </w:p>
        </w:tc>
        <w:tc>
          <w:tcPr>
            <w:tcW w:w="1169" w:type="pct"/>
            <w:shd w:val="clear" w:color="auto" w:fill="auto"/>
          </w:tcPr>
          <w:p w14:paraId="71DFC65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6696DAE7" w14:textId="77777777" w:rsidTr="0025251E">
        <w:trPr>
          <w:trHeight w:val="480"/>
        </w:trPr>
        <w:tc>
          <w:tcPr>
            <w:tcW w:w="559" w:type="pct"/>
            <w:shd w:val="clear" w:color="auto" w:fill="auto"/>
          </w:tcPr>
          <w:p w14:paraId="47FD6B32"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60063DF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IL1B C-511T</w:t>
            </w:r>
          </w:p>
        </w:tc>
        <w:tc>
          <w:tcPr>
            <w:tcW w:w="1043" w:type="pct"/>
          </w:tcPr>
          <w:p w14:paraId="6A84470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CT</w:t>
            </w:r>
          </w:p>
        </w:tc>
        <w:tc>
          <w:tcPr>
            <w:tcW w:w="1403" w:type="pct"/>
            <w:shd w:val="clear" w:color="auto" w:fill="auto"/>
          </w:tcPr>
          <w:p w14:paraId="6FA4F17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205 (38.4)/230 (43.1)</w:t>
            </w:r>
          </w:p>
        </w:tc>
        <w:tc>
          <w:tcPr>
            <w:tcW w:w="1169" w:type="pct"/>
            <w:shd w:val="clear" w:color="auto" w:fill="auto"/>
          </w:tcPr>
          <w:p w14:paraId="25D1397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ChAG susceptibility</w:t>
            </w:r>
          </w:p>
        </w:tc>
      </w:tr>
      <w:tr w:rsidR="0011105F" w:rsidRPr="003771AE" w14:paraId="3DB9E2F9" w14:textId="77777777" w:rsidTr="0025251E">
        <w:trPr>
          <w:trHeight w:val="366"/>
        </w:trPr>
        <w:tc>
          <w:tcPr>
            <w:tcW w:w="559" w:type="pct"/>
            <w:shd w:val="clear" w:color="auto" w:fill="auto"/>
          </w:tcPr>
          <w:p w14:paraId="4458CB1A"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1D746F9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16EA218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TT</w:t>
            </w:r>
          </w:p>
        </w:tc>
        <w:tc>
          <w:tcPr>
            <w:tcW w:w="1403" w:type="pct"/>
            <w:shd w:val="clear" w:color="auto" w:fill="auto"/>
          </w:tcPr>
          <w:p w14:paraId="2F15869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59 (11.0)/52 (9.7)</w:t>
            </w:r>
          </w:p>
        </w:tc>
        <w:tc>
          <w:tcPr>
            <w:tcW w:w="1169" w:type="pct"/>
            <w:shd w:val="clear" w:color="auto" w:fill="auto"/>
          </w:tcPr>
          <w:p w14:paraId="67DA534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2C523C93" w14:textId="77777777" w:rsidTr="0025251E">
        <w:trPr>
          <w:trHeight w:val="366"/>
        </w:trPr>
        <w:tc>
          <w:tcPr>
            <w:tcW w:w="559" w:type="pct"/>
            <w:shd w:val="clear" w:color="auto" w:fill="auto"/>
          </w:tcPr>
          <w:p w14:paraId="1F4540ED"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3ED88F1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 xml:space="preserve">IL1RN </w:t>
            </w:r>
          </w:p>
        </w:tc>
        <w:tc>
          <w:tcPr>
            <w:tcW w:w="1043" w:type="pct"/>
          </w:tcPr>
          <w:p w14:paraId="14F6AB7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AT</w:t>
            </w:r>
          </w:p>
        </w:tc>
        <w:tc>
          <w:tcPr>
            <w:tcW w:w="1403" w:type="pct"/>
            <w:shd w:val="clear" w:color="auto" w:fill="auto"/>
          </w:tcPr>
          <w:p w14:paraId="561CD7F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212 (39.7)/219 (41.0)</w:t>
            </w:r>
          </w:p>
        </w:tc>
        <w:tc>
          <w:tcPr>
            <w:tcW w:w="1169" w:type="pct"/>
            <w:shd w:val="clear" w:color="auto" w:fill="auto"/>
          </w:tcPr>
          <w:p w14:paraId="2B95C92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ChAG susceptibility</w:t>
            </w:r>
          </w:p>
        </w:tc>
      </w:tr>
      <w:tr w:rsidR="0011105F" w:rsidRPr="003771AE" w14:paraId="22BCDED7" w14:textId="77777777" w:rsidTr="0025251E">
        <w:trPr>
          <w:trHeight w:val="6"/>
        </w:trPr>
        <w:tc>
          <w:tcPr>
            <w:tcW w:w="559" w:type="pct"/>
            <w:shd w:val="clear" w:color="auto" w:fill="auto"/>
          </w:tcPr>
          <w:p w14:paraId="69EAACB7"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6AF0D61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3452735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TT</w:t>
            </w:r>
          </w:p>
        </w:tc>
        <w:tc>
          <w:tcPr>
            <w:tcW w:w="1403" w:type="pct"/>
            <w:shd w:val="clear" w:color="auto" w:fill="auto"/>
          </w:tcPr>
          <w:p w14:paraId="5A1EDC8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39 (7.3)/35 (6.6)</w:t>
            </w:r>
          </w:p>
        </w:tc>
        <w:tc>
          <w:tcPr>
            <w:tcW w:w="1169" w:type="pct"/>
            <w:shd w:val="clear" w:color="auto" w:fill="auto"/>
          </w:tcPr>
          <w:p w14:paraId="6CFF8C7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2A0D24E4" w14:textId="77777777" w:rsidTr="0025251E">
        <w:trPr>
          <w:trHeight w:val="6"/>
        </w:trPr>
        <w:tc>
          <w:tcPr>
            <w:tcW w:w="559" w:type="pct"/>
            <w:shd w:val="clear" w:color="auto" w:fill="auto"/>
          </w:tcPr>
          <w:p w14:paraId="42BDB2B3"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27D59A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IL8T-251A</w:t>
            </w:r>
          </w:p>
        </w:tc>
        <w:tc>
          <w:tcPr>
            <w:tcW w:w="1043" w:type="pct"/>
          </w:tcPr>
          <w:p w14:paraId="1DE4AF8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TA</w:t>
            </w:r>
          </w:p>
        </w:tc>
        <w:tc>
          <w:tcPr>
            <w:tcW w:w="1403" w:type="pct"/>
            <w:shd w:val="clear" w:color="auto" w:fill="auto"/>
          </w:tcPr>
          <w:p w14:paraId="692EF52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273 (51.1)/254 (47.6)</w:t>
            </w:r>
          </w:p>
        </w:tc>
        <w:tc>
          <w:tcPr>
            <w:tcW w:w="1169" w:type="pct"/>
            <w:shd w:val="clear" w:color="auto" w:fill="auto"/>
          </w:tcPr>
          <w:p w14:paraId="497F0C7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ChAG susceptibility</w:t>
            </w:r>
          </w:p>
        </w:tc>
      </w:tr>
      <w:tr w:rsidR="0011105F" w:rsidRPr="003771AE" w14:paraId="4F88E283" w14:textId="77777777" w:rsidTr="0025251E">
        <w:trPr>
          <w:trHeight w:val="6"/>
        </w:trPr>
        <w:tc>
          <w:tcPr>
            <w:tcW w:w="559" w:type="pct"/>
            <w:shd w:val="clear" w:color="auto" w:fill="auto"/>
          </w:tcPr>
          <w:p w14:paraId="554D1080"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87ED7E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052D140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AA</w:t>
            </w:r>
          </w:p>
        </w:tc>
        <w:tc>
          <w:tcPr>
            <w:tcW w:w="1403" w:type="pct"/>
            <w:shd w:val="clear" w:color="auto" w:fill="auto"/>
          </w:tcPr>
          <w:p w14:paraId="2D6728D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100 (18.7)/114 (21.3)</w:t>
            </w:r>
          </w:p>
        </w:tc>
        <w:tc>
          <w:tcPr>
            <w:tcW w:w="1169" w:type="pct"/>
            <w:shd w:val="clear" w:color="auto" w:fill="auto"/>
          </w:tcPr>
          <w:p w14:paraId="69968C1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7978857B" w14:textId="77777777" w:rsidTr="0025251E">
        <w:trPr>
          <w:trHeight w:val="441"/>
        </w:trPr>
        <w:tc>
          <w:tcPr>
            <w:tcW w:w="559" w:type="pct"/>
            <w:shd w:val="clear" w:color="auto" w:fill="auto"/>
          </w:tcPr>
          <w:p w14:paraId="5166901C"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1E36F9">
              <w:rPr>
                <w:rFonts w:ascii="Book Antiqua" w:eastAsia="Calibri" w:hAnsi="Book Antiqua" w:cs="Times New Roman"/>
                <w:kern w:val="0"/>
                <w:sz w:val="24"/>
                <w:szCs w:val="24"/>
                <w:lang w:val="en-GB" w:eastAsia="en-US"/>
              </w:rPr>
              <w:t>[83]</w:t>
            </w:r>
          </w:p>
        </w:tc>
        <w:tc>
          <w:tcPr>
            <w:tcW w:w="826" w:type="pct"/>
            <w:shd w:val="clear" w:color="auto" w:fill="auto"/>
          </w:tcPr>
          <w:p w14:paraId="66B357D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IL-1B-511</w:t>
            </w:r>
          </w:p>
        </w:tc>
        <w:tc>
          <w:tcPr>
            <w:tcW w:w="1043" w:type="pct"/>
          </w:tcPr>
          <w:p w14:paraId="093CB80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vertAlign w:val="superscript"/>
                <w:lang w:val="en-GB" w:eastAsia="en-US"/>
              </w:rPr>
            </w:pPr>
            <w:r w:rsidRPr="003771AE">
              <w:rPr>
                <w:rFonts w:ascii="Book Antiqua" w:eastAsia="Calibri" w:hAnsi="Book Antiqua" w:cs="Times New Roman"/>
                <w:kern w:val="0"/>
                <w:sz w:val="24"/>
                <w:szCs w:val="24"/>
                <w:lang w:val="en-GB" w:eastAsia="en-US"/>
              </w:rPr>
              <w:t>CT</w:t>
            </w:r>
            <w:r w:rsidRPr="003771AE">
              <w:rPr>
                <w:rFonts w:ascii="Book Antiqua" w:eastAsia="Calibri" w:hAnsi="Book Antiqua" w:cs="Times New Roman"/>
                <w:kern w:val="0"/>
                <w:sz w:val="24"/>
                <w:szCs w:val="24"/>
                <w:vertAlign w:val="superscript"/>
                <w:lang w:val="en-GB" w:eastAsia="en-US"/>
              </w:rPr>
              <w:t>a</w:t>
            </w:r>
          </w:p>
        </w:tc>
        <w:tc>
          <w:tcPr>
            <w:tcW w:w="1403" w:type="pct"/>
            <w:shd w:val="clear" w:color="auto" w:fill="auto"/>
          </w:tcPr>
          <w:p w14:paraId="796BD85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21 (48.8)/28 (32.6)</w:t>
            </w:r>
          </w:p>
        </w:tc>
        <w:tc>
          <w:tcPr>
            <w:tcW w:w="1169" w:type="pct"/>
            <w:shd w:val="clear" w:color="auto" w:fill="auto"/>
          </w:tcPr>
          <w:p w14:paraId="3957D44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ChAG risk</w:t>
            </w:r>
          </w:p>
        </w:tc>
      </w:tr>
      <w:tr w:rsidR="0011105F" w:rsidRPr="003771AE" w14:paraId="7D591775" w14:textId="77777777" w:rsidTr="0025251E">
        <w:trPr>
          <w:trHeight w:val="266"/>
        </w:trPr>
        <w:tc>
          <w:tcPr>
            <w:tcW w:w="559" w:type="pct"/>
            <w:shd w:val="clear" w:color="auto" w:fill="auto"/>
          </w:tcPr>
          <w:p w14:paraId="1FA5B506"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331E6C0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312392B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vertAlign w:val="superscript"/>
                <w:lang w:val="en-GB" w:eastAsia="en-US"/>
              </w:rPr>
            </w:pPr>
            <w:r w:rsidRPr="003771AE">
              <w:rPr>
                <w:rFonts w:ascii="Book Antiqua" w:eastAsia="Calibri" w:hAnsi="Book Antiqua" w:cs="Times New Roman"/>
                <w:kern w:val="0"/>
                <w:sz w:val="24"/>
                <w:szCs w:val="24"/>
                <w:lang w:val="en-GB" w:eastAsia="en-US"/>
              </w:rPr>
              <w:t>CC</w:t>
            </w:r>
            <w:r w:rsidRPr="003771AE">
              <w:rPr>
                <w:rFonts w:ascii="Book Antiqua" w:eastAsia="Calibri" w:hAnsi="Book Antiqua" w:cs="Times New Roman"/>
                <w:kern w:val="0"/>
                <w:sz w:val="24"/>
                <w:szCs w:val="24"/>
                <w:vertAlign w:val="superscript"/>
                <w:lang w:val="en-GB" w:eastAsia="en-US"/>
              </w:rPr>
              <w:t>a</w:t>
            </w:r>
          </w:p>
        </w:tc>
        <w:tc>
          <w:tcPr>
            <w:tcW w:w="1403" w:type="pct"/>
            <w:shd w:val="clear" w:color="auto" w:fill="auto"/>
          </w:tcPr>
          <w:p w14:paraId="3CBFB96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7 (16.3)/3 (3.5)</w:t>
            </w:r>
          </w:p>
        </w:tc>
        <w:tc>
          <w:tcPr>
            <w:tcW w:w="1169" w:type="pct"/>
            <w:shd w:val="clear" w:color="auto" w:fill="auto"/>
          </w:tcPr>
          <w:p w14:paraId="2238EFE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23AE49E8" w14:textId="77777777" w:rsidTr="0025251E">
        <w:trPr>
          <w:trHeight w:val="266"/>
        </w:trPr>
        <w:tc>
          <w:tcPr>
            <w:tcW w:w="559" w:type="pct"/>
            <w:shd w:val="clear" w:color="auto" w:fill="auto"/>
          </w:tcPr>
          <w:p w14:paraId="5DE5E4D4"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578886A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IL-1RN</w:t>
            </w:r>
          </w:p>
        </w:tc>
        <w:tc>
          <w:tcPr>
            <w:tcW w:w="1043" w:type="pct"/>
          </w:tcPr>
          <w:p w14:paraId="2BA1EB1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2/L</w:t>
            </w:r>
          </w:p>
        </w:tc>
        <w:tc>
          <w:tcPr>
            <w:tcW w:w="1403" w:type="pct"/>
            <w:shd w:val="clear" w:color="auto" w:fill="auto"/>
          </w:tcPr>
          <w:p w14:paraId="7DC49CF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21 (50.0)/46 (53.5)</w:t>
            </w:r>
          </w:p>
        </w:tc>
        <w:tc>
          <w:tcPr>
            <w:tcW w:w="1169" w:type="pct"/>
            <w:shd w:val="clear" w:color="auto" w:fill="auto"/>
          </w:tcPr>
          <w:p w14:paraId="7AC6476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ChAG risk</w:t>
            </w:r>
          </w:p>
        </w:tc>
      </w:tr>
      <w:tr w:rsidR="0011105F" w:rsidRPr="003771AE" w14:paraId="43A0B456" w14:textId="77777777" w:rsidTr="0025251E">
        <w:trPr>
          <w:trHeight w:val="266"/>
        </w:trPr>
        <w:tc>
          <w:tcPr>
            <w:tcW w:w="559" w:type="pct"/>
            <w:shd w:val="clear" w:color="auto" w:fill="auto"/>
          </w:tcPr>
          <w:p w14:paraId="70561D20"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32A8384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7A83EC1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2/2</w:t>
            </w:r>
          </w:p>
        </w:tc>
        <w:tc>
          <w:tcPr>
            <w:tcW w:w="1403" w:type="pct"/>
            <w:shd w:val="clear" w:color="auto" w:fill="auto"/>
          </w:tcPr>
          <w:p w14:paraId="3205D2B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8 (19.0)/10 (11.6)</w:t>
            </w:r>
          </w:p>
        </w:tc>
        <w:tc>
          <w:tcPr>
            <w:tcW w:w="1169" w:type="pct"/>
            <w:shd w:val="clear" w:color="auto" w:fill="auto"/>
          </w:tcPr>
          <w:p w14:paraId="2471FA6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5C7ECD3F" w14:textId="77777777" w:rsidTr="0025251E">
        <w:trPr>
          <w:trHeight w:val="266"/>
        </w:trPr>
        <w:tc>
          <w:tcPr>
            <w:tcW w:w="559" w:type="pct"/>
            <w:shd w:val="clear" w:color="auto" w:fill="auto"/>
          </w:tcPr>
          <w:p w14:paraId="07331C70"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1E36F9">
              <w:rPr>
                <w:rFonts w:ascii="Book Antiqua" w:eastAsia="Calibri" w:hAnsi="Book Antiqua" w:cs="Times New Roman"/>
                <w:kern w:val="0"/>
                <w:sz w:val="24"/>
                <w:szCs w:val="24"/>
                <w:lang w:val="en-GB" w:eastAsia="en-US"/>
              </w:rPr>
              <w:t>[84]</w:t>
            </w:r>
          </w:p>
        </w:tc>
        <w:tc>
          <w:tcPr>
            <w:tcW w:w="826" w:type="pct"/>
            <w:shd w:val="clear" w:color="auto" w:fill="auto"/>
          </w:tcPr>
          <w:p w14:paraId="4ED6BC5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IL-1B 31C</w:t>
            </w:r>
          </w:p>
        </w:tc>
        <w:tc>
          <w:tcPr>
            <w:tcW w:w="1043" w:type="pct"/>
          </w:tcPr>
          <w:p w14:paraId="1F03622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CC+CT</w:t>
            </w:r>
          </w:p>
        </w:tc>
        <w:tc>
          <w:tcPr>
            <w:tcW w:w="1403" w:type="pct"/>
            <w:shd w:val="clear" w:color="auto" w:fill="auto"/>
          </w:tcPr>
          <w:p w14:paraId="5FD8DC7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70 (84.3)/21 (80.8)</w:t>
            </w:r>
          </w:p>
        </w:tc>
        <w:tc>
          <w:tcPr>
            <w:tcW w:w="1169" w:type="pct"/>
            <w:shd w:val="clear" w:color="auto" w:fill="auto"/>
          </w:tcPr>
          <w:p w14:paraId="1D8D9AF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ChAG risk</w:t>
            </w:r>
          </w:p>
        </w:tc>
      </w:tr>
      <w:tr w:rsidR="0011105F" w:rsidRPr="003771AE" w14:paraId="7279129A" w14:textId="77777777" w:rsidTr="0025251E">
        <w:trPr>
          <w:trHeight w:val="266"/>
        </w:trPr>
        <w:tc>
          <w:tcPr>
            <w:tcW w:w="559" w:type="pct"/>
            <w:shd w:val="clear" w:color="auto" w:fill="auto"/>
          </w:tcPr>
          <w:p w14:paraId="0794C9B9"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720B7DE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IL-1B 31C</w:t>
            </w:r>
          </w:p>
        </w:tc>
        <w:tc>
          <w:tcPr>
            <w:tcW w:w="1043" w:type="pct"/>
          </w:tcPr>
          <w:p w14:paraId="3DE9A32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CC+CT</w:t>
            </w:r>
          </w:p>
        </w:tc>
        <w:tc>
          <w:tcPr>
            <w:tcW w:w="1403" w:type="pct"/>
            <w:shd w:val="clear" w:color="auto" w:fill="auto"/>
          </w:tcPr>
          <w:p w14:paraId="47256E8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18 (100)/73 (80.2)</w:t>
            </w:r>
          </w:p>
        </w:tc>
        <w:tc>
          <w:tcPr>
            <w:tcW w:w="1169" w:type="pct"/>
            <w:shd w:val="clear" w:color="auto" w:fill="auto"/>
          </w:tcPr>
          <w:p w14:paraId="020E1CF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m</w:t>
            </w:r>
            <w:r w:rsidRPr="003771AE">
              <w:rPr>
                <w:rFonts w:ascii="Book Antiqua" w:eastAsia="Calibri" w:hAnsi="Book Antiqua" w:cs="Times New Roman"/>
                <w:kern w:val="0"/>
                <w:sz w:val="24"/>
                <w:szCs w:val="24"/>
                <w:lang w:val="en-GB" w:eastAsia="en-US"/>
              </w:rPr>
              <w:t xml:space="preserve">oderate/severe GI risk </w:t>
            </w:r>
          </w:p>
        </w:tc>
      </w:tr>
      <w:tr w:rsidR="0011105F" w:rsidRPr="003771AE" w14:paraId="431D2105" w14:textId="77777777" w:rsidTr="0025251E">
        <w:trPr>
          <w:trHeight w:val="266"/>
        </w:trPr>
        <w:tc>
          <w:tcPr>
            <w:tcW w:w="559" w:type="pct"/>
            <w:shd w:val="clear" w:color="auto" w:fill="auto"/>
          </w:tcPr>
          <w:p w14:paraId="29CBA1F9"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41199F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IL-1B 31C</w:t>
            </w:r>
          </w:p>
        </w:tc>
        <w:tc>
          <w:tcPr>
            <w:tcW w:w="1043" w:type="pct"/>
          </w:tcPr>
          <w:p w14:paraId="324C374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CC+CT</w:t>
            </w:r>
          </w:p>
        </w:tc>
        <w:tc>
          <w:tcPr>
            <w:tcW w:w="1403" w:type="pct"/>
            <w:shd w:val="clear" w:color="auto" w:fill="auto"/>
          </w:tcPr>
          <w:p w14:paraId="30F2630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22 (91.7)/69 (81.2)</w:t>
            </w:r>
          </w:p>
        </w:tc>
        <w:tc>
          <w:tcPr>
            <w:tcW w:w="1169" w:type="pct"/>
            <w:shd w:val="clear" w:color="auto" w:fill="auto"/>
          </w:tcPr>
          <w:p w14:paraId="5DCD1BF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moderate/severe</w:t>
            </w:r>
          </w:p>
          <w:p w14:paraId="20B7B81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LI risk</w:t>
            </w:r>
          </w:p>
        </w:tc>
      </w:tr>
      <w:tr w:rsidR="0011105F" w:rsidRPr="003771AE" w14:paraId="53C6DADC" w14:textId="77777777" w:rsidTr="0025251E">
        <w:trPr>
          <w:trHeight w:val="266"/>
        </w:trPr>
        <w:tc>
          <w:tcPr>
            <w:tcW w:w="559" w:type="pct"/>
            <w:shd w:val="clear" w:color="auto" w:fill="auto"/>
          </w:tcPr>
          <w:p w14:paraId="4F88832C"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431D1E54" w14:textId="25A6F929"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IL-1B</w:t>
            </w:r>
            <w:r w:rsidR="00FF2601">
              <w:rPr>
                <w:rFonts w:ascii="Book Antiqua" w:eastAsia="Calibri" w:hAnsi="Book Antiqua" w:cs="Times New Roman"/>
                <w:kern w:val="0"/>
                <w:sz w:val="24"/>
                <w:szCs w:val="24"/>
                <w:lang w:val="en-GB" w:eastAsia="en-US"/>
              </w:rPr>
              <w:t xml:space="preserve"> </w:t>
            </w:r>
            <w:r w:rsidRPr="003771AE">
              <w:rPr>
                <w:rFonts w:ascii="Book Antiqua" w:eastAsia="Calibri" w:hAnsi="Book Antiqua" w:cs="Times New Roman"/>
                <w:kern w:val="0"/>
                <w:sz w:val="24"/>
                <w:szCs w:val="24"/>
                <w:lang w:val="en-GB" w:eastAsia="en-US"/>
              </w:rPr>
              <w:t>511T</w:t>
            </w:r>
          </w:p>
        </w:tc>
        <w:tc>
          <w:tcPr>
            <w:tcW w:w="1043" w:type="pct"/>
          </w:tcPr>
          <w:p w14:paraId="4F21533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TT+CT</w:t>
            </w:r>
          </w:p>
        </w:tc>
        <w:tc>
          <w:tcPr>
            <w:tcW w:w="1403" w:type="pct"/>
            <w:shd w:val="clear" w:color="auto" w:fill="auto"/>
          </w:tcPr>
          <w:p w14:paraId="4C81F82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71 (85.5)/20 (76.9)</w:t>
            </w:r>
          </w:p>
        </w:tc>
        <w:tc>
          <w:tcPr>
            <w:tcW w:w="1169" w:type="pct"/>
            <w:shd w:val="clear" w:color="auto" w:fill="auto"/>
          </w:tcPr>
          <w:p w14:paraId="311A29E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ChAG risk</w:t>
            </w:r>
          </w:p>
        </w:tc>
      </w:tr>
      <w:tr w:rsidR="0011105F" w:rsidRPr="003771AE" w14:paraId="77C4FB24" w14:textId="77777777" w:rsidTr="0025251E">
        <w:trPr>
          <w:trHeight w:val="281"/>
        </w:trPr>
        <w:tc>
          <w:tcPr>
            <w:tcW w:w="559" w:type="pct"/>
            <w:shd w:val="clear" w:color="auto" w:fill="auto"/>
          </w:tcPr>
          <w:p w14:paraId="0EC7167F"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6B6C12F" w14:textId="5A6951D1"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IL-1B</w:t>
            </w:r>
            <w:r w:rsidR="00FF2601">
              <w:rPr>
                <w:rFonts w:ascii="Book Antiqua" w:eastAsia="Calibri" w:hAnsi="Book Antiqua" w:cs="Times New Roman"/>
                <w:kern w:val="0"/>
                <w:sz w:val="24"/>
                <w:szCs w:val="24"/>
                <w:lang w:val="en-GB" w:eastAsia="en-US"/>
              </w:rPr>
              <w:t xml:space="preserve"> </w:t>
            </w:r>
            <w:r w:rsidRPr="003771AE">
              <w:rPr>
                <w:rFonts w:ascii="Book Antiqua" w:eastAsia="Calibri" w:hAnsi="Book Antiqua" w:cs="Times New Roman"/>
                <w:kern w:val="0"/>
                <w:sz w:val="24"/>
                <w:szCs w:val="24"/>
                <w:lang w:val="en-GB" w:eastAsia="en-US"/>
              </w:rPr>
              <w:t>511T</w:t>
            </w:r>
          </w:p>
        </w:tc>
        <w:tc>
          <w:tcPr>
            <w:tcW w:w="1043" w:type="pct"/>
          </w:tcPr>
          <w:p w14:paraId="2C1DE0A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TT+CT</w:t>
            </w:r>
          </w:p>
        </w:tc>
        <w:tc>
          <w:tcPr>
            <w:tcW w:w="1403" w:type="pct"/>
            <w:shd w:val="clear" w:color="auto" w:fill="auto"/>
          </w:tcPr>
          <w:p w14:paraId="113FF91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18 (100)/73 (80.2)</w:t>
            </w:r>
          </w:p>
        </w:tc>
        <w:tc>
          <w:tcPr>
            <w:tcW w:w="1169" w:type="pct"/>
            <w:shd w:val="clear" w:color="auto" w:fill="auto"/>
          </w:tcPr>
          <w:p w14:paraId="5E44282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M</w:t>
            </w:r>
            <w:r w:rsidRPr="003771AE">
              <w:rPr>
                <w:rFonts w:ascii="Book Antiqua" w:eastAsia="Calibri" w:hAnsi="Book Antiqua" w:cs="Times New Roman"/>
                <w:kern w:val="0"/>
                <w:sz w:val="24"/>
                <w:szCs w:val="24"/>
                <w:lang w:val="en-GB" w:eastAsia="en-US"/>
              </w:rPr>
              <w:t xml:space="preserve">oderate/severe GI risk </w:t>
            </w:r>
          </w:p>
        </w:tc>
      </w:tr>
      <w:tr w:rsidR="0011105F" w:rsidRPr="003771AE" w14:paraId="250B15FF" w14:textId="77777777" w:rsidTr="0025251E">
        <w:trPr>
          <w:trHeight w:val="266"/>
        </w:trPr>
        <w:tc>
          <w:tcPr>
            <w:tcW w:w="559" w:type="pct"/>
            <w:shd w:val="clear" w:color="auto" w:fill="auto"/>
          </w:tcPr>
          <w:p w14:paraId="5AE37CE7"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643B8840" w14:textId="3541F6E9"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IL-1B</w:t>
            </w:r>
            <w:r w:rsidR="00FF2601">
              <w:rPr>
                <w:rFonts w:ascii="Book Antiqua" w:eastAsia="Calibri" w:hAnsi="Book Antiqua" w:cs="Times New Roman"/>
                <w:kern w:val="0"/>
                <w:sz w:val="24"/>
                <w:szCs w:val="24"/>
                <w:lang w:val="en-GB" w:eastAsia="en-US"/>
              </w:rPr>
              <w:t xml:space="preserve"> </w:t>
            </w:r>
            <w:r w:rsidRPr="003771AE">
              <w:rPr>
                <w:rFonts w:ascii="Book Antiqua" w:eastAsia="Calibri" w:hAnsi="Book Antiqua" w:cs="Times New Roman"/>
                <w:kern w:val="0"/>
                <w:sz w:val="24"/>
                <w:szCs w:val="24"/>
                <w:lang w:val="en-GB" w:eastAsia="en-US"/>
              </w:rPr>
              <w:t>511T</w:t>
            </w:r>
          </w:p>
        </w:tc>
        <w:tc>
          <w:tcPr>
            <w:tcW w:w="1043" w:type="pct"/>
          </w:tcPr>
          <w:p w14:paraId="5AE6F36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TT+CT</w:t>
            </w:r>
          </w:p>
        </w:tc>
        <w:tc>
          <w:tcPr>
            <w:tcW w:w="1403" w:type="pct"/>
            <w:shd w:val="clear" w:color="auto" w:fill="auto"/>
          </w:tcPr>
          <w:p w14:paraId="69140BA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22 (91.7)/69 (81.2)</w:t>
            </w:r>
          </w:p>
        </w:tc>
        <w:tc>
          <w:tcPr>
            <w:tcW w:w="1169" w:type="pct"/>
            <w:shd w:val="clear" w:color="auto" w:fill="auto"/>
          </w:tcPr>
          <w:p w14:paraId="410F2A8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Moderate/severe</w:t>
            </w:r>
          </w:p>
          <w:p w14:paraId="7DE0683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LI risk</w:t>
            </w:r>
          </w:p>
        </w:tc>
      </w:tr>
      <w:tr w:rsidR="0011105F" w:rsidRPr="003771AE" w14:paraId="5A852321" w14:textId="77777777" w:rsidTr="0025251E">
        <w:trPr>
          <w:trHeight w:val="266"/>
        </w:trPr>
        <w:tc>
          <w:tcPr>
            <w:tcW w:w="559" w:type="pct"/>
            <w:shd w:val="clear" w:color="auto" w:fill="auto"/>
          </w:tcPr>
          <w:p w14:paraId="35578F9C"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7B2D217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IL-1RN*2</w:t>
            </w:r>
          </w:p>
        </w:tc>
        <w:tc>
          <w:tcPr>
            <w:tcW w:w="1043" w:type="pct"/>
          </w:tcPr>
          <w:p w14:paraId="0D69011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*1/* 2+*2/* 2</w:t>
            </w:r>
          </w:p>
        </w:tc>
        <w:tc>
          <w:tcPr>
            <w:tcW w:w="1403" w:type="pct"/>
            <w:shd w:val="clear" w:color="auto" w:fill="auto"/>
          </w:tcPr>
          <w:p w14:paraId="105B676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40 (48.2)/10 (38.5)</w:t>
            </w:r>
          </w:p>
        </w:tc>
        <w:tc>
          <w:tcPr>
            <w:tcW w:w="1169" w:type="pct"/>
            <w:shd w:val="clear" w:color="auto" w:fill="auto"/>
          </w:tcPr>
          <w:p w14:paraId="1D9AE66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ChAG risk</w:t>
            </w:r>
          </w:p>
        </w:tc>
      </w:tr>
      <w:tr w:rsidR="0011105F" w:rsidRPr="003771AE" w14:paraId="60383A60" w14:textId="77777777" w:rsidTr="0025251E">
        <w:trPr>
          <w:trHeight w:val="266"/>
        </w:trPr>
        <w:tc>
          <w:tcPr>
            <w:tcW w:w="559" w:type="pct"/>
            <w:shd w:val="clear" w:color="auto" w:fill="auto"/>
          </w:tcPr>
          <w:p w14:paraId="40A1878C"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FD9E88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IL-1RN*2</w:t>
            </w:r>
          </w:p>
        </w:tc>
        <w:tc>
          <w:tcPr>
            <w:tcW w:w="1043" w:type="pct"/>
          </w:tcPr>
          <w:p w14:paraId="35BAD87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*1/* 2+*2/* 2</w:t>
            </w:r>
          </w:p>
        </w:tc>
        <w:tc>
          <w:tcPr>
            <w:tcW w:w="1403" w:type="pct"/>
            <w:shd w:val="clear" w:color="auto" w:fill="auto"/>
          </w:tcPr>
          <w:p w14:paraId="5C0E268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7 (38.9)/43 (51.8)</w:t>
            </w:r>
          </w:p>
        </w:tc>
        <w:tc>
          <w:tcPr>
            <w:tcW w:w="1169" w:type="pct"/>
            <w:shd w:val="clear" w:color="auto" w:fill="auto"/>
          </w:tcPr>
          <w:p w14:paraId="25E86A0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M</w:t>
            </w:r>
            <w:r w:rsidRPr="003771AE">
              <w:rPr>
                <w:rFonts w:ascii="Book Antiqua" w:eastAsia="Calibri" w:hAnsi="Book Antiqua" w:cs="Times New Roman"/>
                <w:kern w:val="0"/>
                <w:sz w:val="24"/>
                <w:szCs w:val="24"/>
                <w:lang w:val="en-GB" w:eastAsia="en-US"/>
              </w:rPr>
              <w:t xml:space="preserve">oderate/severe GI risk </w:t>
            </w:r>
          </w:p>
        </w:tc>
      </w:tr>
      <w:tr w:rsidR="0011105F" w:rsidRPr="003771AE" w14:paraId="03E608E0" w14:textId="77777777" w:rsidTr="0025251E">
        <w:trPr>
          <w:trHeight w:val="266"/>
        </w:trPr>
        <w:tc>
          <w:tcPr>
            <w:tcW w:w="559" w:type="pct"/>
            <w:shd w:val="clear" w:color="auto" w:fill="auto"/>
          </w:tcPr>
          <w:p w14:paraId="682458AD"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556AE2F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IL-1RN*2</w:t>
            </w:r>
          </w:p>
        </w:tc>
        <w:tc>
          <w:tcPr>
            <w:tcW w:w="1043" w:type="pct"/>
          </w:tcPr>
          <w:p w14:paraId="0091790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*1/* 2+*2/* 2</w:t>
            </w:r>
          </w:p>
        </w:tc>
        <w:tc>
          <w:tcPr>
            <w:tcW w:w="1403" w:type="pct"/>
            <w:shd w:val="clear" w:color="auto" w:fill="auto"/>
          </w:tcPr>
          <w:p w14:paraId="67DC682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12 (50.0)/38 (44.7)</w:t>
            </w:r>
          </w:p>
        </w:tc>
        <w:tc>
          <w:tcPr>
            <w:tcW w:w="1169" w:type="pct"/>
            <w:shd w:val="clear" w:color="auto" w:fill="auto"/>
          </w:tcPr>
          <w:p w14:paraId="0D94172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Moderate/severe</w:t>
            </w:r>
          </w:p>
          <w:p w14:paraId="054A067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LI risk</w:t>
            </w:r>
          </w:p>
        </w:tc>
      </w:tr>
      <w:tr w:rsidR="0011105F" w:rsidRPr="003771AE" w14:paraId="3DC98995" w14:textId="77777777" w:rsidTr="0025251E">
        <w:trPr>
          <w:trHeight w:val="418"/>
        </w:trPr>
        <w:tc>
          <w:tcPr>
            <w:tcW w:w="559" w:type="pct"/>
            <w:shd w:val="clear" w:color="auto" w:fill="auto"/>
          </w:tcPr>
          <w:p w14:paraId="2AEF3B77"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1E36F9">
              <w:rPr>
                <w:rFonts w:ascii="Book Antiqua" w:eastAsia="Calibri" w:hAnsi="Book Antiqua" w:cs="Times New Roman"/>
                <w:kern w:val="0"/>
                <w:sz w:val="24"/>
                <w:szCs w:val="24"/>
                <w:lang w:val="en-GB" w:eastAsia="en-US"/>
              </w:rPr>
              <w:t>[87]</w:t>
            </w:r>
          </w:p>
        </w:tc>
        <w:tc>
          <w:tcPr>
            <w:tcW w:w="826" w:type="pct"/>
            <w:shd w:val="clear" w:color="auto" w:fill="auto"/>
          </w:tcPr>
          <w:p w14:paraId="36C8FFA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IL-1β-511</w:t>
            </w:r>
          </w:p>
        </w:tc>
        <w:tc>
          <w:tcPr>
            <w:tcW w:w="1043" w:type="pct"/>
          </w:tcPr>
          <w:p w14:paraId="58045EB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TT</w:t>
            </w:r>
          </w:p>
        </w:tc>
        <w:tc>
          <w:tcPr>
            <w:tcW w:w="1403" w:type="pct"/>
            <w:shd w:val="clear" w:color="auto" w:fill="auto"/>
          </w:tcPr>
          <w:p w14:paraId="3AB2836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16 (27.6)/26 (15.8)</w:t>
            </w:r>
          </w:p>
        </w:tc>
        <w:tc>
          <w:tcPr>
            <w:tcW w:w="1169" w:type="pct"/>
            <w:shd w:val="clear" w:color="auto" w:fill="auto"/>
          </w:tcPr>
          <w:p w14:paraId="6D67AFA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 risk</w:t>
            </w:r>
          </w:p>
        </w:tc>
      </w:tr>
      <w:tr w:rsidR="0011105F" w:rsidRPr="003771AE" w14:paraId="1252D0A3" w14:textId="77777777" w:rsidTr="0025251E">
        <w:trPr>
          <w:trHeight w:val="282"/>
        </w:trPr>
        <w:tc>
          <w:tcPr>
            <w:tcW w:w="559" w:type="pct"/>
            <w:shd w:val="clear" w:color="auto" w:fill="auto"/>
          </w:tcPr>
          <w:p w14:paraId="77AFE7BA"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3259B92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37215DF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TC</w:t>
            </w:r>
          </w:p>
        </w:tc>
        <w:tc>
          <w:tcPr>
            <w:tcW w:w="1403" w:type="pct"/>
            <w:shd w:val="clear" w:color="auto" w:fill="auto"/>
          </w:tcPr>
          <w:p w14:paraId="161FBC0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30 (51.7)/88 (53.3)</w:t>
            </w:r>
          </w:p>
        </w:tc>
        <w:tc>
          <w:tcPr>
            <w:tcW w:w="1169" w:type="pct"/>
            <w:shd w:val="clear" w:color="auto" w:fill="auto"/>
          </w:tcPr>
          <w:p w14:paraId="5A7D41D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325EB3AE" w14:textId="77777777" w:rsidTr="0025251E">
        <w:trPr>
          <w:trHeight w:val="344"/>
        </w:trPr>
        <w:tc>
          <w:tcPr>
            <w:tcW w:w="559" w:type="pct"/>
            <w:shd w:val="clear" w:color="auto" w:fill="auto"/>
          </w:tcPr>
          <w:p w14:paraId="0E1AAB4D"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302A514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627D2CB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TT</w:t>
            </w:r>
          </w:p>
        </w:tc>
        <w:tc>
          <w:tcPr>
            <w:tcW w:w="1403" w:type="pct"/>
            <w:shd w:val="clear" w:color="auto" w:fill="auto"/>
          </w:tcPr>
          <w:p w14:paraId="7729687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8 (25.8)/34 (17.7)</w:t>
            </w:r>
          </w:p>
        </w:tc>
        <w:tc>
          <w:tcPr>
            <w:tcW w:w="1169" w:type="pct"/>
            <w:shd w:val="clear" w:color="auto" w:fill="auto"/>
          </w:tcPr>
          <w:p w14:paraId="0A9933A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CoAG risk</w:t>
            </w:r>
          </w:p>
        </w:tc>
      </w:tr>
      <w:tr w:rsidR="0011105F" w:rsidRPr="003771AE" w14:paraId="1A8AA173" w14:textId="77777777" w:rsidTr="0025251E">
        <w:trPr>
          <w:trHeight w:val="406"/>
        </w:trPr>
        <w:tc>
          <w:tcPr>
            <w:tcW w:w="559" w:type="pct"/>
            <w:shd w:val="clear" w:color="auto" w:fill="auto"/>
          </w:tcPr>
          <w:p w14:paraId="761FEE47"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4205125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579DEA9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TC</w:t>
            </w:r>
          </w:p>
        </w:tc>
        <w:tc>
          <w:tcPr>
            <w:tcW w:w="1403" w:type="pct"/>
            <w:shd w:val="clear" w:color="auto" w:fill="auto"/>
          </w:tcPr>
          <w:p w14:paraId="603CE81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16 (51.6)/102 (53.1)</w:t>
            </w:r>
          </w:p>
        </w:tc>
        <w:tc>
          <w:tcPr>
            <w:tcW w:w="1169" w:type="pct"/>
            <w:shd w:val="clear" w:color="auto" w:fill="auto"/>
          </w:tcPr>
          <w:p w14:paraId="1BA16AC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06365747" w14:textId="77777777" w:rsidTr="0025251E">
        <w:trPr>
          <w:trHeight w:val="406"/>
        </w:trPr>
        <w:tc>
          <w:tcPr>
            <w:tcW w:w="559" w:type="pct"/>
            <w:shd w:val="clear" w:color="auto" w:fill="auto"/>
          </w:tcPr>
          <w:p w14:paraId="536078FD"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370E754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40B6DA5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TT</w:t>
            </w:r>
          </w:p>
        </w:tc>
        <w:tc>
          <w:tcPr>
            <w:tcW w:w="1403" w:type="pct"/>
            <w:shd w:val="clear" w:color="auto" w:fill="auto"/>
          </w:tcPr>
          <w:p w14:paraId="41E2635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8 (34.8)/34 (15.2)</w:t>
            </w:r>
          </w:p>
        </w:tc>
        <w:tc>
          <w:tcPr>
            <w:tcW w:w="1169" w:type="pct"/>
            <w:shd w:val="clear" w:color="auto" w:fill="auto"/>
          </w:tcPr>
          <w:p w14:paraId="2509DB7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risk</w:t>
            </w:r>
          </w:p>
        </w:tc>
      </w:tr>
      <w:tr w:rsidR="0011105F" w:rsidRPr="003771AE" w14:paraId="0A9C5C17" w14:textId="77777777" w:rsidTr="0025251E">
        <w:trPr>
          <w:trHeight w:val="406"/>
        </w:trPr>
        <w:tc>
          <w:tcPr>
            <w:tcW w:w="559" w:type="pct"/>
            <w:shd w:val="clear" w:color="auto" w:fill="auto"/>
          </w:tcPr>
          <w:p w14:paraId="6DBF04D9"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5429F2A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684F4B1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TC</w:t>
            </w:r>
          </w:p>
        </w:tc>
        <w:tc>
          <w:tcPr>
            <w:tcW w:w="1403" w:type="pct"/>
            <w:shd w:val="clear" w:color="auto" w:fill="auto"/>
          </w:tcPr>
          <w:p w14:paraId="450050F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12 (52.2)/106 (47.5)</w:t>
            </w:r>
          </w:p>
        </w:tc>
        <w:tc>
          <w:tcPr>
            <w:tcW w:w="1169" w:type="pct"/>
            <w:shd w:val="clear" w:color="auto" w:fill="auto"/>
          </w:tcPr>
          <w:p w14:paraId="382F535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49410608" w14:textId="77777777" w:rsidTr="0025251E">
        <w:trPr>
          <w:trHeight w:val="406"/>
        </w:trPr>
        <w:tc>
          <w:tcPr>
            <w:tcW w:w="559" w:type="pct"/>
            <w:shd w:val="clear" w:color="auto" w:fill="auto"/>
          </w:tcPr>
          <w:p w14:paraId="2B859607"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3ED962C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IL-1β+3954</w:t>
            </w:r>
          </w:p>
        </w:tc>
        <w:tc>
          <w:tcPr>
            <w:tcW w:w="1043" w:type="pct"/>
          </w:tcPr>
          <w:p w14:paraId="34B077F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TT</w:t>
            </w:r>
          </w:p>
        </w:tc>
        <w:tc>
          <w:tcPr>
            <w:tcW w:w="1403" w:type="pct"/>
            <w:shd w:val="clear" w:color="auto" w:fill="auto"/>
          </w:tcPr>
          <w:p w14:paraId="70F8081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 (1.7)/2 (1.2)</w:t>
            </w:r>
          </w:p>
        </w:tc>
        <w:tc>
          <w:tcPr>
            <w:tcW w:w="1169" w:type="pct"/>
            <w:shd w:val="clear" w:color="auto" w:fill="auto"/>
          </w:tcPr>
          <w:p w14:paraId="765C2D4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 risk</w:t>
            </w:r>
          </w:p>
        </w:tc>
      </w:tr>
      <w:tr w:rsidR="0011105F" w:rsidRPr="003771AE" w14:paraId="328B32F7" w14:textId="77777777" w:rsidTr="0025251E">
        <w:trPr>
          <w:trHeight w:val="406"/>
        </w:trPr>
        <w:tc>
          <w:tcPr>
            <w:tcW w:w="559" w:type="pct"/>
            <w:shd w:val="clear" w:color="auto" w:fill="auto"/>
          </w:tcPr>
          <w:p w14:paraId="5E913EA4"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51CFC5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4409322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TC</w:t>
            </w:r>
          </w:p>
        </w:tc>
        <w:tc>
          <w:tcPr>
            <w:tcW w:w="1403" w:type="pct"/>
            <w:shd w:val="clear" w:color="auto" w:fill="auto"/>
          </w:tcPr>
          <w:p w14:paraId="2FD5E3E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33 (56.9)/77 (46.7)</w:t>
            </w:r>
          </w:p>
        </w:tc>
        <w:tc>
          <w:tcPr>
            <w:tcW w:w="1169" w:type="pct"/>
            <w:shd w:val="clear" w:color="auto" w:fill="auto"/>
          </w:tcPr>
          <w:p w14:paraId="3B93DCD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2DFDD246" w14:textId="77777777" w:rsidTr="0025251E">
        <w:trPr>
          <w:trHeight w:val="406"/>
        </w:trPr>
        <w:tc>
          <w:tcPr>
            <w:tcW w:w="559" w:type="pct"/>
            <w:shd w:val="clear" w:color="auto" w:fill="auto"/>
          </w:tcPr>
          <w:p w14:paraId="212EFCEF"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22AA101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71378C0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TT</w:t>
            </w:r>
          </w:p>
        </w:tc>
        <w:tc>
          <w:tcPr>
            <w:tcW w:w="1403" w:type="pct"/>
            <w:shd w:val="clear" w:color="auto" w:fill="auto"/>
          </w:tcPr>
          <w:p w14:paraId="7B03F4A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0 (0.0)/3 (1.6)</w:t>
            </w:r>
          </w:p>
        </w:tc>
        <w:tc>
          <w:tcPr>
            <w:tcW w:w="1169" w:type="pct"/>
            <w:shd w:val="clear" w:color="auto" w:fill="auto"/>
          </w:tcPr>
          <w:p w14:paraId="61CDC4A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CoAG risk</w:t>
            </w:r>
          </w:p>
        </w:tc>
      </w:tr>
      <w:tr w:rsidR="0011105F" w:rsidRPr="003771AE" w14:paraId="597B709A" w14:textId="77777777" w:rsidTr="0025251E">
        <w:trPr>
          <w:trHeight w:val="406"/>
        </w:trPr>
        <w:tc>
          <w:tcPr>
            <w:tcW w:w="559" w:type="pct"/>
            <w:shd w:val="clear" w:color="auto" w:fill="auto"/>
          </w:tcPr>
          <w:p w14:paraId="7D788338"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134EF99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57CA3EF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TC</w:t>
            </w:r>
          </w:p>
        </w:tc>
        <w:tc>
          <w:tcPr>
            <w:tcW w:w="1403" w:type="pct"/>
            <w:shd w:val="clear" w:color="auto" w:fill="auto"/>
          </w:tcPr>
          <w:p w14:paraId="04DE888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19 (61.3)/91 (47.4)</w:t>
            </w:r>
          </w:p>
        </w:tc>
        <w:tc>
          <w:tcPr>
            <w:tcW w:w="1169" w:type="pct"/>
            <w:shd w:val="clear" w:color="auto" w:fill="auto"/>
          </w:tcPr>
          <w:p w14:paraId="6827C9F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58931DA6" w14:textId="77777777" w:rsidTr="0025251E">
        <w:trPr>
          <w:trHeight w:val="406"/>
        </w:trPr>
        <w:tc>
          <w:tcPr>
            <w:tcW w:w="559" w:type="pct"/>
            <w:shd w:val="clear" w:color="auto" w:fill="auto"/>
          </w:tcPr>
          <w:p w14:paraId="6F9BB16A"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42F217C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5C88340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vertAlign w:val="superscript"/>
                <w:lang w:val="en-GB" w:eastAsia="en-US"/>
              </w:rPr>
            </w:pPr>
            <w:r w:rsidRPr="003771AE">
              <w:rPr>
                <w:rFonts w:ascii="Book Antiqua" w:eastAsia="Calibri" w:hAnsi="Book Antiqua" w:cs="Times New Roman"/>
                <w:kern w:val="0"/>
                <w:sz w:val="24"/>
                <w:szCs w:val="24"/>
                <w:lang w:val="en-GB" w:eastAsia="en-US"/>
              </w:rPr>
              <w:t>TT</w:t>
            </w:r>
            <w:r w:rsidRPr="003771AE">
              <w:rPr>
                <w:rFonts w:ascii="Book Antiqua" w:eastAsia="Calibri" w:hAnsi="Book Antiqua" w:cs="Times New Roman"/>
                <w:kern w:val="0"/>
                <w:sz w:val="24"/>
                <w:szCs w:val="24"/>
                <w:vertAlign w:val="superscript"/>
                <w:lang w:val="en-GB" w:eastAsia="en-US"/>
              </w:rPr>
              <w:t>a</w:t>
            </w:r>
          </w:p>
        </w:tc>
        <w:tc>
          <w:tcPr>
            <w:tcW w:w="1403" w:type="pct"/>
            <w:shd w:val="clear" w:color="auto" w:fill="auto"/>
          </w:tcPr>
          <w:p w14:paraId="70416DA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0 (0.0)/3 (1.3)</w:t>
            </w:r>
          </w:p>
        </w:tc>
        <w:tc>
          <w:tcPr>
            <w:tcW w:w="1169" w:type="pct"/>
            <w:shd w:val="clear" w:color="auto" w:fill="auto"/>
          </w:tcPr>
          <w:p w14:paraId="1918697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risk</w:t>
            </w:r>
          </w:p>
        </w:tc>
      </w:tr>
      <w:tr w:rsidR="0011105F" w:rsidRPr="003771AE" w14:paraId="456B75AE" w14:textId="77777777" w:rsidTr="0025251E">
        <w:trPr>
          <w:trHeight w:val="406"/>
        </w:trPr>
        <w:tc>
          <w:tcPr>
            <w:tcW w:w="559" w:type="pct"/>
            <w:shd w:val="clear" w:color="auto" w:fill="auto"/>
          </w:tcPr>
          <w:p w14:paraId="1EE54937"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5D3689A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104B171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vertAlign w:val="superscript"/>
                <w:lang w:val="en-GB" w:eastAsia="en-US"/>
              </w:rPr>
            </w:pPr>
            <w:r w:rsidRPr="003771AE">
              <w:rPr>
                <w:rFonts w:ascii="Book Antiqua" w:eastAsia="Calibri" w:hAnsi="Book Antiqua" w:cs="Times New Roman"/>
                <w:kern w:val="0"/>
                <w:sz w:val="24"/>
                <w:szCs w:val="24"/>
                <w:lang w:val="en-GB" w:eastAsia="en-US"/>
              </w:rPr>
              <w:t>TC</w:t>
            </w:r>
            <w:r w:rsidRPr="003771AE">
              <w:rPr>
                <w:rFonts w:ascii="Book Antiqua" w:eastAsia="Calibri" w:hAnsi="Book Antiqua" w:cs="Times New Roman"/>
                <w:kern w:val="0"/>
                <w:sz w:val="24"/>
                <w:szCs w:val="24"/>
                <w:vertAlign w:val="superscript"/>
                <w:lang w:val="en-GB" w:eastAsia="en-US"/>
              </w:rPr>
              <w:t>a</w:t>
            </w:r>
          </w:p>
        </w:tc>
        <w:tc>
          <w:tcPr>
            <w:tcW w:w="1403" w:type="pct"/>
            <w:shd w:val="clear" w:color="auto" w:fill="auto"/>
          </w:tcPr>
          <w:p w14:paraId="2BC0D3C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18 (78.2)/92 (41.2)</w:t>
            </w:r>
          </w:p>
        </w:tc>
        <w:tc>
          <w:tcPr>
            <w:tcW w:w="1169" w:type="pct"/>
            <w:shd w:val="clear" w:color="auto" w:fill="auto"/>
          </w:tcPr>
          <w:p w14:paraId="1F8827C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763BF165" w14:textId="77777777" w:rsidTr="0025251E">
        <w:trPr>
          <w:trHeight w:val="406"/>
        </w:trPr>
        <w:tc>
          <w:tcPr>
            <w:tcW w:w="559" w:type="pct"/>
            <w:shd w:val="clear" w:color="auto" w:fill="auto"/>
          </w:tcPr>
          <w:p w14:paraId="468E735F"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61ECD13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IL-1RN intron2</w:t>
            </w:r>
          </w:p>
        </w:tc>
        <w:tc>
          <w:tcPr>
            <w:tcW w:w="1043" w:type="pct"/>
          </w:tcPr>
          <w:p w14:paraId="5522EC5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2/2</w:t>
            </w:r>
          </w:p>
        </w:tc>
        <w:tc>
          <w:tcPr>
            <w:tcW w:w="1403" w:type="pct"/>
            <w:shd w:val="clear" w:color="auto" w:fill="auto"/>
          </w:tcPr>
          <w:p w14:paraId="37D0C84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13 (22.4)/20 (12.1)</w:t>
            </w:r>
          </w:p>
        </w:tc>
        <w:tc>
          <w:tcPr>
            <w:tcW w:w="1169" w:type="pct"/>
            <w:shd w:val="clear" w:color="auto" w:fill="auto"/>
          </w:tcPr>
          <w:p w14:paraId="5F9F1D8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 risk</w:t>
            </w:r>
          </w:p>
        </w:tc>
      </w:tr>
      <w:tr w:rsidR="0011105F" w:rsidRPr="003771AE" w14:paraId="55247FF5" w14:textId="77777777" w:rsidTr="0025251E">
        <w:trPr>
          <w:trHeight w:val="406"/>
        </w:trPr>
        <w:tc>
          <w:tcPr>
            <w:tcW w:w="559" w:type="pct"/>
            <w:shd w:val="clear" w:color="auto" w:fill="auto"/>
          </w:tcPr>
          <w:p w14:paraId="74A8A27B"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46E2D0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11C1AE5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2/L</w:t>
            </w:r>
          </w:p>
        </w:tc>
        <w:tc>
          <w:tcPr>
            <w:tcW w:w="1403" w:type="pct"/>
            <w:shd w:val="clear" w:color="auto" w:fill="auto"/>
          </w:tcPr>
          <w:p w14:paraId="4E495EA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18 (31.0)/49 (29.7)</w:t>
            </w:r>
          </w:p>
        </w:tc>
        <w:tc>
          <w:tcPr>
            <w:tcW w:w="1169" w:type="pct"/>
            <w:shd w:val="clear" w:color="auto" w:fill="auto"/>
          </w:tcPr>
          <w:p w14:paraId="6FC0DE7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1CB37F5B" w14:textId="77777777" w:rsidTr="0025251E">
        <w:trPr>
          <w:trHeight w:val="406"/>
        </w:trPr>
        <w:tc>
          <w:tcPr>
            <w:tcW w:w="559" w:type="pct"/>
            <w:shd w:val="clear" w:color="auto" w:fill="auto"/>
          </w:tcPr>
          <w:p w14:paraId="744DC154"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65FE9FD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7447ADE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2/2</w:t>
            </w:r>
          </w:p>
        </w:tc>
        <w:tc>
          <w:tcPr>
            <w:tcW w:w="1403" w:type="pct"/>
            <w:shd w:val="clear" w:color="auto" w:fill="auto"/>
          </w:tcPr>
          <w:p w14:paraId="7CE8A30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9 (29.0)/24 (12.5)</w:t>
            </w:r>
          </w:p>
        </w:tc>
        <w:tc>
          <w:tcPr>
            <w:tcW w:w="1169" w:type="pct"/>
            <w:shd w:val="clear" w:color="auto" w:fill="auto"/>
          </w:tcPr>
          <w:p w14:paraId="03C44C6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CoAG risk</w:t>
            </w:r>
          </w:p>
        </w:tc>
      </w:tr>
      <w:tr w:rsidR="0011105F" w:rsidRPr="003771AE" w14:paraId="78BA197F" w14:textId="77777777" w:rsidTr="0025251E">
        <w:trPr>
          <w:trHeight w:val="406"/>
        </w:trPr>
        <w:tc>
          <w:tcPr>
            <w:tcW w:w="559" w:type="pct"/>
            <w:shd w:val="clear" w:color="auto" w:fill="auto"/>
          </w:tcPr>
          <w:p w14:paraId="2D299688"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2F80BC6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78C8322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2/L</w:t>
            </w:r>
          </w:p>
        </w:tc>
        <w:tc>
          <w:tcPr>
            <w:tcW w:w="1403" w:type="pct"/>
            <w:shd w:val="clear" w:color="auto" w:fill="auto"/>
          </w:tcPr>
          <w:p w14:paraId="3337E1B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8 (25.8)/59 (30.7)</w:t>
            </w:r>
          </w:p>
        </w:tc>
        <w:tc>
          <w:tcPr>
            <w:tcW w:w="1169" w:type="pct"/>
            <w:shd w:val="clear" w:color="auto" w:fill="auto"/>
          </w:tcPr>
          <w:p w14:paraId="01DC3A6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3B0CA024" w14:textId="77777777" w:rsidTr="0025251E">
        <w:trPr>
          <w:trHeight w:val="406"/>
        </w:trPr>
        <w:tc>
          <w:tcPr>
            <w:tcW w:w="559" w:type="pct"/>
            <w:shd w:val="clear" w:color="auto" w:fill="auto"/>
          </w:tcPr>
          <w:p w14:paraId="16711C4C"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C573D1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09CF7F0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vertAlign w:val="superscript"/>
                <w:lang w:val="en-GB" w:eastAsia="en-US"/>
              </w:rPr>
            </w:pPr>
            <w:r w:rsidRPr="003771AE">
              <w:rPr>
                <w:rFonts w:ascii="Book Antiqua" w:eastAsia="Calibri" w:hAnsi="Book Antiqua" w:cs="Times New Roman"/>
                <w:kern w:val="0"/>
                <w:sz w:val="24"/>
                <w:szCs w:val="24"/>
                <w:lang w:val="en-GB" w:eastAsia="en-US"/>
              </w:rPr>
              <w:t>2/2</w:t>
            </w:r>
            <w:r w:rsidRPr="003771AE">
              <w:rPr>
                <w:rFonts w:ascii="Book Antiqua" w:eastAsia="Calibri" w:hAnsi="Book Antiqua" w:cs="Times New Roman"/>
                <w:kern w:val="0"/>
                <w:sz w:val="24"/>
                <w:szCs w:val="24"/>
                <w:vertAlign w:val="superscript"/>
                <w:lang w:val="en-GB" w:eastAsia="en-US"/>
              </w:rPr>
              <w:t>a</w:t>
            </w:r>
          </w:p>
        </w:tc>
        <w:tc>
          <w:tcPr>
            <w:tcW w:w="1403" w:type="pct"/>
            <w:shd w:val="clear" w:color="auto" w:fill="auto"/>
          </w:tcPr>
          <w:p w14:paraId="78485FE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8 (34.8)/25 (11.2)</w:t>
            </w:r>
          </w:p>
        </w:tc>
        <w:tc>
          <w:tcPr>
            <w:tcW w:w="1169" w:type="pct"/>
            <w:shd w:val="clear" w:color="auto" w:fill="auto"/>
          </w:tcPr>
          <w:p w14:paraId="0B93AAD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risk</w:t>
            </w:r>
          </w:p>
        </w:tc>
      </w:tr>
      <w:tr w:rsidR="0011105F" w:rsidRPr="003771AE" w14:paraId="136C3093" w14:textId="77777777" w:rsidTr="0025251E">
        <w:trPr>
          <w:trHeight w:val="406"/>
        </w:trPr>
        <w:tc>
          <w:tcPr>
            <w:tcW w:w="559" w:type="pct"/>
            <w:shd w:val="clear" w:color="auto" w:fill="auto"/>
          </w:tcPr>
          <w:p w14:paraId="6E684FDB"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32CC690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66E66E6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2/L</w:t>
            </w:r>
          </w:p>
        </w:tc>
        <w:tc>
          <w:tcPr>
            <w:tcW w:w="1403" w:type="pct"/>
            <w:shd w:val="clear" w:color="auto" w:fill="auto"/>
          </w:tcPr>
          <w:p w14:paraId="3127954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5 (21.7)/62 (27.8)</w:t>
            </w:r>
          </w:p>
        </w:tc>
        <w:tc>
          <w:tcPr>
            <w:tcW w:w="1169" w:type="pct"/>
            <w:shd w:val="clear" w:color="auto" w:fill="auto"/>
          </w:tcPr>
          <w:p w14:paraId="5697AA4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08F80006" w14:textId="77777777" w:rsidTr="0025251E">
        <w:trPr>
          <w:trHeight w:val="406"/>
        </w:trPr>
        <w:tc>
          <w:tcPr>
            <w:tcW w:w="559" w:type="pct"/>
            <w:shd w:val="clear" w:color="auto" w:fill="auto"/>
          </w:tcPr>
          <w:p w14:paraId="38903585"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F61F90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等线" w:hAnsi="Book Antiqua" w:cs="Times New Roman"/>
                <w:kern w:val="0"/>
                <w:sz w:val="24"/>
                <w:szCs w:val="24"/>
                <w:lang w:val="en-GB" w:eastAsia="en-US"/>
              </w:rPr>
              <w:t>IL-10 -1082</w:t>
            </w:r>
          </w:p>
        </w:tc>
        <w:tc>
          <w:tcPr>
            <w:tcW w:w="1043" w:type="pct"/>
          </w:tcPr>
          <w:p w14:paraId="3C9C110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AA</w:t>
            </w:r>
          </w:p>
        </w:tc>
        <w:tc>
          <w:tcPr>
            <w:tcW w:w="1403" w:type="pct"/>
            <w:shd w:val="clear" w:color="auto" w:fill="auto"/>
          </w:tcPr>
          <w:p w14:paraId="4A4556C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35 (60.3)/81 (49.1)</w:t>
            </w:r>
          </w:p>
        </w:tc>
        <w:tc>
          <w:tcPr>
            <w:tcW w:w="1169" w:type="pct"/>
            <w:shd w:val="clear" w:color="auto" w:fill="auto"/>
          </w:tcPr>
          <w:p w14:paraId="611F4DC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 risk</w:t>
            </w:r>
          </w:p>
        </w:tc>
      </w:tr>
      <w:tr w:rsidR="0011105F" w:rsidRPr="003771AE" w14:paraId="562A43EC" w14:textId="77777777" w:rsidTr="0025251E">
        <w:trPr>
          <w:trHeight w:val="406"/>
        </w:trPr>
        <w:tc>
          <w:tcPr>
            <w:tcW w:w="559" w:type="pct"/>
            <w:shd w:val="clear" w:color="auto" w:fill="auto"/>
          </w:tcPr>
          <w:p w14:paraId="2D259E27"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17310BF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4FA40B3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GA</w:t>
            </w:r>
          </w:p>
        </w:tc>
        <w:tc>
          <w:tcPr>
            <w:tcW w:w="1403" w:type="pct"/>
            <w:shd w:val="clear" w:color="auto" w:fill="auto"/>
          </w:tcPr>
          <w:p w14:paraId="634F480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17 (29.3)/56 (33.9)</w:t>
            </w:r>
          </w:p>
        </w:tc>
        <w:tc>
          <w:tcPr>
            <w:tcW w:w="1169" w:type="pct"/>
            <w:shd w:val="clear" w:color="auto" w:fill="auto"/>
          </w:tcPr>
          <w:p w14:paraId="738BD2F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0087FF60" w14:textId="77777777" w:rsidTr="0025251E">
        <w:trPr>
          <w:trHeight w:val="406"/>
        </w:trPr>
        <w:tc>
          <w:tcPr>
            <w:tcW w:w="559" w:type="pct"/>
            <w:shd w:val="clear" w:color="auto" w:fill="auto"/>
          </w:tcPr>
          <w:p w14:paraId="2E7C9312"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7C22E75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6210D6B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AA</w:t>
            </w:r>
          </w:p>
        </w:tc>
        <w:tc>
          <w:tcPr>
            <w:tcW w:w="1403" w:type="pct"/>
            <w:shd w:val="clear" w:color="auto" w:fill="auto"/>
          </w:tcPr>
          <w:p w14:paraId="3B0AA8B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17 (54.8)/99 (51.6)</w:t>
            </w:r>
          </w:p>
        </w:tc>
        <w:tc>
          <w:tcPr>
            <w:tcW w:w="1169" w:type="pct"/>
            <w:shd w:val="clear" w:color="auto" w:fill="auto"/>
          </w:tcPr>
          <w:p w14:paraId="22F733B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CoAG risk</w:t>
            </w:r>
          </w:p>
        </w:tc>
      </w:tr>
      <w:tr w:rsidR="0011105F" w:rsidRPr="003771AE" w14:paraId="3CDCABDC" w14:textId="77777777" w:rsidTr="0025251E">
        <w:trPr>
          <w:trHeight w:val="406"/>
        </w:trPr>
        <w:tc>
          <w:tcPr>
            <w:tcW w:w="559" w:type="pct"/>
            <w:shd w:val="clear" w:color="auto" w:fill="auto"/>
          </w:tcPr>
          <w:p w14:paraId="7C5CBE11"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CF49B3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1EF3A14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GA</w:t>
            </w:r>
          </w:p>
        </w:tc>
        <w:tc>
          <w:tcPr>
            <w:tcW w:w="1403" w:type="pct"/>
            <w:shd w:val="clear" w:color="auto" w:fill="auto"/>
          </w:tcPr>
          <w:p w14:paraId="037E731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10 (32.3)/63 (32.8)</w:t>
            </w:r>
          </w:p>
        </w:tc>
        <w:tc>
          <w:tcPr>
            <w:tcW w:w="1169" w:type="pct"/>
            <w:shd w:val="clear" w:color="auto" w:fill="auto"/>
          </w:tcPr>
          <w:p w14:paraId="2511F47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62D5DC70" w14:textId="77777777" w:rsidTr="0025251E">
        <w:trPr>
          <w:trHeight w:val="406"/>
        </w:trPr>
        <w:tc>
          <w:tcPr>
            <w:tcW w:w="559" w:type="pct"/>
            <w:shd w:val="clear" w:color="auto" w:fill="auto"/>
          </w:tcPr>
          <w:p w14:paraId="78B9F1F5"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1084387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3B762B6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AA</w:t>
            </w:r>
          </w:p>
        </w:tc>
        <w:tc>
          <w:tcPr>
            <w:tcW w:w="1403" w:type="pct"/>
            <w:shd w:val="clear" w:color="auto" w:fill="auto"/>
          </w:tcPr>
          <w:p w14:paraId="3F6B0A6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12 (52.2)/104 (46/6)</w:t>
            </w:r>
          </w:p>
        </w:tc>
        <w:tc>
          <w:tcPr>
            <w:tcW w:w="1169" w:type="pct"/>
            <w:shd w:val="clear" w:color="auto" w:fill="auto"/>
          </w:tcPr>
          <w:p w14:paraId="087A9C9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risk</w:t>
            </w:r>
          </w:p>
        </w:tc>
      </w:tr>
      <w:tr w:rsidR="0011105F" w:rsidRPr="003771AE" w14:paraId="510CD2B6" w14:textId="77777777" w:rsidTr="0025251E">
        <w:trPr>
          <w:trHeight w:val="406"/>
        </w:trPr>
        <w:tc>
          <w:tcPr>
            <w:tcW w:w="559" w:type="pct"/>
            <w:shd w:val="clear" w:color="auto" w:fill="auto"/>
          </w:tcPr>
          <w:p w14:paraId="4176AC80"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0C46EF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0AE2942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GA</w:t>
            </w:r>
          </w:p>
        </w:tc>
        <w:tc>
          <w:tcPr>
            <w:tcW w:w="1403" w:type="pct"/>
            <w:shd w:val="clear" w:color="auto" w:fill="auto"/>
          </w:tcPr>
          <w:p w14:paraId="3159CD5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10 (43.5)/63 (28.3)</w:t>
            </w:r>
          </w:p>
        </w:tc>
        <w:tc>
          <w:tcPr>
            <w:tcW w:w="1169" w:type="pct"/>
            <w:shd w:val="clear" w:color="auto" w:fill="auto"/>
          </w:tcPr>
          <w:p w14:paraId="5D278B0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78596F36" w14:textId="77777777" w:rsidTr="0025251E">
        <w:trPr>
          <w:trHeight w:val="406"/>
        </w:trPr>
        <w:tc>
          <w:tcPr>
            <w:tcW w:w="559" w:type="pct"/>
            <w:shd w:val="clear" w:color="auto" w:fill="auto"/>
          </w:tcPr>
          <w:p w14:paraId="73FC5F63"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33E45FE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IL-10 -592</w:t>
            </w:r>
          </w:p>
        </w:tc>
        <w:tc>
          <w:tcPr>
            <w:tcW w:w="1043" w:type="pct"/>
          </w:tcPr>
          <w:p w14:paraId="5B404CB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AA</w:t>
            </w:r>
          </w:p>
        </w:tc>
        <w:tc>
          <w:tcPr>
            <w:tcW w:w="1403" w:type="pct"/>
            <w:shd w:val="clear" w:color="auto" w:fill="auto"/>
          </w:tcPr>
          <w:p w14:paraId="4CCC68A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8 (13.8)/12 (7.3)</w:t>
            </w:r>
          </w:p>
        </w:tc>
        <w:tc>
          <w:tcPr>
            <w:tcW w:w="1169" w:type="pct"/>
            <w:shd w:val="clear" w:color="auto" w:fill="auto"/>
          </w:tcPr>
          <w:p w14:paraId="58D82D9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 risk</w:t>
            </w:r>
          </w:p>
        </w:tc>
      </w:tr>
      <w:tr w:rsidR="0011105F" w:rsidRPr="003771AE" w14:paraId="07019CE0" w14:textId="77777777" w:rsidTr="0025251E">
        <w:trPr>
          <w:trHeight w:val="406"/>
        </w:trPr>
        <w:tc>
          <w:tcPr>
            <w:tcW w:w="559" w:type="pct"/>
            <w:shd w:val="clear" w:color="auto" w:fill="auto"/>
          </w:tcPr>
          <w:p w14:paraId="1A0C72C4"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6A9B7E5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6A4A2E0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CA</w:t>
            </w:r>
          </w:p>
        </w:tc>
        <w:tc>
          <w:tcPr>
            <w:tcW w:w="1403" w:type="pct"/>
            <w:shd w:val="clear" w:color="auto" w:fill="auto"/>
          </w:tcPr>
          <w:p w14:paraId="3AD5011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19 (32.8)/58 (35.1)</w:t>
            </w:r>
          </w:p>
        </w:tc>
        <w:tc>
          <w:tcPr>
            <w:tcW w:w="1169" w:type="pct"/>
            <w:shd w:val="clear" w:color="auto" w:fill="auto"/>
          </w:tcPr>
          <w:p w14:paraId="18977F7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5209121F" w14:textId="77777777" w:rsidTr="0025251E">
        <w:trPr>
          <w:trHeight w:val="406"/>
        </w:trPr>
        <w:tc>
          <w:tcPr>
            <w:tcW w:w="559" w:type="pct"/>
            <w:shd w:val="clear" w:color="auto" w:fill="auto"/>
          </w:tcPr>
          <w:p w14:paraId="63EBEA08"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6C7E18A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3C83F5F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AA</w:t>
            </w:r>
          </w:p>
        </w:tc>
        <w:tc>
          <w:tcPr>
            <w:tcW w:w="1403" w:type="pct"/>
            <w:shd w:val="clear" w:color="auto" w:fill="auto"/>
          </w:tcPr>
          <w:p w14:paraId="2D80BD8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4 (12.9)/16 (8.3)</w:t>
            </w:r>
          </w:p>
        </w:tc>
        <w:tc>
          <w:tcPr>
            <w:tcW w:w="1169" w:type="pct"/>
            <w:shd w:val="clear" w:color="auto" w:fill="auto"/>
          </w:tcPr>
          <w:p w14:paraId="3EF4D7D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CoAG risk</w:t>
            </w:r>
          </w:p>
        </w:tc>
      </w:tr>
      <w:tr w:rsidR="0011105F" w:rsidRPr="003771AE" w14:paraId="35F25495" w14:textId="77777777" w:rsidTr="0025251E">
        <w:trPr>
          <w:trHeight w:val="406"/>
        </w:trPr>
        <w:tc>
          <w:tcPr>
            <w:tcW w:w="559" w:type="pct"/>
            <w:shd w:val="clear" w:color="auto" w:fill="auto"/>
          </w:tcPr>
          <w:p w14:paraId="4108FFE3"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114D6C0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623603B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CA</w:t>
            </w:r>
          </w:p>
        </w:tc>
        <w:tc>
          <w:tcPr>
            <w:tcW w:w="1403" w:type="pct"/>
            <w:shd w:val="clear" w:color="auto" w:fill="auto"/>
          </w:tcPr>
          <w:p w14:paraId="4D3A302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10 (32.3)/67 (34.9)</w:t>
            </w:r>
          </w:p>
        </w:tc>
        <w:tc>
          <w:tcPr>
            <w:tcW w:w="1169" w:type="pct"/>
            <w:shd w:val="clear" w:color="auto" w:fill="auto"/>
          </w:tcPr>
          <w:p w14:paraId="4C56B88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1283A016" w14:textId="77777777" w:rsidTr="0025251E">
        <w:trPr>
          <w:trHeight w:val="406"/>
        </w:trPr>
        <w:tc>
          <w:tcPr>
            <w:tcW w:w="559" w:type="pct"/>
            <w:shd w:val="clear" w:color="auto" w:fill="auto"/>
          </w:tcPr>
          <w:p w14:paraId="2CA3B8CA"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1FF4DD0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0FCF04A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AA</w:t>
            </w:r>
          </w:p>
        </w:tc>
        <w:tc>
          <w:tcPr>
            <w:tcW w:w="1403" w:type="pct"/>
            <w:shd w:val="clear" w:color="auto" w:fill="auto"/>
          </w:tcPr>
          <w:p w14:paraId="13F1F7E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4 (17.4)/16 (7.2)</w:t>
            </w:r>
          </w:p>
        </w:tc>
        <w:tc>
          <w:tcPr>
            <w:tcW w:w="1169" w:type="pct"/>
            <w:shd w:val="clear" w:color="auto" w:fill="auto"/>
          </w:tcPr>
          <w:p w14:paraId="44BFF0B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risk</w:t>
            </w:r>
          </w:p>
        </w:tc>
      </w:tr>
      <w:tr w:rsidR="0011105F" w:rsidRPr="003771AE" w14:paraId="6F6C1C10" w14:textId="77777777" w:rsidTr="0025251E">
        <w:trPr>
          <w:trHeight w:val="406"/>
        </w:trPr>
        <w:tc>
          <w:tcPr>
            <w:tcW w:w="559" w:type="pct"/>
            <w:shd w:val="clear" w:color="auto" w:fill="auto"/>
          </w:tcPr>
          <w:p w14:paraId="5EA13785"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69DBC6C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2F64A0F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CA</w:t>
            </w:r>
          </w:p>
        </w:tc>
        <w:tc>
          <w:tcPr>
            <w:tcW w:w="1403" w:type="pct"/>
            <w:shd w:val="clear" w:color="auto" w:fill="auto"/>
          </w:tcPr>
          <w:p w14:paraId="42812A0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8 (34.8)/69 (30.9)</w:t>
            </w:r>
          </w:p>
        </w:tc>
        <w:tc>
          <w:tcPr>
            <w:tcW w:w="1169" w:type="pct"/>
            <w:shd w:val="clear" w:color="auto" w:fill="auto"/>
          </w:tcPr>
          <w:p w14:paraId="7036551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026D18D1" w14:textId="77777777" w:rsidTr="0025251E">
        <w:trPr>
          <w:trHeight w:val="406"/>
        </w:trPr>
        <w:tc>
          <w:tcPr>
            <w:tcW w:w="559" w:type="pct"/>
            <w:shd w:val="clear" w:color="auto" w:fill="auto"/>
          </w:tcPr>
          <w:p w14:paraId="217D8C9F"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1E36F9">
              <w:rPr>
                <w:rFonts w:ascii="Book Antiqua" w:eastAsia="Calibri" w:hAnsi="Book Antiqua" w:cs="Times New Roman"/>
                <w:kern w:val="0"/>
                <w:sz w:val="24"/>
                <w:szCs w:val="24"/>
                <w:lang w:val="en-GB" w:eastAsia="en-US"/>
              </w:rPr>
              <w:t>[96]</w:t>
            </w:r>
          </w:p>
        </w:tc>
        <w:tc>
          <w:tcPr>
            <w:tcW w:w="826" w:type="pct"/>
            <w:shd w:val="clear" w:color="auto" w:fill="auto"/>
          </w:tcPr>
          <w:p w14:paraId="68887E8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IL4–590</w:t>
            </w:r>
          </w:p>
        </w:tc>
        <w:tc>
          <w:tcPr>
            <w:tcW w:w="1043" w:type="pct"/>
          </w:tcPr>
          <w:p w14:paraId="576A3DC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CT</w:t>
            </w:r>
          </w:p>
        </w:tc>
        <w:tc>
          <w:tcPr>
            <w:tcW w:w="1403" w:type="pct"/>
            <w:shd w:val="clear" w:color="auto" w:fill="auto"/>
          </w:tcPr>
          <w:p w14:paraId="21D010F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111 (38.4)/414 (38.2)</w:t>
            </w:r>
          </w:p>
        </w:tc>
        <w:tc>
          <w:tcPr>
            <w:tcW w:w="1169" w:type="pct"/>
            <w:shd w:val="clear" w:color="auto" w:fill="auto"/>
          </w:tcPr>
          <w:p w14:paraId="4627DD9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 risk</w:t>
            </w:r>
          </w:p>
        </w:tc>
      </w:tr>
      <w:tr w:rsidR="0011105F" w:rsidRPr="003771AE" w14:paraId="6B85A257" w14:textId="77777777" w:rsidTr="0025251E">
        <w:trPr>
          <w:trHeight w:val="406"/>
        </w:trPr>
        <w:tc>
          <w:tcPr>
            <w:tcW w:w="559" w:type="pct"/>
            <w:shd w:val="clear" w:color="auto" w:fill="auto"/>
          </w:tcPr>
          <w:p w14:paraId="2E5DC26C"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5DF8816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218A1B6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CC</w:t>
            </w:r>
          </w:p>
        </w:tc>
        <w:tc>
          <w:tcPr>
            <w:tcW w:w="1403" w:type="pct"/>
            <w:shd w:val="clear" w:color="auto" w:fill="auto"/>
          </w:tcPr>
          <w:p w14:paraId="4A4ADC7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134 (46.3)/506 (46.7)</w:t>
            </w:r>
          </w:p>
        </w:tc>
        <w:tc>
          <w:tcPr>
            <w:tcW w:w="1169" w:type="pct"/>
            <w:shd w:val="clear" w:color="auto" w:fill="auto"/>
          </w:tcPr>
          <w:p w14:paraId="34F9BAF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452C86E7" w14:textId="77777777" w:rsidTr="0025251E">
        <w:trPr>
          <w:trHeight w:val="406"/>
        </w:trPr>
        <w:tc>
          <w:tcPr>
            <w:tcW w:w="559" w:type="pct"/>
            <w:shd w:val="clear" w:color="auto" w:fill="auto"/>
          </w:tcPr>
          <w:p w14:paraId="00B1C7F0"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3F4FFE0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IL4–590</w:t>
            </w:r>
          </w:p>
        </w:tc>
        <w:tc>
          <w:tcPr>
            <w:tcW w:w="1043" w:type="pct"/>
          </w:tcPr>
          <w:p w14:paraId="7AD23DF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CT</w:t>
            </w:r>
          </w:p>
        </w:tc>
        <w:tc>
          <w:tcPr>
            <w:tcW w:w="1403" w:type="pct"/>
            <w:shd w:val="clear" w:color="auto" w:fill="auto"/>
          </w:tcPr>
          <w:p w14:paraId="6E9F509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197 (36.2)/414 (38.2)</w:t>
            </w:r>
          </w:p>
        </w:tc>
        <w:tc>
          <w:tcPr>
            <w:tcW w:w="1169" w:type="pct"/>
            <w:shd w:val="clear" w:color="auto" w:fill="auto"/>
          </w:tcPr>
          <w:p w14:paraId="70E2BAF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risk</w:t>
            </w:r>
          </w:p>
        </w:tc>
      </w:tr>
      <w:tr w:rsidR="0011105F" w:rsidRPr="003771AE" w14:paraId="2D26103A" w14:textId="77777777" w:rsidTr="0025251E">
        <w:trPr>
          <w:trHeight w:val="406"/>
        </w:trPr>
        <w:tc>
          <w:tcPr>
            <w:tcW w:w="559" w:type="pct"/>
            <w:shd w:val="clear" w:color="auto" w:fill="auto"/>
          </w:tcPr>
          <w:p w14:paraId="584023A8"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2FA4D8C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621CD74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CC</w:t>
            </w:r>
          </w:p>
        </w:tc>
        <w:tc>
          <w:tcPr>
            <w:tcW w:w="1403" w:type="pct"/>
            <w:shd w:val="clear" w:color="auto" w:fill="auto"/>
          </w:tcPr>
          <w:p w14:paraId="077AC2B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264 (48.6)/506 (46.7)</w:t>
            </w:r>
          </w:p>
        </w:tc>
        <w:tc>
          <w:tcPr>
            <w:tcW w:w="1169" w:type="pct"/>
            <w:shd w:val="clear" w:color="auto" w:fill="auto"/>
          </w:tcPr>
          <w:p w14:paraId="0B8CA1C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65D9C082" w14:textId="77777777" w:rsidTr="0025251E">
        <w:trPr>
          <w:trHeight w:val="406"/>
        </w:trPr>
        <w:tc>
          <w:tcPr>
            <w:tcW w:w="559" w:type="pct"/>
            <w:shd w:val="clear" w:color="auto" w:fill="auto"/>
          </w:tcPr>
          <w:p w14:paraId="284953DE"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20233A7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IL4–590</w:t>
            </w:r>
          </w:p>
        </w:tc>
        <w:tc>
          <w:tcPr>
            <w:tcW w:w="1043" w:type="pct"/>
          </w:tcPr>
          <w:p w14:paraId="0287111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CT</w:t>
            </w:r>
          </w:p>
        </w:tc>
        <w:tc>
          <w:tcPr>
            <w:tcW w:w="1403" w:type="pct"/>
            <w:shd w:val="clear" w:color="auto" w:fill="auto"/>
          </w:tcPr>
          <w:p w14:paraId="12A7971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48 (40.7)/414 (38.2)</w:t>
            </w:r>
          </w:p>
        </w:tc>
        <w:tc>
          <w:tcPr>
            <w:tcW w:w="1169" w:type="pct"/>
            <w:shd w:val="clear" w:color="auto" w:fill="auto"/>
          </w:tcPr>
          <w:p w14:paraId="425C313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DYS risk</w:t>
            </w:r>
          </w:p>
        </w:tc>
      </w:tr>
      <w:tr w:rsidR="0011105F" w:rsidRPr="003771AE" w14:paraId="3DFB15D3" w14:textId="77777777" w:rsidTr="0025251E">
        <w:trPr>
          <w:trHeight w:val="406"/>
        </w:trPr>
        <w:tc>
          <w:tcPr>
            <w:tcW w:w="559" w:type="pct"/>
            <w:shd w:val="clear" w:color="auto" w:fill="auto"/>
          </w:tcPr>
          <w:p w14:paraId="6DBB22C6"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3F32072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7D4A564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CC</w:t>
            </w:r>
          </w:p>
        </w:tc>
        <w:tc>
          <w:tcPr>
            <w:tcW w:w="1403" w:type="pct"/>
            <w:shd w:val="clear" w:color="auto" w:fill="auto"/>
          </w:tcPr>
          <w:p w14:paraId="27DD21E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51 (43.2)/506 (46.7)</w:t>
            </w:r>
          </w:p>
        </w:tc>
        <w:tc>
          <w:tcPr>
            <w:tcW w:w="1169" w:type="pct"/>
            <w:shd w:val="clear" w:color="auto" w:fill="auto"/>
          </w:tcPr>
          <w:p w14:paraId="696AB6F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7ED4BF57" w14:textId="77777777" w:rsidTr="0025251E">
        <w:trPr>
          <w:trHeight w:val="406"/>
        </w:trPr>
        <w:tc>
          <w:tcPr>
            <w:tcW w:w="559" w:type="pct"/>
            <w:shd w:val="clear" w:color="auto" w:fill="auto"/>
          </w:tcPr>
          <w:p w14:paraId="64811A8A"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47E406A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IL4R–3223</w:t>
            </w:r>
          </w:p>
        </w:tc>
        <w:tc>
          <w:tcPr>
            <w:tcW w:w="1043" w:type="pct"/>
          </w:tcPr>
          <w:p w14:paraId="11DF614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CT</w:t>
            </w:r>
          </w:p>
        </w:tc>
        <w:tc>
          <w:tcPr>
            <w:tcW w:w="1403" w:type="pct"/>
            <w:shd w:val="clear" w:color="auto" w:fill="auto"/>
          </w:tcPr>
          <w:p w14:paraId="41A38DE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96 (33.2)/362 (33.4)</w:t>
            </w:r>
          </w:p>
        </w:tc>
        <w:tc>
          <w:tcPr>
            <w:tcW w:w="1169" w:type="pct"/>
            <w:shd w:val="clear" w:color="auto" w:fill="auto"/>
          </w:tcPr>
          <w:p w14:paraId="3A8797B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 risk</w:t>
            </w:r>
          </w:p>
        </w:tc>
      </w:tr>
      <w:tr w:rsidR="0011105F" w:rsidRPr="003771AE" w14:paraId="6E579A27" w14:textId="77777777" w:rsidTr="0025251E">
        <w:trPr>
          <w:trHeight w:val="406"/>
        </w:trPr>
        <w:tc>
          <w:tcPr>
            <w:tcW w:w="559" w:type="pct"/>
            <w:shd w:val="clear" w:color="auto" w:fill="auto"/>
          </w:tcPr>
          <w:p w14:paraId="42BD67B6"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77409BB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04A38DB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CC</w:t>
            </w:r>
          </w:p>
        </w:tc>
        <w:tc>
          <w:tcPr>
            <w:tcW w:w="1403" w:type="pct"/>
            <w:shd w:val="clear" w:color="auto" w:fill="auto"/>
          </w:tcPr>
          <w:p w14:paraId="11802FE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22 (7.6)/74 (6.8)</w:t>
            </w:r>
          </w:p>
        </w:tc>
        <w:tc>
          <w:tcPr>
            <w:tcW w:w="1169" w:type="pct"/>
            <w:shd w:val="clear" w:color="auto" w:fill="auto"/>
          </w:tcPr>
          <w:p w14:paraId="7DBA478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7B2C7F70" w14:textId="77777777" w:rsidTr="0025251E">
        <w:trPr>
          <w:trHeight w:val="406"/>
        </w:trPr>
        <w:tc>
          <w:tcPr>
            <w:tcW w:w="559" w:type="pct"/>
            <w:shd w:val="clear" w:color="auto" w:fill="auto"/>
          </w:tcPr>
          <w:p w14:paraId="31C1B158"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6EBD5B7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IL4R–3223</w:t>
            </w:r>
          </w:p>
        </w:tc>
        <w:tc>
          <w:tcPr>
            <w:tcW w:w="1043" w:type="pct"/>
          </w:tcPr>
          <w:p w14:paraId="716A4CD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CT</w:t>
            </w:r>
          </w:p>
        </w:tc>
        <w:tc>
          <w:tcPr>
            <w:tcW w:w="1403" w:type="pct"/>
            <w:shd w:val="clear" w:color="auto" w:fill="auto"/>
          </w:tcPr>
          <w:p w14:paraId="16132DA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175 (32.2)/362 (33.4)</w:t>
            </w:r>
          </w:p>
        </w:tc>
        <w:tc>
          <w:tcPr>
            <w:tcW w:w="1169" w:type="pct"/>
            <w:shd w:val="clear" w:color="auto" w:fill="auto"/>
          </w:tcPr>
          <w:p w14:paraId="78CA124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risk</w:t>
            </w:r>
          </w:p>
        </w:tc>
      </w:tr>
      <w:tr w:rsidR="0011105F" w:rsidRPr="003771AE" w14:paraId="69D90B2B" w14:textId="77777777" w:rsidTr="0025251E">
        <w:trPr>
          <w:trHeight w:val="406"/>
        </w:trPr>
        <w:tc>
          <w:tcPr>
            <w:tcW w:w="559" w:type="pct"/>
            <w:shd w:val="clear" w:color="auto" w:fill="auto"/>
          </w:tcPr>
          <w:p w14:paraId="7521F4E1"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32BC4C0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7CBE99B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CC</w:t>
            </w:r>
          </w:p>
        </w:tc>
        <w:tc>
          <w:tcPr>
            <w:tcW w:w="1403" w:type="pct"/>
            <w:shd w:val="clear" w:color="auto" w:fill="auto"/>
          </w:tcPr>
          <w:p w14:paraId="371BD92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36 (6.6)/74 (6.8)</w:t>
            </w:r>
          </w:p>
        </w:tc>
        <w:tc>
          <w:tcPr>
            <w:tcW w:w="1169" w:type="pct"/>
            <w:shd w:val="clear" w:color="auto" w:fill="auto"/>
          </w:tcPr>
          <w:p w14:paraId="42664E5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18B834B5" w14:textId="77777777" w:rsidTr="0025251E">
        <w:trPr>
          <w:trHeight w:val="406"/>
        </w:trPr>
        <w:tc>
          <w:tcPr>
            <w:tcW w:w="559" w:type="pct"/>
            <w:shd w:val="clear" w:color="auto" w:fill="auto"/>
          </w:tcPr>
          <w:p w14:paraId="468E521A"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5CF0955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IL4R–3223</w:t>
            </w:r>
          </w:p>
        </w:tc>
        <w:tc>
          <w:tcPr>
            <w:tcW w:w="1043" w:type="pct"/>
          </w:tcPr>
          <w:p w14:paraId="149E525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CT</w:t>
            </w:r>
          </w:p>
        </w:tc>
        <w:tc>
          <w:tcPr>
            <w:tcW w:w="1403" w:type="pct"/>
            <w:shd w:val="clear" w:color="auto" w:fill="auto"/>
          </w:tcPr>
          <w:p w14:paraId="18CAD49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42 (35.6)/362 (33.4)</w:t>
            </w:r>
          </w:p>
        </w:tc>
        <w:tc>
          <w:tcPr>
            <w:tcW w:w="1169" w:type="pct"/>
            <w:shd w:val="clear" w:color="auto" w:fill="auto"/>
          </w:tcPr>
          <w:p w14:paraId="384A62A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DYS risk</w:t>
            </w:r>
          </w:p>
        </w:tc>
      </w:tr>
      <w:tr w:rsidR="0011105F" w:rsidRPr="003771AE" w14:paraId="2DD77F2C" w14:textId="77777777" w:rsidTr="0025251E">
        <w:trPr>
          <w:trHeight w:val="406"/>
        </w:trPr>
        <w:tc>
          <w:tcPr>
            <w:tcW w:w="559" w:type="pct"/>
            <w:shd w:val="clear" w:color="auto" w:fill="auto"/>
          </w:tcPr>
          <w:p w14:paraId="6DCABD85"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15D5993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3E64B82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CC</w:t>
            </w:r>
          </w:p>
        </w:tc>
        <w:tc>
          <w:tcPr>
            <w:tcW w:w="1403" w:type="pct"/>
            <w:shd w:val="clear" w:color="auto" w:fill="auto"/>
          </w:tcPr>
          <w:p w14:paraId="38F9F88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6 (5.1)/74 (6.8)</w:t>
            </w:r>
          </w:p>
        </w:tc>
        <w:tc>
          <w:tcPr>
            <w:tcW w:w="1169" w:type="pct"/>
            <w:shd w:val="clear" w:color="auto" w:fill="auto"/>
          </w:tcPr>
          <w:p w14:paraId="68C021A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675E478D" w14:textId="77777777" w:rsidTr="0025251E">
        <w:trPr>
          <w:trHeight w:val="406"/>
        </w:trPr>
        <w:tc>
          <w:tcPr>
            <w:tcW w:w="559" w:type="pct"/>
            <w:shd w:val="clear" w:color="auto" w:fill="auto"/>
          </w:tcPr>
          <w:p w14:paraId="3F3698B8"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2C8DAD9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IL4R-398</w:t>
            </w:r>
          </w:p>
        </w:tc>
        <w:tc>
          <w:tcPr>
            <w:tcW w:w="1043" w:type="pct"/>
          </w:tcPr>
          <w:p w14:paraId="5249AFD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w:t>
            </w:r>
          </w:p>
        </w:tc>
        <w:tc>
          <w:tcPr>
            <w:tcW w:w="1403" w:type="pct"/>
            <w:shd w:val="clear" w:color="auto" w:fill="auto"/>
          </w:tcPr>
          <w:p w14:paraId="6FEC464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128 (44.3)/488 (45.1)</w:t>
            </w:r>
          </w:p>
        </w:tc>
        <w:tc>
          <w:tcPr>
            <w:tcW w:w="1169" w:type="pct"/>
            <w:shd w:val="clear" w:color="auto" w:fill="auto"/>
          </w:tcPr>
          <w:p w14:paraId="5650732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 risk</w:t>
            </w:r>
          </w:p>
        </w:tc>
      </w:tr>
      <w:tr w:rsidR="0011105F" w:rsidRPr="003771AE" w14:paraId="2AEBF35F" w14:textId="77777777" w:rsidTr="0025251E">
        <w:trPr>
          <w:trHeight w:val="406"/>
        </w:trPr>
        <w:tc>
          <w:tcPr>
            <w:tcW w:w="559" w:type="pct"/>
            <w:shd w:val="clear" w:color="auto" w:fill="auto"/>
          </w:tcPr>
          <w:p w14:paraId="26EBE8C1"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434D099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7D7662C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vertAlign w:val="superscript"/>
                <w:lang w:val="en-GB" w:eastAsia="en-US"/>
              </w:rPr>
            </w:pPr>
            <w:r w:rsidRPr="003771AE">
              <w:rPr>
                <w:rFonts w:ascii="Book Antiqua" w:eastAsia="Calibri" w:hAnsi="Book Antiqua" w:cs="Times New Roman"/>
                <w:kern w:val="0"/>
                <w:sz w:val="24"/>
                <w:szCs w:val="24"/>
                <w:lang w:val="en-GB" w:eastAsia="en-US"/>
              </w:rPr>
              <w:t>GG</w:t>
            </w:r>
            <w:r w:rsidRPr="003771AE">
              <w:rPr>
                <w:rFonts w:ascii="Book Antiqua" w:eastAsia="Calibri" w:hAnsi="Book Antiqua" w:cs="Times New Roman"/>
                <w:kern w:val="0"/>
                <w:sz w:val="24"/>
                <w:szCs w:val="24"/>
                <w:vertAlign w:val="superscript"/>
                <w:lang w:val="en-GB" w:eastAsia="en-US"/>
              </w:rPr>
              <w:t>a</w:t>
            </w:r>
          </w:p>
        </w:tc>
        <w:tc>
          <w:tcPr>
            <w:tcW w:w="1403" w:type="pct"/>
            <w:shd w:val="clear" w:color="auto" w:fill="auto"/>
          </w:tcPr>
          <w:p w14:paraId="41B9A7C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71 (24.6)/201 (18.6)</w:t>
            </w:r>
          </w:p>
        </w:tc>
        <w:tc>
          <w:tcPr>
            <w:tcW w:w="1169" w:type="pct"/>
            <w:shd w:val="clear" w:color="auto" w:fill="auto"/>
          </w:tcPr>
          <w:p w14:paraId="0A66F5A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39CA228F" w14:textId="77777777" w:rsidTr="0025251E">
        <w:trPr>
          <w:trHeight w:val="406"/>
        </w:trPr>
        <w:tc>
          <w:tcPr>
            <w:tcW w:w="559" w:type="pct"/>
            <w:shd w:val="clear" w:color="auto" w:fill="auto"/>
          </w:tcPr>
          <w:p w14:paraId="38E45137"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2A0C6C5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39A4484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w:t>
            </w:r>
          </w:p>
        </w:tc>
        <w:tc>
          <w:tcPr>
            <w:tcW w:w="1403" w:type="pct"/>
            <w:shd w:val="clear" w:color="auto" w:fill="auto"/>
          </w:tcPr>
          <w:p w14:paraId="6E749D8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243 (44.8)/488 (45.1)</w:t>
            </w:r>
          </w:p>
        </w:tc>
        <w:tc>
          <w:tcPr>
            <w:tcW w:w="1169" w:type="pct"/>
            <w:shd w:val="clear" w:color="auto" w:fill="auto"/>
          </w:tcPr>
          <w:p w14:paraId="0ACB716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risk</w:t>
            </w:r>
          </w:p>
        </w:tc>
      </w:tr>
      <w:tr w:rsidR="0011105F" w:rsidRPr="003771AE" w14:paraId="6479A27C" w14:textId="77777777" w:rsidTr="0025251E">
        <w:trPr>
          <w:trHeight w:val="406"/>
        </w:trPr>
        <w:tc>
          <w:tcPr>
            <w:tcW w:w="559" w:type="pct"/>
            <w:shd w:val="clear" w:color="auto" w:fill="auto"/>
          </w:tcPr>
          <w:p w14:paraId="1A9C8CE3"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2D5982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573A4EF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GG</w:t>
            </w:r>
          </w:p>
        </w:tc>
        <w:tc>
          <w:tcPr>
            <w:tcW w:w="1403" w:type="pct"/>
            <w:shd w:val="clear" w:color="auto" w:fill="auto"/>
          </w:tcPr>
          <w:p w14:paraId="72F4CBF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106 (19.5)/201 (18.6)</w:t>
            </w:r>
          </w:p>
        </w:tc>
        <w:tc>
          <w:tcPr>
            <w:tcW w:w="1169" w:type="pct"/>
            <w:shd w:val="clear" w:color="auto" w:fill="auto"/>
          </w:tcPr>
          <w:p w14:paraId="344209A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71E23371" w14:textId="77777777" w:rsidTr="0025251E">
        <w:trPr>
          <w:trHeight w:val="406"/>
        </w:trPr>
        <w:tc>
          <w:tcPr>
            <w:tcW w:w="559" w:type="pct"/>
            <w:shd w:val="clear" w:color="auto" w:fill="auto"/>
          </w:tcPr>
          <w:p w14:paraId="295B662F"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326BEB9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7139195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w:t>
            </w:r>
          </w:p>
        </w:tc>
        <w:tc>
          <w:tcPr>
            <w:tcW w:w="1403" w:type="pct"/>
            <w:shd w:val="clear" w:color="auto" w:fill="auto"/>
          </w:tcPr>
          <w:p w14:paraId="368E7F5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49 (41.5)/488 (45.1)</w:t>
            </w:r>
          </w:p>
        </w:tc>
        <w:tc>
          <w:tcPr>
            <w:tcW w:w="1169" w:type="pct"/>
            <w:shd w:val="clear" w:color="auto" w:fill="auto"/>
          </w:tcPr>
          <w:p w14:paraId="13B7166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DYS risk</w:t>
            </w:r>
          </w:p>
        </w:tc>
      </w:tr>
      <w:tr w:rsidR="0011105F" w:rsidRPr="003771AE" w14:paraId="53767C81" w14:textId="77777777" w:rsidTr="0025251E">
        <w:trPr>
          <w:trHeight w:val="406"/>
        </w:trPr>
        <w:tc>
          <w:tcPr>
            <w:tcW w:w="559" w:type="pct"/>
            <w:shd w:val="clear" w:color="auto" w:fill="auto"/>
          </w:tcPr>
          <w:p w14:paraId="0DDC7CB3"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5EA8A23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0664D56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GG</w:t>
            </w:r>
          </w:p>
        </w:tc>
        <w:tc>
          <w:tcPr>
            <w:tcW w:w="1403" w:type="pct"/>
            <w:shd w:val="clear" w:color="auto" w:fill="auto"/>
          </w:tcPr>
          <w:p w14:paraId="655AAE3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26 (22.0)/201 (18.6)</w:t>
            </w:r>
          </w:p>
        </w:tc>
        <w:tc>
          <w:tcPr>
            <w:tcW w:w="1169" w:type="pct"/>
            <w:shd w:val="clear" w:color="auto" w:fill="auto"/>
          </w:tcPr>
          <w:p w14:paraId="62D9AAB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0E8ED80A" w14:textId="77777777" w:rsidTr="0025251E">
        <w:trPr>
          <w:trHeight w:val="406"/>
        </w:trPr>
        <w:tc>
          <w:tcPr>
            <w:tcW w:w="559" w:type="pct"/>
            <w:shd w:val="clear" w:color="auto" w:fill="auto"/>
          </w:tcPr>
          <w:p w14:paraId="039334C9"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415CC74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IL10–1082</w:t>
            </w:r>
          </w:p>
        </w:tc>
        <w:tc>
          <w:tcPr>
            <w:tcW w:w="1043" w:type="pct"/>
          </w:tcPr>
          <w:p w14:paraId="1F55DAD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w:t>
            </w:r>
          </w:p>
        </w:tc>
        <w:tc>
          <w:tcPr>
            <w:tcW w:w="1403" w:type="pct"/>
            <w:shd w:val="clear" w:color="auto" w:fill="auto"/>
          </w:tcPr>
          <w:p w14:paraId="3BB9411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102 (35.3)/406 (37.5)</w:t>
            </w:r>
          </w:p>
        </w:tc>
        <w:tc>
          <w:tcPr>
            <w:tcW w:w="1169" w:type="pct"/>
            <w:shd w:val="clear" w:color="auto" w:fill="auto"/>
          </w:tcPr>
          <w:p w14:paraId="4D03318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 risk</w:t>
            </w:r>
          </w:p>
        </w:tc>
      </w:tr>
      <w:tr w:rsidR="0011105F" w:rsidRPr="003771AE" w14:paraId="1E3A934E" w14:textId="77777777" w:rsidTr="0025251E">
        <w:trPr>
          <w:trHeight w:val="406"/>
        </w:trPr>
        <w:tc>
          <w:tcPr>
            <w:tcW w:w="559" w:type="pct"/>
            <w:shd w:val="clear" w:color="auto" w:fill="auto"/>
          </w:tcPr>
          <w:p w14:paraId="1902B7A0"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184B2D4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1713A59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AA</w:t>
            </w:r>
          </w:p>
        </w:tc>
        <w:tc>
          <w:tcPr>
            <w:tcW w:w="1403" w:type="pct"/>
            <w:shd w:val="clear" w:color="auto" w:fill="auto"/>
          </w:tcPr>
          <w:p w14:paraId="67C4C50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142 (49.1)/508 (46.9)</w:t>
            </w:r>
          </w:p>
        </w:tc>
        <w:tc>
          <w:tcPr>
            <w:tcW w:w="1169" w:type="pct"/>
            <w:shd w:val="clear" w:color="auto" w:fill="auto"/>
          </w:tcPr>
          <w:p w14:paraId="02C6C32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4DC2F4AA" w14:textId="77777777" w:rsidTr="0025251E">
        <w:trPr>
          <w:trHeight w:val="406"/>
        </w:trPr>
        <w:tc>
          <w:tcPr>
            <w:tcW w:w="559" w:type="pct"/>
            <w:shd w:val="clear" w:color="auto" w:fill="auto"/>
          </w:tcPr>
          <w:p w14:paraId="4831D7C7"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3B2FBFD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31E0619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w:t>
            </w:r>
          </w:p>
        </w:tc>
        <w:tc>
          <w:tcPr>
            <w:tcW w:w="1403" w:type="pct"/>
            <w:shd w:val="clear" w:color="auto" w:fill="auto"/>
          </w:tcPr>
          <w:p w14:paraId="080BE12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201 (37.0)/406 (37.5)</w:t>
            </w:r>
          </w:p>
        </w:tc>
        <w:tc>
          <w:tcPr>
            <w:tcW w:w="1169" w:type="pct"/>
            <w:shd w:val="clear" w:color="auto" w:fill="auto"/>
          </w:tcPr>
          <w:p w14:paraId="4ACA4B9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risk</w:t>
            </w:r>
          </w:p>
        </w:tc>
      </w:tr>
      <w:tr w:rsidR="0011105F" w:rsidRPr="003771AE" w14:paraId="2CFC8430" w14:textId="77777777" w:rsidTr="0025251E">
        <w:trPr>
          <w:trHeight w:val="406"/>
        </w:trPr>
        <w:tc>
          <w:tcPr>
            <w:tcW w:w="559" w:type="pct"/>
            <w:shd w:val="clear" w:color="auto" w:fill="auto"/>
          </w:tcPr>
          <w:p w14:paraId="4B30ED8E"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2F164B9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055E7BA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AA</w:t>
            </w:r>
          </w:p>
        </w:tc>
        <w:tc>
          <w:tcPr>
            <w:tcW w:w="1403" w:type="pct"/>
            <w:shd w:val="clear" w:color="auto" w:fill="auto"/>
          </w:tcPr>
          <w:p w14:paraId="14BA9E6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274 (50.5)/508 (46.9)</w:t>
            </w:r>
          </w:p>
        </w:tc>
        <w:tc>
          <w:tcPr>
            <w:tcW w:w="1169" w:type="pct"/>
            <w:shd w:val="clear" w:color="auto" w:fill="auto"/>
          </w:tcPr>
          <w:p w14:paraId="565C462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7975F75A" w14:textId="77777777" w:rsidTr="0025251E">
        <w:trPr>
          <w:trHeight w:val="406"/>
        </w:trPr>
        <w:tc>
          <w:tcPr>
            <w:tcW w:w="559" w:type="pct"/>
            <w:shd w:val="clear" w:color="auto" w:fill="auto"/>
          </w:tcPr>
          <w:p w14:paraId="6E67F17D"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24A8304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63504AE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vertAlign w:val="superscript"/>
                <w:lang w:val="en-GB" w:eastAsia="en-US"/>
              </w:rPr>
            </w:pPr>
            <w:r w:rsidRPr="003771AE">
              <w:rPr>
                <w:rFonts w:ascii="Book Antiqua" w:eastAsia="Calibri" w:hAnsi="Book Antiqua" w:cs="Times New Roman"/>
                <w:kern w:val="0"/>
                <w:sz w:val="24"/>
                <w:szCs w:val="24"/>
                <w:lang w:val="en-GB" w:eastAsia="en-US"/>
              </w:rPr>
              <w:t>AG</w:t>
            </w:r>
            <w:r w:rsidRPr="003771AE">
              <w:rPr>
                <w:rFonts w:ascii="Book Antiqua" w:eastAsia="Calibri" w:hAnsi="Book Antiqua" w:cs="Times New Roman"/>
                <w:kern w:val="0"/>
                <w:sz w:val="24"/>
                <w:szCs w:val="24"/>
                <w:vertAlign w:val="superscript"/>
                <w:lang w:val="en-GB" w:eastAsia="en-US"/>
              </w:rPr>
              <w:t>a</w:t>
            </w:r>
          </w:p>
        </w:tc>
        <w:tc>
          <w:tcPr>
            <w:tcW w:w="1403" w:type="pct"/>
            <w:shd w:val="clear" w:color="auto" w:fill="auto"/>
          </w:tcPr>
          <w:p w14:paraId="1A55CA6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51 (43.2)/406 (37.5)</w:t>
            </w:r>
          </w:p>
        </w:tc>
        <w:tc>
          <w:tcPr>
            <w:tcW w:w="1169" w:type="pct"/>
            <w:shd w:val="clear" w:color="auto" w:fill="auto"/>
          </w:tcPr>
          <w:p w14:paraId="6843508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DYS risk</w:t>
            </w:r>
          </w:p>
        </w:tc>
      </w:tr>
      <w:tr w:rsidR="0011105F" w:rsidRPr="003771AE" w14:paraId="04F68B8F" w14:textId="77777777" w:rsidTr="0025251E">
        <w:trPr>
          <w:trHeight w:val="406"/>
        </w:trPr>
        <w:tc>
          <w:tcPr>
            <w:tcW w:w="559" w:type="pct"/>
            <w:shd w:val="clear" w:color="auto" w:fill="auto"/>
          </w:tcPr>
          <w:p w14:paraId="3D9F387F"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2047434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68EC6D7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vertAlign w:val="superscript"/>
                <w:lang w:val="en-GB" w:eastAsia="en-US"/>
              </w:rPr>
            </w:pPr>
            <w:r w:rsidRPr="003771AE">
              <w:rPr>
                <w:rFonts w:ascii="Book Antiqua" w:eastAsia="Calibri" w:hAnsi="Book Antiqua" w:cs="Times New Roman"/>
                <w:kern w:val="0"/>
                <w:sz w:val="24"/>
                <w:szCs w:val="24"/>
                <w:lang w:val="en-GB" w:eastAsia="en-US"/>
              </w:rPr>
              <w:t>AA</w:t>
            </w:r>
            <w:r w:rsidRPr="003771AE">
              <w:rPr>
                <w:rFonts w:ascii="Book Antiqua" w:eastAsia="Calibri" w:hAnsi="Book Antiqua" w:cs="Times New Roman"/>
                <w:kern w:val="0"/>
                <w:sz w:val="24"/>
                <w:szCs w:val="24"/>
                <w:vertAlign w:val="superscript"/>
                <w:lang w:val="en-GB" w:eastAsia="en-US"/>
              </w:rPr>
              <w:t>a</w:t>
            </w:r>
          </w:p>
        </w:tc>
        <w:tc>
          <w:tcPr>
            <w:tcW w:w="1403" w:type="pct"/>
            <w:shd w:val="clear" w:color="auto" w:fill="auto"/>
          </w:tcPr>
          <w:p w14:paraId="512FEE9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60 (50.8)/508 (46.9)</w:t>
            </w:r>
          </w:p>
        </w:tc>
        <w:tc>
          <w:tcPr>
            <w:tcW w:w="1169" w:type="pct"/>
            <w:shd w:val="clear" w:color="auto" w:fill="auto"/>
          </w:tcPr>
          <w:p w14:paraId="36E186A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746B6B49" w14:textId="77777777" w:rsidTr="0025251E">
        <w:trPr>
          <w:trHeight w:val="449"/>
        </w:trPr>
        <w:tc>
          <w:tcPr>
            <w:tcW w:w="559" w:type="pct"/>
            <w:shd w:val="clear" w:color="auto" w:fill="auto"/>
          </w:tcPr>
          <w:p w14:paraId="0154A1DA"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1E36F9">
              <w:rPr>
                <w:rFonts w:ascii="Book Antiqua" w:eastAsia="Calibri" w:hAnsi="Book Antiqua" w:cs="Times New Roman"/>
                <w:kern w:val="0"/>
                <w:sz w:val="24"/>
                <w:szCs w:val="24"/>
                <w:lang w:val="en-GB" w:eastAsia="en-US"/>
              </w:rPr>
              <w:t>[101]</w:t>
            </w:r>
          </w:p>
        </w:tc>
        <w:tc>
          <w:tcPr>
            <w:tcW w:w="826" w:type="pct"/>
            <w:shd w:val="clear" w:color="auto" w:fill="auto"/>
          </w:tcPr>
          <w:p w14:paraId="26D1E4D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IL-6</w:t>
            </w:r>
          </w:p>
        </w:tc>
        <w:tc>
          <w:tcPr>
            <w:tcW w:w="1043" w:type="pct"/>
          </w:tcPr>
          <w:p w14:paraId="5D43D76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GC</w:t>
            </w:r>
          </w:p>
        </w:tc>
        <w:tc>
          <w:tcPr>
            <w:tcW w:w="1403" w:type="pct"/>
            <w:shd w:val="clear" w:color="auto" w:fill="auto"/>
          </w:tcPr>
          <w:p w14:paraId="0EAA851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26 (46%)/27 (48%)</w:t>
            </w:r>
          </w:p>
        </w:tc>
        <w:tc>
          <w:tcPr>
            <w:tcW w:w="1169" w:type="pct"/>
            <w:shd w:val="clear" w:color="auto" w:fill="auto"/>
          </w:tcPr>
          <w:p w14:paraId="3EC05AE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ChG</w:t>
            </w:r>
            <w:r w:rsidRPr="003771AE">
              <w:rPr>
                <w:rFonts w:ascii="Book Antiqua" w:eastAsia="Calibri" w:hAnsi="Book Antiqua" w:cs="Times New Roman"/>
                <w:kern w:val="0"/>
                <w:sz w:val="24"/>
                <w:szCs w:val="24"/>
                <w:vertAlign w:val="superscript"/>
                <w:lang w:val="en-GB" w:eastAsia="en-US"/>
              </w:rPr>
              <w:t>9</w:t>
            </w:r>
          </w:p>
        </w:tc>
      </w:tr>
      <w:tr w:rsidR="0011105F" w:rsidRPr="003771AE" w14:paraId="0E0EB390" w14:textId="77777777" w:rsidTr="0025251E">
        <w:trPr>
          <w:trHeight w:val="367"/>
        </w:trPr>
        <w:tc>
          <w:tcPr>
            <w:tcW w:w="559" w:type="pct"/>
            <w:shd w:val="clear" w:color="auto" w:fill="auto"/>
          </w:tcPr>
          <w:p w14:paraId="57FFD1E5"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C241A2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600B38F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CC</w:t>
            </w:r>
          </w:p>
        </w:tc>
        <w:tc>
          <w:tcPr>
            <w:tcW w:w="1403" w:type="pct"/>
            <w:shd w:val="clear" w:color="auto" w:fill="auto"/>
          </w:tcPr>
          <w:p w14:paraId="2994E81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5 (9%)/6 (11%)</w:t>
            </w:r>
          </w:p>
        </w:tc>
        <w:tc>
          <w:tcPr>
            <w:tcW w:w="1169" w:type="pct"/>
            <w:shd w:val="clear" w:color="auto" w:fill="auto"/>
          </w:tcPr>
          <w:p w14:paraId="5098B96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625C063F" w14:textId="77777777" w:rsidTr="0025251E">
        <w:trPr>
          <w:trHeight w:val="367"/>
        </w:trPr>
        <w:tc>
          <w:tcPr>
            <w:tcW w:w="559" w:type="pct"/>
            <w:shd w:val="clear" w:color="auto" w:fill="auto"/>
          </w:tcPr>
          <w:p w14:paraId="650B65CA"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1E36F9">
              <w:rPr>
                <w:rFonts w:ascii="Book Antiqua" w:eastAsia="Calibri" w:hAnsi="Book Antiqua" w:cs="Times New Roman"/>
                <w:kern w:val="0"/>
                <w:sz w:val="24"/>
                <w:szCs w:val="24"/>
                <w:lang w:val="en-GB" w:eastAsia="en-US"/>
              </w:rPr>
              <w:t>[102]</w:t>
            </w:r>
          </w:p>
        </w:tc>
        <w:tc>
          <w:tcPr>
            <w:tcW w:w="826" w:type="pct"/>
            <w:shd w:val="clear" w:color="auto" w:fill="auto"/>
          </w:tcPr>
          <w:p w14:paraId="014CE55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IL-8 -251</w:t>
            </w:r>
          </w:p>
        </w:tc>
        <w:tc>
          <w:tcPr>
            <w:tcW w:w="1043" w:type="pct"/>
          </w:tcPr>
          <w:p w14:paraId="7E0787E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vertAlign w:val="superscript"/>
                <w:lang w:val="en-GB" w:eastAsia="en-US"/>
              </w:rPr>
            </w:pPr>
            <w:r w:rsidRPr="003771AE">
              <w:rPr>
                <w:rFonts w:ascii="Book Antiqua" w:eastAsia="Calibri" w:hAnsi="Book Antiqua" w:cs="Times New Roman"/>
                <w:kern w:val="0"/>
                <w:sz w:val="24"/>
                <w:szCs w:val="24"/>
                <w:lang w:val="en-GB" w:eastAsia="en-US"/>
              </w:rPr>
              <w:t>AA</w:t>
            </w:r>
            <w:r w:rsidRPr="003771AE">
              <w:rPr>
                <w:rFonts w:ascii="Book Antiqua" w:eastAsia="Calibri" w:hAnsi="Book Antiqua" w:cs="Times New Roman"/>
                <w:kern w:val="0"/>
                <w:sz w:val="24"/>
                <w:szCs w:val="24"/>
                <w:vertAlign w:val="superscript"/>
                <w:lang w:val="en-GB" w:eastAsia="en-US"/>
              </w:rPr>
              <w:t>a</w:t>
            </w:r>
          </w:p>
        </w:tc>
        <w:tc>
          <w:tcPr>
            <w:tcW w:w="1403" w:type="pct"/>
            <w:shd w:val="clear" w:color="auto" w:fill="auto"/>
          </w:tcPr>
          <w:p w14:paraId="01F5C3C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26 (12.1%)/22 (8.7%)</w:t>
            </w:r>
          </w:p>
        </w:tc>
        <w:tc>
          <w:tcPr>
            <w:tcW w:w="1169" w:type="pct"/>
            <w:shd w:val="clear" w:color="auto" w:fill="auto"/>
          </w:tcPr>
          <w:p w14:paraId="4C65398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 risk</w:t>
            </w:r>
          </w:p>
        </w:tc>
      </w:tr>
      <w:tr w:rsidR="0011105F" w:rsidRPr="003771AE" w14:paraId="269F1896" w14:textId="77777777" w:rsidTr="0025251E">
        <w:trPr>
          <w:trHeight w:val="367"/>
        </w:trPr>
        <w:tc>
          <w:tcPr>
            <w:tcW w:w="559" w:type="pct"/>
            <w:shd w:val="clear" w:color="auto" w:fill="auto"/>
          </w:tcPr>
          <w:p w14:paraId="7F687D71"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66A1611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5816B81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AT</w:t>
            </w:r>
          </w:p>
        </w:tc>
        <w:tc>
          <w:tcPr>
            <w:tcW w:w="1403" w:type="pct"/>
            <w:shd w:val="clear" w:color="auto" w:fill="auto"/>
          </w:tcPr>
          <w:p w14:paraId="7AA183E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99 (46.0%)/105 (41.7%)</w:t>
            </w:r>
          </w:p>
        </w:tc>
        <w:tc>
          <w:tcPr>
            <w:tcW w:w="1169" w:type="pct"/>
            <w:shd w:val="clear" w:color="auto" w:fill="auto"/>
          </w:tcPr>
          <w:p w14:paraId="214D1EB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29C9C3DA" w14:textId="77777777" w:rsidTr="0025251E">
        <w:trPr>
          <w:trHeight w:val="367"/>
        </w:trPr>
        <w:tc>
          <w:tcPr>
            <w:tcW w:w="559" w:type="pct"/>
            <w:shd w:val="clear" w:color="auto" w:fill="auto"/>
          </w:tcPr>
          <w:p w14:paraId="407EF361"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614BB59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IL-1B -511</w:t>
            </w:r>
          </w:p>
        </w:tc>
        <w:tc>
          <w:tcPr>
            <w:tcW w:w="1043" w:type="pct"/>
          </w:tcPr>
          <w:p w14:paraId="30833F0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TT</w:t>
            </w:r>
          </w:p>
        </w:tc>
        <w:tc>
          <w:tcPr>
            <w:tcW w:w="1403" w:type="pct"/>
            <w:shd w:val="clear" w:color="auto" w:fill="auto"/>
          </w:tcPr>
          <w:p w14:paraId="36158DB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46 (21.4%)/49 (19.6%)</w:t>
            </w:r>
          </w:p>
        </w:tc>
        <w:tc>
          <w:tcPr>
            <w:tcW w:w="1169" w:type="pct"/>
            <w:shd w:val="clear" w:color="auto" w:fill="auto"/>
          </w:tcPr>
          <w:p w14:paraId="73EB6D3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 risk</w:t>
            </w:r>
          </w:p>
        </w:tc>
      </w:tr>
      <w:tr w:rsidR="0011105F" w:rsidRPr="003771AE" w14:paraId="2A8D57CA" w14:textId="77777777" w:rsidTr="0025251E">
        <w:trPr>
          <w:trHeight w:val="367"/>
        </w:trPr>
        <w:tc>
          <w:tcPr>
            <w:tcW w:w="559" w:type="pct"/>
            <w:shd w:val="clear" w:color="auto" w:fill="auto"/>
          </w:tcPr>
          <w:p w14:paraId="3C6B5930"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7D495BD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0255BD1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CT</w:t>
            </w:r>
          </w:p>
        </w:tc>
        <w:tc>
          <w:tcPr>
            <w:tcW w:w="1403" w:type="pct"/>
            <w:shd w:val="clear" w:color="auto" w:fill="auto"/>
          </w:tcPr>
          <w:p w14:paraId="2E44282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104 (48.4%)/133 (53.2%)</w:t>
            </w:r>
          </w:p>
        </w:tc>
        <w:tc>
          <w:tcPr>
            <w:tcW w:w="1169" w:type="pct"/>
            <w:shd w:val="clear" w:color="auto" w:fill="auto"/>
          </w:tcPr>
          <w:p w14:paraId="07C4F8E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7AB0FECF" w14:textId="77777777" w:rsidTr="0025251E">
        <w:trPr>
          <w:trHeight w:val="367"/>
        </w:trPr>
        <w:tc>
          <w:tcPr>
            <w:tcW w:w="559" w:type="pct"/>
            <w:shd w:val="clear" w:color="auto" w:fill="auto"/>
          </w:tcPr>
          <w:p w14:paraId="0B6D97C2"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663A9D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IL-1RN</w:t>
            </w:r>
          </w:p>
        </w:tc>
        <w:tc>
          <w:tcPr>
            <w:tcW w:w="1043" w:type="pct"/>
          </w:tcPr>
          <w:p w14:paraId="387892E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2/2</w:t>
            </w:r>
          </w:p>
        </w:tc>
        <w:tc>
          <w:tcPr>
            <w:tcW w:w="1403" w:type="pct"/>
            <w:shd w:val="clear" w:color="auto" w:fill="auto"/>
          </w:tcPr>
          <w:p w14:paraId="04A9497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0 (40%)/2 (0.8%)</w:t>
            </w:r>
          </w:p>
        </w:tc>
        <w:tc>
          <w:tcPr>
            <w:tcW w:w="1169" w:type="pct"/>
            <w:shd w:val="clear" w:color="auto" w:fill="auto"/>
          </w:tcPr>
          <w:p w14:paraId="6D73487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 risk</w:t>
            </w:r>
          </w:p>
        </w:tc>
      </w:tr>
      <w:tr w:rsidR="0011105F" w:rsidRPr="003771AE" w14:paraId="5DC5B7C5" w14:textId="77777777" w:rsidTr="0025251E">
        <w:trPr>
          <w:trHeight w:val="367"/>
        </w:trPr>
        <w:tc>
          <w:tcPr>
            <w:tcW w:w="559" w:type="pct"/>
            <w:shd w:val="clear" w:color="auto" w:fill="auto"/>
          </w:tcPr>
          <w:p w14:paraId="732C40E9"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3C3124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6DA0C2F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2/L</w:t>
            </w:r>
          </w:p>
        </w:tc>
        <w:tc>
          <w:tcPr>
            <w:tcW w:w="1403" w:type="pct"/>
            <w:shd w:val="clear" w:color="auto" w:fill="auto"/>
          </w:tcPr>
          <w:p w14:paraId="4B6599F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17 (8.2%)/21 (8.8%)</w:t>
            </w:r>
          </w:p>
        </w:tc>
        <w:tc>
          <w:tcPr>
            <w:tcW w:w="1169" w:type="pct"/>
            <w:shd w:val="clear" w:color="auto" w:fill="auto"/>
          </w:tcPr>
          <w:p w14:paraId="13D1416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396AB4E4" w14:textId="77777777" w:rsidTr="0025251E">
        <w:trPr>
          <w:trHeight w:val="460"/>
        </w:trPr>
        <w:tc>
          <w:tcPr>
            <w:tcW w:w="559" w:type="pct"/>
            <w:shd w:val="clear" w:color="auto" w:fill="auto"/>
          </w:tcPr>
          <w:p w14:paraId="0527EDBE"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1E36F9">
              <w:rPr>
                <w:rFonts w:ascii="Book Antiqua" w:eastAsia="Calibri" w:hAnsi="Book Antiqua" w:cs="Times New Roman"/>
                <w:kern w:val="0"/>
                <w:sz w:val="24"/>
                <w:szCs w:val="24"/>
                <w:lang w:val="en-GB" w:eastAsia="en-US"/>
              </w:rPr>
              <w:t>[103]</w:t>
            </w:r>
          </w:p>
        </w:tc>
        <w:tc>
          <w:tcPr>
            <w:tcW w:w="826" w:type="pct"/>
            <w:shd w:val="clear" w:color="auto" w:fill="auto"/>
          </w:tcPr>
          <w:p w14:paraId="67D8381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IL-8-251</w:t>
            </w:r>
          </w:p>
        </w:tc>
        <w:tc>
          <w:tcPr>
            <w:tcW w:w="1043" w:type="pct"/>
          </w:tcPr>
          <w:p w14:paraId="6CEC885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TA</w:t>
            </w:r>
          </w:p>
        </w:tc>
        <w:tc>
          <w:tcPr>
            <w:tcW w:w="1403" w:type="pct"/>
            <w:shd w:val="clear" w:color="auto" w:fill="auto"/>
          </w:tcPr>
          <w:p w14:paraId="493693F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70 (52.2)/64 (46.7)</w:t>
            </w:r>
          </w:p>
        </w:tc>
        <w:tc>
          <w:tcPr>
            <w:tcW w:w="1169" w:type="pct"/>
            <w:shd w:val="clear" w:color="auto" w:fill="auto"/>
          </w:tcPr>
          <w:p w14:paraId="4DD682F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Severe ChAG risk</w:t>
            </w:r>
          </w:p>
        </w:tc>
      </w:tr>
      <w:tr w:rsidR="0011105F" w:rsidRPr="003771AE" w14:paraId="2F8E29D3" w14:textId="77777777" w:rsidTr="0025251E">
        <w:trPr>
          <w:trHeight w:val="487"/>
        </w:trPr>
        <w:tc>
          <w:tcPr>
            <w:tcW w:w="559" w:type="pct"/>
            <w:shd w:val="clear" w:color="auto" w:fill="auto"/>
          </w:tcPr>
          <w:p w14:paraId="4DAA5808"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1B00168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6D6C266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AA</w:t>
            </w:r>
            <w:r w:rsidRPr="003771AE">
              <w:rPr>
                <w:rFonts w:ascii="Book Antiqua" w:eastAsia="Calibri" w:hAnsi="Book Antiqua" w:cs="Times New Roman"/>
                <w:kern w:val="0"/>
                <w:sz w:val="24"/>
                <w:szCs w:val="24"/>
                <w:vertAlign w:val="superscript"/>
                <w:lang w:val="en-GB" w:eastAsia="en-US"/>
              </w:rPr>
              <w:t>a</w:t>
            </w:r>
          </w:p>
        </w:tc>
        <w:tc>
          <w:tcPr>
            <w:tcW w:w="1403" w:type="pct"/>
            <w:shd w:val="clear" w:color="auto" w:fill="auto"/>
          </w:tcPr>
          <w:p w14:paraId="690A51E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25 (18.7)/14 (10.2)</w:t>
            </w:r>
          </w:p>
        </w:tc>
        <w:tc>
          <w:tcPr>
            <w:tcW w:w="1169" w:type="pct"/>
            <w:shd w:val="clear" w:color="auto" w:fill="auto"/>
          </w:tcPr>
          <w:p w14:paraId="4BF5CB8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1D7DB45F" w14:textId="77777777" w:rsidTr="0025251E">
        <w:trPr>
          <w:trHeight w:val="277"/>
        </w:trPr>
        <w:tc>
          <w:tcPr>
            <w:tcW w:w="559" w:type="pct"/>
            <w:shd w:val="clear" w:color="auto" w:fill="auto"/>
          </w:tcPr>
          <w:p w14:paraId="7BE7626F"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76B833E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13AC479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TA</w:t>
            </w:r>
            <w:r w:rsidRPr="003771AE">
              <w:rPr>
                <w:rFonts w:ascii="Book Antiqua" w:eastAsia="Calibri" w:hAnsi="Book Antiqua" w:cs="Times New Roman"/>
                <w:kern w:val="0"/>
                <w:sz w:val="24"/>
                <w:szCs w:val="24"/>
                <w:vertAlign w:val="superscript"/>
                <w:lang w:val="en-GB" w:eastAsia="en-US"/>
              </w:rPr>
              <w:t>a</w:t>
            </w:r>
          </w:p>
        </w:tc>
        <w:tc>
          <w:tcPr>
            <w:tcW w:w="1403" w:type="pct"/>
            <w:shd w:val="clear" w:color="auto" w:fill="auto"/>
          </w:tcPr>
          <w:p w14:paraId="53432C8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65 (64.4)/64 (46.7)</w:t>
            </w:r>
          </w:p>
        </w:tc>
        <w:tc>
          <w:tcPr>
            <w:tcW w:w="1169" w:type="pct"/>
            <w:shd w:val="clear" w:color="auto" w:fill="auto"/>
          </w:tcPr>
          <w:p w14:paraId="530FBAC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susceptibility</w:t>
            </w:r>
          </w:p>
        </w:tc>
      </w:tr>
      <w:tr w:rsidR="0011105F" w:rsidRPr="003771AE" w14:paraId="60687D93" w14:textId="77777777" w:rsidTr="0025251E">
        <w:trPr>
          <w:trHeight w:val="277"/>
        </w:trPr>
        <w:tc>
          <w:tcPr>
            <w:tcW w:w="559" w:type="pct"/>
            <w:shd w:val="clear" w:color="auto" w:fill="auto"/>
          </w:tcPr>
          <w:p w14:paraId="7A7D63F2"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3770270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6496624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AA</w:t>
            </w:r>
          </w:p>
        </w:tc>
        <w:tc>
          <w:tcPr>
            <w:tcW w:w="1403" w:type="pct"/>
            <w:shd w:val="clear" w:color="auto" w:fill="auto"/>
          </w:tcPr>
          <w:p w14:paraId="7846229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11 (10.9)/14 (10.2)</w:t>
            </w:r>
          </w:p>
        </w:tc>
        <w:tc>
          <w:tcPr>
            <w:tcW w:w="1169" w:type="pct"/>
            <w:shd w:val="clear" w:color="auto" w:fill="auto"/>
          </w:tcPr>
          <w:p w14:paraId="35AA46B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1C8F9D97" w14:textId="77777777" w:rsidTr="0025251E">
        <w:trPr>
          <w:trHeight w:val="368"/>
        </w:trPr>
        <w:tc>
          <w:tcPr>
            <w:tcW w:w="559" w:type="pct"/>
            <w:vMerge w:val="restart"/>
            <w:shd w:val="clear" w:color="auto" w:fill="auto"/>
          </w:tcPr>
          <w:p w14:paraId="23A66418"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1E36F9">
              <w:rPr>
                <w:rFonts w:ascii="Book Antiqua" w:eastAsia="Calibri" w:hAnsi="Book Antiqua" w:cs="Times New Roman"/>
                <w:kern w:val="0"/>
                <w:sz w:val="24"/>
                <w:szCs w:val="24"/>
                <w:lang w:val="en-GB" w:eastAsia="en-US"/>
              </w:rPr>
              <w:t>[106]</w:t>
            </w:r>
          </w:p>
        </w:tc>
        <w:tc>
          <w:tcPr>
            <w:tcW w:w="826" w:type="pct"/>
            <w:vMerge w:val="restart"/>
            <w:shd w:val="clear" w:color="auto" w:fill="auto"/>
          </w:tcPr>
          <w:p w14:paraId="415AB19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IL-10-1082</w:t>
            </w:r>
          </w:p>
          <w:p w14:paraId="4F5B51D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7D5F34C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w:t>
            </w:r>
          </w:p>
        </w:tc>
        <w:tc>
          <w:tcPr>
            <w:tcW w:w="1403" w:type="pct"/>
            <w:shd w:val="clear" w:color="auto" w:fill="auto"/>
          </w:tcPr>
          <w:p w14:paraId="48781B9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15 (12.9)/18 (7.8)</w:t>
            </w:r>
          </w:p>
        </w:tc>
        <w:tc>
          <w:tcPr>
            <w:tcW w:w="1169" w:type="pct"/>
            <w:shd w:val="clear" w:color="auto" w:fill="auto"/>
          </w:tcPr>
          <w:p w14:paraId="42C8632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 susceptibility</w:t>
            </w:r>
          </w:p>
        </w:tc>
      </w:tr>
      <w:tr w:rsidR="0011105F" w:rsidRPr="003771AE" w14:paraId="7904422E" w14:textId="77777777" w:rsidTr="0025251E">
        <w:trPr>
          <w:trHeight w:val="367"/>
        </w:trPr>
        <w:tc>
          <w:tcPr>
            <w:tcW w:w="559" w:type="pct"/>
            <w:vMerge/>
            <w:shd w:val="clear" w:color="auto" w:fill="auto"/>
          </w:tcPr>
          <w:p w14:paraId="4C9D70F6"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vMerge/>
            <w:shd w:val="clear" w:color="auto" w:fill="auto"/>
          </w:tcPr>
          <w:p w14:paraId="4F0375A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52C5F4F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GG</w:t>
            </w:r>
          </w:p>
        </w:tc>
        <w:tc>
          <w:tcPr>
            <w:tcW w:w="1403" w:type="pct"/>
            <w:shd w:val="clear" w:color="auto" w:fill="auto"/>
          </w:tcPr>
          <w:p w14:paraId="0F538B6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0 (0)/1 (0.4)</w:t>
            </w:r>
          </w:p>
        </w:tc>
        <w:tc>
          <w:tcPr>
            <w:tcW w:w="1169" w:type="pct"/>
            <w:shd w:val="clear" w:color="auto" w:fill="auto"/>
          </w:tcPr>
          <w:p w14:paraId="13171EC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21792E3A" w14:textId="77777777" w:rsidTr="0025251E">
        <w:trPr>
          <w:trHeight w:val="135"/>
        </w:trPr>
        <w:tc>
          <w:tcPr>
            <w:tcW w:w="559" w:type="pct"/>
            <w:vMerge/>
            <w:shd w:val="clear" w:color="auto" w:fill="auto"/>
          </w:tcPr>
          <w:p w14:paraId="336BDE04"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vMerge w:val="restart"/>
            <w:shd w:val="clear" w:color="auto" w:fill="auto"/>
          </w:tcPr>
          <w:p w14:paraId="4C310A4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IL-10-819</w:t>
            </w:r>
          </w:p>
          <w:p w14:paraId="10653DC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17000DA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CT</w:t>
            </w:r>
          </w:p>
        </w:tc>
        <w:tc>
          <w:tcPr>
            <w:tcW w:w="1403" w:type="pct"/>
            <w:shd w:val="clear" w:color="auto" w:fill="auto"/>
          </w:tcPr>
          <w:p w14:paraId="7817A98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47 (40.5)/104 (44.8)</w:t>
            </w:r>
          </w:p>
        </w:tc>
        <w:tc>
          <w:tcPr>
            <w:tcW w:w="1169" w:type="pct"/>
            <w:shd w:val="clear" w:color="auto" w:fill="auto"/>
          </w:tcPr>
          <w:p w14:paraId="3ECEE02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 susceptibility</w:t>
            </w:r>
          </w:p>
        </w:tc>
      </w:tr>
      <w:tr w:rsidR="0011105F" w:rsidRPr="003771AE" w14:paraId="7C0094E3" w14:textId="77777777" w:rsidTr="0025251E">
        <w:trPr>
          <w:trHeight w:val="135"/>
        </w:trPr>
        <w:tc>
          <w:tcPr>
            <w:tcW w:w="559" w:type="pct"/>
            <w:vMerge/>
            <w:shd w:val="clear" w:color="auto" w:fill="auto"/>
          </w:tcPr>
          <w:p w14:paraId="40EF318D"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vMerge/>
            <w:shd w:val="clear" w:color="auto" w:fill="auto"/>
          </w:tcPr>
          <w:p w14:paraId="334CB6D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210EBD3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CC</w:t>
            </w:r>
          </w:p>
        </w:tc>
        <w:tc>
          <w:tcPr>
            <w:tcW w:w="1403" w:type="pct"/>
            <w:shd w:val="clear" w:color="auto" w:fill="auto"/>
          </w:tcPr>
          <w:p w14:paraId="4D7E4E9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28 (24.1)/36 (15.5)</w:t>
            </w:r>
          </w:p>
        </w:tc>
        <w:tc>
          <w:tcPr>
            <w:tcW w:w="1169" w:type="pct"/>
            <w:shd w:val="clear" w:color="auto" w:fill="auto"/>
          </w:tcPr>
          <w:p w14:paraId="0199954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472820D0" w14:textId="77777777" w:rsidTr="0025251E">
        <w:trPr>
          <w:trHeight w:val="248"/>
        </w:trPr>
        <w:tc>
          <w:tcPr>
            <w:tcW w:w="559" w:type="pct"/>
            <w:vMerge/>
            <w:shd w:val="clear" w:color="auto" w:fill="auto"/>
          </w:tcPr>
          <w:p w14:paraId="3D5CCF56"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vMerge w:val="restart"/>
            <w:shd w:val="clear" w:color="auto" w:fill="auto"/>
          </w:tcPr>
          <w:p w14:paraId="2C8AF9D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IL-10-592</w:t>
            </w:r>
          </w:p>
        </w:tc>
        <w:tc>
          <w:tcPr>
            <w:tcW w:w="1043" w:type="pct"/>
          </w:tcPr>
          <w:p w14:paraId="6A9ED67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AC</w:t>
            </w:r>
          </w:p>
        </w:tc>
        <w:tc>
          <w:tcPr>
            <w:tcW w:w="1403" w:type="pct"/>
            <w:shd w:val="clear" w:color="auto" w:fill="auto"/>
          </w:tcPr>
          <w:p w14:paraId="6A97542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46 (39.7)/96 (41.4)</w:t>
            </w:r>
          </w:p>
        </w:tc>
        <w:tc>
          <w:tcPr>
            <w:tcW w:w="1169" w:type="pct"/>
            <w:shd w:val="clear" w:color="auto" w:fill="auto"/>
          </w:tcPr>
          <w:p w14:paraId="4A840E5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AG susceptibility</w:t>
            </w:r>
          </w:p>
        </w:tc>
      </w:tr>
      <w:tr w:rsidR="0011105F" w:rsidRPr="003771AE" w14:paraId="7B0EE53F" w14:textId="77777777" w:rsidTr="0025251E">
        <w:trPr>
          <w:trHeight w:val="247"/>
        </w:trPr>
        <w:tc>
          <w:tcPr>
            <w:tcW w:w="559" w:type="pct"/>
            <w:vMerge/>
            <w:shd w:val="clear" w:color="auto" w:fill="auto"/>
          </w:tcPr>
          <w:p w14:paraId="697F9E48"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vMerge/>
            <w:shd w:val="clear" w:color="auto" w:fill="auto"/>
          </w:tcPr>
          <w:p w14:paraId="5FE81E6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66E22A2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CC</w:t>
            </w:r>
          </w:p>
        </w:tc>
        <w:tc>
          <w:tcPr>
            <w:tcW w:w="1403" w:type="pct"/>
            <w:shd w:val="clear" w:color="auto" w:fill="auto"/>
          </w:tcPr>
          <w:p w14:paraId="0D772B5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31 (26.7)/52 (22.4)</w:t>
            </w:r>
          </w:p>
        </w:tc>
        <w:tc>
          <w:tcPr>
            <w:tcW w:w="1169" w:type="pct"/>
            <w:shd w:val="clear" w:color="auto" w:fill="auto"/>
          </w:tcPr>
          <w:p w14:paraId="2FC6DCB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6084B1D5" w14:textId="77777777" w:rsidTr="0025251E">
        <w:trPr>
          <w:trHeight w:val="368"/>
        </w:trPr>
        <w:tc>
          <w:tcPr>
            <w:tcW w:w="559" w:type="pct"/>
            <w:vMerge w:val="restart"/>
            <w:shd w:val="clear" w:color="auto" w:fill="auto"/>
          </w:tcPr>
          <w:p w14:paraId="057D90A2"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1E36F9">
              <w:rPr>
                <w:rFonts w:ascii="Book Antiqua" w:eastAsia="Calibri" w:hAnsi="Book Antiqua" w:cs="Times New Roman"/>
                <w:kern w:val="0"/>
                <w:sz w:val="24"/>
                <w:szCs w:val="24"/>
                <w:lang w:val="en-GB" w:eastAsia="en-US"/>
              </w:rPr>
              <w:t>[108]</w:t>
            </w:r>
          </w:p>
        </w:tc>
        <w:tc>
          <w:tcPr>
            <w:tcW w:w="826" w:type="pct"/>
            <w:vMerge w:val="restart"/>
            <w:shd w:val="clear" w:color="auto" w:fill="auto"/>
          </w:tcPr>
          <w:p w14:paraId="3D225C5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IL-6-174</w:t>
            </w:r>
          </w:p>
        </w:tc>
        <w:tc>
          <w:tcPr>
            <w:tcW w:w="1043" w:type="pct"/>
          </w:tcPr>
          <w:p w14:paraId="6A3C2B2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GC</w:t>
            </w:r>
          </w:p>
        </w:tc>
        <w:tc>
          <w:tcPr>
            <w:tcW w:w="1403" w:type="pct"/>
            <w:shd w:val="clear" w:color="auto" w:fill="auto"/>
          </w:tcPr>
          <w:p w14:paraId="2150329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47 (35.9)/13 (34.2)</w:t>
            </w:r>
          </w:p>
        </w:tc>
        <w:tc>
          <w:tcPr>
            <w:tcW w:w="1169" w:type="pct"/>
            <w:shd w:val="clear" w:color="auto" w:fill="auto"/>
          </w:tcPr>
          <w:p w14:paraId="1CB17FE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Gastritis</w:t>
            </w:r>
          </w:p>
        </w:tc>
      </w:tr>
      <w:tr w:rsidR="0011105F" w:rsidRPr="003771AE" w14:paraId="6A47D4A2" w14:textId="77777777" w:rsidTr="0025251E">
        <w:trPr>
          <w:trHeight w:val="367"/>
        </w:trPr>
        <w:tc>
          <w:tcPr>
            <w:tcW w:w="559" w:type="pct"/>
            <w:vMerge/>
            <w:shd w:val="clear" w:color="auto" w:fill="auto"/>
          </w:tcPr>
          <w:p w14:paraId="5DA72E51"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vMerge/>
            <w:shd w:val="clear" w:color="auto" w:fill="auto"/>
          </w:tcPr>
          <w:p w14:paraId="71A8AF8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6F624FD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CC</w:t>
            </w:r>
          </w:p>
        </w:tc>
        <w:tc>
          <w:tcPr>
            <w:tcW w:w="1403" w:type="pct"/>
            <w:shd w:val="clear" w:color="auto" w:fill="auto"/>
          </w:tcPr>
          <w:p w14:paraId="299DD2B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14 (10.7)/2 (5.3)</w:t>
            </w:r>
          </w:p>
        </w:tc>
        <w:tc>
          <w:tcPr>
            <w:tcW w:w="1169" w:type="pct"/>
            <w:shd w:val="clear" w:color="auto" w:fill="auto"/>
          </w:tcPr>
          <w:p w14:paraId="26AA31D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4C66A858" w14:textId="77777777" w:rsidTr="0025251E">
        <w:trPr>
          <w:trHeight w:val="368"/>
        </w:trPr>
        <w:tc>
          <w:tcPr>
            <w:tcW w:w="559" w:type="pct"/>
            <w:vMerge/>
            <w:shd w:val="clear" w:color="auto" w:fill="auto"/>
          </w:tcPr>
          <w:p w14:paraId="60B53386"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vMerge w:val="restart"/>
            <w:shd w:val="clear" w:color="auto" w:fill="auto"/>
          </w:tcPr>
          <w:p w14:paraId="2286925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 xml:space="preserve"> IL-8-251</w:t>
            </w:r>
          </w:p>
        </w:tc>
        <w:tc>
          <w:tcPr>
            <w:tcW w:w="1043" w:type="pct"/>
          </w:tcPr>
          <w:p w14:paraId="1FA9EF3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TA</w:t>
            </w:r>
          </w:p>
        </w:tc>
        <w:tc>
          <w:tcPr>
            <w:tcW w:w="1403" w:type="pct"/>
            <w:shd w:val="clear" w:color="auto" w:fill="auto"/>
          </w:tcPr>
          <w:p w14:paraId="554A433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67 (51.1)/20 (52.6)</w:t>
            </w:r>
          </w:p>
        </w:tc>
        <w:tc>
          <w:tcPr>
            <w:tcW w:w="1169" w:type="pct"/>
            <w:shd w:val="clear" w:color="auto" w:fill="auto"/>
          </w:tcPr>
          <w:p w14:paraId="1D010D4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Gastritis</w:t>
            </w:r>
          </w:p>
        </w:tc>
      </w:tr>
      <w:tr w:rsidR="0011105F" w:rsidRPr="003771AE" w14:paraId="63CE02A4" w14:textId="77777777" w:rsidTr="0025251E">
        <w:trPr>
          <w:trHeight w:val="367"/>
        </w:trPr>
        <w:tc>
          <w:tcPr>
            <w:tcW w:w="559" w:type="pct"/>
            <w:vMerge/>
            <w:shd w:val="clear" w:color="auto" w:fill="auto"/>
          </w:tcPr>
          <w:p w14:paraId="19550C1E"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vMerge/>
            <w:shd w:val="clear" w:color="auto" w:fill="auto"/>
          </w:tcPr>
          <w:p w14:paraId="6EBE8DB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1F4EEBB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AA</w:t>
            </w:r>
          </w:p>
        </w:tc>
        <w:tc>
          <w:tcPr>
            <w:tcW w:w="1403" w:type="pct"/>
            <w:shd w:val="clear" w:color="auto" w:fill="auto"/>
          </w:tcPr>
          <w:p w14:paraId="31B57D4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29 (22.1)/7 (18.4)</w:t>
            </w:r>
          </w:p>
        </w:tc>
        <w:tc>
          <w:tcPr>
            <w:tcW w:w="1169" w:type="pct"/>
            <w:shd w:val="clear" w:color="auto" w:fill="auto"/>
          </w:tcPr>
          <w:p w14:paraId="1A95118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7C152EEA" w14:textId="77777777" w:rsidTr="0025251E">
        <w:trPr>
          <w:trHeight w:val="135"/>
        </w:trPr>
        <w:tc>
          <w:tcPr>
            <w:tcW w:w="559" w:type="pct"/>
            <w:vMerge/>
            <w:shd w:val="clear" w:color="auto" w:fill="auto"/>
          </w:tcPr>
          <w:p w14:paraId="714839EC"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vMerge w:val="restart"/>
            <w:shd w:val="clear" w:color="auto" w:fill="auto"/>
          </w:tcPr>
          <w:p w14:paraId="7AE3059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IL-10-819</w:t>
            </w:r>
          </w:p>
        </w:tc>
        <w:tc>
          <w:tcPr>
            <w:tcW w:w="1043" w:type="pct"/>
          </w:tcPr>
          <w:p w14:paraId="725AA9F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CT</w:t>
            </w:r>
          </w:p>
        </w:tc>
        <w:tc>
          <w:tcPr>
            <w:tcW w:w="1403" w:type="pct"/>
            <w:shd w:val="clear" w:color="auto" w:fill="auto"/>
          </w:tcPr>
          <w:p w14:paraId="1B36DAB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55 (41.9)/21 (55.3)</w:t>
            </w:r>
          </w:p>
        </w:tc>
        <w:tc>
          <w:tcPr>
            <w:tcW w:w="1169" w:type="pct"/>
            <w:shd w:val="clear" w:color="auto" w:fill="auto"/>
          </w:tcPr>
          <w:p w14:paraId="2271A00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Gastritis</w:t>
            </w:r>
          </w:p>
        </w:tc>
      </w:tr>
      <w:tr w:rsidR="0011105F" w:rsidRPr="003771AE" w14:paraId="46021D86" w14:textId="77777777" w:rsidTr="0025251E">
        <w:trPr>
          <w:trHeight w:val="135"/>
        </w:trPr>
        <w:tc>
          <w:tcPr>
            <w:tcW w:w="559" w:type="pct"/>
            <w:vMerge/>
            <w:shd w:val="clear" w:color="auto" w:fill="auto"/>
          </w:tcPr>
          <w:p w14:paraId="53B5C94F"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vMerge/>
            <w:shd w:val="clear" w:color="auto" w:fill="auto"/>
          </w:tcPr>
          <w:p w14:paraId="7FF8B0B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02A1491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TT</w:t>
            </w:r>
          </w:p>
        </w:tc>
        <w:tc>
          <w:tcPr>
            <w:tcW w:w="1403" w:type="pct"/>
            <w:shd w:val="clear" w:color="auto" w:fill="auto"/>
          </w:tcPr>
          <w:p w14:paraId="007D7F6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10 (7.6)/6 (15.8)</w:t>
            </w:r>
          </w:p>
        </w:tc>
        <w:tc>
          <w:tcPr>
            <w:tcW w:w="1169" w:type="pct"/>
            <w:shd w:val="clear" w:color="auto" w:fill="auto"/>
          </w:tcPr>
          <w:p w14:paraId="698C4A0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714B43D1" w14:textId="77777777" w:rsidTr="0025251E">
        <w:trPr>
          <w:trHeight w:val="248"/>
        </w:trPr>
        <w:tc>
          <w:tcPr>
            <w:tcW w:w="559" w:type="pct"/>
            <w:shd w:val="clear" w:color="auto" w:fill="auto"/>
          </w:tcPr>
          <w:p w14:paraId="5A3382FB"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534C73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IL-6-174</w:t>
            </w:r>
          </w:p>
        </w:tc>
        <w:tc>
          <w:tcPr>
            <w:tcW w:w="1043" w:type="pct"/>
          </w:tcPr>
          <w:p w14:paraId="54CADE9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GC</w:t>
            </w:r>
          </w:p>
        </w:tc>
        <w:tc>
          <w:tcPr>
            <w:tcW w:w="1403" w:type="pct"/>
            <w:shd w:val="clear" w:color="auto" w:fill="auto"/>
          </w:tcPr>
          <w:p w14:paraId="05C9683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22 (44.9)/13 (34.2)</w:t>
            </w:r>
          </w:p>
        </w:tc>
        <w:tc>
          <w:tcPr>
            <w:tcW w:w="1169" w:type="pct"/>
            <w:shd w:val="clear" w:color="auto" w:fill="auto"/>
          </w:tcPr>
          <w:p w14:paraId="1AB01CB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 xml:space="preserve">Peptic ulcer </w:t>
            </w:r>
          </w:p>
        </w:tc>
      </w:tr>
      <w:tr w:rsidR="0011105F" w:rsidRPr="003771AE" w14:paraId="4CC58121" w14:textId="77777777" w:rsidTr="0025251E">
        <w:trPr>
          <w:trHeight w:val="248"/>
        </w:trPr>
        <w:tc>
          <w:tcPr>
            <w:tcW w:w="559" w:type="pct"/>
            <w:shd w:val="clear" w:color="auto" w:fill="auto"/>
          </w:tcPr>
          <w:p w14:paraId="6F759BDD"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0DE95FB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4D093DF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CC</w:t>
            </w:r>
          </w:p>
        </w:tc>
        <w:tc>
          <w:tcPr>
            <w:tcW w:w="1403" w:type="pct"/>
            <w:shd w:val="clear" w:color="auto" w:fill="auto"/>
          </w:tcPr>
          <w:p w14:paraId="769A910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3 (6.1)/2 (5.3)</w:t>
            </w:r>
          </w:p>
        </w:tc>
        <w:tc>
          <w:tcPr>
            <w:tcW w:w="1169" w:type="pct"/>
            <w:shd w:val="clear" w:color="auto" w:fill="auto"/>
          </w:tcPr>
          <w:p w14:paraId="22B9CBA0"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501C4163" w14:textId="77777777" w:rsidTr="0025251E">
        <w:trPr>
          <w:trHeight w:val="248"/>
        </w:trPr>
        <w:tc>
          <w:tcPr>
            <w:tcW w:w="559" w:type="pct"/>
            <w:shd w:val="clear" w:color="auto" w:fill="auto"/>
          </w:tcPr>
          <w:p w14:paraId="4FF7BE2E"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6E47D9D4"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IL-8-251</w:t>
            </w:r>
          </w:p>
        </w:tc>
        <w:tc>
          <w:tcPr>
            <w:tcW w:w="1043" w:type="pct"/>
          </w:tcPr>
          <w:p w14:paraId="557C822A"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TA</w:t>
            </w:r>
          </w:p>
        </w:tc>
        <w:tc>
          <w:tcPr>
            <w:tcW w:w="1403" w:type="pct"/>
            <w:shd w:val="clear" w:color="auto" w:fill="auto"/>
          </w:tcPr>
          <w:p w14:paraId="249A71A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27 (55.1)/20 (52.6)</w:t>
            </w:r>
          </w:p>
        </w:tc>
        <w:tc>
          <w:tcPr>
            <w:tcW w:w="1169" w:type="pct"/>
            <w:shd w:val="clear" w:color="auto" w:fill="auto"/>
          </w:tcPr>
          <w:p w14:paraId="5407F3A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 xml:space="preserve">Peptic ulcer </w:t>
            </w:r>
          </w:p>
        </w:tc>
      </w:tr>
      <w:tr w:rsidR="0011105F" w:rsidRPr="003771AE" w14:paraId="640D4902" w14:textId="77777777" w:rsidTr="0025251E">
        <w:trPr>
          <w:trHeight w:val="247"/>
        </w:trPr>
        <w:tc>
          <w:tcPr>
            <w:tcW w:w="559" w:type="pct"/>
            <w:shd w:val="clear" w:color="auto" w:fill="auto"/>
          </w:tcPr>
          <w:p w14:paraId="6705515F"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520FA49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3D2B2BF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AA</w:t>
            </w:r>
          </w:p>
        </w:tc>
        <w:tc>
          <w:tcPr>
            <w:tcW w:w="1403" w:type="pct"/>
            <w:shd w:val="clear" w:color="auto" w:fill="auto"/>
          </w:tcPr>
          <w:p w14:paraId="3C41C7FE"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15 (30.6)/7 (18.4)</w:t>
            </w:r>
          </w:p>
        </w:tc>
        <w:tc>
          <w:tcPr>
            <w:tcW w:w="1169" w:type="pct"/>
            <w:shd w:val="clear" w:color="auto" w:fill="auto"/>
          </w:tcPr>
          <w:p w14:paraId="42A2366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127947C2" w14:textId="77777777" w:rsidTr="0025251E">
        <w:trPr>
          <w:trHeight w:val="247"/>
        </w:trPr>
        <w:tc>
          <w:tcPr>
            <w:tcW w:w="559" w:type="pct"/>
            <w:shd w:val="clear" w:color="auto" w:fill="auto"/>
          </w:tcPr>
          <w:p w14:paraId="6CB6B1C8"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37CF409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IL-10-819</w:t>
            </w:r>
          </w:p>
        </w:tc>
        <w:tc>
          <w:tcPr>
            <w:tcW w:w="1043" w:type="pct"/>
          </w:tcPr>
          <w:p w14:paraId="24EEA3B9"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CT</w:t>
            </w:r>
          </w:p>
        </w:tc>
        <w:tc>
          <w:tcPr>
            <w:tcW w:w="1403" w:type="pct"/>
            <w:shd w:val="clear" w:color="auto" w:fill="auto"/>
          </w:tcPr>
          <w:p w14:paraId="720BBE2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21 (42.9)/21 (55.3)</w:t>
            </w:r>
          </w:p>
        </w:tc>
        <w:tc>
          <w:tcPr>
            <w:tcW w:w="1169" w:type="pct"/>
            <w:shd w:val="clear" w:color="auto" w:fill="auto"/>
          </w:tcPr>
          <w:p w14:paraId="4789F49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257CFC46" w14:textId="77777777" w:rsidTr="0025251E">
        <w:trPr>
          <w:trHeight w:val="247"/>
        </w:trPr>
        <w:tc>
          <w:tcPr>
            <w:tcW w:w="559" w:type="pct"/>
            <w:shd w:val="clear" w:color="auto" w:fill="auto"/>
          </w:tcPr>
          <w:p w14:paraId="51C29D77"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321FBCB7"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0697943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TT</w:t>
            </w:r>
          </w:p>
        </w:tc>
        <w:tc>
          <w:tcPr>
            <w:tcW w:w="1403" w:type="pct"/>
            <w:shd w:val="clear" w:color="auto" w:fill="auto"/>
          </w:tcPr>
          <w:p w14:paraId="001D023B"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5 (10.2)/6 (15.8)</w:t>
            </w:r>
          </w:p>
        </w:tc>
        <w:tc>
          <w:tcPr>
            <w:tcW w:w="1169" w:type="pct"/>
            <w:shd w:val="clear" w:color="auto" w:fill="auto"/>
          </w:tcPr>
          <w:p w14:paraId="73EB5085"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439C9F49" w14:textId="77777777" w:rsidTr="0025251E">
        <w:trPr>
          <w:trHeight w:val="180"/>
        </w:trPr>
        <w:tc>
          <w:tcPr>
            <w:tcW w:w="559" w:type="pct"/>
            <w:shd w:val="clear" w:color="auto" w:fill="auto"/>
          </w:tcPr>
          <w:p w14:paraId="46E6D854"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826" w:type="pct"/>
            <w:shd w:val="clear" w:color="auto" w:fill="auto"/>
          </w:tcPr>
          <w:p w14:paraId="2105F29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7C398B0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TT</w:t>
            </w:r>
          </w:p>
        </w:tc>
        <w:tc>
          <w:tcPr>
            <w:tcW w:w="1403" w:type="pct"/>
            <w:shd w:val="clear" w:color="auto" w:fill="auto"/>
          </w:tcPr>
          <w:p w14:paraId="4696D658"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5 (10.2)/6 (15.8)</w:t>
            </w:r>
          </w:p>
        </w:tc>
        <w:tc>
          <w:tcPr>
            <w:tcW w:w="1169" w:type="pct"/>
            <w:shd w:val="clear" w:color="auto" w:fill="auto"/>
          </w:tcPr>
          <w:p w14:paraId="23A9C94F"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r w:rsidR="0011105F" w:rsidRPr="003771AE" w14:paraId="173FF4DA" w14:textId="77777777" w:rsidTr="0025251E">
        <w:trPr>
          <w:trHeight w:val="283"/>
        </w:trPr>
        <w:tc>
          <w:tcPr>
            <w:tcW w:w="559" w:type="pct"/>
            <w:shd w:val="clear" w:color="auto" w:fill="auto"/>
          </w:tcPr>
          <w:p w14:paraId="6A978736" w14:textId="77777777" w:rsidR="0011105F" w:rsidRPr="001E36F9"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1E36F9">
              <w:rPr>
                <w:rFonts w:ascii="Book Antiqua" w:eastAsia="Calibri" w:hAnsi="Book Antiqua" w:cs="Times New Roman"/>
                <w:kern w:val="0"/>
                <w:sz w:val="24"/>
                <w:szCs w:val="24"/>
                <w:lang w:val="en-GB" w:eastAsia="en-US"/>
              </w:rPr>
              <w:t>[111]</w:t>
            </w:r>
          </w:p>
        </w:tc>
        <w:tc>
          <w:tcPr>
            <w:tcW w:w="826" w:type="pct"/>
            <w:shd w:val="clear" w:color="auto" w:fill="auto"/>
          </w:tcPr>
          <w:p w14:paraId="522B1EB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IL-1B-511</w:t>
            </w:r>
          </w:p>
        </w:tc>
        <w:tc>
          <w:tcPr>
            <w:tcW w:w="1043" w:type="pct"/>
          </w:tcPr>
          <w:p w14:paraId="5B458B13"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CT</w:t>
            </w:r>
          </w:p>
        </w:tc>
        <w:tc>
          <w:tcPr>
            <w:tcW w:w="1403" w:type="pct"/>
            <w:shd w:val="clear" w:color="auto" w:fill="auto"/>
          </w:tcPr>
          <w:p w14:paraId="15F52DC6"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67 (54.5)/88 (49.2)</w:t>
            </w:r>
          </w:p>
        </w:tc>
        <w:tc>
          <w:tcPr>
            <w:tcW w:w="1169" w:type="pct"/>
            <w:shd w:val="clear" w:color="auto" w:fill="auto"/>
          </w:tcPr>
          <w:p w14:paraId="79E9BE8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IM susceptibility</w:t>
            </w:r>
          </w:p>
        </w:tc>
      </w:tr>
      <w:tr w:rsidR="0011105F" w:rsidRPr="003771AE" w14:paraId="6109C9A1" w14:textId="77777777" w:rsidTr="0025251E">
        <w:trPr>
          <w:trHeight w:val="283"/>
        </w:trPr>
        <w:tc>
          <w:tcPr>
            <w:tcW w:w="559" w:type="pct"/>
            <w:shd w:val="clear" w:color="auto" w:fill="auto"/>
          </w:tcPr>
          <w:p w14:paraId="0BA10991"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vertAlign w:val="superscript"/>
                <w:lang w:val="en-GB" w:eastAsia="en-US"/>
              </w:rPr>
            </w:pPr>
          </w:p>
        </w:tc>
        <w:tc>
          <w:tcPr>
            <w:tcW w:w="826" w:type="pct"/>
            <w:shd w:val="clear" w:color="auto" w:fill="auto"/>
          </w:tcPr>
          <w:p w14:paraId="3BF8C64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c>
          <w:tcPr>
            <w:tcW w:w="1043" w:type="pct"/>
          </w:tcPr>
          <w:p w14:paraId="51DAAFDC"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TT</w:t>
            </w:r>
          </w:p>
        </w:tc>
        <w:tc>
          <w:tcPr>
            <w:tcW w:w="1403" w:type="pct"/>
            <w:shd w:val="clear" w:color="auto" w:fill="auto"/>
          </w:tcPr>
          <w:p w14:paraId="4D997B9D"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lang w:val="en-GB" w:eastAsia="en-US"/>
              </w:rPr>
              <w:t>34 (27.6)/40 (22.3)</w:t>
            </w:r>
          </w:p>
        </w:tc>
        <w:tc>
          <w:tcPr>
            <w:tcW w:w="1169" w:type="pct"/>
            <w:shd w:val="clear" w:color="auto" w:fill="auto"/>
          </w:tcPr>
          <w:p w14:paraId="14281712" w14:textId="77777777" w:rsidR="0011105F" w:rsidRPr="003771AE" w:rsidRDefault="0011105F" w:rsidP="00F17106">
            <w:pPr>
              <w:widowControl/>
              <w:autoSpaceDE w:val="0"/>
              <w:autoSpaceDN w:val="0"/>
              <w:adjustRightInd w:val="0"/>
              <w:snapToGrid w:val="0"/>
              <w:spacing w:line="360" w:lineRule="auto"/>
              <w:rPr>
                <w:rFonts w:ascii="Book Antiqua" w:eastAsia="Calibri" w:hAnsi="Book Antiqua" w:cs="Times New Roman"/>
                <w:kern w:val="0"/>
                <w:sz w:val="24"/>
                <w:szCs w:val="24"/>
                <w:lang w:val="en-GB" w:eastAsia="en-US"/>
              </w:rPr>
            </w:pPr>
          </w:p>
        </w:tc>
      </w:tr>
    </w:tbl>
    <w:p w14:paraId="54007366" w14:textId="288CF525" w:rsidR="008D6B30" w:rsidRPr="001856CD" w:rsidRDefault="00E441FA" w:rsidP="001856CD">
      <w:pPr>
        <w:widowControl/>
        <w:pBdr>
          <w:top w:val="single" w:sz="4" w:space="1" w:color="auto"/>
        </w:pBdr>
        <w:snapToGrid w:val="0"/>
        <w:spacing w:line="360" w:lineRule="auto"/>
        <w:rPr>
          <w:rFonts w:ascii="Book Antiqua" w:eastAsia="Calibri" w:hAnsi="Book Antiqua" w:cs="Times New Roman"/>
          <w:kern w:val="0"/>
          <w:sz w:val="24"/>
          <w:szCs w:val="24"/>
          <w:lang w:val="en-GB" w:eastAsia="en-US"/>
        </w:rPr>
      </w:pPr>
      <w:r w:rsidRPr="003771AE">
        <w:rPr>
          <w:rFonts w:ascii="Book Antiqua" w:eastAsia="Calibri" w:hAnsi="Book Antiqua" w:cs="Times New Roman"/>
          <w:kern w:val="0"/>
          <w:sz w:val="24"/>
          <w:szCs w:val="24"/>
          <w:vertAlign w:val="superscript"/>
          <w:lang w:val="en-GB" w:eastAsia="en-US"/>
        </w:rPr>
        <w:t>1</w:t>
      </w:r>
      <w:r w:rsidR="0011105F" w:rsidRPr="003771AE">
        <w:rPr>
          <w:rFonts w:ascii="Book Antiqua" w:eastAsia="Calibri" w:hAnsi="Book Antiqua" w:cs="Times New Roman"/>
          <w:kern w:val="0"/>
          <w:sz w:val="24"/>
          <w:szCs w:val="24"/>
          <w:lang w:val="en-GB" w:eastAsia="en-US"/>
        </w:rPr>
        <w:t xml:space="preserve">Only the cytokine SNPs of interest (mentioned in the above studies) are described; relative frequencies (%) are described in relation to the size of each of the two groups (cases and control group); </w:t>
      </w:r>
      <w:r w:rsidR="0011105F" w:rsidRPr="003771AE">
        <w:rPr>
          <w:rFonts w:ascii="Book Antiqua" w:eastAsia="Calibri" w:hAnsi="Book Antiqua" w:cs="Times New Roman"/>
          <w:kern w:val="0"/>
          <w:sz w:val="24"/>
          <w:szCs w:val="24"/>
          <w:vertAlign w:val="superscript"/>
          <w:lang w:val="en-GB" w:eastAsia="en-US"/>
        </w:rPr>
        <w:t>a</w:t>
      </w:r>
      <w:r w:rsidR="0011105F" w:rsidRPr="003771AE">
        <w:rPr>
          <w:rFonts w:ascii="Book Antiqua" w:eastAsia="Calibri" w:hAnsi="Book Antiqua" w:cs="Times New Roman"/>
          <w:i/>
          <w:kern w:val="0"/>
          <w:sz w:val="24"/>
          <w:szCs w:val="24"/>
          <w:lang w:val="en-GB" w:eastAsia="en-US"/>
        </w:rPr>
        <w:t>P</w:t>
      </w:r>
      <w:r w:rsidR="00D132C4">
        <w:rPr>
          <w:rFonts w:ascii="Book Antiqua" w:eastAsia="Calibri" w:hAnsi="Book Antiqua" w:cs="Times New Roman"/>
          <w:i/>
          <w:kern w:val="0"/>
          <w:sz w:val="24"/>
          <w:szCs w:val="24"/>
          <w:lang w:val="en-GB" w:eastAsia="en-US"/>
        </w:rPr>
        <w:t xml:space="preserve"> </w:t>
      </w:r>
      <w:r w:rsidR="0011105F" w:rsidRPr="003771AE">
        <w:rPr>
          <w:rFonts w:ascii="Book Antiqua" w:eastAsia="Calibri" w:hAnsi="Book Antiqua" w:cs="Times New Roman"/>
          <w:kern w:val="0"/>
          <w:sz w:val="24"/>
          <w:szCs w:val="24"/>
          <w:lang w:val="en-GB" w:eastAsia="en-US"/>
        </w:rPr>
        <w:t>&lt;</w:t>
      </w:r>
      <w:r w:rsidR="00D132C4">
        <w:rPr>
          <w:rFonts w:ascii="Book Antiqua" w:eastAsia="Calibri" w:hAnsi="Book Antiqua" w:cs="Times New Roman"/>
          <w:kern w:val="0"/>
          <w:sz w:val="24"/>
          <w:szCs w:val="24"/>
          <w:lang w:val="en-GB" w:eastAsia="en-US"/>
        </w:rPr>
        <w:t xml:space="preserve"> </w:t>
      </w:r>
      <w:r w:rsidR="0011105F" w:rsidRPr="003771AE">
        <w:rPr>
          <w:rFonts w:ascii="Book Antiqua" w:eastAsia="Calibri" w:hAnsi="Book Antiqua" w:cs="Times New Roman"/>
          <w:kern w:val="0"/>
          <w:sz w:val="24"/>
          <w:szCs w:val="24"/>
          <w:lang w:val="en-GB" w:eastAsia="en-US"/>
        </w:rPr>
        <w:t>0.05. AG: Atrophic gastritis; CoAG:</w:t>
      </w:r>
      <w:r w:rsidR="00D132C4">
        <w:rPr>
          <w:rFonts w:ascii="Book Antiqua" w:eastAsia="Calibri" w:hAnsi="Book Antiqua" w:cs="Times New Roman"/>
          <w:kern w:val="0"/>
          <w:sz w:val="24"/>
          <w:szCs w:val="24"/>
          <w:lang w:val="en-GB" w:eastAsia="en-US"/>
        </w:rPr>
        <w:t xml:space="preserve"> </w:t>
      </w:r>
      <w:r w:rsidR="0011105F" w:rsidRPr="003771AE">
        <w:rPr>
          <w:rFonts w:ascii="Book Antiqua" w:eastAsia="Calibri" w:hAnsi="Book Antiqua" w:cs="Times New Roman"/>
          <w:kern w:val="0"/>
          <w:sz w:val="24"/>
          <w:szCs w:val="24"/>
          <w:lang w:val="en-GB" w:eastAsia="en-US"/>
        </w:rPr>
        <w:t>Corpus atrophic gastritis;</w:t>
      </w:r>
      <w:r w:rsidR="00D132C4">
        <w:rPr>
          <w:rFonts w:ascii="Book Antiqua" w:eastAsia="Calibri" w:hAnsi="Book Antiqua" w:cs="Times New Roman"/>
          <w:kern w:val="0"/>
          <w:sz w:val="24"/>
          <w:szCs w:val="24"/>
          <w:lang w:val="en-GB" w:eastAsia="en-US"/>
        </w:rPr>
        <w:t xml:space="preserve"> </w:t>
      </w:r>
      <w:r w:rsidR="0011105F" w:rsidRPr="003771AE">
        <w:rPr>
          <w:rFonts w:ascii="Book Antiqua" w:eastAsia="Calibri" w:hAnsi="Book Antiqua" w:cs="Times New Roman"/>
          <w:kern w:val="0"/>
          <w:sz w:val="24"/>
          <w:szCs w:val="24"/>
          <w:lang w:val="en-GB" w:eastAsia="en-US"/>
        </w:rPr>
        <w:t>ChAG:</w:t>
      </w:r>
      <w:r w:rsidR="00D132C4">
        <w:rPr>
          <w:rFonts w:ascii="Book Antiqua" w:eastAsia="Calibri" w:hAnsi="Book Antiqua" w:cs="Times New Roman"/>
          <w:kern w:val="0"/>
          <w:sz w:val="24"/>
          <w:szCs w:val="24"/>
          <w:lang w:val="en-GB" w:eastAsia="en-US"/>
        </w:rPr>
        <w:t xml:space="preserve"> </w:t>
      </w:r>
      <w:r w:rsidR="0011105F" w:rsidRPr="003771AE">
        <w:rPr>
          <w:rFonts w:ascii="Book Antiqua" w:eastAsia="Calibri" w:hAnsi="Book Antiqua" w:cs="Times New Roman"/>
          <w:kern w:val="0"/>
          <w:sz w:val="24"/>
          <w:szCs w:val="24"/>
          <w:lang w:val="en-GB" w:eastAsia="en-US"/>
        </w:rPr>
        <w:t xml:space="preserve">Chronic atrophic gastritis (the term used in original research); ChG: Chronic gastritis; </w:t>
      </w:r>
      <w:r w:rsidR="0011105F" w:rsidRPr="003771AE">
        <w:rPr>
          <w:rFonts w:ascii="Book Antiqua" w:eastAsia="等线" w:hAnsi="Book Antiqua" w:cs="Times New Roman"/>
          <w:kern w:val="0"/>
          <w:sz w:val="24"/>
          <w:szCs w:val="24"/>
          <w:lang w:val="en-GB" w:eastAsia="en-US"/>
        </w:rPr>
        <w:t xml:space="preserve">DYS: Dysplasia; GC: Gastric cancer; </w:t>
      </w:r>
      <w:r w:rsidR="0011105F" w:rsidRPr="003771AE">
        <w:rPr>
          <w:rFonts w:ascii="Book Antiqua" w:eastAsia="Calibri" w:hAnsi="Book Antiqua" w:cs="Times New Roman"/>
          <w:kern w:val="0"/>
          <w:sz w:val="24"/>
          <w:szCs w:val="24"/>
          <w:lang w:val="en-GB" w:eastAsia="en-US"/>
        </w:rPr>
        <w:t>GI: Granulocytic infiltration; IM: Intestinal metaplasia; LI: Lymphocytic infiltration.</w:t>
      </w:r>
    </w:p>
    <w:sectPr w:rsidR="008D6B30" w:rsidRPr="001856CD" w:rsidSect="0025251E">
      <w:pgSz w:w="16819" w:h="11894" w:orient="landscape"/>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E1876" w14:textId="77777777" w:rsidR="00B75EF5" w:rsidRDefault="00B75EF5" w:rsidP="0011105F">
      <w:r>
        <w:separator/>
      </w:r>
    </w:p>
  </w:endnote>
  <w:endnote w:type="continuationSeparator" w:id="0">
    <w:p w14:paraId="5C7EE9EC" w14:textId="77777777" w:rsidR="00B75EF5" w:rsidRDefault="00B75EF5" w:rsidP="0011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dvTimes">
    <w:altName w:val="Malgun Gothic Semilight"/>
    <w:panose1 w:val="00000000000000000000"/>
    <w:charset w:val="88"/>
    <w:family w:val="auto"/>
    <w:notTrueType/>
    <w:pitch w:val="default"/>
    <w:sig w:usb0="00000001" w:usb1="08080000" w:usb2="00000010" w:usb3="00000000" w:csb0="00100000" w:csb1="00000000"/>
  </w:font>
  <w:font w:name="MyriadPro-Regular">
    <w:altName w:val="Yu Gothic"/>
    <w:panose1 w:val="00000000000000000000"/>
    <w:charset w:val="80"/>
    <w:family w:val="auto"/>
    <w:notTrueType/>
    <w:pitch w:val="default"/>
    <w:sig w:usb0="00000001" w:usb1="08070000" w:usb2="00000010" w:usb3="00000000" w:csb0="00020000" w:csb1="00000000"/>
  </w:font>
  <w:font w:name="FranklinGothic-Book">
    <w:altName w:val="Yu Gothic"/>
    <w:panose1 w:val="00000000000000000000"/>
    <w:charset w:val="80"/>
    <w:family w:val="auto"/>
    <w:notTrueType/>
    <w:pitch w:val="default"/>
    <w:sig w:usb0="00000003" w:usb1="08070000" w:usb2="00000010" w:usb3="00000000" w:csb0="00020001" w:csb1="00000000"/>
  </w:font>
  <w:font w:name="EuclidSymbol">
    <w:altName w:val="Yu Gothic"/>
    <w:panose1 w:val="00000000000000000000"/>
    <w:charset w:val="80"/>
    <w:family w:val="auto"/>
    <w:notTrueType/>
    <w:pitch w:val="default"/>
    <w:sig w:usb0="00000001" w:usb1="08070000" w:usb2="00000010" w:usb3="00000000" w:csb0="00020000" w:csb1="00000000"/>
  </w:font>
  <w:font w:name="LssbwrAdvTT3713a231+20">
    <w:altName w:val="Yu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380911991"/>
      <w:docPartObj>
        <w:docPartGallery w:val="Page Numbers (Bottom of Page)"/>
        <w:docPartUnique/>
      </w:docPartObj>
    </w:sdtPr>
    <w:sdtEndPr>
      <w:rPr>
        <w:rStyle w:val="af"/>
      </w:rPr>
    </w:sdtEndPr>
    <w:sdtContent>
      <w:p w14:paraId="2A828528" w14:textId="77777777" w:rsidR="00F17106" w:rsidRDefault="00F17106" w:rsidP="0025251E">
        <w:pPr>
          <w:pStyle w:val="a5"/>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6C3B0AB9" w14:textId="77777777" w:rsidR="00F17106" w:rsidRDefault="00F1710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Fonts w:ascii="Book Antiqua" w:hAnsi="Book Antiqua"/>
        <w:sz w:val="24"/>
        <w:szCs w:val="24"/>
      </w:rPr>
      <w:id w:val="1556193426"/>
      <w:docPartObj>
        <w:docPartGallery w:val="Page Numbers (Bottom of Page)"/>
        <w:docPartUnique/>
      </w:docPartObj>
    </w:sdtPr>
    <w:sdtEndPr>
      <w:rPr>
        <w:rStyle w:val="af"/>
      </w:rPr>
    </w:sdtEndPr>
    <w:sdtContent>
      <w:p w14:paraId="09EE3A72" w14:textId="3141E323" w:rsidR="00F17106" w:rsidRPr="00F30F4D" w:rsidRDefault="00F17106" w:rsidP="0025251E">
        <w:pPr>
          <w:pStyle w:val="a5"/>
          <w:framePr w:wrap="none" w:vAnchor="text" w:hAnchor="margin" w:xAlign="center" w:y="1"/>
          <w:rPr>
            <w:rStyle w:val="af"/>
            <w:rFonts w:ascii="Book Antiqua" w:hAnsi="Book Antiqua"/>
            <w:sz w:val="24"/>
            <w:szCs w:val="24"/>
          </w:rPr>
        </w:pPr>
        <w:r w:rsidRPr="00F30F4D">
          <w:rPr>
            <w:rStyle w:val="af"/>
            <w:rFonts w:ascii="Book Antiqua" w:hAnsi="Book Antiqua"/>
            <w:sz w:val="24"/>
            <w:szCs w:val="24"/>
          </w:rPr>
          <w:fldChar w:fldCharType="begin"/>
        </w:r>
        <w:r w:rsidRPr="00F30F4D">
          <w:rPr>
            <w:rStyle w:val="af"/>
            <w:rFonts w:ascii="Book Antiqua" w:hAnsi="Book Antiqua"/>
            <w:sz w:val="24"/>
            <w:szCs w:val="24"/>
          </w:rPr>
          <w:instrText xml:space="preserve"> PAGE </w:instrText>
        </w:r>
        <w:r w:rsidRPr="00F30F4D">
          <w:rPr>
            <w:rStyle w:val="af"/>
            <w:rFonts w:ascii="Book Antiqua" w:hAnsi="Book Antiqua"/>
            <w:sz w:val="24"/>
            <w:szCs w:val="24"/>
          </w:rPr>
          <w:fldChar w:fldCharType="separate"/>
        </w:r>
        <w:r w:rsidR="001C0E3E">
          <w:rPr>
            <w:rStyle w:val="af"/>
            <w:rFonts w:ascii="Book Antiqua" w:hAnsi="Book Antiqua"/>
            <w:noProof/>
            <w:sz w:val="24"/>
            <w:szCs w:val="24"/>
          </w:rPr>
          <w:t>52</w:t>
        </w:r>
        <w:r w:rsidRPr="00F30F4D">
          <w:rPr>
            <w:rStyle w:val="af"/>
            <w:rFonts w:ascii="Book Antiqua" w:hAnsi="Book Antiqua"/>
            <w:sz w:val="24"/>
            <w:szCs w:val="24"/>
          </w:rPr>
          <w:fldChar w:fldCharType="end"/>
        </w:r>
      </w:p>
    </w:sdtContent>
  </w:sdt>
  <w:p w14:paraId="1344ED8D" w14:textId="77777777" w:rsidR="00F17106" w:rsidRDefault="00F1710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6D6E6" w14:textId="77777777" w:rsidR="00B75EF5" w:rsidRDefault="00B75EF5" w:rsidP="0011105F">
      <w:r>
        <w:separator/>
      </w:r>
    </w:p>
  </w:footnote>
  <w:footnote w:type="continuationSeparator" w:id="0">
    <w:p w14:paraId="6591F546" w14:textId="77777777" w:rsidR="00B75EF5" w:rsidRDefault="00B75EF5" w:rsidP="001110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33D7C"/>
    <w:multiLevelType w:val="hybridMultilevel"/>
    <w:tmpl w:val="70D06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665CDF"/>
    <w:multiLevelType w:val="hybridMultilevel"/>
    <w:tmpl w:val="912CD02A"/>
    <w:lvl w:ilvl="0" w:tplc="C5AE3FE4">
      <w:start w:val="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D374F0"/>
    <w:multiLevelType w:val="hybridMultilevel"/>
    <w:tmpl w:val="DF14C7B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64892AD5"/>
    <w:multiLevelType w:val="hybridMultilevel"/>
    <w:tmpl w:val="C66E1F0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A7C6F02"/>
    <w:multiLevelType w:val="hybridMultilevel"/>
    <w:tmpl w:val="CE26180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D17"/>
    <w:rsid w:val="000537A7"/>
    <w:rsid w:val="0006137B"/>
    <w:rsid w:val="000A540D"/>
    <w:rsid w:val="000B20FE"/>
    <w:rsid w:val="000B289B"/>
    <w:rsid w:val="000D3719"/>
    <w:rsid w:val="000D6605"/>
    <w:rsid w:val="000E1288"/>
    <w:rsid w:val="001066BC"/>
    <w:rsid w:val="0011105F"/>
    <w:rsid w:val="00121C79"/>
    <w:rsid w:val="001241F2"/>
    <w:rsid w:val="00131D20"/>
    <w:rsid w:val="001404E1"/>
    <w:rsid w:val="001517A9"/>
    <w:rsid w:val="00154867"/>
    <w:rsid w:val="00164D5A"/>
    <w:rsid w:val="00172D88"/>
    <w:rsid w:val="001856CD"/>
    <w:rsid w:val="001B1111"/>
    <w:rsid w:val="001C0E3E"/>
    <w:rsid w:val="001E36F9"/>
    <w:rsid w:val="001E643A"/>
    <w:rsid w:val="001F4D17"/>
    <w:rsid w:val="001F65DF"/>
    <w:rsid w:val="0021678C"/>
    <w:rsid w:val="00247DAE"/>
    <w:rsid w:val="002504D1"/>
    <w:rsid w:val="0025251E"/>
    <w:rsid w:val="00261B7A"/>
    <w:rsid w:val="00276B2F"/>
    <w:rsid w:val="002B28DB"/>
    <w:rsid w:val="002B5DB2"/>
    <w:rsid w:val="002E0CC7"/>
    <w:rsid w:val="002E3889"/>
    <w:rsid w:val="002E66ED"/>
    <w:rsid w:val="002F0FBA"/>
    <w:rsid w:val="002F3B32"/>
    <w:rsid w:val="002F7F27"/>
    <w:rsid w:val="0032708A"/>
    <w:rsid w:val="00330264"/>
    <w:rsid w:val="003313FD"/>
    <w:rsid w:val="00367B29"/>
    <w:rsid w:val="0037247D"/>
    <w:rsid w:val="003771AE"/>
    <w:rsid w:val="0038015D"/>
    <w:rsid w:val="003A49DE"/>
    <w:rsid w:val="003D0660"/>
    <w:rsid w:val="003D4D5F"/>
    <w:rsid w:val="003E1EA8"/>
    <w:rsid w:val="003F0BA8"/>
    <w:rsid w:val="00404901"/>
    <w:rsid w:val="00414652"/>
    <w:rsid w:val="00415C2C"/>
    <w:rsid w:val="004205F3"/>
    <w:rsid w:val="00453628"/>
    <w:rsid w:val="00467779"/>
    <w:rsid w:val="004B2865"/>
    <w:rsid w:val="004D4D34"/>
    <w:rsid w:val="00501545"/>
    <w:rsid w:val="00504052"/>
    <w:rsid w:val="005234A1"/>
    <w:rsid w:val="005524FD"/>
    <w:rsid w:val="00575AD5"/>
    <w:rsid w:val="005949E1"/>
    <w:rsid w:val="005A437C"/>
    <w:rsid w:val="005B0ABA"/>
    <w:rsid w:val="005B256A"/>
    <w:rsid w:val="005E7E90"/>
    <w:rsid w:val="005F635F"/>
    <w:rsid w:val="00637AC7"/>
    <w:rsid w:val="00650F06"/>
    <w:rsid w:val="00666E56"/>
    <w:rsid w:val="006D7B03"/>
    <w:rsid w:val="006F0122"/>
    <w:rsid w:val="0074033F"/>
    <w:rsid w:val="00784FFA"/>
    <w:rsid w:val="0079081E"/>
    <w:rsid w:val="007933B2"/>
    <w:rsid w:val="007A709C"/>
    <w:rsid w:val="007E1E9C"/>
    <w:rsid w:val="007E518E"/>
    <w:rsid w:val="007F2D41"/>
    <w:rsid w:val="008068AB"/>
    <w:rsid w:val="00823C5B"/>
    <w:rsid w:val="00840AEE"/>
    <w:rsid w:val="008520BC"/>
    <w:rsid w:val="00855110"/>
    <w:rsid w:val="00856C7A"/>
    <w:rsid w:val="00861420"/>
    <w:rsid w:val="0087470D"/>
    <w:rsid w:val="008A075F"/>
    <w:rsid w:val="008A2D6B"/>
    <w:rsid w:val="008C3187"/>
    <w:rsid w:val="008D16BE"/>
    <w:rsid w:val="008D6B30"/>
    <w:rsid w:val="00910199"/>
    <w:rsid w:val="0094067D"/>
    <w:rsid w:val="0094135F"/>
    <w:rsid w:val="0095317F"/>
    <w:rsid w:val="0096093D"/>
    <w:rsid w:val="009B48F3"/>
    <w:rsid w:val="009B4C14"/>
    <w:rsid w:val="009D2387"/>
    <w:rsid w:val="009E3B92"/>
    <w:rsid w:val="009E796B"/>
    <w:rsid w:val="00A01BF9"/>
    <w:rsid w:val="00A319CC"/>
    <w:rsid w:val="00A4666B"/>
    <w:rsid w:val="00A554BD"/>
    <w:rsid w:val="00A703A8"/>
    <w:rsid w:val="00AD3E90"/>
    <w:rsid w:val="00AF3452"/>
    <w:rsid w:val="00B03D40"/>
    <w:rsid w:val="00B10ED4"/>
    <w:rsid w:val="00B13154"/>
    <w:rsid w:val="00B352EB"/>
    <w:rsid w:val="00B42C97"/>
    <w:rsid w:val="00B67085"/>
    <w:rsid w:val="00B704A8"/>
    <w:rsid w:val="00B75EF5"/>
    <w:rsid w:val="00B9646E"/>
    <w:rsid w:val="00BA78FE"/>
    <w:rsid w:val="00BB5492"/>
    <w:rsid w:val="00BC1575"/>
    <w:rsid w:val="00BC1B6F"/>
    <w:rsid w:val="00BC282A"/>
    <w:rsid w:val="00BD2EC2"/>
    <w:rsid w:val="00BD539D"/>
    <w:rsid w:val="00C10F53"/>
    <w:rsid w:val="00C22930"/>
    <w:rsid w:val="00C32302"/>
    <w:rsid w:val="00C3266A"/>
    <w:rsid w:val="00C522F1"/>
    <w:rsid w:val="00C655A5"/>
    <w:rsid w:val="00C74804"/>
    <w:rsid w:val="00C93408"/>
    <w:rsid w:val="00CA3894"/>
    <w:rsid w:val="00CB6278"/>
    <w:rsid w:val="00CD01DF"/>
    <w:rsid w:val="00CE0067"/>
    <w:rsid w:val="00CE3D1A"/>
    <w:rsid w:val="00D115B2"/>
    <w:rsid w:val="00D132C4"/>
    <w:rsid w:val="00D267A2"/>
    <w:rsid w:val="00D70485"/>
    <w:rsid w:val="00D86408"/>
    <w:rsid w:val="00D96468"/>
    <w:rsid w:val="00DB542E"/>
    <w:rsid w:val="00DD52A3"/>
    <w:rsid w:val="00DE32AE"/>
    <w:rsid w:val="00DE3EE2"/>
    <w:rsid w:val="00E441FA"/>
    <w:rsid w:val="00E71D51"/>
    <w:rsid w:val="00EE3FCF"/>
    <w:rsid w:val="00EE43B4"/>
    <w:rsid w:val="00F17106"/>
    <w:rsid w:val="00F22992"/>
    <w:rsid w:val="00F47A23"/>
    <w:rsid w:val="00F53882"/>
    <w:rsid w:val="00F60828"/>
    <w:rsid w:val="00F85F1D"/>
    <w:rsid w:val="00FA15B8"/>
    <w:rsid w:val="00FA5004"/>
    <w:rsid w:val="00FB5959"/>
    <w:rsid w:val="00FC0EA8"/>
    <w:rsid w:val="00FC1415"/>
    <w:rsid w:val="00FF2601"/>
  </w:rsids>
  <m:mathPr>
    <m:mathFont m:val="Cambria Math"/>
    <m:brkBin m:val="before"/>
    <m:brkBinSub m:val="--"/>
    <m:smallFrac/>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8E39B8"/>
  <w15:docId w15:val="{36690ED1-F53C-49F3-B85D-D47F0A52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78C"/>
    <w:pPr>
      <w:widowControl w:val="0"/>
      <w:jc w:val="both"/>
    </w:pPr>
  </w:style>
  <w:style w:type="paragraph" w:styleId="1">
    <w:name w:val="heading 1"/>
    <w:basedOn w:val="a"/>
    <w:link w:val="10"/>
    <w:uiPriority w:val="9"/>
    <w:qFormat/>
    <w:rsid w:val="00261B7A"/>
    <w:pPr>
      <w:widowControl/>
      <w:spacing w:before="100" w:beforeAutospacing="1" w:after="100" w:afterAutospacing="1"/>
      <w:jc w:val="left"/>
      <w:outlineLvl w:val="0"/>
    </w:pPr>
    <w:rPr>
      <w:rFonts w:ascii="Times New Roman" w:eastAsia="Times New Roman" w:hAnsi="Times New Roman" w:cs="Times New Roman"/>
      <w:b/>
      <w:bCs/>
      <w:kern w:val="36"/>
      <w:sz w:val="48"/>
      <w:szCs w:val="48"/>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05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1105F"/>
    <w:rPr>
      <w:sz w:val="18"/>
      <w:szCs w:val="18"/>
    </w:rPr>
  </w:style>
  <w:style w:type="paragraph" w:styleId="a5">
    <w:name w:val="footer"/>
    <w:basedOn w:val="a"/>
    <w:link w:val="a6"/>
    <w:uiPriority w:val="99"/>
    <w:unhideWhenUsed/>
    <w:rsid w:val="0011105F"/>
    <w:pPr>
      <w:tabs>
        <w:tab w:val="center" w:pos="4153"/>
        <w:tab w:val="right" w:pos="8306"/>
      </w:tabs>
      <w:snapToGrid w:val="0"/>
      <w:jc w:val="left"/>
    </w:pPr>
    <w:rPr>
      <w:sz w:val="18"/>
      <w:szCs w:val="18"/>
    </w:rPr>
  </w:style>
  <w:style w:type="character" w:customStyle="1" w:styleId="a6">
    <w:name w:val="页脚 字符"/>
    <w:basedOn w:val="a0"/>
    <w:link w:val="a5"/>
    <w:uiPriority w:val="99"/>
    <w:rsid w:val="0011105F"/>
    <w:rPr>
      <w:sz w:val="18"/>
      <w:szCs w:val="18"/>
    </w:rPr>
  </w:style>
  <w:style w:type="numbering" w:customStyle="1" w:styleId="11">
    <w:name w:val="无列表1"/>
    <w:next w:val="a2"/>
    <w:uiPriority w:val="99"/>
    <w:semiHidden/>
    <w:unhideWhenUsed/>
    <w:rsid w:val="0011105F"/>
  </w:style>
  <w:style w:type="paragraph" w:styleId="a7">
    <w:name w:val="List Paragraph"/>
    <w:basedOn w:val="a"/>
    <w:uiPriority w:val="34"/>
    <w:qFormat/>
    <w:rsid w:val="0011105F"/>
    <w:pPr>
      <w:widowControl/>
      <w:spacing w:after="160" w:line="259" w:lineRule="auto"/>
      <w:ind w:left="720"/>
      <w:contextualSpacing/>
      <w:jc w:val="left"/>
    </w:pPr>
    <w:rPr>
      <w:kern w:val="0"/>
      <w:sz w:val="22"/>
      <w:lang w:val="en-GB" w:eastAsia="en-US"/>
    </w:rPr>
  </w:style>
  <w:style w:type="character" w:customStyle="1" w:styleId="12">
    <w:name w:val="超链接1"/>
    <w:basedOn w:val="a0"/>
    <w:uiPriority w:val="99"/>
    <w:unhideWhenUsed/>
    <w:rsid w:val="0011105F"/>
    <w:rPr>
      <w:color w:val="0563C1"/>
      <w:u w:val="single"/>
    </w:rPr>
  </w:style>
  <w:style w:type="character" w:styleId="a8">
    <w:name w:val="annotation reference"/>
    <w:basedOn w:val="a0"/>
    <w:unhideWhenUsed/>
    <w:rsid w:val="0011105F"/>
    <w:rPr>
      <w:sz w:val="16"/>
      <w:szCs w:val="16"/>
    </w:rPr>
  </w:style>
  <w:style w:type="paragraph" w:styleId="a9">
    <w:name w:val="annotation text"/>
    <w:basedOn w:val="a"/>
    <w:link w:val="aa"/>
    <w:uiPriority w:val="99"/>
    <w:unhideWhenUsed/>
    <w:qFormat/>
    <w:rsid w:val="0011105F"/>
    <w:pPr>
      <w:widowControl/>
      <w:spacing w:after="160"/>
      <w:jc w:val="left"/>
    </w:pPr>
    <w:rPr>
      <w:kern w:val="0"/>
      <w:sz w:val="20"/>
      <w:szCs w:val="20"/>
      <w:lang w:val="en-GB" w:eastAsia="en-US"/>
    </w:rPr>
  </w:style>
  <w:style w:type="character" w:customStyle="1" w:styleId="aa">
    <w:name w:val="批注文字 字符"/>
    <w:basedOn w:val="a0"/>
    <w:link w:val="a9"/>
    <w:qFormat/>
    <w:rsid w:val="0011105F"/>
    <w:rPr>
      <w:kern w:val="0"/>
      <w:sz w:val="20"/>
      <w:szCs w:val="20"/>
      <w:lang w:val="en-GB" w:eastAsia="en-US"/>
    </w:rPr>
  </w:style>
  <w:style w:type="paragraph" w:styleId="ab">
    <w:name w:val="Balloon Text"/>
    <w:basedOn w:val="a"/>
    <w:link w:val="ac"/>
    <w:uiPriority w:val="99"/>
    <w:semiHidden/>
    <w:unhideWhenUsed/>
    <w:rsid w:val="0011105F"/>
    <w:pPr>
      <w:widowControl/>
      <w:jc w:val="left"/>
    </w:pPr>
    <w:rPr>
      <w:rFonts w:ascii="Segoe UI" w:hAnsi="Segoe UI" w:cs="Segoe UI"/>
      <w:kern w:val="0"/>
      <w:sz w:val="18"/>
      <w:szCs w:val="18"/>
      <w:lang w:val="en-GB" w:eastAsia="en-US"/>
    </w:rPr>
  </w:style>
  <w:style w:type="character" w:customStyle="1" w:styleId="ac">
    <w:name w:val="批注框文本 字符"/>
    <w:basedOn w:val="a0"/>
    <w:link w:val="ab"/>
    <w:uiPriority w:val="99"/>
    <w:semiHidden/>
    <w:rsid w:val="0011105F"/>
    <w:rPr>
      <w:rFonts w:ascii="Segoe UI" w:hAnsi="Segoe UI" w:cs="Segoe UI"/>
      <w:kern w:val="0"/>
      <w:sz w:val="18"/>
      <w:szCs w:val="18"/>
      <w:lang w:val="en-GB" w:eastAsia="en-US"/>
    </w:rPr>
  </w:style>
  <w:style w:type="paragraph" w:styleId="ad">
    <w:name w:val="annotation subject"/>
    <w:basedOn w:val="a9"/>
    <w:next w:val="a9"/>
    <w:link w:val="ae"/>
    <w:uiPriority w:val="99"/>
    <w:semiHidden/>
    <w:unhideWhenUsed/>
    <w:rsid w:val="0011105F"/>
    <w:rPr>
      <w:b/>
      <w:bCs/>
    </w:rPr>
  </w:style>
  <w:style w:type="character" w:customStyle="1" w:styleId="ae">
    <w:name w:val="批注主题 字符"/>
    <w:basedOn w:val="aa"/>
    <w:link w:val="ad"/>
    <w:uiPriority w:val="99"/>
    <w:semiHidden/>
    <w:rsid w:val="0011105F"/>
    <w:rPr>
      <w:b/>
      <w:bCs/>
      <w:kern w:val="0"/>
      <w:sz w:val="20"/>
      <w:szCs w:val="20"/>
      <w:lang w:val="en-GB" w:eastAsia="en-US"/>
    </w:rPr>
  </w:style>
  <w:style w:type="paragraph" w:customStyle="1" w:styleId="CorpoA">
    <w:name w:val="Corpo A"/>
    <w:rsid w:val="0011105F"/>
    <w:pPr>
      <w:pBdr>
        <w:top w:val="nil"/>
        <w:left w:val="nil"/>
        <w:bottom w:val="nil"/>
        <w:right w:val="nil"/>
        <w:between w:val="nil"/>
        <w:bar w:val="nil"/>
      </w:pBdr>
      <w:spacing w:after="160" w:line="259" w:lineRule="auto"/>
      <w:ind w:firstLine="709"/>
      <w:jc w:val="both"/>
    </w:pPr>
    <w:rPr>
      <w:rFonts w:ascii="Calibri" w:eastAsia="Arial Unicode MS" w:hAnsi="Calibri" w:cs="Arial Unicode MS"/>
      <w:color w:val="000000"/>
      <w:kern w:val="0"/>
      <w:sz w:val="22"/>
      <w:u w:color="000000"/>
      <w:bdr w:val="nil"/>
      <w:lang w:val="de-DE" w:eastAsia="pt-BR"/>
    </w:rPr>
  </w:style>
  <w:style w:type="character" w:styleId="af">
    <w:name w:val="page number"/>
    <w:basedOn w:val="a0"/>
    <w:uiPriority w:val="99"/>
    <w:semiHidden/>
    <w:unhideWhenUsed/>
    <w:rsid w:val="0011105F"/>
  </w:style>
  <w:style w:type="paragraph" w:styleId="af0">
    <w:name w:val="Revision"/>
    <w:hidden/>
    <w:uiPriority w:val="99"/>
    <w:semiHidden/>
    <w:rsid w:val="0011105F"/>
    <w:rPr>
      <w:kern w:val="0"/>
      <w:sz w:val="22"/>
      <w:lang w:val="en-GB" w:eastAsia="en-US"/>
    </w:rPr>
  </w:style>
  <w:style w:type="character" w:styleId="af1">
    <w:name w:val="Hyperlink"/>
    <w:basedOn w:val="a0"/>
    <w:uiPriority w:val="99"/>
    <w:unhideWhenUsed/>
    <w:rsid w:val="0011105F"/>
    <w:rPr>
      <w:color w:val="0563C1" w:themeColor="hyperlink"/>
      <w:u w:val="single"/>
    </w:rPr>
  </w:style>
  <w:style w:type="paragraph" w:customStyle="1" w:styleId="13">
    <w:name w:val="正文1"/>
    <w:uiPriority w:val="99"/>
    <w:rsid w:val="00CE3D1A"/>
    <w:pPr>
      <w:spacing w:line="276" w:lineRule="auto"/>
    </w:pPr>
    <w:rPr>
      <w:rFonts w:ascii="Arial" w:eastAsia="宋体" w:hAnsi="Arial" w:cs="Arial"/>
      <w:color w:val="000000"/>
      <w:kern w:val="0"/>
      <w:sz w:val="22"/>
      <w:szCs w:val="20"/>
      <w:lang w:val="pl-PL" w:eastAsia="pl-PL"/>
    </w:rPr>
  </w:style>
  <w:style w:type="character" w:customStyle="1" w:styleId="14">
    <w:name w:val="批注文字 字符1"/>
    <w:basedOn w:val="a0"/>
    <w:uiPriority w:val="99"/>
    <w:qFormat/>
    <w:rsid w:val="00CE3D1A"/>
    <w:rPr>
      <w:rFonts w:ascii="Calibri" w:eastAsia="宋体" w:hAnsi="Calibri" w:cs="Times New Roman"/>
      <w:kern w:val="0"/>
      <w:sz w:val="22"/>
      <w:lang w:val="en-GB" w:eastAsia="en-US"/>
    </w:rPr>
  </w:style>
  <w:style w:type="character" w:customStyle="1" w:styleId="10">
    <w:name w:val="标题 1 字符"/>
    <w:basedOn w:val="a0"/>
    <w:link w:val="1"/>
    <w:uiPriority w:val="9"/>
    <w:rsid w:val="00261B7A"/>
    <w:rPr>
      <w:rFonts w:ascii="Times New Roman" w:eastAsia="Times New Roman" w:hAnsi="Times New Roman" w:cs="Times New Roman"/>
      <w:b/>
      <w:bCs/>
      <w:kern w:val="36"/>
      <w:sz w:val="48"/>
      <w:szCs w:val="48"/>
      <w:lang w:val="ro-RO" w:eastAsia="ro-RO"/>
    </w:rPr>
  </w:style>
  <w:style w:type="character" w:customStyle="1" w:styleId="highlight">
    <w:name w:val="highlight"/>
    <w:basedOn w:val="a0"/>
    <w:rsid w:val="00261B7A"/>
  </w:style>
  <w:style w:type="character" w:customStyle="1" w:styleId="jrnl">
    <w:name w:val="jrnl"/>
    <w:basedOn w:val="a0"/>
    <w:rsid w:val="00261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174066">
      <w:bodyDiv w:val="1"/>
      <w:marLeft w:val="0"/>
      <w:marRight w:val="0"/>
      <w:marTop w:val="0"/>
      <w:marBottom w:val="0"/>
      <w:divBdr>
        <w:top w:val="none" w:sz="0" w:space="0" w:color="auto"/>
        <w:left w:val="none" w:sz="0" w:space="0" w:color="auto"/>
        <w:bottom w:val="none" w:sz="0" w:space="0" w:color="auto"/>
        <w:right w:val="none" w:sz="0" w:space="0" w:color="auto"/>
      </w:divBdr>
    </w:div>
    <w:div w:id="508327099">
      <w:bodyDiv w:val="1"/>
      <w:marLeft w:val="0"/>
      <w:marRight w:val="0"/>
      <w:marTop w:val="0"/>
      <w:marBottom w:val="0"/>
      <w:divBdr>
        <w:top w:val="none" w:sz="0" w:space="0" w:color="auto"/>
        <w:left w:val="none" w:sz="0" w:space="0" w:color="auto"/>
        <w:bottom w:val="none" w:sz="0" w:space="0" w:color="auto"/>
        <w:right w:val="none" w:sz="0" w:space="0" w:color="auto"/>
      </w:divBdr>
    </w:div>
    <w:div w:id="846478070">
      <w:bodyDiv w:val="1"/>
      <w:marLeft w:val="0"/>
      <w:marRight w:val="0"/>
      <w:marTop w:val="0"/>
      <w:marBottom w:val="0"/>
      <w:divBdr>
        <w:top w:val="none" w:sz="0" w:space="0" w:color="auto"/>
        <w:left w:val="none" w:sz="0" w:space="0" w:color="auto"/>
        <w:bottom w:val="none" w:sz="0" w:space="0" w:color="auto"/>
        <w:right w:val="none" w:sz="0" w:space="0" w:color="auto"/>
      </w:divBdr>
    </w:div>
    <w:div w:id="1286162089">
      <w:bodyDiv w:val="1"/>
      <w:marLeft w:val="0"/>
      <w:marRight w:val="0"/>
      <w:marTop w:val="0"/>
      <w:marBottom w:val="0"/>
      <w:divBdr>
        <w:top w:val="none" w:sz="0" w:space="0" w:color="auto"/>
        <w:left w:val="none" w:sz="0" w:space="0" w:color="auto"/>
        <w:bottom w:val="none" w:sz="0" w:space="0" w:color="auto"/>
        <w:right w:val="none" w:sz="0" w:space="0" w:color="auto"/>
      </w:divBdr>
    </w:div>
    <w:div w:id="1801728397">
      <w:bodyDiv w:val="1"/>
      <w:marLeft w:val="0"/>
      <w:marRight w:val="0"/>
      <w:marTop w:val="0"/>
      <w:marBottom w:val="0"/>
      <w:divBdr>
        <w:top w:val="none" w:sz="0" w:space="0" w:color="auto"/>
        <w:left w:val="none" w:sz="0" w:space="0" w:color="auto"/>
        <w:bottom w:val="none" w:sz="0" w:space="0" w:color="auto"/>
        <w:right w:val="none" w:sz="0" w:space="0" w:color="auto"/>
      </w:divBdr>
    </w:div>
    <w:div w:id="1865901586">
      <w:bodyDiv w:val="1"/>
      <w:marLeft w:val="0"/>
      <w:marRight w:val="0"/>
      <w:marTop w:val="0"/>
      <w:marBottom w:val="0"/>
      <w:divBdr>
        <w:top w:val="none" w:sz="0" w:space="0" w:color="auto"/>
        <w:left w:val="none" w:sz="0" w:space="0" w:color="auto"/>
        <w:bottom w:val="none" w:sz="0" w:space="0" w:color="auto"/>
        <w:right w:val="none" w:sz="0" w:space="0" w:color="auto"/>
      </w:divBdr>
    </w:div>
    <w:div w:id="208833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ancu@umfcluj.r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9F101-06B0-44E6-AD57-0B9C9451D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13797</Words>
  <Characters>78644</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jiaping yan</dc:creator>
  <cp:lastModifiedBy>HP</cp:lastModifiedBy>
  <cp:revision>2</cp:revision>
  <dcterms:created xsi:type="dcterms:W3CDTF">2019-07-19T12:21:00Z</dcterms:created>
  <dcterms:modified xsi:type="dcterms:W3CDTF">2019-07-19T12:21:00Z</dcterms:modified>
</cp:coreProperties>
</file>