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755" w:rsidRPr="00834EFE" w:rsidRDefault="00095755"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6410B4">
        <w:rPr>
          <w:rFonts w:ascii="Book Antiqua" w:eastAsia="Times New Roman" w:hAnsi="Book Antiqua" w:cs="Times New Roman"/>
          <w:b/>
          <w:color w:val="000000" w:themeColor="text1"/>
          <w:sz w:val="24"/>
          <w:szCs w:val="24"/>
        </w:rPr>
        <w:t>Name of Journal</w:t>
      </w:r>
      <w:r w:rsidRPr="00834EFE">
        <w:rPr>
          <w:rFonts w:ascii="Book Antiqua" w:eastAsia="Times New Roman" w:hAnsi="Book Antiqua" w:cs="Times New Roman"/>
          <w:b/>
          <w:color w:val="000000" w:themeColor="text1"/>
          <w:sz w:val="24"/>
          <w:szCs w:val="24"/>
        </w:rPr>
        <w:t xml:space="preserve">: </w:t>
      </w:r>
      <w:r w:rsidRPr="00834EFE">
        <w:rPr>
          <w:rFonts w:ascii="Book Antiqua" w:eastAsia="Times New Roman" w:hAnsi="Book Antiqua" w:cs="Times New Roman"/>
          <w:b/>
          <w:i/>
          <w:color w:val="000000" w:themeColor="text1"/>
          <w:sz w:val="24"/>
          <w:szCs w:val="24"/>
        </w:rPr>
        <w:t>World Journal of Gastroenterology</w:t>
      </w:r>
    </w:p>
    <w:p w:rsidR="000177C2" w:rsidRPr="00834EFE" w:rsidRDefault="00F934F0" w:rsidP="006410B4">
      <w:pPr>
        <w:adjustRightInd w:val="0"/>
        <w:snapToGrid w:val="0"/>
        <w:spacing w:after="0" w:line="360" w:lineRule="auto"/>
        <w:jc w:val="both"/>
        <w:rPr>
          <w:rFonts w:ascii="Book Antiqua" w:eastAsia="Times New Roman" w:hAnsi="Book Antiqua" w:cs="Times New Roman"/>
          <w:color w:val="000000" w:themeColor="text1"/>
          <w:sz w:val="24"/>
          <w:szCs w:val="24"/>
        </w:rPr>
      </w:pPr>
      <w:bookmarkStart w:id="0" w:name="OLE_LINK485"/>
      <w:bookmarkStart w:id="1" w:name="OLE_LINK486"/>
      <w:bookmarkStart w:id="2" w:name="OLE_LINK661"/>
      <w:bookmarkStart w:id="3" w:name="OLE_LINK768"/>
      <w:bookmarkStart w:id="4" w:name="OLE_LINK499"/>
      <w:bookmarkStart w:id="5" w:name="OLE_LINK437"/>
      <w:r w:rsidRPr="00834EFE">
        <w:rPr>
          <w:rFonts w:ascii="Book Antiqua" w:hAnsi="Book Antiqua" w:cs="Times New Roman"/>
          <w:b/>
          <w:color w:val="000000" w:themeColor="text1"/>
          <w:sz w:val="24"/>
          <w:szCs w:val="24"/>
          <w:highlight w:val="white"/>
          <w:lang w:eastAsia="zh-CN"/>
        </w:rPr>
        <w:t>Manuscript NO:</w:t>
      </w:r>
      <w:bookmarkEnd w:id="0"/>
      <w:bookmarkEnd w:id="1"/>
      <w:bookmarkEnd w:id="2"/>
      <w:bookmarkEnd w:id="3"/>
      <w:bookmarkEnd w:id="4"/>
      <w:bookmarkEnd w:id="5"/>
      <w:r w:rsidR="00F2624B" w:rsidRPr="00834EFE">
        <w:rPr>
          <w:rFonts w:ascii="Book Antiqua" w:hAnsi="Book Antiqua" w:cs="Times New Roman"/>
          <w:b/>
          <w:color w:val="000000" w:themeColor="text1"/>
          <w:sz w:val="24"/>
          <w:szCs w:val="24"/>
          <w:lang w:eastAsia="zh-CN"/>
        </w:rPr>
        <w:t xml:space="preserve"> 47730</w:t>
      </w:r>
    </w:p>
    <w:p w:rsidR="00095755" w:rsidRPr="00834EFE" w:rsidRDefault="00095755"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color w:val="000000" w:themeColor="text1"/>
          <w:sz w:val="24"/>
          <w:szCs w:val="24"/>
        </w:rPr>
        <w:t xml:space="preserve">Manuscript </w:t>
      </w:r>
      <w:r w:rsidR="00834EFE">
        <w:rPr>
          <w:rFonts w:ascii="Book Antiqua" w:eastAsia="Times New Roman" w:hAnsi="Book Antiqua" w:cs="Times New Roman"/>
          <w:b/>
          <w:color w:val="000000" w:themeColor="text1"/>
          <w:sz w:val="24"/>
          <w:szCs w:val="24"/>
        </w:rPr>
        <w:t>T</w:t>
      </w:r>
      <w:r w:rsidRPr="006410B4">
        <w:rPr>
          <w:rFonts w:ascii="Book Antiqua" w:eastAsia="Times New Roman" w:hAnsi="Book Antiqua" w:cs="Times New Roman"/>
          <w:b/>
          <w:color w:val="000000" w:themeColor="text1"/>
          <w:sz w:val="24"/>
          <w:szCs w:val="24"/>
        </w:rPr>
        <w:t>ype</w:t>
      </w:r>
      <w:r w:rsidRPr="00834EFE">
        <w:rPr>
          <w:rFonts w:ascii="Book Antiqua" w:eastAsia="Times New Roman" w:hAnsi="Book Antiqua" w:cs="Times New Roman"/>
          <w:b/>
          <w:color w:val="000000" w:themeColor="text1"/>
          <w:sz w:val="24"/>
          <w:szCs w:val="24"/>
        </w:rPr>
        <w:t>:</w:t>
      </w:r>
      <w:r w:rsidRPr="006410B4">
        <w:rPr>
          <w:rFonts w:ascii="Book Antiqua" w:eastAsia="Times New Roman" w:hAnsi="Book Antiqua" w:cs="Times New Roman"/>
          <w:color w:val="000000" w:themeColor="text1"/>
          <w:sz w:val="24"/>
          <w:szCs w:val="24"/>
        </w:rPr>
        <w:t xml:space="preserve"> </w:t>
      </w:r>
      <w:r w:rsidR="00834EFE" w:rsidRPr="00834EFE">
        <w:rPr>
          <w:rFonts w:ascii="Book Antiqua" w:eastAsia="Times New Roman" w:hAnsi="Book Antiqua" w:cs="Times New Roman"/>
          <w:b/>
          <w:color w:val="000000" w:themeColor="text1"/>
          <w:sz w:val="24"/>
          <w:szCs w:val="24"/>
        </w:rPr>
        <w:t>ORIGINAL ARTICLE</w:t>
      </w:r>
    </w:p>
    <w:p w:rsidR="000177C2" w:rsidRDefault="000177C2"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834EFE" w:rsidRPr="00834EFE" w:rsidRDefault="00834EFE"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834EFE">
        <w:rPr>
          <w:rFonts w:ascii="Book Antiqua" w:eastAsia="Times New Roman" w:hAnsi="Book Antiqua" w:cs="Times New Roman"/>
          <w:b/>
          <w:i/>
          <w:color w:val="000000" w:themeColor="text1"/>
          <w:sz w:val="24"/>
          <w:szCs w:val="24"/>
        </w:rPr>
        <w:t>Case Control Study</w:t>
      </w:r>
    </w:p>
    <w:p w:rsidR="00C42FE6" w:rsidRPr="006410B4" w:rsidRDefault="002248FB"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color w:val="000000" w:themeColor="text1"/>
          <w:sz w:val="24"/>
          <w:szCs w:val="24"/>
        </w:rPr>
        <w:t xml:space="preserve">Plasma </w:t>
      </w:r>
      <w:proofErr w:type="spellStart"/>
      <w:r w:rsidRPr="006410B4">
        <w:rPr>
          <w:rFonts w:ascii="Book Antiqua" w:eastAsia="Times New Roman" w:hAnsi="Book Antiqua" w:cs="Times New Roman"/>
          <w:b/>
          <w:color w:val="000000" w:themeColor="text1"/>
          <w:sz w:val="24"/>
          <w:szCs w:val="24"/>
        </w:rPr>
        <w:t>Nogo</w:t>
      </w:r>
      <w:proofErr w:type="spellEnd"/>
      <w:r w:rsidRPr="006410B4">
        <w:rPr>
          <w:rFonts w:ascii="Book Antiqua" w:eastAsia="Times New Roman" w:hAnsi="Book Antiqua" w:cs="Times New Roman"/>
          <w:b/>
          <w:color w:val="000000" w:themeColor="text1"/>
          <w:sz w:val="24"/>
          <w:szCs w:val="24"/>
        </w:rPr>
        <w:t>-A and</w:t>
      </w:r>
      <w:r w:rsidR="00834EFE" w:rsidRPr="006410B4">
        <w:rPr>
          <w:rFonts w:ascii="Book Antiqua" w:eastAsia="Times New Roman" w:hAnsi="Book Antiqua" w:cs="Times New Roman"/>
          <w:b/>
          <w:color w:val="000000" w:themeColor="text1"/>
          <w:sz w:val="24"/>
          <w:szCs w:val="24"/>
        </w:rPr>
        <w:t xml:space="preserve"> placental growth factor levels are associated with portal hypertension in patients with liver cirrhosis</w:t>
      </w:r>
    </w:p>
    <w:p w:rsidR="000177C2" w:rsidRPr="006410B4" w:rsidRDefault="000177C2"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p>
    <w:p w:rsidR="005651ED" w:rsidRPr="006410B4" w:rsidRDefault="00095755"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Gelman S </w:t>
      </w:r>
      <w:r w:rsidRPr="006410B4">
        <w:rPr>
          <w:rFonts w:ascii="Book Antiqua" w:eastAsia="Times New Roman" w:hAnsi="Book Antiqua" w:cs="Times New Roman"/>
          <w:i/>
          <w:color w:val="000000" w:themeColor="text1"/>
          <w:sz w:val="24"/>
          <w:szCs w:val="24"/>
        </w:rPr>
        <w:t>et al</w:t>
      </w:r>
      <w:r w:rsidRPr="006410B4">
        <w:rPr>
          <w:rFonts w:ascii="Book Antiqua" w:eastAsia="Times New Roman" w:hAnsi="Book Antiqua" w:cs="Times New Roman"/>
          <w:color w:val="000000" w:themeColor="text1"/>
          <w:sz w:val="24"/>
          <w:szCs w:val="24"/>
        </w:rPr>
        <w:t xml:space="preserve">. </w:t>
      </w:r>
      <w:proofErr w:type="spellStart"/>
      <w:r w:rsidR="00834EFE" w:rsidRPr="006410B4">
        <w:rPr>
          <w:rFonts w:ascii="Book Antiqua" w:eastAsia="Times New Roman" w:hAnsi="Book Antiqua" w:cs="Times New Roman"/>
          <w:color w:val="000000" w:themeColor="text1"/>
          <w:sz w:val="24"/>
          <w:szCs w:val="24"/>
        </w:rPr>
        <w:t>PlGF</w:t>
      </w:r>
      <w:proofErr w:type="spellEnd"/>
      <w:r w:rsidR="00834EFE" w:rsidRPr="006410B4">
        <w:rPr>
          <w:rFonts w:ascii="Book Antiqua" w:eastAsia="Times New Roman" w:hAnsi="Book Antiqua" w:cs="Times New Roman"/>
          <w:color w:val="000000" w:themeColor="text1"/>
          <w:sz w:val="24"/>
          <w:szCs w:val="24"/>
        </w:rPr>
        <w:t xml:space="preserve"> and </w:t>
      </w:r>
      <w:proofErr w:type="spellStart"/>
      <w:r w:rsidR="00834EFE" w:rsidRPr="006410B4">
        <w:rPr>
          <w:rFonts w:ascii="Book Antiqua" w:eastAsia="Times New Roman" w:hAnsi="Book Antiqua" w:cs="Times New Roman"/>
          <w:color w:val="000000" w:themeColor="text1"/>
          <w:sz w:val="24"/>
          <w:szCs w:val="24"/>
        </w:rPr>
        <w:t>Nogo</w:t>
      </w:r>
      <w:proofErr w:type="spellEnd"/>
      <w:r w:rsidR="00834EFE" w:rsidRPr="006410B4">
        <w:rPr>
          <w:rFonts w:ascii="Book Antiqua" w:eastAsia="Times New Roman" w:hAnsi="Book Antiqua" w:cs="Times New Roman"/>
          <w:color w:val="000000" w:themeColor="text1"/>
          <w:sz w:val="24"/>
          <w:szCs w:val="24"/>
        </w:rPr>
        <w:t>-A</w:t>
      </w:r>
      <w:r w:rsidR="00E60BE1" w:rsidRPr="006410B4">
        <w:rPr>
          <w:rFonts w:ascii="Book Antiqua" w:eastAsia="Times New Roman" w:hAnsi="Book Antiqua" w:cs="Times New Roman"/>
          <w:color w:val="000000" w:themeColor="text1"/>
          <w:sz w:val="24"/>
          <w:szCs w:val="24"/>
        </w:rPr>
        <w:t xml:space="preserve"> in portal hypertension</w:t>
      </w:r>
    </w:p>
    <w:p w:rsidR="002C030A" w:rsidRPr="006410B4" w:rsidRDefault="002C030A"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C42FE6" w:rsidRPr="00834EFE" w:rsidRDefault="005651ED" w:rsidP="006410B4">
      <w:pPr>
        <w:adjustRightInd w:val="0"/>
        <w:snapToGrid w:val="0"/>
        <w:spacing w:after="0" w:line="360" w:lineRule="auto"/>
        <w:jc w:val="both"/>
        <w:rPr>
          <w:rFonts w:ascii="Book Antiqua" w:eastAsia="Times New Roman" w:hAnsi="Book Antiqua" w:cs="Times New Roman"/>
          <w:color w:val="000000" w:themeColor="text1"/>
          <w:sz w:val="24"/>
          <w:szCs w:val="24"/>
        </w:rPr>
      </w:pPr>
      <w:bookmarkStart w:id="6" w:name="OLE_LINK509"/>
      <w:bookmarkStart w:id="7" w:name="OLE_LINK510"/>
      <w:proofErr w:type="spellStart"/>
      <w:r w:rsidRPr="00834EFE">
        <w:rPr>
          <w:rFonts w:ascii="Book Antiqua" w:eastAsia="Times New Roman" w:hAnsi="Book Antiqua" w:cs="Times New Roman"/>
          <w:color w:val="000000" w:themeColor="text1"/>
          <w:sz w:val="24"/>
          <w:szCs w:val="24"/>
        </w:rPr>
        <w:t>Sigita</w:t>
      </w:r>
      <w:proofErr w:type="spellEnd"/>
      <w:r w:rsidRPr="00834EFE">
        <w:rPr>
          <w:rFonts w:ascii="Book Antiqua" w:eastAsia="Times New Roman" w:hAnsi="Book Antiqua" w:cs="Times New Roman"/>
          <w:color w:val="000000" w:themeColor="text1"/>
          <w:sz w:val="24"/>
          <w:szCs w:val="24"/>
        </w:rPr>
        <w:t xml:space="preserve"> </w:t>
      </w:r>
      <w:r w:rsidR="00BF498E" w:rsidRPr="00834EFE">
        <w:rPr>
          <w:rFonts w:ascii="Book Antiqua" w:eastAsia="Times New Roman" w:hAnsi="Book Antiqua" w:cs="Times New Roman"/>
          <w:color w:val="000000" w:themeColor="text1"/>
          <w:sz w:val="24"/>
          <w:szCs w:val="24"/>
        </w:rPr>
        <w:t xml:space="preserve">Gelman, </w:t>
      </w:r>
      <w:r w:rsidRPr="00834EFE">
        <w:rPr>
          <w:rFonts w:ascii="Book Antiqua" w:eastAsia="Times New Roman" w:hAnsi="Book Antiqua" w:cs="Times New Roman"/>
          <w:color w:val="000000" w:themeColor="text1"/>
          <w:sz w:val="24"/>
          <w:szCs w:val="24"/>
        </w:rPr>
        <w:t xml:space="preserve">Violeta </w:t>
      </w:r>
      <w:proofErr w:type="spellStart"/>
      <w:r w:rsidR="00BF498E" w:rsidRPr="00834EFE">
        <w:rPr>
          <w:rFonts w:ascii="Book Antiqua" w:eastAsia="Times New Roman" w:hAnsi="Book Antiqua" w:cs="Times New Roman"/>
          <w:color w:val="000000" w:themeColor="text1"/>
          <w:sz w:val="24"/>
          <w:szCs w:val="24"/>
        </w:rPr>
        <w:t>Salteniene</w:t>
      </w:r>
      <w:proofErr w:type="spellEnd"/>
      <w:r w:rsidR="00BF498E" w:rsidRPr="00834EFE">
        <w:rPr>
          <w:rFonts w:ascii="Book Antiqua" w:eastAsia="Times New Roman" w:hAnsi="Book Antiqua" w:cs="Times New Roman"/>
          <w:color w:val="000000" w:themeColor="text1"/>
          <w:sz w:val="24"/>
          <w:szCs w:val="24"/>
        </w:rPr>
        <w:t xml:space="preserve">, </w:t>
      </w:r>
      <w:r w:rsidRPr="00834EFE">
        <w:rPr>
          <w:rFonts w:ascii="Book Antiqua" w:eastAsia="Times New Roman" w:hAnsi="Book Antiqua" w:cs="Times New Roman"/>
          <w:color w:val="000000" w:themeColor="text1"/>
          <w:sz w:val="24"/>
          <w:szCs w:val="24"/>
        </w:rPr>
        <w:t xml:space="preserve">Andrius </w:t>
      </w:r>
      <w:proofErr w:type="spellStart"/>
      <w:r w:rsidR="00BF498E" w:rsidRPr="00834EFE">
        <w:rPr>
          <w:rFonts w:ascii="Book Antiqua" w:eastAsia="Times New Roman" w:hAnsi="Book Antiqua" w:cs="Times New Roman"/>
          <w:color w:val="000000" w:themeColor="text1"/>
          <w:sz w:val="24"/>
          <w:szCs w:val="24"/>
        </w:rPr>
        <w:t>Pranculis</w:t>
      </w:r>
      <w:proofErr w:type="spellEnd"/>
      <w:r w:rsidR="00BF498E" w:rsidRPr="00834EFE">
        <w:rPr>
          <w:rFonts w:ascii="Book Antiqua" w:eastAsia="Times New Roman" w:hAnsi="Book Antiqua" w:cs="Times New Roman"/>
          <w:color w:val="000000" w:themeColor="text1"/>
          <w:sz w:val="24"/>
          <w:szCs w:val="24"/>
        </w:rPr>
        <w:t xml:space="preserve">, </w:t>
      </w:r>
      <w:proofErr w:type="spellStart"/>
      <w:r w:rsidR="001A428D" w:rsidRPr="00834EFE">
        <w:rPr>
          <w:rFonts w:ascii="Book Antiqua" w:eastAsia="Times New Roman" w:hAnsi="Book Antiqua" w:cs="Times New Roman"/>
          <w:color w:val="000000" w:themeColor="text1"/>
          <w:sz w:val="24"/>
          <w:szCs w:val="24"/>
        </w:rPr>
        <w:t>Jurgita</w:t>
      </w:r>
      <w:proofErr w:type="spellEnd"/>
      <w:r w:rsidR="001A428D" w:rsidRPr="00834EFE">
        <w:rPr>
          <w:rFonts w:ascii="Book Antiqua" w:eastAsia="Times New Roman" w:hAnsi="Book Antiqua" w:cs="Times New Roman"/>
          <w:color w:val="000000" w:themeColor="text1"/>
          <w:sz w:val="24"/>
          <w:szCs w:val="24"/>
        </w:rPr>
        <w:t xml:space="preserve"> </w:t>
      </w:r>
      <w:proofErr w:type="spellStart"/>
      <w:r w:rsidR="001A428D" w:rsidRPr="00834EFE">
        <w:rPr>
          <w:rFonts w:ascii="Book Antiqua" w:eastAsia="Times New Roman" w:hAnsi="Book Antiqua" w:cs="Times New Roman"/>
          <w:color w:val="000000" w:themeColor="text1"/>
          <w:sz w:val="24"/>
          <w:szCs w:val="24"/>
        </w:rPr>
        <w:t>Skieceviciene</w:t>
      </w:r>
      <w:proofErr w:type="spellEnd"/>
      <w:r w:rsidR="00BF498E" w:rsidRPr="00834EFE">
        <w:rPr>
          <w:rFonts w:ascii="Book Antiqua" w:eastAsia="Times New Roman" w:hAnsi="Book Antiqua" w:cs="Times New Roman"/>
          <w:color w:val="000000" w:themeColor="text1"/>
          <w:sz w:val="24"/>
          <w:szCs w:val="24"/>
        </w:rPr>
        <w:t xml:space="preserve">, </w:t>
      </w:r>
      <w:proofErr w:type="spellStart"/>
      <w:r w:rsidR="005D5311" w:rsidRPr="00834EFE">
        <w:rPr>
          <w:rFonts w:ascii="Book Antiqua" w:eastAsia="Times New Roman" w:hAnsi="Book Antiqua" w:cs="Times New Roman"/>
          <w:color w:val="000000" w:themeColor="text1"/>
          <w:sz w:val="24"/>
          <w:szCs w:val="24"/>
        </w:rPr>
        <w:t>Romanas</w:t>
      </w:r>
      <w:proofErr w:type="spellEnd"/>
      <w:r w:rsidR="005D5311" w:rsidRPr="00834EFE">
        <w:rPr>
          <w:rFonts w:ascii="Book Antiqua" w:eastAsia="Times New Roman" w:hAnsi="Book Antiqua" w:cs="Times New Roman"/>
          <w:color w:val="000000" w:themeColor="text1"/>
          <w:sz w:val="24"/>
          <w:szCs w:val="24"/>
        </w:rPr>
        <w:t xml:space="preserve"> </w:t>
      </w:r>
      <w:proofErr w:type="spellStart"/>
      <w:r w:rsidR="005D5311" w:rsidRPr="00834EFE">
        <w:rPr>
          <w:rFonts w:ascii="Book Antiqua" w:eastAsia="Times New Roman" w:hAnsi="Book Antiqua" w:cs="Times New Roman"/>
          <w:color w:val="000000" w:themeColor="text1"/>
          <w:sz w:val="24"/>
          <w:szCs w:val="24"/>
        </w:rPr>
        <w:t>Zykus</w:t>
      </w:r>
      <w:proofErr w:type="spellEnd"/>
      <w:r w:rsidR="004534B2" w:rsidRPr="00834EFE">
        <w:rPr>
          <w:rFonts w:ascii="Book Antiqua" w:eastAsia="Times New Roman" w:hAnsi="Book Antiqua" w:cs="Times New Roman"/>
          <w:color w:val="000000" w:themeColor="text1"/>
          <w:sz w:val="24"/>
          <w:szCs w:val="24"/>
        </w:rPr>
        <w:t>,</w:t>
      </w:r>
      <w:r w:rsidR="00D62C8E" w:rsidRPr="00834EFE">
        <w:rPr>
          <w:rFonts w:ascii="Book Antiqua" w:eastAsia="Times New Roman" w:hAnsi="Book Antiqua" w:cs="Times New Roman"/>
          <w:color w:val="000000" w:themeColor="text1"/>
          <w:sz w:val="24"/>
          <w:szCs w:val="24"/>
        </w:rPr>
        <w:t xml:space="preserve"> </w:t>
      </w:r>
      <w:proofErr w:type="spellStart"/>
      <w:r w:rsidR="00D62C8E" w:rsidRPr="00834EFE">
        <w:rPr>
          <w:rFonts w:ascii="Book Antiqua" w:eastAsia="Times New Roman" w:hAnsi="Book Antiqua" w:cs="Times New Roman"/>
          <w:color w:val="000000" w:themeColor="text1"/>
          <w:sz w:val="24"/>
          <w:szCs w:val="24"/>
        </w:rPr>
        <w:t>Dalius</w:t>
      </w:r>
      <w:proofErr w:type="spellEnd"/>
      <w:r w:rsidR="00D62C8E" w:rsidRPr="00834EFE">
        <w:rPr>
          <w:rFonts w:ascii="Book Antiqua" w:eastAsia="Times New Roman" w:hAnsi="Book Antiqua" w:cs="Times New Roman"/>
          <w:color w:val="000000" w:themeColor="text1"/>
          <w:sz w:val="24"/>
          <w:szCs w:val="24"/>
        </w:rPr>
        <w:t xml:space="preserve"> Petrauskas,</w:t>
      </w:r>
      <w:r w:rsidRPr="00834EFE">
        <w:rPr>
          <w:rFonts w:ascii="Book Antiqua" w:eastAsia="Times New Roman" w:hAnsi="Book Antiqua" w:cs="Times New Roman"/>
          <w:color w:val="000000" w:themeColor="text1"/>
          <w:sz w:val="24"/>
          <w:szCs w:val="24"/>
        </w:rPr>
        <w:t xml:space="preserve"> </w:t>
      </w:r>
      <w:proofErr w:type="spellStart"/>
      <w:r w:rsidRPr="00834EFE">
        <w:rPr>
          <w:rFonts w:ascii="Book Antiqua" w:eastAsia="Times New Roman" w:hAnsi="Book Antiqua" w:cs="Times New Roman"/>
          <w:color w:val="000000" w:themeColor="text1"/>
          <w:sz w:val="24"/>
          <w:szCs w:val="24"/>
        </w:rPr>
        <w:t>Limas</w:t>
      </w:r>
      <w:proofErr w:type="spellEnd"/>
      <w:r w:rsidR="004534B2" w:rsidRPr="00834EFE">
        <w:rPr>
          <w:rFonts w:ascii="Book Antiqua" w:eastAsia="Times New Roman" w:hAnsi="Book Antiqua" w:cs="Times New Roman"/>
          <w:color w:val="000000" w:themeColor="text1"/>
          <w:sz w:val="24"/>
          <w:szCs w:val="24"/>
        </w:rPr>
        <w:t xml:space="preserve"> </w:t>
      </w:r>
      <w:proofErr w:type="spellStart"/>
      <w:r w:rsidR="00BF498E" w:rsidRPr="00834EFE">
        <w:rPr>
          <w:rFonts w:ascii="Book Antiqua" w:eastAsia="Times New Roman" w:hAnsi="Book Antiqua" w:cs="Times New Roman"/>
          <w:color w:val="000000" w:themeColor="text1"/>
          <w:sz w:val="24"/>
          <w:szCs w:val="24"/>
        </w:rPr>
        <w:t>Kupcinskas</w:t>
      </w:r>
      <w:proofErr w:type="spellEnd"/>
      <w:r w:rsidRPr="00834EFE">
        <w:rPr>
          <w:rFonts w:ascii="Book Antiqua" w:eastAsia="Times New Roman" w:hAnsi="Book Antiqua" w:cs="Times New Roman"/>
          <w:color w:val="000000" w:themeColor="text1"/>
          <w:sz w:val="24"/>
          <w:szCs w:val="24"/>
        </w:rPr>
        <w:t xml:space="preserve">, </w:t>
      </w:r>
      <w:r w:rsidR="0067339D" w:rsidRPr="00834EFE">
        <w:rPr>
          <w:rFonts w:ascii="Book Antiqua" w:eastAsia="Times New Roman" w:hAnsi="Book Antiqua" w:cs="Times New Roman"/>
          <w:color w:val="000000" w:themeColor="text1"/>
          <w:sz w:val="24"/>
          <w:szCs w:val="24"/>
        </w:rPr>
        <w:t xml:space="preserve">Ali </w:t>
      </w:r>
      <w:proofErr w:type="spellStart"/>
      <w:r w:rsidR="0067339D" w:rsidRPr="00834EFE">
        <w:rPr>
          <w:rFonts w:ascii="Book Antiqua" w:eastAsia="Times New Roman" w:hAnsi="Book Antiqua" w:cs="Times New Roman"/>
          <w:color w:val="000000" w:themeColor="text1"/>
          <w:sz w:val="24"/>
          <w:szCs w:val="24"/>
        </w:rPr>
        <w:t>Canbay</w:t>
      </w:r>
      <w:proofErr w:type="spellEnd"/>
      <w:r w:rsidR="0067339D" w:rsidRPr="00834EFE">
        <w:rPr>
          <w:rFonts w:ascii="Book Antiqua" w:eastAsia="Times New Roman" w:hAnsi="Book Antiqua" w:cs="Times New Roman"/>
          <w:color w:val="000000" w:themeColor="text1"/>
          <w:sz w:val="24"/>
          <w:szCs w:val="24"/>
        </w:rPr>
        <w:t xml:space="preserve">, </w:t>
      </w:r>
      <w:r w:rsidR="008E65F6" w:rsidRPr="00834EFE">
        <w:rPr>
          <w:rFonts w:ascii="Book Antiqua" w:eastAsia="Times New Roman" w:hAnsi="Book Antiqua" w:cs="Times New Roman"/>
          <w:color w:val="000000" w:themeColor="text1"/>
          <w:sz w:val="24"/>
          <w:szCs w:val="24"/>
        </w:rPr>
        <w:t xml:space="preserve">Alexander Link, </w:t>
      </w:r>
      <w:proofErr w:type="spellStart"/>
      <w:r w:rsidRPr="00834EFE">
        <w:rPr>
          <w:rFonts w:ascii="Book Antiqua" w:eastAsia="Times New Roman" w:hAnsi="Book Antiqua" w:cs="Times New Roman"/>
          <w:color w:val="000000" w:themeColor="text1"/>
          <w:sz w:val="24"/>
          <w:szCs w:val="24"/>
        </w:rPr>
        <w:t>Juozas</w:t>
      </w:r>
      <w:proofErr w:type="spellEnd"/>
      <w:r w:rsidRPr="00834EFE">
        <w:rPr>
          <w:rFonts w:ascii="Book Antiqua" w:eastAsia="Times New Roman" w:hAnsi="Book Antiqua" w:cs="Times New Roman"/>
          <w:color w:val="000000" w:themeColor="text1"/>
          <w:sz w:val="24"/>
          <w:szCs w:val="24"/>
        </w:rPr>
        <w:t xml:space="preserve"> </w:t>
      </w:r>
      <w:proofErr w:type="spellStart"/>
      <w:r w:rsidRPr="00834EFE">
        <w:rPr>
          <w:rFonts w:ascii="Book Antiqua" w:eastAsia="Times New Roman" w:hAnsi="Book Antiqua" w:cs="Times New Roman"/>
          <w:color w:val="000000" w:themeColor="text1"/>
          <w:sz w:val="24"/>
          <w:szCs w:val="24"/>
        </w:rPr>
        <w:t>Kupcinskas</w:t>
      </w:r>
      <w:bookmarkEnd w:id="6"/>
      <w:bookmarkEnd w:id="7"/>
      <w:proofErr w:type="spellEnd"/>
    </w:p>
    <w:p w:rsidR="002C030A" w:rsidRPr="006410B4" w:rsidRDefault="002C030A"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p>
    <w:p w:rsidR="005651ED" w:rsidRDefault="00A12B51"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6410B4">
        <w:rPr>
          <w:rFonts w:ascii="Book Antiqua" w:eastAsia="Times New Roman" w:hAnsi="Book Antiqua" w:cs="Times New Roman"/>
          <w:b/>
          <w:color w:val="000000" w:themeColor="text1"/>
          <w:sz w:val="24"/>
          <w:szCs w:val="24"/>
        </w:rPr>
        <w:t>Sigita</w:t>
      </w:r>
      <w:proofErr w:type="spellEnd"/>
      <w:r w:rsidRPr="006410B4">
        <w:rPr>
          <w:rFonts w:ascii="Book Antiqua" w:eastAsia="Times New Roman" w:hAnsi="Book Antiqua" w:cs="Times New Roman"/>
          <w:b/>
          <w:color w:val="000000" w:themeColor="text1"/>
          <w:sz w:val="24"/>
          <w:szCs w:val="24"/>
        </w:rPr>
        <w:t xml:space="preserve"> Gelman, </w:t>
      </w:r>
      <w:proofErr w:type="spellStart"/>
      <w:r w:rsidRPr="006410B4">
        <w:rPr>
          <w:rFonts w:ascii="Book Antiqua" w:eastAsia="Times New Roman" w:hAnsi="Book Antiqua" w:cs="Times New Roman"/>
          <w:b/>
          <w:color w:val="000000" w:themeColor="text1"/>
          <w:sz w:val="24"/>
          <w:szCs w:val="24"/>
        </w:rPr>
        <w:t>Romanas</w:t>
      </w:r>
      <w:proofErr w:type="spellEnd"/>
      <w:r w:rsidRPr="006410B4">
        <w:rPr>
          <w:rFonts w:ascii="Book Antiqua" w:eastAsia="Times New Roman" w:hAnsi="Book Antiqua" w:cs="Times New Roman"/>
          <w:b/>
          <w:color w:val="000000" w:themeColor="text1"/>
          <w:sz w:val="24"/>
          <w:szCs w:val="24"/>
        </w:rPr>
        <w:t xml:space="preserve"> </w:t>
      </w:r>
      <w:proofErr w:type="spellStart"/>
      <w:r w:rsidRPr="006410B4">
        <w:rPr>
          <w:rFonts w:ascii="Book Antiqua" w:eastAsia="Times New Roman" w:hAnsi="Book Antiqua" w:cs="Times New Roman"/>
          <w:b/>
          <w:color w:val="000000" w:themeColor="text1"/>
          <w:sz w:val="24"/>
          <w:szCs w:val="24"/>
        </w:rPr>
        <w:t>Zykus</w:t>
      </w:r>
      <w:proofErr w:type="spellEnd"/>
      <w:r w:rsidRPr="006410B4">
        <w:rPr>
          <w:rFonts w:ascii="Book Antiqua" w:eastAsia="Times New Roman" w:hAnsi="Book Antiqua" w:cs="Times New Roman"/>
          <w:b/>
          <w:color w:val="000000" w:themeColor="text1"/>
          <w:sz w:val="24"/>
          <w:szCs w:val="24"/>
        </w:rPr>
        <w:t xml:space="preserve">, </w:t>
      </w:r>
      <w:proofErr w:type="spellStart"/>
      <w:r w:rsidRPr="006410B4">
        <w:rPr>
          <w:rFonts w:ascii="Book Antiqua" w:eastAsia="Times New Roman" w:hAnsi="Book Antiqua" w:cs="Times New Roman"/>
          <w:b/>
          <w:color w:val="000000" w:themeColor="text1"/>
          <w:sz w:val="24"/>
          <w:szCs w:val="24"/>
        </w:rPr>
        <w:t>Dalius</w:t>
      </w:r>
      <w:proofErr w:type="spellEnd"/>
      <w:r w:rsidRPr="006410B4">
        <w:rPr>
          <w:rFonts w:ascii="Book Antiqua" w:eastAsia="Times New Roman" w:hAnsi="Book Antiqua" w:cs="Times New Roman"/>
          <w:b/>
          <w:color w:val="000000" w:themeColor="text1"/>
          <w:sz w:val="24"/>
          <w:szCs w:val="24"/>
        </w:rPr>
        <w:t xml:space="preserve"> Petrauskas</w:t>
      </w:r>
      <w:r w:rsidRPr="00D24FFE">
        <w:rPr>
          <w:rFonts w:ascii="Book Antiqua" w:eastAsia="Times New Roman" w:hAnsi="Book Antiqua" w:cs="Times New Roman"/>
          <w:b/>
          <w:color w:val="000000" w:themeColor="text1"/>
          <w:sz w:val="24"/>
          <w:szCs w:val="24"/>
        </w:rPr>
        <w:t>,</w:t>
      </w:r>
      <w:r w:rsidRPr="006410B4">
        <w:rPr>
          <w:rFonts w:ascii="Book Antiqua" w:eastAsia="Times New Roman" w:hAnsi="Book Antiqua" w:cs="Times New Roman"/>
          <w:color w:val="000000" w:themeColor="text1"/>
          <w:sz w:val="24"/>
          <w:szCs w:val="24"/>
        </w:rPr>
        <w:t xml:space="preserve"> Department of Gastroenterology, Medical Academy, Lithuanian University of Health Sciences, Kaunas</w:t>
      </w:r>
      <w:r w:rsidR="002C030A" w:rsidRPr="006410B4">
        <w:rPr>
          <w:rFonts w:ascii="Book Antiqua" w:eastAsia="Times New Roman" w:hAnsi="Book Antiqua" w:cs="Times New Roman"/>
          <w:color w:val="000000" w:themeColor="text1"/>
          <w:sz w:val="24"/>
          <w:szCs w:val="24"/>
        </w:rPr>
        <w:t xml:space="preserve"> 44307</w:t>
      </w:r>
      <w:r w:rsidRPr="006410B4">
        <w:rPr>
          <w:rFonts w:ascii="Book Antiqua" w:eastAsia="Times New Roman" w:hAnsi="Book Antiqua" w:cs="Times New Roman"/>
          <w:color w:val="000000" w:themeColor="text1"/>
          <w:sz w:val="24"/>
          <w:szCs w:val="24"/>
        </w:rPr>
        <w:t>, Lithuania</w:t>
      </w:r>
    </w:p>
    <w:p w:rsidR="00D24FFE" w:rsidRPr="006410B4" w:rsidRDefault="00D24FF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C42FE6" w:rsidRDefault="00A12B51"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b/>
          <w:color w:val="000000" w:themeColor="text1"/>
          <w:sz w:val="24"/>
          <w:szCs w:val="24"/>
        </w:rPr>
        <w:t xml:space="preserve">Violeta </w:t>
      </w:r>
      <w:proofErr w:type="spellStart"/>
      <w:r w:rsidRPr="006410B4">
        <w:rPr>
          <w:rFonts w:ascii="Book Antiqua" w:eastAsia="Times New Roman" w:hAnsi="Book Antiqua" w:cs="Times New Roman"/>
          <w:b/>
          <w:color w:val="000000" w:themeColor="text1"/>
          <w:sz w:val="24"/>
          <w:szCs w:val="24"/>
        </w:rPr>
        <w:t>Salteniene</w:t>
      </w:r>
      <w:proofErr w:type="spellEnd"/>
      <w:r w:rsidRPr="006410B4">
        <w:rPr>
          <w:rFonts w:ascii="Book Antiqua" w:eastAsia="Times New Roman" w:hAnsi="Book Antiqua" w:cs="Times New Roman"/>
          <w:b/>
          <w:color w:val="000000" w:themeColor="text1"/>
          <w:sz w:val="24"/>
          <w:szCs w:val="24"/>
        </w:rPr>
        <w:t xml:space="preserve">, </w:t>
      </w:r>
      <w:proofErr w:type="spellStart"/>
      <w:r w:rsidRPr="006410B4">
        <w:rPr>
          <w:rFonts w:ascii="Book Antiqua" w:eastAsia="Times New Roman" w:hAnsi="Book Antiqua" w:cs="Times New Roman"/>
          <w:b/>
          <w:color w:val="000000" w:themeColor="text1"/>
          <w:sz w:val="24"/>
          <w:szCs w:val="24"/>
        </w:rPr>
        <w:t>Jurgita</w:t>
      </w:r>
      <w:proofErr w:type="spellEnd"/>
      <w:r w:rsidRPr="006410B4">
        <w:rPr>
          <w:rFonts w:ascii="Book Antiqua" w:eastAsia="Times New Roman" w:hAnsi="Book Antiqua" w:cs="Times New Roman"/>
          <w:b/>
          <w:color w:val="000000" w:themeColor="text1"/>
          <w:sz w:val="24"/>
          <w:szCs w:val="24"/>
        </w:rPr>
        <w:t xml:space="preserve"> </w:t>
      </w:r>
      <w:proofErr w:type="spellStart"/>
      <w:r w:rsidRPr="006410B4">
        <w:rPr>
          <w:rFonts w:ascii="Book Antiqua" w:eastAsia="Times New Roman" w:hAnsi="Book Antiqua" w:cs="Times New Roman"/>
          <w:b/>
          <w:color w:val="000000" w:themeColor="text1"/>
          <w:sz w:val="24"/>
          <w:szCs w:val="24"/>
        </w:rPr>
        <w:t>Skieceviciene</w:t>
      </w:r>
      <w:proofErr w:type="spellEnd"/>
      <w:r w:rsidRPr="006410B4">
        <w:rPr>
          <w:rFonts w:ascii="Book Antiqua" w:eastAsia="Times New Roman" w:hAnsi="Book Antiqua" w:cs="Times New Roman"/>
          <w:b/>
          <w:color w:val="000000" w:themeColor="text1"/>
          <w:sz w:val="24"/>
          <w:szCs w:val="24"/>
        </w:rPr>
        <w:t xml:space="preserve">, </w:t>
      </w:r>
      <w:r w:rsidR="00E60BE1" w:rsidRPr="006410B4">
        <w:rPr>
          <w:rFonts w:ascii="Book Antiqua" w:eastAsia="Times New Roman" w:hAnsi="Book Antiqua" w:cs="Times New Roman"/>
          <w:color w:val="000000" w:themeColor="text1"/>
          <w:sz w:val="24"/>
          <w:szCs w:val="24"/>
        </w:rPr>
        <w:t xml:space="preserve">Institute for Digestive Research, Medical Academy, </w:t>
      </w:r>
      <w:r w:rsidR="00BF498E" w:rsidRPr="006410B4">
        <w:rPr>
          <w:rFonts w:ascii="Book Antiqua" w:eastAsia="Times New Roman" w:hAnsi="Book Antiqua" w:cs="Times New Roman"/>
          <w:color w:val="000000" w:themeColor="text1"/>
          <w:sz w:val="24"/>
          <w:szCs w:val="24"/>
        </w:rPr>
        <w:t xml:space="preserve">Lithuanian University of Health Sciences, </w:t>
      </w:r>
      <w:r w:rsidR="00E60BE1" w:rsidRPr="006410B4">
        <w:rPr>
          <w:rFonts w:ascii="Book Antiqua" w:eastAsia="Times New Roman" w:hAnsi="Book Antiqua" w:cs="Times New Roman"/>
          <w:color w:val="000000" w:themeColor="text1"/>
          <w:sz w:val="24"/>
          <w:szCs w:val="24"/>
        </w:rPr>
        <w:t>Kaunas</w:t>
      </w:r>
      <w:r w:rsidR="002C030A" w:rsidRPr="006410B4">
        <w:rPr>
          <w:rFonts w:ascii="Book Antiqua" w:eastAsia="Times New Roman" w:hAnsi="Book Antiqua" w:cs="Times New Roman"/>
          <w:color w:val="000000" w:themeColor="text1"/>
          <w:sz w:val="24"/>
          <w:szCs w:val="24"/>
        </w:rPr>
        <w:t xml:space="preserve"> 44307</w:t>
      </w:r>
      <w:r w:rsidR="00E60BE1" w:rsidRPr="006410B4">
        <w:rPr>
          <w:rFonts w:ascii="Book Antiqua" w:eastAsia="Times New Roman" w:hAnsi="Book Antiqua" w:cs="Times New Roman"/>
          <w:color w:val="000000" w:themeColor="text1"/>
          <w:sz w:val="24"/>
          <w:szCs w:val="24"/>
        </w:rPr>
        <w:t>, Lithuania</w:t>
      </w:r>
    </w:p>
    <w:p w:rsidR="00D24FFE" w:rsidRPr="006410B4" w:rsidRDefault="00D24FF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2C030A" w:rsidRDefault="002C030A"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6410B4">
        <w:rPr>
          <w:rFonts w:ascii="Book Antiqua" w:eastAsia="Times New Roman" w:hAnsi="Book Antiqua" w:cs="Times New Roman"/>
          <w:b/>
          <w:color w:val="000000" w:themeColor="text1"/>
          <w:sz w:val="24"/>
          <w:szCs w:val="24"/>
        </w:rPr>
        <w:t>Limas</w:t>
      </w:r>
      <w:proofErr w:type="spellEnd"/>
      <w:r w:rsidRPr="006410B4">
        <w:rPr>
          <w:rFonts w:ascii="Book Antiqua" w:eastAsia="Times New Roman" w:hAnsi="Book Antiqua" w:cs="Times New Roman"/>
          <w:b/>
          <w:color w:val="000000" w:themeColor="text1"/>
          <w:sz w:val="24"/>
          <w:szCs w:val="24"/>
        </w:rPr>
        <w:t xml:space="preserve"> </w:t>
      </w:r>
      <w:proofErr w:type="spellStart"/>
      <w:r w:rsidRPr="006410B4">
        <w:rPr>
          <w:rFonts w:ascii="Book Antiqua" w:eastAsia="Times New Roman" w:hAnsi="Book Antiqua" w:cs="Times New Roman"/>
          <w:b/>
          <w:color w:val="000000" w:themeColor="text1"/>
          <w:sz w:val="24"/>
          <w:szCs w:val="24"/>
        </w:rPr>
        <w:t>Kupcinskas</w:t>
      </w:r>
      <w:proofErr w:type="spellEnd"/>
      <w:r w:rsidRPr="006410B4">
        <w:rPr>
          <w:rFonts w:ascii="Book Antiqua" w:eastAsia="Times New Roman" w:hAnsi="Book Antiqua" w:cs="Times New Roman"/>
          <w:b/>
          <w:color w:val="000000" w:themeColor="text1"/>
          <w:sz w:val="24"/>
          <w:szCs w:val="24"/>
        </w:rPr>
        <w:t xml:space="preserve">, </w:t>
      </w:r>
      <w:proofErr w:type="spellStart"/>
      <w:r w:rsidRPr="006410B4">
        <w:rPr>
          <w:rFonts w:ascii="Book Antiqua" w:eastAsia="Times New Roman" w:hAnsi="Book Antiqua" w:cs="Times New Roman"/>
          <w:b/>
          <w:color w:val="000000" w:themeColor="text1"/>
          <w:sz w:val="24"/>
          <w:szCs w:val="24"/>
        </w:rPr>
        <w:t>Juozas</w:t>
      </w:r>
      <w:proofErr w:type="spellEnd"/>
      <w:r w:rsidRPr="006410B4">
        <w:rPr>
          <w:rFonts w:ascii="Book Antiqua" w:eastAsia="Times New Roman" w:hAnsi="Book Antiqua" w:cs="Times New Roman"/>
          <w:b/>
          <w:color w:val="000000" w:themeColor="text1"/>
          <w:sz w:val="24"/>
          <w:szCs w:val="24"/>
        </w:rPr>
        <w:t xml:space="preserve"> </w:t>
      </w:r>
      <w:proofErr w:type="spellStart"/>
      <w:r w:rsidRPr="006410B4">
        <w:rPr>
          <w:rFonts w:ascii="Book Antiqua" w:eastAsia="Times New Roman" w:hAnsi="Book Antiqua" w:cs="Times New Roman"/>
          <w:b/>
          <w:color w:val="000000" w:themeColor="text1"/>
          <w:sz w:val="24"/>
          <w:szCs w:val="24"/>
        </w:rPr>
        <w:t>Kupcinskas</w:t>
      </w:r>
      <w:proofErr w:type="spellEnd"/>
      <w:r w:rsidRPr="006410B4">
        <w:rPr>
          <w:rFonts w:ascii="Book Antiqua" w:eastAsia="Times New Roman" w:hAnsi="Book Antiqua" w:cs="Times New Roman"/>
          <w:b/>
          <w:color w:val="000000" w:themeColor="text1"/>
          <w:sz w:val="24"/>
          <w:szCs w:val="24"/>
        </w:rPr>
        <w:t>,</w:t>
      </w:r>
      <w:r w:rsidRPr="006410B4">
        <w:rPr>
          <w:rFonts w:ascii="Book Antiqua" w:eastAsia="Times New Roman" w:hAnsi="Book Antiqua" w:cs="Times New Roman"/>
          <w:color w:val="000000" w:themeColor="text1"/>
          <w:sz w:val="24"/>
          <w:szCs w:val="24"/>
        </w:rPr>
        <w:t xml:space="preserve"> Institute for Digestive Research and Department of Gastroenterology, Medical Academy, Lithuanian University of Health Sciences, Kaunas 44307, Lithuania</w:t>
      </w:r>
    </w:p>
    <w:p w:rsidR="00D24FFE" w:rsidRPr="006410B4" w:rsidRDefault="00D24FF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C42FE6" w:rsidRDefault="00A12B51"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b/>
          <w:color w:val="000000" w:themeColor="text1"/>
          <w:sz w:val="24"/>
          <w:szCs w:val="24"/>
        </w:rPr>
        <w:t xml:space="preserve">Andrius </w:t>
      </w:r>
      <w:proofErr w:type="spellStart"/>
      <w:r w:rsidRPr="006410B4">
        <w:rPr>
          <w:rFonts w:ascii="Book Antiqua" w:eastAsia="Times New Roman" w:hAnsi="Book Antiqua" w:cs="Times New Roman"/>
          <w:b/>
          <w:color w:val="000000" w:themeColor="text1"/>
          <w:sz w:val="24"/>
          <w:szCs w:val="24"/>
        </w:rPr>
        <w:t>Pranculis</w:t>
      </w:r>
      <w:proofErr w:type="spellEnd"/>
      <w:r w:rsidRPr="006410B4">
        <w:rPr>
          <w:rFonts w:ascii="Book Antiqua" w:eastAsia="Times New Roman" w:hAnsi="Book Antiqua" w:cs="Times New Roman"/>
          <w:color w:val="000000" w:themeColor="text1"/>
          <w:sz w:val="24"/>
          <w:szCs w:val="24"/>
        </w:rPr>
        <w:t>, D</w:t>
      </w:r>
      <w:r w:rsidR="00E60BE1" w:rsidRPr="006410B4">
        <w:rPr>
          <w:rFonts w:ascii="Book Antiqua" w:eastAsia="Times New Roman" w:hAnsi="Book Antiqua" w:cs="Times New Roman"/>
          <w:color w:val="000000" w:themeColor="text1"/>
          <w:sz w:val="24"/>
          <w:szCs w:val="24"/>
        </w:rPr>
        <w:t xml:space="preserve">epartment of Radiology, Medical Academy, </w:t>
      </w:r>
      <w:r w:rsidR="00BF498E" w:rsidRPr="006410B4">
        <w:rPr>
          <w:rFonts w:ascii="Book Antiqua" w:eastAsia="Times New Roman" w:hAnsi="Book Antiqua" w:cs="Times New Roman"/>
          <w:color w:val="000000" w:themeColor="text1"/>
          <w:sz w:val="24"/>
          <w:szCs w:val="24"/>
        </w:rPr>
        <w:t xml:space="preserve">Lithuanian University of Health Sciences, </w:t>
      </w:r>
      <w:r w:rsidR="00E60BE1" w:rsidRPr="006410B4">
        <w:rPr>
          <w:rFonts w:ascii="Book Antiqua" w:eastAsia="Times New Roman" w:hAnsi="Book Antiqua" w:cs="Times New Roman"/>
          <w:color w:val="000000" w:themeColor="text1"/>
          <w:sz w:val="24"/>
          <w:szCs w:val="24"/>
        </w:rPr>
        <w:t>Kaunas</w:t>
      </w:r>
      <w:r w:rsidR="002C030A" w:rsidRPr="006410B4">
        <w:rPr>
          <w:rFonts w:ascii="Book Antiqua" w:eastAsia="Times New Roman" w:hAnsi="Book Antiqua" w:cs="Times New Roman"/>
          <w:color w:val="000000" w:themeColor="text1"/>
          <w:sz w:val="24"/>
          <w:szCs w:val="24"/>
        </w:rPr>
        <w:t xml:space="preserve"> 44307</w:t>
      </w:r>
      <w:r w:rsidR="00E60BE1" w:rsidRPr="006410B4">
        <w:rPr>
          <w:rFonts w:ascii="Book Antiqua" w:eastAsia="Times New Roman" w:hAnsi="Book Antiqua" w:cs="Times New Roman"/>
          <w:color w:val="000000" w:themeColor="text1"/>
          <w:sz w:val="24"/>
          <w:szCs w:val="24"/>
        </w:rPr>
        <w:t>, Lithuania</w:t>
      </w:r>
    </w:p>
    <w:p w:rsidR="00D24FFE" w:rsidRPr="006410B4" w:rsidRDefault="00D24FF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5F1932" w:rsidRDefault="00A12B51"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b/>
          <w:color w:val="000000" w:themeColor="text1"/>
          <w:sz w:val="24"/>
          <w:szCs w:val="24"/>
        </w:rPr>
        <w:t>Ali</w:t>
      </w:r>
      <w:r w:rsidRPr="006410B4">
        <w:rPr>
          <w:rFonts w:ascii="Book Antiqua" w:eastAsia="Times New Roman" w:hAnsi="Book Antiqua" w:cs="Times New Roman"/>
          <w:b/>
          <w:color w:val="000000" w:themeColor="text1"/>
          <w:sz w:val="24"/>
          <w:szCs w:val="24"/>
          <w:vertAlign w:val="superscript"/>
        </w:rPr>
        <w:t xml:space="preserve"> </w:t>
      </w:r>
      <w:proofErr w:type="spellStart"/>
      <w:r w:rsidRPr="006410B4">
        <w:rPr>
          <w:rFonts w:ascii="Book Antiqua" w:eastAsia="Times New Roman" w:hAnsi="Book Antiqua" w:cs="Times New Roman"/>
          <w:b/>
          <w:color w:val="000000" w:themeColor="text1"/>
          <w:sz w:val="24"/>
          <w:szCs w:val="24"/>
        </w:rPr>
        <w:t>Canbay</w:t>
      </w:r>
      <w:proofErr w:type="spellEnd"/>
      <w:r w:rsidRPr="006410B4">
        <w:rPr>
          <w:rFonts w:ascii="Book Antiqua" w:eastAsia="Times New Roman" w:hAnsi="Book Antiqua" w:cs="Times New Roman"/>
          <w:b/>
          <w:color w:val="000000" w:themeColor="text1"/>
          <w:sz w:val="24"/>
          <w:szCs w:val="24"/>
        </w:rPr>
        <w:t>, Alexander Link</w:t>
      </w:r>
      <w:r w:rsidRPr="006410B4">
        <w:rPr>
          <w:rFonts w:ascii="Book Antiqua" w:eastAsia="Times New Roman" w:hAnsi="Book Antiqua" w:cs="Times New Roman"/>
          <w:color w:val="000000" w:themeColor="text1"/>
          <w:sz w:val="24"/>
          <w:szCs w:val="24"/>
        </w:rPr>
        <w:t xml:space="preserve">, </w:t>
      </w:r>
      <w:r w:rsidR="00E60BE1" w:rsidRPr="006410B4">
        <w:rPr>
          <w:rFonts w:ascii="Book Antiqua" w:eastAsia="Times New Roman" w:hAnsi="Book Antiqua" w:cs="Times New Roman"/>
          <w:color w:val="000000" w:themeColor="text1"/>
          <w:sz w:val="24"/>
          <w:szCs w:val="24"/>
        </w:rPr>
        <w:t xml:space="preserve">Department of Gastroenterology, Hepatology and Infectious Diseases </w:t>
      </w:r>
      <w:r w:rsidR="005F1932" w:rsidRPr="006410B4">
        <w:rPr>
          <w:rFonts w:ascii="Book Antiqua" w:eastAsia="Times New Roman" w:hAnsi="Book Antiqua" w:cs="Times New Roman"/>
          <w:color w:val="000000" w:themeColor="text1"/>
          <w:sz w:val="24"/>
          <w:szCs w:val="24"/>
        </w:rPr>
        <w:t>Otto-von-Guericke University, Magdeburg</w:t>
      </w:r>
      <w:r w:rsidR="002C030A" w:rsidRPr="006410B4">
        <w:rPr>
          <w:rFonts w:ascii="Book Antiqua" w:eastAsia="Times New Roman" w:hAnsi="Book Antiqua" w:cs="Times New Roman"/>
          <w:color w:val="000000" w:themeColor="text1"/>
          <w:sz w:val="24"/>
          <w:szCs w:val="24"/>
        </w:rPr>
        <w:t xml:space="preserve"> 39106</w:t>
      </w:r>
      <w:r w:rsidR="005F1932" w:rsidRPr="006410B4">
        <w:rPr>
          <w:rFonts w:ascii="Book Antiqua" w:eastAsia="Times New Roman" w:hAnsi="Book Antiqua" w:cs="Times New Roman"/>
          <w:color w:val="000000" w:themeColor="text1"/>
          <w:sz w:val="24"/>
          <w:szCs w:val="24"/>
        </w:rPr>
        <w:t xml:space="preserve">, </w:t>
      </w:r>
      <w:r w:rsidR="00E60BE1" w:rsidRPr="006410B4">
        <w:rPr>
          <w:rFonts w:ascii="Book Antiqua" w:eastAsia="Times New Roman" w:hAnsi="Book Antiqua" w:cs="Times New Roman"/>
          <w:color w:val="000000" w:themeColor="text1"/>
          <w:sz w:val="24"/>
          <w:szCs w:val="24"/>
        </w:rPr>
        <w:t>Germany</w:t>
      </w:r>
    </w:p>
    <w:p w:rsidR="002C030A" w:rsidRPr="006410B4" w:rsidRDefault="002C030A"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A12B51" w:rsidRDefault="00A12B51" w:rsidP="006410B4">
      <w:pPr>
        <w:adjustRightInd w:val="0"/>
        <w:snapToGrid w:val="0"/>
        <w:spacing w:after="0" w:line="360" w:lineRule="auto"/>
        <w:jc w:val="both"/>
        <w:rPr>
          <w:rFonts w:ascii="Book Antiqua" w:hAnsi="Book Antiqua"/>
          <w:color w:val="000000" w:themeColor="text1"/>
          <w:sz w:val="24"/>
          <w:szCs w:val="24"/>
        </w:rPr>
      </w:pPr>
      <w:r w:rsidRPr="006410B4">
        <w:rPr>
          <w:rFonts w:ascii="Book Antiqua" w:eastAsia="Times New Roman" w:hAnsi="Book Antiqua" w:cs="Times New Roman"/>
          <w:b/>
          <w:color w:val="000000" w:themeColor="text1"/>
          <w:sz w:val="24"/>
          <w:szCs w:val="24"/>
        </w:rPr>
        <w:t>ORCID number</w:t>
      </w:r>
      <w:r w:rsidRPr="00D24FFE">
        <w:rPr>
          <w:rFonts w:ascii="Book Antiqua" w:eastAsia="Times New Roman" w:hAnsi="Book Antiqua" w:cs="Times New Roman"/>
          <w:b/>
          <w:color w:val="000000" w:themeColor="text1"/>
          <w:sz w:val="24"/>
          <w:szCs w:val="24"/>
        </w:rPr>
        <w:t>:</w:t>
      </w:r>
      <w:r w:rsidRPr="006410B4">
        <w:rPr>
          <w:rFonts w:ascii="Book Antiqua" w:eastAsia="Times New Roman" w:hAnsi="Book Antiqua" w:cs="Times New Roman"/>
          <w:color w:val="000000" w:themeColor="text1"/>
          <w:sz w:val="24"/>
          <w:szCs w:val="24"/>
        </w:rPr>
        <w:t xml:space="preserve"> </w:t>
      </w:r>
      <w:proofErr w:type="spellStart"/>
      <w:r w:rsidRPr="00D24FFE">
        <w:rPr>
          <w:rFonts w:ascii="Book Antiqua" w:eastAsia="Times New Roman" w:hAnsi="Book Antiqua" w:cs="Times New Roman"/>
          <w:color w:val="000000" w:themeColor="text1"/>
          <w:sz w:val="24"/>
          <w:szCs w:val="24"/>
        </w:rPr>
        <w:t>Sigita</w:t>
      </w:r>
      <w:proofErr w:type="spellEnd"/>
      <w:r w:rsidRPr="00D24FFE">
        <w:rPr>
          <w:rFonts w:ascii="Book Antiqua" w:eastAsia="Times New Roman" w:hAnsi="Book Antiqua" w:cs="Times New Roman"/>
          <w:color w:val="000000" w:themeColor="text1"/>
          <w:sz w:val="24"/>
          <w:szCs w:val="24"/>
        </w:rPr>
        <w:t xml:space="preserve"> Gelman (</w:t>
      </w:r>
      <w:hyperlink r:id="rId8" w:history="1">
        <w:r w:rsidR="00530708" w:rsidRPr="00D24FFE">
          <w:rPr>
            <w:rStyle w:val="Hyperlink"/>
            <w:rFonts w:ascii="Book Antiqua" w:hAnsi="Book Antiqua" w:cs="Arial"/>
            <w:color w:val="000000" w:themeColor="text1"/>
            <w:sz w:val="24"/>
            <w:szCs w:val="24"/>
            <w:u w:val="none"/>
            <w:shd w:val="clear" w:color="auto" w:fill="F9F9F9"/>
          </w:rPr>
          <w:t>0000-0002-7324-1425</w:t>
        </w:r>
      </w:hyperlink>
      <w:r w:rsidRPr="00D24FFE">
        <w:rPr>
          <w:rFonts w:ascii="Book Antiqua" w:hAnsi="Book Antiqua"/>
          <w:color w:val="000000" w:themeColor="text1"/>
          <w:sz w:val="24"/>
          <w:szCs w:val="24"/>
        </w:rPr>
        <w:t>)</w:t>
      </w:r>
      <w:r w:rsidR="00D24FFE">
        <w:rPr>
          <w:rFonts w:ascii="Book Antiqua" w:hAnsi="Book Antiqua"/>
          <w:color w:val="000000" w:themeColor="text1"/>
          <w:sz w:val="24"/>
          <w:szCs w:val="24"/>
        </w:rPr>
        <w:t>;</w:t>
      </w:r>
      <w:r w:rsidRPr="00D24FFE">
        <w:rPr>
          <w:rFonts w:ascii="Book Antiqua" w:hAnsi="Book Antiqua"/>
          <w:color w:val="000000" w:themeColor="text1"/>
          <w:sz w:val="24"/>
          <w:szCs w:val="24"/>
        </w:rPr>
        <w:t xml:space="preserve"> </w:t>
      </w:r>
      <w:r w:rsidR="007B4FB3" w:rsidRPr="00D24FFE">
        <w:rPr>
          <w:rFonts w:ascii="Book Antiqua" w:hAnsi="Book Antiqua"/>
          <w:color w:val="000000" w:themeColor="text1"/>
          <w:sz w:val="24"/>
          <w:szCs w:val="24"/>
        </w:rPr>
        <w:t xml:space="preserve">Violeta </w:t>
      </w:r>
      <w:proofErr w:type="spellStart"/>
      <w:r w:rsidR="007B4FB3" w:rsidRPr="00D24FFE">
        <w:rPr>
          <w:rFonts w:ascii="Book Antiqua" w:hAnsi="Book Antiqua"/>
          <w:color w:val="000000" w:themeColor="text1"/>
          <w:sz w:val="24"/>
          <w:szCs w:val="24"/>
        </w:rPr>
        <w:t>Salteniene</w:t>
      </w:r>
      <w:proofErr w:type="spellEnd"/>
      <w:r w:rsidR="007B4FB3" w:rsidRPr="00D24FFE">
        <w:rPr>
          <w:rFonts w:ascii="Book Antiqua" w:hAnsi="Book Antiqua"/>
          <w:color w:val="000000" w:themeColor="text1"/>
          <w:sz w:val="24"/>
          <w:szCs w:val="24"/>
        </w:rPr>
        <w:t xml:space="preserve"> (0000-0002-7881-945X)</w:t>
      </w:r>
      <w:r w:rsidR="00D24FFE">
        <w:rPr>
          <w:rFonts w:ascii="Book Antiqua" w:hAnsi="Book Antiqua"/>
          <w:color w:val="000000" w:themeColor="text1"/>
          <w:sz w:val="24"/>
          <w:szCs w:val="24"/>
        </w:rPr>
        <w:t>;</w:t>
      </w:r>
      <w:r w:rsidR="007B4FB3" w:rsidRPr="00D24FFE">
        <w:rPr>
          <w:rFonts w:ascii="Book Antiqua" w:hAnsi="Book Antiqua"/>
          <w:color w:val="000000" w:themeColor="text1"/>
          <w:sz w:val="24"/>
          <w:szCs w:val="24"/>
        </w:rPr>
        <w:t xml:space="preserve"> Andrius </w:t>
      </w:r>
      <w:proofErr w:type="spellStart"/>
      <w:r w:rsidR="007B4FB3" w:rsidRPr="00D24FFE">
        <w:rPr>
          <w:rFonts w:ascii="Book Antiqua" w:hAnsi="Book Antiqua"/>
          <w:color w:val="000000" w:themeColor="text1"/>
          <w:sz w:val="24"/>
          <w:szCs w:val="24"/>
        </w:rPr>
        <w:t>Pranculis</w:t>
      </w:r>
      <w:proofErr w:type="spellEnd"/>
      <w:r w:rsidR="007B4FB3" w:rsidRPr="00D24FFE">
        <w:rPr>
          <w:rFonts w:ascii="Book Antiqua" w:hAnsi="Book Antiqua"/>
          <w:color w:val="000000" w:themeColor="text1"/>
          <w:sz w:val="24"/>
          <w:szCs w:val="24"/>
        </w:rPr>
        <w:t xml:space="preserve"> (0000-0002-3772-0867)</w:t>
      </w:r>
      <w:r w:rsidR="00D24FFE">
        <w:rPr>
          <w:rFonts w:ascii="Book Antiqua" w:hAnsi="Book Antiqua"/>
          <w:color w:val="000000" w:themeColor="text1"/>
          <w:sz w:val="24"/>
          <w:szCs w:val="24"/>
        </w:rPr>
        <w:t>;</w:t>
      </w:r>
      <w:r w:rsidR="007B4FB3" w:rsidRPr="00D24FFE">
        <w:rPr>
          <w:rFonts w:ascii="Book Antiqua" w:hAnsi="Book Antiqua"/>
          <w:color w:val="000000" w:themeColor="text1"/>
          <w:sz w:val="24"/>
          <w:szCs w:val="24"/>
        </w:rPr>
        <w:t xml:space="preserve"> </w:t>
      </w:r>
      <w:proofErr w:type="spellStart"/>
      <w:r w:rsidRPr="00D24FFE">
        <w:rPr>
          <w:rFonts w:ascii="Book Antiqua" w:hAnsi="Book Antiqua"/>
          <w:color w:val="000000" w:themeColor="text1"/>
          <w:sz w:val="24"/>
          <w:szCs w:val="24"/>
        </w:rPr>
        <w:t>Jurgita</w:t>
      </w:r>
      <w:proofErr w:type="spellEnd"/>
      <w:r w:rsidRPr="00D24FFE">
        <w:rPr>
          <w:rFonts w:ascii="Book Antiqua" w:hAnsi="Book Antiqua"/>
          <w:color w:val="000000" w:themeColor="text1"/>
          <w:sz w:val="24"/>
          <w:szCs w:val="24"/>
        </w:rPr>
        <w:t xml:space="preserve"> </w:t>
      </w:r>
      <w:proofErr w:type="spellStart"/>
      <w:r w:rsidRPr="00D24FFE">
        <w:rPr>
          <w:rFonts w:ascii="Book Antiqua" w:hAnsi="Book Antiqua"/>
          <w:color w:val="000000" w:themeColor="text1"/>
          <w:sz w:val="24"/>
          <w:szCs w:val="24"/>
        </w:rPr>
        <w:t>Skieceviciene</w:t>
      </w:r>
      <w:proofErr w:type="spellEnd"/>
      <w:r w:rsidRPr="00D24FFE">
        <w:rPr>
          <w:rFonts w:ascii="Book Antiqua" w:hAnsi="Book Antiqua"/>
          <w:color w:val="000000" w:themeColor="text1"/>
          <w:sz w:val="24"/>
          <w:szCs w:val="24"/>
        </w:rPr>
        <w:t xml:space="preserve"> (</w:t>
      </w:r>
      <w:hyperlink r:id="rId9" w:history="1">
        <w:r w:rsidR="00530708" w:rsidRPr="00D24FFE">
          <w:rPr>
            <w:rStyle w:val="Hyperlink"/>
            <w:rFonts w:ascii="Book Antiqua" w:hAnsi="Book Antiqua"/>
            <w:color w:val="000000" w:themeColor="text1"/>
            <w:sz w:val="24"/>
            <w:szCs w:val="24"/>
            <w:u w:val="none"/>
          </w:rPr>
          <w:t>0000-0002-4893-6612</w:t>
        </w:r>
      </w:hyperlink>
      <w:r w:rsidRPr="00D24FFE">
        <w:rPr>
          <w:rFonts w:ascii="Book Antiqua" w:hAnsi="Book Antiqua"/>
          <w:color w:val="000000" w:themeColor="text1"/>
          <w:sz w:val="24"/>
          <w:szCs w:val="24"/>
        </w:rPr>
        <w:t>)</w:t>
      </w:r>
      <w:r w:rsidR="00D24FFE">
        <w:rPr>
          <w:rFonts w:ascii="Book Antiqua" w:hAnsi="Book Antiqua"/>
          <w:color w:val="000000" w:themeColor="text1"/>
          <w:sz w:val="24"/>
          <w:szCs w:val="24"/>
        </w:rPr>
        <w:t>;</w:t>
      </w:r>
      <w:r w:rsidRPr="00D24FFE">
        <w:rPr>
          <w:rFonts w:ascii="Book Antiqua" w:hAnsi="Book Antiqua"/>
          <w:color w:val="000000" w:themeColor="text1"/>
          <w:sz w:val="24"/>
          <w:szCs w:val="24"/>
        </w:rPr>
        <w:t xml:space="preserve"> </w:t>
      </w:r>
      <w:proofErr w:type="spellStart"/>
      <w:r w:rsidRPr="00D24FFE">
        <w:rPr>
          <w:rFonts w:ascii="Book Antiqua" w:hAnsi="Book Antiqua"/>
          <w:color w:val="000000" w:themeColor="text1"/>
          <w:sz w:val="24"/>
          <w:szCs w:val="24"/>
        </w:rPr>
        <w:t>Romanas</w:t>
      </w:r>
      <w:proofErr w:type="spellEnd"/>
      <w:r w:rsidRPr="00D24FFE">
        <w:rPr>
          <w:rFonts w:ascii="Book Antiqua" w:hAnsi="Book Antiqua"/>
          <w:color w:val="000000" w:themeColor="text1"/>
          <w:sz w:val="24"/>
          <w:szCs w:val="24"/>
        </w:rPr>
        <w:t xml:space="preserve"> </w:t>
      </w:r>
      <w:proofErr w:type="spellStart"/>
      <w:r w:rsidRPr="00D24FFE">
        <w:rPr>
          <w:rFonts w:ascii="Book Antiqua" w:hAnsi="Book Antiqua"/>
          <w:color w:val="000000" w:themeColor="text1"/>
          <w:sz w:val="24"/>
          <w:szCs w:val="24"/>
        </w:rPr>
        <w:t>Zykus</w:t>
      </w:r>
      <w:proofErr w:type="spellEnd"/>
      <w:r w:rsidRPr="00D24FFE">
        <w:rPr>
          <w:rFonts w:ascii="Book Antiqua" w:hAnsi="Book Antiqua"/>
          <w:color w:val="000000" w:themeColor="text1"/>
          <w:sz w:val="24"/>
          <w:szCs w:val="24"/>
        </w:rPr>
        <w:t xml:space="preserve"> (</w:t>
      </w:r>
      <w:hyperlink r:id="rId10" w:history="1">
        <w:r w:rsidR="00530708" w:rsidRPr="00D24FFE">
          <w:rPr>
            <w:rStyle w:val="Hyperlink"/>
            <w:rFonts w:ascii="Book Antiqua" w:hAnsi="Book Antiqua"/>
            <w:color w:val="000000" w:themeColor="text1"/>
            <w:sz w:val="24"/>
            <w:szCs w:val="24"/>
            <w:u w:val="none"/>
          </w:rPr>
          <w:t>0000-0001-7204-0106</w:t>
        </w:r>
      </w:hyperlink>
      <w:r w:rsidRPr="00D24FFE">
        <w:rPr>
          <w:rFonts w:ascii="Book Antiqua" w:hAnsi="Book Antiqua"/>
          <w:color w:val="000000" w:themeColor="text1"/>
          <w:sz w:val="24"/>
          <w:szCs w:val="24"/>
        </w:rPr>
        <w:t>)</w:t>
      </w:r>
      <w:r w:rsidR="00D24FFE">
        <w:rPr>
          <w:rFonts w:ascii="Book Antiqua" w:hAnsi="Book Antiqua"/>
          <w:color w:val="000000" w:themeColor="text1"/>
          <w:sz w:val="24"/>
          <w:szCs w:val="24"/>
        </w:rPr>
        <w:t>;</w:t>
      </w:r>
      <w:r w:rsidRPr="00D24FFE">
        <w:rPr>
          <w:rFonts w:ascii="Book Antiqua" w:hAnsi="Book Antiqua"/>
          <w:color w:val="000000" w:themeColor="text1"/>
          <w:sz w:val="24"/>
          <w:szCs w:val="24"/>
        </w:rPr>
        <w:t xml:space="preserve"> </w:t>
      </w:r>
      <w:proofErr w:type="spellStart"/>
      <w:r w:rsidR="00752ECF" w:rsidRPr="00D24FFE">
        <w:rPr>
          <w:rFonts w:ascii="Book Antiqua" w:hAnsi="Book Antiqua"/>
          <w:color w:val="000000" w:themeColor="text1"/>
          <w:sz w:val="24"/>
          <w:szCs w:val="24"/>
        </w:rPr>
        <w:t>Dalius</w:t>
      </w:r>
      <w:proofErr w:type="spellEnd"/>
      <w:r w:rsidR="00752ECF" w:rsidRPr="00D24FFE">
        <w:rPr>
          <w:rFonts w:ascii="Book Antiqua" w:hAnsi="Book Antiqua"/>
          <w:color w:val="000000" w:themeColor="text1"/>
          <w:sz w:val="24"/>
          <w:szCs w:val="24"/>
        </w:rPr>
        <w:t xml:space="preserve"> Petrauskas (0000-0003-3756-6238)</w:t>
      </w:r>
      <w:r w:rsidR="00D24FFE">
        <w:rPr>
          <w:rFonts w:ascii="Book Antiqua" w:hAnsi="Book Antiqua"/>
          <w:color w:val="000000" w:themeColor="text1"/>
          <w:sz w:val="24"/>
          <w:szCs w:val="24"/>
        </w:rPr>
        <w:t>;</w:t>
      </w:r>
      <w:r w:rsidR="00752ECF" w:rsidRPr="00D24FFE">
        <w:rPr>
          <w:rFonts w:ascii="Book Antiqua" w:hAnsi="Book Antiqua"/>
          <w:color w:val="000000" w:themeColor="text1"/>
          <w:sz w:val="24"/>
          <w:szCs w:val="24"/>
        </w:rPr>
        <w:t xml:space="preserve"> </w:t>
      </w:r>
      <w:proofErr w:type="spellStart"/>
      <w:r w:rsidR="000177C2" w:rsidRPr="00D24FFE">
        <w:rPr>
          <w:rFonts w:ascii="Book Antiqua" w:hAnsi="Book Antiqua"/>
          <w:color w:val="000000" w:themeColor="text1"/>
          <w:sz w:val="24"/>
          <w:szCs w:val="24"/>
        </w:rPr>
        <w:t>Limas</w:t>
      </w:r>
      <w:proofErr w:type="spellEnd"/>
      <w:r w:rsidR="000177C2" w:rsidRPr="00D24FFE">
        <w:rPr>
          <w:rFonts w:ascii="Book Antiqua" w:hAnsi="Book Antiqua"/>
          <w:color w:val="000000" w:themeColor="text1"/>
          <w:sz w:val="24"/>
          <w:szCs w:val="24"/>
        </w:rPr>
        <w:t xml:space="preserve"> </w:t>
      </w:r>
      <w:proofErr w:type="spellStart"/>
      <w:r w:rsidR="000177C2" w:rsidRPr="00D24FFE">
        <w:rPr>
          <w:rFonts w:ascii="Book Antiqua" w:hAnsi="Book Antiqua"/>
          <w:color w:val="000000" w:themeColor="text1"/>
          <w:sz w:val="24"/>
          <w:szCs w:val="24"/>
        </w:rPr>
        <w:t>Kupcinskas</w:t>
      </w:r>
      <w:proofErr w:type="spellEnd"/>
      <w:r w:rsidR="000177C2" w:rsidRPr="00D24FFE">
        <w:rPr>
          <w:rFonts w:ascii="Book Antiqua" w:hAnsi="Book Antiqua"/>
          <w:color w:val="000000" w:themeColor="text1"/>
          <w:sz w:val="24"/>
          <w:szCs w:val="24"/>
        </w:rPr>
        <w:t xml:space="preserve"> (</w:t>
      </w:r>
      <w:hyperlink r:id="rId11" w:history="1">
        <w:r w:rsidR="00530708" w:rsidRPr="00D24FFE">
          <w:rPr>
            <w:rStyle w:val="Hyperlink"/>
            <w:rFonts w:ascii="Book Antiqua" w:hAnsi="Book Antiqua"/>
            <w:color w:val="000000" w:themeColor="text1"/>
            <w:sz w:val="24"/>
            <w:szCs w:val="24"/>
            <w:u w:val="none"/>
          </w:rPr>
          <w:t>0000-0002-8689-9023</w:t>
        </w:r>
      </w:hyperlink>
      <w:r w:rsidR="000177C2" w:rsidRPr="00D24FFE">
        <w:rPr>
          <w:rFonts w:ascii="Book Antiqua" w:hAnsi="Book Antiqua"/>
          <w:color w:val="000000" w:themeColor="text1"/>
          <w:sz w:val="24"/>
          <w:szCs w:val="24"/>
        </w:rPr>
        <w:t>)</w:t>
      </w:r>
      <w:r w:rsidR="00D24FFE">
        <w:rPr>
          <w:rFonts w:ascii="Book Antiqua" w:hAnsi="Book Antiqua"/>
          <w:color w:val="000000" w:themeColor="text1"/>
          <w:sz w:val="24"/>
          <w:szCs w:val="24"/>
        </w:rPr>
        <w:t>;</w:t>
      </w:r>
      <w:r w:rsidR="000177C2" w:rsidRPr="00D24FFE">
        <w:rPr>
          <w:rFonts w:ascii="Book Antiqua" w:hAnsi="Book Antiqua"/>
          <w:color w:val="000000" w:themeColor="text1"/>
          <w:sz w:val="24"/>
          <w:szCs w:val="24"/>
        </w:rPr>
        <w:t xml:space="preserve"> Ali </w:t>
      </w:r>
      <w:proofErr w:type="spellStart"/>
      <w:r w:rsidR="000177C2" w:rsidRPr="00D24FFE">
        <w:rPr>
          <w:rFonts w:ascii="Book Antiqua" w:hAnsi="Book Antiqua"/>
          <w:color w:val="000000" w:themeColor="text1"/>
          <w:sz w:val="24"/>
          <w:szCs w:val="24"/>
        </w:rPr>
        <w:t>Canbay</w:t>
      </w:r>
      <w:proofErr w:type="spellEnd"/>
      <w:r w:rsidR="000177C2" w:rsidRPr="00D24FFE">
        <w:rPr>
          <w:rFonts w:ascii="Book Antiqua" w:hAnsi="Book Antiqua"/>
          <w:color w:val="000000" w:themeColor="text1"/>
          <w:sz w:val="24"/>
          <w:szCs w:val="24"/>
        </w:rPr>
        <w:t xml:space="preserve"> (</w:t>
      </w:r>
      <w:hyperlink r:id="rId12" w:history="1">
        <w:r w:rsidR="00530708" w:rsidRPr="00D24FFE">
          <w:rPr>
            <w:rStyle w:val="Hyperlink"/>
            <w:rFonts w:ascii="Book Antiqua" w:hAnsi="Book Antiqua"/>
            <w:color w:val="000000" w:themeColor="text1"/>
            <w:sz w:val="24"/>
            <w:szCs w:val="24"/>
            <w:u w:val="none"/>
          </w:rPr>
          <w:t>0000-0001-6069-7899</w:t>
        </w:r>
      </w:hyperlink>
      <w:r w:rsidR="000177C2" w:rsidRPr="00D24FFE">
        <w:rPr>
          <w:rFonts w:ascii="Book Antiqua" w:hAnsi="Book Antiqua"/>
          <w:color w:val="000000" w:themeColor="text1"/>
          <w:sz w:val="24"/>
          <w:szCs w:val="24"/>
        </w:rPr>
        <w:t>)</w:t>
      </w:r>
      <w:r w:rsidR="00D24FFE">
        <w:rPr>
          <w:rFonts w:ascii="Book Antiqua" w:hAnsi="Book Antiqua"/>
          <w:color w:val="000000" w:themeColor="text1"/>
          <w:sz w:val="24"/>
          <w:szCs w:val="24"/>
        </w:rPr>
        <w:t>;</w:t>
      </w:r>
      <w:r w:rsidR="000177C2" w:rsidRPr="00D24FFE">
        <w:rPr>
          <w:rFonts w:ascii="Book Antiqua" w:hAnsi="Book Antiqua"/>
          <w:color w:val="000000" w:themeColor="text1"/>
          <w:sz w:val="24"/>
          <w:szCs w:val="24"/>
        </w:rPr>
        <w:t xml:space="preserve"> Alexander Link (</w:t>
      </w:r>
      <w:hyperlink r:id="rId13" w:history="1">
        <w:r w:rsidR="00530708" w:rsidRPr="00D24FFE">
          <w:rPr>
            <w:rStyle w:val="Hyperlink"/>
            <w:rFonts w:ascii="Book Antiqua" w:hAnsi="Book Antiqua"/>
            <w:color w:val="000000" w:themeColor="text1"/>
            <w:sz w:val="24"/>
            <w:szCs w:val="24"/>
            <w:u w:val="none"/>
          </w:rPr>
          <w:t>0000-0002-9514-4562</w:t>
        </w:r>
      </w:hyperlink>
      <w:r w:rsidR="000177C2" w:rsidRPr="00D24FFE">
        <w:rPr>
          <w:rFonts w:ascii="Book Antiqua" w:hAnsi="Book Antiqua"/>
          <w:color w:val="000000" w:themeColor="text1"/>
          <w:sz w:val="24"/>
          <w:szCs w:val="24"/>
        </w:rPr>
        <w:t>)</w:t>
      </w:r>
      <w:r w:rsidR="00D24FFE">
        <w:rPr>
          <w:rFonts w:ascii="Book Antiqua" w:hAnsi="Book Antiqua"/>
          <w:color w:val="000000" w:themeColor="text1"/>
          <w:sz w:val="24"/>
          <w:szCs w:val="24"/>
        </w:rPr>
        <w:t>;</w:t>
      </w:r>
      <w:r w:rsidR="000177C2" w:rsidRPr="00D24FFE">
        <w:rPr>
          <w:rFonts w:ascii="Book Antiqua" w:hAnsi="Book Antiqua"/>
          <w:color w:val="000000" w:themeColor="text1"/>
          <w:sz w:val="24"/>
          <w:szCs w:val="24"/>
        </w:rPr>
        <w:t xml:space="preserve"> </w:t>
      </w:r>
      <w:proofErr w:type="spellStart"/>
      <w:r w:rsidR="000177C2" w:rsidRPr="00D24FFE">
        <w:rPr>
          <w:rFonts w:ascii="Book Antiqua" w:hAnsi="Book Antiqua"/>
          <w:color w:val="000000" w:themeColor="text1"/>
          <w:sz w:val="24"/>
          <w:szCs w:val="24"/>
        </w:rPr>
        <w:t>Juozas</w:t>
      </w:r>
      <w:proofErr w:type="spellEnd"/>
      <w:r w:rsidR="000177C2" w:rsidRPr="00D24FFE">
        <w:rPr>
          <w:rFonts w:ascii="Book Antiqua" w:hAnsi="Book Antiqua"/>
          <w:color w:val="000000" w:themeColor="text1"/>
          <w:sz w:val="24"/>
          <w:szCs w:val="24"/>
        </w:rPr>
        <w:t xml:space="preserve"> </w:t>
      </w:r>
      <w:proofErr w:type="spellStart"/>
      <w:r w:rsidR="000177C2" w:rsidRPr="00D24FFE">
        <w:rPr>
          <w:rFonts w:ascii="Book Antiqua" w:hAnsi="Book Antiqua"/>
          <w:color w:val="000000" w:themeColor="text1"/>
          <w:sz w:val="24"/>
          <w:szCs w:val="24"/>
        </w:rPr>
        <w:t>Kupcinskas</w:t>
      </w:r>
      <w:proofErr w:type="spellEnd"/>
      <w:r w:rsidR="000177C2" w:rsidRPr="00D24FFE">
        <w:rPr>
          <w:rFonts w:ascii="Book Antiqua" w:hAnsi="Book Antiqua"/>
          <w:color w:val="000000" w:themeColor="text1"/>
          <w:sz w:val="24"/>
          <w:szCs w:val="24"/>
        </w:rPr>
        <w:t xml:space="preserve"> (</w:t>
      </w:r>
      <w:hyperlink r:id="rId14" w:history="1">
        <w:r w:rsidR="000177C2" w:rsidRPr="00D24FFE">
          <w:rPr>
            <w:rStyle w:val="Hyperlink"/>
            <w:rFonts w:ascii="Book Antiqua" w:hAnsi="Book Antiqua"/>
            <w:color w:val="000000" w:themeColor="text1"/>
            <w:sz w:val="24"/>
            <w:szCs w:val="24"/>
            <w:u w:val="none"/>
          </w:rPr>
          <w:t>0000-0002-8760-7416</w:t>
        </w:r>
      </w:hyperlink>
      <w:r w:rsidR="000177C2" w:rsidRPr="00D24FFE">
        <w:rPr>
          <w:rFonts w:ascii="Book Antiqua" w:hAnsi="Book Antiqua"/>
          <w:color w:val="000000" w:themeColor="text1"/>
          <w:sz w:val="24"/>
          <w:szCs w:val="24"/>
        </w:rPr>
        <w:t>)</w:t>
      </w:r>
      <w:r w:rsidR="00D24FFE">
        <w:rPr>
          <w:rFonts w:ascii="Book Antiqua" w:hAnsi="Book Antiqua"/>
          <w:color w:val="000000" w:themeColor="text1"/>
          <w:sz w:val="24"/>
          <w:szCs w:val="24"/>
        </w:rPr>
        <w:t>.</w:t>
      </w:r>
    </w:p>
    <w:p w:rsidR="00D24FFE" w:rsidRPr="00D24FFE" w:rsidRDefault="00D24FF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5A4FE5" w:rsidRDefault="005A4FE5" w:rsidP="006410B4">
      <w:pPr>
        <w:adjustRightInd w:val="0"/>
        <w:snapToGrid w:val="0"/>
        <w:spacing w:after="0" w:line="360" w:lineRule="auto"/>
        <w:jc w:val="both"/>
        <w:rPr>
          <w:rFonts w:ascii="Book Antiqua" w:hAnsi="Book Antiqua"/>
          <w:color w:val="000000" w:themeColor="text1"/>
          <w:sz w:val="24"/>
          <w:szCs w:val="24"/>
        </w:rPr>
      </w:pPr>
      <w:r w:rsidRPr="006410B4">
        <w:rPr>
          <w:rFonts w:ascii="Book Antiqua" w:hAnsi="Book Antiqua"/>
          <w:b/>
          <w:color w:val="000000" w:themeColor="text1"/>
          <w:sz w:val="24"/>
          <w:szCs w:val="24"/>
        </w:rPr>
        <w:t xml:space="preserve">Author contributions: </w:t>
      </w:r>
      <w:proofErr w:type="spellStart"/>
      <w:r w:rsidRPr="006410B4">
        <w:rPr>
          <w:rFonts w:ascii="Book Antiqua" w:hAnsi="Book Antiqua"/>
          <w:color w:val="000000" w:themeColor="text1"/>
          <w:sz w:val="24"/>
          <w:szCs w:val="24"/>
        </w:rPr>
        <w:t>Kupcinskas</w:t>
      </w:r>
      <w:proofErr w:type="spellEnd"/>
      <w:r w:rsidRPr="006410B4">
        <w:rPr>
          <w:rFonts w:ascii="Book Antiqua" w:hAnsi="Book Antiqua"/>
          <w:color w:val="000000" w:themeColor="text1"/>
          <w:sz w:val="24"/>
          <w:szCs w:val="24"/>
        </w:rPr>
        <w:t xml:space="preserve"> L and </w:t>
      </w:r>
      <w:proofErr w:type="spellStart"/>
      <w:r w:rsidRPr="006410B4">
        <w:rPr>
          <w:rFonts w:ascii="Book Antiqua" w:hAnsi="Book Antiqua"/>
          <w:color w:val="000000" w:themeColor="text1"/>
          <w:sz w:val="24"/>
          <w:szCs w:val="24"/>
        </w:rPr>
        <w:t>Kupcinskas</w:t>
      </w:r>
      <w:proofErr w:type="spellEnd"/>
      <w:r w:rsidRPr="006410B4">
        <w:rPr>
          <w:rFonts w:ascii="Book Antiqua" w:hAnsi="Book Antiqua"/>
          <w:color w:val="000000" w:themeColor="text1"/>
          <w:sz w:val="24"/>
          <w:szCs w:val="24"/>
        </w:rPr>
        <w:t xml:space="preserve"> J designed the research</w:t>
      </w:r>
      <w:r w:rsidR="00D24FFE">
        <w:rPr>
          <w:rFonts w:ascii="Book Antiqua" w:hAnsi="Book Antiqua"/>
          <w:color w:val="000000" w:themeColor="text1"/>
          <w:sz w:val="24"/>
          <w:szCs w:val="24"/>
        </w:rPr>
        <w:t>;</w:t>
      </w:r>
      <w:r w:rsidRPr="006410B4">
        <w:rPr>
          <w:rFonts w:ascii="Book Antiqua" w:hAnsi="Book Antiqua"/>
          <w:color w:val="000000" w:themeColor="text1"/>
          <w:sz w:val="24"/>
          <w:szCs w:val="24"/>
        </w:rPr>
        <w:t xml:space="preserve"> Gelman S, </w:t>
      </w:r>
      <w:proofErr w:type="spellStart"/>
      <w:r w:rsidRPr="006410B4">
        <w:rPr>
          <w:rFonts w:ascii="Book Antiqua" w:hAnsi="Book Antiqua"/>
          <w:color w:val="000000" w:themeColor="text1"/>
          <w:sz w:val="24"/>
          <w:szCs w:val="24"/>
        </w:rPr>
        <w:t>Zykus</w:t>
      </w:r>
      <w:proofErr w:type="spellEnd"/>
      <w:r w:rsidRPr="006410B4">
        <w:rPr>
          <w:rFonts w:ascii="Book Antiqua" w:hAnsi="Book Antiqua"/>
          <w:color w:val="000000" w:themeColor="text1"/>
          <w:sz w:val="24"/>
          <w:szCs w:val="24"/>
        </w:rPr>
        <w:t xml:space="preserve"> R</w:t>
      </w:r>
      <w:r w:rsidR="00D24FFE">
        <w:rPr>
          <w:rFonts w:ascii="Book Antiqua" w:hAnsi="Book Antiqua"/>
          <w:color w:val="000000" w:themeColor="text1"/>
          <w:sz w:val="24"/>
          <w:szCs w:val="24"/>
        </w:rPr>
        <w:t xml:space="preserve"> and </w:t>
      </w:r>
      <w:r w:rsidRPr="006410B4">
        <w:rPr>
          <w:rFonts w:ascii="Book Antiqua" w:hAnsi="Book Antiqua"/>
          <w:color w:val="000000" w:themeColor="text1"/>
          <w:sz w:val="24"/>
          <w:szCs w:val="24"/>
        </w:rPr>
        <w:t>Petrauskas D treated patients, collected material and clinical data from the patients</w:t>
      </w:r>
      <w:r w:rsidR="00D24FFE">
        <w:rPr>
          <w:rFonts w:ascii="Book Antiqua" w:hAnsi="Book Antiqua"/>
          <w:color w:val="000000" w:themeColor="text1"/>
          <w:sz w:val="24"/>
          <w:szCs w:val="24"/>
        </w:rPr>
        <w:t xml:space="preserve">; </w:t>
      </w:r>
      <w:proofErr w:type="spellStart"/>
      <w:r w:rsidRPr="006410B4">
        <w:rPr>
          <w:rFonts w:ascii="Book Antiqua" w:hAnsi="Book Antiqua"/>
          <w:color w:val="000000" w:themeColor="text1"/>
          <w:sz w:val="24"/>
          <w:szCs w:val="24"/>
        </w:rPr>
        <w:t>Salteniene</w:t>
      </w:r>
      <w:proofErr w:type="spellEnd"/>
      <w:r w:rsidRPr="006410B4">
        <w:rPr>
          <w:rFonts w:ascii="Book Antiqua" w:hAnsi="Book Antiqua"/>
          <w:color w:val="000000" w:themeColor="text1"/>
          <w:sz w:val="24"/>
          <w:szCs w:val="24"/>
        </w:rPr>
        <w:t xml:space="preserve"> V</w:t>
      </w:r>
      <w:r w:rsidR="00D24FFE">
        <w:rPr>
          <w:rFonts w:ascii="Book Antiqua" w:hAnsi="Book Antiqua"/>
          <w:color w:val="000000" w:themeColor="text1"/>
          <w:sz w:val="24"/>
          <w:szCs w:val="24"/>
        </w:rPr>
        <w:t xml:space="preserve"> and </w:t>
      </w:r>
      <w:proofErr w:type="spellStart"/>
      <w:r w:rsidRPr="006410B4">
        <w:rPr>
          <w:rFonts w:ascii="Book Antiqua" w:hAnsi="Book Antiqua"/>
          <w:color w:val="000000" w:themeColor="text1"/>
          <w:sz w:val="24"/>
          <w:szCs w:val="24"/>
        </w:rPr>
        <w:t>Skieceviciene</w:t>
      </w:r>
      <w:proofErr w:type="spellEnd"/>
      <w:r w:rsidRPr="006410B4">
        <w:rPr>
          <w:rFonts w:ascii="Book Antiqua" w:hAnsi="Book Antiqua"/>
          <w:color w:val="000000" w:themeColor="text1"/>
          <w:sz w:val="24"/>
          <w:szCs w:val="24"/>
        </w:rPr>
        <w:t xml:space="preserve"> J performed the assays, </w:t>
      </w:r>
      <w:proofErr w:type="spellStart"/>
      <w:r w:rsidRPr="006410B4">
        <w:rPr>
          <w:rFonts w:ascii="Book Antiqua" w:hAnsi="Book Antiqua"/>
          <w:color w:val="000000" w:themeColor="text1"/>
          <w:sz w:val="24"/>
          <w:szCs w:val="24"/>
        </w:rPr>
        <w:t>Pranculis</w:t>
      </w:r>
      <w:proofErr w:type="spellEnd"/>
      <w:r w:rsidRPr="006410B4">
        <w:rPr>
          <w:rFonts w:ascii="Book Antiqua" w:hAnsi="Book Antiqua"/>
          <w:color w:val="000000" w:themeColor="text1"/>
          <w:sz w:val="24"/>
          <w:szCs w:val="24"/>
        </w:rPr>
        <w:t xml:space="preserve"> A performed hepatic vein catheterization and HVPG measurement, Gelman S analyzed the data and drafted the manuscript, </w:t>
      </w:r>
      <w:proofErr w:type="spellStart"/>
      <w:r w:rsidRPr="006410B4">
        <w:rPr>
          <w:rFonts w:ascii="Book Antiqua" w:hAnsi="Book Antiqua"/>
          <w:color w:val="000000" w:themeColor="text1"/>
          <w:sz w:val="24"/>
          <w:szCs w:val="24"/>
        </w:rPr>
        <w:t>Canbay</w:t>
      </w:r>
      <w:proofErr w:type="spellEnd"/>
      <w:r w:rsidRPr="006410B4">
        <w:rPr>
          <w:rFonts w:ascii="Book Antiqua" w:hAnsi="Book Antiqua"/>
          <w:color w:val="000000" w:themeColor="text1"/>
          <w:sz w:val="24"/>
          <w:szCs w:val="24"/>
        </w:rPr>
        <w:t xml:space="preserve"> A, Link A and </w:t>
      </w:r>
      <w:proofErr w:type="spellStart"/>
      <w:r w:rsidRPr="006410B4">
        <w:rPr>
          <w:rFonts w:ascii="Book Antiqua" w:hAnsi="Book Antiqua"/>
          <w:color w:val="000000" w:themeColor="text1"/>
          <w:sz w:val="24"/>
          <w:szCs w:val="24"/>
        </w:rPr>
        <w:t>Kupcinskas</w:t>
      </w:r>
      <w:proofErr w:type="spellEnd"/>
      <w:r w:rsidRPr="006410B4">
        <w:rPr>
          <w:rFonts w:ascii="Book Antiqua" w:hAnsi="Book Antiqua"/>
          <w:color w:val="000000" w:themeColor="text1"/>
          <w:sz w:val="24"/>
          <w:szCs w:val="24"/>
        </w:rPr>
        <w:t xml:space="preserve"> J approved the final version of the manuscript </w:t>
      </w:r>
      <w:r w:rsidR="00D24FFE">
        <w:rPr>
          <w:rFonts w:ascii="Book Antiqua" w:hAnsi="Book Antiqua"/>
          <w:color w:val="000000" w:themeColor="text1"/>
          <w:sz w:val="24"/>
          <w:szCs w:val="24"/>
        </w:rPr>
        <w:t>.</w:t>
      </w:r>
    </w:p>
    <w:p w:rsidR="00D24FFE" w:rsidRPr="006410B4" w:rsidRDefault="00D24FFE" w:rsidP="006410B4">
      <w:pPr>
        <w:adjustRightInd w:val="0"/>
        <w:snapToGrid w:val="0"/>
        <w:spacing w:after="0" w:line="360" w:lineRule="auto"/>
        <w:jc w:val="both"/>
        <w:rPr>
          <w:rFonts w:ascii="Book Antiqua" w:hAnsi="Book Antiqua"/>
          <w:color w:val="000000" w:themeColor="text1"/>
          <w:sz w:val="24"/>
          <w:szCs w:val="24"/>
        </w:rPr>
      </w:pPr>
    </w:p>
    <w:p w:rsidR="00D24FFE" w:rsidRPr="00D24FFE" w:rsidRDefault="00F934F0" w:rsidP="006410B4">
      <w:pPr>
        <w:pStyle w:val="1"/>
        <w:adjustRightInd w:val="0"/>
        <w:snapToGrid w:val="0"/>
        <w:spacing w:line="360" w:lineRule="auto"/>
        <w:jc w:val="both"/>
        <w:rPr>
          <w:rFonts w:ascii="Book Antiqua" w:hAnsi="Book Antiqua" w:cs="Times New Roman"/>
          <w:bCs/>
          <w:color w:val="000000" w:themeColor="text1"/>
          <w:sz w:val="24"/>
          <w:szCs w:val="24"/>
          <w:lang w:val="en-US"/>
        </w:rPr>
      </w:pPr>
      <w:bookmarkStart w:id="8" w:name="OLE_LINK616"/>
      <w:bookmarkStart w:id="9" w:name="OLE_LINK617"/>
      <w:bookmarkStart w:id="10" w:name="OLE_LINK273"/>
      <w:bookmarkStart w:id="11" w:name="OLE_LINK391"/>
      <w:bookmarkStart w:id="12" w:name="OLE_LINK361"/>
      <w:bookmarkStart w:id="13" w:name="OLE_LINK362"/>
      <w:r w:rsidRPr="006410B4">
        <w:rPr>
          <w:rFonts w:ascii="Book Antiqua" w:hAnsi="Book Antiqua" w:cs="Times New Roman"/>
          <w:b/>
          <w:color w:val="000000" w:themeColor="text1"/>
          <w:sz w:val="24"/>
          <w:szCs w:val="24"/>
          <w:highlight w:val="white"/>
          <w:lang w:val="en-US"/>
        </w:rPr>
        <w:t>Supported by</w:t>
      </w:r>
      <w:bookmarkEnd w:id="8"/>
      <w:bookmarkEnd w:id="9"/>
      <w:bookmarkEnd w:id="10"/>
      <w:r w:rsidRPr="006410B4">
        <w:rPr>
          <w:rFonts w:ascii="Book Antiqua" w:hAnsi="Book Antiqua" w:cs="Times New Roman"/>
          <w:b/>
          <w:color w:val="000000" w:themeColor="text1"/>
          <w:sz w:val="24"/>
          <w:szCs w:val="24"/>
          <w:highlight w:val="white"/>
          <w:lang w:val="en-US" w:eastAsia="zh-CN"/>
        </w:rPr>
        <w:t xml:space="preserve"> </w:t>
      </w:r>
      <w:r w:rsidR="00817813" w:rsidRPr="00D24FFE">
        <w:rPr>
          <w:rFonts w:ascii="Book Antiqua" w:hAnsi="Book Antiqua" w:cs="Times New Roman"/>
          <w:bCs/>
          <w:color w:val="000000" w:themeColor="text1"/>
          <w:sz w:val="24"/>
          <w:szCs w:val="24"/>
          <w:highlight w:val="white"/>
          <w:lang w:val="en-US" w:eastAsia="zh-CN"/>
        </w:rPr>
        <w:t>the Research Fund of Lithuanian University of Health Sciences (SV5-074/BN17-99</w:t>
      </w:r>
      <w:r w:rsidR="00D24FFE" w:rsidRPr="00D24FFE">
        <w:rPr>
          <w:rFonts w:ascii="Book Antiqua" w:hAnsi="Book Antiqua" w:cs="Times New Roman"/>
          <w:bCs/>
          <w:color w:val="000000" w:themeColor="text1"/>
          <w:sz w:val="24"/>
          <w:szCs w:val="24"/>
          <w:highlight w:val="white"/>
          <w:lang w:val="en-US" w:eastAsia="zh-CN"/>
        </w:rPr>
        <w:t>), N</w:t>
      </w:r>
      <w:r w:rsidR="00817813" w:rsidRPr="00D24FFE">
        <w:rPr>
          <w:rFonts w:ascii="Book Antiqua" w:hAnsi="Book Antiqua" w:cs="Times New Roman"/>
          <w:bCs/>
          <w:color w:val="000000" w:themeColor="text1"/>
          <w:sz w:val="24"/>
          <w:szCs w:val="24"/>
          <w:highlight w:val="white"/>
          <w:lang w:val="en-US" w:eastAsia="zh-CN"/>
        </w:rPr>
        <w:t xml:space="preserve">o. LSMU-21. </w:t>
      </w:r>
      <w:bookmarkStart w:id="14" w:name="OLE_LINK815"/>
      <w:bookmarkStart w:id="15" w:name="OLE_LINK863"/>
      <w:bookmarkStart w:id="16" w:name="OLE_LINK960"/>
      <w:bookmarkStart w:id="17" w:name="OLE_LINK657"/>
      <w:bookmarkStart w:id="18" w:name="OLE_LINK433"/>
      <w:bookmarkStart w:id="19" w:name="OLE_LINK434"/>
      <w:bookmarkStart w:id="20" w:name="OLE_LINK1104"/>
      <w:bookmarkStart w:id="21" w:name="OLE_LINK270"/>
      <w:bookmarkEnd w:id="11"/>
    </w:p>
    <w:p w:rsidR="00D24FFE" w:rsidRDefault="00D24FFE" w:rsidP="006410B4">
      <w:pPr>
        <w:pStyle w:val="1"/>
        <w:adjustRightInd w:val="0"/>
        <w:snapToGrid w:val="0"/>
        <w:spacing w:line="360" w:lineRule="auto"/>
        <w:jc w:val="both"/>
        <w:rPr>
          <w:rFonts w:ascii="Book Antiqua" w:hAnsi="Book Antiqua" w:cs="Times New Roman"/>
          <w:b/>
          <w:bCs/>
          <w:color w:val="000000" w:themeColor="text1"/>
          <w:sz w:val="24"/>
          <w:szCs w:val="24"/>
          <w:lang w:val="en-US"/>
        </w:rPr>
      </w:pPr>
    </w:p>
    <w:p w:rsidR="00F934F0" w:rsidRDefault="00F934F0" w:rsidP="006410B4">
      <w:pPr>
        <w:pStyle w:val="1"/>
        <w:adjustRightInd w:val="0"/>
        <w:snapToGrid w:val="0"/>
        <w:spacing w:line="360" w:lineRule="auto"/>
        <w:jc w:val="both"/>
        <w:rPr>
          <w:rFonts w:ascii="Book Antiqua" w:eastAsia="Times New Roman" w:hAnsi="Book Antiqua" w:cs="Times New Roman"/>
          <w:color w:val="000000" w:themeColor="text1"/>
          <w:sz w:val="24"/>
          <w:szCs w:val="24"/>
        </w:rPr>
      </w:pPr>
      <w:r w:rsidRPr="006410B4">
        <w:rPr>
          <w:rFonts w:ascii="Book Antiqua" w:hAnsi="Book Antiqua" w:cs="Times New Roman"/>
          <w:b/>
          <w:bCs/>
          <w:iCs/>
          <w:color w:val="000000" w:themeColor="text1"/>
          <w:sz w:val="24"/>
          <w:szCs w:val="24"/>
          <w:highlight w:val="white"/>
          <w:lang w:val="en-US" w:eastAsia="zh-CN"/>
        </w:rPr>
        <w:t>Institutional review board statement:</w:t>
      </w:r>
      <w:bookmarkEnd w:id="14"/>
      <w:bookmarkEnd w:id="15"/>
      <w:bookmarkEnd w:id="16"/>
      <w:r w:rsidRPr="006410B4">
        <w:rPr>
          <w:rFonts w:ascii="Book Antiqua" w:hAnsi="Book Antiqua" w:cs="Times New Roman"/>
          <w:b/>
          <w:bCs/>
          <w:iCs/>
          <w:color w:val="000000" w:themeColor="text1"/>
          <w:sz w:val="24"/>
          <w:szCs w:val="24"/>
          <w:highlight w:val="white"/>
          <w:lang w:val="en-US" w:eastAsia="zh-CN"/>
        </w:rPr>
        <w:t xml:space="preserve"> </w:t>
      </w:r>
      <w:bookmarkEnd w:id="12"/>
      <w:bookmarkEnd w:id="13"/>
      <w:bookmarkEnd w:id="17"/>
      <w:bookmarkEnd w:id="18"/>
      <w:bookmarkEnd w:id="19"/>
      <w:r w:rsidR="00D24FFE" w:rsidRPr="00394D9F">
        <w:rPr>
          <w:rFonts w:ascii="Book Antiqua" w:hAnsi="Book Antiqua" w:cs="Times New Roman"/>
          <w:bCs/>
          <w:iCs/>
          <w:color w:val="000000" w:themeColor="text1"/>
          <w:sz w:val="24"/>
          <w:szCs w:val="24"/>
          <w:highlight w:val="white"/>
          <w:lang w:val="en-US" w:eastAsia="zh-CN"/>
        </w:rPr>
        <w:t xml:space="preserve">This study was approved by the institutional review board of </w:t>
      </w:r>
      <w:r w:rsidR="00394D9F" w:rsidRPr="00394D9F">
        <w:rPr>
          <w:rFonts w:ascii="Book Antiqua" w:eastAsia="Times New Roman" w:hAnsi="Book Antiqua" w:cs="Times New Roman"/>
          <w:color w:val="000000" w:themeColor="text1"/>
          <w:sz w:val="24"/>
          <w:szCs w:val="24"/>
        </w:rPr>
        <w:t>Lithuanian University of Health Sciences.</w:t>
      </w:r>
    </w:p>
    <w:p w:rsidR="00394D9F" w:rsidRPr="006410B4" w:rsidRDefault="00394D9F" w:rsidP="006410B4">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rsidR="00F934F0" w:rsidRPr="006410B4" w:rsidRDefault="00F934F0" w:rsidP="006410B4">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22" w:name="OLE_LINK339"/>
      <w:bookmarkStart w:id="23" w:name="OLE_LINK340"/>
      <w:bookmarkStart w:id="24" w:name="OLE_LINK352"/>
      <w:bookmarkStart w:id="25" w:name="OLE_LINK365"/>
      <w:bookmarkStart w:id="26" w:name="OLE_LINK398"/>
      <w:bookmarkStart w:id="27" w:name="OLE_LINK464"/>
      <w:bookmarkEnd w:id="20"/>
      <w:bookmarkEnd w:id="21"/>
      <w:r w:rsidRPr="006410B4">
        <w:rPr>
          <w:rFonts w:ascii="Book Antiqua" w:hAnsi="Book Antiqua" w:cs="Times New Roman"/>
          <w:b/>
          <w:bCs/>
          <w:iCs/>
          <w:color w:val="000000" w:themeColor="text1"/>
          <w:sz w:val="24"/>
          <w:szCs w:val="24"/>
          <w:highlight w:val="white"/>
          <w:lang w:val="en-US" w:eastAsia="zh-CN"/>
        </w:rPr>
        <w:t>Informed consent statement:</w:t>
      </w:r>
      <w:bookmarkEnd w:id="22"/>
      <w:bookmarkEnd w:id="23"/>
      <w:bookmarkEnd w:id="24"/>
      <w:bookmarkEnd w:id="25"/>
      <w:bookmarkEnd w:id="26"/>
      <w:r w:rsidR="00394D9F" w:rsidRPr="00394D9F">
        <w:rPr>
          <w:rFonts w:ascii="Book Antiqua" w:hAnsi="Book Antiqua"/>
          <w:sz w:val="24"/>
          <w:lang w:val="en-US"/>
        </w:rPr>
        <w:t xml:space="preserve"> </w:t>
      </w:r>
      <w:r w:rsidR="00394D9F" w:rsidRPr="008C37FD">
        <w:rPr>
          <w:rFonts w:ascii="Book Antiqua" w:hAnsi="Book Antiqua"/>
          <w:sz w:val="24"/>
          <w:lang w:val="en-US"/>
        </w:rPr>
        <w:t>Informed consent was obtained from each patient.</w:t>
      </w:r>
    </w:p>
    <w:p w:rsidR="00F934F0" w:rsidRPr="006410B4" w:rsidRDefault="00F934F0" w:rsidP="006410B4">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28" w:name="OLE_LINK472"/>
      <w:bookmarkStart w:id="29" w:name="OLE_LINK474"/>
      <w:bookmarkStart w:id="30" w:name="OLE_LINK328"/>
      <w:bookmarkEnd w:id="27"/>
    </w:p>
    <w:p w:rsidR="00F934F0" w:rsidRPr="006410B4" w:rsidRDefault="00F934F0" w:rsidP="006410B4">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31" w:name="OLE_LINK235"/>
      <w:bookmarkStart w:id="32" w:name="OLE_LINK236"/>
      <w:bookmarkStart w:id="33" w:name="OLE_LINK684"/>
      <w:bookmarkStart w:id="34" w:name="OLE_LINK795"/>
      <w:bookmarkStart w:id="35" w:name="OLE_LINK796"/>
      <w:bookmarkStart w:id="36" w:name="OLE_LINK724"/>
      <w:bookmarkStart w:id="37" w:name="OLE_LINK725"/>
      <w:r w:rsidRPr="006410B4">
        <w:rPr>
          <w:rFonts w:ascii="Book Antiqua" w:hAnsi="Book Antiqua" w:cs="Times New Roman"/>
          <w:b/>
          <w:bCs/>
          <w:iCs/>
          <w:color w:val="000000" w:themeColor="text1"/>
          <w:sz w:val="24"/>
          <w:szCs w:val="24"/>
          <w:highlight w:val="white"/>
          <w:lang w:val="en-US" w:eastAsia="zh-CN"/>
        </w:rPr>
        <w:t>Conflict-of-interest statement:</w:t>
      </w:r>
      <w:r w:rsidR="00394D9F">
        <w:rPr>
          <w:rFonts w:ascii="Book Antiqua" w:hAnsi="Book Antiqua" w:cs="Times New Roman"/>
          <w:b/>
          <w:bCs/>
          <w:iCs/>
          <w:color w:val="000000" w:themeColor="text1"/>
          <w:sz w:val="24"/>
          <w:szCs w:val="24"/>
          <w:highlight w:val="white"/>
          <w:lang w:val="en-US" w:eastAsia="zh-CN"/>
        </w:rPr>
        <w:t xml:space="preserve"> </w:t>
      </w:r>
      <w:r w:rsidR="00394D9F" w:rsidRPr="008C37FD">
        <w:rPr>
          <w:rFonts w:ascii="Book Antiqua" w:eastAsia="Times New Roman" w:hAnsi="Book Antiqua"/>
          <w:kern w:val="36"/>
          <w:sz w:val="24"/>
          <w:szCs w:val="24"/>
          <w:lang w:val="en-US"/>
        </w:rPr>
        <w:t>The authors have declared no conflicts of interest.</w:t>
      </w:r>
    </w:p>
    <w:bookmarkEnd w:id="28"/>
    <w:bookmarkEnd w:id="29"/>
    <w:bookmarkEnd w:id="30"/>
    <w:bookmarkEnd w:id="31"/>
    <w:bookmarkEnd w:id="32"/>
    <w:bookmarkEnd w:id="33"/>
    <w:bookmarkEnd w:id="34"/>
    <w:bookmarkEnd w:id="35"/>
    <w:bookmarkEnd w:id="36"/>
    <w:bookmarkEnd w:id="37"/>
    <w:p w:rsidR="00F934F0" w:rsidRPr="006410B4" w:rsidRDefault="00F934F0" w:rsidP="006410B4">
      <w:pPr>
        <w:adjustRightInd w:val="0"/>
        <w:snapToGrid w:val="0"/>
        <w:spacing w:after="0" w:line="360" w:lineRule="auto"/>
        <w:jc w:val="both"/>
        <w:rPr>
          <w:rFonts w:ascii="Book Antiqua" w:hAnsi="Book Antiqua"/>
          <w:color w:val="000000" w:themeColor="text1"/>
          <w:sz w:val="24"/>
          <w:szCs w:val="24"/>
          <w:lang w:eastAsia="zh-CN"/>
        </w:rPr>
      </w:pPr>
    </w:p>
    <w:p w:rsidR="001E3998" w:rsidRPr="006410B4" w:rsidRDefault="005A4FE5"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b/>
          <w:color w:val="000000" w:themeColor="text1"/>
          <w:sz w:val="24"/>
          <w:szCs w:val="24"/>
        </w:rPr>
        <w:t>STROBE statement</w:t>
      </w:r>
      <w:r w:rsidRPr="00394D9F">
        <w:rPr>
          <w:rFonts w:ascii="Book Antiqua" w:eastAsia="Times New Roman" w:hAnsi="Book Antiqua" w:cs="Times New Roman"/>
          <w:b/>
          <w:color w:val="000000" w:themeColor="text1"/>
          <w:sz w:val="24"/>
          <w:szCs w:val="24"/>
        </w:rPr>
        <w:t>:</w:t>
      </w:r>
      <w:r w:rsidRPr="006410B4">
        <w:rPr>
          <w:rFonts w:ascii="Book Antiqua" w:eastAsia="Times New Roman" w:hAnsi="Book Antiqua" w:cs="Times New Roman"/>
          <w:color w:val="000000" w:themeColor="text1"/>
          <w:sz w:val="24"/>
          <w:szCs w:val="24"/>
        </w:rPr>
        <w:t xml:space="preserve"> The authors have read the STROBE Statement</w:t>
      </w:r>
      <w:r w:rsidR="00394D9F">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checklist of items, and the manuscript was prepared and revised according to the STROBE Statement</w:t>
      </w:r>
      <w:r w:rsidR="00394D9F">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checklist of items.</w:t>
      </w:r>
    </w:p>
    <w:p w:rsidR="002C030A" w:rsidRDefault="002C030A"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394D9F" w:rsidRPr="00394D9F" w:rsidRDefault="00394D9F" w:rsidP="00394D9F">
      <w:pPr>
        <w:snapToGrid w:val="0"/>
        <w:spacing w:after="0" w:line="360" w:lineRule="auto"/>
        <w:jc w:val="both"/>
        <w:rPr>
          <w:rFonts w:ascii="Book Antiqua" w:eastAsia="SimSun" w:hAnsi="Book Antiqua" w:cs="Times New Roman"/>
          <w:sz w:val="24"/>
          <w:szCs w:val="24"/>
          <w:lang w:eastAsia="zh-CN"/>
        </w:rPr>
      </w:pPr>
      <w:bookmarkStart w:id="38" w:name="OLE_LINK25"/>
      <w:bookmarkStart w:id="39" w:name="OLE_LINK26"/>
      <w:bookmarkStart w:id="40" w:name="OLE_LINK375"/>
      <w:bookmarkStart w:id="41" w:name="OLE_LINK32"/>
      <w:bookmarkStart w:id="42" w:name="OLE_LINK381"/>
      <w:bookmarkStart w:id="43" w:name="OLE_LINK413"/>
      <w:bookmarkStart w:id="44" w:name="OLE_LINK104"/>
      <w:r w:rsidRPr="00394D9F">
        <w:rPr>
          <w:rFonts w:ascii="Book Antiqua" w:eastAsia="SimSun" w:hAnsi="Book Antiqua" w:cs="Times New Roman"/>
          <w:b/>
          <w:color w:val="000000"/>
          <w:sz w:val="24"/>
          <w:szCs w:val="24"/>
          <w:lang w:eastAsia="zh-CN"/>
        </w:rPr>
        <w:lastRenderedPageBreak/>
        <w:t xml:space="preserve">Open-Access: </w:t>
      </w:r>
      <w:r w:rsidRPr="00394D9F">
        <w:rPr>
          <w:rFonts w:ascii="Book Antiqua" w:eastAsia="SimSun" w:hAnsi="Book Antiqua" w:cs="Times New Roman"/>
          <w:color w:val="000000"/>
          <w:sz w:val="24"/>
          <w:szCs w:val="24"/>
          <w:lang w:eastAsia="zh-CN"/>
        </w:rPr>
        <w:t xml:space="preserve">This is an </w:t>
      </w:r>
      <w:r w:rsidRPr="00394D9F">
        <w:rPr>
          <w:rFonts w:ascii="Book Antiqua" w:eastAsia="SimSun" w:hAnsi="Book Antiqua" w:cs="SimSun"/>
          <w:sz w:val="24"/>
          <w:szCs w:val="24"/>
          <w:lang w:eastAsia="zh-CN"/>
        </w:rPr>
        <w:t xml:space="preserve">open-access article that was </w:t>
      </w:r>
      <w:r w:rsidRPr="00394D9F">
        <w:rPr>
          <w:rFonts w:ascii="Book Antiqua" w:eastAsia="SimSun" w:hAnsi="Book Antiqua" w:cs="Times New Roman"/>
          <w:sz w:val="24"/>
          <w:szCs w:val="24"/>
          <w:lang w:eastAsia="zh-CN"/>
        </w:rPr>
        <w:t xml:space="preserve">selected by an in-house editor and fully peer-reviewed by external reviewers. It is </w:t>
      </w:r>
      <w:r w:rsidRPr="00394D9F">
        <w:rPr>
          <w:rFonts w:ascii="Book Antiqua" w:eastAsia="SimSun" w:hAnsi="Book Antiqua" w:cs="SimSun"/>
          <w:sz w:val="24"/>
          <w:szCs w:val="24"/>
          <w:lang w:eastAsia="zh-CN"/>
        </w:rPr>
        <w:t xml:space="preserve">distributed in accordance with </w:t>
      </w:r>
      <w:r w:rsidRPr="00394D9F">
        <w:rPr>
          <w:rFonts w:ascii="Book Antiqua" w:eastAsia="SimSun" w:hAnsi="Book Antiqua" w:cs="Times New Roman"/>
          <w:sz w:val="24"/>
          <w:szCs w:val="24"/>
          <w:lang w:eastAsia="zh-CN"/>
        </w:rPr>
        <w:t xml:space="preserve">the Creative Commons Attribution </w:t>
      </w:r>
      <w:proofErr w:type="gramStart"/>
      <w:r w:rsidRPr="00394D9F">
        <w:rPr>
          <w:rFonts w:ascii="Book Antiqua" w:eastAsia="SimSun" w:hAnsi="Book Antiqua" w:cs="Times New Roman"/>
          <w:sz w:val="24"/>
          <w:szCs w:val="24"/>
          <w:lang w:eastAsia="zh-CN"/>
        </w:rPr>
        <w:t>Non Commercial</w:t>
      </w:r>
      <w:proofErr w:type="gramEnd"/>
      <w:r w:rsidRPr="00394D9F">
        <w:rPr>
          <w:rFonts w:ascii="Book Antiqua" w:eastAsia="SimSun" w:hAnsi="Book Antiqua" w:cs="Times New Roman"/>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5" w:history="1">
        <w:r w:rsidRPr="00394D9F">
          <w:rPr>
            <w:rFonts w:ascii="Book Antiqua" w:eastAsia="SimSun" w:hAnsi="Book Antiqua" w:cs="Times New Roman"/>
            <w:color w:val="0000FF"/>
            <w:sz w:val="24"/>
            <w:szCs w:val="24"/>
            <w:u w:val="single"/>
            <w:lang w:eastAsia="zh-CN"/>
          </w:rPr>
          <w:t>http://creativecommons.org/licenses/by-nc/4.0/</w:t>
        </w:r>
      </w:hyperlink>
    </w:p>
    <w:p w:rsidR="00394D9F" w:rsidRPr="00394D9F" w:rsidRDefault="00394D9F" w:rsidP="00394D9F">
      <w:pPr>
        <w:snapToGrid w:val="0"/>
        <w:spacing w:after="0" w:line="360" w:lineRule="auto"/>
        <w:jc w:val="both"/>
        <w:rPr>
          <w:rFonts w:ascii="Book Antiqua" w:eastAsia="SimSun" w:hAnsi="Book Antiqua" w:cs="Times New Roman"/>
          <w:sz w:val="24"/>
          <w:szCs w:val="24"/>
          <w:lang w:eastAsia="zh-CN"/>
        </w:rPr>
      </w:pPr>
    </w:p>
    <w:p w:rsidR="00394D9F" w:rsidRDefault="00394D9F" w:rsidP="00394D9F">
      <w:pPr>
        <w:adjustRightInd w:val="0"/>
        <w:snapToGrid w:val="0"/>
        <w:spacing w:after="0" w:line="360" w:lineRule="auto"/>
        <w:jc w:val="both"/>
        <w:rPr>
          <w:rFonts w:ascii="Book Antiqua" w:eastAsia="SimSun" w:hAnsi="Book Antiqua" w:cs="Times New Roman"/>
          <w:bCs/>
          <w:sz w:val="24"/>
          <w:szCs w:val="24"/>
          <w:lang w:eastAsia="zh-CN"/>
        </w:rPr>
      </w:pPr>
      <w:bookmarkStart w:id="45" w:name="OLE_LINK11"/>
      <w:r w:rsidRPr="00394D9F">
        <w:rPr>
          <w:rFonts w:ascii="Book Antiqua" w:eastAsia="SimSun" w:hAnsi="Book Antiqua" w:cs="Times New Roman"/>
          <w:b/>
          <w:bCs/>
          <w:sz w:val="24"/>
          <w:szCs w:val="24"/>
          <w:highlight w:val="white"/>
          <w:lang w:eastAsia="zh-CN"/>
        </w:rPr>
        <w:t>Manuscript source:</w:t>
      </w:r>
      <w:r w:rsidRPr="00394D9F">
        <w:rPr>
          <w:rFonts w:ascii="Book Antiqua" w:eastAsia="SimSun" w:hAnsi="Book Antiqua" w:cs="Times New Roman" w:hint="eastAsia"/>
          <w:b/>
          <w:bCs/>
          <w:sz w:val="24"/>
          <w:szCs w:val="24"/>
          <w:highlight w:val="white"/>
          <w:lang w:eastAsia="zh-CN"/>
        </w:rPr>
        <w:t xml:space="preserve"> </w:t>
      </w:r>
      <w:r w:rsidRPr="00394D9F">
        <w:rPr>
          <w:rFonts w:ascii="Book Antiqua" w:eastAsia="SimSun" w:hAnsi="Book Antiqua" w:cs="Times New Roman"/>
          <w:bCs/>
          <w:sz w:val="24"/>
          <w:szCs w:val="24"/>
          <w:highlight w:val="white"/>
          <w:lang w:eastAsia="zh-CN"/>
        </w:rPr>
        <w:t>Unsolicited manuscript</w:t>
      </w:r>
      <w:bookmarkEnd w:id="38"/>
      <w:bookmarkEnd w:id="39"/>
      <w:bookmarkEnd w:id="40"/>
      <w:bookmarkEnd w:id="41"/>
      <w:bookmarkEnd w:id="42"/>
      <w:bookmarkEnd w:id="43"/>
      <w:bookmarkEnd w:id="44"/>
      <w:bookmarkEnd w:id="45"/>
    </w:p>
    <w:p w:rsidR="00394D9F" w:rsidRPr="006410B4" w:rsidRDefault="00394D9F" w:rsidP="00394D9F">
      <w:pPr>
        <w:adjustRightInd w:val="0"/>
        <w:snapToGrid w:val="0"/>
        <w:spacing w:after="0" w:line="360" w:lineRule="auto"/>
        <w:jc w:val="both"/>
        <w:rPr>
          <w:rFonts w:ascii="Book Antiqua" w:eastAsia="Times New Roman" w:hAnsi="Book Antiqua" w:cs="Times New Roman"/>
          <w:color w:val="000000" w:themeColor="text1"/>
          <w:sz w:val="24"/>
          <w:szCs w:val="24"/>
        </w:rPr>
      </w:pPr>
    </w:p>
    <w:p w:rsidR="001D33A6" w:rsidRPr="006410B4" w:rsidRDefault="00F934F0" w:rsidP="006410B4">
      <w:pPr>
        <w:adjustRightInd w:val="0"/>
        <w:snapToGrid w:val="0"/>
        <w:spacing w:after="0" w:line="360" w:lineRule="auto"/>
        <w:jc w:val="both"/>
        <w:rPr>
          <w:rFonts w:ascii="Book Antiqua" w:hAnsi="Book Antiqua"/>
          <w:color w:val="000000" w:themeColor="text1"/>
          <w:sz w:val="24"/>
          <w:szCs w:val="24"/>
        </w:rPr>
      </w:pPr>
      <w:bookmarkStart w:id="46" w:name="OLE_LINK294"/>
      <w:bookmarkStart w:id="47" w:name="OLE_LINK295"/>
      <w:bookmarkStart w:id="48" w:name="OLE_LINK15"/>
      <w:bookmarkStart w:id="49" w:name="OLE_LINK16"/>
      <w:bookmarkStart w:id="50" w:name="OLE_LINK56"/>
      <w:r w:rsidRPr="006410B4">
        <w:rPr>
          <w:rFonts w:ascii="Book Antiqua" w:hAnsi="Book Antiqua" w:cs="Times New Roman"/>
          <w:b/>
          <w:bCs/>
          <w:color w:val="000000" w:themeColor="text1"/>
          <w:sz w:val="24"/>
          <w:szCs w:val="24"/>
          <w:highlight w:val="white"/>
          <w:lang w:eastAsia="zh-CN"/>
        </w:rPr>
        <w:t>Corresponding author:</w:t>
      </w:r>
      <w:bookmarkEnd w:id="46"/>
      <w:bookmarkEnd w:id="47"/>
      <w:bookmarkEnd w:id="48"/>
      <w:bookmarkEnd w:id="49"/>
      <w:bookmarkEnd w:id="50"/>
      <w:r w:rsidR="005A4FE5" w:rsidRPr="006410B4">
        <w:rPr>
          <w:rFonts w:ascii="Book Antiqua" w:hAnsi="Book Antiqua"/>
          <w:color w:val="000000" w:themeColor="text1"/>
          <w:sz w:val="24"/>
          <w:szCs w:val="24"/>
        </w:rPr>
        <w:t xml:space="preserve"> </w:t>
      </w:r>
      <w:proofErr w:type="spellStart"/>
      <w:r w:rsidR="005A4FE5" w:rsidRPr="006410B4">
        <w:rPr>
          <w:rFonts w:ascii="Book Antiqua" w:hAnsi="Book Antiqua"/>
          <w:b/>
          <w:color w:val="000000" w:themeColor="text1"/>
          <w:sz w:val="24"/>
          <w:szCs w:val="24"/>
        </w:rPr>
        <w:t>Juozas</w:t>
      </w:r>
      <w:proofErr w:type="spellEnd"/>
      <w:r w:rsidR="005A4FE5" w:rsidRPr="006410B4">
        <w:rPr>
          <w:rFonts w:ascii="Book Antiqua" w:hAnsi="Book Antiqua"/>
          <w:b/>
          <w:color w:val="000000" w:themeColor="text1"/>
          <w:sz w:val="24"/>
          <w:szCs w:val="24"/>
        </w:rPr>
        <w:t xml:space="preserve"> </w:t>
      </w:r>
      <w:proofErr w:type="spellStart"/>
      <w:r w:rsidR="005A4FE5" w:rsidRPr="006410B4">
        <w:rPr>
          <w:rFonts w:ascii="Book Antiqua" w:hAnsi="Book Antiqua"/>
          <w:b/>
          <w:color w:val="000000" w:themeColor="text1"/>
          <w:sz w:val="24"/>
          <w:szCs w:val="24"/>
        </w:rPr>
        <w:t>Kupcinskas</w:t>
      </w:r>
      <w:proofErr w:type="spellEnd"/>
      <w:r w:rsidR="005A4FE5" w:rsidRPr="006410B4">
        <w:rPr>
          <w:rFonts w:ascii="Book Antiqua" w:hAnsi="Book Antiqua"/>
          <w:b/>
          <w:color w:val="000000" w:themeColor="text1"/>
          <w:sz w:val="24"/>
          <w:szCs w:val="24"/>
        </w:rPr>
        <w:t xml:space="preserve">, MD, </w:t>
      </w:r>
      <w:r w:rsidR="00394D9F">
        <w:rPr>
          <w:rFonts w:ascii="Book Antiqua" w:hAnsi="Book Antiqua"/>
          <w:b/>
          <w:color w:val="000000" w:themeColor="text1"/>
          <w:sz w:val="24"/>
          <w:szCs w:val="24"/>
        </w:rPr>
        <w:t xml:space="preserve">PhD, </w:t>
      </w:r>
      <w:r w:rsidR="00394D9F" w:rsidRPr="00394D9F">
        <w:rPr>
          <w:rFonts w:ascii="Book Antiqua" w:hAnsi="Book Antiqua"/>
          <w:b/>
          <w:color w:val="000000" w:themeColor="text1"/>
          <w:sz w:val="24"/>
          <w:szCs w:val="24"/>
        </w:rPr>
        <w:t>Doctor,</w:t>
      </w:r>
      <w:r w:rsidR="00394D9F">
        <w:rPr>
          <w:rFonts w:ascii="Book Antiqua" w:hAnsi="Book Antiqua"/>
          <w:b/>
          <w:color w:val="000000" w:themeColor="text1"/>
          <w:sz w:val="24"/>
          <w:szCs w:val="24"/>
        </w:rPr>
        <w:t xml:space="preserve"> </w:t>
      </w:r>
      <w:r w:rsidR="00394D9F" w:rsidRPr="00394D9F">
        <w:rPr>
          <w:rFonts w:ascii="Book Antiqua" w:hAnsi="Book Antiqua"/>
          <w:b/>
          <w:color w:val="000000" w:themeColor="text1"/>
          <w:sz w:val="24"/>
          <w:szCs w:val="24"/>
        </w:rPr>
        <w:t>Professor,</w:t>
      </w:r>
      <w:r w:rsidR="00394D9F">
        <w:rPr>
          <w:rFonts w:ascii="Book Antiqua" w:hAnsi="Book Antiqua"/>
          <w:b/>
          <w:color w:val="000000" w:themeColor="text1"/>
          <w:sz w:val="24"/>
          <w:szCs w:val="24"/>
        </w:rPr>
        <w:t xml:space="preserve"> </w:t>
      </w:r>
      <w:r w:rsidR="00394D9F" w:rsidRPr="00394D9F">
        <w:rPr>
          <w:rFonts w:ascii="Book Antiqua" w:hAnsi="Book Antiqua"/>
          <w:b/>
          <w:color w:val="000000" w:themeColor="text1"/>
          <w:sz w:val="24"/>
          <w:szCs w:val="24"/>
        </w:rPr>
        <w:t>Research Fellow,</w:t>
      </w:r>
      <w:r w:rsidR="00394D9F">
        <w:rPr>
          <w:rFonts w:ascii="Book Antiqua" w:hAnsi="Book Antiqua"/>
          <w:b/>
          <w:color w:val="000000" w:themeColor="text1"/>
          <w:sz w:val="24"/>
          <w:szCs w:val="24"/>
        </w:rPr>
        <w:t xml:space="preserve"> </w:t>
      </w:r>
      <w:r w:rsidR="00394D9F" w:rsidRPr="00394D9F">
        <w:rPr>
          <w:rFonts w:ascii="Book Antiqua" w:hAnsi="Book Antiqua"/>
          <w:b/>
          <w:color w:val="000000" w:themeColor="text1"/>
          <w:sz w:val="24"/>
          <w:szCs w:val="24"/>
        </w:rPr>
        <w:t>Senior Researcher,</w:t>
      </w:r>
      <w:r w:rsidR="00394D9F">
        <w:rPr>
          <w:rFonts w:ascii="Book Antiqua" w:hAnsi="Book Antiqua"/>
          <w:b/>
          <w:color w:val="000000" w:themeColor="text1"/>
          <w:sz w:val="24"/>
          <w:szCs w:val="24"/>
        </w:rPr>
        <w:t xml:space="preserve"> </w:t>
      </w:r>
      <w:r w:rsidR="00394D9F" w:rsidRPr="00394D9F">
        <w:rPr>
          <w:rFonts w:ascii="Book Antiqua" w:hAnsi="Book Antiqua"/>
          <w:b/>
          <w:color w:val="000000" w:themeColor="text1"/>
          <w:sz w:val="24"/>
          <w:szCs w:val="24"/>
        </w:rPr>
        <w:t>Senior Scientist</w:t>
      </w:r>
      <w:r w:rsidR="00394D9F">
        <w:rPr>
          <w:rFonts w:ascii="Book Antiqua" w:hAnsi="Book Antiqua"/>
          <w:b/>
          <w:color w:val="000000" w:themeColor="text1"/>
          <w:sz w:val="24"/>
          <w:szCs w:val="24"/>
        </w:rPr>
        <w:t>,</w:t>
      </w:r>
      <w:r w:rsidR="005A4FE5" w:rsidRPr="00394D9F">
        <w:rPr>
          <w:rFonts w:ascii="Book Antiqua" w:hAnsi="Book Antiqua"/>
          <w:b/>
          <w:color w:val="000000" w:themeColor="text1"/>
          <w:sz w:val="24"/>
          <w:szCs w:val="24"/>
        </w:rPr>
        <w:t xml:space="preserve"> </w:t>
      </w:r>
      <w:r w:rsidR="005A4FE5" w:rsidRPr="006410B4">
        <w:rPr>
          <w:rFonts w:ascii="Book Antiqua" w:hAnsi="Book Antiqua"/>
          <w:color w:val="000000" w:themeColor="text1"/>
          <w:sz w:val="24"/>
          <w:szCs w:val="24"/>
        </w:rPr>
        <w:t xml:space="preserve">Institute for Digestive Research, Lithuanian University of Health Sciences, A. </w:t>
      </w:r>
      <w:proofErr w:type="spellStart"/>
      <w:r w:rsidR="005A4FE5" w:rsidRPr="006410B4">
        <w:rPr>
          <w:rFonts w:ascii="Book Antiqua" w:hAnsi="Book Antiqua"/>
          <w:color w:val="000000" w:themeColor="text1"/>
          <w:sz w:val="24"/>
          <w:szCs w:val="24"/>
        </w:rPr>
        <w:t>Mickeviciaus</w:t>
      </w:r>
      <w:proofErr w:type="spellEnd"/>
      <w:r w:rsidR="005A4FE5" w:rsidRPr="006410B4">
        <w:rPr>
          <w:rFonts w:ascii="Book Antiqua" w:hAnsi="Book Antiqua"/>
          <w:color w:val="000000" w:themeColor="text1"/>
          <w:sz w:val="24"/>
          <w:szCs w:val="24"/>
        </w:rPr>
        <w:t xml:space="preserve"> </w:t>
      </w:r>
      <w:r w:rsidR="00394D9F">
        <w:rPr>
          <w:rFonts w:ascii="Book Antiqua" w:hAnsi="Book Antiqua"/>
          <w:color w:val="000000" w:themeColor="text1"/>
          <w:sz w:val="24"/>
          <w:szCs w:val="24"/>
        </w:rPr>
        <w:t>S</w:t>
      </w:r>
      <w:r w:rsidR="005A4FE5" w:rsidRPr="006410B4">
        <w:rPr>
          <w:rFonts w:ascii="Book Antiqua" w:hAnsi="Book Antiqua"/>
          <w:color w:val="000000" w:themeColor="text1"/>
          <w:sz w:val="24"/>
          <w:szCs w:val="24"/>
        </w:rPr>
        <w:t>tr. 9, Kaunas</w:t>
      </w:r>
      <w:r w:rsidR="00394D9F">
        <w:rPr>
          <w:rFonts w:ascii="Book Antiqua" w:hAnsi="Book Antiqua"/>
          <w:color w:val="000000" w:themeColor="text1"/>
          <w:sz w:val="24"/>
          <w:szCs w:val="24"/>
        </w:rPr>
        <w:t xml:space="preserve"> </w:t>
      </w:r>
      <w:r w:rsidR="00394D9F" w:rsidRPr="006410B4">
        <w:rPr>
          <w:rFonts w:ascii="Book Antiqua" w:hAnsi="Book Antiqua"/>
          <w:color w:val="000000" w:themeColor="text1"/>
          <w:sz w:val="24"/>
          <w:szCs w:val="24"/>
        </w:rPr>
        <w:t>44307</w:t>
      </w:r>
      <w:r w:rsidR="005A4FE5" w:rsidRPr="006410B4">
        <w:rPr>
          <w:rFonts w:ascii="Book Antiqua" w:hAnsi="Book Antiqua"/>
          <w:color w:val="000000" w:themeColor="text1"/>
          <w:sz w:val="24"/>
          <w:szCs w:val="24"/>
        </w:rPr>
        <w:t xml:space="preserve">, Lithuania. </w:t>
      </w:r>
      <w:hyperlink r:id="rId16" w:history="1">
        <w:r w:rsidR="00E92020" w:rsidRPr="00EC0012">
          <w:rPr>
            <w:rStyle w:val="Hyperlink"/>
            <w:rFonts w:ascii="Book Antiqua" w:hAnsi="Book Antiqua"/>
            <w:color w:val="000000" w:themeColor="text1"/>
            <w:sz w:val="24"/>
            <w:szCs w:val="24"/>
            <w:u w:val="none"/>
          </w:rPr>
          <w:t>j</w:t>
        </w:r>
      </w:hyperlink>
      <w:r w:rsidR="001D33A6" w:rsidRPr="00EC0012">
        <w:rPr>
          <w:rFonts w:ascii="Book Antiqua" w:hAnsi="Book Antiqua"/>
          <w:color w:val="000000" w:themeColor="text1"/>
          <w:sz w:val="24"/>
          <w:szCs w:val="24"/>
        </w:rPr>
        <w:t xml:space="preserve"> </w:t>
      </w:r>
      <w:r w:rsidR="00E92020" w:rsidRPr="006410B4">
        <w:rPr>
          <w:rFonts w:ascii="Book Antiqua" w:hAnsi="Book Antiqua"/>
          <w:color w:val="000000" w:themeColor="text1"/>
          <w:sz w:val="24"/>
          <w:szCs w:val="24"/>
        </w:rPr>
        <w:t>juozas.kupcinskas@lsmuni.lt</w:t>
      </w:r>
    </w:p>
    <w:p w:rsidR="001C2886" w:rsidRDefault="005A4FE5" w:rsidP="006410B4">
      <w:pPr>
        <w:adjustRightInd w:val="0"/>
        <w:snapToGrid w:val="0"/>
        <w:spacing w:after="0" w:line="360" w:lineRule="auto"/>
        <w:jc w:val="both"/>
        <w:rPr>
          <w:rFonts w:ascii="Book Antiqua" w:hAnsi="Book Antiqua"/>
          <w:color w:val="000000" w:themeColor="text1"/>
          <w:sz w:val="24"/>
          <w:szCs w:val="24"/>
          <w:lang w:eastAsia="zh-CN"/>
        </w:rPr>
      </w:pPr>
      <w:r w:rsidRPr="006410B4">
        <w:rPr>
          <w:rFonts w:ascii="Book Antiqua" w:hAnsi="Book Antiqua"/>
          <w:b/>
          <w:color w:val="000000" w:themeColor="text1"/>
          <w:sz w:val="24"/>
          <w:szCs w:val="24"/>
          <w:lang w:eastAsia="zh-CN"/>
        </w:rPr>
        <w:t xml:space="preserve">Telephone: </w:t>
      </w:r>
      <w:r w:rsidRPr="006410B4">
        <w:rPr>
          <w:rFonts w:ascii="Book Antiqua" w:hAnsi="Book Antiqua"/>
          <w:color w:val="000000" w:themeColor="text1"/>
          <w:sz w:val="24"/>
          <w:szCs w:val="24"/>
        </w:rPr>
        <w:t>+37</w:t>
      </w:r>
      <w:r w:rsidR="001D33A6" w:rsidRPr="006410B4">
        <w:rPr>
          <w:rFonts w:ascii="Book Antiqua" w:hAnsi="Book Antiqua"/>
          <w:color w:val="000000" w:themeColor="text1"/>
          <w:sz w:val="24"/>
          <w:szCs w:val="24"/>
        </w:rPr>
        <w:t>0</w:t>
      </w:r>
      <w:r w:rsidRPr="006410B4">
        <w:rPr>
          <w:rFonts w:ascii="Book Antiqua" w:hAnsi="Book Antiqua"/>
          <w:color w:val="000000" w:themeColor="text1"/>
          <w:sz w:val="24"/>
          <w:szCs w:val="24"/>
          <w:lang w:eastAsia="zh-CN"/>
        </w:rPr>
        <w:t>-</w:t>
      </w:r>
      <w:r w:rsidRPr="006410B4">
        <w:rPr>
          <w:rFonts w:ascii="Book Antiqua" w:hAnsi="Book Antiqua"/>
          <w:color w:val="000000" w:themeColor="text1"/>
          <w:sz w:val="24"/>
          <w:szCs w:val="24"/>
        </w:rPr>
        <w:t>37</w:t>
      </w:r>
      <w:r w:rsidRPr="006410B4">
        <w:rPr>
          <w:rFonts w:ascii="Book Antiqua" w:hAnsi="Book Antiqua"/>
          <w:color w:val="000000" w:themeColor="text1"/>
          <w:sz w:val="24"/>
          <w:szCs w:val="24"/>
          <w:lang w:eastAsia="zh-CN"/>
        </w:rPr>
        <w:t>-</w:t>
      </w:r>
      <w:r w:rsidRPr="006410B4">
        <w:rPr>
          <w:rFonts w:ascii="Book Antiqua" w:hAnsi="Book Antiqua"/>
          <w:color w:val="000000" w:themeColor="text1"/>
          <w:sz w:val="24"/>
          <w:szCs w:val="24"/>
        </w:rPr>
        <w:t>32</w:t>
      </w:r>
      <w:r w:rsidR="001D33A6" w:rsidRPr="006410B4">
        <w:rPr>
          <w:rFonts w:ascii="Book Antiqua" w:hAnsi="Book Antiqua"/>
          <w:color w:val="000000" w:themeColor="text1"/>
          <w:sz w:val="24"/>
          <w:szCs w:val="24"/>
        </w:rPr>
        <w:t>6898</w:t>
      </w:r>
    </w:p>
    <w:p w:rsidR="00394D9F" w:rsidRDefault="00394D9F" w:rsidP="006410B4">
      <w:pPr>
        <w:adjustRightInd w:val="0"/>
        <w:snapToGrid w:val="0"/>
        <w:spacing w:after="0" w:line="360" w:lineRule="auto"/>
        <w:jc w:val="both"/>
        <w:rPr>
          <w:rFonts w:ascii="Book Antiqua" w:hAnsi="Book Antiqua"/>
          <w:color w:val="000000" w:themeColor="text1"/>
          <w:sz w:val="24"/>
          <w:szCs w:val="24"/>
          <w:lang w:eastAsia="zh-CN"/>
        </w:rPr>
      </w:pPr>
    </w:p>
    <w:p w:rsidR="00394D9F" w:rsidRPr="00394D9F" w:rsidRDefault="00394D9F" w:rsidP="00394D9F">
      <w:pPr>
        <w:adjustRightInd w:val="0"/>
        <w:snapToGrid w:val="0"/>
        <w:spacing w:after="0" w:line="360" w:lineRule="auto"/>
        <w:jc w:val="both"/>
        <w:rPr>
          <w:rFonts w:ascii="Book Antiqua" w:eastAsia="SimSun" w:hAnsi="Book Antiqua" w:cs="Times New Roman"/>
          <w:b/>
          <w:sz w:val="24"/>
          <w:szCs w:val="24"/>
          <w:lang w:eastAsia="zh-CN"/>
        </w:rPr>
      </w:pPr>
      <w:bookmarkStart w:id="51" w:name="OLE_LINK14"/>
      <w:bookmarkStart w:id="52" w:name="OLE_LINK51"/>
      <w:bookmarkStart w:id="53" w:name="OLE_LINK27"/>
      <w:bookmarkStart w:id="54" w:name="OLE_LINK382"/>
      <w:bookmarkStart w:id="55" w:name="OLE_LINK30"/>
      <w:bookmarkStart w:id="56" w:name="OLE_LINK376"/>
      <w:bookmarkStart w:id="57" w:name="OLE_LINK35"/>
      <w:bookmarkStart w:id="58" w:name="OLE_LINK105"/>
      <w:r w:rsidRPr="00394D9F">
        <w:rPr>
          <w:rFonts w:ascii="Book Antiqua" w:eastAsia="SimSun" w:hAnsi="Book Antiqua" w:cs="Times New Roman"/>
          <w:b/>
          <w:sz w:val="24"/>
          <w:szCs w:val="24"/>
          <w:lang w:eastAsia="zh-CN"/>
        </w:rPr>
        <w:t xml:space="preserve">Received: </w:t>
      </w:r>
      <w:r w:rsidRPr="00394D9F">
        <w:rPr>
          <w:rFonts w:ascii="Book Antiqua" w:eastAsia="SimSun" w:hAnsi="Book Antiqua" w:cs="Times New Roman"/>
          <w:sz w:val="24"/>
          <w:szCs w:val="24"/>
          <w:lang w:eastAsia="zh-CN"/>
        </w:rPr>
        <w:t>Ma</w:t>
      </w:r>
      <w:r w:rsidR="00233D02">
        <w:rPr>
          <w:rFonts w:ascii="Book Antiqua" w:eastAsia="SimSun" w:hAnsi="Book Antiqua" w:cs="Times New Roman"/>
          <w:sz w:val="24"/>
          <w:szCs w:val="24"/>
          <w:lang w:eastAsia="zh-CN"/>
        </w:rPr>
        <w:t>rch</w:t>
      </w:r>
      <w:r w:rsidRPr="00394D9F">
        <w:rPr>
          <w:rFonts w:ascii="Book Antiqua" w:eastAsia="DengXian" w:hAnsi="Book Antiqua" w:cs="Times New Roman"/>
          <w:sz w:val="24"/>
          <w:szCs w:val="24"/>
          <w:lang w:eastAsia="zh-CN"/>
        </w:rPr>
        <w:t xml:space="preserve"> </w:t>
      </w:r>
      <w:r w:rsidR="00233D02">
        <w:rPr>
          <w:rFonts w:ascii="Book Antiqua" w:eastAsia="DengXian" w:hAnsi="Book Antiqua" w:cs="Times New Roman"/>
          <w:sz w:val="24"/>
          <w:szCs w:val="24"/>
          <w:lang w:eastAsia="zh-CN"/>
        </w:rPr>
        <w:t>23</w:t>
      </w:r>
      <w:r w:rsidRPr="00394D9F">
        <w:rPr>
          <w:rFonts w:ascii="Book Antiqua" w:eastAsia="DengXian" w:hAnsi="Book Antiqua" w:cs="Times New Roman"/>
          <w:sz w:val="24"/>
          <w:szCs w:val="24"/>
          <w:lang w:eastAsia="zh-CN"/>
        </w:rPr>
        <w:t>, 201</w:t>
      </w:r>
      <w:r w:rsidR="00233D02">
        <w:rPr>
          <w:rFonts w:ascii="Book Antiqua" w:eastAsia="DengXian" w:hAnsi="Book Antiqua" w:cs="Times New Roman"/>
          <w:sz w:val="24"/>
          <w:szCs w:val="24"/>
          <w:lang w:eastAsia="zh-CN"/>
        </w:rPr>
        <w:t>9</w:t>
      </w:r>
    </w:p>
    <w:p w:rsidR="00394D9F" w:rsidRPr="00394D9F" w:rsidRDefault="00394D9F" w:rsidP="00394D9F">
      <w:pPr>
        <w:adjustRightInd w:val="0"/>
        <w:snapToGrid w:val="0"/>
        <w:spacing w:after="0" w:line="360" w:lineRule="auto"/>
        <w:jc w:val="both"/>
        <w:rPr>
          <w:rFonts w:ascii="Book Antiqua" w:eastAsia="DengXian" w:hAnsi="Book Antiqua" w:cs="Times New Roman"/>
          <w:b/>
          <w:sz w:val="24"/>
          <w:szCs w:val="24"/>
          <w:lang w:eastAsia="zh-CN"/>
        </w:rPr>
      </w:pPr>
      <w:r w:rsidRPr="00394D9F">
        <w:rPr>
          <w:rFonts w:ascii="Book Antiqua" w:eastAsia="SimSun" w:hAnsi="Book Antiqua" w:cs="Times New Roman"/>
          <w:b/>
          <w:sz w:val="24"/>
          <w:szCs w:val="24"/>
          <w:lang w:eastAsia="zh-CN"/>
        </w:rPr>
        <w:t>Peer-review started:</w:t>
      </w:r>
      <w:r w:rsidRPr="00394D9F">
        <w:rPr>
          <w:rFonts w:ascii="Book Antiqua" w:eastAsia="DengXian" w:hAnsi="Book Antiqua" w:cs="Times New Roman"/>
          <w:b/>
          <w:sz w:val="24"/>
          <w:szCs w:val="24"/>
          <w:lang w:eastAsia="zh-CN"/>
        </w:rPr>
        <w:t xml:space="preserve"> </w:t>
      </w:r>
      <w:r w:rsidR="00233D02" w:rsidRPr="00394D9F">
        <w:rPr>
          <w:rFonts w:ascii="Book Antiqua" w:eastAsia="SimSun" w:hAnsi="Book Antiqua" w:cs="Times New Roman"/>
          <w:sz w:val="24"/>
          <w:szCs w:val="24"/>
          <w:lang w:eastAsia="zh-CN"/>
        </w:rPr>
        <w:t>Ma</w:t>
      </w:r>
      <w:r w:rsidR="00233D02">
        <w:rPr>
          <w:rFonts w:ascii="Book Antiqua" w:eastAsia="SimSun" w:hAnsi="Book Antiqua" w:cs="Times New Roman"/>
          <w:sz w:val="24"/>
          <w:szCs w:val="24"/>
          <w:lang w:eastAsia="zh-CN"/>
        </w:rPr>
        <w:t>rch</w:t>
      </w:r>
      <w:r w:rsidR="00233D02" w:rsidRPr="00394D9F">
        <w:rPr>
          <w:rFonts w:ascii="Book Antiqua" w:eastAsia="DengXian" w:hAnsi="Book Antiqua" w:cs="Times New Roman"/>
          <w:sz w:val="24"/>
          <w:szCs w:val="24"/>
          <w:lang w:eastAsia="zh-CN"/>
        </w:rPr>
        <w:t xml:space="preserve"> </w:t>
      </w:r>
      <w:r w:rsidR="00233D02">
        <w:rPr>
          <w:rFonts w:ascii="Book Antiqua" w:eastAsia="DengXian" w:hAnsi="Book Antiqua" w:cs="Times New Roman"/>
          <w:sz w:val="24"/>
          <w:szCs w:val="24"/>
          <w:lang w:eastAsia="zh-CN"/>
        </w:rPr>
        <w:t>25</w:t>
      </w:r>
      <w:r w:rsidR="00233D02" w:rsidRPr="00394D9F">
        <w:rPr>
          <w:rFonts w:ascii="Book Antiqua" w:eastAsia="DengXian" w:hAnsi="Book Antiqua" w:cs="Times New Roman"/>
          <w:sz w:val="24"/>
          <w:szCs w:val="24"/>
          <w:lang w:eastAsia="zh-CN"/>
        </w:rPr>
        <w:t>, 201</w:t>
      </w:r>
      <w:r w:rsidR="00233D02">
        <w:rPr>
          <w:rFonts w:ascii="Book Antiqua" w:eastAsia="DengXian" w:hAnsi="Book Antiqua" w:cs="Times New Roman"/>
          <w:sz w:val="24"/>
          <w:szCs w:val="24"/>
          <w:lang w:eastAsia="zh-CN"/>
        </w:rPr>
        <w:t>9</w:t>
      </w:r>
    </w:p>
    <w:p w:rsidR="00394D9F" w:rsidRPr="00394D9F" w:rsidRDefault="00394D9F" w:rsidP="00394D9F">
      <w:pPr>
        <w:adjustRightInd w:val="0"/>
        <w:snapToGrid w:val="0"/>
        <w:spacing w:after="0" w:line="360" w:lineRule="auto"/>
        <w:jc w:val="both"/>
        <w:rPr>
          <w:rFonts w:ascii="Book Antiqua" w:eastAsia="DengXian" w:hAnsi="Book Antiqua" w:cs="Times New Roman"/>
          <w:b/>
          <w:sz w:val="24"/>
          <w:szCs w:val="24"/>
          <w:lang w:eastAsia="zh-CN"/>
        </w:rPr>
      </w:pPr>
      <w:r w:rsidRPr="00394D9F">
        <w:rPr>
          <w:rFonts w:ascii="Book Antiqua" w:eastAsia="SimSun" w:hAnsi="Book Antiqua" w:cs="Times New Roman"/>
          <w:b/>
          <w:sz w:val="24"/>
          <w:szCs w:val="24"/>
          <w:lang w:eastAsia="zh-CN"/>
        </w:rPr>
        <w:t>First decision:</w:t>
      </w:r>
      <w:r w:rsidRPr="00394D9F">
        <w:rPr>
          <w:rFonts w:ascii="Book Antiqua" w:eastAsia="DengXian" w:hAnsi="Book Antiqua" w:cs="Times New Roman"/>
          <w:b/>
          <w:sz w:val="24"/>
          <w:szCs w:val="24"/>
          <w:lang w:eastAsia="zh-CN"/>
        </w:rPr>
        <w:t xml:space="preserve"> </w:t>
      </w:r>
      <w:bookmarkStart w:id="59" w:name="OLE_LINK501"/>
      <w:bookmarkStart w:id="60" w:name="OLE_LINK502"/>
      <w:r w:rsidR="00233D02">
        <w:rPr>
          <w:rFonts w:ascii="Book Antiqua" w:eastAsia="SimSun" w:hAnsi="Book Antiqua" w:cs="Times New Roman"/>
          <w:sz w:val="24"/>
          <w:szCs w:val="24"/>
          <w:lang w:eastAsia="zh-CN"/>
        </w:rPr>
        <w:t>April</w:t>
      </w:r>
      <w:r w:rsidRPr="00394D9F">
        <w:rPr>
          <w:rFonts w:ascii="Book Antiqua" w:eastAsia="DengXian" w:hAnsi="Book Antiqua" w:cs="Times New Roman"/>
          <w:sz w:val="24"/>
          <w:szCs w:val="24"/>
          <w:lang w:eastAsia="zh-CN"/>
        </w:rPr>
        <w:t xml:space="preserve"> 1</w:t>
      </w:r>
      <w:r w:rsidR="00233D02">
        <w:rPr>
          <w:rFonts w:ascii="Book Antiqua" w:eastAsia="DengXian" w:hAnsi="Book Antiqua" w:cs="Times New Roman"/>
          <w:sz w:val="24"/>
          <w:szCs w:val="24"/>
          <w:lang w:eastAsia="zh-CN"/>
        </w:rPr>
        <w:t>1</w:t>
      </w:r>
      <w:r w:rsidRPr="00394D9F">
        <w:rPr>
          <w:rFonts w:ascii="Book Antiqua" w:eastAsia="DengXian" w:hAnsi="Book Antiqua" w:cs="Times New Roman"/>
          <w:sz w:val="24"/>
          <w:szCs w:val="24"/>
          <w:lang w:eastAsia="zh-CN"/>
        </w:rPr>
        <w:t>, 201</w:t>
      </w:r>
      <w:r w:rsidR="00233D02">
        <w:rPr>
          <w:rFonts w:ascii="Book Antiqua" w:eastAsia="DengXian" w:hAnsi="Book Antiqua" w:cs="Times New Roman"/>
          <w:sz w:val="24"/>
          <w:szCs w:val="24"/>
          <w:lang w:eastAsia="zh-CN"/>
        </w:rPr>
        <w:t>9</w:t>
      </w:r>
      <w:bookmarkEnd w:id="59"/>
      <w:bookmarkEnd w:id="60"/>
    </w:p>
    <w:p w:rsidR="00394D9F" w:rsidRPr="00394D9F" w:rsidRDefault="00394D9F" w:rsidP="00394D9F">
      <w:pPr>
        <w:adjustRightInd w:val="0"/>
        <w:snapToGrid w:val="0"/>
        <w:spacing w:after="0" w:line="360" w:lineRule="auto"/>
        <w:jc w:val="both"/>
        <w:rPr>
          <w:rFonts w:ascii="Book Antiqua" w:eastAsia="SimSun" w:hAnsi="Book Antiqua" w:cs="Times New Roman"/>
          <w:b/>
          <w:sz w:val="24"/>
          <w:szCs w:val="24"/>
          <w:lang w:eastAsia="zh-CN"/>
        </w:rPr>
      </w:pPr>
      <w:r w:rsidRPr="00394D9F">
        <w:rPr>
          <w:rFonts w:ascii="Book Antiqua" w:eastAsia="SimSun" w:hAnsi="Book Antiqua" w:cs="Times New Roman"/>
          <w:b/>
          <w:sz w:val="24"/>
          <w:szCs w:val="24"/>
          <w:lang w:eastAsia="zh-CN"/>
        </w:rPr>
        <w:t xml:space="preserve">Revised: </w:t>
      </w:r>
      <w:r w:rsidR="00233D02">
        <w:rPr>
          <w:rFonts w:ascii="Book Antiqua" w:eastAsia="SimSun" w:hAnsi="Book Antiqua" w:cs="Times New Roman"/>
          <w:sz w:val="24"/>
          <w:szCs w:val="24"/>
          <w:lang w:eastAsia="zh-CN"/>
        </w:rPr>
        <w:t>April</w:t>
      </w:r>
      <w:r w:rsidR="00233D02" w:rsidRPr="00394D9F">
        <w:rPr>
          <w:rFonts w:ascii="Book Antiqua" w:eastAsia="DengXian" w:hAnsi="Book Antiqua" w:cs="Times New Roman"/>
          <w:sz w:val="24"/>
          <w:szCs w:val="24"/>
          <w:lang w:eastAsia="zh-CN"/>
        </w:rPr>
        <w:t xml:space="preserve"> 1</w:t>
      </w:r>
      <w:r w:rsidR="00233D02">
        <w:rPr>
          <w:rFonts w:ascii="Book Antiqua" w:eastAsia="DengXian" w:hAnsi="Book Antiqua" w:cs="Times New Roman"/>
          <w:sz w:val="24"/>
          <w:szCs w:val="24"/>
          <w:lang w:eastAsia="zh-CN"/>
        </w:rPr>
        <w:t>8</w:t>
      </w:r>
      <w:r w:rsidR="00233D02" w:rsidRPr="00394D9F">
        <w:rPr>
          <w:rFonts w:ascii="Book Antiqua" w:eastAsia="DengXian" w:hAnsi="Book Antiqua" w:cs="Times New Roman"/>
          <w:sz w:val="24"/>
          <w:szCs w:val="24"/>
          <w:lang w:eastAsia="zh-CN"/>
        </w:rPr>
        <w:t>, 201</w:t>
      </w:r>
      <w:r w:rsidR="00233D02">
        <w:rPr>
          <w:rFonts w:ascii="Book Antiqua" w:eastAsia="DengXian" w:hAnsi="Book Antiqua" w:cs="Times New Roman"/>
          <w:sz w:val="24"/>
          <w:szCs w:val="24"/>
          <w:lang w:eastAsia="zh-CN"/>
        </w:rPr>
        <w:t>9</w:t>
      </w:r>
    </w:p>
    <w:p w:rsidR="00394D9F" w:rsidRPr="00394D9F" w:rsidRDefault="00394D9F" w:rsidP="00394D9F">
      <w:pPr>
        <w:adjustRightInd w:val="0"/>
        <w:snapToGrid w:val="0"/>
        <w:spacing w:after="0" w:line="360" w:lineRule="auto"/>
        <w:jc w:val="both"/>
        <w:rPr>
          <w:rFonts w:ascii="Book Antiqua" w:eastAsia="SimSun" w:hAnsi="Book Antiqua" w:cs="Times New Roman"/>
          <w:b/>
          <w:sz w:val="24"/>
          <w:szCs w:val="24"/>
          <w:lang w:eastAsia="zh-CN"/>
        </w:rPr>
      </w:pPr>
      <w:r w:rsidRPr="00394D9F">
        <w:rPr>
          <w:rFonts w:ascii="Book Antiqua" w:eastAsia="SimSun" w:hAnsi="Book Antiqua" w:cs="Times New Roman"/>
          <w:b/>
          <w:sz w:val="24"/>
          <w:szCs w:val="24"/>
          <w:lang w:eastAsia="zh-CN"/>
        </w:rPr>
        <w:t>Accepted:</w:t>
      </w:r>
      <w:r w:rsidR="00D90B77" w:rsidRPr="00D90B77">
        <w:t xml:space="preserve"> </w:t>
      </w:r>
      <w:bookmarkStart w:id="61" w:name="_GoBack"/>
      <w:r w:rsidR="00D90B77" w:rsidRPr="00D90B77">
        <w:rPr>
          <w:rFonts w:ascii="Book Antiqua" w:eastAsia="SimSun" w:hAnsi="Book Antiqua" w:cs="Times New Roman"/>
          <w:sz w:val="24"/>
          <w:szCs w:val="24"/>
          <w:lang w:eastAsia="zh-CN"/>
        </w:rPr>
        <w:t>April 29, 2019</w:t>
      </w:r>
      <w:r w:rsidR="00D90B77" w:rsidRPr="00D90B77">
        <w:rPr>
          <w:rFonts w:ascii="Book Antiqua" w:eastAsia="SimSun" w:hAnsi="Book Antiqua" w:cs="Times New Roman"/>
          <w:b/>
          <w:sz w:val="24"/>
          <w:szCs w:val="24"/>
          <w:lang w:eastAsia="zh-CN"/>
        </w:rPr>
        <w:t xml:space="preserve"> </w:t>
      </w:r>
      <w:r w:rsidRPr="00394D9F">
        <w:rPr>
          <w:rFonts w:ascii="Book Antiqua" w:eastAsia="SimSun" w:hAnsi="Book Antiqua" w:cs="Times New Roman"/>
          <w:b/>
          <w:sz w:val="24"/>
          <w:szCs w:val="24"/>
          <w:lang w:eastAsia="zh-CN"/>
        </w:rPr>
        <w:t xml:space="preserve"> </w:t>
      </w:r>
      <w:bookmarkEnd w:id="61"/>
    </w:p>
    <w:p w:rsidR="00394D9F" w:rsidRPr="00394D9F" w:rsidRDefault="00394D9F" w:rsidP="00394D9F">
      <w:pPr>
        <w:adjustRightInd w:val="0"/>
        <w:snapToGrid w:val="0"/>
        <w:spacing w:after="0" w:line="360" w:lineRule="auto"/>
        <w:jc w:val="both"/>
        <w:rPr>
          <w:rFonts w:ascii="Book Antiqua" w:eastAsia="SimSun" w:hAnsi="Book Antiqua" w:cs="Times New Roman"/>
          <w:b/>
          <w:sz w:val="24"/>
          <w:szCs w:val="24"/>
          <w:lang w:eastAsia="zh-CN"/>
        </w:rPr>
      </w:pPr>
      <w:r w:rsidRPr="00394D9F">
        <w:rPr>
          <w:rFonts w:ascii="Book Antiqua" w:eastAsia="SimSun" w:hAnsi="Book Antiqua" w:cs="Times New Roman"/>
          <w:b/>
          <w:sz w:val="24"/>
          <w:szCs w:val="24"/>
          <w:lang w:eastAsia="zh-CN"/>
        </w:rPr>
        <w:t>Article in press:</w:t>
      </w:r>
    </w:p>
    <w:p w:rsidR="00394D9F" w:rsidRPr="00394D9F" w:rsidRDefault="00394D9F" w:rsidP="00394D9F">
      <w:pPr>
        <w:snapToGrid w:val="0"/>
        <w:spacing w:after="0" w:line="360" w:lineRule="auto"/>
        <w:jc w:val="both"/>
        <w:rPr>
          <w:rFonts w:ascii="Book Antiqua" w:eastAsia="SimSun" w:hAnsi="Book Antiqua" w:cs="Times New Roman"/>
          <w:color w:val="000000"/>
          <w:sz w:val="24"/>
          <w:szCs w:val="24"/>
          <w:lang w:eastAsia="zh-CN"/>
        </w:rPr>
      </w:pPr>
      <w:r w:rsidRPr="00394D9F">
        <w:rPr>
          <w:rFonts w:ascii="Book Antiqua" w:eastAsia="SimSun" w:hAnsi="Book Antiqua" w:cs="Times New Roman"/>
          <w:b/>
          <w:sz w:val="24"/>
          <w:szCs w:val="24"/>
          <w:lang w:eastAsia="zh-CN"/>
        </w:rPr>
        <w:t>Published online:</w:t>
      </w:r>
      <w:bookmarkEnd w:id="51"/>
      <w:bookmarkEnd w:id="52"/>
      <w:bookmarkEnd w:id="53"/>
      <w:bookmarkEnd w:id="54"/>
    </w:p>
    <w:bookmarkEnd w:id="55"/>
    <w:bookmarkEnd w:id="56"/>
    <w:bookmarkEnd w:id="57"/>
    <w:bookmarkEnd w:id="58"/>
    <w:p w:rsidR="00394D9F" w:rsidRPr="006410B4" w:rsidRDefault="00394D9F" w:rsidP="006410B4">
      <w:pPr>
        <w:adjustRightInd w:val="0"/>
        <w:snapToGrid w:val="0"/>
        <w:spacing w:after="0" w:line="360" w:lineRule="auto"/>
        <w:jc w:val="both"/>
        <w:rPr>
          <w:rFonts w:ascii="Book Antiqua" w:hAnsi="Book Antiqua"/>
          <w:color w:val="000000" w:themeColor="text1"/>
          <w:sz w:val="24"/>
          <w:szCs w:val="24"/>
          <w:lang w:eastAsia="zh-CN"/>
        </w:rPr>
      </w:pPr>
    </w:p>
    <w:p w:rsidR="005651ED" w:rsidRPr="006410B4" w:rsidRDefault="005651ED"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color w:val="000000" w:themeColor="text1"/>
          <w:sz w:val="24"/>
          <w:szCs w:val="24"/>
        </w:rPr>
        <w:br w:type="page"/>
      </w:r>
    </w:p>
    <w:p w:rsidR="00D234EC" w:rsidRPr="006410B4" w:rsidRDefault="00D234EC"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color w:val="000000" w:themeColor="text1"/>
          <w:sz w:val="24"/>
          <w:szCs w:val="24"/>
        </w:rPr>
        <w:lastRenderedPageBreak/>
        <w:t>Abstract</w:t>
      </w:r>
    </w:p>
    <w:p w:rsidR="00D234EC" w:rsidRPr="00233D02" w:rsidRDefault="00D234EC"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233D02">
        <w:rPr>
          <w:rFonts w:ascii="Book Antiqua" w:eastAsia="Times New Roman" w:hAnsi="Book Antiqua" w:cs="Times New Roman"/>
          <w:b/>
          <w:i/>
          <w:color w:val="000000" w:themeColor="text1"/>
          <w:sz w:val="24"/>
          <w:szCs w:val="24"/>
        </w:rPr>
        <w:t>BACKGROUND</w:t>
      </w:r>
    </w:p>
    <w:p w:rsidR="00D234EC" w:rsidRPr="006410B4" w:rsidRDefault="00D234EC"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Clinically significant portal hypertension (CSPH) and severe portal hypertension (SPH) increase the risk for decompensation and life-threatening complications in liver cirrhosis. Pathologic angiogenesis might contribute to the formation of these conditions. Placental growth factor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 protein are biomarkers of pathological angiogenesis, but data on their role in liver cirrhosis and portal hypertension is scarce.</w:t>
      </w:r>
    </w:p>
    <w:p w:rsidR="00D234EC" w:rsidRPr="006410B4" w:rsidRDefault="00D234EC"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D234EC" w:rsidRPr="00FB7C11" w:rsidRDefault="00D234EC"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FB7C11">
        <w:rPr>
          <w:rFonts w:ascii="Book Antiqua" w:eastAsia="Times New Roman" w:hAnsi="Book Antiqua" w:cs="Times New Roman"/>
          <w:b/>
          <w:i/>
          <w:color w:val="000000" w:themeColor="text1"/>
          <w:sz w:val="24"/>
          <w:szCs w:val="24"/>
        </w:rPr>
        <w:t>AIM</w:t>
      </w:r>
    </w:p>
    <w:p w:rsidR="00D234EC" w:rsidRPr="006410B4" w:rsidRDefault="00D234EC"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To determine plasma levels of </w:t>
      </w:r>
      <w:bookmarkStart w:id="62" w:name="OLE_LINK495"/>
      <w:bookmarkStart w:id="63" w:name="OLE_LINK496"/>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w:t>
      </w:r>
      <w:bookmarkEnd w:id="62"/>
      <w:bookmarkEnd w:id="63"/>
      <w:r w:rsidRPr="006410B4">
        <w:rPr>
          <w:rFonts w:ascii="Book Antiqua" w:eastAsia="Times New Roman" w:hAnsi="Book Antiqua" w:cs="Times New Roman"/>
          <w:color w:val="000000" w:themeColor="text1"/>
          <w:sz w:val="24"/>
          <w:szCs w:val="24"/>
        </w:rPr>
        <w:t xml:space="preserve"> in patients with liver cirrhosis, CSPH, SPH and potential to predict portal hypertension.</w:t>
      </w:r>
    </w:p>
    <w:p w:rsidR="00D234EC" w:rsidRPr="006410B4" w:rsidRDefault="00D234EC"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D234EC" w:rsidRPr="00FB7C11" w:rsidRDefault="00D234EC"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FB7C11">
        <w:rPr>
          <w:rFonts w:ascii="Book Antiqua" w:eastAsia="Times New Roman" w:hAnsi="Book Antiqua" w:cs="Times New Roman"/>
          <w:b/>
          <w:i/>
          <w:color w:val="000000" w:themeColor="text1"/>
          <w:sz w:val="24"/>
          <w:szCs w:val="24"/>
        </w:rPr>
        <w:t>METHODS</w:t>
      </w:r>
    </w:p>
    <w:p w:rsidR="00C42FE6" w:rsidRPr="006410B4" w:rsidRDefault="00A00CC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A cohort of </w:t>
      </w:r>
      <w:r w:rsidR="00337B5A" w:rsidRPr="006410B4">
        <w:rPr>
          <w:rFonts w:ascii="Book Antiqua" w:eastAsia="Times New Roman" w:hAnsi="Book Antiqua" w:cs="Times New Roman"/>
          <w:color w:val="000000" w:themeColor="text1"/>
          <w:sz w:val="24"/>
          <w:szCs w:val="24"/>
        </w:rPr>
        <w:t>1</w:t>
      </w:r>
      <w:r w:rsidR="00E17213" w:rsidRPr="006410B4">
        <w:rPr>
          <w:rFonts w:ascii="Book Antiqua" w:eastAsia="Times New Roman" w:hAnsi="Book Antiqua" w:cs="Times New Roman"/>
          <w:color w:val="000000" w:themeColor="text1"/>
          <w:sz w:val="24"/>
          <w:szCs w:val="24"/>
        </w:rPr>
        <w:t>22</w:t>
      </w:r>
      <w:r w:rsidR="00BF498E" w:rsidRPr="006410B4">
        <w:rPr>
          <w:rFonts w:ascii="Book Antiqua" w:eastAsia="Times New Roman" w:hAnsi="Book Antiqua" w:cs="Times New Roman"/>
          <w:color w:val="000000" w:themeColor="text1"/>
          <w:sz w:val="24"/>
          <w:szCs w:val="24"/>
        </w:rPr>
        <w:t xml:space="preserve"> patients with hepatitis C </w:t>
      </w:r>
      <w:r w:rsidR="00561DDD" w:rsidRPr="006410B4">
        <w:rPr>
          <w:rFonts w:ascii="Book Antiqua" w:eastAsia="Times New Roman" w:hAnsi="Book Antiqua" w:cs="Times New Roman"/>
          <w:color w:val="000000" w:themeColor="text1"/>
          <w:sz w:val="24"/>
          <w:szCs w:val="24"/>
        </w:rPr>
        <w:t xml:space="preserve">virus </w:t>
      </w:r>
      <w:r w:rsidR="00BF498E" w:rsidRPr="006410B4">
        <w:rPr>
          <w:rFonts w:ascii="Book Antiqua" w:eastAsia="Times New Roman" w:hAnsi="Book Antiqua" w:cs="Times New Roman"/>
          <w:color w:val="000000" w:themeColor="text1"/>
          <w:sz w:val="24"/>
          <w:szCs w:val="24"/>
        </w:rPr>
        <w:t xml:space="preserve">and/or </w:t>
      </w:r>
      <w:r w:rsidR="008E65F6" w:rsidRPr="006410B4">
        <w:rPr>
          <w:rFonts w:ascii="Book Antiqua" w:eastAsia="Times New Roman" w:hAnsi="Book Antiqua" w:cs="Times New Roman"/>
          <w:color w:val="000000" w:themeColor="text1"/>
          <w:sz w:val="24"/>
          <w:szCs w:val="24"/>
        </w:rPr>
        <w:t>alcohol-</w:t>
      </w:r>
      <w:r w:rsidR="00B420F2" w:rsidRPr="006410B4">
        <w:rPr>
          <w:rFonts w:ascii="Book Antiqua" w:eastAsia="Times New Roman" w:hAnsi="Book Antiqua" w:cs="Times New Roman"/>
          <w:color w:val="000000" w:themeColor="text1"/>
          <w:sz w:val="24"/>
          <w:szCs w:val="24"/>
        </w:rPr>
        <w:t>induced</w:t>
      </w:r>
      <w:r w:rsidR="00BF498E" w:rsidRPr="006410B4">
        <w:rPr>
          <w:rFonts w:ascii="Book Antiqua" w:eastAsia="Times New Roman" w:hAnsi="Book Antiqua" w:cs="Times New Roman"/>
          <w:color w:val="000000" w:themeColor="text1"/>
          <w:sz w:val="24"/>
          <w:szCs w:val="24"/>
        </w:rPr>
        <w:t xml:space="preserve"> liver cirrhosis </w:t>
      </w:r>
      <w:r w:rsidR="008E65F6" w:rsidRPr="006410B4">
        <w:rPr>
          <w:rFonts w:ascii="Book Antiqua" w:eastAsia="Times New Roman" w:hAnsi="Book Antiqua" w:cs="Times New Roman"/>
          <w:color w:val="000000" w:themeColor="text1"/>
          <w:sz w:val="24"/>
          <w:szCs w:val="24"/>
        </w:rPr>
        <w:t xml:space="preserve">with characterized </w:t>
      </w:r>
      <w:r w:rsidR="00B104C4" w:rsidRPr="006410B4">
        <w:rPr>
          <w:rFonts w:ascii="Book Antiqua" w:eastAsia="Times New Roman" w:hAnsi="Book Antiqua" w:cs="Times New Roman"/>
          <w:color w:val="000000" w:themeColor="text1"/>
          <w:sz w:val="24"/>
          <w:szCs w:val="24"/>
        </w:rPr>
        <w:t>he</w:t>
      </w:r>
      <w:r w:rsidR="00D37379" w:rsidRPr="006410B4">
        <w:rPr>
          <w:rFonts w:ascii="Book Antiqua" w:eastAsia="Times New Roman" w:hAnsi="Book Antiqua" w:cs="Times New Roman"/>
          <w:color w:val="000000" w:themeColor="text1"/>
          <w:sz w:val="24"/>
          <w:szCs w:val="24"/>
        </w:rPr>
        <w:t xml:space="preserve">patic venous pressure gradient </w:t>
      </w:r>
      <w:r w:rsidR="00644116" w:rsidRPr="006410B4">
        <w:rPr>
          <w:rFonts w:ascii="Book Antiqua" w:eastAsia="Times New Roman" w:hAnsi="Book Antiqua" w:cs="Times New Roman"/>
          <w:color w:val="000000" w:themeColor="text1"/>
          <w:sz w:val="24"/>
          <w:szCs w:val="24"/>
        </w:rPr>
        <w:t xml:space="preserve">(HVPG) </w:t>
      </w:r>
      <w:r w:rsidR="00A80F5F" w:rsidRPr="006410B4">
        <w:rPr>
          <w:rFonts w:ascii="Book Antiqua" w:eastAsia="Times New Roman" w:hAnsi="Book Antiqua" w:cs="Times New Roman"/>
          <w:color w:val="000000" w:themeColor="text1"/>
          <w:sz w:val="24"/>
          <w:szCs w:val="24"/>
        </w:rPr>
        <w:t>were included</w:t>
      </w:r>
      <w:r w:rsidRPr="006410B4">
        <w:rPr>
          <w:rFonts w:ascii="Book Antiqua" w:eastAsia="Times New Roman" w:hAnsi="Book Antiqua" w:cs="Times New Roman"/>
          <w:color w:val="000000" w:themeColor="text1"/>
          <w:sz w:val="24"/>
          <w:szCs w:val="24"/>
        </w:rPr>
        <w:t xml:space="preserve"> in the study</w:t>
      </w:r>
      <w:r w:rsidR="00A80F5F" w:rsidRPr="006410B4">
        <w:rPr>
          <w:rFonts w:ascii="Book Antiqua" w:eastAsia="Times New Roman" w:hAnsi="Book Antiqua" w:cs="Times New Roman"/>
          <w:color w:val="000000" w:themeColor="text1"/>
          <w:sz w:val="24"/>
          <w:szCs w:val="24"/>
        </w:rPr>
        <w:t xml:space="preserve">. </w:t>
      </w:r>
      <w:r w:rsidR="00003947" w:rsidRPr="006410B4">
        <w:rPr>
          <w:rFonts w:ascii="Book Antiqua" w:eastAsia="Times New Roman" w:hAnsi="Book Antiqua" w:cs="Times New Roman"/>
          <w:color w:val="000000" w:themeColor="text1"/>
          <w:sz w:val="24"/>
          <w:szCs w:val="24"/>
        </w:rPr>
        <w:t>Dem</w:t>
      </w:r>
      <w:r w:rsidR="00644116" w:rsidRPr="006410B4">
        <w:rPr>
          <w:rFonts w:ascii="Book Antiqua" w:eastAsia="Times New Roman" w:hAnsi="Book Antiqua" w:cs="Times New Roman"/>
          <w:color w:val="000000" w:themeColor="text1"/>
          <w:sz w:val="24"/>
          <w:szCs w:val="24"/>
        </w:rPr>
        <w:t xml:space="preserve">ographic data, medical history, </w:t>
      </w:r>
      <w:r w:rsidR="00003947" w:rsidRPr="006410B4">
        <w:rPr>
          <w:rFonts w:ascii="Book Antiqua" w:eastAsia="Times New Roman" w:hAnsi="Book Antiqua" w:cs="Times New Roman"/>
          <w:color w:val="000000" w:themeColor="text1"/>
          <w:sz w:val="24"/>
          <w:szCs w:val="24"/>
        </w:rPr>
        <w:t xml:space="preserve">Child-Turcotte-Pugh and Model of End Stage liver disease score, clinical chemistry, liver stiffness values were recorded on the day of the procedure prior </w:t>
      </w:r>
      <w:r w:rsidR="00644116" w:rsidRPr="006410B4">
        <w:rPr>
          <w:rFonts w:ascii="Book Antiqua" w:eastAsia="Times New Roman" w:hAnsi="Book Antiqua" w:cs="Times New Roman"/>
          <w:color w:val="000000" w:themeColor="text1"/>
          <w:sz w:val="24"/>
          <w:szCs w:val="24"/>
        </w:rPr>
        <w:t xml:space="preserve">HVPG </w:t>
      </w:r>
      <w:r w:rsidR="00003947" w:rsidRPr="006410B4">
        <w:rPr>
          <w:rFonts w:ascii="Book Antiqua" w:eastAsia="Times New Roman" w:hAnsi="Book Antiqua" w:cs="Times New Roman"/>
          <w:color w:val="000000" w:themeColor="text1"/>
          <w:sz w:val="24"/>
          <w:szCs w:val="24"/>
        </w:rPr>
        <w:t xml:space="preserve">measurement. </w:t>
      </w:r>
      <w:r w:rsidR="00644116" w:rsidRPr="006410B4">
        <w:rPr>
          <w:rFonts w:ascii="Book Antiqua" w:eastAsia="Times New Roman" w:hAnsi="Book Antiqua" w:cs="Times New Roman"/>
          <w:color w:val="000000" w:themeColor="text1"/>
          <w:sz w:val="24"/>
          <w:szCs w:val="24"/>
        </w:rPr>
        <w:t xml:space="preserve">The degree of portal hypertension was determined by the invasive HVPG measurement. </w:t>
      </w:r>
      <w:proofErr w:type="spellStart"/>
      <w:r w:rsidR="00BF498E" w:rsidRPr="006410B4">
        <w:rPr>
          <w:rFonts w:ascii="Book Antiqua" w:eastAsia="Times New Roman" w:hAnsi="Book Antiqua" w:cs="Times New Roman"/>
          <w:color w:val="000000" w:themeColor="text1"/>
          <w:sz w:val="24"/>
          <w:szCs w:val="24"/>
        </w:rPr>
        <w:t>Nogo</w:t>
      </w:r>
      <w:proofErr w:type="spellEnd"/>
      <w:r w:rsidR="00BF498E" w:rsidRPr="006410B4">
        <w:rPr>
          <w:rFonts w:ascii="Book Antiqua" w:eastAsia="Times New Roman" w:hAnsi="Book Antiqua" w:cs="Times New Roman"/>
          <w:color w:val="000000" w:themeColor="text1"/>
          <w:sz w:val="24"/>
          <w:szCs w:val="24"/>
        </w:rPr>
        <w:t>-A</w:t>
      </w:r>
      <w:r w:rsidR="000A3608" w:rsidRPr="006410B4">
        <w:rPr>
          <w:rFonts w:ascii="Book Antiqua" w:eastAsia="Times New Roman" w:hAnsi="Book Antiqua" w:cs="Times New Roman"/>
          <w:color w:val="000000" w:themeColor="text1"/>
          <w:sz w:val="24"/>
          <w:szCs w:val="24"/>
        </w:rPr>
        <w:t xml:space="preserve"> </w:t>
      </w:r>
      <w:r w:rsidR="00BF498E" w:rsidRPr="006410B4">
        <w:rPr>
          <w:rFonts w:ascii="Book Antiqua" w:eastAsia="Times New Roman" w:hAnsi="Book Antiqua" w:cs="Times New Roman"/>
          <w:color w:val="000000" w:themeColor="text1"/>
          <w:sz w:val="24"/>
          <w:szCs w:val="24"/>
        </w:rPr>
        <w:t xml:space="preserve">and </w:t>
      </w:r>
      <w:proofErr w:type="spellStart"/>
      <w:r w:rsidR="00357F5F" w:rsidRPr="006410B4">
        <w:rPr>
          <w:rFonts w:ascii="Book Antiqua" w:eastAsia="Times New Roman" w:hAnsi="Book Antiqua" w:cs="Times New Roman"/>
          <w:color w:val="000000" w:themeColor="text1"/>
          <w:sz w:val="24"/>
          <w:szCs w:val="24"/>
        </w:rPr>
        <w:t>PlGF</w:t>
      </w:r>
      <w:proofErr w:type="spellEnd"/>
      <w:r w:rsidR="00357F5F" w:rsidRPr="006410B4">
        <w:rPr>
          <w:rFonts w:ascii="Book Antiqua" w:eastAsia="Times New Roman" w:hAnsi="Book Antiqua" w:cs="Times New Roman"/>
          <w:color w:val="000000" w:themeColor="text1"/>
          <w:sz w:val="24"/>
          <w:szCs w:val="24"/>
        </w:rPr>
        <w:t xml:space="preserve"> plasma </w:t>
      </w:r>
      <w:r w:rsidR="00BF498E" w:rsidRPr="006410B4">
        <w:rPr>
          <w:rFonts w:ascii="Book Antiqua" w:eastAsia="Times New Roman" w:hAnsi="Book Antiqua" w:cs="Times New Roman"/>
          <w:color w:val="000000" w:themeColor="text1"/>
          <w:sz w:val="24"/>
          <w:szCs w:val="24"/>
        </w:rPr>
        <w:t xml:space="preserve">levels were evaluated using </w:t>
      </w:r>
      <w:r w:rsidRPr="006410B4">
        <w:rPr>
          <w:rFonts w:ascii="Book Antiqua" w:eastAsia="Times New Roman" w:hAnsi="Book Antiqua" w:cs="Times New Roman"/>
          <w:color w:val="000000" w:themeColor="text1"/>
          <w:sz w:val="24"/>
          <w:szCs w:val="24"/>
        </w:rPr>
        <w:t xml:space="preserve">enzyme </w:t>
      </w:r>
      <w:r w:rsidR="00FB7C11" w:rsidRPr="006410B4">
        <w:rPr>
          <w:rFonts w:ascii="Book Antiqua" w:eastAsia="Times New Roman" w:hAnsi="Book Antiqua" w:cs="Times New Roman"/>
          <w:color w:val="000000" w:themeColor="text1"/>
          <w:sz w:val="24"/>
          <w:szCs w:val="24"/>
        </w:rPr>
        <w:t>linked</w:t>
      </w:r>
      <w:r w:rsidRPr="006410B4">
        <w:rPr>
          <w:rFonts w:ascii="Book Antiqua" w:eastAsia="Times New Roman" w:hAnsi="Book Antiqua" w:cs="Times New Roman"/>
          <w:color w:val="000000" w:themeColor="text1"/>
          <w:sz w:val="24"/>
          <w:szCs w:val="24"/>
        </w:rPr>
        <w:t xml:space="preserve"> immunosorbent assay</w:t>
      </w:r>
      <w:r w:rsidR="00BF498E" w:rsidRPr="006410B4">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The control group consisted of 30 healthy age- and sex- matched individuals.</w:t>
      </w:r>
    </w:p>
    <w:p w:rsidR="00D234EC" w:rsidRPr="006410B4" w:rsidRDefault="00D234EC"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p>
    <w:p w:rsidR="007D4B3C" w:rsidRPr="00FB7C11" w:rsidRDefault="00644116"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FB7C11">
        <w:rPr>
          <w:rFonts w:ascii="Book Antiqua" w:eastAsia="Times New Roman" w:hAnsi="Book Antiqua" w:cs="Times New Roman"/>
          <w:b/>
          <w:i/>
          <w:color w:val="000000" w:themeColor="text1"/>
          <w:sz w:val="24"/>
          <w:szCs w:val="24"/>
        </w:rPr>
        <w:t>RESULTS</w:t>
      </w:r>
    </w:p>
    <w:p w:rsidR="00C42FE6" w:rsidRDefault="00BF498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Peripheral </w:t>
      </w:r>
      <w:proofErr w:type="spellStart"/>
      <w:r w:rsidR="006706A7"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levels were higher </w:t>
      </w:r>
      <w:r w:rsidR="000D1658" w:rsidRPr="006410B4">
        <w:rPr>
          <w:rFonts w:ascii="Book Antiqua" w:eastAsia="Times New Roman" w:hAnsi="Book Antiqua" w:cs="Times New Roman"/>
          <w:color w:val="000000" w:themeColor="text1"/>
          <w:sz w:val="24"/>
          <w:szCs w:val="24"/>
        </w:rPr>
        <w:t xml:space="preserve">and </w:t>
      </w:r>
      <w:proofErr w:type="spellStart"/>
      <w:r w:rsidR="000D1658" w:rsidRPr="006410B4">
        <w:rPr>
          <w:rFonts w:ascii="Book Antiqua" w:eastAsia="Times New Roman" w:hAnsi="Book Antiqua" w:cs="Times New Roman"/>
          <w:color w:val="000000" w:themeColor="text1"/>
          <w:sz w:val="24"/>
          <w:szCs w:val="24"/>
        </w:rPr>
        <w:t>Nogo</w:t>
      </w:r>
      <w:proofErr w:type="spellEnd"/>
      <w:r w:rsidR="000D1658" w:rsidRPr="006410B4">
        <w:rPr>
          <w:rFonts w:ascii="Book Antiqua" w:eastAsia="Times New Roman" w:hAnsi="Book Antiqua" w:cs="Times New Roman"/>
          <w:color w:val="000000" w:themeColor="text1"/>
          <w:sz w:val="24"/>
          <w:szCs w:val="24"/>
        </w:rPr>
        <w:t xml:space="preserve">-A levels were lower </w:t>
      </w:r>
      <w:r w:rsidRPr="006410B4">
        <w:rPr>
          <w:rFonts w:ascii="Book Antiqua" w:eastAsia="Times New Roman" w:hAnsi="Book Antiqua" w:cs="Times New Roman"/>
          <w:color w:val="000000" w:themeColor="text1"/>
          <w:sz w:val="24"/>
          <w:szCs w:val="24"/>
        </w:rPr>
        <w:t xml:space="preserve">in patients with liver cirrhosis </w:t>
      </w:r>
      <w:r w:rsidR="000D1658" w:rsidRPr="006410B4">
        <w:rPr>
          <w:rFonts w:ascii="Book Antiqua" w:eastAsia="Times New Roman" w:hAnsi="Book Antiqua" w:cs="Times New Roman"/>
          <w:color w:val="000000" w:themeColor="text1"/>
          <w:sz w:val="24"/>
          <w:szCs w:val="24"/>
        </w:rPr>
        <w:t>(</w:t>
      </w:r>
      <w:r w:rsidR="00644116" w:rsidRPr="006410B4">
        <w:rPr>
          <w:rFonts w:ascii="Book Antiqua" w:eastAsia="Times New Roman" w:hAnsi="Book Antiqua" w:cs="Times New Roman"/>
          <w:color w:val="000000" w:themeColor="text1"/>
          <w:sz w:val="24"/>
          <w:szCs w:val="24"/>
        </w:rPr>
        <w:t xml:space="preserve">23.20 </w:t>
      </w:r>
      <w:r w:rsidR="00FB7C11">
        <w:rPr>
          <w:rFonts w:ascii="Book Antiqua" w:eastAsia="Times New Roman" w:hAnsi="Book Antiqua" w:cs="Times New Roman"/>
          <w:i/>
          <w:color w:val="000000" w:themeColor="text1"/>
          <w:sz w:val="24"/>
          <w:szCs w:val="24"/>
        </w:rPr>
        <w:t>vs</w:t>
      </w:r>
      <w:r w:rsidR="00644116" w:rsidRPr="006410B4">
        <w:rPr>
          <w:rFonts w:ascii="Book Antiqua" w:eastAsia="Times New Roman" w:hAnsi="Book Antiqua" w:cs="Times New Roman"/>
          <w:color w:val="000000" w:themeColor="text1"/>
          <w:sz w:val="24"/>
          <w:szCs w:val="24"/>
        </w:rPr>
        <w:t xml:space="preserve"> 9.85; </w:t>
      </w:r>
      <w:r w:rsidR="00FB7C11" w:rsidRPr="00FB7C11">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w:t>
      </w:r>
      <w:r w:rsidR="00644116" w:rsidRPr="006410B4">
        <w:rPr>
          <w:rFonts w:ascii="Book Antiqua" w:eastAsia="Times New Roman" w:hAnsi="Book Antiqua" w:cs="Times New Roman"/>
          <w:color w:val="000000" w:themeColor="text1"/>
          <w:sz w:val="24"/>
          <w:szCs w:val="24"/>
        </w:rPr>
        <w:t>&lt;</w:t>
      </w:r>
      <w:r w:rsidR="00FB7C11">
        <w:rPr>
          <w:rFonts w:ascii="Book Antiqua" w:eastAsia="Times New Roman" w:hAnsi="Book Antiqua" w:cs="Times New Roman"/>
          <w:color w:val="000000" w:themeColor="text1"/>
          <w:sz w:val="24"/>
          <w:szCs w:val="24"/>
        </w:rPr>
        <w:t xml:space="preserve"> </w:t>
      </w:r>
      <w:r w:rsidR="00644116" w:rsidRPr="006410B4">
        <w:rPr>
          <w:rFonts w:ascii="Book Antiqua" w:eastAsia="Times New Roman" w:hAnsi="Book Antiqua" w:cs="Times New Roman"/>
          <w:color w:val="000000" w:themeColor="text1"/>
          <w:sz w:val="24"/>
          <w:szCs w:val="24"/>
        </w:rPr>
        <w:t>0.0001</w:t>
      </w:r>
      <w:r w:rsidR="00561DDD" w:rsidRPr="006410B4">
        <w:rPr>
          <w:rFonts w:ascii="Book Antiqua" w:eastAsia="Times New Roman" w:hAnsi="Book Antiqua" w:cs="Times New Roman"/>
          <w:color w:val="000000" w:themeColor="text1"/>
          <w:sz w:val="24"/>
          <w:szCs w:val="24"/>
        </w:rPr>
        <w:t xml:space="preserve"> and</w:t>
      </w:r>
      <w:r w:rsidR="000D1658" w:rsidRPr="006410B4">
        <w:rPr>
          <w:rFonts w:ascii="Book Antiqua" w:eastAsia="Times New Roman" w:hAnsi="Book Antiqua" w:cs="Times New Roman"/>
          <w:color w:val="000000" w:themeColor="text1"/>
          <w:sz w:val="24"/>
          <w:szCs w:val="24"/>
        </w:rPr>
        <w:t xml:space="preserve"> </w:t>
      </w:r>
      <w:r w:rsidR="00644116" w:rsidRPr="006410B4">
        <w:rPr>
          <w:rFonts w:ascii="Book Antiqua" w:eastAsia="Times New Roman" w:hAnsi="Book Antiqua" w:cs="Times New Roman"/>
          <w:color w:val="000000" w:themeColor="text1"/>
          <w:sz w:val="24"/>
          <w:szCs w:val="24"/>
        </w:rPr>
        <w:t xml:space="preserve">2.19 </w:t>
      </w:r>
      <w:r w:rsidR="00FB7C11" w:rsidRPr="00FB7C11">
        <w:rPr>
          <w:rFonts w:ascii="Book Antiqua" w:eastAsia="Times New Roman" w:hAnsi="Book Antiqua" w:cs="Times New Roman"/>
          <w:i/>
          <w:color w:val="000000" w:themeColor="text1"/>
          <w:sz w:val="24"/>
          <w:szCs w:val="24"/>
        </w:rPr>
        <w:t>vs</w:t>
      </w:r>
      <w:r w:rsidR="00644116" w:rsidRPr="00FB7C11">
        <w:rPr>
          <w:rFonts w:ascii="Book Antiqua" w:eastAsia="Times New Roman" w:hAnsi="Book Antiqua" w:cs="Times New Roman"/>
          <w:i/>
          <w:color w:val="000000" w:themeColor="text1"/>
          <w:sz w:val="24"/>
          <w:szCs w:val="24"/>
        </w:rPr>
        <w:t xml:space="preserve"> </w:t>
      </w:r>
      <w:r w:rsidR="00644116" w:rsidRPr="006410B4">
        <w:rPr>
          <w:rFonts w:ascii="Book Antiqua" w:eastAsia="Times New Roman" w:hAnsi="Book Antiqua" w:cs="Times New Roman"/>
          <w:color w:val="000000" w:themeColor="text1"/>
          <w:sz w:val="24"/>
          <w:szCs w:val="24"/>
        </w:rPr>
        <w:t xml:space="preserve">3.12; </w:t>
      </w:r>
      <w:r w:rsidR="00FB7C11" w:rsidRPr="00FB7C11">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w:t>
      </w:r>
      <w:r w:rsidR="000D1658" w:rsidRPr="006410B4">
        <w:rPr>
          <w:rFonts w:ascii="Book Antiqua" w:eastAsia="Times New Roman" w:hAnsi="Book Antiqua" w:cs="Times New Roman"/>
          <w:color w:val="000000" w:themeColor="text1"/>
          <w:sz w:val="24"/>
          <w:szCs w:val="24"/>
        </w:rPr>
        <w:t>=</w:t>
      </w:r>
      <w:r w:rsidR="00FB7C11">
        <w:rPr>
          <w:rFonts w:ascii="Book Antiqua" w:eastAsia="Times New Roman" w:hAnsi="Book Antiqua" w:cs="Times New Roman"/>
          <w:color w:val="000000" w:themeColor="text1"/>
          <w:sz w:val="24"/>
          <w:szCs w:val="24"/>
        </w:rPr>
        <w:t xml:space="preserve"> </w:t>
      </w:r>
      <w:r w:rsidR="000D1658" w:rsidRPr="006410B4">
        <w:rPr>
          <w:rFonts w:ascii="Book Antiqua" w:eastAsia="Times New Roman" w:hAnsi="Book Antiqua" w:cs="Times New Roman"/>
          <w:color w:val="000000" w:themeColor="text1"/>
          <w:sz w:val="24"/>
          <w:szCs w:val="24"/>
        </w:rPr>
        <w:t>0.004</w:t>
      </w:r>
      <w:r w:rsidR="00561DDD" w:rsidRPr="006410B4">
        <w:rPr>
          <w:rFonts w:ascii="Book Antiqua" w:eastAsia="Times New Roman" w:hAnsi="Book Antiqua" w:cs="Times New Roman"/>
          <w:color w:val="000000" w:themeColor="text1"/>
          <w:sz w:val="24"/>
          <w:szCs w:val="24"/>
        </w:rPr>
        <w:t xml:space="preserve"> respectively</w:t>
      </w:r>
      <w:r w:rsidR="000D1658" w:rsidRPr="006410B4">
        <w:rPr>
          <w:rFonts w:ascii="Book Antiqua" w:eastAsia="Times New Roman" w:hAnsi="Book Antiqua" w:cs="Times New Roman"/>
          <w:color w:val="000000" w:themeColor="text1"/>
          <w:sz w:val="24"/>
          <w:szCs w:val="24"/>
        </w:rPr>
        <w:t xml:space="preserve">). </w:t>
      </w:r>
      <w:r w:rsidR="00644116" w:rsidRPr="006410B4">
        <w:rPr>
          <w:rFonts w:ascii="Book Antiqua" w:eastAsia="Times New Roman" w:hAnsi="Book Antiqua" w:cs="Times New Roman"/>
          <w:color w:val="000000" w:themeColor="text1"/>
          <w:sz w:val="24"/>
          <w:szCs w:val="24"/>
        </w:rPr>
        <w:t xml:space="preserve">There was a positive linear correlation between peripheral levels of </w:t>
      </w:r>
      <w:proofErr w:type="spellStart"/>
      <w:r w:rsidR="00644116" w:rsidRPr="006410B4">
        <w:rPr>
          <w:rFonts w:ascii="Book Antiqua" w:eastAsia="Times New Roman" w:hAnsi="Book Antiqua" w:cs="Times New Roman"/>
          <w:color w:val="000000" w:themeColor="text1"/>
          <w:sz w:val="24"/>
          <w:szCs w:val="24"/>
        </w:rPr>
        <w:t>PlGF</w:t>
      </w:r>
      <w:proofErr w:type="spellEnd"/>
      <w:r w:rsidR="00644116" w:rsidRPr="006410B4">
        <w:rPr>
          <w:rFonts w:ascii="Book Antiqua" w:eastAsia="Times New Roman" w:hAnsi="Book Antiqua" w:cs="Times New Roman"/>
          <w:color w:val="000000" w:themeColor="text1"/>
          <w:sz w:val="24"/>
          <w:szCs w:val="24"/>
        </w:rPr>
        <w:t xml:space="preserve"> and HVPG (</w:t>
      </w:r>
      <w:r w:rsidR="00FB7C11" w:rsidRPr="00FB7C11">
        <w:rPr>
          <w:rFonts w:ascii="Book Antiqua" w:eastAsia="Times New Roman" w:hAnsi="Book Antiqua" w:cs="Times New Roman"/>
          <w:i/>
          <w:color w:val="000000" w:themeColor="text1"/>
          <w:sz w:val="24"/>
          <w:szCs w:val="24"/>
        </w:rPr>
        <w:t>r</w:t>
      </w:r>
      <w:r w:rsidR="00FB7C11">
        <w:rPr>
          <w:rFonts w:ascii="Book Antiqua" w:eastAsia="Times New Roman" w:hAnsi="Book Antiqua" w:cs="Times New Roman"/>
          <w:color w:val="000000" w:themeColor="text1"/>
          <w:sz w:val="24"/>
          <w:szCs w:val="24"/>
        </w:rPr>
        <w:t xml:space="preserve"> = </w:t>
      </w:r>
      <w:r w:rsidR="00644116" w:rsidRPr="006410B4">
        <w:rPr>
          <w:rFonts w:ascii="Book Antiqua" w:eastAsia="Times New Roman" w:hAnsi="Book Antiqua" w:cs="Times New Roman"/>
          <w:color w:val="000000" w:themeColor="text1"/>
          <w:sz w:val="24"/>
          <w:szCs w:val="24"/>
        </w:rPr>
        <w:t xml:space="preserve">0.338, </w:t>
      </w:r>
      <w:r w:rsidR="00FB7C11" w:rsidRPr="00555910">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00644116" w:rsidRPr="006410B4">
        <w:rPr>
          <w:rFonts w:ascii="Book Antiqua" w:eastAsia="Times New Roman" w:hAnsi="Book Antiqua" w:cs="Times New Roman"/>
          <w:color w:val="000000" w:themeColor="text1"/>
          <w:sz w:val="24"/>
          <w:szCs w:val="24"/>
        </w:rPr>
        <w:t xml:space="preserve">0.001) and negative linear correlation between the peripheral </w:t>
      </w:r>
      <w:proofErr w:type="spellStart"/>
      <w:r w:rsidR="00644116" w:rsidRPr="006410B4">
        <w:rPr>
          <w:rFonts w:ascii="Book Antiqua" w:eastAsia="Times New Roman" w:hAnsi="Book Antiqua" w:cs="Times New Roman"/>
          <w:color w:val="000000" w:themeColor="text1"/>
          <w:sz w:val="24"/>
          <w:szCs w:val="24"/>
        </w:rPr>
        <w:t>Nogo</w:t>
      </w:r>
      <w:proofErr w:type="spellEnd"/>
      <w:r w:rsidR="00644116" w:rsidRPr="006410B4">
        <w:rPr>
          <w:rFonts w:ascii="Book Antiqua" w:eastAsia="Times New Roman" w:hAnsi="Book Antiqua" w:cs="Times New Roman"/>
          <w:color w:val="000000" w:themeColor="text1"/>
          <w:sz w:val="24"/>
          <w:szCs w:val="24"/>
        </w:rPr>
        <w:t>-A levels and HVPG (</w:t>
      </w:r>
      <w:r w:rsidR="00FB7C11" w:rsidRPr="00555910">
        <w:rPr>
          <w:rFonts w:ascii="Book Antiqua" w:eastAsia="Times New Roman" w:hAnsi="Book Antiqua" w:cs="Times New Roman"/>
          <w:i/>
          <w:color w:val="000000" w:themeColor="text1"/>
          <w:sz w:val="24"/>
          <w:szCs w:val="24"/>
        </w:rPr>
        <w:t>r</w:t>
      </w:r>
      <w:r w:rsidR="00FB7C11">
        <w:rPr>
          <w:rFonts w:ascii="Book Antiqua" w:eastAsia="Times New Roman" w:hAnsi="Book Antiqua" w:cs="Times New Roman"/>
          <w:color w:val="000000" w:themeColor="text1"/>
          <w:sz w:val="24"/>
          <w:szCs w:val="24"/>
        </w:rPr>
        <w:t xml:space="preserve"> =</w:t>
      </w:r>
      <w:r w:rsidR="00C82565">
        <w:rPr>
          <w:rFonts w:ascii="Book Antiqua" w:eastAsia="Times New Roman" w:hAnsi="Book Antiqua" w:cs="Times New Roman"/>
          <w:color w:val="000000" w:themeColor="text1"/>
          <w:sz w:val="24"/>
          <w:szCs w:val="24"/>
        </w:rPr>
        <w:t xml:space="preserve"> </w:t>
      </w:r>
      <w:r w:rsidR="00644116" w:rsidRPr="006410B4">
        <w:rPr>
          <w:rFonts w:ascii="Book Antiqua" w:eastAsia="Times New Roman" w:hAnsi="Book Antiqua" w:cs="Times New Roman"/>
          <w:color w:val="000000" w:themeColor="text1"/>
          <w:sz w:val="24"/>
          <w:szCs w:val="24"/>
        </w:rPr>
        <w:t xml:space="preserve">-0.267, </w:t>
      </w:r>
      <w:r w:rsidR="00FB7C11" w:rsidRPr="00555910">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00644116" w:rsidRPr="006410B4">
        <w:rPr>
          <w:rFonts w:ascii="Book Antiqua" w:eastAsia="Times New Roman" w:hAnsi="Book Antiqua" w:cs="Times New Roman"/>
          <w:color w:val="000000" w:themeColor="text1"/>
          <w:sz w:val="24"/>
          <w:szCs w:val="24"/>
        </w:rPr>
        <w:t xml:space="preserve">0.007). </w:t>
      </w:r>
      <w:proofErr w:type="spellStart"/>
      <w:r w:rsidR="006706A7" w:rsidRPr="006410B4">
        <w:rPr>
          <w:rFonts w:ascii="Book Antiqua" w:eastAsia="Times New Roman" w:hAnsi="Book Antiqua" w:cs="Times New Roman"/>
          <w:color w:val="000000" w:themeColor="text1"/>
          <w:sz w:val="24"/>
          <w:szCs w:val="24"/>
        </w:rPr>
        <w:t>PlGF</w:t>
      </w:r>
      <w:proofErr w:type="spellEnd"/>
      <w:r w:rsidR="006706A7" w:rsidRPr="006410B4">
        <w:rPr>
          <w:rFonts w:ascii="Book Antiqua" w:eastAsia="Times New Roman" w:hAnsi="Book Antiqua" w:cs="Times New Roman"/>
          <w:color w:val="000000" w:themeColor="text1"/>
          <w:sz w:val="24"/>
          <w:szCs w:val="24"/>
        </w:rPr>
        <w:t xml:space="preserve"> </w:t>
      </w:r>
      <w:r w:rsidR="000D1658" w:rsidRPr="006410B4">
        <w:rPr>
          <w:rFonts w:ascii="Book Antiqua" w:eastAsia="Times New Roman" w:hAnsi="Book Antiqua" w:cs="Times New Roman"/>
          <w:color w:val="000000" w:themeColor="text1"/>
          <w:sz w:val="24"/>
          <w:szCs w:val="24"/>
        </w:rPr>
        <w:t>levels</w:t>
      </w:r>
      <w:r w:rsidRPr="006410B4">
        <w:rPr>
          <w:rFonts w:ascii="Book Antiqua" w:eastAsia="Times New Roman" w:hAnsi="Book Antiqua" w:cs="Times New Roman"/>
          <w:color w:val="000000" w:themeColor="text1"/>
          <w:sz w:val="24"/>
          <w:szCs w:val="24"/>
        </w:rPr>
        <w:t xml:space="preserve"> were higher</w:t>
      </w:r>
      <w:r w:rsidR="000D1658" w:rsidRPr="006410B4">
        <w:rPr>
          <w:rFonts w:ascii="Book Antiqua" w:eastAsia="Times New Roman" w:hAnsi="Book Antiqua" w:cs="Times New Roman"/>
          <w:color w:val="000000" w:themeColor="text1"/>
          <w:sz w:val="24"/>
          <w:szCs w:val="24"/>
        </w:rPr>
        <w:t xml:space="preserve"> </w:t>
      </w:r>
      <w:r w:rsidR="007D4B3C" w:rsidRPr="006410B4">
        <w:rPr>
          <w:rFonts w:ascii="Book Antiqua" w:eastAsia="Times New Roman" w:hAnsi="Book Antiqua" w:cs="Times New Roman"/>
          <w:color w:val="000000" w:themeColor="text1"/>
          <w:sz w:val="24"/>
          <w:szCs w:val="24"/>
        </w:rPr>
        <w:t xml:space="preserve">in </w:t>
      </w:r>
      <w:r w:rsidR="00F2624B" w:rsidRPr="006410B4">
        <w:rPr>
          <w:rFonts w:ascii="Book Antiqua" w:eastAsia="Times New Roman" w:hAnsi="Book Antiqua" w:cs="Times New Roman"/>
          <w:color w:val="000000" w:themeColor="text1"/>
          <w:sz w:val="24"/>
          <w:szCs w:val="24"/>
        </w:rPr>
        <w:t>CSPH</w:t>
      </w:r>
      <w:r w:rsidR="007D4B3C" w:rsidRPr="006410B4">
        <w:rPr>
          <w:rFonts w:ascii="Book Antiqua" w:eastAsia="Times New Roman" w:hAnsi="Book Antiqua" w:cs="Times New Roman"/>
          <w:color w:val="000000" w:themeColor="text1"/>
          <w:sz w:val="24"/>
          <w:szCs w:val="24"/>
        </w:rPr>
        <w:t xml:space="preserve"> and </w:t>
      </w:r>
      <w:r w:rsidR="00F2624B" w:rsidRPr="006410B4">
        <w:rPr>
          <w:rFonts w:ascii="Book Antiqua" w:eastAsia="Times New Roman" w:hAnsi="Book Antiqua" w:cs="Times New Roman"/>
          <w:color w:val="000000" w:themeColor="text1"/>
          <w:sz w:val="24"/>
          <w:szCs w:val="24"/>
        </w:rPr>
        <w:t>SPH</w:t>
      </w:r>
      <w:r w:rsidR="007D4B3C" w:rsidRPr="006410B4">
        <w:rPr>
          <w:rFonts w:ascii="Book Antiqua" w:eastAsia="Times New Roman" w:hAnsi="Book Antiqua" w:cs="Times New Roman"/>
          <w:color w:val="000000" w:themeColor="text1"/>
          <w:sz w:val="24"/>
          <w:szCs w:val="24"/>
        </w:rPr>
        <w:t xml:space="preserve"> </w:t>
      </w:r>
      <w:r w:rsidR="000D1658" w:rsidRPr="006410B4">
        <w:rPr>
          <w:rFonts w:ascii="Book Antiqua" w:eastAsia="Times New Roman" w:hAnsi="Book Antiqua" w:cs="Times New Roman"/>
          <w:color w:val="000000" w:themeColor="text1"/>
          <w:sz w:val="24"/>
          <w:szCs w:val="24"/>
        </w:rPr>
        <w:t>(</w:t>
      </w:r>
      <w:r w:rsidR="00FB7C11" w:rsidRPr="00555910">
        <w:rPr>
          <w:rFonts w:ascii="Book Antiqua" w:eastAsia="Times New Roman" w:hAnsi="Book Antiqua" w:cs="Times New Roman"/>
          <w:i/>
          <w:color w:val="000000" w:themeColor="text1"/>
          <w:sz w:val="24"/>
          <w:szCs w:val="24"/>
        </w:rPr>
        <w:t xml:space="preserve">P </w:t>
      </w:r>
      <w:r w:rsidR="00FB7C11">
        <w:rPr>
          <w:rFonts w:ascii="Book Antiqua" w:eastAsia="Times New Roman" w:hAnsi="Book Antiqua" w:cs="Times New Roman"/>
          <w:color w:val="000000" w:themeColor="text1"/>
          <w:sz w:val="24"/>
          <w:szCs w:val="24"/>
        </w:rPr>
        <w:t xml:space="preserve">= </w:t>
      </w:r>
      <w:r w:rsidR="000D1658" w:rsidRPr="006410B4">
        <w:rPr>
          <w:rFonts w:ascii="Book Antiqua" w:eastAsia="Times New Roman" w:hAnsi="Book Antiqua" w:cs="Times New Roman"/>
          <w:color w:val="000000" w:themeColor="text1"/>
          <w:sz w:val="24"/>
          <w:szCs w:val="24"/>
        </w:rPr>
        <w:t xml:space="preserve">0.006; </w:t>
      </w:r>
      <w:r w:rsidR="00FB7C11" w:rsidRPr="00555910">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&lt; </w:t>
      </w:r>
      <w:r w:rsidR="000D1658" w:rsidRPr="006410B4">
        <w:rPr>
          <w:rFonts w:ascii="Book Antiqua" w:eastAsia="Times New Roman" w:hAnsi="Book Antiqua" w:cs="Times New Roman"/>
          <w:color w:val="000000" w:themeColor="text1"/>
          <w:sz w:val="24"/>
          <w:szCs w:val="24"/>
        </w:rPr>
        <w:t xml:space="preserve">0.0001) </w:t>
      </w:r>
      <w:r w:rsidR="007D4B3C" w:rsidRPr="006410B4">
        <w:rPr>
          <w:rFonts w:ascii="Book Antiqua" w:eastAsia="Times New Roman" w:hAnsi="Book Antiqua" w:cs="Times New Roman"/>
          <w:color w:val="000000" w:themeColor="text1"/>
          <w:sz w:val="24"/>
          <w:szCs w:val="24"/>
        </w:rPr>
        <w:t>whereas</w:t>
      </w:r>
      <w:r w:rsidR="000D1658" w:rsidRPr="006410B4">
        <w:rPr>
          <w:rFonts w:ascii="Book Antiqua" w:eastAsia="Times New Roman" w:hAnsi="Book Antiqua" w:cs="Times New Roman"/>
          <w:color w:val="000000" w:themeColor="text1"/>
          <w:sz w:val="24"/>
          <w:szCs w:val="24"/>
        </w:rPr>
        <w:t xml:space="preserve"> </w:t>
      </w:r>
      <w:proofErr w:type="spellStart"/>
      <w:r w:rsidR="000D1658" w:rsidRPr="006410B4">
        <w:rPr>
          <w:rFonts w:ascii="Book Antiqua" w:eastAsia="Times New Roman" w:hAnsi="Book Antiqua" w:cs="Times New Roman"/>
          <w:color w:val="000000" w:themeColor="text1"/>
          <w:sz w:val="24"/>
          <w:szCs w:val="24"/>
        </w:rPr>
        <w:t>Nogo</w:t>
      </w:r>
      <w:proofErr w:type="spellEnd"/>
      <w:r w:rsidR="000D1658" w:rsidRPr="006410B4">
        <w:rPr>
          <w:rFonts w:ascii="Book Antiqua" w:eastAsia="Times New Roman" w:hAnsi="Book Antiqua" w:cs="Times New Roman"/>
          <w:color w:val="000000" w:themeColor="text1"/>
          <w:sz w:val="24"/>
          <w:szCs w:val="24"/>
        </w:rPr>
        <w:t>-A levels were lower (</w:t>
      </w:r>
      <w:r w:rsidR="00FB7C11" w:rsidRPr="005702DC">
        <w:rPr>
          <w:rFonts w:ascii="Book Antiqua" w:eastAsia="Times New Roman" w:hAnsi="Book Antiqua" w:cs="Times New Roman"/>
          <w:i/>
          <w:color w:val="000000" w:themeColor="text1"/>
          <w:sz w:val="24"/>
          <w:szCs w:val="24"/>
        </w:rPr>
        <w:t xml:space="preserve">P </w:t>
      </w:r>
      <w:r w:rsidR="00FB7C11">
        <w:rPr>
          <w:rFonts w:ascii="Book Antiqua" w:eastAsia="Times New Roman" w:hAnsi="Book Antiqua" w:cs="Times New Roman"/>
          <w:color w:val="000000" w:themeColor="text1"/>
          <w:sz w:val="24"/>
          <w:szCs w:val="24"/>
        </w:rPr>
        <w:t xml:space="preserve">= </w:t>
      </w:r>
      <w:r w:rsidR="000D1658" w:rsidRPr="006410B4">
        <w:rPr>
          <w:rFonts w:ascii="Book Antiqua" w:eastAsia="Times New Roman" w:hAnsi="Book Antiqua" w:cs="Times New Roman"/>
          <w:color w:val="000000" w:themeColor="text1"/>
          <w:sz w:val="24"/>
          <w:szCs w:val="24"/>
        </w:rPr>
        <w:t xml:space="preserve">0.01; </w:t>
      </w:r>
      <w:r w:rsidR="00FB7C11" w:rsidRPr="005702DC">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&lt; </w:t>
      </w:r>
      <w:r w:rsidR="000D1658" w:rsidRPr="006410B4">
        <w:rPr>
          <w:rFonts w:ascii="Book Antiqua" w:eastAsia="Times New Roman" w:hAnsi="Book Antiqua" w:cs="Times New Roman"/>
          <w:color w:val="000000" w:themeColor="text1"/>
          <w:sz w:val="24"/>
          <w:szCs w:val="24"/>
        </w:rPr>
        <w:t>0.033)</w:t>
      </w:r>
      <w:r w:rsidRPr="006410B4">
        <w:rPr>
          <w:rFonts w:ascii="Book Antiqua" w:eastAsia="Times New Roman" w:hAnsi="Book Antiqua" w:cs="Times New Roman"/>
          <w:color w:val="000000" w:themeColor="text1"/>
          <w:sz w:val="24"/>
          <w:szCs w:val="24"/>
        </w:rPr>
        <w:t>. A</w:t>
      </w:r>
      <w:r w:rsidR="00C232BE">
        <w:rPr>
          <w:rFonts w:ascii="Book Antiqua" w:eastAsia="Times New Roman" w:hAnsi="Book Antiqua" w:cs="Times New Roman"/>
          <w:color w:val="000000" w:themeColor="text1"/>
          <w:sz w:val="24"/>
          <w:szCs w:val="24"/>
        </w:rPr>
        <w:t>rea under the curve</w:t>
      </w:r>
      <w:r w:rsidRPr="006410B4">
        <w:rPr>
          <w:rFonts w:ascii="Book Antiqua" w:eastAsia="Times New Roman" w:hAnsi="Book Antiqua" w:cs="Times New Roman"/>
          <w:color w:val="000000" w:themeColor="text1"/>
          <w:sz w:val="24"/>
          <w:szCs w:val="24"/>
        </w:rPr>
        <w:t xml:space="preserve"> for the </w:t>
      </w:r>
      <w:r w:rsidRPr="006410B4">
        <w:rPr>
          <w:rFonts w:ascii="Book Antiqua" w:eastAsia="Times New Roman" w:hAnsi="Book Antiqua" w:cs="Times New Roman"/>
          <w:color w:val="000000" w:themeColor="text1"/>
          <w:sz w:val="24"/>
          <w:szCs w:val="24"/>
        </w:rPr>
        <w:lastRenderedPageBreak/>
        <w:t xml:space="preserve">diagnosis of </w:t>
      </w:r>
      <w:r w:rsidR="00F2624B" w:rsidRPr="006410B4">
        <w:rPr>
          <w:rFonts w:ascii="Book Antiqua" w:eastAsia="Times New Roman" w:hAnsi="Book Antiqua" w:cs="Times New Roman"/>
          <w:color w:val="000000" w:themeColor="text1"/>
          <w:sz w:val="24"/>
          <w:szCs w:val="24"/>
        </w:rPr>
        <w:t>CSPH</w:t>
      </w:r>
      <w:r w:rsidR="000D1658" w:rsidRPr="006410B4">
        <w:rPr>
          <w:rFonts w:ascii="Book Antiqua" w:eastAsia="Times New Roman" w:hAnsi="Book Antiqua" w:cs="Times New Roman"/>
          <w:color w:val="000000" w:themeColor="text1"/>
          <w:sz w:val="24"/>
          <w:szCs w:val="24"/>
        </w:rPr>
        <w:t xml:space="preserve"> for </w:t>
      </w:r>
      <w:proofErr w:type="spellStart"/>
      <w:r w:rsidR="006706A7" w:rsidRPr="006410B4">
        <w:rPr>
          <w:rFonts w:ascii="Book Antiqua" w:eastAsia="Times New Roman" w:hAnsi="Book Antiqua" w:cs="Times New Roman"/>
          <w:color w:val="000000" w:themeColor="text1"/>
          <w:sz w:val="24"/>
          <w:szCs w:val="24"/>
        </w:rPr>
        <w:t>PlGF</w:t>
      </w:r>
      <w:proofErr w:type="spellEnd"/>
      <w:r w:rsidR="000D1658" w:rsidRPr="006410B4">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was 0.68 (</w:t>
      </w:r>
      <w:r w:rsidR="00FB7C11" w:rsidRPr="005702DC">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Pr="006410B4">
        <w:rPr>
          <w:rFonts w:ascii="Book Antiqua" w:eastAsia="Times New Roman" w:hAnsi="Book Antiqua" w:cs="Times New Roman"/>
          <w:color w:val="000000" w:themeColor="text1"/>
          <w:sz w:val="24"/>
          <w:szCs w:val="24"/>
        </w:rPr>
        <w:t xml:space="preserve">0.003) and </w:t>
      </w:r>
      <w:r w:rsidR="00F848C9" w:rsidRPr="006410B4">
        <w:rPr>
          <w:rFonts w:ascii="Book Antiqua" w:eastAsia="Times New Roman" w:hAnsi="Book Antiqua" w:cs="Times New Roman"/>
          <w:color w:val="000000" w:themeColor="text1"/>
          <w:sz w:val="24"/>
          <w:szCs w:val="24"/>
        </w:rPr>
        <w:t xml:space="preserve">for </w:t>
      </w:r>
      <w:proofErr w:type="spellStart"/>
      <w:r w:rsidR="000D1658" w:rsidRPr="006410B4">
        <w:rPr>
          <w:rFonts w:ascii="Book Antiqua" w:eastAsia="Times New Roman" w:hAnsi="Book Antiqua" w:cs="Times New Roman"/>
          <w:color w:val="000000" w:themeColor="text1"/>
          <w:sz w:val="24"/>
          <w:szCs w:val="24"/>
        </w:rPr>
        <w:t>Nogo</w:t>
      </w:r>
      <w:proofErr w:type="spellEnd"/>
      <w:r w:rsidR="000D1658" w:rsidRPr="006410B4">
        <w:rPr>
          <w:rFonts w:ascii="Book Antiqua" w:eastAsia="Times New Roman" w:hAnsi="Book Antiqua" w:cs="Times New Roman"/>
          <w:color w:val="000000" w:themeColor="text1"/>
          <w:sz w:val="24"/>
          <w:szCs w:val="24"/>
        </w:rPr>
        <w:t>-A - 0.67 (</w:t>
      </w:r>
      <w:r w:rsidR="00FB7C11" w:rsidRPr="005702DC">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000D1658" w:rsidRPr="006410B4">
        <w:rPr>
          <w:rFonts w:ascii="Book Antiqua" w:eastAsia="Times New Roman" w:hAnsi="Book Antiqua" w:cs="Times New Roman"/>
          <w:color w:val="000000" w:themeColor="text1"/>
          <w:sz w:val="24"/>
          <w:szCs w:val="24"/>
        </w:rPr>
        <w:t xml:space="preserve">0.01); for </w:t>
      </w:r>
      <w:r w:rsidR="00F2624B" w:rsidRPr="006410B4">
        <w:rPr>
          <w:rFonts w:ascii="Book Antiqua" w:eastAsia="Times New Roman" w:hAnsi="Book Antiqua" w:cs="Times New Roman"/>
          <w:color w:val="000000" w:themeColor="text1"/>
          <w:sz w:val="24"/>
          <w:szCs w:val="24"/>
        </w:rPr>
        <w:t>SPH</w:t>
      </w:r>
      <w:r w:rsidR="000D1658" w:rsidRPr="006410B4">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0.714 (</w:t>
      </w:r>
      <w:r w:rsidR="00FB7C11" w:rsidRPr="005702DC">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&lt; </w:t>
      </w:r>
      <w:r w:rsidRPr="006410B4">
        <w:rPr>
          <w:rFonts w:ascii="Book Antiqua" w:eastAsia="Times New Roman" w:hAnsi="Book Antiqua" w:cs="Times New Roman"/>
          <w:color w:val="000000" w:themeColor="text1"/>
          <w:sz w:val="24"/>
          <w:szCs w:val="24"/>
        </w:rPr>
        <w:t>0.0001)</w:t>
      </w:r>
      <w:r w:rsidR="000D1658" w:rsidRPr="006410B4">
        <w:rPr>
          <w:rFonts w:ascii="Book Antiqua" w:eastAsia="Times New Roman" w:hAnsi="Book Antiqua" w:cs="Times New Roman"/>
          <w:color w:val="000000" w:themeColor="text1"/>
          <w:sz w:val="24"/>
          <w:szCs w:val="24"/>
        </w:rPr>
        <w:t xml:space="preserve"> and </w:t>
      </w:r>
      <w:r w:rsidRPr="006410B4">
        <w:rPr>
          <w:rFonts w:ascii="Book Antiqua" w:eastAsia="Times New Roman" w:hAnsi="Book Antiqua" w:cs="Times New Roman"/>
          <w:color w:val="000000" w:themeColor="text1"/>
          <w:sz w:val="24"/>
          <w:szCs w:val="24"/>
        </w:rPr>
        <w:t>0.65 (</w:t>
      </w:r>
      <w:r w:rsidR="00FB7C11" w:rsidRPr="005702DC">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Pr="006410B4">
        <w:rPr>
          <w:rFonts w:ascii="Book Antiqua" w:eastAsia="Times New Roman" w:hAnsi="Book Antiqua" w:cs="Times New Roman"/>
          <w:color w:val="000000" w:themeColor="text1"/>
          <w:sz w:val="24"/>
          <w:szCs w:val="24"/>
        </w:rPr>
        <w:t>0.014)</w:t>
      </w:r>
      <w:r w:rsidR="000D1658" w:rsidRPr="006410B4">
        <w:rPr>
          <w:rFonts w:ascii="Book Antiqua" w:eastAsia="Times New Roman" w:hAnsi="Book Antiqua" w:cs="Times New Roman"/>
          <w:color w:val="000000" w:themeColor="text1"/>
          <w:sz w:val="24"/>
          <w:szCs w:val="24"/>
        </w:rPr>
        <w:t xml:space="preserve"> respectively</w:t>
      </w:r>
      <w:r w:rsidRPr="006410B4">
        <w:rPr>
          <w:rFonts w:ascii="Book Antiqua" w:eastAsia="Times New Roman" w:hAnsi="Book Antiqua" w:cs="Times New Roman"/>
          <w:color w:val="000000" w:themeColor="text1"/>
          <w:sz w:val="24"/>
          <w:szCs w:val="24"/>
        </w:rPr>
        <w:t xml:space="preserve">. </w:t>
      </w:r>
      <w:proofErr w:type="spellStart"/>
      <w:r w:rsidR="006706A7" w:rsidRPr="006410B4">
        <w:rPr>
          <w:rFonts w:ascii="Book Antiqua" w:eastAsia="Times New Roman" w:hAnsi="Book Antiqua" w:cs="Times New Roman"/>
          <w:color w:val="000000" w:themeColor="text1"/>
          <w:sz w:val="24"/>
          <w:szCs w:val="24"/>
        </w:rPr>
        <w:t>PlGF</w:t>
      </w:r>
      <w:proofErr w:type="spellEnd"/>
      <w:r w:rsidR="003B2FAA" w:rsidRPr="006410B4">
        <w:rPr>
          <w:rFonts w:ascii="Book Antiqua" w:eastAsia="Times New Roman" w:hAnsi="Book Antiqua" w:cs="Times New Roman"/>
          <w:color w:val="000000" w:themeColor="text1"/>
          <w:sz w:val="24"/>
          <w:szCs w:val="24"/>
        </w:rPr>
        <w:t xml:space="preserve"> levels</w:t>
      </w:r>
      <w:r w:rsidR="003103C6" w:rsidRPr="006410B4">
        <w:rPr>
          <w:rFonts w:ascii="Book Antiqua" w:eastAsia="Times New Roman" w:hAnsi="Book Antiqua" w:cs="Times New Roman"/>
          <w:color w:val="000000" w:themeColor="text1"/>
          <w:sz w:val="24"/>
          <w:szCs w:val="24"/>
        </w:rPr>
        <w:t xml:space="preserve"> were higher </w:t>
      </w:r>
      <w:r w:rsidRPr="006410B4">
        <w:rPr>
          <w:rFonts w:ascii="Book Antiqua" w:eastAsia="Times New Roman" w:hAnsi="Book Antiqua" w:cs="Times New Roman"/>
          <w:color w:val="000000" w:themeColor="text1"/>
          <w:sz w:val="24"/>
          <w:szCs w:val="24"/>
        </w:rPr>
        <w:t xml:space="preserve">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w:t>
      </w:r>
      <w:r w:rsidR="007D4B3C" w:rsidRPr="006410B4">
        <w:rPr>
          <w:rFonts w:ascii="Book Antiqua" w:eastAsia="Times New Roman" w:hAnsi="Book Antiqua" w:cs="Times New Roman"/>
          <w:color w:val="000000" w:themeColor="text1"/>
          <w:sz w:val="24"/>
          <w:szCs w:val="24"/>
        </w:rPr>
        <w:t xml:space="preserve">levels </w:t>
      </w:r>
      <w:r w:rsidRPr="006410B4">
        <w:rPr>
          <w:rFonts w:ascii="Book Antiqua" w:eastAsia="Times New Roman" w:hAnsi="Book Antiqua" w:cs="Times New Roman"/>
          <w:color w:val="000000" w:themeColor="text1"/>
          <w:sz w:val="24"/>
          <w:szCs w:val="24"/>
        </w:rPr>
        <w:t xml:space="preserve">were lower in patients with esophageal varices </w:t>
      </w:r>
      <w:r w:rsidR="003B2FAA" w:rsidRPr="006410B4">
        <w:rPr>
          <w:rFonts w:ascii="Book Antiqua" w:eastAsia="Times New Roman" w:hAnsi="Book Antiqua" w:cs="Times New Roman"/>
          <w:color w:val="000000" w:themeColor="text1"/>
          <w:sz w:val="24"/>
          <w:szCs w:val="24"/>
        </w:rPr>
        <w:t>(</w:t>
      </w:r>
      <w:r w:rsidR="00FB7C11" w:rsidRPr="005702DC">
        <w:rPr>
          <w:rFonts w:ascii="Book Antiqua" w:eastAsia="Times New Roman" w:hAnsi="Book Antiqua" w:cs="Times New Roman"/>
          <w:i/>
          <w:color w:val="000000" w:themeColor="text1"/>
          <w:sz w:val="24"/>
          <w:szCs w:val="24"/>
        </w:rPr>
        <w:t xml:space="preserve">P </w:t>
      </w:r>
      <w:r w:rsidR="00FB7C11">
        <w:rPr>
          <w:rFonts w:ascii="Book Antiqua" w:eastAsia="Times New Roman" w:hAnsi="Book Antiqua" w:cs="Times New Roman"/>
          <w:color w:val="000000" w:themeColor="text1"/>
          <w:sz w:val="24"/>
          <w:szCs w:val="24"/>
        </w:rPr>
        <w:t xml:space="preserve">&lt; </w:t>
      </w:r>
      <w:r w:rsidRPr="006410B4">
        <w:rPr>
          <w:rFonts w:ascii="Book Antiqua" w:eastAsia="Times New Roman" w:hAnsi="Book Antiqua" w:cs="Times New Roman"/>
          <w:color w:val="000000" w:themeColor="text1"/>
          <w:sz w:val="24"/>
          <w:szCs w:val="24"/>
        </w:rPr>
        <w:t>0.05).</w:t>
      </w:r>
      <w:r w:rsidR="00644116" w:rsidRPr="006410B4">
        <w:rPr>
          <w:rFonts w:ascii="Book Antiqua" w:eastAsia="Times New Roman" w:hAnsi="Book Antiqua" w:cs="Times New Roman"/>
          <w:color w:val="000000" w:themeColor="text1"/>
          <w:sz w:val="24"/>
          <w:szCs w:val="24"/>
        </w:rPr>
        <w:t xml:space="preserve"> </w:t>
      </w:r>
      <w:proofErr w:type="spellStart"/>
      <w:r w:rsidR="00357F5F" w:rsidRPr="006410B4">
        <w:rPr>
          <w:rFonts w:ascii="Book Antiqua" w:eastAsia="Times New Roman" w:hAnsi="Book Antiqua" w:cs="Times New Roman"/>
          <w:color w:val="000000" w:themeColor="text1"/>
          <w:sz w:val="24"/>
          <w:szCs w:val="24"/>
        </w:rPr>
        <w:t>PlGF</w:t>
      </w:r>
      <w:proofErr w:type="spellEnd"/>
      <w:r w:rsidR="00357F5F" w:rsidRPr="006410B4">
        <w:rPr>
          <w:rFonts w:ascii="Book Antiqua" w:eastAsia="Times New Roman" w:hAnsi="Book Antiqua" w:cs="Times New Roman"/>
          <w:color w:val="000000" w:themeColor="text1"/>
          <w:sz w:val="24"/>
          <w:szCs w:val="24"/>
        </w:rPr>
        <w:t xml:space="preserve"> </w:t>
      </w:r>
      <w:r w:rsidR="00644116" w:rsidRPr="006410B4">
        <w:rPr>
          <w:rFonts w:ascii="Book Antiqua" w:eastAsia="Times New Roman" w:hAnsi="Book Antiqua" w:cs="Times New Roman"/>
          <w:color w:val="000000" w:themeColor="text1"/>
          <w:sz w:val="24"/>
          <w:szCs w:val="24"/>
        </w:rPr>
        <w:t xml:space="preserve">cut-off value of </w:t>
      </w:r>
      <w:r w:rsidR="00A62679" w:rsidRPr="006410B4">
        <w:rPr>
          <w:rFonts w:ascii="Book Antiqua" w:eastAsia="Times New Roman" w:hAnsi="Book Antiqua" w:cs="Times New Roman"/>
          <w:color w:val="000000" w:themeColor="text1"/>
          <w:sz w:val="24"/>
          <w:szCs w:val="24"/>
        </w:rPr>
        <w:t xml:space="preserve">25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00A62679" w:rsidRPr="006410B4">
        <w:rPr>
          <w:rFonts w:ascii="Book Antiqua" w:eastAsia="Times New Roman" w:hAnsi="Book Antiqua" w:cs="Times New Roman"/>
          <w:color w:val="000000" w:themeColor="text1"/>
          <w:sz w:val="24"/>
          <w:szCs w:val="24"/>
        </w:rPr>
        <w:t xml:space="preserve"> </w:t>
      </w:r>
      <w:r w:rsidR="00644116" w:rsidRPr="006410B4">
        <w:rPr>
          <w:rFonts w:ascii="Book Antiqua" w:eastAsia="Times New Roman" w:hAnsi="Book Antiqua" w:cs="Times New Roman"/>
          <w:color w:val="000000" w:themeColor="text1"/>
          <w:sz w:val="24"/>
          <w:szCs w:val="24"/>
        </w:rPr>
        <w:t>distinguished patients with</w:t>
      </w:r>
      <w:r w:rsidR="00A62679" w:rsidRPr="006410B4">
        <w:rPr>
          <w:rFonts w:ascii="Book Antiqua" w:eastAsia="Times New Roman" w:hAnsi="Book Antiqua" w:cs="Times New Roman"/>
          <w:color w:val="000000" w:themeColor="text1"/>
          <w:sz w:val="24"/>
          <w:szCs w:val="24"/>
        </w:rPr>
        <w:t xml:space="preserve"> </w:t>
      </w:r>
      <w:r w:rsidR="00F2624B" w:rsidRPr="006410B4">
        <w:rPr>
          <w:rFonts w:ascii="Book Antiqua" w:eastAsia="Times New Roman" w:hAnsi="Book Antiqua" w:cs="Times New Roman"/>
          <w:color w:val="000000" w:themeColor="text1"/>
          <w:sz w:val="24"/>
          <w:szCs w:val="24"/>
        </w:rPr>
        <w:t>CSPH</w:t>
      </w:r>
      <w:r w:rsidR="00644116" w:rsidRPr="006410B4">
        <w:rPr>
          <w:rFonts w:ascii="Book Antiqua" w:eastAsia="Times New Roman" w:hAnsi="Book Antiqua" w:cs="Times New Roman"/>
          <w:color w:val="000000" w:themeColor="text1"/>
          <w:sz w:val="24"/>
          <w:szCs w:val="24"/>
        </w:rPr>
        <w:t xml:space="preserve"> at </w:t>
      </w:r>
      <w:r w:rsidR="00A62679" w:rsidRPr="006410B4">
        <w:rPr>
          <w:rFonts w:ascii="Book Antiqua" w:eastAsia="Times New Roman" w:hAnsi="Book Antiqua" w:cs="Times New Roman"/>
          <w:color w:val="000000" w:themeColor="text1"/>
          <w:sz w:val="24"/>
          <w:szCs w:val="24"/>
        </w:rPr>
        <w:t>55.7</w:t>
      </w:r>
      <w:r w:rsidR="00644116" w:rsidRPr="006410B4">
        <w:rPr>
          <w:rFonts w:ascii="Book Antiqua" w:eastAsia="Times New Roman" w:hAnsi="Book Antiqua" w:cs="Times New Roman"/>
          <w:color w:val="000000" w:themeColor="text1"/>
          <w:sz w:val="24"/>
          <w:szCs w:val="24"/>
        </w:rPr>
        <w:t xml:space="preserve">% sensitivity and </w:t>
      </w:r>
      <w:r w:rsidR="00A62679" w:rsidRPr="006410B4">
        <w:rPr>
          <w:rFonts w:ascii="Book Antiqua" w:eastAsia="Times New Roman" w:hAnsi="Book Antiqua" w:cs="Times New Roman"/>
          <w:color w:val="000000" w:themeColor="text1"/>
          <w:sz w:val="24"/>
          <w:szCs w:val="24"/>
        </w:rPr>
        <w:t>76.7</w:t>
      </w:r>
      <w:r w:rsidR="00644116" w:rsidRPr="006410B4">
        <w:rPr>
          <w:rFonts w:ascii="Book Antiqua" w:eastAsia="Times New Roman" w:hAnsi="Book Antiqua" w:cs="Times New Roman"/>
          <w:color w:val="000000" w:themeColor="text1"/>
          <w:sz w:val="24"/>
          <w:szCs w:val="24"/>
        </w:rPr>
        <w:t>% specificity</w:t>
      </w:r>
      <w:r w:rsidR="00A62679" w:rsidRPr="006410B4">
        <w:rPr>
          <w:rFonts w:ascii="Book Antiqua" w:eastAsia="Times New Roman" w:hAnsi="Book Antiqua" w:cs="Times New Roman"/>
          <w:color w:val="000000" w:themeColor="text1"/>
          <w:sz w:val="24"/>
          <w:szCs w:val="24"/>
        </w:rPr>
        <w:t xml:space="preserve">; whereas </w:t>
      </w:r>
      <w:proofErr w:type="spellStart"/>
      <w:r w:rsidR="00357F5F" w:rsidRPr="006410B4">
        <w:rPr>
          <w:rFonts w:ascii="Book Antiqua" w:eastAsia="Times New Roman" w:hAnsi="Book Antiqua" w:cs="Times New Roman"/>
          <w:color w:val="000000" w:themeColor="text1"/>
          <w:sz w:val="24"/>
          <w:szCs w:val="24"/>
        </w:rPr>
        <w:t>Nogo</w:t>
      </w:r>
      <w:proofErr w:type="spellEnd"/>
      <w:r w:rsidR="00357F5F" w:rsidRPr="006410B4">
        <w:rPr>
          <w:rFonts w:ascii="Book Antiqua" w:eastAsia="Times New Roman" w:hAnsi="Book Antiqua" w:cs="Times New Roman"/>
          <w:color w:val="000000" w:themeColor="text1"/>
          <w:sz w:val="24"/>
          <w:szCs w:val="24"/>
        </w:rPr>
        <w:t xml:space="preserve">-A </w:t>
      </w:r>
      <w:r w:rsidR="00A62679" w:rsidRPr="006410B4">
        <w:rPr>
          <w:rFonts w:ascii="Book Antiqua" w:eastAsia="Times New Roman" w:hAnsi="Book Antiqua" w:cs="Times New Roman"/>
          <w:color w:val="000000" w:themeColor="text1"/>
          <w:sz w:val="24"/>
          <w:szCs w:val="24"/>
        </w:rPr>
        <w:t xml:space="preserve">cut-off value of 1.12 </w:t>
      </w:r>
      <w:r w:rsidR="005702DC">
        <w:rPr>
          <w:rFonts w:ascii="Book Antiqua" w:eastAsia="Times New Roman" w:hAnsi="Book Antiqua" w:cs="Times New Roman"/>
          <w:color w:val="000000" w:themeColor="text1"/>
          <w:sz w:val="24"/>
          <w:szCs w:val="24"/>
        </w:rPr>
        <w:t>ng/mL</w:t>
      </w:r>
      <w:r w:rsidR="00A62679" w:rsidRPr="006410B4">
        <w:rPr>
          <w:rFonts w:ascii="Book Antiqua" w:eastAsia="Times New Roman" w:hAnsi="Book Antiqua" w:cs="Times New Roman"/>
          <w:color w:val="000000" w:themeColor="text1"/>
          <w:sz w:val="24"/>
          <w:szCs w:val="24"/>
        </w:rPr>
        <w:t xml:space="preserve"> was highly specific (93.1%) for the diagnosis of CSPH.</w:t>
      </w:r>
    </w:p>
    <w:p w:rsidR="005702DC" w:rsidRPr="006410B4" w:rsidRDefault="005702DC"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7D4B3C" w:rsidRPr="005702DC" w:rsidRDefault="00A62679"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5702DC">
        <w:rPr>
          <w:rFonts w:ascii="Book Antiqua" w:eastAsia="Times New Roman" w:hAnsi="Book Antiqua" w:cs="Times New Roman"/>
          <w:b/>
          <w:i/>
          <w:color w:val="000000" w:themeColor="text1"/>
          <w:sz w:val="24"/>
          <w:szCs w:val="24"/>
        </w:rPr>
        <w:t>CONCLUSION</w:t>
      </w:r>
    </w:p>
    <w:p w:rsidR="00A62679" w:rsidRPr="006410B4" w:rsidRDefault="00A62679"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Plasma </w:t>
      </w:r>
      <w:proofErr w:type="spellStart"/>
      <w:r w:rsidR="006706A7" w:rsidRPr="006410B4">
        <w:rPr>
          <w:rFonts w:ascii="Book Antiqua" w:eastAsia="Times New Roman" w:hAnsi="Book Antiqua" w:cs="Times New Roman"/>
          <w:color w:val="000000" w:themeColor="text1"/>
          <w:sz w:val="24"/>
          <w:szCs w:val="24"/>
        </w:rPr>
        <w:t>PlGF</w:t>
      </w:r>
      <w:proofErr w:type="spellEnd"/>
      <w:r w:rsidR="003B2FAA" w:rsidRPr="006410B4">
        <w:rPr>
          <w:rFonts w:ascii="Book Antiqua" w:eastAsia="Times New Roman" w:hAnsi="Book Antiqua" w:cs="Times New Roman"/>
          <w:color w:val="000000" w:themeColor="text1"/>
          <w:sz w:val="24"/>
          <w:szCs w:val="24"/>
        </w:rPr>
        <w:t xml:space="preserve"> </w:t>
      </w:r>
      <w:r w:rsidR="00BF498E" w:rsidRPr="006410B4">
        <w:rPr>
          <w:rFonts w:ascii="Book Antiqua" w:eastAsia="Times New Roman" w:hAnsi="Book Antiqua" w:cs="Times New Roman"/>
          <w:color w:val="000000" w:themeColor="text1"/>
          <w:sz w:val="24"/>
          <w:szCs w:val="24"/>
        </w:rPr>
        <w:t xml:space="preserve">levels </w:t>
      </w:r>
      <w:r w:rsidR="00DA0CA6" w:rsidRPr="006410B4">
        <w:rPr>
          <w:rFonts w:ascii="Book Antiqua" w:eastAsia="Times New Roman" w:hAnsi="Book Antiqua" w:cs="Times New Roman"/>
          <w:color w:val="000000" w:themeColor="text1"/>
          <w:sz w:val="24"/>
          <w:szCs w:val="24"/>
        </w:rPr>
        <w:t xml:space="preserve">were </w:t>
      </w:r>
      <w:r w:rsidR="00523AD4" w:rsidRPr="006410B4">
        <w:rPr>
          <w:rFonts w:ascii="Book Antiqua" w:eastAsia="Times New Roman" w:hAnsi="Book Antiqua" w:cs="Times New Roman"/>
          <w:color w:val="000000" w:themeColor="text1"/>
          <w:sz w:val="24"/>
          <w:szCs w:val="24"/>
        </w:rPr>
        <w:t xml:space="preserve">higher </w:t>
      </w:r>
      <w:r w:rsidR="005F1932" w:rsidRPr="006410B4">
        <w:rPr>
          <w:rFonts w:ascii="Book Antiqua" w:eastAsia="Times New Roman" w:hAnsi="Book Antiqua" w:cs="Times New Roman"/>
          <w:color w:val="000000" w:themeColor="text1"/>
          <w:sz w:val="24"/>
          <w:szCs w:val="24"/>
        </w:rPr>
        <w:t>wh</w:t>
      </w:r>
      <w:r w:rsidR="001A428D" w:rsidRPr="006410B4">
        <w:rPr>
          <w:rFonts w:ascii="Book Antiqua" w:eastAsia="Times New Roman" w:hAnsi="Book Antiqua" w:cs="Times New Roman"/>
          <w:color w:val="000000" w:themeColor="text1"/>
          <w:sz w:val="24"/>
          <w:szCs w:val="24"/>
        </w:rPr>
        <w:t>ile</w:t>
      </w:r>
      <w:r w:rsidR="005F1932" w:rsidRPr="006410B4">
        <w:rPr>
          <w:rFonts w:ascii="Book Antiqua" w:eastAsia="Times New Roman" w:hAnsi="Book Antiqua" w:cs="Times New Roman"/>
          <w:color w:val="000000" w:themeColor="text1"/>
          <w:sz w:val="24"/>
          <w:szCs w:val="24"/>
        </w:rPr>
        <w:t xml:space="preserve"> </w:t>
      </w:r>
      <w:proofErr w:type="spellStart"/>
      <w:r w:rsidR="005F1932" w:rsidRPr="006410B4">
        <w:rPr>
          <w:rFonts w:ascii="Book Antiqua" w:eastAsia="Times New Roman" w:hAnsi="Book Antiqua" w:cs="Times New Roman"/>
          <w:color w:val="000000" w:themeColor="text1"/>
          <w:sz w:val="24"/>
          <w:szCs w:val="24"/>
        </w:rPr>
        <w:t>Nogo</w:t>
      </w:r>
      <w:proofErr w:type="spellEnd"/>
      <w:r w:rsidR="005F1932" w:rsidRPr="006410B4">
        <w:rPr>
          <w:rFonts w:ascii="Book Antiqua" w:eastAsia="Times New Roman" w:hAnsi="Book Antiqua" w:cs="Times New Roman"/>
          <w:color w:val="000000" w:themeColor="text1"/>
          <w:sz w:val="24"/>
          <w:szCs w:val="24"/>
        </w:rPr>
        <w:t xml:space="preserve">-A levels were lower </w:t>
      </w:r>
      <w:r w:rsidR="00523AD4" w:rsidRPr="006410B4">
        <w:rPr>
          <w:rFonts w:ascii="Book Antiqua" w:eastAsia="Times New Roman" w:hAnsi="Book Antiqua" w:cs="Times New Roman"/>
          <w:color w:val="000000" w:themeColor="text1"/>
          <w:sz w:val="24"/>
          <w:szCs w:val="24"/>
        </w:rPr>
        <w:t xml:space="preserve">in patients </w:t>
      </w:r>
      <w:r w:rsidR="00BF498E" w:rsidRPr="006410B4">
        <w:rPr>
          <w:rFonts w:ascii="Book Antiqua" w:eastAsia="Times New Roman" w:hAnsi="Book Antiqua" w:cs="Times New Roman"/>
          <w:color w:val="000000" w:themeColor="text1"/>
          <w:sz w:val="24"/>
          <w:szCs w:val="24"/>
        </w:rPr>
        <w:t>with</w:t>
      </w:r>
      <w:r w:rsidR="00523AD4" w:rsidRPr="006410B4">
        <w:rPr>
          <w:rFonts w:ascii="Book Antiqua" w:eastAsia="Times New Roman" w:hAnsi="Book Antiqua" w:cs="Times New Roman"/>
          <w:color w:val="000000" w:themeColor="text1"/>
          <w:sz w:val="24"/>
          <w:szCs w:val="24"/>
        </w:rPr>
        <w:t xml:space="preserve"> liver cirrhosis and</w:t>
      </w:r>
      <w:r w:rsidR="00BF498E" w:rsidRPr="006410B4">
        <w:rPr>
          <w:rFonts w:ascii="Book Antiqua" w:eastAsia="Times New Roman" w:hAnsi="Book Antiqua" w:cs="Times New Roman"/>
          <w:color w:val="000000" w:themeColor="text1"/>
          <w:sz w:val="24"/>
          <w:szCs w:val="24"/>
        </w:rPr>
        <w:t xml:space="preserve"> </w:t>
      </w:r>
      <w:r w:rsidR="003B2FAA" w:rsidRPr="006410B4">
        <w:rPr>
          <w:rFonts w:ascii="Book Antiqua" w:eastAsia="Times New Roman" w:hAnsi="Book Antiqua" w:cs="Times New Roman"/>
          <w:color w:val="000000" w:themeColor="text1"/>
          <w:sz w:val="24"/>
          <w:szCs w:val="24"/>
        </w:rPr>
        <w:t>portal hypertension</w:t>
      </w:r>
      <w:r w:rsidR="00BF498E" w:rsidRPr="006410B4">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B</w:t>
      </w:r>
      <w:r w:rsidR="00BF498E" w:rsidRPr="006410B4">
        <w:rPr>
          <w:rFonts w:ascii="Book Antiqua" w:eastAsia="Times New Roman" w:hAnsi="Book Antiqua" w:cs="Times New Roman"/>
          <w:color w:val="000000" w:themeColor="text1"/>
          <w:sz w:val="24"/>
          <w:szCs w:val="24"/>
        </w:rPr>
        <w:t xml:space="preserve">iomarkers </w:t>
      </w:r>
      <w:r w:rsidR="003B2FAA" w:rsidRPr="006410B4">
        <w:rPr>
          <w:rFonts w:ascii="Book Antiqua" w:eastAsia="Times New Roman" w:hAnsi="Book Antiqua" w:cs="Times New Roman"/>
          <w:color w:val="000000" w:themeColor="text1"/>
          <w:sz w:val="24"/>
          <w:szCs w:val="24"/>
        </w:rPr>
        <w:t>s</w:t>
      </w:r>
      <w:r w:rsidR="00DA0CA6" w:rsidRPr="006410B4">
        <w:rPr>
          <w:rFonts w:ascii="Book Antiqua" w:eastAsia="Times New Roman" w:hAnsi="Book Antiqua" w:cs="Times New Roman"/>
          <w:color w:val="000000" w:themeColor="text1"/>
          <w:sz w:val="24"/>
          <w:szCs w:val="24"/>
        </w:rPr>
        <w:t xml:space="preserve">howed moderate predictive value in determining </w:t>
      </w:r>
      <w:r w:rsidR="00F2624B" w:rsidRPr="006410B4">
        <w:rPr>
          <w:rFonts w:ascii="Book Antiqua" w:eastAsia="Times New Roman" w:hAnsi="Book Antiqua" w:cs="Times New Roman"/>
          <w:color w:val="000000" w:themeColor="text1"/>
          <w:sz w:val="24"/>
          <w:szCs w:val="24"/>
        </w:rPr>
        <w:t>CSPH</w:t>
      </w:r>
      <w:r w:rsidRPr="006410B4">
        <w:rPr>
          <w:rFonts w:ascii="Book Antiqua" w:eastAsia="Times New Roman" w:hAnsi="Book Antiqua" w:cs="Times New Roman"/>
          <w:color w:val="000000" w:themeColor="text1"/>
          <w:sz w:val="24"/>
          <w:szCs w:val="24"/>
        </w:rPr>
        <w:t xml:space="preserve"> and</w:t>
      </w:r>
      <w:r w:rsidR="003B2FAA" w:rsidRPr="006410B4">
        <w:rPr>
          <w:rFonts w:ascii="Book Antiqua" w:eastAsia="Times New Roman" w:hAnsi="Book Antiqua" w:cs="Times New Roman"/>
          <w:color w:val="000000" w:themeColor="text1"/>
          <w:sz w:val="24"/>
          <w:szCs w:val="24"/>
        </w:rPr>
        <w:t xml:space="preserve"> </w:t>
      </w:r>
      <w:r w:rsidR="00F2624B" w:rsidRPr="006410B4">
        <w:rPr>
          <w:rFonts w:ascii="Book Antiqua" w:eastAsia="Times New Roman" w:hAnsi="Book Antiqua" w:cs="Times New Roman"/>
          <w:color w:val="000000" w:themeColor="text1"/>
          <w:sz w:val="24"/>
          <w:szCs w:val="24"/>
        </w:rPr>
        <w:t>S</w:t>
      </w:r>
      <w:r w:rsidRPr="006410B4">
        <w:rPr>
          <w:rFonts w:ascii="Book Antiqua" w:eastAsia="Times New Roman" w:hAnsi="Book Antiqua" w:cs="Times New Roman"/>
          <w:color w:val="000000" w:themeColor="text1"/>
          <w:sz w:val="24"/>
          <w:szCs w:val="24"/>
        </w:rPr>
        <w:t>PH.</w:t>
      </w:r>
    </w:p>
    <w:p w:rsidR="00A62679" w:rsidRPr="006410B4" w:rsidRDefault="00A62679"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A62679" w:rsidRPr="006410B4" w:rsidRDefault="00A62679"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b/>
          <w:color w:val="000000" w:themeColor="text1"/>
          <w:sz w:val="24"/>
          <w:szCs w:val="24"/>
        </w:rPr>
        <w:t>Key words</w:t>
      </w:r>
      <w:r w:rsidRPr="005702DC">
        <w:rPr>
          <w:rFonts w:ascii="Book Antiqua" w:eastAsia="Times New Roman" w:hAnsi="Book Antiqua" w:cs="Times New Roman"/>
          <w:b/>
          <w:color w:val="000000" w:themeColor="text1"/>
          <w:sz w:val="24"/>
          <w:szCs w:val="24"/>
        </w:rPr>
        <w:t>:</w:t>
      </w:r>
      <w:r w:rsidRPr="006410B4">
        <w:rPr>
          <w:rFonts w:ascii="Book Antiqua" w:eastAsia="Times New Roman" w:hAnsi="Book Antiqua" w:cs="Times New Roman"/>
          <w:color w:val="000000" w:themeColor="text1"/>
          <w:sz w:val="24"/>
          <w:szCs w:val="24"/>
        </w:rPr>
        <w:t xml:space="preserve"> </w:t>
      </w:r>
      <w:bookmarkStart w:id="64" w:name="OLE_LINK518"/>
      <w:bookmarkStart w:id="65" w:name="OLE_LINK520"/>
      <w:r w:rsidRPr="006410B4">
        <w:rPr>
          <w:rFonts w:ascii="Book Antiqua" w:eastAsia="Times New Roman" w:hAnsi="Book Antiqua" w:cs="Times New Roman"/>
          <w:color w:val="000000" w:themeColor="text1"/>
          <w:sz w:val="24"/>
          <w:szCs w:val="24"/>
        </w:rPr>
        <w:t>Liver cirrhosis</w:t>
      </w:r>
      <w:r w:rsidR="005702DC">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w:t>
      </w:r>
      <w:r w:rsidR="005702DC">
        <w:rPr>
          <w:rFonts w:ascii="Book Antiqua" w:eastAsia="Times New Roman" w:hAnsi="Book Antiqua" w:cs="Times New Roman"/>
          <w:color w:val="000000" w:themeColor="text1"/>
          <w:sz w:val="24"/>
          <w:szCs w:val="24"/>
        </w:rPr>
        <w:t>P</w:t>
      </w:r>
      <w:r w:rsidRPr="006410B4">
        <w:rPr>
          <w:rFonts w:ascii="Book Antiqua" w:eastAsia="Times New Roman" w:hAnsi="Book Antiqua" w:cs="Times New Roman"/>
          <w:color w:val="000000" w:themeColor="text1"/>
          <w:sz w:val="24"/>
          <w:szCs w:val="24"/>
        </w:rPr>
        <w:t>ortal hypertension</w:t>
      </w:r>
      <w:r w:rsidR="005702DC">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w:t>
      </w:r>
      <w:r w:rsidR="005702DC">
        <w:rPr>
          <w:rFonts w:ascii="Book Antiqua" w:eastAsia="Times New Roman" w:hAnsi="Book Antiqua" w:cs="Times New Roman"/>
          <w:color w:val="000000" w:themeColor="text1"/>
          <w:sz w:val="24"/>
          <w:szCs w:val="24"/>
        </w:rPr>
        <w:t>A</w:t>
      </w:r>
      <w:r w:rsidRPr="006410B4">
        <w:rPr>
          <w:rFonts w:ascii="Book Antiqua" w:eastAsia="Times New Roman" w:hAnsi="Book Antiqua" w:cs="Times New Roman"/>
          <w:color w:val="000000" w:themeColor="text1"/>
          <w:sz w:val="24"/>
          <w:szCs w:val="24"/>
        </w:rPr>
        <w:t>ngiogenesis</w:t>
      </w:r>
      <w:r w:rsidR="005702DC">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w:t>
      </w:r>
      <w:r w:rsidR="005702DC">
        <w:rPr>
          <w:rFonts w:ascii="Book Antiqua" w:eastAsia="Times New Roman" w:hAnsi="Book Antiqua" w:cs="Times New Roman"/>
          <w:color w:val="000000" w:themeColor="text1"/>
          <w:sz w:val="24"/>
          <w:szCs w:val="24"/>
        </w:rPr>
        <w:t>P</w:t>
      </w:r>
      <w:r w:rsidRPr="006410B4">
        <w:rPr>
          <w:rFonts w:ascii="Book Antiqua" w:eastAsia="Times New Roman" w:hAnsi="Book Antiqua" w:cs="Times New Roman"/>
          <w:color w:val="000000" w:themeColor="text1"/>
          <w:sz w:val="24"/>
          <w:szCs w:val="24"/>
        </w:rPr>
        <w:t>lacental growth factor</w:t>
      </w:r>
      <w:r w:rsidR="005702DC">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w:t>
      </w:r>
      <w:r w:rsidR="005702DC">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w:t>
      </w:r>
      <w:r w:rsidR="005702DC">
        <w:rPr>
          <w:rFonts w:ascii="Book Antiqua" w:eastAsia="Times New Roman" w:hAnsi="Book Antiqua" w:cs="Times New Roman"/>
          <w:color w:val="000000" w:themeColor="text1"/>
          <w:sz w:val="24"/>
          <w:szCs w:val="24"/>
        </w:rPr>
        <w:t>H</w:t>
      </w:r>
      <w:r w:rsidRPr="006410B4">
        <w:rPr>
          <w:rFonts w:ascii="Book Antiqua" w:eastAsia="Times New Roman" w:hAnsi="Book Antiqua" w:cs="Times New Roman"/>
          <w:color w:val="000000" w:themeColor="text1"/>
          <w:sz w:val="24"/>
          <w:szCs w:val="24"/>
        </w:rPr>
        <w:t>epatic venous pressure gradient</w:t>
      </w:r>
    </w:p>
    <w:bookmarkEnd w:id="64"/>
    <w:bookmarkEnd w:id="65"/>
    <w:p w:rsidR="00370328" w:rsidRDefault="00370328"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5702DC" w:rsidRDefault="00927701" w:rsidP="006410B4">
      <w:pPr>
        <w:adjustRightInd w:val="0"/>
        <w:snapToGrid w:val="0"/>
        <w:spacing w:after="0" w:line="360" w:lineRule="auto"/>
        <w:jc w:val="both"/>
        <w:rPr>
          <w:rFonts w:ascii="Book Antiqua" w:eastAsia="SimSun" w:hAnsi="Book Antiqua" w:cs="Times New Roman"/>
          <w:sz w:val="24"/>
          <w:szCs w:val="24"/>
          <w:lang w:eastAsia="zh-CN"/>
        </w:rPr>
      </w:pPr>
      <w:bookmarkStart w:id="66" w:name="OLE_LINK43"/>
      <w:bookmarkStart w:id="67" w:name="OLE_LINK44"/>
      <w:r w:rsidRPr="00927701">
        <w:rPr>
          <w:rFonts w:ascii="Book Antiqua" w:eastAsia="SimSun" w:hAnsi="Book Antiqua" w:cs="Times New Roman"/>
          <w:b/>
          <w:sz w:val="24"/>
          <w:szCs w:val="24"/>
          <w:lang w:eastAsia="zh-CN"/>
        </w:rPr>
        <w:t>© The Author(s) 201</w:t>
      </w:r>
      <w:r w:rsidRPr="00927701">
        <w:rPr>
          <w:rFonts w:ascii="Book Antiqua" w:eastAsia="SimSun" w:hAnsi="Book Antiqua" w:cs="Times New Roman" w:hint="eastAsia"/>
          <w:b/>
          <w:sz w:val="24"/>
          <w:szCs w:val="24"/>
          <w:lang w:eastAsia="zh-CN"/>
        </w:rPr>
        <w:t>9</w:t>
      </w:r>
      <w:r w:rsidRPr="00927701">
        <w:rPr>
          <w:rFonts w:ascii="Book Antiqua" w:eastAsia="SimSun" w:hAnsi="Book Antiqua" w:cs="Times New Roman"/>
          <w:b/>
          <w:sz w:val="24"/>
          <w:szCs w:val="24"/>
          <w:lang w:eastAsia="zh-CN"/>
        </w:rPr>
        <w:t xml:space="preserve">. </w:t>
      </w:r>
      <w:r w:rsidRPr="00927701">
        <w:rPr>
          <w:rFonts w:ascii="Book Antiqua" w:eastAsia="SimSun" w:hAnsi="Book Antiqua" w:cs="Times New Roman"/>
          <w:sz w:val="24"/>
          <w:szCs w:val="24"/>
          <w:lang w:eastAsia="zh-CN"/>
        </w:rPr>
        <w:t xml:space="preserve">Published by </w:t>
      </w:r>
      <w:proofErr w:type="spellStart"/>
      <w:r w:rsidRPr="00927701">
        <w:rPr>
          <w:rFonts w:ascii="Book Antiqua" w:eastAsia="SimSun" w:hAnsi="Book Antiqua" w:cs="Times New Roman"/>
          <w:sz w:val="24"/>
          <w:szCs w:val="24"/>
          <w:lang w:eastAsia="zh-CN"/>
        </w:rPr>
        <w:t>Baishideng</w:t>
      </w:r>
      <w:proofErr w:type="spellEnd"/>
      <w:r w:rsidRPr="00927701">
        <w:rPr>
          <w:rFonts w:ascii="Book Antiqua" w:eastAsia="SimSun" w:hAnsi="Book Antiqua" w:cs="Times New Roman"/>
          <w:sz w:val="24"/>
          <w:szCs w:val="24"/>
          <w:lang w:eastAsia="zh-CN"/>
        </w:rPr>
        <w:t xml:space="preserve"> Publishing Group Inc. All rights reserved.</w:t>
      </w:r>
      <w:bookmarkEnd w:id="66"/>
      <w:bookmarkEnd w:id="67"/>
    </w:p>
    <w:p w:rsidR="00927701" w:rsidRPr="006410B4" w:rsidRDefault="00927701"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A62679" w:rsidRDefault="00A62679"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b/>
          <w:color w:val="000000" w:themeColor="text1"/>
          <w:sz w:val="24"/>
          <w:szCs w:val="24"/>
        </w:rPr>
        <w:t>Core tip</w:t>
      </w:r>
      <w:r w:rsidRPr="00927701">
        <w:rPr>
          <w:rFonts w:ascii="Book Antiqua" w:eastAsia="Times New Roman" w:hAnsi="Book Antiqua" w:cs="Times New Roman"/>
          <w:b/>
          <w:color w:val="000000" w:themeColor="text1"/>
          <w:sz w:val="24"/>
          <w:szCs w:val="24"/>
        </w:rPr>
        <w:t>:</w:t>
      </w:r>
      <w:r w:rsidRPr="006410B4">
        <w:rPr>
          <w:rFonts w:ascii="Book Antiqua" w:eastAsia="Times New Roman" w:hAnsi="Book Antiqua" w:cs="Times New Roman"/>
          <w:color w:val="000000" w:themeColor="text1"/>
          <w:sz w:val="24"/>
          <w:szCs w:val="24"/>
        </w:rPr>
        <w:t xml:space="preserve"> </w:t>
      </w:r>
      <w:r w:rsidR="00370328" w:rsidRPr="006410B4">
        <w:rPr>
          <w:rFonts w:ascii="Book Antiqua" w:eastAsia="Times New Roman" w:hAnsi="Book Antiqua" w:cs="Times New Roman"/>
          <w:color w:val="000000" w:themeColor="text1"/>
          <w:sz w:val="24"/>
          <w:szCs w:val="24"/>
        </w:rPr>
        <w:t xml:space="preserve">In this study, we aimed to evaluate plasma levels of angiogenesis </w:t>
      </w:r>
      <w:proofErr w:type="gramStart"/>
      <w:r w:rsidR="00370328" w:rsidRPr="006410B4">
        <w:rPr>
          <w:rFonts w:ascii="Book Antiqua" w:eastAsia="Times New Roman" w:hAnsi="Book Antiqua" w:cs="Times New Roman"/>
          <w:color w:val="000000" w:themeColor="text1"/>
          <w:sz w:val="24"/>
          <w:szCs w:val="24"/>
        </w:rPr>
        <w:t>mediators</w:t>
      </w:r>
      <w:proofErr w:type="gramEnd"/>
      <w:r w:rsidR="00370328" w:rsidRPr="006410B4">
        <w:rPr>
          <w:rFonts w:ascii="Book Antiqua" w:eastAsia="Times New Roman" w:hAnsi="Book Antiqua" w:cs="Times New Roman"/>
          <w:color w:val="000000" w:themeColor="text1"/>
          <w:sz w:val="24"/>
          <w:szCs w:val="24"/>
        </w:rPr>
        <w:t xml:space="preserve"> </w:t>
      </w:r>
      <w:r w:rsidR="00357F5F" w:rsidRPr="006410B4">
        <w:rPr>
          <w:rFonts w:ascii="Book Antiqua" w:eastAsia="Times New Roman" w:hAnsi="Book Antiqua" w:cs="Times New Roman"/>
          <w:color w:val="000000" w:themeColor="text1"/>
          <w:sz w:val="24"/>
          <w:szCs w:val="24"/>
        </w:rPr>
        <w:t>p</w:t>
      </w:r>
      <w:r w:rsidR="00370328" w:rsidRPr="006410B4">
        <w:rPr>
          <w:rFonts w:ascii="Book Antiqua" w:eastAsia="Times New Roman" w:hAnsi="Book Antiqua" w:cs="Times New Roman"/>
          <w:color w:val="000000" w:themeColor="text1"/>
          <w:sz w:val="24"/>
          <w:szCs w:val="24"/>
        </w:rPr>
        <w:t xml:space="preserve">lacental growth factor and </w:t>
      </w:r>
      <w:proofErr w:type="spellStart"/>
      <w:r w:rsidR="00370328" w:rsidRPr="006410B4">
        <w:rPr>
          <w:rFonts w:ascii="Book Antiqua" w:eastAsia="Times New Roman" w:hAnsi="Book Antiqua" w:cs="Times New Roman"/>
          <w:color w:val="000000" w:themeColor="text1"/>
          <w:sz w:val="24"/>
          <w:szCs w:val="24"/>
        </w:rPr>
        <w:t>Nogo</w:t>
      </w:r>
      <w:proofErr w:type="spellEnd"/>
      <w:r w:rsidR="00370328" w:rsidRPr="006410B4">
        <w:rPr>
          <w:rFonts w:ascii="Book Antiqua" w:eastAsia="Times New Roman" w:hAnsi="Book Antiqua" w:cs="Times New Roman"/>
          <w:color w:val="000000" w:themeColor="text1"/>
          <w:sz w:val="24"/>
          <w:szCs w:val="24"/>
        </w:rPr>
        <w:t xml:space="preserve">-A protein in patients with liver cirrhosis, clinically significant portal hypertension, severe portal hypertension as well as biomarker potential to predict clinically significant and severe portal hypertension. Higher levels of placental growth factor have previously been associated with portal hypertension in animal models; however, data in patients with liver cirrhosis are scarce. To date this is the first study to evaluate </w:t>
      </w:r>
      <w:proofErr w:type="spellStart"/>
      <w:r w:rsidR="00370328" w:rsidRPr="006410B4">
        <w:rPr>
          <w:rFonts w:ascii="Book Antiqua" w:eastAsia="Times New Roman" w:hAnsi="Book Antiqua" w:cs="Times New Roman"/>
          <w:color w:val="000000" w:themeColor="text1"/>
          <w:sz w:val="24"/>
          <w:szCs w:val="24"/>
        </w:rPr>
        <w:t>Nogo</w:t>
      </w:r>
      <w:proofErr w:type="spellEnd"/>
      <w:r w:rsidR="00370328" w:rsidRPr="006410B4">
        <w:rPr>
          <w:rFonts w:ascii="Book Antiqua" w:eastAsia="Times New Roman" w:hAnsi="Book Antiqua" w:cs="Times New Roman"/>
          <w:color w:val="000000" w:themeColor="text1"/>
          <w:sz w:val="24"/>
          <w:szCs w:val="24"/>
        </w:rPr>
        <w:t>-A protein levels in patients with liver cirrhosis and portal hypertension. Furthermore, to our best knowledge this is the first study to evaluate prognostic potential of these biomarkers to detect clinically significant and severe portal hypertension. We believe that this study adds additional knowledge on the complex pathogenesis of portal hypertension and might provide new insights for future research of new diagnostic approaches and treatment targets in the field.</w:t>
      </w:r>
    </w:p>
    <w:p w:rsidR="00927701" w:rsidRPr="006410B4" w:rsidRDefault="00927701"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F934F0" w:rsidRPr="006410B4" w:rsidRDefault="00927701" w:rsidP="006410B4">
      <w:pPr>
        <w:adjustRightInd w:val="0"/>
        <w:snapToGrid w:val="0"/>
        <w:spacing w:after="0" w:line="360" w:lineRule="auto"/>
        <w:jc w:val="both"/>
        <w:rPr>
          <w:rFonts w:ascii="Book Antiqua" w:hAnsi="Book Antiqua" w:cs="Times New Roman"/>
          <w:color w:val="000000" w:themeColor="text1"/>
          <w:sz w:val="24"/>
          <w:szCs w:val="24"/>
        </w:rPr>
      </w:pPr>
      <w:bookmarkStart w:id="68" w:name="OLE_LINK95"/>
      <w:bookmarkStart w:id="69" w:name="OLE_LINK53"/>
      <w:bookmarkStart w:id="70" w:name="OLE_LINK47"/>
      <w:bookmarkStart w:id="71" w:name="OLE_LINK48"/>
      <w:bookmarkStart w:id="72" w:name="OLE_LINK289"/>
      <w:bookmarkStart w:id="73" w:name="OLE_LINK494"/>
      <w:bookmarkStart w:id="74" w:name="OLE_LINK428"/>
      <w:bookmarkStart w:id="75" w:name="OLE_LINK108"/>
      <w:bookmarkStart w:id="76" w:name="OLE_LINK109"/>
      <w:bookmarkStart w:id="77" w:name="OLE_LINK142"/>
      <w:bookmarkStart w:id="78" w:name="OLE_LINK143"/>
      <w:bookmarkStart w:id="79" w:name="OLE_LINK249"/>
      <w:bookmarkStart w:id="80" w:name="OLE_LINK256"/>
      <w:bookmarkStart w:id="81" w:name="OLE_LINK85"/>
      <w:r w:rsidRPr="00834EFE">
        <w:rPr>
          <w:rFonts w:ascii="Book Antiqua" w:eastAsia="Times New Roman" w:hAnsi="Book Antiqua" w:cs="Times New Roman"/>
          <w:color w:val="000000" w:themeColor="text1"/>
          <w:sz w:val="24"/>
          <w:szCs w:val="24"/>
        </w:rPr>
        <w:t>Gelman</w:t>
      </w:r>
      <w:r>
        <w:rPr>
          <w:rFonts w:ascii="Book Antiqua" w:eastAsia="Times New Roman" w:hAnsi="Book Antiqua" w:cs="Times New Roman"/>
          <w:color w:val="000000" w:themeColor="text1"/>
          <w:sz w:val="24"/>
          <w:szCs w:val="24"/>
        </w:rPr>
        <w:t xml:space="preserve"> S</w:t>
      </w:r>
      <w:r w:rsidRPr="00834EFE">
        <w:rPr>
          <w:rFonts w:ascii="Book Antiqua" w:eastAsia="Times New Roman" w:hAnsi="Book Antiqua" w:cs="Times New Roman"/>
          <w:color w:val="000000" w:themeColor="text1"/>
          <w:sz w:val="24"/>
          <w:szCs w:val="24"/>
        </w:rPr>
        <w:t xml:space="preserve">, </w:t>
      </w:r>
      <w:proofErr w:type="spellStart"/>
      <w:r w:rsidRPr="00834EFE">
        <w:rPr>
          <w:rFonts w:ascii="Book Antiqua" w:eastAsia="Times New Roman" w:hAnsi="Book Antiqua" w:cs="Times New Roman"/>
          <w:color w:val="000000" w:themeColor="text1"/>
          <w:sz w:val="24"/>
          <w:szCs w:val="24"/>
        </w:rPr>
        <w:t>Salteniene</w:t>
      </w:r>
      <w:proofErr w:type="spellEnd"/>
      <w:r>
        <w:rPr>
          <w:rFonts w:ascii="Book Antiqua" w:eastAsia="Times New Roman" w:hAnsi="Book Antiqua" w:cs="Times New Roman"/>
          <w:color w:val="000000" w:themeColor="text1"/>
          <w:sz w:val="24"/>
          <w:szCs w:val="24"/>
        </w:rPr>
        <w:t xml:space="preserve"> V</w:t>
      </w:r>
      <w:r w:rsidRPr="00834EFE">
        <w:rPr>
          <w:rFonts w:ascii="Book Antiqua" w:eastAsia="Times New Roman" w:hAnsi="Book Antiqua" w:cs="Times New Roman"/>
          <w:color w:val="000000" w:themeColor="text1"/>
          <w:sz w:val="24"/>
          <w:szCs w:val="24"/>
        </w:rPr>
        <w:t xml:space="preserve">, </w:t>
      </w:r>
      <w:proofErr w:type="spellStart"/>
      <w:r w:rsidRPr="00834EFE">
        <w:rPr>
          <w:rFonts w:ascii="Book Antiqua" w:eastAsia="Times New Roman" w:hAnsi="Book Antiqua" w:cs="Times New Roman"/>
          <w:color w:val="000000" w:themeColor="text1"/>
          <w:sz w:val="24"/>
          <w:szCs w:val="24"/>
        </w:rPr>
        <w:t>Pranculis</w:t>
      </w:r>
      <w:proofErr w:type="spellEnd"/>
      <w:r>
        <w:rPr>
          <w:rFonts w:ascii="Book Antiqua" w:eastAsia="Times New Roman" w:hAnsi="Book Antiqua" w:cs="Times New Roman"/>
          <w:color w:val="000000" w:themeColor="text1"/>
          <w:sz w:val="24"/>
          <w:szCs w:val="24"/>
        </w:rPr>
        <w:t xml:space="preserve"> A</w:t>
      </w:r>
      <w:r w:rsidRPr="00834EFE">
        <w:rPr>
          <w:rFonts w:ascii="Book Antiqua" w:eastAsia="Times New Roman" w:hAnsi="Book Antiqua" w:cs="Times New Roman"/>
          <w:color w:val="000000" w:themeColor="text1"/>
          <w:sz w:val="24"/>
          <w:szCs w:val="24"/>
        </w:rPr>
        <w:t xml:space="preserve">, </w:t>
      </w:r>
      <w:proofErr w:type="spellStart"/>
      <w:r w:rsidRPr="00834EFE">
        <w:rPr>
          <w:rFonts w:ascii="Book Antiqua" w:eastAsia="Times New Roman" w:hAnsi="Book Antiqua" w:cs="Times New Roman"/>
          <w:color w:val="000000" w:themeColor="text1"/>
          <w:sz w:val="24"/>
          <w:szCs w:val="24"/>
        </w:rPr>
        <w:t>Skieceviciene</w:t>
      </w:r>
      <w:proofErr w:type="spellEnd"/>
      <w:r>
        <w:rPr>
          <w:rFonts w:ascii="Book Antiqua" w:eastAsia="Times New Roman" w:hAnsi="Book Antiqua" w:cs="Times New Roman"/>
          <w:color w:val="000000" w:themeColor="text1"/>
          <w:sz w:val="24"/>
          <w:szCs w:val="24"/>
        </w:rPr>
        <w:t xml:space="preserve"> J</w:t>
      </w:r>
      <w:r w:rsidRPr="00834EFE">
        <w:rPr>
          <w:rFonts w:ascii="Book Antiqua" w:eastAsia="Times New Roman" w:hAnsi="Book Antiqua" w:cs="Times New Roman"/>
          <w:color w:val="000000" w:themeColor="text1"/>
          <w:sz w:val="24"/>
          <w:szCs w:val="24"/>
        </w:rPr>
        <w:t xml:space="preserve">, </w:t>
      </w:r>
      <w:proofErr w:type="spellStart"/>
      <w:r w:rsidRPr="00834EFE">
        <w:rPr>
          <w:rFonts w:ascii="Book Antiqua" w:eastAsia="Times New Roman" w:hAnsi="Book Antiqua" w:cs="Times New Roman"/>
          <w:color w:val="000000" w:themeColor="text1"/>
          <w:sz w:val="24"/>
          <w:szCs w:val="24"/>
        </w:rPr>
        <w:t>Zykus</w:t>
      </w:r>
      <w:proofErr w:type="spellEnd"/>
      <w:r>
        <w:rPr>
          <w:rFonts w:ascii="Book Antiqua" w:eastAsia="Times New Roman" w:hAnsi="Book Antiqua" w:cs="Times New Roman"/>
          <w:color w:val="000000" w:themeColor="text1"/>
          <w:sz w:val="24"/>
          <w:szCs w:val="24"/>
        </w:rPr>
        <w:t xml:space="preserve"> R</w:t>
      </w:r>
      <w:r w:rsidRPr="00834EFE">
        <w:rPr>
          <w:rFonts w:ascii="Book Antiqua" w:eastAsia="Times New Roman" w:hAnsi="Book Antiqua" w:cs="Times New Roman"/>
          <w:color w:val="000000" w:themeColor="text1"/>
          <w:sz w:val="24"/>
          <w:szCs w:val="24"/>
        </w:rPr>
        <w:t>, Petrauskas</w:t>
      </w:r>
      <w:r>
        <w:rPr>
          <w:rFonts w:ascii="Book Antiqua" w:eastAsia="Times New Roman" w:hAnsi="Book Antiqua" w:cs="Times New Roman"/>
          <w:color w:val="000000" w:themeColor="text1"/>
          <w:sz w:val="24"/>
          <w:szCs w:val="24"/>
        </w:rPr>
        <w:t xml:space="preserve"> D</w:t>
      </w:r>
      <w:r w:rsidRPr="00834EFE">
        <w:rPr>
          <w:rFonts w:ascii="Book Antiqua" w:eastAsia="Times New Roman" w:hAnsi="Book Antiqua" w:cs="Times New Roman"/>
          <w:color w:val="000000" w:themeColor="text1"/>
          <w:sz w:val="24"/>
          <w:szCs w:val="24"/>
        </w:rPr>
        <w:t xml:space="preserve">, </w:t>
      </w:r>
      <w:proofErr w:type="spellStart"/>
      <w:r w:rsidRPr="00834EFE">
        <w:rPr>
          <w:rFonts w:ascii="Book Antiqua" w:eastAsia="Times New Roman" w:hAnsi="Book Antiqua" w:cs="Times New Roman"/>
          <w:color w:val="000000" w:themeColor="text1"/>
          <w:sz w:val="24"/>
          <w:szCs w:val="24"/>
        </w:rPr>
        <w:t>Kupcinskas</w:t>
      </w:r>
      <w:proofErr w:type="spellEnd"/>
      <w:r>
        <w:rPr>
          <w:rFonts w:ascii="Book Antiqua" w:eastAsia="Times New Roman" w:hAnsi="Book Antiqua" w:cs="Times New Roman"/>
          <w:color w:val="000000" w:themeColor="text1"/>
          <w:sz w:val="24"/>
          <w:szCs w:val="24"/>
        </w:rPr>
        <w:t xml:space="preserve"> L</w:t>
      </w:r>
      <w:r w:rsidRPr="00834EFE">
        <w:rPr>
          <w:rFonts w:ascii="Book Antiqua" w:eastAsia="Times New Roman" w:hAnsi="Book Antiqua" w:cs="Times New Roman"/>
          <w:color w:val="000000" w:themeColor="text1"/>
          <w:sz w:val="24"/>
          <w:szCs w:val="24"/>
        </w:rPr>
        <w:t xml:space="preserve">, </w:t>
      </w:r>
      <w:proofErr w:type="spellStart"/>
      <w:r w:rsidRPr="00834EFE">
        <w:rPr>
          <w:rFonts w:ascii="Book Antiqua" w:eastAsia="Times New Roman" w:hAnsi="Book Antiqua" w:cs="Times New Roman"/>
          <w:color w:val="000000" w:themeColor="text1"/>
          <w:sz w:val="24"/>
          <w:szCs w:val="24"/>
        </w:rPr>
        <w:t>Canbay</w:t>
      </w:r>
      <w:proofErr w:type="spellEnd"/>
      <w:r>
        <w:rPr>
          <w:rFonts w:ascii="Book Antiqua" w:eastAsia="Times New Roman" w:hAnsi="Book Antiqua" w:cs="Times New Roman"/>
          <w:color w:val="000000" w:themeColor="text1"/>
          <w:sz w:val="24"/>
          <w:szCs w:val="24"/>
        </w:rPr>
        <w:t xml:space="preserve"> A</w:t>
      </w:r>
      <w:r w:rsidRPr="00834EFE">
        <w:rPr>
          <w:rFonts w:ascii="Book Antiqua" w:eastAsia="Times New Roman" w:hAnsi="Book Antiqua" w:cs="Times New Roman"/>
          <w:color w:val="000000" w:themeColor="text1"/>
          <w:sz w:val="24"/>
          <w:szCs w:val="24"/>
        </w:rPr>
        <w:t>, Link</w:t>
      </w:r>
      <w:r>
        <w:rPr>
          <w:rFonts w:ascii="Book Antiqua" w:eastAsia="Times New Roman" w:hAnsi="Book Antiqua" w:cs="Times New Roman"/>
          <w:color w:val="000000" w:themeColor="text1"/>
          <w:sz w:val="24"/>
          <w:szCs w:val="24"/>
        </w:rPr>
        <w:t xml:space="preserve"> A</w:t>
      </w:r>
      <w:r w:rsidRPr="00834EFE">
        <w:rPr>
          <w:rFonts w:ascii="Book Antiqua" w:eastAsia="Times New Roman" w:hAnsi="Book Antiqua" w:cs="Times New Roman"/>
          <w:color w:val="000000" w:themeColor="text1"/>
          <w:sz w:val="24"/>
          <w:szCs w:val="24"/>
        </w:rPr>
        <w:t xml:space="preserve">, </w:t>
      </w:r>
      <w:proofErr w:type="spellStart"/>
      <w:r w:rsidRPr="00834EFE">
        <w:rPr>
          <w:rFonts w:ascii="Book Antiqua" w:eastAsia="Times New Roman" w:hAnsi="Book Antiqua" w:cs="Times New Roman"/>
          <w:color w:val="000000" w:themeColor="text1"/>
          <w:sz w:val="24"/>
          <w:szCs w:val="24"/>
        </w:rPr>
        <w:t>Kupcinskas</w:t>
      </w:r>
      <w:proofErr w:type="spellEnd"/>
      <w:r>
        <w:rPr>
          <w:rFonts w:ascii="Book Antiqua" w:eastAsia="Times New Roman" w:hAnsi="Book Antiqua" w:cs="Times New Roman"/>
          <w:color w:val="000000" w:themeColor="text1"/>
          <w:sz w:val="24"/>
          <w:szCs w:val="24"/>
        </w:rPr>
        <w:t xml:space="preserve"> J</w:t>
      </w:r>
      <w:r w:rsidR="00183E79" w:rsidRPr="006410B4">
        <w:rPr>
          <w:rFonts w:ascii="Book Antiqua" w:hAnsi="Book Antiqua" w:cs="Times New Roman"/>
          <w:color w:val="000000" w:themeColor="text1"/>
          <w:sz w:val="24"/>
          <w:szCs w:val="24"/>
        </w:rPr>
        <w:t xml:space="preserve">. </w:t>
      </w:r>
      <w:r w:rsidR="00183E79" w:rsidRPr="00927701">
        <w:rPr>
          <w:rFonts w:ascii="Book Antiqua" w:eastAsia="Times New Roman" w:hAnsi="Book Antiqua" w:cs="Times New Roman"/>
          <w:color w:val="000000" w:themeColor="text1"/>
          <w:sz w:val="24"/>
          <w:szCs w:val="24"/>
        </w:rPr>
        <w:t xml:space="preserve">Plasma </w:t>
      </w:r>
      <w:proofErr w:type="spellStart"/>
      <w:r w:rsidR="00183E79" w:rsidRPr="00927701">
        <w:rPr>
          <w:rFonts w:ascii="Book Antiqua" w:eastAsia="Times New Roman" w:hAnsi="Book Antiqua" w:cs="Times New Roman"/>
          <w:color w:val="000000" w:themeColor="text1"/>
          <w:sz w:val="24"/>
          <w:szCs w:val="24"/>
        </w:rPr>
        <w:t>Nogo</w:t>
      </w:r>
      <w:proofErr w:type="spellEnd"/>
      <w:r w:rsidR="00183E79" w:rsidRPr="00927701">
        <w:rPr>
          <w:rFonts w:ascii="Book Antiqua" w:eastAsia="Times New Roman" w:hAnsi="Book Antiqua" w:cs="Times New Roman"/>
          <w:color w:val="000000" w:themeColor="text1"/>
          <w:sz w:val="24"/>
          <w:szCs w:val="24"/>
        </w:rPr>
        <w:t xml:space="preserve">-A and </w:t>
      </w:r>
      <w:r w:rsidRPr="00927701">
        <w:rPr>
          <w:rFonts w:ascii="Book Antiqua" w:eastAsia="Times New Roman" w:hAnsi="Book Antiqua" w:cs="Times New Roman"/>
          <w:color w:val="000000" w:themeColor="text1"/>
          <w:sz w:val="24"/>
          <w:szCs w:val="24"/>
        </w:rPr>
        <w:t>p</w:t>
      </w:r>
      <w:r w:rsidR="00183E79" w:rsidRPr="00927701">
        <w:rPr>
          <w:rFonts w:ascii="Book Antiqua" w:eastAsia="Times New Roman" w:hAnsi="Book Antiqua" w:cs="Times New Roman"/>
          <w:color w:val="000000" w:themeColor="text1"/>
          <w:sz w:val="24"/>
          <w:szCs w:val="24"/>
        </w:rPr>
        <w:t>lacental growth factor levels are associated with portal hypertension in patients with liver cirrhosis</w:t>
      </w:r>
      <w:r w:rsidR="00F934F0" w:rsidRPr="006410B4">
        <w:rPr>
          <w:rFonts w:ascii="Book Antiqua" w:hAnsi="Book Antiqua" w:cs="Times New Roman"/>
          <w:color w:val="000000" w:themeColor="text1"/>
          <w:sz w:val="24"/>
          <w:szCs w:val="24"/>
        </w:rPr>
        <w:t>.</w:t>
      </w:r>
      <w:bookmarkEnd w:id="68"/>
      <w:r w:rsidR="00F934F0" w:rsidRPr="006410B4">
        <w:rPr>
          <w:rFonts w:ascii="Book Antiqua" w:hAnsi="Book Antiqua"/>
          <w:i/>
          <w:color w:val="000000" w:themeColor="text1"/>
          <w:sz w:val="24"/>
          <w:szCs w:val="24"/>
        </w:rPr>
        <w:t xml:space="preserve"> </w:t>
      </w:r>
      <w:bookmarkStart w:id="82" w:name="OLE_LINK1105"/>
      <w:bookmarkStart w:id="83" w:name="OLE_LINK1107"/>
      <w:bookmarkEnd w:id="69"/>
      <w:r w:rsidR="00F934F0" w:rsidRPr="006410B4">
        <w:rPr>
          <w:rFonts w:ascii="Book Antiqua" w:hAnsi="Book Antiqua" w:cs="Times New Roman"/>
          <w:i/>
          <w:color w:val="000000" w:themeColor="text1"/>
          <w:sz w:val="24"/>
          <w:szCs w:val="24"/>
        </w:rPr>
        <w:t xml:space="preserve">World J Gastroenterol </w:t>
      </w:r>
      <w:r w:rsidR="00F934F0" w:rsidRPr="006410B4">
        <w:rPr>
          <w:rFonts w:ascii="Book Antiqua" w:hAnsi="Book Antiqua" w:cs="Times New Roman"/>
          <w:color w:val="000000" w:themeColor="text1"/>
          <w:sz w:val="24"/>
          <w:szCs w:val="24"/>
        </w:rPr>
        <w:t>2019; In press</w:t>
      </w:r>
      <w:bookmarkEnd w:id="70"/>
      <w:bookmarkEnd w:id="71"/>
      <w:bookmarkEnd w:id="72"/>
      <w:bookmarkEnd w:id="73"/>
      <w:bookmarkEnd w:id="74"/>
      <w:bookmarkEnd w:id="75"/>
      <w:bookmarkEnd w:id="76"/>
      <w:bookmarkEnd w:id="82"/>
      <w:bookmarkEnd w:id="83"/>
    </w:p>
    <w:bookmarkEnd w:id="77"/>
    <w:bookmarkEnd w:id="78"/>
    <w:bookmarkEnd w:id="79"/>
    <w:bookmarkEnd w:id="80"/>
    <w:bookmarkEnd w:id="81"/>
    <w:p w:rsidR="00F934F0" w:rsidRPr="006410B4" w:rsidRDefault="00F934F0"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A62679" w:rsidRPr="006410B4" w:rsidRDefault="00A62679"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br w:type="page"/>
      </w:r>
    </w:p>
    <w:p w:rsidR="00C42FE6" w:rsidRPr="006410B4" w:rsidRDefault="00370328"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b/>
          <w:color w:val="000000" w:themeColor="text1"/>
          <w:sz w:val="24"/>
          <w:szCs w:val="24"/>
        </w:rPr>
        <w:lastRenderedPageBreak/>
        <w:t>INTRODUCTION</w:t>
      </w:r>
    </w:p>
    <w:p w:rsidR="00E17213" w:rsidRPr="006410B4" w:rsidRDefault="00BF498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Portal hypertension </w:t>
      </w:r>
      <w:r w:rsidR="000B2AD5" w:rsidRPr="006410B4">
        <w:rPr>
          <w:rFonts w:ascii="Book Antiqua" w:eastAsia="Times New Roman" w:hAnsi="Book Antiqua" w:cs="Times New Roman"/>
          <w:color w:val="000000" w:themeColor="text1"/>
          <w:sz w:val="24"/>
          <w:szCs w:val="24"/>
        </w:rPr>
        <w:t xml:space="preserve">(PH) </w:t>
      </w:r>
      <w:r w:rsidRPr="006410B4">
        <w:rPr>
          <w:rFonts w:ascii="Book Antiqua" w:eastAsia="Times New Roman" w:hAnsi="Book Antiqua" w:cs="Times New Roman"/>
          <w:color w:val="000000" w:themeColor="text1"/>
          <w:sz w:val="24"/>
          <w:szCs w:val="24"/>
        </w:rPr>
        <w:t xml:space="preserve">is a consequence of liver cirrhosis and can cause serious </w:t>
      </w:r>
      <w:r w:rsidR="00F21BBB" w:rsidRPr="006410B4">
        <w:rPr>
          <w:rFonts w:ascii="Book Antiqua" w:eastAsia="Times New Roman" w:hAnsi="Book Antiqua" w:cs="Times New Roman"/>
          <w:color w:val="000000" w:themeColor="text1"/>
          <w:sz w:val="24"/>
          <w:szCs w:val="24"/>
        </w:rPr>
        <w:t>life-threatening</w:t>
      </w:r>
      <w:r w:rsidRPr="006410B4">
        <w:rPr>
          <w:rFonts w:ascii="Book Antiqua" w:eastAsia="Times New Roman" w:hAnsi="Book Antiqua" w:cs="Times New Roman"/>
          <w:color w:val="000000" w:themeColor="text1"/>
          <w:sz w:val="24"/>
          <w:szCs w:val="24"/>
        </w:rPr>
        <w:t xml:space="preserve"> complications. The degree of portal hypertension is one of the most important prognostic factors for complications and decompensation of liver cirrhosis and is defined by the hepatic venous pressure gradient (HVPG)</w:t>
      </w:r>
      <w:r w:rsidR="00F934F0" w:rsidRPr="006410B4">
        <w:rPr>
          <w:rFonts w:ascii="Book Antiqua" w:eastAsia="Times New Roman" w:hAnsi="Book Antiqua" w:cs="Times New Roman"/>
          <w:color w:val="000000" w:themeColor="text1"/>
          <w:sz w:val="24"/>
          <w:szCs w:val="24"/>
          <w:vertAlign w:val="superscript"/>
        </w:rPr>
        <w:t>[</w:t>
      </w:r>
      <w:r w:rsidR="00FF55AB" w:rsidRPr="006410B4">
        <w:rPr>
          <w:rStyle w:val="FootnoteReference"/>
          <w:rFonts w:ascii="Book Antiqua" w:eastAsia="Times New Roman" w:hAnsi="Book Antiqua" w:cs="Times New Roman"/>
          <w:color w:val="000000" w:themeColor="text1"/>
          <w:sz w:val="24"/>
          <w:szCs w:val="24"/>
        </w:rPr>
        <w:fldChar w:fldCharType="begin" w:fldLock="1"/>
      </w:r>
      <w:r w:rsidR="00F934F0" w:rsidRPr="006410B4">
        <w:rPr>
          <w:rFonts w:ascii="Book Antiqua" w:eastAsia="Times New Roman" w:hAnsi="Book Antiqua" w:cs="Times New Roman"/>
          <w:color w:val="000000" w:themeColor="text1"/>
          <w:sz w:val="24"/>
          <w:szCs w:val="24"/>
        </w:rPr>
        <w:instrText>ADDIN CSL_CITATION {"citationItems":[{"id":"ITEM-1","itemData":{"DOI":"10.1155/2012/691089","ISSN":"2090-3448","PMID":"22720166","abstract":"&lt;p&gt;Portal hypertension is the main cause of complications in patients with cirrhosis. However, evaluating the development and progression of portal hypertension represents a challenge for clinicians. There has been considerable focus on the potential role of noninvasive markers of portal hypertension that could be used to stratify patients with respect to the stage of portal hypertension and to monitor disease progression or treatment response in a longitudinal manner without having to undertake repeated invasive assessment. The pathogenesis of portal hypertension is increasingly understood and emerging knowledge of the vascular processes that underpin portal hypertension has paved the way for exploring novel biomarkers of vascular injury, angiogenesis, and endothelial dysfunction. In this paper we focus on the pathogenesis of portal hypertension and potential non-invasive biomarkers with particular emphasis on serum analytes.&lt;/p&gt;","author":[{"dropping-particle":"","family":"Snowdon","given":"V. K.","non-dropping-particle":"","parse-names":false,"suffix":""},{"dropping-particle":"","family":"Guha","given":"N.","non-dropping-particle":"","parse-names":false,"suffix":""},{"dropping-particle":"","family":"Fallowfield","given":"J. A.","non-dropping-particle":"","parse-names":false,"suffix":""}],"container-title":"International Journal of Hepatology","id":"ITEM-1","issue":"Figure 2","issued":{"date-parts":[["2012"]]},"page":"1-7","title":"Noninvasive Evaluation of Portal Hypertension: Emerging Tools and Techniques","type":"article-journal","volume":"2012"},"uris":["http://www.mendeley.com/documents/?uuid=76e18322-8839-4fae-8294-4cc2454913c9"]}],"mendeley":{"formattedCitation":"&lt;sup&gt;1&lt;/sup&gt;","plainTextFormattedCitation":"1","previouslyFormattedCitation":"&lt;sup&gt;1&lt;/sup&gt;"},"properties":{"noteIndex":0},"schema":"https://github.com/citation-style-language/schema/raw/master/csl-citation.json"}</w:instrText>
      </w:r>
      <w:r w:rsidR="00FF55AB" w:rsidRPr="006410B4">
        <w:rPr>
          <w:rStyle w:val="FootnoteReference"/>
          <w:rFonts w:ascii="Book Antiqua" w:eastAsia="Times New Roman" w:hAnsi="Book Antiqua" w:cs="Times New Roman"/>
          <w:color w:val="000000" w:themeColor="text1"/>
          <w:sz w:val="24"/>
          <w:szCs w:val="24"/>
        </w:rPr>
        <w:fldChar w:fldCharType="separate"/>
      </w:r>
      <w:r w:rsidR="00F934F0" w:rsidRPr="006410B4">
        <w:rPr>
          <w:rFonts w:ascii="Book Antiqua" w:eastAsia="Times New Roman" w:hAnsi="Book Antiqua" w:cs="Times New Roman"/>
          <w:bCs/>
          <w:color w:val="000000" w:themeColor="text1"/>
          <w:sz w:val="24"/>
          <w:szCs w:val="24"/>
          <w:vertAlign w:val="superscript"/>
        </w:rPr>
        <w:t>1</w:t>
      </w:r>
      <w:r w:rsidR="00FF55AB" w:rsidRPr="006410B4">
        <w:rPr>
          <w:rStyle w:val="FootnoteReference"/>
          <w:rFonts w:ascii="Book Antiqua" w:eastAsia="Times New Roman" w:hAnsi="Book Antiqua" w:cs="Times New Roman"/>
          <w:color w:val="000000" w:themeColor="text1"/>
          <w:sz w:val="24"/>
          <w:szCs w:val="24"/>
        </w:rPr>
        <w:fldChar w:fldCharType="end"/>
      </w:r>
      <w:r w:rsidR="00F934F0"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00E17213" w:rsidRPr="006410B4">
        <w:rPr>
          <w:rFonts w:ascii="Book Antiqua" w:eastAsiaTheme="minorHAnsi" w:hAnsi="Book Antiqua" w:cs="Times New Roman"/>
          <w:color w:val="000000" w:themeColor="text1"/>
          <w:sz w:val="24"/>
          <w:szCs w:val="24"/>
        </w:rPr>
        <w:t xml:space="preserve"> </w:t>
      </w:r>
      <w:r w:rsidR="00E17213" w:rsidRPr="006410B4">
        <w:rPr>
          <w:rFonts w:ascii="Book Antiqua" w:eastAsia="Times New Roman" w:hAnsi="Book Antiqua" w:cs="Times New Roman"/>
          <w:color w:val="000000" w:themeColor="text1"/>
          <w:sz w:val="24"/>
          <w:szCs w:val="24"/>
        </w:rPr>
        <w:t>The presence of clinically significant portal hypertension (CSPH; HVPG ≥</w:t>
      </w:r>
      <w:r w:rsidR="00927701">
        <w:rPr>
          <w:rFonts w:ascii="Book Antiqua" w:eastAsia="Times New Roman" w:hAnsi="Book Antiqua" w:cs="Times New Roman"/>
          <w:color w:val="000000" w:themeColor="text1"/>
          <w:sz w:val="24"/>
          <w:szCs w:val="24"/>
        </w:rPr>
        <w:t xml:space="preserve"> </w:t>
      </w:r>
      <w:r w:rsidR="00E17213" w:rsidRPr="006410B4">
        <w:rPr>
          <w:rFonts w:ascii="Book Antiqua" w:eastAsia="Times New Roman" w:hAnsi="Book Antiqua" w:cs="Times New Roman"/>
          <w:color w:val="000000" w:themeColor="text1"/>
          <w:sz w:val="24"/>
          <w:szCs w:val="24"/>
        </w:rPr>
        <w:t>10 mmHg) increases the risk for the formation of varicose veins and decompensation whereas severe portal hypertension (SPH; HVPG ≥</w:t>
      </w:r>
      <w:r w:rsidR="00927701">
        <w:rPr>
          <w:rFonts w:ascii="Book Antiqua" w:eastAsia="Times New Roman" w:hAnsi="Book Antiqua" w:cs="Times New Roman"/>
          <w:color w:val="000000" w:themeColor="text1"/>
          <w:sz w:val="24"/>
          <w:szCs w:val="24"/>
        </w:rPr>
        <w:t xml:space="preserve"> </w:t>
      </w:r>
      <w:r w:rsidR="00E17213" w:rsidRPr="006410B4">
        <w:rPr>
          <w:rFonts w:ascii="Book Antiqua" w:eastAsia="Times New Roman" w:hAnsi="Book Antiqua" w:cs="Times New Roman"/>
          <w:color w:val="000000" w:themeColor="text1"/>
          <w:sz w:val="24"/>
          <w:szCs w:val="24"/>
        </w:rPr>
        <w:t xml:space="preserve">12 mmHg) increases the risk for variceal bleeding and </w:t>
      </w:r>
      <w:proofErr w:type="gramStart"/>
      <w:r w:rsidR="00E17213" w:rsidRPr="006410B4">
        <w:rPr>
          <w:rFonts w:ascii="Book Antiqua" w:eastAsia="Times New Roman" w:hAnsi="Book Antiqua" w:cs="Times New Roman"/>
          <w:color w:val="000000" w:themeColor="text1"/>
          <w:sz w:val="24"/>
          <w:szCs w:val="24"/>
        </w:rPr>
        <w:t>death</w:t>
      </w:r>
      <w:r w:rsidR="00927701">
        <w:rPr>
          <w:rFonts w:ascii="Book Antiqua" w:eastAsia="Times New Roman" w:hAnsi="Book Antiqua" w:cs="Times New Roman"/>
          <w:color w:val="000000" w:themeColor="text1"/>
          <w:sz w:val="24"/>
          <w:szCs w:val="24"/>
          <w:vertAlign w:val="superscript"/>
        </w:rPr>
        <w:t>[</w:t>
      </w:r>
      <w:proofErr w:type="gramEnd"/>
      <w:r w:rsidR="00927701">
        <w:rPr>
          <w:rFonts w:ascii="Book Antiqua" w:eastAsia="Times New Roman" w:hAnsi="Book Antiqua" w:cs="Times New Roman"/>
          <w:color w:val="000000" w:themeColor="text1"/>
          <w:sz w:val="24"/>
          <w:szCs w:val="24"/>
          <w:vertAlign w:val="superscript"/>
        </w:rPr>
        <w:t>1-3]</w:t>
      </w:r>
      <w:r w:rsidR="00FB65D0" w:rsidRPr="006410B4">
        <w:rPr>
          <w:rFonts w:ascii="Book Antiqua" w:eastAsia="Times New Roman" w:hAnsi="Book Antiqua" w:cs="Times New Roman"/>
          <w:color w:val="000000" w:themeColor="text1"/>
          <w:sz w:val="24"/>
          <w:szCs w:val="24"/>
        </w:rPr>
        <w:t>.</w:t>
      </w:r>
      <w:r w:rsidR="00E17213" w:rsidRPr="006410B4">
        <w:rPr>
          <w:rFonts w:ascii="Book Antiqua" w:eastAsia="Times New Roman" w:hAnsi="Book Antiqua" w:cs="Times New Roman"/>
          <w:color w:val="000000" w:themeColor="text1"/>
          <w:sz w:val="24"/>
          <w:szCs w:val="24"/>
        </w:rPr>
        <w:t xml:space="preserve"> In order to optimize the care of patients with liver cirrhosis, it is essential to detect early PH and prevent the development of CSPH or treat already present CSPH to avoid decompensation</w:t>
      </w:r>
      <w:r w:rsidR="00927701" w:rsidRPr="006410B4">
        <w:rPr>
          <w:rFonts w:ascii="Book Antiqua" w:eastAsia="Times New Roman" w:hAnsi="Book Antiqua" w:cs="Times New Roman"/>
          <w:color w:val="000000" w:themeColor="text1"/>
          <w:sz w:val="24"/>
          <w:szCs w:val="24"/>
          <w:vertAlign w:val="superscript"/>
        </w:rPr>
        <w:t>[</w:t>
      </w:r>
      <w:r w:rsidR="00927701" w:rsidRPr="006410B4">
        <w:rPr>
          <w:rStyle w:val="FootnoteReference"/>
          <w:rFonts w:ascii="Book Antiqua" w:eastAsia="Times New Roman" w:hAnsi="Book Antiqua" w:cs="Times New Roman"/>
          <w:color w:val="000000" w:themeColor="text1"/>
          <w:sz w:val="24"/>
          <w:szCs w:val="24"/>
        </w:rPr>
        <w:fldChar w:fldCharType="begin" w:fldLock="1"/>
      </w:r>
      <w:r w:rsidR="00927701" w:rsidRPr="006410B4">
        <w:rPr>
          <w:rFonts w:ascii="Book Antiqua" w:eastAsia="Times New Roman" w:hAnsi="Book Antiqua" w:cs="Times New Roman"/>
          <w:color w:val="000000" w:themeColor="text1"/>
          <w:sz w:val="24"/>
          <w:szCs w:val="24"/>
        </w:rPr>
        <w:instrText>ADDIN CSL_CITATION {"citationItems":[{"id":"ITEM-1","itemData":{"DOI":"10.1016/j.jhep.2015.05.022","ISBN":"0021-9258 (Print)","ISSN":"00219258","PMID":"2115886","abstract":"Baveno VI meeting","author":[{"dropping-particle":"de","family":"Franchis","given":"Roberto","non-dropping-particle":"","parse-names":false,"suffix":""}],"container-title":"Journal of Healthcare Engineering","id":"ITEM-1","issued":{"date-parts":[["2015"]]},"page":"743-752","publisher":"European Association for the Study of the Liver","title":"Expanding consensus in portal hypertension Report of the Baveno VI Consensus Workshop: Stratifying risk and individualizing care for portal hypertension","type":"article-journal","volume":"63"},"uris":["http://www.mendeley.com/documents/?uuid=d3e69915-f619-4bf7-8e5d-ed326308d7f6"]}],"mendeley":{"formattedCitation":"&lt;sup&gt;4&lt;/sup&gt;","plainTextFormattedCitation":"4","previouslyFormattedCitation":"&lt;sup&gt;4&lt;/sup&gt;"},"properties":{"noteIndex":0},"schema":"https://github.com/citation-style-language/schema/raw/master/csl-citation.json"}</w:instrText>
      </w:r>
      <w:r w:rsidR="00927701" w:rsidRPr="006410B4">
        <w:rPr>
          <w:rStyle w:val="FootnoteReference"/>
          <w:rFonts w:ascii="Book Antiqua" w:eastAsia="Times New Roman" w:hAnsi="Book Antiqua" w:cs="Times New Roman"/>
          <w:color w:val="000000" w:themeColor="text1"/>
          <w:sz w:val="24"/>
          <w:szCs w:val="24"/>
        </w:rPr>
        <w:fldChar w:fldCharType="separate"/>
      </w:r>
      <w:r w:rsidR="00927701" w:rsidRPr="006410B4">
        <w:rPr>
          <w:rFonts w:ascii="Book Antiqua" w:eastAsia="Times New Roman" w:hAnsi="Book Antiqua" w:cs="Times New Roman"/>
          <w:color w:val="000000" w:themeColor="text1"/>
          <w:sz w:val="24"/>
          <w:szCs w:val="24"/>
          <w:vertAlign w:val="superscript"/>
        </w:rPr>
        <w:t>4</w:t>
      </w:r>
      <w:r w:rsidR="00927701" w:rsidRPr="006410B4">
        <w:rPr>
          <w:rStyle w:val="FootnoteReference"/>
          <w:rFonts w:ascii="Book Antiqua" w:eastAsia="Times New Roman" w:hAnsi="Book Antiqua" w:cs="Times New Roman"/>
          <w:color w:val="000000" w:themeColor="text1"/>
          <w:sz w:val="24"/>
          <w:szCs w:val="24"/>
        </w:rPr>
        <w:fldChar w:fldCharType="end"/>
      </w:r>
      <w:r w:rsidR="00927701" w:rsidRPr="006410B4">
        <w:rPr>
          <w:rFonts w:ascii="Book Antiqua" w:eastAsia="Times New Roman" w:hAnsi="Book Antiqua" w:cs="Times New Roman"/>
          <w:color w:val="000000" w:themeColor="text1"/>
          <w:sz w:val="24"/>
          <w:szCs w:val="24"/>
          <w:vertAlign w:val="superscript"/>
        </w:rPr>
        <w:t>]</w:t>
      </w:r>
      <w:r w:rsidR="00FB65D0" w:rsidRPr="006410B4">
        <w:rPr>
          <w:rFonts w:ascii="Book Antiqua" w:eastAsia="Times New Roman" w:hAnsi="Book Antiqua" w:cs="Times New Roman"/>
          <w:color w:val="000000" w:themeColor="text1"/>
          <w:sz w:val="24"/>
          <w:szCs w:val="24"/>
        </w:rPr>
        <w:t>.</w:t>
      </w:r>
      <w:r w:rsidR="001346FA" w:rsidRPr="006410B4">
        <w:rPr>
          <w:rFonts w:ascii="Book Antiqua" w:eastAsia="Times New Roman" w:hAnsi="Book Antiqua" w:cs="Times New Roman"/>
          <w:color w:val="000000" w:themeColor="text1"/>
          <w:sz w:val="24"/>
          <w:szCs w:val="24"/>
          <w:vertAlign w:val="superscript"/>
        </w:rPr>
        <w:t xml:space="preserve"> </w:t>
      </w:r>
      <w:r w:rsidR="004116A6" w:rsidRPr="006410B4">
        <w:rPr>
          <w:rFonts w:ascii="Book Antiqua" w:eastAsia="Times New Roman" w:hAnsi="Book Antiqua" w:cs="Times New Roman"/>
          <w:color w:val="000000" w:themeColor="text1"/>
          <w:sz w:val="24"/>
          <w:szCs w:val="24"/>
        </w:rPr>
        <w:t xml:space="preserve">As current options for </w:t>
      </w:r>
      <w:r w:rsidR="00357F5F" w:rsidRPr="006410B4">
        <w:rPr>
          <w:rFonts w:ascii="Book Antiqua" w:eastAsia="Times New Roman" w:hAnsi="Book Antiqua" w:cs="Times New Roman"/>
          <w:color w:val="000000" w:themeColor="text1"/>
          <w:sz w:val="24"/>
          <w:szCs w:val="24"/>
        </w:rPr>
        <w:t xml:space="preserve">the </w:t>
      </w:r>
      <w:r w:rsidR="004116A6" w:rsidRPr="006410B4">
        <w:rPr>
          <w:rFonts w:ascii="Book Antiqua" w:eastAsia="Times New Roman" w:hAnsi="Book Antiqua" w:cs="Times New Roman"/>
          <w:color w:val="000000" w:themeColor="text1"/>
          <w:sz w:val="24"/>
          <w:szCs w:val="24"/>
        </w:rPr>
        <w:t xml:space="preserve">prevention and treatment of CSPH are limited to attenuating splanchnic vasodilatation, new insights </w:t>
      </w:r>
      <w:r w:rsidR="00FD0911" w:rsidRPr="006410B4">
        <w:rPr>
          <w:rFonts w:ascii="Book Antiqua" w:eastAsia="Times New Roman" w:hAnsi="Book Antiqua" w:cs="Times New Roman"/>
          <w:color w:val="000000" w:themeColor="text1"/>
          <w:sz w:val="24"/>
          <w:szCs w:val="24"/>
        </w:rPr>
        <w:t>and</w:t>
      </w:r>
      <w:r w:rsidR="004116A6" w:rsidRPr="006410B4">
        <w:rPr>
          <w:rFonts w:ascii="Book Antiqua" w:eastAsia="Times New Roman" w:hAnsi="Book Antiqua" w:cs="Times New Roman"/>
          <w:color w:val="000000" w:themeColor="text1"/>
          <w:sz w:val="24"/>
          <w:szCs w:val="24"/>
        </w:rPr>
        <w:t xml:space="preserve"> deeper knowledge about pathogenetic mechanisms </w:t>
      </w:r>
      <w:r w:rsidR="00FD0911" w:rsidRPr="006410B4">
        <w:rPr>
          <w:rFonts w:ascii="Book Antiqua" w:eastAsia="Times New Roman" w:hAnsi="Book Antiqua" w:cs="Times New Roman"/>
          <w:color w:val="000000" w:themeColor="text1"/>
          <w:sz w:val="24"/>
          <w:szCs w:val="24"/>
        </w:rPr>
        <w:t xml:space="preserve">of PH </w:t>
      </w:r>
      <w:r w:rsidR="004116A6" w:rsidRPr="006410B4">
        <w:rPr>
          <w:rFonts w:ascii="Book Antiqua" w:eastAsia="Times New Roman" w:hAnsi="Book Antiqua" w:cs="Times New Roman"/>
          <w:color w:val="000000" w:themeColor="text1"/>
          <w:sz w:val="24"/>
          <w:szCs w:val="24"/>
        </w:rPr>
        <w:t>and molecules involved, would aid in search for newer and more effective treatment strategies</w:t>
      </w:r>
      <w:r w:rsidR="00927701" w:rsidRPr="006410B4">
        <w:rPr>
          <w:rFonts w:ascii="Book Antiqua" w:eastAsia="Times New Roman" w:hAnsi="Book Antiqua" w:cs="Times New Roman"/>
          <w:color w:val="000000" w:themeColor="text1"/>
          <w:sz w:val="24"/>
          <w:szCs w:val="24"/>
          <w:vertAlign w:val="superscript"/>
        </w:rPr>
        <w:t>[</w:t>
      </w:r>
      <w:r w:rsidR="00927701" w:rsidRPr="006410B4">
        <w:rPr>
          <w:rStyle w:val="FootnoteReference"/>
          <w:rFonts w:ascii="Book Antiqua" w:eastAsia="Times New Roman" w:hAnsi="Book Antiqua" w:cs="Times New Roman"/>
          <w:color w:val="000000" w:themeColor="text1"/>
          <w:sz w:val="24"/>
          <w:szCs w:val="24"/>
        </w:rPr>
        <w:fldChar w:fldCharType="begin" w:fldLock="1"/>
      </w:r>
      <w:r w:rsidR="00927701" w:rsidRPr="006410B4">
        <w:rPr>
          <w:rFonts w:ascii="Book Antiqua" w:eastAsia="Times New Roman" w:hAnsi="Book Antiqua" w:cs="Times New Roman"/>
          <w:color w:val="000000" w:themeColor="text1"/>
          <w:sz w:val="24"/>
          <w:szCs w:val="24"/>
        </w:rPr>
        <w:instrText>ADDIN CSL_CITATION {"citationItems":[{"id":"ITEM-1","itemData":{"DOI":"10.1093/gastro/gox011","ISSN":"20520034","abstract":"Portal hypertension is most frequently associated with cirrhosis and is a major driver for associated complications, such as variceal bleeding, ascites or hepatic encephalopathy. As such, clinically significant portal hypertension forms the prelude to decompensation and impacts significantly on the prognosis of patients with liver cirrhosis. At present, non-selective b-blockers, vasopressin analogues and somatostatin analogues are the mainstay of treatment but these strategies are far from satisfactory and only target splanchnic hyperemia. In contrast, safe and reliable strategies to reduce the increased intrahepatic resistance in cirrhotic patients still represent a pending issue. In recent years, several preclinical and clinical trials have focused on this latter component and other therapeutic avenues. In this review, we highlight novel data in this context and address potentially interesting therapeutic options for the future.","author":[{"dropping-particle":"","family":"Schwabl","given":"Philipp","non-dropping-particle":"","parse-names":false,"suffix":""},{"dropping-particle":"","family":"Laleman","given":"Wim","non-dropping-particle":"","parse-names":false,"suffix":""}],"container-title":"Gastroenterology Report","id":"ITEM-1","issue":"2","issued":{"date-parts":[["2017"]]},"page":"90-103","title":"Novel treatment options for portal hypertension","type":"article-journal","volume":"5"},"uris":["http://www.mendeley.com/documents/?uuid=e0dfa08e-3e4a-4acd-b612-0650ef70b724"]}],"mendeley":{"formattedCitation":"&lt;sup&gt;5&lt;/sup&gt;","plainTextFormattedCitation":"5","previouslyFormattedCitation":"&lt;sup&gt;5&lt;/sup&gt;"},"properties":{"noteIndex":0},"schema":"https://github.com/citation-style-language/schema/raw/master/csl-citation.json"}</w:instrText>
      </w:r>
      <w:r w:rsidR="00927701" w:rsidRPr="006410B4">
        <w:rPr>
          <w:rStyle w:val="FootnoteReference"/>
          <w:rFonts w:ascii="Book Antiqua" w:eastAsia="Times New Roman" w:hAnsi="Book Antiqua" w:cs="Times New Roman"/>
          <w:color w:val="000000" w:themeColor="text1"/>
          <w:sz w:val="24"/>
          <w:szCs w:val="24"/>
        </w:rPr>
        <w:fldChar w:fldCharType="separate"/>
      </w:r>
      <w:r w:rsidR="00927701" w:rsidRPr="006410B4">
        <w:rPr>
          <w:rFonts w:ascii="Book Antiqua" w:eastAsia="Times New Roman" w:hAnsi="Book Antiqua" w:cs="Times New Roman"/>
          <w:bCs/>
          <w:color w:val="000000" w:themeColor="text1"/>
          <w:sz w:val="24"/>
          <w:szCs w:val="24"/>
          <w:vertAlign w:val="superscript"/>
        </w:rPr>
        <w:t>5</w:t>
      </w:r>
      <w:r w:rsidR="00927701" w:rsidRPr="006410B4">
        <w:rPr>
          <w:rStyle w:val="FootnoteReference"/>
          <w:rFonts w:ascii="Book Antiqua" w:eastAsia="Times New Roman" w:hAnsi="Book Antiqua" w:cs="Times New Roman"/>
          <w:color w:val="000000" w:themeColor="text1"/>
          <w:sz w:val="24"/>
          <w:szCs w:val="24"/>
        </w:rPr>
        <w:fldChar w:fldCharType="end"/>
      </w:r>
      <w:r w:rsidR="00927701" w:rsidRPr="006410B4">
        <w:rPr>
          <w:rStyle w:val="FootnoteReference"/>
          <w:rFonts w:ascii="Book Antiqua" w:eastAsia="Times New Roman" w:hAnsi="Book Antiqua" w:cs="Times New Roman"/>
          <w:color w:val="000000" w:themeColor="text1"/>
          <w:sz w:val="24"/>
          <w:szCs w:val="24"/>
        </w:rPr>
        <w:t>]</w:t>
      </w:r>
      <w:r w:rsidR="004116A6" w:rsidRPr="006410B4">
        <w:rPr>
          <w:rFonts w:ascii="Book Antiqua" w:eastAsia="Times New Roman" w:hAnsi="Book Antiqua" w:cs="Times New Roman"/>
          <w:color w:val="000000" w:themeColor="text1"/>
          <w:sz w:val="24"/>
          <w:szCs w:val="24"/>
        </w:rPr>
        <w:t>.</w:t>
      </w:r>
      <w:r w:rsidR="00FD0911" w:rsidRPr="006410B4">
        <w:rPr>
          <w:rFonts w:ascii="Book Antiqua" w:eastAsia="Times New Roman" w:hAnsi="Book Antiqua" w:cs="Times New Roman"/>
          <w:color w:val="000000" w:themeColor="text1"/>
          <w:sz w:val="24"/>
          <w:szCs w:val="24"/>
        </w:rPr>
        <w:t xml:space="preserve"> </w:t>
      </w:r>
    </w:p>
    <w:p w:rsidR="00927701" w:rsidRDefault="00BF498E" w:rsidP="00927701">
      <w:pPr>
        <w:adjustRightInd w:val="0"/>
        <w:snapToGrid w:val="0"/>
        <w:spacing w:after="0" w:line="360" w:lineRule="auto"/>
        <w:ind w:firstLineChars="100" w:firstLine="240"/>
        <w:jc w:val="both"/>
        <w:rPr>
          <w:rFonts w:ascii="Book Antiqua" w:eastAsia="AdvOTbf7bbdaa" w:hAnsi="Book Antiqua" w:cs="AdvOTbf7bbdaa"/>
          <w:color w:val="000000" w:themeColor="text1"/>
          <w:sz w:val="24"/>
          <w:szCs w:val="24"/>
        </w:rPr>
      </w:pPr>
      <w:r w:rsidRPr="006410B4">
        <w:rPr>
          <w:rFonts w:ascii="Book Antiqua" w:eastAsia="Times New Roman" w:hAnsi="Book Antiqua" w:cs="Times New Roman"/>
          <w:color w:val="000000" w:themeColor="text1"/>
          <w:sz w:val="24"/>
          <w:szCs w:val="24"/>
        </w:rPr>
        <w:t>The main pathophysiological mechanism of PH in cirrhosis is an increase in intrahepatic vascular resistance (IHVR), mostly caused by structural changes in liver tissue, but functional disorders of liver circulation are also important pathogenetic factors</w:t>
      </w:r>
      <w:r w:rsidR="00FB65D0" w:rsidRPr="006410B4">
        <w:rPr>
          <w:rFonts w:ascii="Book Antiqua" w:eastAsia="Times New Roman" w:hAnsi="Book Antiqua" w:cs="Times New Roman"/>
          <w:color w:val="000000" w:themeColor="text1"/>
          <w:sz w:val="24"/>
          <w:szCs w:val="24"/>
        </w:rPr>
        <w:t>.</w:t>
      </w:r>
      <w:r w:rsidR="001346FA" w:rsidRPr="006410B4">
        <w:rPr>
          <w:rFonts w:ascii="Book Antiqua" w:eastAsia="Times New Roman" w:hAnsi="Book Antiqua" w:cs="Times New Roman"/>
          <w:color w:val="000000" w:themeColor="text1"/>
          <w:sz w:val="24"/>
          <w:szCs w:val="24"/>
          <w:vertAlign w:val="superscript"/>
        </w:rPr>
        <w:t>[</w:t>
      </w:r>
      <w:r w:rsidR="00FF55AB" w:rsidRPr="006410B4">
        <w:rPr>
          <w:rStyle w:val="FootnoteReference"/>
          <w:rFonts w:ascii="Book Antiqua" w:eastAsia="Times New Roman" w:hAnsi="Book Antiqua" w:cs="Times New Roman"/>
          <w:color w:val="000000" w:themeColor="text1"/>
          <w:sz w:val="24"/>
          <w:szCs w:val="24"/>
        </w:rPr>
        <w:fldChar w:fldCharType="begin" w:fldLock="1"/>
      </w:r>
      <w:r w:rsidR="005D258C" w:rsidRPr="006410B4">
        <w:rPr>
          <w:rFonts w:ascii="Book Antiqua" w:eastAsia="Times New Roman" w:hAnsi="Book Antiqua" w:cs="Times New Roman"/>
          <w:color w:val="000000" w:themeColor="text1"/>
          <w:sz w:val="24"/>
          <w:szCs w:val="24"/>
        </w:rPr>
        <w:instrText>ADDIN CSL_CITATION {"citationItems":[{"id":"ITEM-1","itemData":{"DOI":"10.1155/2012/691089","ISSN":"2090-3448","PMID":"22720166","abstract":"&lt;p&gt;Portal hypertension is the main cause of complications in patients with cirrhosis. However, evaluating the development and progression of portal hypertension represents a challenge for clinicians. There has been considerable focus on the potential role of noninvasive markers of portal hypertension that could be used to stratify patients with respect to the stage of portal hypertension and to monitor disease progression or treatment response in a longitudinal manner without having to undertake repeated invasive assessment. The pathogenesis of portal hypertension is increasingly understood and emerging knowledge of the vascular processes that underpin portal hypertension has paved the way for exploring novel biomarkers of vascular injury, angiogenesis, and endothelial dysfunction. In this paper we focus on the pathogenesis of portal hypertension and potential non-invasive biomarkers with particular emphasis on serum analytes.&lt;/p&gt;","author":[{"dropping-particle":"","family":"Snowdon","given":"V. K.","non-dropping-particle":"","parse-names":false,"suffix":""},{"dropping-particle":"","family":"Guha","given":"N.","non-dropping-particle":"","parse-names":false,"suffix":""},{"dropping-particle":"","family":"Fallowfield","given":"J. A.","non-dropping-particle":"","parse-names":false,"suffix":""}],"container-title":"International Journal of Hepatology","id":"ITEM-1","issue":"Figure 2","issued":{"date-parts":[["2012"]]},"page":"1-7","title":"Noninvasive Evaluation of Portal Hypertension: Emerging Tools and Techniques","type":"article-journal","volume":"2012"},"uris":["http://www.mendeley.com/documents/?uuid=76e18322-8839-4fae-8294-4cc2454913c9"]}],"mendeley":{"formattedCitation":"&lt;sup&gt;1&lt;/sup&gt;","plainTextFormattedCitation":"1","previouslyFormattedCitation":"&lt;sup&gt;1&lt;/sup&gt;"},"properties":{"noteIndex":0},"schema":"https://github.com/citation-style-language/schema/raw/master/csl-citation.json"}</w:instrText>
      </w:r>
      <w:r w:rsidR="00FF55AB" w:rsidRPr="006410B4">
        <w:rPr>
          <w:rStyle w:val="FootnoteReference"/>
          <w:rFonts w:ascii="Book Antiqua" w:eastAsia="Times New Roman" w:hAnsi="Book Antiqua" w:cs="Times New Roman"/>
          <w:color w:val="000000" w:themeColor="text1"/>
          <w:sz w:val="24"/>
          <w:szCs w:val="24"/>
        </w:rPr>
        <w:fldChar w:fldCharType="separate"/>
      </w:r>
      <w:r w:rsidR="001346FA" w:rsidRPr="006410B4">
        <w:rPr>
          <w:rFonts w:ascii="Book Antiqua" w:eastAsia="Times New Roman" w:hAnsi="Book Antiqua" w:cs="Times New Roman"/>
          <w:color w:val="000000" w:themeColor="text1"/>
          <w:sz w:val="24"/>
          <w:szCs w:val="24"/>
          <w:vertAlign w:val="superscript"/>
        </w:rPr>
        <w:t>1</w:t>
      </w:r>
      <w:r w:rsidR="00FF55AB" w:rsidRPr="006410B4">
        <w:rPr>
          <w:rStyle w:val="FootnoteReference"/>
          <w:rFonts w:ascii="Book Antiqua" w:eastAsia="Times New Roman" w:hAnsi="Book Antiqua" w:cs="Times New Roman"/>
          <w:color w:val="000000" w:themeColor="text1"/>
          <w:sz w:val="24"/>
          <w:szCs w:val="24"/>
        </w:rPr>
        <w:fldChar w:fldCharType="end"/>
      </w:r>
      <w:r w:rsidR="001346FA" w:rsidRPr="006410B4">
        <w:rPr>
          <w:rStyle w:val="FootnoteReference"/>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Recent studies suggest that pathologic angiogenesis could also contribute to an increase in IHVR, causing splanchnic hyperemia, portosystemic collateralization and pathologic angiogenesis inside the liver, worsening an already existing PH</w:t>
      </w:r>
      <w:r w:rsidR="00927701" w:rsidRPr="00927701">
        <w:rPr>
          <w:rFonts w:ascii="Book Antiqua" w:eastAsia="Times New Roman" w:hAnsi="Book Antiqua" w:cs="Times New Roman"/>
          <w:color w:val="000000" w:themeColor="text1"/>
          <w:sz w:val="24"/>
          <w:szCs w:val="24"/>
          <w:vertAlign w:val="superscript"/>
        </w:rPr>
        <w:t>[5-7]</w:t>
      </w:r>
      <w:r w:rsidR="00FB65D0" w:rsidRPr="006410B4">
        <w:rPr>
          <w:rFonts w:ascii="Book Antiqua" w:eastAsia="Times New Roman" w:hAnsi="Book Antiqua" w:cs="Times New Roman"/>
          <w:color w:val="000000" w:themeColor="text1"/>
          <w:sz w:val="24"/>
          <w:szCs w:val="24"/>
        </w:rPr>
        <w:t>.</w:t>
      </w:r>
      <w:r w:rsidR="00DA5DCD" w:rsidRPr="006410B4">
        <w:rPr>
          <w:rFonts w:ascii="Book Antiqua" w:eastAsia="AdvOTbf7bbdaa" w:hAnsi="Book Antiqua" w:cs="AdvOTbf7bbdaa"/>
          <w:color w:val="000000" w:themeColor="text1"/>
          <w:sz w:val="24"/>
          <w:szCs w:val="24"/>
        </w:rPr>
        <w:t xml:space="preserve"> </w:t>
      </w:r>
    </w:p>
    <w:p w:rsidR="00C42FE6" w:rsidRPr="006410B4" w:rsidRDefault="00BF498E" w:rsidP="00927701">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Pathologic angiogenesis </w:t>
      </w:r>
      <w:r w:rsidR="00523AD4" w:rsidRPr="006410B4">
        <w:rPr>
          <w:rFonts w:ascii="Book Antiqua" w:eastAsia="Times New Roman" w:hAnsi="Book Antiqua" w:cs="Times New Roman"/>
          <w:color w:val="000000" w:themeColor="text1"/>
          <w:sz w:val="24"/>
          <w:szCs w:val="24"/>
        </w:rPr>
        <w:t>has been reported to</w:t>
      </w:r>
      <w:r w:rsidRPr="006410B4">
        <w:rPr>
          <w:rFonts w:ascii="Book Antiqua" w:eastAsia="Times New Roman" w:hAnsi="Book Antiqua" w:cs="Times New Roman"/>
          <w:color w:val="000000" w:themeColor="text1"/>
          <w:sz w:val="24"/>
          <w:szCs w:val="24"/>
        </w:rPr>
        <w:t xml:space="preserve"> result from the upregulation of proangiogenic factors and simultaneous downregulation of angiogenesis inhibitors, thus both stimuli </w:t>
      </w:r>
      <w:r w:rsidR="00523AD4" w:rsidRPr="006410B4">
        <w:rPr>
          <w:rFonts w:ascii="Book Antiqua" w:eastAsia="Times New Roman" w:hAnsi="Book Antiqua" w:cs="Times New Roman"/>
          <w:color w:val="000000" w:themeColor="text1"/>
          <w:sz w:val="24"/>
          <w:szCs w:val="24"/>
        </w:rPr>
        <w:t>might be</w:t>
      </w:r>
      <w:r w:rsidRPr="006410B4">
        <w:rPr>
          <w:rFonts w:ascii="Book Antiqua" w:eastAsia="Times New Roman" w:hAnsi="Book Antiqua" w:cs="Times New Roman"/>
          <w:color w:val="000000" w:themeColor="text1"/>
          <w:sz w:val="24"/>
          <w:szCs w:val="24"/>
        </w:rPr>
        <w:t xml:space="preserve"> important and contribute to the pathophysiological mechanisms</w:t>
      </w:r>
      <w:r w:rsidR="00C232BE" w:rsidRPr="006410B4">
        <w:rPr>
          <w:rFonts w:ascii="Book Antiqua" w:eastAsia="Times New Roman" w:hAnsi="Book Antiqua" w:cs="Times New Roman"/>
          <w:color w:val="000000" w:themeColor="text1"/>
          <w:sz w:val="24"/>
          <w:szCs w:val="24"/>
          <w:vertAlign w:val="superscript"/>
        </w:rPr>
        <w:t>[</w:t>
      </w:r>
      <w:r w:rsidR="00C232BE" w:rsidRPr="006410B4">
        <w:rPr>
          <w:rStyle w:val="FootnoteReference"/>
          <w:rFonts w:ascii="Book Antiqua" w:eastAsia="Times New Roman" w:hAnsi="Book Antiqua" w:cs="Times New Roman"/>
          <w:color w:val="000000" w:themeColor="text1"/>
          <w:sz w:val="24"/>
          <w:szCs w:val="24"/>
        </w:rPr>
        <w:fldChar w:fldCharType="begin" w:fldLock="1"/>
      </w:r>
      <w:r w:rsidR="00C232BE" w:rsidRPr="006410B4">
        <w:rPr>
          <w:rFonts w:ascii="Book Antiqua" w:eastAsia="Times New Roman" w:hAnsi="Book Antiqua" w:cs="Times New Roman"/>
          <w:color w:val="000000" w:themeColor="text1"/>
          <w:sz w:val="24"/>
          <w:szCs w:val="24"/>
        </w:rPr>
        <w:instrText>ADDIN CSL_CITATION {"citationItems":[{"id":"ITEM-1","itemData":{"DOI":"10.1016/j.jcmgh.2015.06.011","ISBN":"2352345X","ISSN":"2352345X","PMID":"28210697","abstract":"Pathologic angiogenesis appears to be intrinsically associated with the fibrogenic progression of chronic liver diseases, which eventually leads to the development of cirrhosis and related complications, including hepatocellular carcinoma. Several laboratories have suggested that this association is relevant for chronic liver disease progression, with angiogenesis proposed to sustain fibrogenesis. This minireview offers a synthesis of relevant findings and opinions that have emerged in the last few years relating liver angiogenesis to fibrogenesis. We discuss liver angiogenesis in normal and pathophysiologic conditions with a focus on the role of hypoxia and hypoxia-inducible factors and assess the evidence supporting a clear relationship between angiogenesis and fibrogenesis. A section is dedicated to the critical interactions between liver sinusoidal endothelial cells and either quiescent hepatic stellate cells or myofibroblast-like stellate cells. Finally, we introduce the unusual, dual (profibrogenic and proangiogenic) role of hepatic myofibroblasts and emerging evidence supporting a role for specific mediators like vasohibin and microparticles and microvesicles.","author":[{"dropping-particle":"","family":"Bocca","given":"Claudia","non-dropping-particle":"","parse-names":false,"suffix":""},{"dropping-particle":"","family":"Novo","given":"Erica","non-dropping-particle":"","parse-names":false,"suffix":""},{"dropping-particle":"","family":"Miglietta","given":"Antonella","non-dropping-particle":"","parse-names":false,"suffix":""},{"dropping-particle":"","family":"Parola","given":"Maurizio","non-dropping-particle":"","parse-names":false,"suffix":""}],"container-title":"Cmgh","id":"ITEM-1","issue":"5","issued":{"date-parts":[["2015"]]},"page":"477-488","publisher":"Elsevier Inc","title":"Angiogenesis and Fibrogenesis in Chronic Liver Diseases","type":"article-journal","volume":"1"},"uris":["http://www.mendeley.com/documents/?uuid=60edeca8-708e-4787-a172-8d5b5857c3a6"]}],"mendeley":{"formattedCitation":"&lt;sup&gt;8&lt;/sup&gt;","plainTextFormattedCitation":"8","previouslyFormattedCitation":"&lt;sup&gt;8&lt;/sup&gt;"},"properties":{"noteIndex":0},"schema":"https://github.com/citation-style-language/schema/raw/master/csl-citation.json"}</w:instrText>
      </w:r>
      <w:r w:rsidR="00C232BE" w:rsidRPr="006410B4">
        <w:rPr>
          <w:rStyle w:val="FootnoteReference"/>
          <w:rFonts w:ascii="Book Antiqua" w:eastAsia="Times New Roman" w:hAnsi="Book Antiqua" w:cs="Times New Roman"/>
          <w:color w:val="000000" w:themeColor="text1"/>
          <w:sz w:val="24"/>
          <w:szCs w:val="24"/>
        </w:rPr>
        <w:fldChar w:fldCharType="separate"/>
      </w:r>
      <w:r w:rsidR="00C232BE" w:rsidRPr="006410B4">
        <w:rPr>
          <w:rFonts w:ascii="Book Antiqua" w:eastAsia="Times New Roman" w:hAnsi="Book Antiqua" w:cs="Times New Roman"/>
          <w:bCs/>
          <w:color w:val="000000" w:themeColor="text1"/>
          <w:sz w:val="24"/>
          <w:szCs w:val="24"/>
          <w:vertAlign w:val="superscript"/>
        </w:rPr>
        <w:t>8</w:t>
      </w:r>
      <w:r w:rsidR="00C232BE" w:rsidRPr="006410B4">
        <w:rPr>
          <w:rStyle w:val="FootnoteReference"/>
          <w:rFonts w:ascii="Book Antiqua" w:eastAsia="Times New Roman" w:hAnsi="Book Antiqua" w:cs="Times New Roman"/>
          <w:color w:val="000000" w:themeColor="text1"/>
          <w:sz w:val="24"/>
          <w:szCs w:val="24"/>
        </w:rPr>
        <w:fldChar w:fldCharType="end"/>
      </w:r>
      <w:r w:rsidR="00C232BE"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p>
    <w:p w:rsidR="00C42FE6" w:rsidRPr="006410B4" w:rsidRDefault="002C2477"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hAnsi="Book Antiqua" w:cs="Times New Roman"/>
          <w:color w:val="000000" w:themeColor="text1"/>
          <w:sz w:val="24"/>
          <w:szCs w:val="24"/>
        </w:rPr>
        <w:t>Vascular endothelial growth factor (VEGF) family has been recognized as o</w:t>
      </w:r>
      <w:r w:rsidR="0044573A" w:rsidRPr="006410B4">
        <w:rPr>
          <w:rFonts w:ascii="Book Antiqua" w:hAnsi="Book Antiqua" w:cs="Times New Roman"/>
          <w:color w:val="000000" w:themeColor="text1"/>
          <w:sz w:val="24"/>
          <w:szCs w:val="24"/>
        </w:rPr>
        <w:t>ne of the major proangiogenic mediator</w:t>
      </w:r>
      <w:r w:rsidRPr="006410B4">
        <w:rPr>
          <w:rFonts w:ascii="Book Antiqua" w:hAnsi="Book Antiqua" w:cs="Times New Roman"/>
          <w:color w:val="000000" w:themeColor="text1"/>
          <w:sz w:val="24"/>
          <w:szCs w:val="24"/>
        </w:rPr>
        <w:t xml:space="preserve">s </w:t>
      </w:r>
      <w:r w:rsidR="0044573A" w:rsidRPr="006410B4">
        <w:rPr>
          <w:rFonts w:ascii="Book Antiqua" w:hAnsi="Book Antiqua" w:cs="Times New Roman"/>
          <w:color w:val="000000" w:themeColor="text1"/>
          <w:sz w:val="24"/>
          <w:szCs w:val="24"/>
        </w:rPr>
        <w:t>associated with PH</w:t>
      </w:r>
      <w:r w:rsidR="00C232BE">
        <w:rPr>
          <w:rFonts w:ascii="Book Antiqua" w:hAnsi="Book Antiqua" w:cs="Times New Roman"/>
          <w:color w:val="000000" w:themeColor="text1"/>
          <w:sz w:val="24"/>
          <w:szCs w:val="24"/>
          <w:vertAlign w:val="superscript"/>
        </w:rPr>
        <w:t>[</w:t>
      </w:r>
      <w:r w:rsidR="00FF55AB" w:rsidRPr="006410B4">
        <w:rPr>
          <w:rStyle w:val="FootnoteReference"/>
          <w:rFonts w:ascii="Book Antiqua" w:hAnsi="Book Antiqua" w:cs="Times New Roman"/>
          <w:color w:val="000000" w:themeColor="text1"/>
          <w:sz w:val="24"/>
          <w:szCs w:val="24"/>
        </w:rPr>
        <w:fldChar w:fldCharType="begin" w:fldLock="1"/>
      </w:r>
      <w:r w:rsidR="005D258C" w:rsidRPr="006410B4">
        <w:rPr>
          <w:rFonts w:ascii="Book Antiqua" w:hAnsi="Book Antiqua" w:cs="Times New Roman"/>
          <w:color w:val="000000" w:themeColor="text1"/>
          <w:sz w:val="24"/>
          <w:szCs w:val="24"/>
        </w:rPr>
        <w:instrText>ADDIN CSL_CITATION {"citationItems":[{"id":"ITEM-1","itemData":{"DOI":"10.1111/j.1478-3231.2006.01308.x","ISBN":"1478-3223 (Print)","ISSN":"14783223","PMID":"16911473","abstract":"BACKGROUND: In vivo evidence for angiogenesis in the splanchnic vasodilation in portal hypertension (PHT) and cirrhosis is lacking. Vascular endothelial growth factor (VEGF) and endothelial nitric oxide synthase (eNOS) are mediators of angiogenesis. The present study visualises in vivo structural changes (angiogenesis and vascular hyperpermeability) and examines the presence of VEGF and eNOS in the mesenteric microvasculature of animal models of PHT with and without cirrhosis.","author":[{"dropping-particle":"","family":"Geerts","given":"Anja M.","non-dropping-particle":"","parse-names":false,"suffix":""},{"dropping-particle":"","family":"Vriese","given":"An S.","non-dropping-particle":"De","parse-names":false,"suffix":""},{"dropping-particle":"","family":"Vanheule","given":"Eline","non-dropping-particle":"","parse-names":false,"suffix":""},{"dropping-particle":"","family":"Vlierberghe","given":"Hans","non-dropping-particle":"Van","parse-names":false,"suffix":""},{"dropping-particle":"","family":"Mortier","given":"Siska","non-dropping-particle":"","parse-names":false,"suffix":""},{"dropping-particle":"","family":"Cheung","given":"Kin Jip","non-dropping-particle":"","parse-names":false,"suffix":""},{"dropping-particle":"","family":"Demetter","given":"Pieter","non-dropping-particle":"","parse-names":false,"suffix":""},{"dropping-particle":"","family":"Lameire","given":"Norbert","non-dropping-particle":"","parse-names":false,"suffix":""},{"dropping-particle":"","family":"Vos","given":"Martine","non-dropping-particle":"De","parse-names":false,"suffix":""},{"dropping-particle":"","family":"Colle","given":"Isabelle","non-dropping-particle":"","parse-names":false,"suffix":""}],"container-title":"Liver International","id":"ITEM-1","issue":"7","issued":{"date-parts":[["2006"]]},"page":"889-898","title":"Increased angiogenesis and permeability in the mesenteric microvasculature of rats with cirrhosis and portal hypertension: An in vivo study","type":"article-journal","volume":"26"},"uris":["http://www.mendeley.com/documents/?uuid=7f353468-f2ea-48c1-a86e-9970de549442"]}],"mendeley":{"formattedCitation":"&lt;sup&gt;9&lt;/sup&gt;","plainTextFormattedCitation":"9","previouslyFormattedCitation":"&lt;sup&gt;9&lt;/sup&gt;"},"properties":{"noteIndex":0},"schema":"https://github.com/citation-style-language/schema/raw/master/csl-citation.json"}</w:instrText>
      </w:r>
      <w:r w:rsidR="00FF55AB" w:rsidRPr="006410B4">
        <w:rPr>
          <w:rStyle w:val="FootnoteReference"/>
          <w:rFonts w:ascii="Book Antiqua" w:hAnsi="Book Antiqua" w:cs="Times New Roman"/>
          <w:color w:val="000000" w:themeColor="text1"/>
          <w:sz w:val="24"/>
          <w:szCs w:val="24"/>
        </w:rPr>
        <w:fldChar w:fldCharType="separate"/>
      </w:r>
      <w:r w:rsidR="001346FA" w:rsidRPr="006410B4">
        <w:rPr>
          <w:rFonts w:ascii="Book Antiqua" w:hAnsi="Book Antiqua" w:cs="Times New Roman"/>
          <w:bCs/>
          <w:color w:val="000000" w:themeColor="text1"/>
          <w:sz w:val="24"/>
          <w:szCs w:val="24"/>
          <w:vertAlign w:val="superscript"/>
        </w:rPr>
        <w:t>9</w:t>
      </w:r>
      <w:r w:rsidR="00FF55AB" w:rsidRPr="006410B4">
        <w:rPr>
          <w:rStyle w:val="FootnoteReference"/>
          <w:rFonts w:ascii="Book Antiqua" w:hAnsi="Book Antiqua" w:cs="Times New Roman"/>
          <w:color w:val="000000" w:themeColor="text1"/>
          <w:sz w:val="24"/>
          <w:szCs w:val="24"/>
        </w:rPr>
        <w:fldChar w:fldCharType="end"/>
      </w:r>
      <w:r w:rsidR="00C232BE">
        <w:rPr>
          <w:rStyle w:val="FootnoteReference"/>
          <w:rFonts w:ascii="Book Antiqua" w:hAnsi="Book Antiqua" w:cs="Times New Roman"/>
          <w:color w:val="000000" w:themeColor="text1"/>
          <w:sz w:val="24"/>
          <w:szCs w:val="24"/>
        </w:rPr>
        <w:t>]</w:t>
      </w:r>
      <w:r w:rsidRPr="006410B4">
        <w:rPr>
          <w:rFonts w:ascii="Book Antiqua" w:hAnsi="Book Antiqua" w:cs="Times New Roman"/>
          <w:color w:val="000000" w:themeColor="text1"/>
          <w:sz w:val="24"/>
          <w:szCs w:val="24"/>
        </w:rPr>
        <w:t xml:space="preserve"> </w:t>
      </w:r>
      <w:r w:rsidR="00F243DC" w:rsidRPr="006410B4">
        <w:rPr>
          <w:rFonts w:ascii="Book Antiqua" w:hAnsi="Book Antiqua" w:cs="Times New Roman"/>
          <w:color w:val="000000" w:themeColor="text1"/>
          <w:sz w:val="24"/>
          <w:szCs w:val="24"/>
        </w:rPr>
        <w:t xml:space="preserve">in </w:t>
      </w:r>
      <w:r w:rsidRPr="006410B4">
        <w:rPr>
          <w:rFonts w:ascii="Book Antiqua" w:hAnsi="Book Antiqua" w:cs="Times New Roman"/>
          <w:color w:val="000000" w:themeColor="text1"/>
          <w:sz w:val="24"/>
          <w:szCs w:val="24"/>
        </w:rPr>
        <w:t>n</w:t>
      </w:r>
      <w:r w:rsidR="0044573A" w:rsidRPr="006410B4">
        <w:rPr>
          <w:rFonts w:ascii="Book Antiqua" w:hAnsi="Book Antiqua" w:cs="Times New Roman"/>
          <w:color w:val="000000" w:themeColor="text1"/>
          <w:sz w:val="24"/>
          <w:szCs w:val="24"/>
        </w:rPr>
        <w:t>umber of animal studies</w:t>
      </w:r>
      <w:r w:rsidR="001346FA" w:rsidRPr="006410B4">
        <w:rPr>
          <w:rFonts w:ascii="Book Antiqua" w:hAnsi="Book Antiqua" w:cs="Times New Roman"/>
          <w:color w:val="000000" w:themeColor="text1"/>
          <w:sz w:val="24"/>
          <w:szCs w:val="24"/>
          <w:vertAlign w:val="superscript"/>
        </w:rPr>
        <w:t>[</w:t>
      </w:r>
      <w:r w:rsidR="00FF55AB" w:rsidRPr="006410B4">
        <w:rPr>
          <w:rStyle w:val="FootnoteReference"/>
          <w:rFonts w:ascii="Book Antiqua" w:eastAsia="Times New Roman" w:hAnsi="Book Antiqua" w:cs="Times New Roman"/>
          <w:color w:val="000000" w:themeColor="text1"/>
          <w:sz w:val="24"/>
          <w:szCs w:val="24"/>
        </w:rPr>
        <w:fldChar w:fldCharType="begin" w:fldLock="1"/>
      </w:r>
      <w:r w:rsidR="005D258C" w:rsidRPr="006410B4">
        <w:rPr>
          <w:rFonts w:ascii="Book Antiqua" w:eastAsia="Times New Roman" w:hAnsi="Book Antiqua" w:cs="Times New Roman"/>
          <w:color w:val="000000" w:themeColor="text1"/>
          <w:sz w:val="24"/>
          <w:szCs w:val="24"/>
        </w:rPr>
        <w:instrText>ADDIN CSL_CITATION {"citationItems":[{"id":"ITEM-1","itemData":{"DOI":"10.1002/hep.22758","ISBN":"0270-9139","ISSN":"02709139","PMID":"19137587","abstract":"Portal hypertension, the most important complication in patients with cirrhosis of the liver, is a serious and life-threatening disease for which there are few therapeutic options. Because angiogenesis is a pathological hallmark of portal hypertension, the goal of this study was to determine the effects of sorafenib-a potent inhibitor of proangiogenic vascular endothelial growth factor receptor 2 (VEGFR-2), platelet-derived growth factor receptor beta (PDGFR-beta), and Raf kinases-on splanchnic, intrahepatic, systemic, and portosystemic collateral circulations in two different experimental models of portal hypertension: rats with prehepatic portal hypertension induced by partial portal vein ligation and rats with intrahepatic portal hypertension and secondary biliary cirrhosis induced by bile duct ligation. Such a comprehensive approach is necessary for any translational research directed toward defining the efficacy and potential clinical application of new therapeutic agents. Sorafenib administered orally once a day for 2 weeks in experimental models of portal hypertension and cirrhosis effectively inhibited VEGF, PDGF, and Raf signaling pathways, and produced several protective effects by inducing an approximately 80% decrease in splanchnic neovascularization and a marked attenuation of hyperdynamic splanchnic and systemic circulations, as well as a significant 18% decrease in the extent of portosystemic collaterals. In cirrhotic rats, sorafenib treatment also resulted in a 25% reduction in portal pressure, as well as a remarkable improvement in liver damage and intrahepatic fibrosis, inflammation, and angiogenesis. Notably, beneficial effects of sorafenib against tissue damage and inflammation were also observed in splanchnic organs. CONCLUSION: Taking into account the limitations of translating animal study results into humans, we believe that our findings will stimulate consideration of sorafenib as an effective therapeutic agent in patients suffering from advanced portal hypertension.","author":[{"dropping-particle":"","family":"Mejias","given":"Marc","non-dropping-particle":"","parse-names":false,"suffix":""},{"dropping-particle":"","family":"Garci-Pras","given":"Ester","non-dropping-particle":"","parse-names":false,"suffix":""},{"dropping-particle":"","family":"Tiani","given":"Carolina","non-dropping-particle":"","parse-names":false,"suffix":""},{"dropping-particle":"","family":"Miquel","given":"Rosa","non-dropping-particle":"","parse-names":false,"suffix":""},{"dropping-particle":"","family":"Bosch","given":"Jaime","non-dropping-particle":"","parse-names":false,"suffix":""},{"dropping-particle":"","family":"Fernandez","given":"Mercedes","non-dropping-particle":"","parse-names":false,"suffix":""}],"container-title":"Hepatology","id":"ITEM-1","issue":"4","issued":{"date-parts":[["2009"]]},"page":"1245-1256","title":"Beneficial effects of sorafenib on splanchnic, intrahepatic, and portocollateral circulations in portal hypertensive and cirrhotic rats","type":"article-journal","volume":"49"},"uris":["http://www.mendeley.com/documents/?uuid=e87794f3-8f88-489e-ac91-b70b2b032600"]},{"id":"ITEM-2","itemData":{"DOI":"10.1053/j.gastro.2003.12.012","ISBN":"0016-5085 (Print)","ISSN":"00165085","PMID":"14988842","abstract":"Background &amp; Aims: Portal hypertension is a frequent syndrome that develops in patients with chronic liver diseases, which are one of the most common causes of death in adults worldwide. The most serious clinical consequences of portal hypertension are related to the development of portal-systemic collateral vessels. Those include hepatic encephalopathy and massive bleeding from ruptured gastroesophageal varices. The high relevance of these collateral vessels prompted us to investigate the mechanism underlying its formation in a murine model of portal hypertension. Methods: To determine whether the development of portal-systemic collateral vessels in portal hypertension is a vascular endothelial growth factor (VEGF)-dependent angiogenic process, we assessed the effects of a monoclonal antibody against VEGF receptor-2 on the formation of these collateral vessels in mice with portal hypertension induced by partial portal vein ligation. We also studied the effects of a selective and specific inhibitor of VEGF receptor-2 autophosphorylation in partial portal vein-ligated rats. Results: A significant and marked inhibition in the formation of portal-systemic collateral vessels was observed in both partial portal vein-ligated mice and rats treated with anti-VEGF receptor-2 monoclonal antibodies or with the inhibitor of VEGF receptor-2 autophosphorylation, respectively, compared with animals receiving control solutions. Conclusions: Our present study shows that formation of collateral vessels is an angiogenesis-dependent process that can be markedly inhibited by blockade of the VEGF signaling pathway. These findings will make angiogenesis a focal point of research in portal hypertension and may lead to novel approaches for therapy of patients with chronic liver diseases.","author":[{"dropping-particle":"","family":"Fernandez","given":"Mercedes","non-dropping-particle":"","parse-names":false,"suffix":""},{"dropping-particle":"","family":"Vizzutti","given":"Francesco","non-dropping-particle":"","parse-names":false,"suffix":""},{"dropping-particle":"","family":"Garcia-Pagan","given":"Juan Carlos","non-dropping-particle":"","parse-names":false,"suffix":""},{"dropping-particle":"","family":"Rodes","given":"Juan","non-dropping-particle":"","parse-names":false,"suffix":""},{"dropping-particle":"","family":"Bosch","given":"Jaime","non-dropping-particle":"","parse-names":false,"suffix":""}],"container-title":"Gastroenterology","id":"ITEM-2","issue":"3","issued":{"date-parts":[["2004"]]},"page":"886-894","title":"Anti-VEGF Receptor-2 Monoclonal Antibody Prevents Portal-Systemic Collateral Vessel Formation in Portal Hypertensive Mice","type":"article-journal","volume":"126"},"uris":["http://www.mendeley.com/documents/?uuid=2e841e34-4c87-4ff6-852d-7c0dcbf0128b"]},{"id":"ITEM-3","itemData":{"DOI":"10.1016/j.jhep.2005.02.022","ISBN":"0168-8278","ISSN":"01688278","PMID":"15893841","abstract":"Background/Aims: Portal hypertension is characterized by the development of a hyperdynamic splanchnic circulation. To determine whether this process is angiogenesis-dependent, we assessed the effects of SU5416, a specific inhibitor of VEGF receptor-2, in portal hypertensive rats. Methods: Rats with portal hypertension induced by partial portal vein ligation were treated with SU5416 or vehicle during 5 days. Then, hemodynamic studies were performed using radioactive microspheres. Protein expressions of CD31, VEGF receptor-2 and VEGF were also determined by Western blotting. Results: Treatment of portal hypertensive rats with SU5416 resulted in a significant and marked decrease (by 44%) in portal venous inflow, and increases in splanchnic arteriolar resistance (by 68%) and portal venous resistance (by 93%). In addition, SU5416 administration significantly inhibited the formation of portal-systemic collateral vessels (52% inhibition), as well as the splanchnic CD31 and VEGF receptor-2 protein expressions in portal hypertensive rats, compared with those receiving vehicle. Conclusions: This study demonstrates that the development of hyperdynamic splanchnic circulation and the formation of portal-systemic collateral vessels in portal hypertensive rats are angiogenesis-dependent processes that can be markedly inhibited by blockade of the VEGF signaling pathway. Therefore, modulation of angiogenesis may represent a potential target in the treatment of portal hypertension. © 2005 European Association for the Study of the Liver. Published by Elsevier B.V. All rights reserved.","author":[{"dropping-particle":"","family":"Fernandez","given":"Mercedes","non-dropping-particle":"","parse-names":false,"suffix":""},{"dropping-particle":"","family":"Mejias","given":"Marc","non-dropping-particle":"","parse-names":false,"suffix":""},{"dropping-particle":"","family":"Angermayr","given":"Bernhard","non-dropping-particle":"","parse-names":false,"suffix":""},{"dropping-particle":"","family":"Garcia-Pagan","given":"Juan Carlos","non-dropping-particle":"","parse-names":false,"suffix":""},{"dropping-particle":"","family":"Rodés","given":"Juan","non-dropping-particle":"","parse-names":false,"suffix":""},{"dropping-particle":"","family":"Bosch","given":"Jaime","non-dropping-particle":"","parse-names":false,"suffix":""}],"container-title":"Journal of Hepatology","id":"ITEM-3","issue":"1","issued":{"date-parts":[["2005"]]},"page":"98-103","title":"Inhibition of VEGF receptor-2 decreases the development of hyperdynamic splanchnic circulation and portal-systemic collateral vessels in portal hypertensive rats","type":"article","volume":"43"},"uris":["http://www.mendeley.com/documents/?uuid=96b791fd-846e-4e7c-8660-75b5063da56d"]}],"mendeley":{"formattedCitation":"&lt;sup&gt;10–12&lt;/sup&gt;","plainTextFormattedCitation":"10–12","previouslyFormattedCitation":"&lt;sup&gt;10–12&lt;/sup&gt;"},"properties":{"noteIndex":0},"schema":"https://github.com/citation-style-language/schema/raw/master/csl-citation.json"}</w:instrText>
      </w:r>
      <w:r w:rsidR="00FF55AB" w:rsidRPr="006410B4">
        <w:rPr>
          <w:rStyle w:val="FootnoteReference"/>
          <w:rFonts w:ascii="Book Antiqua" w:eastAsia="Times New Roman" w:hAnsi="Book Antiqua" w:cs="Times New Roman"/>
          <w:color w:val="000000" w:themeColor="text1"/>
          <w:sz w:val="24"/>
          <w:szCs w:val="24"/>
        </w:rPr>
        <w:fldChar w:fldCharType="separate"/>
      </w:r>
      <w:r w:rsidR="001346FA" w:rsidRPr="006410B4">
        <w:rPr>
          <w:rFonts w:ascii="Book Antiqua" w:eastAsia="Times New Roman" w:hAnsi="Book Antiqua" w:cs="Times New Roman"/>
          <w:bCs/>
          <w:color w:val="000000" w:themeColor="text1"/>
          <w:sz w:val="24"/>
          <w:szCs w:val="24"/>
          <w:vertAlign w:val="superscript"/>
        </w:rPr>
        <w:t>10–12</w:t>
      </w:r>
      <w:r w:rsidR="00FF55AB" w:rsidRPr="006410B4">
        <w:rPr>
          <w:rStyle w:val="FootnoteReference"/>
          <w:rFonts w:ascii="Book Antiqua" w:eastAsia="Times New Roman" w:hAnsi="Book Antiqua" w:cs="Times New Roman"/>
          <w:color w:val="000000" w:themeColor="text1"/>
          <w:sz w:val="24"/>
          <w:szCs w:val="24"/>
        </w:rPr>
        <w:fldChar w:fldCharType="end"/>
      </w:r>
      <w:r w:rsidR="001346FA" w:rsidRPr="006410B4">
        <w:rPr>
          <w:rStyle w:val="FootnoteReference"/>
          <w:rFonts w:ascii="Book Antiqua" w:eastAsia="Times New Roman" w:hAnsi="Book Antiqua" w:cs="Times New Roman"/>
          <w:color w:val="000000" w:themeColor="text1"/>
          <w:sz w:val="24"/>
          <w:szCs w:val="24"/>
        </w:rPr>
        <w:t>]</w:t>
      </w:r>
      <w:r w:rsidR="0044573A" w:rsidRPr="006410B4">
        <w:rPr>
          <w:rFonts w:ascii="Book Antiqua" w:eastAsia="Times New Roman" w:hAnsi="Book Antiqua" w:cs="Times New Roman"/>
          <w:color w:val="000000" w:themeColor="text1"/>
          <w:sz w:val="24"/>
          <w:szCs w:val="24"/>
        </w:rPr>
        <w:t xml:space="preserve"> and</w:t>
      </w:r>
      <w:r w:rsidR="00F243DC" w:rsidRPr="006410B4">
        <w:rPr>
          <w:rFonts w:ascii="Book Antiqua" w:eastAsia="Times New Roman" w:hAnsi="Book Antiqua" w:cs="Times New Roman"/>
          <w:color w:val="000000" w:themeColor="text1"/>
          <w:sz w:val="24"/>
          <w:szCs w:val="24"/>
        </w:rPr>
        <w:t xml:space="preserve"> only</w:t>
      </w:r>
      <w:r w:rsidR="0044573A" w:rsidRPr="006410B4">
        <w:rPr>
          <w:rFonts w:ascii="Book Antiqua" w:eastAsia="Times New Roman" w:hAnsi="Book Antiqua" w:cs="Times New Roman"/>
          <w:color w:val="000000" w:themeColor="text1"/>
          <w:sz w:val="24"/>
          <w:szCs w:val="24"/>
        </w:rPr>
        <w:t xml:space="preserve"> two small human studies</w:t>
      </w:r>
      <w:r w:rsidR="001346FA" w:rsidRPr="006410B4">
        <w:rPr>
          <w:rFonts w:ascii="Book Antiqua" w:eastAsia="Times New Roman" w:hAnsi="Book Antiqua" w:cs="Times New Roman"/>
          <w:color w:val="000000" w:themeColor="text1"/>
          <w:sz w:val="24"/>
          <w:szCs w:val="24"/>
          <w:vertAlign w:val="superscript"/>
        </w:rPr>
        <w:t>[</w:t>
      </w:r>
      <w:r w:rsidR="00FF55AB" w:rsidRPr="006410B4">
        <w:rPr>
          <w:rStyle w:val="FootnoteReference"/>
          <w:rFonts w:ascii="Book Antiqua" w:eastAsia="Times New Roman" w:hAnsi="Book Antiqua" w:cs="Times New Roman"/>
          <w:color w:val="000000" w:themeColor="text1"/>
          <w:sz w:val="24"/>
          <w:szCs w:val="24"/>
        </w:rPr>
        <w:fldChar w:fldCharType="begin" w:fldLock="1"/>
      </w:r>
      <w:r w:rsidR="005D258C" w:rsidRPr="006410B4">
        <w:rPr>
          <w:rFonts w:ascii="Book Antiqua" w:eastAsia="Times New Roman" w:hAnsi="Book Antiqua" w:cs="Times New Roman"/>
          <w:color w:val="000000" w:themeColor="text1"/>
          <w:sz w:val="24"/>
          <w:szCs w:val="24"/>
        </w:rPr>
        <w:instrText>ADDIN CSL_CITATION {"citationItems":[{"id":"ITEM-1","itemData":{"DOI":"10.1111/j.1365-2036.2011.04896.x","ISBN":"1365-2036 (Electronic)\\r0269-2813 (Linking)","ISSN":"02692813","PMID":"22032637","abstract":"Background Increased intrahepatic vascular resistance and hyperperfusion in the splanchnic circulation are the principal mechanisms leading to portal hypertension in cirrhosis. Several preclinical studies have demonstrated a beneficial effect of the multikinase inhibitor sorafenib on the portal hypertensive syndrome. Aim To investigate the effect of sorafenib on hepatic venous pressure gradient (HVPG), systemic hemodynamics and intrahepatic mRNA expression of proangiogenic, profibrogenic and proinflammatory genes. Methods Patients with liver fibrosis/cirrhosis and hepatocellular carcinoma were treated with sorafenib 400 mg b.d. HVPG measurement and transjugular liver biopsy were performed at baseline and at week 2. Changes in HVPG and intrahepatic mRNA expression of vascular endothelial growth factor (VEGF), platelet-derived growth factor (PDGF), RhoA, tumour necrosis factor-alpha (TNF-(alpha)) and placental growth factor (PlGF) were evaluated. Results Thirteen patients (m/f = 12/1; Child-Pugh class A/B = 10/3) were included. The most common aetiology of liver disease was alcohol consumption (n = 7). Eleven patients had an elevated portal pressure, including eight patients with clinically significant portal hypertension. A significant decrease of HVPG ((greater-than or equal to) 20% from baseline) was observed in four subjects. In HVPG responders, we observed mRNA downregulation of VEGF, PDGF, PlGF, RhoA kinase and TNF-(alpha), while no substantial mRNA decrease was found in nonresponders in any of the five genes. In two of the four HVPG responders we observed a dramatic (43-85%) mRNA decrease of all five investigated genes. Conclusion Larger controlled clinical trials are needed to demonstrate any potential beneficial effect of sorafenib on portal hypertension in patients with cirrhosis. (copyright) 2011 Blackwell Publishing Ltd.","author":[{"dropping-particle":"","family":"Pinter","given":"M.","non-dropping-particle":"","parse-names":false,"suffix":""},{"dropping-particle":"","family":"Sieghart","given":"W.","non-dropping-particle":"","parse-names":false,"suffix":""},{"dropping-particle":"","family":"Reiberger","given":"T.","non-dropping-particle":"","parse-names":false,"suffix":""},{"dropping-particle":"","family":"Rohr-Udilova","given":"N.","non-dropping-particle":"","parse-names":false,"suffix":""},{"dropping-particle":"","family":"Ferlitsch","given":"A.","non-dropping-particle":"","parse-names":false,"suffix":""},{"dropping-particle":"","family":"Peck-Radosavljevic","given":"M.","non-dropping-particle":"","parse-names":false,"suffix":""}],"container-title":"Alimentary Pharmacology and Therapeutics","id":"ITEM-1","issue":"1","issued":{"date-parts":[["2012"]]},"page":"83-91","title":"The effects of sorafenib on the portal hypertensive syndrome in patients with liver cirrhosis and hepatocellular carcinoma - A pilot study","type":"article-journal","volume":"35"},"uris":["http://www.mendeley.com/documents/?uuid=cf0b1584-982a-4bea-9977-f7c7b40bd7af"]},{"id":"ITEM-2","itemData":{"DOI":"10.1371/journal.pone.0016978","ISSN":"19326203","PMID":"21340026","abstract":"Portal hypertension, the most important complication with cirrhosis of the liver, is a serious disease. Sorafenib, a tyrosine kinase inhibitor is validated in advanced hepatocellular carcinoma. Because angiogenesis is a pathological hallmark of portal hypertension, the goal of our study was to determine the effect of sorafenib on portal venous flow and portosystemic collateral circulation in patients receiving sorafenib therapy for advanced hepatocellular carcinoma. Porto-collateral circulations were evaluated using a magnetic resonance technique prior sorafenib therapy, and at day 30. All patients under sorafenib therapy had a decrease in portal venous flow of at least 36%. In contrast, no specific change was observed in the azygos vein or the abdominal aorta. No portal venous flow modification was observed in the control group. Sorafenib is the first anti-angiogenic therapy to demonstrate a beneficial and reversible decrease of portal venous flow among cirrhotic patients.","author":[{"dropping-particle":"","family":"Coriat","given":"Romain","non-dropping-particle":"","parse-names":false,"suffix":""},{"dropping-particle":"","family":"Gouya","given":"Hervé","non-dropping-particle":"","parse-names":false,"suffix":""},{"dropping-particle":"","family":"Mir","given":"Olivier","non-dropping-particle":"","parse-names":false,"suffix":""},{"dropping-particle":"","family":"Ropert","given":"Stanislas","non-dropping-particle":"","parse-names":false,"suffix":""},{"dropping-particle":"","family":"Vignaux","given":"Olivier","non-dropping-particle":"","parse-names":false,"suffix":""},{"dropping-particle":"","family":"Chaussade","given":"Stanislas","non-dropping-particle":"","parse-names":false,"suffix":""},{"dropping-particle":"","family":"Sogni","given":"Philippe","non-dropping-particle":"","parse-names":false,"suffix":""},{"dropping-particle":"","family":"Pol","given":"Stanislas","non-dropping-particle":"","parse-names":false,"suffix":""},{"dropping-particle":"","family":"Blanchet","given":"Benoit","non-dropping-particle":"","parse-names":false,"suffix":""},{"dropping-particle":"","family":"Legmann","given":"Paul","non-dropping-particle":"","parse-names":false,"suffix":""},{"dropping-particle":"","family":"Goldwasser","given":"François","non-dropping-particle":"","parse-names":false,"suffix":""}],"container-title":"PLoS ONE","id":"ITEM-2","issue":"2","issued":{"date-parts":[["2011"]]},"title":"Reversible decrease of portal venous flow in cirrhotic patients: A positive side effect of sorafenib","type":"article-journal","volume":"6"},"uris":["http://www.mendeley.com/documents/?uuid=e67e48fc-c327-448a-b952-c7eba1004160"]}],"mendeley":{"formattedCitation":"&lt;sup&gt;13,14&lt;/sup&gt;","plainTextFormattedCitation":"13,14","previouslyFormattedCitation":"&lt;sup&gt;13,14&lt;/sup&gt;"},"properties":{"noteIndex":0},"schema":"https://github.com/citation-style-language/schema/raw/master/csl-citation.json"}</w:instrText>
      </w:r>
      <w:r w:rsidR="00FF55AB" w:rsidRPr="006410B4">
        <w:rPr>
          <w:rStyle w:val="FootnoteReference"/>
          <w:rFonts w:ascii="Book Antiqua" w:eastAsia="Times New Roman" w:hAnsi="Book Antiqua" w:cs="Times New Roman"/>
          <w:color w:val="000000" w:themeColor="text1"/>
          <w:sz w:val="24"/>
          <w:szCs w:val="24"/>
        </w:rPr>
        <w:fldChar w:fldCharType="separate"/>
      </w:r>
      <w:r w:rsidR="001346FA" w:rsidRPr="006410B4">
        <w:rPr>
          <w:rFonts w:ascii="Book Antiqua" w:eastAsia="Times New Roman" w:hAnsi="Book Antiqua" w:cs="Times New Roman"/>
          <w:bCs/>
          <w:color w:val="000000" w:themeColor="text1"/>
          <w:sz w:val="24"/>
          <w:szCs w:val="24"/>
          <w:vertAlign w:val="superscript"/>
        </w:rPr>
        <w:t>13,14</w:t>
      </w:r>
      <w:r w:rsidR="00FF55AB" w:rsidRPr="006410B4">
        <w:rPr>
          <w:rStyle w:val="FootnoteReference"/>
          <w:rFonts w:ascii="Book Antiqua" w:eastAsia="Times New Roman" w:hAnsi="Book Antiqua" w:cs="Times New Roman"/>
          <w:color w:val="000000" w:themeColor="text1"/>
          <w:sz w:val="24"/>
          <w:szCs w:val="24"/>
        </w:rPr>
        <w:fldChar w:fldCharType="end"/>
      </w:r>
      <w:r w:rsidR="001346FA" w:rsidRPr="006410B4">
        <w:rPr>
          <w:rStyle w:val="FootnoteReference"/>
          <w:rFonts w:ascii="Book Antiqua" w:eastAsia="Times New Roman" w:hAnsi="Book Antiqua" w:cs="Times New Roman"/>
          <w:color w:val="000000" w:themeColor="text1"/>
          <w:sz w:val="24"/>
          <w:szCs w:val="24"/>
        </w:rPr>
        <w:t>]</w:t>
      </w:r>
      <w:r w:rsidR="0044573A" w:rsidRPr="006410B4">
        <w:rPr>
          <w:rFonts w:ascii="Book Antiqua" w:eastAsia="Times New Roman" w:hAnsi="Book Antiqua" w:cs="Times New Roman"/>
          <w:color w:val="000000" w:themeColor="text1"/>
          <w:sz w:val="24"/>
          <w:szCs w:val="24"/>
        </w:rPr>
        <w:t xml:space="preserve"> </w:t>
      </w:r>
      <w:r w:rsidRPr="006410B4">
        <w:rPr>
          <w:rFonts w:ascii="Book Antiqua" w:hAnsi="Book Antiqua" w:cs="Times New Roman"/>
          <w:color w:val="000000" w:themeColor="text1"/>
          <w:sz w:val="24"/>
          <w:szCs w:val="24"/>
        </w:rPr>
        <w:t>demonstrating</w:t>
      </w:r>
      <w:r w:rsidR="0044573A" w:rsidRPr="006410B4">
        <w:rPr>
          <w:rFonts w:ascii="Book Antiqua" w:hAnsi="Book Antiqua" w:cs="Times New Roman"/>
          <w:color w:val="000000" w:themeColor="text1"/>
          <w:sz w:val="24"/>
          <w:szCs w:val="24"/>
        </w:rPr>
        <w:t xml:space="preserve"> beneficial effects on PH when blocking VEGF signaling</w:t>
      </w:r>
      <w:r w:rsidRPr="006410B4">
        <w:rPr>
          <w:rFonts w:ascii="Book Antiqua" w:hAnsi="Book Antiqua" w:cs="Times New Roman"/>
          <w:color w:val="000000" w:themeColor="text1"/>
          <w:sz w:val="24"/>
          <w:szCs w:val="24"/>
        </w:rPr>
        <w:t>.</w:t>
      </w:r>
      <w:r w:rsidR="0044573A" w:rsidRPr="006410B4">
        <w:rPr>
          <w:rFonts w:ascii="Book Antiqua" w:hAnsi="Book Antiqua" w:cs="Times New Roman"/>
          <w:color w:val="000000" w:themeColor="text1"/>
          <w:sz w:val="24"/>
          <w:szCs w:val="24"/>
        </w:rPr>
        <w:t xml:space="preserve"> </w:t>
      </w:r>
      <w:r w:rsidRPr="006410B4">
        <w:rPr>
          <w:rFonts w:ascii="Book Antiqua" w:hAnsi="Book Antiqua" w:cs="Times New Roman"/>
          <w:color w:val="000000" w:themeColor="text1"/>
          <w:sz w:val="24"/>
          <w:szCs w:val="24"/>
        </w:rPr>
        <w:t>H</w:t>
      </w:r>
      <w:r w:rsidR="0044573A" w:rsidRPr="006410B4">
        <w:rPr>
          <w:rFonts w:ascii="Book Antiqua" w:hAnsi="Book Antiqua" w:cs="Times New Roman"/>
          <w:color w:val="000000" w:themeColor="text1"/>
          <w:sz w:val="24"/>
          <w:szCs w:val="24"/>
        </w:rPr>
        <w:t xml:space="preserve">owever this </w:t>
      </w:r>
      <w:r w:rsidRPr="006410B4">
        <w:rPr>
          <w:rFonts w:ascii="Book Antiqua" w:hAnsi="Book Antiqua" w:cs="Times New Roman"/>
          <w:color w:val="000000" w:themeColor="text1"/>
          <w:sz w:val="24"/>
          <w:szCs w:val="24"/>
        </w:rPr>
        <w:t>could</w:t>
      </w:r>
      <w:r w:rsidR="0044573A" w:rsidRPr="006410B4">
        <w:rPr>
          <w:rFonts w:ascii="Book Antiqua" w:hAnsi="Book Antiqua" w:cs="Times New Roman"/>
          <w:color w:val="000000" w:themeColor="text1"/>
          <w:sz w:val="24"/>
          <w:szCs w:val="24"/>
        </w:rPr>
        <w:t xml:space="preserve"> cause deleterious side effects, as angiogenesis is essential for tissue healing and regeneration</w:t>
      </w:r>
      <w:r w:rsidR="00C232BE" w:rsidRPr="006410B4">
        <w:rPr>
          <w:rFonts w:ascii="Book Antiqua" w:hAnsi="Book Antiqua" w:cs="Times New Roman"/>
          <w:color w:val="000000" w:themeColor="text1"/>
          <w:sz w:val="24"/>
          <w:szCs w:val="24"/>
          <w:vertAlign w:val="superscript"/>
        </w:rPr>
        <w:t>[</w:t>
      </w:r>
      <w:r w:rsidR="00C232BE" w:rsidRPr="006410B4">
        <w:rPr>
          <w:rStyle w:val="FootnoteReference"/>
          <w:rFonts w:ascii="Book Antiqua" w:hAnsi="Book Antiqua" w:cs="Times New Roman"/>
          <w:color w:val="000000" w:themeColor="text1"/>
          <w:sz w:val="24"/>
          <w:szCs w:val="24"/>
        </w:rPr>
        <w:fldChar w:fldCharType="begin" w:fldLock="1"/>
      </w:r>
      <w:r w:rsidR="00C232BE" w:rsidRPr="006410B4">
        <w:rPr>
          <w:rFonts w:ascii="Book Antiqua" w:hAnsi="Book Antiqua" w:cs="Times New Roman"/>
          <w:color w:val="000000" w:themeColor="text1"/>
          <w:sz w:val="24"/>
          <w:szCs w:val="24"/>
        </w:rPr>
        <w:instrText>ADDIN CSL_CITATION {"citationItems":[{"id":"ITEM-1","itemData":{"DOI":"10.1093/gastro/gox011","ISSN":"20520034","abstract":"Portal hypertension is most frequently associated with cirrhosis and is a major driver for associated complications, such as variceal bleeding, ascites or hepatic encephalopathy. As such, clinically significant portal hypertension forms the prelude to decompensation and impacts significantly on the prognosis of patients with liver cirrhosis. At present, non-selective b-blockers, vasopressin analogues and somatostatin analogues are the mainstay of treatment but these strategies are far from satisfactory and only target splanchnic hyperemia. In contrast, safe and reliable strategies to reduce the increased intrahepatic resistance in cirrhotic patients still represent a pending issue. In recent years, several preclinical and clinical trials have focused on this latter component and other therapeutic avenues. In this review, we highlight novel data in this context and address potentially interesting therapeutic options for the future.","author":[{"dropping-particle":"","family":"Schwabl","given":"Philipp","non-dropping-particle":"","parse-names":false,"suffix":""},{"dropping-particle":"","family":"Laleman","given":"Wim","non-dropping-particle":"","parse-names":false,"suffix":""}],"container-title":"Gastroenterology Report","id":"ITEM-1","issue":"2","issued":{"date-parts":[["2017"]]},"page":"90-103","title":"Novel treatment options for portal hypertension","type":"article-journal","volume":"5"},"uris":["http://www.mendeley.com/documents/?uuid=e0dfa08e-3e4a-4acd-b612-0650ef70b724"]}],"mendeley":{"formattedCitation":"&lt;sup&gt;5&lt;/sup&gt;","plainTextFormattedCitation":"5","previouslyFormattedCitation":"&lt;sup&gt;5&lt;/sup&gt;"},"properties":{"noteIndex":0},"schema":"https://github.com/citation-style-language/schema/raw/master/csl-citation.json"}</w:instrText>
      </w:r>
      <w:r w:rsidR="00C232BE" w:rsidRPr="006410B4">
        <w:rPr>
          <w:rStyle w:val="FootnoteReference"/>
          <w:rFonts w:ascii="Book Antiqua" w:hAnsi="Book Antiqua" w:cs="Times New Roman"/>
          <w:color w:val="000000" w:themeColor="text1"/>
          <w:sz w:val="24"/>
          <w:szCs w:val="24"/>
        </w:rPr>
        <w:fldChar w:fldCharType="separate"/>
      </w:r>
      <w:r w:rsidR="00C232BE" w:rsidRPr="006410B4">
        <w:rPr>
          <w:rFonts w:ascii="Book Antiqua" w:hAnsi="Book Antiqua" w:cs="Times New Roman"/>
          <w:color w:val="000000" w:themeColor="text1"/>
          <w:sz w:val="24"/>
          <w:szCs w:val="24"/>
          <w:vertAlign w:val="superscript"/>
        </w:rPr>
        <w:t>5</w:t>
      </w:r>
      <w:r w:rsidR="00C232BE" w:rsidRPr="006410B4">
        <w:rPr>
          <w:rStyle w:val="FootnoteReference"/>
          <w:rFonts w:ascii="Book Antiqua" w:hAnsi="Book Antiqua" w:cs="Times New Roman"/>
          <w:color w:val="000000" w:themeColor="text1"/>
          <w:sz w:val="24"/>
          <w:szCs w:val="24"/>
        </w:rPr>
        <w:fldChar w:fldCharType="end"/>
      </w:r>
      <w:r w:rsidR="00C232BE" w:rsidRPr="006410B4">
        <w:rPr>
          <w:rStyle w:val="FootnoteReference"/>
          <w:rFonts w:ascii="Book Antiqua" w:hAnsi="Book Antiqua" w:cs="Times New Roman"/>
          <w:color w:val="000000" w:themeColor="text1"/>
          <w:sz w:val="24"/>
          <w:szCs w:val="24"/>
        </w:rPr>
        <w:t>]</w:t>
      </w:r>
      <w:r w:rsidR="00FB65D0" w:rsidRPr="006410B4">
        <w:rPr>
          <w:rFonts w:ascii="Book Antiqua" w:hAnsi="Book Antiqua" w:cs="Times New Roman"/>
          <w:color w:val="000000" w:themeColor="text1"/>
          <w:sz w:val="24"/>
          <w:szCs w:val="24"/>
        </w:rPr>
        <w:t>.</w:t>
      </w:r>
      <w:r w:rsidR="0044573A" w:rsidRPr="006410B4">
        <w:rPr>
          <w:rFonts w:ascii="Book Antiqua" w:hAnsi="Book Antiqua" w:cs="Times New Roman"/>
          <w:color w:val="000000" w:themeColor="text1"/>
          <w:sz w:val="24"/>
          <w:szCs w:val="24"/>
        </w:rPr>
        <w:t xml:space="preserve"> Placental growth factor (</w:t>
      </w:r>
      <w:proofErr w:type="spellStart"/>
      <w:r w:rsidR="0044573A" w:rsidRPr="006410B4">
        <w:rPr>
          <w:rFonts w:ascii="Book Antiqua" w:hAnsi="Book Antiqua" w:cs="Times New Roman"/>
          <w:color w:val="000000" w:themeColor="text1"/>
          <w:sz w:val="24"/>
          <w:szCs w:val="24"/>
        </w:rPr>
        <w:t>PlGF</w:t>
      </w:r>
      <w:proofErr w:type="spellEnd"/>
      <w:r w:rsidR="0044573A" w:rsidRPr="006410B4">
        <w:rPr>
          <w:rFonts w:ascii="Book Antiqua" w:hAnsi="Book Antiqua" w:cs="Times New Roman"/>
          <w:color w:val="000000" w:themeColor="text1"/>
          <w:sz w:val="24"/>
          <w:szCs w:val="24"/>
        </w:rPr>
        <w:t xml:space="preserve">), a member of the VEGF family, on the other hand </w:t>
      </w:r>
      <w:r w:rsidR="00AB6A7F" w:rsidRPr="006410B4">
        <w:rPr>
          <w:rFonts w:ascii="Book Antiqua" w:hAnsi="Book Antiqua" w:cs="Times New Roman"/>
          <w:color w:val="000000" w:themeColor="text1"/>
          <w:sz w:val="24"/>
          <w:szCs w:val="24"/>
        </w:rPr>
        <w:t xml:space="preserve">could be a more promising target </w:t>
      </w:r>
      <w:r w:rsidR="00AB6A7F" w:rsidRPr="006410B4">
        <w:rPr>
          <w:rFonts w:ascii="Book Antiqua" w:hAnsi="Book Antiqua" w:cs="Times New Roman"/>
          <w:color w:val="000000" w:themeColor="text1"/>
          <w:sz w:val="24"/>
          <w:szCs w:val="24"/>
        </w:rPr>
        <w:lastRenderedPageBreak/>
        <w:t xml:space="preserve">as it has been reported </w:t>
      </w:r>
      <w:r w:rsidR="0044573A" w:rsidRPr="006410B4">
        <w:rPr>
          <w:rFonts w:ascii="Book Antiqua" w:hAnsi="Book Antiqua" w:cs="Times New Roman"/>
          <w:color w:val="000000" w:themeColor="text1"/>
          <w:sz w:val="24"/>
          <w:szCs w:val="24"/>
        </w:rPr>
        <w:t xml:space="preserve">only to enhance angiogenesis in pathological conditions, not affecting </w:t>
      </w:r>
      <w:r w:rsidR="00F21BBB" w:rsidRPr="006410B4">
        <w:rPr>
          <w:rFonts w:ascii="Book Antiqua" w:hAnsi="Book Antiqua" w:cs="Times New Roman"/>
          <w:color w:val="000000" w:themeColor="text1"/>
          <w:sz w:val="24"/>
          <w:szCs w:val="24"/>
        </w:rPr>
        <w:t xml:space="preserve">normal </w:t>
      </w:r>
      <w:r w:rsidR="0044573A" w:rsidRPr="006410B4">
        <w:rPr>
          <w:rFonts w:ascii="Book Antiqua" w:hAnsi="Book Antiqua" w:cs="Times New Roman"/>
          <w:color w:val="000000" w:themeColor="text1"/>
          <w:sz w:val="24"/>
          <w:szCs w:val="24"/>
        </w:rPr>
        <w:t>tissues</w:t>
      </w:r>
      <w:r w:rsidR="00C232BE" w:rsidRPr="006410B4">
        <w:rPr>
          <w:rFonts w:ascii="Book Antiqua" w:hAnsi="Book Antiqua" w:cs="Times New Roman"/>
          <w:color w:val="000000" w:themeColor="text1"/>
          <w:sz w:val="24"/>
          <w:szCs w:val="24"/>
          <w:vertAlign w:val="superscript"/>
        </w:rPr>
        <w:t>[</w:t>
      </w:r>
      <w:r w:rsidR="00C232BE" w:rsidRPr="006410B4">
        <w:rPr>
          <w:rStyle w:val="FootnoteReference"/>
          <w:rFonts w:ascii="Book Antiqua" w:hAnsi="Book Antiqua" w:cs="Times New Roman"/>
          <w:color w:val="000000" w:themeColor="text1"/>
          <w:sz w:val="24"/>
          <w:szCs w:val="24"/>
        </w:rPr>
        <w:fldChar w:fldCharType="begin" w:fldLock="1"/>
      </w:r>
      <w:r w:rsidR="00C232BE" w:rsidRPr="006410B4">
        <w:rPr>
          <w:rFonts w:ascii="Book Antiqua" w:hAnsi="Book Antiqua" w:cs="Times New Roman"/>
          <w:color w:val="000000" w:themeColor="text1"/>
          <w:sz w:val="24"/>
          <w:szCs w:val="24"/>
        </w:rPr>
        <w:instrText>ADDIN CSL_CITATION {"citationItems":[{"id":"ITEM-1","itemData":{"DOI":"10.1016/j.jhep.2008.12.011","ISBN":"0168-8278 (Print)","ISSN":"01688278","PMID":"19157625","abstract":"Angiogenesis and disruption of liver vascular architecture have been linked to progression to cirrhosis and liver cancer (HCC) in chronic liver diseases, which contributes both to increased hepatic vascular resistance and portal hypertension and to decreased hepatocyte perfusion. On the other hand, recent evidence shows that angiogenesis modulates the formation of portal-systemic collaterals and the increased splanchnic blood flow which are involved in the life threatening complications of cirrhosis. Finally, angiogenesis plays a key role in the growth of tumours, suggesting that interference with angiogenesis may prevent or delay the development of HCC. This review summarizes current knowledge on the molecular mechanisms of liver angiogenesis and on the consequences of angiogenesis in chronic liver disease. On the other hand, it presents the different strategies that have been used in experimental models to counteract excessive angiogenesis and its potential role in preventing transition to cirrhosis, development of portal hypertension and its consequences, and its application in the treatment of hepatocellular carcinoma. © 2008.","author":[{"dropping-particle":"","family":"Fernández","given":"Mercedes","non-dropping-particle":"","parse-names":false,"suffix":""},{"dropping-particle":"","family":"Semela","given":"David","non-dropping-particle":"","parse-names":false,"suffix":""},{"dropping-particle":"","family":"Bruix","given":"Jordi","non-dropping-particle":"","parse-names":false,"suffix":""},{"dropping-particle":"","family":"Colle","given":"Isabelle","non-dropping-particle":"","parse-names":false,"suffix":""},{"dropping-particle":"","family":"Pinzani","given":"Massimo","non-dropping-particle":"","parse-names":false,"suffix":""},{"dropping-particle":"","family":"Bosch","given":"Jaume","non-dropping-particle":"","parse-names":false,"suffix":""}],"container-title":"Journal of Hepatology","id":"ITEM-1","issue":"3","issued":{"date-parts":[["2009"]]},"page":"604-620","title":"Angiogenesis in liver disease","type":"article-journal","volume":"50"},"uris":["http://www.mendeley.com/documents/?uuid=ec17b925-4609-439e-916f-534ddfa5e6d2"]}],"mendeley":{"formattedCitation":"&lt;sup&gt;15&lt;/sup&gt;","plainTextFormattedCitation":"15","previouslyFormattedCitation":"&lt;sup&gt;15&lt;/sup&gt;"},"properties":{"noteIndex":0},"schema":"https://github.com/citation-style-language/schema/raw/master/csl-citation.json"}</w:instrText>
      </w:r>
      <w:r w:rsidR="00C232BE" w:rsidRPr="006410B4">
        <w:rPr>
          <w:rStyle w:val="FootnoteReference"/>
          <w:rFonts w:ascii="Book Antiqua" w:hAnsi="Book Antiqua" w:cs="Times New Roman"/>
          <w:color w:val="000000" w:themeColor="text1"/>
          <w:sz w:val="24"/>
          <w:szCs w:val="24"/>
        </w:rPr>
        <w:fldChar w:fldCharType="separate"/>
      </w:r>
      <w:r w:rsidR="00C232BE" w:rsidRPr="006410B4">
        <w:rPr>
          <w:rFonts w:ascii="Book Antiqua" w:hAnsi="Book Antiqua" w:cs="Times New Roman"/>
          <w:bCs/>
          <w:color w:val="000000" w:themeColor="text1"/>
          <w:sz w:val="24"/>
          <w:szCs w:val="24"/>
          <w:vertAlign w:val="superscript"/>
        </w:rPr>
        <w:t>15</w:t>
      </w:r>
      <w:r w:rsidR="00C232BE" w:rsidRPr="006410B4">
        <w:rPr>
          <w:rStyle w:val="FootnoteReference"/>
          <w:rFonts w:ascii="Book Antiqua" w:hAnsi="Book Antiqua" w:cs="Times New Roman"/>
          <w:color w:val="000000" w:themeColor="text1"/>
          <w:sz w:val="24"/>
          <w:szCs w:val="24"/>
        </w:rPr>
        <w:fldChar w:fldCharType="end"/>
      </w:r>
      <w:r w:rsidR="00C232BE" w:rsidRPr="006410B4">
        <w:rPr>
          <w:rStyle w:val="FootnoteReference"/>
          <w:rFonts w:ascii="Book Antiqua" w:hAnsi="Book Antiqua" w:cs="Times New Roman"/>
          <w:color w:val="000000" w:themeColor="text1"/>
          <w:sz w:val="24"/>
          <w:szCs w:val="24"/>
        </w:rPr>
        <w:t>]</w:t>
      </w:r>
      <w:r w:rsidR="00FB65D0" w:rsidRPr="006410B4">
        <w:rPr>
          <w:rFonts w:ascii="Book Antiqua" w:hAnsi="Book Antiqua" w:cs="Times New Roman"/>
          <w:color w:val="000000" w:themeColor="text1"/>
          <w:sz w:val="24"/>
          <w:szCs w:val="24"/>
        </w:rPr>
        <w:t>.</w:t>
      </w:r>
      <w:r w:rsidR="0044573A" w:rsidRPr="006410B4">
        <w:rPr>
          <w:rFonts w:ascii="Book Antiqua" w:hAnsi="Book Antiqua" w:cs="Times New Roman"/>
          <w:color w:val="000000" w:themeColor="text1"/>
          <w:sz w:val="24"/>
          <w:szCs w:val="24"/>
        </w:rPr>
        <w:t xml:space="preserve"> </w:t>
      </w:r>
      <w:r w:rsidR="00A2384D" w:rsidRPr="006410B4">
        <w:rPr>
          <w:rFonts w:ascii="Book Antiqua" w:hAnsi="Book Antiqua" w:cs="Times New Roman"/>
          <w:color w:val="000000" w:themeColor="text1"/>
          <w:sz w:val="24"/>
          <w:szCs w:val="24"/>
        </w:rPr>
        <w:t xml:space="preserve">As a </w:t>
      </w:r>
      <w:proofErr w:type="spellStart"/>
      <w:r w:rsidR="00A2384D" w:rsidRPr="006410B4">
        <w:rPr>
          <w:rFonts w:ascii="Book Antiqua" w:hAnsi="Book Antiqua" w:cs="Times New Roman"/>
          <w:color w:val="000000" w:themeColor="text1"/>
          <w:sz w:val="24"/>
          <w:szCs w:val="24"/>
        </w:rPr>
        <w:t>porangiogenic</w:t>
      </w:r>
      <w:proofErr w:type="spellEnd"/>
      <w:r w:rsidR="00A2384D" w:rsidRPr="006410B4">
        <w:rPr>
          <w:rFonts w:ascii="Book Antiqua" w:hAnsi="Book Antiqua" w:cs="Times New Roman"/>
          <w:color w:val="000000" w:themeColor="text1"/>
          <w:sz w:val="24"/>
          <w:szCs w:val="24"/>
        </w:rPr>
        <w:t xml:space="preserve"> factor</w:t>
      </w:r>
      <w:r w:rsidR="00A40F84" w:rsidRPr="006410B4">
        <w:rPr>
          <w:rFonts w:ascii="Book Antiqua" w:hAnsi="Book Antiqua" w:cs="Times New Roman"/>
          <w:color w:val="000000" w:themeColor="text1"/>
          <w:sz w:val="24"/>
          <w:szCs w:val="24"/>
        </w:rPr>
        <w:t xml:space="preserve"> </w:t>
      </w:r>
      <w:proofErr w:type="spellStart"/>
      <w:r w:rsidR="00A40F84" w:rsidRPr="006410B4">
        <w:rPr>
          <w:rFonts w:ascii="Book Antiqua" w:hAnsi="Book Antiqua" w:cs="Times New Roman"/>
          <w:color w:val="000000" w:themeColor="text1"/>
          <w:sz w:val="24"/>
          <w:szCs w:val="24"/>
        </w:rPr>
        <w:t>PlGF</w:t>
      </w:r>
      <w:proofErr w:type="spellEnd"/>
      <w:r w:rsidR="00A40F84" w:rsidRPr="006410B4">
        <w:rPr>
          <w:rFonts w:ascii="Book Antiqua" w:hAnsi="Book Antiqua" w:cs="Times New Roman"/>
          <w:color w:val="000000" w:themeColor="text1"/>
          <w:sz w:val="24"/>
          <w:szCs w:val="24"/>
        </w:rPr>
        <w:t xml:space="preserve"> </w:t>
      </w:r>
      <w:r w:rsidR="00A2384D" w:rsidRPr="006410B4">
        <w:rPr>
          <w:rFonts w:ascii="Book Antiqua" w:hAnsi="Book Antiqua" w:cs="Times New Roman"/>
          <w:color w:val="000000" w:themeColor="text1"/>
          <w:sz w:val="24"/>
          <w:szCs w:val="24"/>
        </w:rPr>
        <w:t>escalates the</w:t>
      </w:r>
      <w:r w:rsidR="00A40F84" w:rsidRPr="006410B4">
        <w:rPr>
          <w:rFonts w:ascii="Book Antiqua" w:hAnsi="Book Antiqua" w:cs="Times New Roman"/>
          <w:color w:val="000000" w:themeColor="text1"/>
          <w:sz w:val="24"/>
          <w:szCs w:val="24"/>
        </w:rPr>
        <w:t xml:space="preserve"> proliferation, migration and survival </w:t>
      </w:r>
      <w:r w:rsidR="00A2384D" w:rsidRPr="006410B4">
        <w:rPr>
          <w:rFonts w:ascii="Book Antiqua" w:hAnsi="Book Antiqua" w:cs="Times New Roman"/>
          <w:color w:val="000000" w:themeColor="text1"/>
          <w:sz w:val="24"/>
          <w:szCs w:val="24"/>
        </w:rPr>
        <w:t>of the endothelial cells, intensifies the proliferation of the mesenchymal cells and regulates the contraction of the mural cells</w:t>
      </w:r>
      <w:r w:rsidR="00C232BE" w:rsidRPr="006410B4">
        <w:rPr>
          <w:rFonts w:ascii="Book Antiqua" w:hAnsi="Book Antiqua" w:cs="Times New Roman"/>
          <w:color w:val="000000" w:themeColor="text1"/>
          <w:sz w:val="24"/>
          <w:szCs w:val="24"/>
          <w:vertAlign w:val="superscript"/>
        </w:rPr>
        <w:t>[</w:t>
      </w:r>
      <w:r w:rsidR="00C232BE" w:rsidRPr="006410B4">
        <w:rPr>
          <w:rFonts w:ascii="Book Antiqua" w:hAnsi="Book Antiqua" w:cs="Times New Roman"/>
          <w:color w:val="000000" w:themeColor="text1"/>
          <w:sz w:val="24"/>
          <w:szCs w:val="24"/>
        </w:rPr>
        <w:fldChar w:fldCharType="begin" w:fldLock="1"/>
      </w:r>
      <w:r w:rsidR="00C232BE" w:rsidRPr="006410B4">
        <w:rPr>
          <w:rFonts w:ascii="Book Antiqua" w:hAnsi="Book Antiqua" w:cs="Times New Roman"/>
          <w:color w:val="000000" w:themeColor="text1"/>
          <w:sz w:val="24"/>
          <w:szCs w:val="24"/>
        </w:rPr>
        <w:instrText>ADDIN CSL_CITATION {"citationItems":[{"id":"ITEM-1","itemData":{"DOI":"10.1101/cshperspect.a011056","ISBN":"2157-1422 (Electronic)","ISSN":"21571422","PMID":"22908198","abstract":"Placental growth factor (PlGF) is a member of the vascular endothelial growth factor (VEGF) family that also comprises VEGF-A (VEGF), VEGF-B, VEGF-C, and VEGF-D. Unlike VEGF, PlGF is dispensable for development and health but has diverse nonredundant roles in tissue ischemia, malignancy, inflammation, and multiple other diseases. Genetic and pharmacological gain-of-function and loss-of-function studies have identified molecular mechanisms of this multitasking cytokine and characterized the therapeutic potential of delivering or blocking PlGF for various disorders.","author":[{"dropping-particle":"","family":"Dewerchin","given":"Mieke","non-dropping-particle":"","parse-names":false,"suffix":""},{"dropping-particle":"","family":"Carmeliet","given":"Peter","non-dropping-particle":"","parse-names":false,"suffix":""}],"container-title":"Cold Spring Harbor Perspectives in Medicine","id":"ITEM-1","issue":"8","issued":{"date-parts":[["2012"]]},"page":"1-24","title":"PlGF: A multitasking cytokine with disease-restricted activity","type":"article-journal","volume":"2"},"uris":["http://www.mendeley.com/documents/?uuid=f63d5382-3f8f-45c3-b5c6-4345560b8c9f"]}],"mendeley":{"formattedCitation":"&lt;sup&gt;16&lt;/sup&gt;","plainTextFormattedCitation":"16"},"properties":{"noteIndex":0},"schema":"https://github.com/citation-style-language/schema/raw/master/csl-citation.json"}</w:instrText>
      </w:r>
      <w:r w:rsidR="00C232BE" w:rsidRPr="006410B4">
        <w:rPr>
          <w:rFonts w:ascii="Book Antiqua" w:hAnsi="Book Antiqua" w:cs="Times New Roman"/>
          <w:color w:val="000000" w:themeColor="text1"/>
          <w:sz w:val="24"/>
          <w:szCs w:val="24"/>
        </w:rPr>
        <w:fldChar w:fldCharType="separate"/>
      </w:r>
      <w:r w:rsidR="00C232BE" w:rsidRPr="006410B4">
        <w:rPr>
          <w:rFonts w:ascii="Book Antiqua" w:hAnsi="Book Antiqua" w:cs="Times New Roman"/>
          <w:color w:val="000000" w:themeColor="text1"/>
          <w:sz w:val="24"/>
          <w:szCs w:val="24"/>
          <w:vertAlign w:val="superscript"/>
        </w:rPr>
        <w:t>16</w:t>
      </w:r>
      <w:r w:rsidR="00C232BE" w:rsidRPr="006410B4">
        <w:rPr>
          <w:rFonts w:ascii="Book Antiqua" w:hAnsi="Book Antiqua" w:cs="Times New Roman"/>
          <w:color w:val="000000" w:themeColor="text1"/>
          <w:sz w:val="24"/>
          <w:szCs w:val="24"/>
        </w:rPr>
        <w:fldChar w:fldCharType="end"/>
      </w:r>
      <w:r w:rsidR="00C232BE" w:rsidRPr="006410B4">
        <w:rPr>
          <w:rFonts w:ascii="Book Antiqua" w:hAnsi="Book Antiqua" w:cs="Times New Roman"/>
          <w:color w:val="000000" w:themeColor="text1"/>
          <w:sz w:val="24"/>
          <w:szCs w:val="24"/>
          <w:vertAlign w:val="superscript"/>
        </w:rPr>
        <w:t>]</w:t>
      </w:r>
      <w:r w:rsidR="00A2384D" w:rsidRPr="006410B4">
        <w:rPr>
          <w:rFonts w:ascii="Book Antiqua" w:hAnsi="Book Antiqua" w:cs="Times New Roman"/>
          <w:color w:val="000000" w:themeColor="text1"/>
          <w:sz w:val="24"/>
          <w:szCs w:val="24"/>
        </w:rPr>
        <w:t xml:space="preserve">. </w:t>
      </w:r>
      <w:r w:rsidR="00BF498E" w:rsidRPr="006410B4">
        <w:rPr>
          <w:rFonts w:ascii="Book Antiqua" w:eastAsia="Times New Roman" w:hAnsi="Book Antiqua" w:cs="Times New Roman"/>
          <w:color w:val="000000" w:themeColor="text1"/>
          <w:sz w:val="24"/>
          <w:szCs w:val="24"/>
        </w:rPr>
        <w:t xml:space="preserve">The expression and function of </w:t>
      </w:r>
      <w:proofErr w:type="spellStart"/>
      <w:r w:rsidR="00BF498E" w:rsidRPr="006410B4">
        <w:rPr>
          <w:rFonts w:ascii="Book Antiqua" w:eastAsia="Times New Roman" w:hAnsi="Book Antiqua" w:cs="Times New Roman"/>
          <w:color w:val="000000" w:themeColor="text1"/>
          <w:sz w:val="24"/>
          <w:szCs w:val="24"/>
        </w:rPr>
        <w:t>PlGF</w:t>
      </w:r>
      <w:proofErr w:type="spellEnd"/>
      <w:r w:rsidR="00BF498E" w:rsidRPr="006410B4">
        <w:rPr>
          <w:rFonts w:ascii="Book Antiqua" w:eastAsia="Times New Roman" w:hAnsi="Book Antiqua" w:cs="Times New Roman"/>
          <w:color w:val="000000" w:themeColor="text1"/>
          <w:sz w:val="24"/>
          <w:szCs w:val="24"/>
        </w:rPr>
        <w:t xml:space="preserve"> has been addressed in several animal studies</w:t>
      </w:r>
      <w:r w:rsidR="00C232BE" w:rsidRPr="006410B4">
        <w:rPr>
          <w:rFonts w:ascii="Book Antiqua" w:eastAsia="Times New Roman" w:hAnsi="Book Antiqua" w:cs="Times New Roman"/>
          <w:color w:val="000000" w:themeColor="text1"/>
          <w:sz w:val="24"/>
          <w:szCs w:val="24"/>
          <w:vertAlign w:val="superscript"/>
        </w:rPr>
        <w:t>[</w:t>
      </w:r>
      <w:r w:rsidR="00C232BE" w:rsidRPr="006410B4">
        <w:rPr>
          <w:rStyle w:val="FootnoteReference"/>
          <w:rFonts w:ascii="Book Antiqua" w:eastAsia="Times New Roman" w:hAnsi="Book Antiqua" w:cs="Times New Roman"/>
          <w:color w:val="000000" w:themeColor="text1"/>
          <w:sz w:val="24"/>
          <w:szCs w:val="24"/>
        </w:rPr>
        <w:fldChar w:fldCharType="begin" w:fldLock="1"/>
      </w:r>
      <w:r w:rsidR="00C232BE" w:rsidRPr="006410B4">
        <w:rPr>
          <w:rFonts w:ascii="Book Antiqua" w:eastAsia="Times New Roman" w:hAnsi="Book Antiqua" w:cs="Times New Roman"/>
          <w:color w:val="000000" w:themeColor="text1"/>
          <w:sz w:val="24"/>
          <w:szCs w:val="24"/>
        </w:rPr>
        <w:instrText>ADDIN CSL_CITATION {"citationItems":[{"id":"ITEM-1","itemData":{"DOI":"10.1002/hep.24238","ISBN":"1527-3350 (Electronic)\\r0270-9139 (Linking)","ISSN":"02709139","PMID":"21520176","abstract":"Placental growth factor (PlGF) is associated selectively with pathological angiogenesis, and PlGF blockade does not affect the healthy vasculature. Anti-PlGF is therefore currently being clinically evaluated for the treatment of cancer patients. In cirrhosis, hepatic fibrogenesis is accompanied by extensive angiogenesis. In this paper, we evaluated the pathophysiological role of PlGF and the therapeutic potential of anti-PlGF in liver cirrhosis. PlGF was significantly up-regulated in the CCl(4) -induced rodent model of liver cirrhosis as well as in cirrhotic patients. Compared with wild-type animals, cirrhotic PlGF(-/-) mice showed a significant reduction in angiogenesis, arteriogenesis, inflammation, fibrosis, and portal hypertension. Importantly, pharmacological inhibition with anti-PlGF antibodies yielded similar results as genetic loss of PlGF. Notably, PlGF treatment of activated hepatic stellate cells induced sustained extracellular signal-regulated kinase 1/2 phosphorylation, as well as chemotaxis and proliferation, indicating a previously unrecognized profibrogenic role of PlGF. CONCLUSION: PlGF is a disease-candidate gene in liver cirrhosis, and inhibition of PlGF offers a therapeutic alternative with an attractive safety profile.","author":[{"dropping-particle":"Van","family":"Steenkiste","given":"Christophe","non-dropping-particle":"","parse-names":false,"suffix":""},{"dropping-particle":"","family":"Ribera","given":"Jordi","non-dropping-particle":"","parse-names":false,"suffix":""},{"dropping-particle":"","family":"Geerts","given":"Anja","non-dropping-particle":"","parse-names":false,"suffix":""},{"dropping-particle":"","family":"Pauta","given":"Montse","non-dropping-particle":"","parse-names":false,"suffix":""},{"dropping-particle":"","family":"Tugues","given":"Sònia","non-dropping-particle":"","parse-names":false,"suffix":""},{"dropping-particle":"","family":"Casteleyn","given":"Christophe","non-dropping-particle":"","parse-names":false,"suffix":""},{"dropping-particle":"","family":"Libbrecht","given":"Louis","non-dropping-particle":"","parse-names":false,"suffix":""},{"dropping-particle":"","family":"Olievier","given":"Kim","non-dropping-particle":"","parse-names":false,"suffix":""},{"dropping-particle":"","family":"Schroyen","given":"Ben","non-dropping-particle":"","parse-names":false,"suffix":""},{"dropping-particle":"","family":"Reynaert","given":"Hendrik","non-dropping-particle":"","parse-names":false,"suffix":""},{"dropping-particle":"","family":"Grunsven","given":"Leo A.","non-dropping-particle":"van","parse-names":false,"suffix":""},{"dropping-particle":"","family":"Blomme","given":"Bram","non-dropping-particle":"","parse-names":false,"suffix":""},{"dropping-particle":"","family":"Coulon","given":"Stephanie","non-dropping-particle":"","parse-names":false,"suffix":""},{"dropping-particle":"","family":"Heindryckx","given":"Femke","non-dropping-particle":"","parse-names":false,"suffix":""},{"dropping-particle":"","family":"Vos","given":"Martine","non-dropping-particle":"De","parse-names":false,"suffix":""},{"dropping-particle":"","family":"Stassen","given":"Jean Marie","non-dropping-particle":"","parse-names":false,"suffix":""},{"dropping-particle":"","family":"Vinckier","given":"Stefan","non-dropping-particle":"","parse-names":false,"suffix":""},{"dropping-particle":"","family":"Altamirano","given":"Jose","non-dropping-particle":"","parse-names":false,"suffix":""},{"dropping-particle":"","family":"Bataller","given":"Ramón","non-dropping-particle":"","parse-names":false,"suffix":""},{"dropping-particle":"","family":"Carmeliet","given":"Peter","non-dropping-particle":"","parse-names":false,"suffix":""},{"dropping-particle":"","family":"Vlierberghe","given":"Hans","non-dropping-particle":"Van","parse-names":false,"suffix":""},{"dropping-particle":"","family":"Colle","given":"Isabelle","non-dropping-particle":"","parse-names":false,"suffix":""},{"dropping-particle":"","family":"Morales-Ruiz","given":"Manuel","non-dropping-particle":"","parse-names":false,"suffix":""}],"container-title":"Hepatology","id":"ITEM-1","issue":"5","issued":{"date-parts":[["2011"]]},"page":"1629-1640","title":"Inhibition of placental growth factor activity reduces the severity of fibrosis, inflammation, and portal hypertension in cirrhotic mice","type":"article-journal","volume":"53"},"uris":["http://www.mendeley.com/documents/?uuid=bc8a01cf-291e-4ca2-b50f-db855c1363f5"]},{"id":"ITEM-2","itemData":{"DOI":"10.1111/jcmm.13158","ISSN":"15821838","PMID":"28378526","abstract":"Placental growth factor (PlGF) is a member of the vascular endothelial growth factor (VEGF) family and is involved in pathological angiogenesis associated with chronic liver diseases. However, the precise mechanisms underlying PlGF signalling contributing to liver fibrosis and angiogenesis remain largely unexplored. This study aimed to assess the effect of reducing PlGF expression using small interfering RNA (siRNA) on experimental liver fibrosis and angiogenesis, and to elucidate the underlying molecular mechanisms. Fibrosis was induced in mice by carbon tetrachloride (CCl(4)) for 8 weeks, and mice were treated with PlGF siRNA or non</w:instrText>
      </w:r>
      <w:r w:rsidR="00C232BE" w:rsidRPr="006410B4">
        <w:rPr>
          <w:rFonts w:ascii="Cambria Math" w:eastAsia="Times New Roman" w:hAnsi="Cambria Math" w:cs="Cambria Math"/>
          <w:color w:val="000000" w:themeColor="text1"/>
          <w:sz w:val="24"/>
          <w:szCs w:val="24"/>
        </w:rPr>
        <w:instrText>‐</w:instrText>
      </w:r>
      <w:r w:rsidR="00C232BE" w:rsidRPr="006410B4">
        <w:rPr>
          <w:rFonts w:ascii="Book Antiqua" w:eastAsia="Times New Roman" w:hAnsi="Book Antiqua" w:cs="Book Antiqua"/>
          <w:color w:val="000000" w:themeColor="text1"/>
          <w:sz w:val="24"/>
          <w:szCs w:val="24"/>
        </w:rPr>
        <w:instrText xml:space="preserve">targeting control </w:instrText>
      </w:r>
      <w:r w:rsidR="00C232BE" w:rsidRPr="006410B4">
        <w:rPr>
          <w:rFonts w:ascii="Book Antiqua" w:eastAsia="Times New Roman" w:hAnsi="Book Antiqua" w:cs="Times New Roman"/>
          <w:color w:val="000000" w:themeColor="text1"/>
          <w:sz w:val="24"/>
          <w:szCs w:val="24"/>
        </w:rPr>
        <w:instrText>siRNA starting two weeks after initiating CCl(4) injections. The results showed that PlGF was highly expressed in cirrhotic human and mice livers; which mainly distributed in activated hepatic stellate cells (HSCs). PlGF silencing robustly reduced liver inflammation, fibrosis, intrahepatic macrophage recruitment, and inhibited the activation of HSCs in vivo. Moreover, PlGF siRNA</w:instrText>
      </w:r>
      <w:r w:rsidR="00C232BE" w:rsidRPr="006410B4">
        <w:rPr>
          <w:rFonts w:ascii="Cambria Math" w:eastAsia="Times New Roman" w:hAnsi="Cambria Math" w:cs="Cambria Math"/>
          <w:color w:val="000000" w:themeColor="text1"/>
          <w:sz w:val="24"/>
          <w:szCs w:val="24"/>
        </w:rPr>
        <w:instrText>‐</w:instrText>
      </w:r>
      <w:r w:rsidR="00C232BE" w:rsidRPr="006410B4">
        <w:rPr>
          <w:rFonts w:ascii="Book Antiqua" w:eastAsia="Times New Roman" w:hAnsi="Book Antiqua" w:cs="Book Antiqua"/>
          <w:color w:val="000000" w:themeColor="text1"/>
          <w:sz w:val="24"/>
          <w:szCs w:val="24"/>
        </w:rPr>
        <w:instrText>treated fibrotic mice showed diminished hepatic microvessel density and angiogenic factors, such as hypoxia</w:instrText>
      </w:r>
      <w:r w:rsidR="00C232BE" w:rsidRPr="006410B4">
        <w:rPr>
          <w:rFonts w:ascii="Cambria Math" w:eastAsia="Times New Roman" w:hAnsi="Cambria Math" w:cs="Cambria Math"/>
          <w:color w:val="000000" w:themeColor="text1"/>
          <w:sz w:val="24"/>
          <w:szCs w:val="24"/>
        </w:rPr>
        <w:instrText>‐</w:instrText>
      </w:r>
      <w:r w:rsidR="00C232BE" w:rsidRPr="006410B4">
        <w:rPr>
          <w:rFonts w:ascii="Book Antiqua" w:eastAsia="Times New Roman" w:hAnsi="Book Antiqua" w:cs="Book Antiqua"/>
          <w:color w:val="000000" w:themeColor="text1"/>
          <w:sz w:val="24"/>
          <w:szCs w:val="24"/>
        </w:rPr>
        <w:instrText>inducible factor</w:instrText>
      </w:r>
      <w:r w:rsidR="00C232BE" w:rsidRPr="006410B4">
        <w:rPr>
          <w:rFonts w:ascii="Cambria Math" w:eastAsia="Times New Roman" w:hAnsi="Cambria Math" w:cs="Cambria Math"/>
          <w:color w:val="000000" w:themeColor="text1"/>
          <w:sz w:val="24"/>
          <w:szCs w:val="24"/>
        </w:rPr>
        <w:instrText>‐</w:instrText>
      </w:r>
      <w:r w:rsidR="00C232BE" w:rsidRPr="006410B4">
        <w:rPr>
          <w:rFonts w:ascii="Book Antiqua" w:eastAsia="Times New Roman" w:hAnsi="Book Antiqua" w:cs="Book Antiqua"/>
          <w:color w:val="000000" w:themeColor="text1"/>
          <w:sz w:val="24"/>
          <w:szCs w:val="24"/>
        </w:rPr>
        <w:instrText>1α (H</w:instrText>
      </w:r>
      <w:r w:rsidR="00C232BE" w:rsidRPr="006410B4">
        <w:rPr>
          <w:rFonts w:ascii="Book Antiqua" w:eastAsia="Times New Roman" w:hAnsi="Book Antiqua" w:cs="Times New Roman"/>
          <w:color w:val="000000" w:themeColor="text1"/>
          <w:sz w:val="24"/>
          <w:szCs w:val="24"/>
        </w:rPr>
        <w:instrText>IF</w:instrText>
      </w:r>
      <w:r w:rsidR="00C232BE" w:rsidRPr="006410B4">
        <w:rPr>
          <w:rFonts w:ascii="Cambria Math" w:eastAsia="Times New Roman" w:hAnsi="Cambria Math" w:cs="Cambria Math"/>
          <w:color w:val="000000" w:themeColor="text1"/>
          <w:sz w:val="24"/>
          <w:szCs w:val="24"/>
        </w:rPr>
        <w:instrText>‐</w:instrText>
      </w:r>
      <w:r w:rsidR="00C232BE" w:rsidRPr="006410B4">
        <w:rPr>
          <w:rFonts w:ascii="Book Antiqua" w:eastAsia="Times New Roman" w:hAnsi="Book Antiqua" w:cs="Book Antiqua"/>
          <w:color w:val="000000" w:themeColor="text1"/>
          <w:sz w:val="24"/>
          <w:szCs w:val="24"/>
        </w:rPr>
        <w:instrText>1α), VEGF and VEGF receptor</w:instrText>
      </w:r>
      <w:r w:rsidR="00C232BE" w:rsidRPr="006410B4">
        <w:rPr>
          <w:rFonts w:ascii="Cambria Math" w:eastAsia="Times New Roman" w:hAnsi="Cambria Math" w:cs="Cambria Math"/>
          <w:color w:val="000000" w:themeColor="text1"/>
          <w:sz w:val="24"/>
          <w:szCs w:val="24"/>
        </w:rPr>
        <w:instrText>‐</w:instrText>
      </w:r>
      <w:r w:rsidR="00C232BE" w:rsidRPr="006410B4">
        <w:rPr>
          <w:rFonts w:ascii="Book Antiqua" w:eastAsia="Times New Roman" w:hAnsi="Book Antiqua" w:cs="Book Antiqua"/>
          <w:color w:val="000000" w:themeColor="text1"/>
          <w:sz w:val="24"/>
          <w:szCs w:val="24"/>
        </w:rPr>
        <w:instrText>1. Moreover, down</w:instrText>
      </w:r>
      <w:r w:rsidR="00C232BE" w:rsidRPr="006410B4">
        <w:rPr>
          <w:rFonts w:ascii="Cambria Math" w:eastAsia="Times New Roman" w:hAnsi="Cambria Math" w:cs="Cambria Math"/>
          <w:color w:val="000000" w:themeColor="text1"/>
          <w:sz w:val="24"/>
          <w:szCs w:val="24"/>
        </w:rPr>
        <w:instrText>‐</w:instrText>
      </w:r>
      <w:r w:rsidR="00C232BE" w:rsidRPr="006410B4">
        <w:rPr>
          <w:rFonts w:ascii="Book Antiqua" w:eastAsia="Times New Roman" w:hAnsi="Book Antiqua" w:cs="Book Antiqua"/>
          <w:color w:val="000000" w:themeColor="text1"/>
          <w:sz w:val="24"/>
          <w:szCs w:val="24"/>
        </w:rPr>
        <w:instrText>regulation of PlGF with siRNA in HSCs inhibited the activation and proliferation of HSCs. Mechanistically, overexpression of PlGF in activated HSCs was induced by hypoxia dependent on HIF</w:instrText>
      </w:r>
      <w:r w:rsidR="00C232BE" w:rsidRPr="006410B4">
        <w:rPr>
          <w:rFonts w:ascii="Cambria Math" w:eastAsia="Times New Roman" w:hAnsi="Cambria Math" w:cs="Cambria Math"/>
          <w:color w:val="000000" w:themeColor="text1"/>
          <w:sz w:val="24"/>
          <w:szCs w:val="24"/>
        </w:rPr>
        <w:instrText>‐</w:instrText>
      </w:r>
      <w:r w:rsidR="00C232BE" w:rsidRPr="006410B4">
        <w:rPr>
          <w:rFonts w:ascii="Book Antiqua" w:eastAsia="Times New Roman" w:hAnsi="Book Antiqua" w:cs="Book Antiqua"/>
          <w:color w:val="000000" w:themeColor="text1"/>
          <w:sz w:val="24"/>
          <w:szCs w:val="24"/>
        </w:rPr>
        <w:instrText>1α, and PlGF induce</w:instrText>
      </w:r>
      <w:r w:rsidR="00C232BE" w:rsidRPr="006410B4">
        <w:rPr>
          <w:rFonts w:ascii="Book Antiqua" w:eastAsia="Times New Roman" w:hAnsi="Book Antiqua" w:cs="Times New Roman"/>
          <w:color w:val="000000" w:themeColor="text1"/>
          <w:sz w:val="24"/>
          <w:szCs w:val="24"/>
        </w:rPr>
        <w:instrText>s HSC activation and proliferation via activation the phosphatidylinositol 3</w:instrText>
      </w:r>
      <w:r w:rsidR="00C232BE" w:rsidRPr="006410B4">
        <w:rPr>
          <w:rFonts w:ascii="Cambria Math" w:eastAsia="Times New Roman" w:hAnsi="Cambria Math" w:cs="Cambria Math"/>
          <w:color w:val="000000" w:themeColor="text1"/>
          <w:sz w:val="24"/>
          <w:szCs w:val="24"/>
        </w:rPr>
        <w:instrText>‐</w:instrText>
      </w:r>
      <w:r w:rsidR="00C232BE" w:rsidRPr="006410B4">
        <w:rPr>
          <w:rFonts w:ascii="Book Antiqua" w:eastAsia="Times New Roman" w:hAnsi="Book Antiqua" w:cs="Book Antiqua"/>
          <w:color w:val="000000" w:themeColor="text1"/>
          <w:sz w:val="24"/>
          <w:szCs w:val="24"/>
        </w:rPr>
        <w:instrText>kinase (PI3K)/Akt signalling pathways. These findings indicate that PlGF plays an important role in liver fibrosis</w:instrText>
      </w:r>
      <w:r w:rsidR="00C232BE" w:rsidRPr="006410B4">
        <w:rPr>
          <w:rFonts w:ascii="Cambria Math" w:eastAsia="Times New Roman" w:hAnsi="Cambria Math" w:cs="Cambria Math"/>
          <w:color w:val="000000" w:themeColor="text1"/>
          <w:sz w:val="24"/>
          <w:szCs w:val="24"/>
        </w:rPr>
        <w:instrText>‐</w:instrText>
      </w:r>
      <w:r w:rsidR="00C232BE" w:rsidRPr="006410B4">
        <w:rPr>
          <w:rFonts w:ascii="Book Antiqua" w:eastAsia="Times New Roman" w:hAnsi="Book Antiqua" w:cs="Book Antiqua"/>
          <w:color w:val="000000" w:themeColor="text1"/>
          <w:sz w:val="24"/>
          <w:szCs w:val="24"/>
        </w:rPr>
        <w:instrText>associated angiogenesis and that blockage of PlGF could be an ef</w:instrText>
      </w:r>
      <w:r w:rsidR="00C232BE" w:rsidRPr="006410B4">
        <w:rPr>
          <w:rFonts w:ascii="Book Antiqua" w:eastAsia="Times New Roman" w:hAnsi="Book Antiqua" w:cs="Times New Roman"/>
          <w:color w:val="000000" w:themeColor="text1"/>
          <w:sz w:val="24"/>
          <w:szCs w:val="24"/>
        </w:rPr>
        <w:instrText>fective strategy for chronic liver disease.","author":[{"dropping-particle":"","family":"Li","given":"Xi","non-dropping-particle":"","parse-names":false,"suffix":""},{"dropping-particle":"","family":"Yao","given":"Qun-Yan","non-dropping-particle":"","parse-names":false,"suffix":""},{"dropping-particle":"","family":"Liu","given":"Hong-Chun","non-dropping-particle":"","parse-names":false,"suffix":""},{"dropping-particle":"","family":"Jin","given":"Qian-Wen","non-dropping-particle":"","parse-names":false,"suffix":""},{"dropping-particle":"","family":"Xu","given":"Bei-Li","non-dropping-particle":"","parse-names":false,"suffix":""},{"dropping-particle":"","family":"Zhang","given":"Shun-Cai","non-dropping-particle":"","parse-names":false,"suffix":""},{"dropping-particle":"","family":"Tu","given":"Chuan-Tao","non-dropping-particle":"","parse-names":false,"suffix":""}],"container-title":"Journal of Cellular and Molecular Medicine","id":"ITEM-2","issue":"10","issued":{"date-parts":[["2017"]]},"page":"2370-2385","title":"Placental growth factor silencing ameliorates liver fibrosis and angiogenesis and inhibits activation of hepatic stellate cells in a murine model of chronic liver disease","type":"article-journal","volume":"21"},"uris":["http://www.mendeley.com/documents/?uuid=96f15383-819d-48d2-a98e-cbfd2bd228f9"]}],"mendeley":{"formattedCitation":"&lt;sup&gt;17,18&lt;/sup&gt;","plainTextFormattedCitation":"17,18","previouslyFormattedCitation":"&lt;sup&gt;16,17&lt;/sup&gt;"},"properties":{"noteIndex":0},"schema":"https://github.com/citation-style-language/schema/raw/master/csl-citation.json"}</w:instrText>
      </w:r>
      <w:r w:rsidR="00C232BE" w:rsidRPr="006410B4">
        <w:rPr>
          <w:rStyle w:val="FootnoteReference"/>
          <w:rFonts w:ascii="Book Antiqua" w:eastAsia="Times New Roman" w:hAnsi="Book Antiqua" w:cs="Times New Roman"/>
          <w:color w:val="000000" w:themeColor="text1"/>
          <w:sz w:val="24"/>
          <w:szCs w:val="24"/>
        </w:rPr>
        <w:fldChar w:fldCharType="separate"/>
      </w:r>
      <w:r w:rsidR="00C232BE" w:rsidRPr="006410B4">
        <w:rPr>
          <w:rFonts w:ascii="Book Antiqua" w:eastAsia="Times New Roman" w:hAnsi="Book Antiqua" w:cs="Times New Roman"/>
          <w:bCs/>
          <w:color w:val="000000" w:themeColor="text1"/>
          <w:sz w:val="24"/>
          <w:szCs w:val="24"/>
          <w:vertAlign w:val="superscript"/>
        </w:rPr>
        <w:t>17,18</w:t>
      </w:r>
      <w:r w:rsidR="00C232BE" w:rsidRPr="006410B4">
        <w:rPr>
          <w:rStyle w:val="FootnoteReference"/>
          <w:rFonts w:ascii="Book Antiqua" w:eastAsia="Times New Roman" w:hAnsi="Book Antiqua" w:cs="Times New Roman"/>
          <w:color w:val="000000" w:themeColor="text1"/>
          <w:sz w:val="24"/>
          <w:szCs w:val="24"/>
        </w:rPr>
        <w:fldChar w:fldCharType="end"/>
      </w:r>
      <w:r w:rsidR="00C232BE"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however </w:t>
      </w:r>
      <w:r w:rsidR="00816BB9" w:rsidRPr="006410B4">
        <w:rPr>
          <w:rFonts w:ascii="Book Antiqua" w:eastAsia="Times New Roman" w:hAnsi="Book Antiqua" w:cs="Times New Roman"/>
          <w:color w:val="000000" w:themeColor="text1"/>
          <w:sz w:val="24"/>
          <w:szCs w:val="24"/>
        </w:rPr>
        <w:t xml:space="preserve">data on </w:t>
      </w:r>
      <w:r w:rsidRPr="006410B4">
        <w:rPr>
          <w:rFonts w:ascii="Book Antiqua" w:eastAsia="Times New Roman" w:hAnsi="Book Antiqua" w:cs="Times New Roman"/>
          <w:color w:val="000000" w:themeColor="text1"/>
          <w:sz w:val="24"/>
          <w:szCs w:val="24"/>
        </w:rPr>
        <w:t>plasma levels</w:t>
      </w:r>
      <w:r w:rsidR="00BF498E" w:rsidRPr="006410B4">
        <w:rPr>
          <w:rFonts w:ascii="Book Antiqua" w:eastAsia="Times New Roman" w:hAnsi="Book Antiqua" w:cs="Times New Roman"/>
          <w:color w:val="000000" w:themeColor="text1"/>
          <w:sz w:val="24"/>
          <w:szCs w:val="24"/>
        </w:rPr>
        <w:t xml:space="preserve"> of </w:t>
      </w:r>
      <w:proofErr w:type="spellStart"/>
      <w:r w:rsidR="00BF498E" w:rsidRPr="006410B4">
        <w:rPr>
          <w:rFonts w:ascii="Book Antiqua" w:eastAsia="Times New Roman" w:hAnsi="Book Antiqua" w:cs="Times New Roman"/>
          <w:color w:val="000000" w:themeColor="text1"/>
          <w:sz w:val="24"/>
          <w:szCs w:val="24"/>
        </w:rPr>
        <w:t>PlGF</w:t>
      </w:r>
      <w:proofErr w:type="spellEnd"/>
      <w:r w:rsidR="00BF498E" w:rsidRPr="006410B4">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in </w:t>
      </w:r>
      <w:r w:rsidR="00816BB9" w:rsidRPr="006410B4">
        <w:rPr>
          <w:rFonts w:ascii="Book Antiqua" w:eastAsia="Times New Roman" w:hAnsi="Book Antiqua" w:cs="Times New Roman"/>
          <w:color w:val="000000" w:themeColor="text1"/>
          <w:sz w:val="24"/>
          <w:szCs w:val="24"/>
        </w:rPr>
        <w:t>patients</w:t>
      </w:r>
      <w:r w:rsidR="006706A7" w:rsidRPr="006410B4">
        <w:rPr>
          <w:rFonts w:ascii="Book Antiqua" w:eastAsia="Times New Roman" w:hAnsi="Book Antiqua" w:cs="Times New Roman"/>
          <w:color w:val="000000" w:themeColor="text1"/>
          <w:sz w:val="24"/>
          <w:szCs w:val="24"/>
        </w:rPr>
        <w:t xml:space="preserve"> with liver cirrhosis</w:t>
      </w:r>
      <w:r w:rsidR="00BF498E" w:rsidRPr="006410B4">
        <w:rPr>
          <w:rFonts w:ascii="Book Antiqua" w:eastAsia="Times New Roman" w:hAnsi="Book Antiqua" w:cs="Times New Roman"/>
          <w:color w:val="000000" w:themeColor="text1"/>
          <w:sz w:val="24"/>
          <w:szCs w:val="24"/>
        </w:rPr>
        <w:t xml:space="preserve">, </w:t>
      </w:r>
      <w:r w:rsidR="00816BB9" w:rsidRPr="006410B4">
        <w:rPr>
          <w:rFonts w:ascii="Book Antiqua" w:eastAsia="Times New Roman" w:hAnsi="Book Antiqua" w:cs="Times New Roman"/>
          <w:color w:val="000000" w:themeColor="text1"/>
          <w:sz w:val="24"/>
          <w:szCs w:val="24"/>
        </w:rPr>
        <w:t xml:space="preserve">portal hypertension </w:t>
      </w:r>
      <w:r w:rsidR="00BF498E" w:rsidRPr="006410B4">
        <w:rPr>
          <w:rFonts w:ascii="Book Antiqua" w:eastAsia="Times New Roman" w:hAnsi="Book Antiqua" w:cs="Times New Roman"/>
          <w:color w:val="000000" w:themeColor="text1"/>
          <w:sz w:val="24"/>
          <w:szCs w:val="24"/>
        </w:rPr>
        <w:t xml:space="preserve">and it’s complications </w:t>
      </w:r>
      <w:r w:rsidR="00816BB9" w:rsidRPr="006410B4">
        <w:rPr>
          <w:rFonts w:ascii="Book Antiqua" w:eastAsia="Times New Roman" w:hAnsi="Book Antiqua" w:cs="Times New Roman"/>
          <w:color w:val="000000" w:themeColor="text1"/>
          <w:sz w:val="24"/>
          <w:szCs w:val="24"/>
        </w:rPr>
        <w:t>is</w:t>
      </w:r>
      <w:r w:rsidR="00F243DC" w:rsidRPr="006410B4">
        <w:rPr>
          <w:rFonts w:ascii="Book Antiqua" w:eastAsia="Times New Roman" w:hAnsi="Book Antiqua" w:cs="Times New Roman"/>
          <w:color w:val="000000" w:themeColor="text1"/>
          <w:sz w:val="24"/>
          <w:szCs w:val="24"/>
        </w:rPr>
        <w:t xml:space="preserve"> scar</w:t>
      </w:r>
      <w:r w:rsidR="00816BB9" w:rsidRPr="006410B4">
        <w:rPr>
          <w:rFonts w:ascii="Book Antiqua" w:eastAsia="Times New Roman" w:hAnsi="Book Antiqua" w:cs="Times New Roman"/>
          <w:color w:val="000000" w:themeColor="text1"/>
          <w:sz w:val="24"/>
          <w:szCs w:val="24"/>
        </w:rPr>
        <w:t>c</w:t>
      </w:r>
      <w:r w:rsidR="00F243DC" w:rsidRPr="006410B4">
        <w:rPr>
          <w:rFonts w:ascii="Book Antiqua" w:eastAsia="Times New Roman" w:hAnsi="Book Antiqua" w:cs="Times New Roman"/>
          <w:color w:val="000000" w:themeColor="text1"/>
          <w:sz w:val="24"/>
          <w:szCs w:val="24"/>
        </w:rPr>
        <w:t>e</w:t>
      </w:r>
      <w:r w:rsidR="00BF498E" w:rsidRPr="006410B4">
        <w:rPr>
          <w:rFonts w:ascii="Book Antiqua" w:eastAsia="Times New Roman" w:hAnsi="Book Antiqua" w:cs="Times New Roman"/>
          <w:color w:val="000000" w:themeColor="text1"/>
          <w:sz w:val="24"/>
          <w:szCs w:val="24"/>
        </w:rPr>
        <w:t>.</w:t>
      </w:r>
    </w:p>
    <w:p w:rsidR="00C42FE6" w:rsidRPr="006410B4" w:rsidRDefault="00DA5DCD" w:rsidP="00C232BE">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Angiogenesis </w:t>
      </w:r>
      <w:r w:rsidR="00BF498E" w:rsidRPr="006410B4">
        <w:rPr>
          <w:rFonts w:ascii="Book Antiqua" w:eastAsia="Times New Roman" w:hAnsi="Book Antiqua" w:cs="Times New Roman"/>
          <w:color w:val="000000" w:themeColor="text1"/>
          <w:sz w:val="24"/>
          <w:szCs w:val="24"/>
        </w:rPr>
        <w:t>is a two way process including activation and inhibition of angiogenesis stimuli</w:t>
      </w:r>
      <w:r w:rsidRPr="006410B4">
        <w:rPr>
          <w:rFonts w:ascii="Book Antiqua" w:eastAsia="Times New Roman" w:hAnsi="Book Antiqua" w:cs="Times New Roman"/>
          <w:color w:val="000000" w:themeColor="text1"/>
          <w:sz w:val="24"/>
          <w:szCs w:val="24"/>
        </w:rPr>
        <w:t xml:space="preserve"> and</w:t>
      </w:r>
      <w:r w:rsidR="00BF498E" w:rsidRPr="006410B4">
        <w:rPr>
          <w:rFonts w:ascii="Book Antiqua" w:eastAsia="Times New Roman" w:hAnsi="Book Antiqua" w:cs="Times New Roman"/>
          <w:color w:val="000000" w:themeColor="text1"/>
          <w:sz w:val="24"/>
          <w:szCs w:val="24"/>
        </w:rPr>
        <w:t xml:space="preserve"> a number of endogenous angiogenesis inhibitors </w:t>
      </w:r>
      <w:r w:rsidRPr="006410B4">
        <w:rPr>
          <w:rFonts w:ascii="Book Antiqua" w:eastAsia="Times New Roman" w:hAnsi="Book Antiqua" w:cs="Times New Roman"/>
          <w:color w:val="000000" w:themeColor="text1"/>
          <w:sz w:val="24"/>
          <w:szCs w:val="24"/>
        </w:rPr>
        <w:t xml:space="preserve">have </w:t>
      </w:r>
      <w:r w:rsidR="00BF498E" w:rsidRPr="006410B4">
        <w:rPr>
          <w:rFonts w:ascii="Book Antiqua" w:eastAsia="Times New Roman" w:hAnsi="Book Antiqua" w:cs="Times New Roman"/>
          <w:color w:val="000000" w:themeColor="text1"/>
          <w:sz w:val="24"/>
          <w:szCs w:val="24"/>
        </w:rPr>
        <w:t>been identified, some of them being associated with PH</w:t>
      </w:r>
      <w:r w:rsidR="00C232BE" w:rsidRPr="006410B4">
        <w:rPr>
          <w:rFonts w:ascii="Book Antiqua" w:eastAsia="Times New Roman" w:hAnsi="Book Antiqua" w:cs="Times New Roman"/>
          <w:color w:val="000000" w:themeColor="text1"/>
          <w:sz w:val="24"/>
          <w:szCs w:val="24"/>
          <w:vertAlign w:val="superscript"/>
        </w:rPr>
        <w:t>[</w:t>
      </w:r>
      <w:r w:rsidR="00C232BE" w:rsidRPr="006410B4">
        <w:rPr>
          <w:rStyle w:val="FootnoteReference"/>
          <w:rFonts w:ascii="Book Antiqua" w:eastAsia="Times New Roman" w:hAnsi="Book Antiqua" w:cs="Times New Roman"/>
          <w:color w:val="000000" w:themeColor="text1"/>
          <w:sz w:val="24"/>
          <w:szCs w:val="24"/>
        </w:rPr>
        <w:fldChar w:fldCharType="begin" w:fldLock="1"/>
      </w:r>
      <w:r w:rsidR="00C232BE" w:rsidRPr="006410B4">
        <w:rPr>
          <w:rFonts w:ascii="Book Antiqua" w:eastAsia="Times New Roman" w:hAnsi="Book Antiqua" w:cs="Times New Roman"/>
          <w:color w:val="000000" w:themeColor="text1"/>
          <w:sz w:val="24"/>
          <w:szCs w:val="24"/>
        </w:rPr>
        <w:instrText>ADDIN CSL_CITATION {"citationItems":[{"id":"ITEM-1","itemData":{"abstract":"Angiogenesis, the formation of new blood vessels, is required for many pathologic processes, including invasive tumor growth as well as physiologic organ/tissue maintenance. Angiogenesis during development and adulthood is likely regulated by a balance between endogenous proangiogenic and antiangiogenic factors. It is speculated that tumor growth requires disruption of such balance; thus, the angiogenic switch must be turned ‘‘on’’ for cancer progression. If the angiogenic switch needs to be turned on to facilitate the tumor growth, the question remains as to what the physiologic status of this switch is in the adult human body; is it ‘‘off,’’ with inhibitors outweighing the stimulators, or maintained at a fine ‘‘balance,’’ keeping the proangiogenic properties of many factors at a delicate ‘‘activity’’ balance with endogenous inhibitors of angiogenesis. The physiologic status of this balance is important to understand as it might determine an individual’s predisposition to turn the switch on during pathologic events dependent on angiogenesis. Conceivably, if the physiologic angiogenesis balance in human population exists somewhere between off and even balance, an individ- ual’s capacity and rate to turn the switch on might reflect their normal physiologic angiogenic status. In this regard, although extensive knowledge has been gained in our understanding of endogenous growth factors that stimulate angiogenesis, the activities associated with endogenous inhibitors are poorly understood. In this review, we will present an overview of the knowledge gained in studies related to the identification and characterization of 27 different endogenous inhibitors of angiogenesis. (Cancer","author":[{"dropping-particle":"","family":"Nyberg","given":"Pia","non-dropping-particle":"","parse-names":false,"suffix":""},{"dropping-particle":"","family":"Xie","given":"Liang","non-dropping-particle":"","parse-names":false,"suffix":""},{"dropping-particle":"","family":"Kalluri","given":"Raghu","non-dropping-particle":"","parse-names":false,"suffix":""}],"container-title":"Cancer Research","id":"ITEM-1","issue":"10","issued":{"date-parts":[["2005"]]},"page":"3967-3979","title":"Endogenous Inhibitors of Angiogenesis","type":"article-journal","volume":"65"},"uris":["http://www.mendeley.com/documents/?uuid=038b7efd-87cc-48db-b1d3-e800c048dc7d"]},{"id":"ITEM-2","itemData":{"DOI":"10.5604/16652681.1198799","ISBN":"1665-2681","ISSN":"16652681","PMID":"27049484","abstract":"In patients with advanced liver disease with portal hypertension, portal-systemic collaterals contribute to circulatory disturbance, gastrointestinal hemorrhage, hepatic encephalopathy, ascites, hepatopulmonary syndrome and portopulmonary hypertension. Angiogenesis has a pivotal role in the formation of portal-systemic shunts. Recent research has defined many of the mediators and mechanisms involved in this angiogenic process, linking the central roles of hepatic stellate cells and endothelial cells. Studies of animal models have demonstrated the potential therapeutic impact of drugs to inhibit angiogenesis in cirrhosis. For example, inhibition of VEGF reduces portal pressure, hyperdynamic splanchnic circulation, portosystemic collateralization and liver fibrosis. An improved understanding of the role of other angiogenic factors provides hope for a novel targeted therapy for portal hypertension with a tolerable adverse effect profile.","author":[{"dropping-particle":"","family":"Gana","given":"Juan Cristóbal","non-dropping-particle":"","parse-names":false,"suffix":""},{"dropping-particle":"","family":"Serrano","given":"Carolina A.","non-dropping-particle":"","parse-names":false,"suffix":""},{"dropping-particle":"","family":"Ling","given":"Simon C.","non-dropping-particle":"","parse-names":false,"suffix":""}],"container-title":"Annals of Hepatology","id":"ITEM-2","issue":"3","issued":{"date-parts":[["2016"]]},"page":"303-313","title":"Angiogenesis and portal-systemic collaterals in portal hypertension","type":"article-journal","volume":"15"},"uris":["http://www.mendeley.com/documents/?uuid=45f061ab-8896-4669-87da-4b99d16ccd8e"]}],"mendeley":{"formattedCitation":"&lt;sup&gt;19,20&lt;/sup&gt;","plainTextFormattedCitation":"19,20","previouslyFormattedCitation":"&lt;sup&gt;18,19&lt;/sup&gt;"},"properties":{"noteIndex":0},"schema":"https://github.com/citation-style-language/schema/raw/master/csl-citation.json"}</w:instrText>
      </w:r>
      <w:r w:rsidR="00C232BE" w:rsidRPr="006410B4">
        <w:rPr>
          <w:rStyle w:val="FootnoteReference"/>
          <w:rFonts w:ascii="Book Antiqua" w:eastAsia="Times New Roman" w:hAnsi="Book Antiqua" w:cs="Times New Roman"/>
          <w:color w:val="000000" w:themeColor="text1"/>
          <w:sz w:val="24"/>
          <w:szCs w:val="24"/>
        </w:rPr>
        <w:fldChar w:fldCharType="separate"/>
      </w:r>
      <w:r w:rsidR="00C232BE" w:rsidRPr="006410B4">
        <w:rPr>
          <w:rFonts w:ascii="Book Antiqua" w:eastAsia="Times New Roman" w:hAnsi="Book Antiqua" w:cs="Times New Roman"/>
          <w:bCs/>
          <w:color w:val="000000" w:themeColor="text1"/>
          <w:sz w:val="24"/>
          <w:szCs w:val="24"/>
          <w:vertAlign w:val="superscript"/>
        </w:rPr>
        <w:t>19,20</w:t>
      </w:r>
      <w:r w:rsidR="00C232BE" w:rsidRPr="006410B4">
        <w:rPr>
          <w:rStyle w:val="FootnoteReference"/>
          <w:rFonts w:ascii="Book Antiqua" w:eastAsia="Times New Roman" w:hAnsi="Book Antiqua" w:cs="Times New Roman"/>
          <w:color w:val="000000" w:themeColor="text1"/>
          <w:sz w:val="24"/>
          <w:szCs w:val="24"/>
        </w:rPr>
        <w:fldChar w:fldCharType="end"/>
      </w:r>
      <w:r w:rsidR="00C232BE"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00BF498E" w:rsidRPr="006410B4">
        <w:rPr>
          <w:rFonts w:ascii="Book Antiqua" w:eastAsia="Times New Roman" w:hAnsi="Book Antiqua" w:cs="Times New Roman"/>
          <w:color w:val="000000" w:themeColor="text1"/>
          <w:sz w:val="24"/>
          <w:szCs w:val="24"/>
        </w:rPr>
        <w:t xml:space="preserve"> </w:t>
      </w:r>
      <w:proofErr w:type="spellStart"/>
      <w:r w:rsidR="00BF498E" w:rsidRPr="006410B4">
        <w:rPr>
          <w:rFonts w:ascii="Book Antiqua" w:eastAsia="Times New Roman" w:hAnsi="Book Antiqua" w:cs="Times New Roman"/>
          <w:color w:val="000000" w:themeColor="text1"/>
          <w:sz w:val="24"/>
          <w:szCs w:val="24"/>
        </w:rPr>
        <w:t>Nogo</w:t>
      </w:r>
      <w:proofErr w:type="spellEnd"/>
      <w:r w:rsidR="00BF498E" w:rsidRPr="006410B4">
        <w:rPr>
          <w:rFonts w:ascii="Book Antiqua" w:eastAsia="Times New Roman" w:hAnsi="Book Antiqua" w:cs="Times New Roman"/>
          <w:color w:val="000000" w:themeColor="text1"/>
          <w:sz w:val="24"/>
          <w:szCs w:val="24"/>
        </w:rPr>
        <w:t xml:space="preserve">-A and </w:t>
      </w:r>
      <w:proofErr w:type="spellStart"/>
      <w:r w:rsidR="00BF498E" w:rsidRPr="006410B4">
        <w:rPr>
          <w:rFonts w:ascii="Book Antiqua" w:eastAsia="Times New Roman" w:hAnsi="Book Antiqua" w:cs="Times New Roman"/>
          <w:color w:val="000000" w:themeColor="text1"/>
          <w:sz w:val="24"/>
          <w:szCs w:val="24"/>
        </w:rPr>
        <w:t>Nogo</w:t>
      </w:r>
      <w:proofErr w:type="spellEnd"/>
      <w:r w:rsidR="00BF498E" w:rsidRPr="006410B4">
        <w:rPr>
          <w:rFonts w:ascii="Book Antiqua" w:eastAsia="Times New Roman" w:hAnsi="Book Antiqua" w:cs="Times New Roman"/>
          <w:color w:val="000000" w:themeColor="text1"/>
          <w:sz w:val="24"/>
          <w:szCs w:val="24"/>
        </w:rPr>
        <w:t xml:space="preserve">-B </w:t>
      </w:r>
      <w:r w:rsidR="00971ADE" w:rsidRPr="006410B4">
        <w:rPr>
          <w:rFonts w:ascii="Book Antiqua" w:eastAsia="Times New Roman" w:hAnsi="Book Antiqua" w:cs="Times New Roman"/>
          <w:color w:val="000000" w:themeColor="text1"/>
          <w:sz w:val="24"/>
          <w:szCs w:val="24"/>
        </w:rPr>
        <w:t>proteins</w:t>
      </w:r>
      <w:r w:rsidR="00BF498E" w:rsidRPr="006410B4">
        <w:rPr>
          <w:rFonts w:ascii="Book Antiqua" w:eastAsia="Times New Roman" w:hAnsi="Book Antiqua" w:cs="Times New Roman"/>
          <w:color w:val="000000" w:themeColor="text1"/>
          <w:sz w:val="24"/>
          <w:szCs w:val="24"/>
        </w:rPr>
        <w:t xml:space="preserve"> </w:t>
      </w:r>
      <w:r w:rsidR="00CB46AE" w:rsidRPr="006410B4">
        <w:rPr>
          <w:rFonts w:ascii="Book Antiqua" w:eastAsia="Times New Roman" w:hAnsi="Book Antiqua" w:cs="Times New Roman"/>
          <w:color w:val="000000" w:themeColor="text1"/>
          <w:sz w:val="24"/>
          <w:szCs w:val="24"/>
        </w:rPr>
        <w:t>are novel recently discovered angiogenesis mediators that belong to</w:t>
      </w:r>
      <w:r w:rsidR="00BF498E" w:rsidRPr="006410B4">
        <w:rPr>
          <w:rFonts w:ascii="Book Antiqua" w:eastAsia="Times New Roman" w:hAnsi="Book Antiqua" w:cs="Times New Roman"/>
          <w:color w:val="000000" w:themeColor="text1"/>
          <w:sz w:val="24"/>
          <w:szCs w:val="24"/>
        </w:rPr>
        <w:t xml:space="preserve"> </w:t>
      </w:r>
      <w:r w:rsidR="00F20289" w:rsidRPr="006410B4">
        <w:rPr>
          <w:rFonts w:ascii="Book Antiqua" w:eastAsia="Times New Roman" w:hAnsi="Book Antiqua" w:cs="Times New Roman"/>
          <w:color w:val="000000" w:themeColor="text1"/>
          <w:sz w:val="24"/>
          <w:szCs w:val="24"/>
        </w:rPr>
        <w:t xml:space="preserve">the </w:t>
      </w:r>
      <w:r w:rsidR="00BF498E" w:rsidRPr="006410B4">
        <w:rPr>
          <w:rFonts w:ascii="Book Antiqua" w:eastAsia="Times New Roman" w:hAnsi="Book Antiqua" w:cs="Times New Roman"/>
          <w:color w:val="000000" w:themeColor="text1"/>
          <w:sz w:val="24"/>
          <w:szCs w:val="24"/>
        </w:rPr>
        <w:t xml:space="preserve">reticulon 4 protein family. </w:t>
      </w:r>
      <w:proofErr w:type="spellStart"/>
      <w:r w:rsidR="00BF498E" w:rsidRPr="006410B4">
        <w:rPr>
          <w:rFonts w:ascii="Book Antiqua" w:eastAsia="Times New Roman" w:hAnsi="Book Antiqua" w:cs="Times New Roman"/>
          <w:color w:val="000000" w:themeColor="text1"/>
          <w:sz w:val="24"/>
          <w:szCs w:val="24"/>
        </w:rPr>
        <w:t>Nogo</w:t>
      </w:r>
      <w:proofErr w:type="spellEnd"/>
      <w:r w:rsidR="00BF498E" w:rsidRPr="006410B4">
        <w:rPr>
          <w:rFonts w:ascii="Book Antiqua" w:eastAsia="Times New Roman" w:hAnsi="Book Antiqua" w:cs="Times New Roman"/>
          <w:color w:val="000000" w:themeColor="text1"/>
          <w:sz w:val="24"/>
          <w:szCs w:val="24"/>
        </w:rPr>
        <w:t xml:space="preserve">-A protein, most widely examined as a potent neurite growth inhibitor, </w:t>
      </w:r>
      <w:r w:rsidR="00CB46AE" w:rsidRPr="006410B4">
        <w:rPr>
          <w:rFonts w:ascii="Book Antiqua" w:eastAsia="Times New Roman" w:hAnsi="Book Antiqua" w:cs="Times New Roman"/>
          <w:color w:val="000000" w:themeColor="text1"/>
          <w:sz w:val="24"/>
          <w:szCs w:val="24"/>
        </w:rPr>
        <w:t xml:space="preserve">has </w:t>
      </w:r>
      <w:r w:rsidR="00BF498E" w:rsidRPr="006410B4">
        <w:rPr>
          <w:rFonts w:ascii="Book Antiqua" w:eastAsia="Times New Roman" w:hAnsi="Book Antiqua" w:cs="Times New Roman"/>
          <w:color w:val="000000" w:themeColor="text1"/>
          <w:sz w:val="24"/>
          <w:szCs w:val="24"/>
        </w:rPr>
        <w:t xml:space="preserve">never </w:t>
      </w:r>
      <w:r w:rsidR="00CB46AE" w:rsidRPr="006410B4">
        <w:rPr>
          <w:rFonts w:ascii="Book Antiqua" w:eastAsia="Times New Roman" w:hAnsi="Book Antiqua" w:cs="Times New Roman"/>
          <w:color w:val="000000" w:themeColor="text1"/>
          <w:sz w:val="24"/>
          <w:szCs w:val="24"/>
        </w:rPr>
        <w:t xml:space="preserve">been </w:t>
      </w:r>
      <w:r w:rsidR="00BF498E" w:rsidRPr="006410B4">
        <w:rPr>
          <w:rFonts w:ascii="Book Antiqua" w:eastAsia="Times New Roman" w:hAnsi="Book Antiqua" w:cs="Times New Roman"/>
          <w:color w:val="000000" w:themeColor="text1"/>
          <w:sz w:val="24"/>
          <w:szCs w:val="24"/>
        </w:rPr>
        <w:t xml:space="preserve">studied in patients with liver cirrhosis or PH. Studies have </w:t>
      </w:r>
      <w:r w:rsidR="00CB46AE" w:rsidRPr="006410B4">
        <w:rPr>
          <w:rFonts w:ascii="Book Antiqua" w:eastAsia="Times New Roman" w:hAnsi="Book Antiqua" w:cs="Times New Roman"/>
          <w:color w:val="000000" w:themeColor="text1"/>
          <w:sz w:val="24"/>
          <w:szCs w:val="24"/>
        </w:rPr>
        <w:t xml:space="preserve">examined </w:t>
      </w:r>
      <w:r w:rsidR="00BF498E" w:rsidRPr="006410B4">
        <w:rPr>
          <w:rFonts w:ascii="Book Antiqua" w:eastAsia="Times New Roman" w:hAnsi="Book Antiqua" w:cs="Times New Roman"/>
          <w:color w:val="000000" w:themeColor="text1"/>
          <w:sz w:val="24"/>
          <w:szCs w:val="24"/>
        </w:rPr>
        <w:t xml:space="preserve">the expression of </w:t>
      </w:r>
      <w:proofErr w:type="spellStart"/>
      <w:r w:rsidR="00BF498E" w:rsidRPr="006410B4">
        <w:rPr>
          <w:rFonts w:ascii="Book Antiqua" w:eastAsia="Times New Roman" w:hAnsi="Book Antiqua" w:cs="Times New Roman"/>
          <w:color w:val="000000" w:themeColor="text1"/>
          <w:sz w:val="24"/>
          <w:szCs w:val="24"/>
        </w:rPr>
        <w:t>Nogo</w:t>
      </w:r>
      <w:proofErr w:type="spellEnd"/>
      <w:r w:rsidR="00BF498E" w:rsidRPr="006410B4">
        <w:rPr>
          <w:rFonts w:ascii="Book Antiqua" w:eastAsia="Times New Roman" w:hAnsi="Book Antiqua" w:cs="Times New Roman"/>
          <w:color w:val="000000" w:themeColor="text1"/>
          <w:sz w:val="24"/>
          <w:szCs w:val="24"/>
        </w:rPr>
        <w:t>-A in cardiomyocytes</w:t>
      </w:r>
      <w:r w:rsidR="00C232BE" w:rsidRPr="006410B4">
        <w:rPr>
          <w:rFonts w:ascii="Book Antiqua" w:eastAsia="Times New Roman" w:hAnsi="Book Antiqua" w:cs="Times New Roman"/>
          <w:color w:val="000000" w:themeColor="text1"/>
          <w:sz w:val="24"/>
          <w:szCs w:val="24"/>
          <w:vertAlign w:val="superscript"/>
        </w:rPr>
        <w:t>[</w:t>
      </w:r>
      <w:r w:rsidR="00C232BE" w:rsidRPr="006410B4">
        <w:rPr>
          <w:rStyle w:val="FootnoteReference"/>
          <w:rFonts w:ascii="Book Antiqua" w:eastAsia="Times New Roman" w:hAnsi="Book Antiqua" w:cs="Times New Roman"/>
          <w:color w:val="000000" w:themeColor="text1"/>
          <w:sz w:val="24"/>
          <w:szCs w:val="24"/>
        </w:rPr>
        <w:fldChar w:fldCharType="begin" w:fldLock="1"/>
      </w:r>
      <w:r w:rsidR="00C232BE" w:rsidRPr="006410B4">
        <w:rPr>
          <w:rFonts w:ascii="Book Antiqua" w:eastAsia="Times New Roman" w:hAnsi="Book Antiqua" w:cs="Times New Roman"/>
          <w:color w:val="000000" w:themeColor="text1"/>
          <w:sz w:val="24"/>
          <w:szCs w:val="24"/>
        </w:rPr>
        <w:instrText>ADDIN CSL_CITATION {"citationItems":[{"id":"ITEM-1","itemData":{"abstract":"Programmed cell death of cardiomyocytes following myocardial ischemia increases biomechanical stress on the remaining myocardium, leading to myocardial dysfunction that may result in congestive heart failure or sudden death. Nogo-A is well characterized as a potent inhibitor of axonal regeneration and plasticity in the central nervous system, however, the role of Nogo-A in non-nervous tissues is essentially unknown. In this study, Nogo-A expression was shown to be significantly increased in cardiac tissue from patients with dilated cardiomyopathy and from patients who have experienced an ischemic event. Nogo-A expression was clearly associated with cardiomyocytes in culture and was localized predominantly in the endoplasmic reticulum. In agreement with the findings from human tissue, Nogo-A expression was significantly increased in cultured neonatal rat cardiomyocytes subjected to hypoxia/reoxygenation. Knockdown of Nogo-A in cardiomyocytes markedly attenuated hypoxia/reoxygenation-induced apoptosis, as indicated by the significant reduction of DNA fragmentation, phosphatidylserine translocation, and caspase-3 cleavage, by a mechanism involving the preservation of mitochondrial membrane potential, the inhibition of ROS accumulation, and the improvement of intracellular calcium regulation. Together, these data demonstrate that knockdown of Nogo-A may serve as a novel therapeutic strategy to prevent the loss of cardiomyocytes following ischemic/hypoxic injury.","author":[{"dropping-particle":"","family":"Sarkey JP1, Chu M, McShane M, Bovo E, Ait Mou Y, Zima AV, de Tombe PP, Kartje GL","given":"Martin JL.","non-dropping-particle":"","parse-names":false,"suffix":""}],"container-title":"J Mol Cell Cardiol.","id":"ITEM-1","issued":{"date-parts":[["2011"]]},"page":"1044-1055","title":"Nogo-A knockdown inhibits hypoxia_reoxygenation-induced activation of mitochondrial-dependent apoptosis in cardiomyocytes - Journal of Molecular and Cellular Cardiology","type":"webpage"},"uris":["http://www.mendeley.com/documents/?uuid=3fe12d74-f06e-47cf-9b12-b81cb86a8bf6"]}],"mendeley":{"formattedCitation":"&lt;sup&gt;21&lt;/sup&gt;","plainTextFormattedCitation":"21","previouslyFormattedCitation":"&lt;sup&gt;20&lt;/sup&gt;"},"properties":{"noteIndex":0},"schema":"https://github.com/citation-style-language/schema/raw/master/csl-citation.json"}</w:instrText>
      </w:r>
      <w:r w:rsidR="00C232BE" w:rsidRPr="006410B4">
        <w:rPr>
          <w:rStyle w:val="FootnoteReference"/>
          <w:rFonts w:ascii="Book Antiqua" w:eastAsia="Times New Roman" w:hAnsi="Book Antiqua" w:cs="Times New Roman"/>
          <w:color w:val="000000" w:themeColor="text1"/>
          <w:sz w:val="24"/>
          <w:szCs w:val="24"/>
        </w:rPr>
        <w:fldChar w:fldCharType="separate"/>
      </w:r>
      <w:r w:rsidR="00C232BE" w:rsidRPr="006410B4">
        <w:rPr>
          <w:rFonts w:ascii="Book Antiqua" w:eastAsia="Times New Roman" w:hAnsi="Book Antiqua" w:cs="Times New Roman"/>
          <w:color w:val="000000" w:themeColor="text1"/>
          <w:sz w:val="24"/>
          <w:szCs w:val="24"/>
          <w:vertAlign w:val="superscript"/>
        </w:rPr>
        <w:t>21</w:t>
      </w:r>
      <w:r w:rsidR="00C232BE" w:rsidRPr="006410B4">
        <w:rPr>
          <w:rStyle w:val="FootnoteReference"/>
          <w:rFonts w:ascii="Book Antiqua" w:eastAsia="Times New Roman" w:hAnsi="Book Antiqua" w:cs="Times New Roman"/>
          <w:color w:val="000000" w:themeColor="text1"/>
          <w:sz w:val="24"/>
          <w:szCs w:val="24"/>
        </w:rPr>
        <w:fldChar w:fldCharType="end"/>
      </w:r>
      <w:r w:rsidR="00C232BE"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00BF498E" w:rsidRPr="006410B4">
        <w:rPr>
          <w:rFonts w:ascii="Book Antiqua" w:eastAsia="Times New Roman" w:hAnsi="Book Antiqua" w:cs="Times New Roman"/>
          <w:color w:val="000000" w:themeColor="text1"/>
          <w:sz w:val="24"/>
          <w:szCs w:val="24"/>
        </w:rPr>
        <w:t xml:space="preserve"> enteric nervous system</w:t>
      </w:r>
      <w:r w:rsidR="00C232BE" w:rsidRPr="006410B4">
        <w:rPr>
          <w:rFonts w:ascii="Book Antiqua" w:eastAsia="Times New Roman" w:hAnsi="Book Antiqua" w:cs="Times New Roman"/>
          <w:color w:val="000000" w:themeColor="text1"/>
          <w:sz w:val="24"/>
          <w:szCs w:val="24"/>
          <w:vertAlign w:val="superscript"/>
        </w:rPr>
        <w:t>[</w:t>
      </w:r>
      <w:r w:rsidR="00C232BE" w:rsidRPr="006410B4">
        <w:rPr>
          <w:rStyle w:val="FootnoteReference"/>
          <w:rFonts w:ascii="Book Antiqua" w:eastAsia="Times New Roman" w:hAnsi="Book Antiqua" w:cs="Times New Roman"/>
          <w:color w:val="000000" w:themeColor="text1"/>
          <w:sz w:val="24"/>
          <w:szCs w:val="24"/>
        </w:rPr>
        <w:fldChar w:fldCharType="begin" w:fldLock="1"/>
      </w:r>
      <w:r w:rsidR="00C232BE" w:rsidRPr="006410B4">
        <w:rPr>
          <w:rFonts w:ascii="Book Antiqua" w:eastAsia="Times New Roman" w:hAnsi="Book Antiqua" w:cs="Times New Roman"/>
          <w:color w:val="000000" w:themeColor="text1"/>
          <w:sz w:val="24"/>
          <w:szCs w:val="24"/>
        </w:rPr>
        <w:instrText>ADDIN CSL_CITATION {"citationItems":[{"id":"ITEM-1","itemData":{"DOI":"10.1111/j.1365-2982.2004.00527.x","ISSN":"13501925","abstract":"Neuronal plasticity plays an important role in physiological and pathological processes within the gastrointestinal (GI) tract. Nogo A is a major contributor to the negative effect central nervous system (CNS) myelin has on neurite outgrowth after injury and may also play a role in maintaining synaptic connections in the healthy CNS. Nogo A is highly expressed during neuronal development but in the CNS declines postnatally concomitantly with a loss of regenerative potential while ganglia of the Peripheral Nervous System (PNS) retain Nogo A. The enteric nervous system shares a number of features in common with the CNS, thus the peripheral distribution of factors affecting plasticity is of interest. We have investigated the distribution of Nogo in the adult mammalian gastrointestinal tract. Nogo A mRNA and protein are detectable in the adult rat GI tract. Nogo A is expressed heterogeneously in enteric neurons throughout the GI tract though expression levels appear not to be correlated with neuronal sub-type. The pattern of expression is maintained in cultured myenteric plexus from the guinea-pig small intestine. As is seen in developing neurons of the CNS, enteric Nogo A is present in both neuronal cell bodies and axons. Our results point to a hitherto unsuspected role for Nogo A in enteric neuronal physiology.","author":[{"dropping-particle":"","family":"Osborne","given":"S. L.","non-dropping-particle":"","parse-names":false,"suffix":""},{"dropping-particle":"","family":"Corcoran","given":"S. L.","non-dropping-particle":"","parse-names":false,"suffix":""},{"dropping-particle":"","family":"Prinjha","given":"R. K.","non-dropping-particle":"","parse-names":false,"suffix":""},{"dropping-particle":"","family":"Moore","given":"S. E.","non-dropping-particle":"","parse-names":false,"suffix":""}],"container-title":"Neurogastroenterology and Motility","id":"ITEM-1","issue":"4","issued":{"date-parts":[["2004"]]},"page":"465-474","title":"Nogo A expression in the adult enteric nervous system","type":"article-journal","volume":"16"},"uris":["http://www.mendeley.com/documents/?uuid=bc634e67-2e3d-4467-b51f-ece3d20263a0"]}],"mendeley":{"formattedCitation":"&lt;sup&gt;22&lt;/sup&gt;","plainTextFormattedCitation":"22","previouslyFormattedCitation":"&lt;sup&gt;21&lt;/sup&gt;"},"properties":{"noteIndex":0},"schema":"https://github.com/citation-style-language/schema/raw/master/csl-citation.json"}</w:instrText>
      </w:r>
      <w:r w:rsidR="00C232BE" w:rsidRPr="006410B4">
        <w:rPr>
          <w:rStyle w:val="FootnoteReference"/>
          <w:rFonts w:ascii="Book Antiqua" w:eastAsia="Times New Roman" w:hAnsi="Book Antiqua" w:cs="Times New Roman"/>
          <w:color w:val="000000" w:themeColor="text1"/>
          <w:sz w:val="24"/>
          <w:szCs w:val="24"/>
        </w:rPr>
        <w:fldChar w:fldCharType="separate"/>
      </w:r>
      <w:r w:rsidR="00C232BE" w:rsidRPr="006410B4">
        <w:rPr>
          <w:rFonts w:ascii="Book Antiqua" w:eastAsia="Times New Roman" w:hAnsi="Book Antiqua" w:cs="Times New Roman"/>
          <w:bCs/>
          <w:color w:val="000000" w:themeColor="text1"/>
          <w:sz w:val="24"/>
          <w:szCs w:val="24"/>
          <w:vertAlign w:val="superscript"/>
        </w:rPr>
        <w:t>22</w:t>
      </w:r>
      <w:r w:rsidR="00C232BE" w:rsidRPr="006410B4">
        <w:rPr>
          <w:rStyle w:val="FootnoteReference"/>
          <w:rFonts w:ascii="Book Antiqua" w:eastAsia="Times New Roman" w:hAnsi="Book Antiqua" w:cs="Times New Roman"/>
          <w:color w:val="000000" w:themeColor="text1"/>
          <w:sz w:val="24"/>
          <w:szCs w:val="24"/>
        </w:rPr>
        <w:fldChar w:fldCharType="end"/>
      </w:r>
      <w:r w:rsidR="00C232BE"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00BF498E" w:rsidRPr="006410B4">
        <w:rPr>
          <w:rFonts w:ascii="Book Antiqua" w:eastAsia="Times New Roman" w:hAnsi="Book Antiqua" w:cs="Times New Roman"/>
          <w:color w:val="000000" w:themeColor="text1"/>
          <w:sz w:val="24"/>
          <w:szCs w:val="24"/>
        </w:rPr>
        <w:t xml:space="preserve"> </w:t>
      </w:r>
      <w:r w:rsidR="00CB46AE" w:rsidRPr="006410B4">
        <w:rPr>
          <w:rFonts w:ascii="Book Antiqua" w:eastAsia="Times New Roman" w:hAnsi="Book Antiqua" w:cs="Times New Roman"/>
          <w:color w:val="000000" w:themeColor="text1"/>
          <w:sz w:val="24"/>
          <w:szCs w:val="24"/>
        </w:rPr>
        <w:t xml:space="preserve">in </w:t>
      </w:r>
      <w:r w:rsidR="00BF498E" w:rsidRPr="006410B4">
        <w:rPr>
          <w:rFonts w:ascii="Book Antiqua" w:eastAsia="Times New Roman" w:hAnsi="Book Antiqua" w:cs="Times New Roman"/>
          <w:color w:val="000000" w:themeColor="text1"/>
          <w:sz w:val="24"/>
          <w:szCs w:val="24"/>
        </w:rPr>
        <w:t>ocular diseases</w:t>
      </w:r>
      <w:r w:rsidR="001346FA" w:rsidRPr="006410B4">
        <w:rPr>
          <w:rFonts w:ascii="Book Antiqua" w:eastAsia="Times New Roman" w:hAnsi="Book Antiqua" w:cs="Times New Roman"/>
          <w:color w:val="000000" w:themeColor="text1"/>
          <w:sz w:val="24"/>
          <w:szCs w:val="24"/>
          <w:vertAlign w:val="superscript"/>
        </w:rPr>
        <w:t>[</w:t>
      </w:r>
      <w:r w:rsidR="00FF55AB" w:rsidRPr="006410B4">
        <w:rPr>
          <w:rStyle w:val="FootnoteReference"/>
          <w:rFonts w:ascii="Book Antiqua" w:eastAsia="Times New Roman" w:hAnsi="Book Antiqua" w:cs="Times New Roman"/>
          <w:color w:val="000000" w:themeColor="text1"/>
          <w:sz w:val="24"/>
          <w:szCs w:val="24"/>
        </w:rPr>
        <w:fldChar w:fldCharType="begin" w:fldLock="1"/>
      </w:r>
      <w:r w:rsidR="00F2624B" w:rsidRPr="006410B4">
        <w:rPr>
          <w:rFonts w:ascii="Book Antiqua" w:eastAsia="Times New Roman" w:hAnsi="Book Antiqua" w:cs="Times New Roman"/>
          <w:color w:val="000000" w:themeColor="text1"/>
          <w:sz w:val="24"/>
          <w:szCs w:val="24"/>
        </w:rPr>
        <w:instrText>ADDIN CSL_CITATION {"citationItems":[{"id":"ITEM-1","itemData":{"DOI":"10.1016/j.bbadis.2017.04.008","ISSN":"1879260X","PMID":"28408340","abstract":"Nogo-A is a potent myelin-associated inhibitor for neuronal growth and plasticity in the central nervous system (CNS). Its effects are mediated by the activation of specific receptors that intracellularly control cytoskeleton rearrangements, protein synthesis and gene expression. Moreover, Nogo-A has been involved in the development of the visual system and in a variety of neurodegenerative diseases and injury processes that can alter its function. For example, Nogo-A was shown to influence optic nerve myelinogenesis, the formation and maturation of retinal axon projections, and retinal angiogenesis. In adult animals, the inactivation of Nogo-A exerted remarkable effects on visual plasticity. Relieving Nogo-A-induced inhibition increased axonal sprouting after optic nerve lesion and axonal rewiring in the visual cortex of intact adult mice. This review aims at presenting our current knowledge on the role of Nogo-A in the visual system and to discuss how its therapeutic targeting may promote visual improvement in ophthalmic diseases.","author":[{"dropping-particle":"","family":"Pernet","given":"Vincent","non-dropping-particle":"","parse-names":false,"suffix":""}],"container-title":"Biochimica et Biophysica Acta - Molecular Basis of Disease","id":"ITEM-1","issue":"6","issued":{"date-parts":[["2017"]]},"page":"1300-1311","publisher":"Elsevier","title":"Nogo-A in the visual system development and in ocular diseases","type":"article-journal","volume":"1863"},"uris":["http://www.mendeley.com/documents/?uuid=8e7633c2-95b7-4e3f-9381-495b0f6d0439"]}],"mendeley":{"formattedCitation":"&lt;sup&gt;23&lt;/sup&gt;","plainTextFormattedCitation":"23","previouslyFormattedCitation":"&lt;sup&gt;22&lt;/sup&gt;"},"properties":{"noteIndex":0},"schema":"https://github.com/citation-style-language/schema/raw/master/csl-citation.json"}</w:instrText>
      </w:r>
      <w:r w:rsidR="00FF55AB" w:rsidRPr="006410B4">
        <w:rPr>
          <w:rStyle w:val="FootnoteReference"/>
          <w:rFonts w:ascii="Book Antiqua" w:eastAsia="Times New Roman" w:hAnsi="Book Antiqua" w:cs="Times New Roman"/>
          <w:color w:val="000000" w:themeColor="text1"/>
          <w:sz w:val="24"/>
          <w:szCs w:val="24"/>
        </w:rPr>
        <w:fldChar w:fldCharType="separate"/>
      </w:r>
      <w:r w:rsidR="00F2624B" w:rsidRPr="006410B4">
        <w:rPr>
          <w:rFonts w:ascii="Book Antiqua" w:eastAsia="Times New Roman" w:hAnsi="Book Antiqua" w:cs="Times New Roman"/>
          <w:color w:val="000000" w:themeColor="text1"/>
          <w:sz w:val="24"/>
          <w:szCs w:val="24"/>
          <w:vertAlign w:val="superscript"/>
        </w:rPr>
        <w:t>23</w:t>
      </w:r>
      <w:r w:rsidR="00FF55AB" w:rsidRPr="006410B4">
        <w:rPr>
          <w:rStyle w:val="FootnoteReference"/>
          <w:rFonts w:ascii="Book Antiqua" w:eastAsia="Times New Roman" w:hAnsi="Book Antiqua" w:cs="Times New Roman"/>
          <w:color w:val="000000" w:themeColor="text1"/>
          <w:sz w:val="24"/>
          <w:szCs w:val="24"/>
        </w:rPr>
        <w:fldChar w:fldCharType="end"/>
      </w:r>
      <w:r w:rsidR="001346FA" w:rsidRPr="006410B4">
        <w:rPr>
          <w:rStyle w:val="FootnoteReference"/>
          <w:rFonts w:ascii="Book Antiqua" w:eastAsia="Times New Roman" w:hAnsi="Book Antiqua" w:cs="Times New Roman"/>
          <w:color w:val="000000" w:themeColor="text1"/>
          <w:sz w:val="24"/>
          <w:szCs w:val="24"/>
        </w:rPr>
        <w:t>]</w:t>
      </w:r>
      <w:r w:rsidR="00BF498E" w:rsidRPr="006410B4">
        <w:rPr>
          <w:rFonts w:ascii="Book Antiqua" w:eastAsia="Times New Roman" w:hAnsi="Book Antiqua" w:cs="Times New Roman"/>
          <w:color w:val="000000" w:themeColor="text1"/>
          <w:sz w:val="24"/>
          <w:szCs w:val="24"/>
        </w:rPr>
        <w:t xml:space="preserve"> and hepatocellular carcinoma</w:t>
      </w:r>
      <w:r w:rsidR="00C232BE" w:rsidRPr="006410B4">
        <w:rPr>
          <w:rFonts w:ascii="Book Antiqua" w:eastAsia="Times New Roman" w:hAnsi="Book Antiqua" w:cs="Times New Roman"/>
          <w:color w:val="000000" w:themeColor="text1"/>
          <w:sz w:val="24"/>
          <w:szCs w:val="24"/>
          <w:vertAlign w:val="superscript"/>
        </w:rPr>
        <w:t>[</w:t>
      </w:r>
      <w:r w:rsidR="00C232BE" w:rsidRPr="006410B4">
        <w:rPr>
          <w:rStyle w:val="FootnoteReference"/>
          <w:rFonts w:ascii="Book Antiqua" w:eastAsia="Times New Roman" w:hAnsi="Book Antiqua" w:cs="Times New Roman"/>
          <w:color w:val="000000" w:themeColor="text1"/>
          <w:sz w:val="24"/>
          <w:szCs w:val="24"/>
        </w:rPr>
        <w:fldChar w:fldCharType="begin" w:fldLock="1"/>
      </w:r>
      <w:r w:rsidR="00C232BE" w:rsidRPr="006410B4">
        <w:rPr>
          <w:rFonts w:ascii="Book Antiqua" w:eastAsia="Times New Roman" w:hAnsi="Book Antiqua" w:cs="Times New Roman"/>
          <w:color w:val="000000" w:themeColor="text1"/>
          <w:sz w:val="24"/>
          <w:szCs w:val="24"/>
        </w:rPr>
        <w:instrText>ADDIN CSL_CITATION {"citationItems":[{"id":"ITEM-1","itemData":{"DOI":"10.3892/mmr.2014.2050","ISBN":"1791-3004 (Electronic)\\r1791-2997 (Linking)","ISSN":"17913004","PMID":"24626842","abstract":"Nogo-A has been identified as an inhibitor of neurite outgrowth specific to the central nervous system. However, little is known about the role of Nogo-A in hepatocellular carcinoma (HCC), the most common primary malignant tumor with a high mortality rate. This study aimed to investigate the role of endogenous Nogo-A in human liver cancer cells. Reverse transcription polymerase chain reaction was used to detect the expression of Nogo-A in four liver cancer cell lines. A lentivirus vector was then constructed to mediate RNA interference (RNAi) targeting of NogoA (LVNogo-AsiRNA) and was confirmed to successfully suppress the expression of the Nogo-A gene in SMMC-7721 cells. Furthermore, Nogo-A was observed to be highly expressed in liver cancer cell lines. RNAi of Nogo-A using the LVNogo-AsiRNA construct significantly decreased Nogo-A protein expression and specifically inhibited the growth of SMMC-7721 cells. This growth inhibitory effect may be attributed to an increase in G2/M phase arrest and apoptosis in SMMC-7721 cells containing Nogo-AsiRNA. The results of this study demonstrate that Nogo-A may represent a novel therapeutic target for the treatment of liver cancer, in addition to its potent roles in neural systems.","author":[{"dropping-particle":"","family":"Hao","given":"Chun Qiu","non-dropping-particle":"","parse-names":false,"suffix":""},{"dropping-particle":"","family":"Zhou","given":"Yun","non-dropping-particle":"","parse-names":false,"suffix":""},{"dropping-particle":"","family":"Wang","given":"Jiu Ping","non-dropping-particle":"","parse-names":false,"suffix":""},{"dropping-particle":"","family":"Peng","given":"Mei Jun","non-dropping-particle":"","parse-names":false,"suffix":""},{"dropping-particle":"","family":"Xie","given":"Y. U.Mei","non-dropping-particle":"","parse-names":false,"suffix":""},{"dropping-particle":"","family":"Kang","given":"Wen Zhen","non-dropping-particle":"","parse-names":false,"suffix":""},{"dropping-particle":"","family":"Sun","given":"L. I.","non-dropping-particle":"","parse-names":false,"suffix":""},{"dropping-particle":"","family":"Wang","given":"Ping Zhong","non-dropping-particle":"","parse-names":false,"suffix":""},{"dropping-particle":"","family":"Wan","given":"Chun Ling","non-dropping-particle":"","parse-names":false,"suffix":""},{"dropping-particle":"","family":"He","given":"Lin","non-dropping-particle":"","parse-names":false,"suffix":""},{"dropping-particle":"","family":"Cai","given":"Lei","non-dropping-particle":"","parse-names":false,"suffix":""},{"dropping-particle":"","family":"Jia","given":"Zhang Sheng","non-dropping-particle":"","parse-names":false,"suffix":""}],"container-title":"Molecular Medicine Reports","id":"ITEM-1","issue":"5","issued":{"date-parts":[["2014"]]},"page":"1743-1748","title":"Role of Nogo-A in the regulation of hepatocellular carcinoma SMMC-7721 cell apoptosis","type":"article-journal","volume":"9"},"uris":["http://www.mendeley.com/documents/?uuid=f035cd11-0590-4340-8a68-ee9af8846136"]}],"mendeley":{"formattedCitation":"&lt;sup&gt;24&lt;/sup&gt;","plainTextFormattedCitation":"24","previouslyFormattedCitation":"&lt;sup&gt;23&lt;/sup&gt;"},"properties":{"noteIndex":0},"schema":"https://github.com/citation-style-language/schema/raw/master/csl-citation.json"}</w:instrText>
      </w:r>
      <w:r w:rsidR="00C232BE" w:rsidRPr="006410B4">
        <w:rPr>
          <w:rStyle w:val="FootnoteReference"/>
          <w:rFonts w:ascii="Book Antiqua" w:eastAsia="Times New Roman" w:hAnsi="Book Antiqua" w:cs="Times New Roman"/>
          <w:color w:val="000000" w:themeColor="text1"/>
          <w:sz w:val="24"/>
          <w:szCs w:val="24"/>
        </w:rPr>
        <w:fldChar w:fldCharType="separate"/>
      </w:r>
      <w:r w:rsidR="00C232BE" w:rsidRPr="006410B4">
        <w:rPr>
          <w:rFonts w:ascii="Book Antiqua" w:eastAsia="Times New Roman" w:hAnsi="Book Antiqua" w:cs="Times New Roman"/>
          <w:bCs/>
          <w:color w:val="000000" w:themeColor="text1"/>
          <w:sz w:val="24"/>
          <w:szCs w:val="24"/>
          <w:vertAlign w:val="superscript"/>
        </w:rPr>
        <w:t>24</w:t>
      </w:r>
      <w:r w:rsidR="00C232BE" w:rsidRPr="006410B4">
        <w:rPr>
          <w:rStyle w:val="FootnoteReference"/>
          <w:rFonts w:ascii="Book Antiqua" w:eastAsia="Times New Roman" w:hAnsi="Book Antiqua" w:cs="Times New Roman"/>
          <w:color w:val="000000" w:themeColor="text1"/>
          <w:sz w:val="24"/>
          <w:szCs w:val="24"/>
        </w:rPr>
        <w:fldChar w:fldCharType="end"/>
      </w:r>
      <w:r w:rsidR="00C232BE"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00BF498E" w:rsidRPr="006410B4">
        <w:rPr>
          <w:rFonts w:ascii="Book Antiqua" w:eastAsia="Times New Roman" w:hAnsi="Book Antiqua" w:cs="Times New Roman"/>
          <w:color w:val="000000" w:themeColor="text1"/>
          <w:sz w:val="24"/>
          <w:szCs w:val="24"/>
        </w:rPr>
        <w:t xml:space="preserve"> </w:t>
      </w:r>
      <w:proofErr w:type="spellStart"/>
      <w:r w:rsidR="00BF498E" w:rsidRPr="006410B4">
        <w:rPr>
          <w:rFonts w:ascii="Book Antiqua" w:eastAsia="Times New Roman" w:hAnsi="Book Antiqua" w:cs="Times New Roman"/>
          <w:color w:val="000000" w:themeColor="text1"/>
          <w:sz w:val="24"/>
          <w:szCs w:val="24"/>
        </w:rPr>
        <w:t>Nogo</w:t>
      </w:r>
      <w:proofErr w:type="spellEnd"/>
      <w:r w:rsidR="00BF498E" w:rsidRPr="006410B4">
        <w:rPr>
          <w:rFonts w:ascii="Book Antiqua" w:eastAsia="Times New Roman" w:hAnsi="Book Antiqua" w:cs="Times New Roman"/>
          <w:color w:val="000000" w:themeColor="text1"/>
          <w:sz w:val="24"/>
          <w:szCs w:val="24"/>
        </w:rPr>
        <w:t>-A has also been reported to be a negative regulator of retinal and CNS</w:t>
      </w:r>
      <w:r w:rsidR="001346FA" w:rsidRPr="006410B4">
        <w:rPr>
          <w:rFonts w:ascii="Book Antiqua" w:eastAsia="Times New Roman" w:hAnsi="Book Antiqua" w:cs="Times New Roman"/>
          <w:color w:val="000000" w:themeColor="text1"/>
          <w:sz w:val="24"/>
          <w:szCs w:val="24"/>
          <w:vertAlign w:val="superscript"/>
        </w:rPr>
        <w:t>[</w:t>
      </w:r>
      <w:r w:rsidR="00FF55AB" w:rsidRPr="006410B4">
        <w:rPr>
          <w:rStyle w:val="FootnoteReference"/>
          <w:rFonts w:ascii="Book Antiqua" w:eastAsia="Times New Roman" w:hAnsi="Book Antiqua" w:cs="Times New Roman"/>
          <w:color w:val="000000" w:themeColor="text1"/>
          <w:sz w:val="24"/>
          <w:szCs w:val="24"/>
        </w:rPr>
        <w:fldChar w:fldCharType="begin" w:fldLock="1"/>
      </w:r>
      <w:r w:rsidR="00F2624B" w:rsidRPr="006410B4">
        <w:rPr>
          <w:rFonts w:ascii="Book Antiqua" w:eastAsia="Times New Roman" w:hAnsi="Book Antiqua" w:cs="Times New Roman"/>
          <w:color w:val="000000" w:themeColor="text1"/>
          <w:sz w:val="24"/>
          <w:szCs w:val="24"/>
        </w:rPr>
        <w:instrText>ADDIN CSL_CITATION {"citationItems":[{"id":"ITEM-1","itemData":{"DOI":"10.1016/j.mod.2015.07.001","ISBN":"9781118993712","ISSN":"18726356","PMID":"26222953","abstract":"The developing central nervous system (CNS) is vascularised through the angiogenic invasion of blood vessels from a perineural vascular plexus, followed by continued sprouting and remodelling until a hierarchical vascular network is formed. Remarkably, vascularisation occurs without perturbing the intricate architecture of the neurogenic niches or the emerging neural networks. We discuss the mouse hindbrain, forebrain and retina as widely used models to study developmental angiogenesis in the mammalian CNS and provide an overview of key cellular and molecular mechanisms regulating the vascularisation of these organs.","author":[{"dropping-particle":"","family":"Tata","given":"Mathew","non-dropping-particle":"","parse-names":false,"suffix":""},{"dropping-particle":"","family":"Ruhrberg","given":"Christiana","non-dropping-particle":"","parse-names":false,"suffix":""},{"dropping-particle":"","family":"Fantin","given":"Alessandro","non-dropping-particle":"","parse-names":false,"suffix":""}],"container-title":"Mechanisms of Development","id":"ITEM-1","issued":{"date-parts":[["2015"]]},"page":"26-36","publisher":"Elsevier B.V.","title":"Vascularisation of the central nervous system","type":"article-journal","volume":"138"},"uris":["http://www.mendeley.com/documents/?uuid=08c66b02-d0f0-450a-b8b8-e01421a00223"]},{"id":"ITEM-2","itemData":{"DOI":"10.1073/pnas.1216203110","ISBN":"1091-6490 (Electronic)\\r0027-8424 (Linking)","ISSN":"0027-8424","PMID":"23625008","abstract":"Nogo-A is an important axonal growth inhibitor in the adult and developing CNS. In vitro, Nogo-A has been shown to inhibit migration and cell spreading of neuronal and nonneuronal cell types. Here, we studied in vivo and in vitro effects of Nogo-A on vascular endothelial cells during angiogenesis of the early postnatal brain and retina in which Nogo-A is expressed by many types of neurons. Genetic ablation or virus-mediated knock down of Nogo-A or neutralization of Nogo-A with an antibody caused a marked increase in the blood vessel density in vivo. In culture, Nogo-A inhibited spreading, migration, and sprouting of primary brain microvascular endothelial cells (MVECs) in a dose-dependent manner and induced the retraction of MVEC lamellipodia and filopodia. Mechanistically, we show that only the Nogo-A-specific Delta 20 domain exerts inhibitory effects on MVECs, but the Nogo-66 fragment, an inhibitory domain common to Nogo-A, -B, and -C, does not. Furthermore, the action of Nogo-A Delta 20 on MVECs required the intracellular activation of the Ras homolog gene family, member A (Rho-A)-associated, coiled-coil containing protein kinase (ROCK)-Myosin II pathway. The inhibitory effects of early postnatal brain membranes or cultured neurons on MVECs were relieved significantly by anti-Nogo-A antibodies. These findings identify Nogo-A as an important negative regulator of developmental angiogenesis in the CNS. They may have important implications in CNS pathologies involving angiogenesis such as stroke, brain tumors, and retinopathies.","author":[{"dropping-particle":"","family":"Walchli","given":"T.","non-dropping-particle":"","parse-names":false,"suffix":""},{"dropping-particle":"","family":"Pernet","given":"V.","non-dropping-particle":"","parse-names":false,"suffix":""},{"dropping-particle":"","family":"Weinmann","given":"O.","non-dropping-particle":"","parse-names":false,"suffix":""},{"dropping-particle":"","family":"Shiu","given":"J.-Y.","non-dropping-particle":"","parse-names":false,"suffix":""},{"dropping-particle":"","family":"Guzik-Kornacka","given":"A.","non-dropping-particle":"","parse-names":false,"suffix":""},{"dropping-particle":"","family":"Decrey","given":"G.","non-dropping-particle":"","parse-names":false,"suffix":""},{"dropping-particle":"","family":"Yuksel","given":"D.","non-dropping-particle":"","parse-names":false,"suffix":""},{"dropping-particle":"","family":"Schneider","given":"H.","non-dropping-particle":"","parse-names":false,"suffix":""},{"dropping-particle":"","family":"Vogel","given":"J.","non-dropping-particle":"","parse-names":false,"suffix":""},{"dropping-particle":"","family":"Ingber","given":"D. E.","non-dropping-particle":"","parse-names":false,"suffix":""},{"dropping-particle":"","family":"Vogel","given":"V.","non-dropping-particle":"","parse-names":false,"suffix":""},{"dropping-particle":"","family":"Frei","given":"K.","non-dropping-particle":"","parse-names":false,"suffix":""},{"dropping-particle":"","family":"Schwab","given":"M. E.","non-dropping-particle":"","parse-names":false,"suffix":""}],"container-title":"Proceedings of the National Academy of Sciences","id":"ITEM-2","issue":"21","issued":{"date-parts":[["2013"]]},"page":"E1943-E1952","title":"Nogo-A is a negative regulator of CNS angiogenesis","type":"article-journal","volume":"110"},"uris":["http://www.mendeley.com/documents/?uuid=43530268-643a-4c97-9b95-eba428a6b5f6"]}],"mendeley":{"formattedCitation":"&lt;sup&gt;25,26&lt;/sup&gt;","plainTextFormattedCitation":"25,26","previouslyFormattedCitation":"&lt;sup&gt;24,25&lt;/sup&gt;"},"properties":{"noteIndex":0},"schema":"https://github.com/citation-style-language/schema/raw/master/csl-citation.json"}</w:instrText>
      </w:r>
      <w:r w:rsidR="00FF55AB" w:rsidRPr="006410B4">
        <w:rPr>
          <w:rStyle w:val="FootnoteReference"/>
          <w:rFonts w:ascii="Book Antiqua" w:eastAsia="Times New Roman" w:hAnsi="Book Antiqua" w:cs="Times New Roman"/>
          <w:color w:val="000000" w:themeColor="text1"/>
          <w:sz w:val="24"/>
          <w:szCs w:val="24"/>
        </w:rPr>
        <w:fldChar w:fldCharType="separate"/>
      </w:r>
      <w:r w:rsidR="00F2624B" w:rsidRPr="006410B4">
        <w:rPr>
          <w:rFonts w:ascii="Book Antiqua" w:eastAsia="Times New Roman" w:hAnsi="Book Antiqua" w:cs="Times New Roman"/>
          <w:bCs/>
          <w:color w:val="000000" w:themeColor="text1"/>
          <w:sz w:val="24"/>
          <w:szCs w:val="24"/>
          <w:vertAlign w:val="superscript"/>
        </w:rPr>
        <w:t>25,26</w:t>
      </w:r>
      <w:r w:rsidR="00FF55AB" w:rsidRPr="006410B4">
        <w:rPr>
          <w:rStyle w:val="FootnoteReference"/>
          <w:rFonts w:ascii="Book Antiqua" w:eastAsia="Times New Roman" w:hAnsi="Book Antiqua" w:cs="Times New Roman"/>
          <w:color w:val="000000" w:themeColor="text1"/>
          <w:sz w:val="24"/>
          <w:szCs w:val="24"/>
        </w:rPr>
        <w:fldChar w:fldCharType="end"/>
      </w:r>
      <w:r w:rsidR="001346FA" w:rsidRPr="006410B4">
        <w:rPr>
          <w:rStyle w:val="FootnoteReference"/>
          <w:rFonts w:ascii="Book Antiqua" w:eastAsia="Times New Roman" w:hAnsi="Book Antiqua" w:cs="Times New Roman"/>
          <w:color w:val="000000" w:themeColor="text1"/>
          <w:sz w:val="24"/>
          <w:szCs w:val="24"/>
        </w:rPr>
        <w:t>]</w:t>
      </w:r>
      <w:r w:rsidR="00BF498E" w:rsidRPr="006410B4">
        <w:rPr>
          <w:rFonts w:ascii="Book Antiqua" w:eastAsia="Times New Roman" w:hAnsi="Book Antiqua" w:cs="Times New Roman"/>
          <w:color w:val="000000" w:themeColor="text1"/>
          <w:sz w:val="24"/>
          <w:szCs w:val="24"/>
        </w:rPr>
        <w:t xml:space="preserve"> angiogenesis, but the effects on angiogenesis in</w:t>
      </w:r>
      <w:r w:rsidR="00C82565">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liver diseases</w:t>
      </w:r>
      <w:r w:rsidR="00BF498E" w:rsidRPr="006410B4">
        <w:rPr>
          <w:rFonts w:ascii="Book Antiqua" w:eastAsia="Times New Roman" w:hAnsi="Book Antiqua" w:cs="Times New Roman"/>
          <w:color w:val="000000" w:themeColor="text1"/>
          <w:sz w:val="24"/>
          <w:szCs w:val="24"/>
        </w:rPr>
        <w:t xml:space="preserve"> remains unknown. As </w:t>
      </w:r>
      <w:proofErr w:type="spellStart"/>
      <w:r w:rsidR="00BF498E" w:rsidRPr="006410B4">
        <w:rPr>
          <w:rFonts w:ascii="Book Antiqua" w:eastAsia="Times New Roman" w:hAnsi="Book Antiqua" w:cs="Times New Roman"/>
          <w:color w:val="000000" w:themeColor="text1"/>
          <w:sz w:val="24"/>
          <w:szCs w:val="24"/>
        </w:rPr>
        <w:t>Nogo</w:t>
      </w:r>
      <w:proofErr w:type="spellEnd"/>
      <w:r w:rsidR="00BF498E" w:rsidRPr="006410B4">
        <w:rPr>
          <w:rFonts w:ascii="Book Antiqua" w:eastAsia="Times New Roman" w:hAnsi="Book Antiqua" w:cs="Times New Roman"/>
          <w:color w:val="000000" w:themeColor="text1"/>
          <w:sz w:val="24"/>
          <w:szCs w:val="24"/>
        </w:rPr>
        <w:t xml:space="preserve">-B protein, a splice variant of </w:t>
      </w:r>
      <w:proofErr w:type="spellStart"/>
      <w:r w:rsidR="00BF498E" w:rsidRPr="006410B4">
        <w:rPr>
          <w:rFonts w:ascii="Book Antiqua" w:eastAsia="Times New Roman" w:hAnsi="Book Antiqua" w:cs="Times New Roman"/>
          <w:color w:val="000000" w:themeColor="text1"/>
          <w:sz w:val="24"/>
          <w:szCs w:val="24"/>
        </w:rPr>
        <w:t>Nogo</w:t>
      </w:r>
      <w:proofErr w:type="spellEnd"/>
      <w:r w:rsidR="00BF498E" w:rsidRPr="006410B4">
        <w:rPr>
          <w:rFonts w:ascii="Book Antiqua" w:eastAsia="Times New Roman" w:hAnsi="Book Antiqua" w:cs="Times New Roman"/>
          <w:color w:val="000000" w:themeColor="text1"/>
          <w:sz w:val="24"/>
          <w:szCs w:val="24"/>
        </w:rPr>
        <w:t>-A, is associated with liver fibrogenesis and liver cirrhosis</w:t>
      </w:r>
      <w:r w:rsidR="00C232BE" w:rsidRPr="006410B4">
        <w:rPr>
          <w:rFonts w:ascii="Book Antiqua" w:eastAsia="Times New Roman" w:hAnsi="Book Antiqua" w:cs="Times New Roman"/>
          <w:color w:val="000000" w:themeColor="text1"/>
          <w:sz w:val="24"/>
          <w:szCs w:val="24"/>
          <w:vertAlign w:val="superscript"/>
        </w:rPr>
        <w:t>[</w:t>
      </w:r>
      <w:r w:rsidR="00C232BE" w:rsidRPr="006410B4">
        <w:rPr>
          <w:rStyle w:val="FootnoteReference"/>
          <w:rFonts w:ascii="Book Antiqua" w:eastAsia="Times New Roman" w:hAnsi="Book Antiqua" w:cs="Times New Roman"/>
          <w:color w:val="000000" w:themeColor="text1"/>
          <w:sz w:val="24"/>
          <w:szCs w:val="24"/>
        </w:rPr>
        <w:fldChar w:fldCharType="begin" w:fldLock="1"/>
      </w:r>
      <w:r w:rsidR="00C232BE" w:rsidRPr="006410B4">
        <w:rPr>
          <w:rFonts w:ascii="Book Antiqua" w:eastAsia="Times New Roman" w:hAnsi="Book Antiqua" w:cs="Times New Roman"/>
          <w:color w:val="000000" w:themeColor="text1"/>
          <w:sz w:val="24"/>
          <w:szCs w:val="24"/>
        </w:rPr>
        <w:instrText>ADDIN CSL_CITATION {"citationItems":[{"id":"ITEM-1","itemData":{"DOI":"10.1038/jid.2014.371","ISBN":"6176321972","ISSN":"15378276","PMID":"1000000221","abstract":"Nogo-B, also known as Reticulon 4B, plays important roles in vascular injuries. Its function in the liver is not understood. The aim of this study was to characterize Nogo-B in liver fibrosis and cirrhosis. Nogo-B distribution was assessed in normal and cirrhotic human liver sections. We also determined the levels of liver fibrosis in wild-type (WT) and Nogo-A/B knockout (NGB KO) mice after sham operation or bile duct ligation (BDL). To investigate the mechanisms of Nogo-B’s involvement in fibrosis, hepatic stellate cells were isolated from WT and NGB KO mice and transformed into myofibroblasts. Portal pressure was measured to test whether Nogo-B gene deletion could ameliorate portal hypertension. In normal livers, Nogo-B expression was found in nonparenchymal cells, whereas its expression in hepatocytes was minimal. Nogo-B staining was significantly elevated in cirrhotic livers. Fibrosis was significantly increased in WT mice 4 weeks after BDL compared with NGB KO mice. The absence of Nogo-B significantly reduced phosphorylation of Smad2 levels upon transforming growth factor β (TGF-β) stimulation. Reconstitution of the Nogo-B gene into NGB KO fibroblasts restored Smad2 phosphorylation. Four weeks after BDL, portal pressure was significantly increased in WT mice by 47%, compared with sham-operated controls (P = 0.03), whereas such an increase in portal pressure was not observed in NGB KO mice (P = NS). Conclusion—Nogo-B regulates liver fibrosis, at least in part, by facilitating the TGFβ/Smad2 signaling pathway in myofibroblasts. Because absence of Nogo-B ameliorates liver fibrosis and portal hypertension, Nogo-B blockade may be a potential therapeutic target in fibrosis/cirrhosis. Nogo-B,","author":[{"dropping-particle":"","family":"Zhang","given":"Dahai","non-dropping-particle":"","parse-names":false,"suffix":""},{"dropping-particle":"","family":"Utsumi","given":"Teruo","non-dropping-particle":"","parse-names":false,"suffix":""},{"dropping-particle":"","family":"Huang","given":"Hui-Chun","non-dropping-particle":"","parse-names":false,"suffix":""},{"dropping-particle":"","family":"Gao","given":"Lili","non-dropping-particle":"","parse-names":false,"suffix":""},{"dropping-particle":"","family":"Sangwung","given":"Panjamaporn","non-dropping-particle":"","parse-names":false,"suffix":""},{"dropping-particle":"","family":"Chung","given":"Chuhan","non-dropping-particle":"","parse-names":false,"suffix":""},{"dropping-particle":"","family":"Iwakiri","given":"Yasuko","non-dropping-particle":"","parse-names":false,"suffix":""}],"container-title":"Hepatology","id":"ITEM-1","issue":"4","issued":{"date-parts":[["2011"]]},"page":"1306-1315","title":"Reticulon 4B (Nogo-B) Is a Novel Regulator of Hepatic Fibrosis","type":"article-journal","volume":"53"},"uris":["http://www.mendeley.com/documents/?uuid=b99ce446-8040-4d06-ac88-a47cbc99544d"]},{"id":"ITEM-2","itemData":{"DOI":"10.1111/hepr.12324","ISBN":"1386-6346","ISSN":"1872034X","PMID":"24606149","abstract":"AIM: To evaluate plasma Nogo-B levels in liver cirrhotic patients and declare a novel molecular basis by which Nogo-B modulates hepatic stellate cell (HSC) activation.\\n\\nMETHODS: Plasma Nogo-B levels from liver cirrhotic patients were detected by enzyme-linked immunosorbent assay. Rat primary HSC were culture activated or stimulated with transforming growth factor (TGF)-β. Activated HSC were transfected for 48 h with Nogo-B shRNA to inhibit Nogo-B expression. Gene expressions of Nogo-B, α-smooth muscle actin (SMA), collagen type I, TGF-β, endoplasmic reticulum (ER) stress key molecules, including C/EBP homologous protein (CHOP), glucose-regulated protein 78 (GRP78), activating transcription factor (ATF)4, ATF6, X-box binding protein 1 (Xbp-1) and calnexin, and the marker of autophagy beclin 1, were detected by quantitative reverse transcription polymerase chain reaction. The protein expressions of Nogo-B, α-SMA, collagen type I, CHOP, GRP78 and the marker of autophagy LC3B were evaluated by western blot.\\n\\nRESULTS: Liver cirrhotic patients showed a much higher level of plasma Nogo-B compared with the healthy controls. Nogo-B expression and ER stress could be induced during the process of cultured HSC activation. TGF-β treatment increased Nogo-B expression time- and dose-dependently. Knockdown of Nogo-B in HSC reduced the activation of HSC. After Nogo-B gene knockdown, there was a decline of expression of ER stress markers and autophagic markers. Agonist or antagonist of ER stress could regulate autophagy level.\\n\\nCONCLUSION: Circulating Nogo-B may be an effective indicator for liver cirrhosis. Nogo-B inhibition could diminish HSC activation, in which alleviating ER stress may be one of the mechanisms, suggesting a potential approach to interference Nogo-B in liver fibrosis.","author":[{"dropping-particle":"","family":"Men","given":"Ruoting","non-dropping-particle":"","parse-names":false,"suffix":""},{"dropping-particle":"","family":"Wen","given":"Maoyao","non-dropping-particle":"","parse-names":false,"suffix":""},{"dropping-particle":"","family":"Dan","given":"Xuelian","non-dropping-particle":"","parse-names":false,"suffix":""},{"dropping-particle":"","family":"Zhu","given":"Yongjun","non-dropping-particle":"","parse-names":false,"suffix":""},{"dropping-particle":"","family":"Wang","given":"Wanqin","non-dropping-particle":"","parse-names":false,"suffix":""},{"dropping-particle":"","family":"Li","given":"Junli","non-dropping-particle":"","parse-names":false,"suffix":""},{"dropping-particle":"","family":"Wu","given":"Wenchao","non-dropping-particle":"","parse-names":false,"suffix":""},{"dropping-particle":"","family":"Liu","given":"Xiaojing","non-dropping-particle":"","parse-names":false,"suffix":""},{"dropping-particle":"","family":"Yang","given":"Li","non-dropping-particle":"","parse-names":false,"suffix":""}],"container-title":"Hepatology Research","id":"ITEM-2","issue":"1","issued":{"date-parts":[["2015"]]},"page":"113-122","title":"Nogo-B: A potential indicator for hepatic cirrhosis and regulator in hepatic stellate cell activation","type":"webpage","volume":"45"},"uris":["http://www.mendeley.com/documents/?uuid=5a89ee1e-42e5-462e-9968-11e3ad000df2"]}],"mendeley":{"formattedCitation":"&lt;sup&gt;27,28&lt;/sup&gt;","plainTextFormattedCitation":"27,28","previouslyFormattedCitation":"&lt;sup&gt;26,27&lt;/sup&gt;"},"properties":{"noteIndex":0},"schema":"https://github.com/citation-style-language/schema/raw/master/csl-citation.json"}</w:instrText>
      </w:r>
      <w:r w:rsidR="00C232BE" w:rsidRPr="006410B4">
        <w:rPr>
          <w:rStyle w:val="FootnoteReference"/>
          <w:rFonts w:ascii="Book Antiqua" w:eastAsia="Times New Roman" w:hAnsi="Book Antiqua" w:cs="Times New Roman"/>
          <w:color w:val="000000" w:themeColor="text1"/>
          <w:sz w:val="24"/>
          <w:szCs w:val="24"/>
        </w:rPr>
        <w:fldChar w:fldCharType="separate"/>
      </w:r>
      <w:r w:rsidR="00C232BE" w:rsidRPr="006410B4">
        <w:rPr>
          <w:rFonts w:ascii="Book Antiqua" w:eastAsia="Times New Roman" w:hAnsi="Book Antiqua" w:cs="Times New Roman"/>
          <w:bCs/>
          <w:color w:val="000000" w:themeColor="text1"/>
          <w:sz w:val="24"/>
          <w:szCs w:val="24"/>
          <w:vertAlign w:val="superscript"/>
        </w:rPr>
        <w:t>27,28</w:t>
      </w:r>
      <w:r w:rsidR="00C232BE" w:rsidRPr="006410B4">
        <w:rPr>
          <w:rStyle w:val="FootnoteReference"/>
          <w:rFonts w:ascii="Book Antiqua" w:eastAsia="Times New Roman" w:hAnsi="Book Antiqua" w:cs="Times New Roman"/>
          <w:color w:val="000000" w:themeColor="text1"/>
          <w:sz w:val="24"/>
          <w:szCs w:val="24"/>
        </w:rPr>
        <w:fldChar w:fldCharType="end"/>
      </w:r>
      <w:r w:rsidR="00C232BE"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00BF498E" w:rsidRPr="006410B4">
        <w:rPr>
          <w:rFonts w:ascii="Book Antiqua" w:eastAsia="Times New Roman" w:hAnsi="Book Antiqua" w:cs="Times New Roman"/>
          <w:color w:val="000000" w:themeColor="text1"/>
          <w:sz w:val="24"/>
          <w:szCs w:val="24"/>
        </w:rPr>
        <w:t xml:space="preserve"> angiogenesis</w:t>
      </w:r>
      <w:r w:rsidR="001346FA" w:rsidRPr="006410B4">
        <w:rPr>
          <w:rFonts w:ascii="Book Antiqua" w:eastAsia="Times New Roman" w:hAnsi="Book Antiqua" w:cs="Times New Roman"/>
          <w:color w:val="000000" w:themeColor="text1"/>
          <w:sz w:val="24"/>
          <w:szCs w:val="24"/>
          <w:vertAlign w:val="superscript"/>
        </w:rPr>
        <w:t>[</w:t>
      </w:r>
      <w:r w:rsidR="00FF55AB" w:rsidRPr="006410B4">
        <w:rPr>
          <w:rStyle w:val="FootnoteReference"/>
          <w:rFonts w:ascii="Book Antiqua" w:eastAsia="Times New Roman" w:hAnsi="Book Antiqua" w:cs="Times New Roman"/>
          <w:color w:val="000000" w:themeColor="text1"/>
          <w:sz w:val="24"/>
          <w:szCs w:val="24"/>
        </w:rPr>
        <w:fldChar w:fldCharType="begin" w:fldLock="1"/>
      </w:r>
      <w:r w:rsidR="00F2624B" w:rsidRPr="006410B4">
        <w:rPr>
          <w:rFonts w:ascii="Book Antiqua" w:eastAsia="Times New Roman" w:hAnsi="Book Antiqua" w:cs="Times New Roman"/>
          <w:color w:val="000000" w:themeColor="text1"/>
          <w:sz w:val="24"/>
          <w:szCs w:val="24"/>
        </w:rPr>
        <w:instrText>ADDIN CSL_CITATION {"citationItems":[{"id":"ITEM-1","itemData":{"abstract":"Our previous work has shown that axon guidance gene family Nogo-B and its receptor (NgBR) are essential for chemotaxis and morphogenesis of endothelial cells in vitro. To investigate NogoB-NgBR function in vivo, we cloned the zebrafish ortholog of both genes and studied loss of function in vivo using morpholino antisense technology. Zebrafish ortholog of Nogo-B is expressed in somite while expression of zebrafish NgBR is localized in intersomitic vessel (ISV) and axial dorsal aorta during embryonic development. NgBR or Nogo-B knockdown embryos show defects in ISV sprouting in the zebrafish trunk. Mechanistically, we found that NgBR knockdown not only abolished its ligand Nogo-B–stimulated endothelial cell migration but also reduced the vascular endothelial growth factor (VEGF)–stimulated phosphorylation of Akt and vascular endothelial growth factor–induced chemotaxis and morphogenesis of human umbilical vein endothelial cells. Further, constitutively activated Akt (myristoylated [myr]Akt) or human NgBR can rescue the NgBR knockdown umbilical vein endothelial cell migration defects in vitro or NgBR morpholino-caused ISV defects in vivo. These data place Akt at the downstream of NgBR in both Nogo-B– and VEGF-coordinated sprouting of ISVs. In summary, this study identifies the in vivo functional role for Nogo-B and its receptor (NgBR) in angiogenesis in zebrafish.","author":[{"dropping-particle":"","family":"Zhao","given":"Baofeng","non-dropping-particle":"","parse-names":false,"suffix":""},{"dropping-particle":"","family":"Chun","given":"Changzoon","non-dropping-particle":"","parse-names":false,"suffix":""},{"dropping-particle":"","family":"Liu","given":"Zhing","non-dropping-particle":"","parse-names":false,"suffix":""},{"dropping-particle":"","family":"Horswill","given":"Mark A.","non-dropping-particle":"","parse-names":false,"suffix":""},{"dropping-particle":"","family":"Pramanik","given":"Kallal","non-dropping-particle":"","parse-names":false,"suffix":""},{"dropping-particle":"","family":"Wilkinson","given":"George A.","non-dropping-particle":"","parse-names":false,"suffix":""},{"dropping-particle":"","family":"Ramchandran","given":"Ramani","non-dropping-particle":"","parse-names":false,"suffix":""},{"dropping-particle":"","family":"Miao","given":"Robert Q.","non-dropping-particle":"","parse-names":false,"suffix":""}],"container-title":"Blood","id":"ITEM-1","issued":{"date-parts":[["2010"]]},"page":"5426-5433","title":"Vascular Biology_ Nogo-B receptor is essential for angiogenesis in zebrafish via Akt pathway","type":"webpage"},"uris":["http://www.mendeley.com/documents/?uuid=09c7637e-651a-45dc-9acc-2319bf167f8f"]},{"id":"ITEM-2","itemData":{"DOI":"10.1165/rcmb.2013-0298OC","ISSN":"15354989","PMID":"24568601","abstract":"Nogo-B, a reticulon-4 isoform, modulates the motility and adhesion of vascular endothelial cells after binding to its receptor, Nogo-B receptor (NgBR). Nogo-B/NgBR pathway contributes to vascular remodeling and angiogenesis, but the role of this pathway in the angiogenesis of developing lungs remains unknown. We previously reported that angiogenesis function of pulmonary artery endothelial cells (PAECs) is impaired by increased reactive oxygen species formation in a fetal lamb model of intrauterine pulmonary hypertension (IPH). Here, we report that Nogo-B/NgBR pathway is altered in IPH, and that decreased NgBR expression contributes to impaired angiogenesis in IPH. We observed a decrease in NgBR levels in lysates of whole lung or PAECs from fetal lambs with IPH compared with controls. Overexpression of NgBR in IPH PAECs rescued the in vitro angiogenesis defects and increased the phosphorylation of both Akt and endothelial nitric oxide synthase at serine(1179) as well as the levels of both manganese superoxide dismutase and GTP cyclohydrolase-1. Consistent with the phenotype of IPH PAECs, knockdown of NgBR in control PAECs decreased the levels of nitric oxide, increased the levels of reactive oxygen species, and impaired in vitro angiogenesis. Our data demonstrate that NgBR mediates PAEC angiogenesis response through the modulation of Akt/endothelial nitric oxide synthase functions, and its decreased expression is mechanistically linked to IPH-related angiogenesis defects in the developing lungs.","author":[{"dropping-particle":"","family":"Teng","given":"Ru Jeng","non-dropping-particle":"","parse-names":false,"suffix":""},{"dropping-particle":"","family":"Rana","given":"Ujala","non-dropping-particle":"","parse-names":false,"suffix":""},{"dropping-particle":"","family":"Afolayan","given":"Adeleye J.","non-dropping-particle":"","parse-names":false,"suffix":""},{"dropping-particle":"","family":"Zhao","given":"Baofeng","non-dropping-particle":"","parse-names":false,"suffix":""},{"dropping-particle":"","family":"Miao","given":"Qing R.","non-dropping-particle":"","parse-names":false,"suffix":""},{"dropping-particle":"","family":"Konduri","given":"Girija G.","non-dropping-particle":"","parse-names":false,"suffix":""}],"container-title":"American Journal of Respiratory Cell and Molecular Biology","id":"ITEM-2","issue":"2","issued":{"date-parts":[["2014"]]},"page":"169-177","title":"Nogo-B receptor modulates angiogenesis response of pulmonary artery endothelial cells through eNOS coupling","type":"article-journal","volume":"51"},"uris":["http://www.mendeley.com/documents/?uuid=d33ffe95-a03f-4dc4-b836-facf7b94e148"]}],"mendeley":{"formattedCitation":"&lt;sup&gt;29,30&lt;/sup&gt;","plainTextFormattedCitation":"29,30","previouslyFormattedCitation":"&lt;sup&gt;28,29&lt;/sup&gt;"},"properties":{"noteIndex":0},"schema":"https://github.com/citation-style-language/schema/raw/master/csl-citation.json"}</w:instrText>
      </w:r>
      <w:r w:rsidR="00FF55AB" w:rsidRPr="006410B4">
        <w:rPr>
          <w:rStyle w:val="FootnoteReference"/>
          <w:rFonts w:ascii="Book Antiqua" w:eastAsia="Times New Roman" w:hAnsi="Book Antiqua" w:cs="Times New Roman"/>
          <w:color w:val="000000" w:themeColor="text1"/>
          <w:sz w:val="24"/>
          <w:szCs w:val="24"/>
        </w:rPr>
        <w:fldChar w:fldCharType="separate"/>
      </w:r>
      <w:r w:rsidR="00F2624B" w:rsidRPr="006410B4">
        <w:rPr>
          <w:rFonts w:ascii="Book Antiqua" w:eastAsia="Times New Roman" w:hAnsi="Book Antiqua" w:cs="Times New Roman"/>
          <w:bCs/>
          <w:color w:val="000000" w:themeColor="text1"/>
          <w:sz w:val="24"/>
          <w:szCs w:val="24"/>
          <w:vertAlign w:val="superscript"/>
        </w:rPr>
        <w:t>29,30</w:t>
      </w:r>
      <w:r w:rsidR="00FF55AB" w:rsidRPr="006410B4">
        <w:rPr>
          <w:rStyle w:val="FootnoteReference"/>
          <w:rFonts w:ascii="Book Antiqua" w:eastAsia="Times New Roman" w:hAnsi="Book Antiqua" w:cs="Times New Roman"/>
          <w:color w:val="000000" w:themeColor="text1"/>
          <w:sz w:val="24"/>
          <w:szCs w:val="24"/>
        </w:rPr>
        <w:fldChar w:fldCharType="end"/>
      </w:r>
      <w:r w:rsidR="001346FA" w:rsidRPr="006410B4">
        <w:rPr>
          <w:rStyle w:val="FootnoteReference"/>
          <w:rFonts w:ascii="Book Antiqua" w:eastAsia="Times New Roman" w:hAnsi="Book Antiqua" w:cs="Times New Roman"/>
          <w:color w:val="000000" w:themeColor="text1"/>
          <w:sz w:val="24"/>
          <w:szCs w:val="24"/>
        </w:rPr>
        <w:t>]</w:t>
      </w:r>
      <w:r w:rsidR="00BF498E" w:rsidRPr="006410B4">
        <w:rPr>
          <w:rFonts w:ascii="Book Antiqua" w:eastAsia="Times New Roman" w:hAnsi="Book Antiqua" w:cs="Times New Roman"/>
          <w:color w:val="000000" w:themeColor="text1"/>
          <w:sz w:val="24"/>
          <w:szCs w:val="24"/>
        </w:rPr>
        <w:t xml:space="preserve"> and endogenous tissue repair</w:t>
      </w:r>
      <w:r w:rsidR="00C232BE" w:rsidRPr="006410B4">
        <w:rPr>
          <w:rFonts w:ascii="Book Antiqua" w:eastAsia="Times New Roman" w:hAnsi="Book Antiqua" w:cs="Times New Roman"/>
          <w:color w:val="000000" w:themeColor="text1"/>
          <w:sz w:val="24"/>
          <w:szCs w:val="24"/>
          <w:vertAlign w:val="superscript"/>
        </w:rPr>
        <w:t>[</w:t>
      </w:r>
      <w:r w:rsidR="00C232BE" w:rsidRPr="006410B4">
        <w:rPr>
          <w:rStyle w:val="FootnoteReference"/>
          <w:rFonts w:ascii="Book Antiqua" w:eastAsia="Times New Roman" w:hAnsi="Book Antiqua" w:cs="Times New Roman"/>
          <w:color w:val="000000" w:themeColor="text1"/>
          <w:sz w:val="24"/>
          <w:szCs w:val="24"/>
        </w:rPr>
        <w:fldChar w:fldCharType="begin" w:fldLock="1"/>
      </w:r>
      <w:r w:rsidR="00C232BE" w:rsidRPr="006410B4">
        <w:rPr>
          <w:rFonts w:ascii="Book Antiqua" w:eastAsia="Times New Roman" w:hAnsi="Book Antiqua" w:cs="Times New Roman"/>
          <w:color w:val="000000" w:themeColor="text1"/>
          <w:sz w:val="24"/>
          <w:szCs w:val="24"/>
        </w:rPr>
        <w:instrText>ADDIN CSL_CITATION {"citationItems":[{"id":"ITEM-1","itemData":{"DOI":"10.1002/macp.1977.021780303","ISBN":"1091-6490 (Electronic)","ISSN":"0025116X","PMID":"19805174","abstract":"The synthesis of styrene polymers containing transition metals was achieved by reac- tion of different polystyrenes with Mt(C0)6 or (CH3-C=N)3Mt(C0)3, (Mt=Cr, Mo, or W). Atactic, isotactic, and cross-linked polystyrene (with divinylbenzene) were employed. Organometallic polymers with good stability were only obtained by coordination of tricarbonylchromium groups to the phenyl rings of the polystyrene. Tricarbonylmolyb- denum- and tricarbonyltungsten complexed polystyrene showed very poor stability and could not be isolated. The amount of chromium incorporated depends on the molecular structure of the polymers, the chromiumcarbonyl complex used in the reaction, and the reaction time. The reactivity of the tris(acetonitri1e)tricarbonylmetal-complexes is higher than that of the hexacarbonylmetal-complexes and the addition reactivity of the polymers is in the order: artretic&gt; i.sotactic&gt; cross-linked polystyrene","author":[{"dropping-particle":"","family":"Yu","given":"Jun","non-dropping-particle":"","parse-names":false,"suffix":""},{"dropping-particle":"","family":"Fernández-Hernando","given":"Carlos","non-dropping-particle":"","parse-names":false,"suffix":""},{"dropping-particle":"","family":"Suárez","given":"Yajaira","non-dropping-particle":"","parse-names":false,"suffix":""},{"dropping-particle":"","family":"Schleicher","given":"Michael","non-dropping-particle":"","parse-names":false,"suffix":""},{"dropping-particle":"","family":"Hao","given":"Zhengrong","non-dropping-particle":"","parse-names":false,"suffix":""},{"dropping-particle":"","family":"Wright","given":"Paulette L","non-dropping-particle":"","parse-names":false,"suffix":""},{"dropping-particle":"","family":"DiLorenzo","given":"Annarita","non-dropping-particle":"","parse-names":false,"suffix":""},{"dropping-particle":"","family":"Kyriakides","given":"Themis R","non-dropping-particle":"","parse-names":false,"suffix":""},{"dropping-particle":"","family":"Sessa","given":"William C","non-dropping-particle":"","parse-names":false,"suffix":""}],"container-title":"Pnas","id":"ITEM-1","issue":"41","issued":{"date-parts":[["2009"]]},"page":"17511-6","title":"Reticulon 4B (Nogo-B) is necessary for macrophage infiltration and tissue repair.","type":"article-journal","volume":"106"},"uris":["http://www.mendeley.com/documents/?uuid=450f8e80-e145-40b1-ab7f-5e2a68d9b2f2"]}],"mendeley":{"formattedCitation":"&lt;sup&gt;31&lt;/sup&gt;","plainTextFormattedCitation":"31","previouslyFormattedCitation":"&lt;sup&gt;30&lt;/sup&gt;"},"properties":{"noteIndex":0},"schema":"https://github.com/citation-style-language/schema/raw/master/csl-citation.json"}</w:instrText>
      </w:r>
      <w:r w:rsidR="00C232BE" w:rsidRPr="006410B4">
        <w:rPr>
          <w:rStyle w:val="FootnoteReference"/>
          <w:rFonts w:ascii="Book Antiqua" w:eastAsia="Times New Roman" w:hAnsi="Book Antiqua" w:cs="Times New Roman"/>
          <w:color w:val="000000" w:themeColor="text1"/>
          <w:sz w:val="24"/>
          <w:szCs w:val="24"/>
        </w:rPr>
        <w:fldChar w:fldCharType="separate"/>
      </w:r>
      <w:r w:rsidR="00C232BE" w:rsidRPr="006410B4">
        <w:rPr>
          <w:rFonts w:ascii="Book Antiqua" w:eastAsia="Times New Roman" w:hAnsi="Book Antiqua" w:cs="Times New Roman"/>
          <w:bCs/>
          <w:color w:val="000000" w:themeColor="text1"/>
          <w:sz w:val="24"/>
          <w:szCs w:val="24"/>
          <w:vertAlign w:val="superscript"/>
        </w:rPr>
        <w:t>31</w:t>
      </w:r>
      <w:r w:rsidR="00C232BE" w:rsidRPr="006410B4">
        <w:rPr>
          <w:rStyle w:val="FootnoteReference"/>
          <w:rFonts w:ascii="Book Antiqua" w:eastAsia="Times New Roman" w:hAnsi="Book Antiqua" w:cs="Times New Roman"/>
          <w:color w:val="000000" w:themeColor="text1"/>
          <w:sz w:val="24"/>
          <w:szCs w:val="24"/>
        </w:rPr>
        <w:fldChar w:fldCharType="end"/>
      </w:r>
      <w:r w:rsidR="00C232BE"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00BF498E" w:rsidRPr="006410B4">
        <w:rPr>
          <w:rFonts w:ascii="Book Antiqua" w:eastAsia="Times New Roman" w:hAnsi="Book Antiqua" w:cs="Times New Roman"/>
          <w:color w:val="000000" w:themeColor="text1"/>
          <w:sz w:val="24"/>
          <w:szCs w:val="24"/>
        </w:rPr>
        <w:t xml:space="preserve"> we hypothesized that </w:t>
      </w:r>
      <w:proofErr w:type="spellStart"/>
      <w:r w:rsidR="00BF498E" w:rsidRPr="006410B4">
        <w:rPr>
          <w:rFonts w:ascii="Book Antiqua" w:eastAsia="Times New Roman" w:hAnsi="Book Antiqua" w:cs="Times New Roman"/>
          <w:color w:val="000000" w:themeColor="text1"/>
          <w:sz w:val="24"/>
          <w:szCs w:val="24"/>
        </w:rPr>
        <w:t>Nogo</w:t>
      </w:r>
      <w:proofErr w:type="spellEnd"/>
      <w:r w:rsidR="00BF498E" w:rsidRPr="006410B4">
        <w:rPr>
          <w:rFonts w:ascii="Book Antiqua" w:eastAsia="Times New Roman" w:hAnsi="Book Antiqua" w:cs="Times New Roman"/>
          <w:color w:val="000000" w:themeColor="text1"/>
          <w:sz w:val="24"/>
          <w:szCs w:val="24"/>
        </w:rPr>
        <w:t xml:space="preserve">-A, similarly to </w:t>
      </w:r>
      <w:proofErr w:type="spellStart"/>
      <w:r w:rsidR="00BF498E" w:rsidRPr="006410B4">
        <w:rPr>
          <w:rFonts w:ascii="Book Antiqua" w:eastAsia="Times New Roman" w:hAnsi="Book Antiqua" w:cs="Times New Roman"/>
          <w:color w:val="000000" w:themeColor="text1"/>
          <w:sz w:val="24"/>
          <w:szCs w:val="24"/>
        </w:rPr>
        <w:t>Nogo</w:t>
      </w:r>
      <w:proofErr w:type="spellEnd"/>
      <w:r w:rsidR="00BF498E" w:rsidRPr="006410B4">
        <w:rPr>
          <w:rFonts w:ascii="Book Antiqua" w:eastAsia="Times New Roman" w:hAnsi="Book Antiqua" w:cs="Times New Roman"/>
          <w:color w:val="000000" w:themeColor="text1"/>
          <w:sz w:val="24"/>
          <w:szCs w:val="24"/>
        </w:rPr>
        <w:t>-B, might be associated with liver cirrhosis and the pathogenesis of PH.</w:t>
      </w:r>
    </w:p>
    <w:p w:rsidR="00A80F5F" w:rsidRPr="006410B4" w:rsidRDefault="00CB46AE" w:rsidP="00C232BE">
      <w:pPr>
        <w:adjustRightInd w:val="0"/>
        <w:snapToGrid w:val="0"/>
        <w:spacing w:after="0" w:line="360" w:lineRule="auto"/>
        <w:ind w:firstLineChars="100" w:firstLine="240"/>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color w:val="000000" w:themeColor="text1"/>
          <w:sz w:val="24"/>
          <w:szCs w:val="24"/>
        </w:rPr>
        <w:t>In this study</w:t>
      </w:r>
      <w:r w:rsidR="00971ADE" w:rsidRPr="006410B4">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we aimed to </w:t>
      </w:r>
      <w:r w:rsidR="00F21BBB" w:rsidRPr="006410B4">
        <w:rPr>
          <w:rFonts w:ascii="Book Antiqua" w:eastAsia="Times New Roman" w:hAnsi="Book Antiqua" w:cs="Times New Roman"/>
          <w:color w:val="000000" w:themeColor="text1"/>
          <w:sz w:val="24"/>
          <w:szCs w:val="24"/>
        </w:rPr>
        <w:t xml:space="preserve">evaluate </w:t>
      </w:r>
      <w:r w:rsidRPr="006410B4">
        <w:rPr>
          <w:rFonts w:ascii="Book Antiqua" w:eastAsia="Times New Roman" w:hAnsi="Book Antiqua" w:cs="Times New Roman"/>
          <w:color w:val="000000" w:themeColor="text1"/>
          <w:sz w:val="24"/>
          <w:szCs w:val="24"/>
        </w:rPr>
        <w:t xml:space="preserve">plasma levels of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in </w:t>
      </w:r>
      <w:r w:rsidR="006706A7" w:rsidRPr="006410B4">
        <w:rPr>
          <w:rFonts w:ascii="Book Antiqua" w:eastAsia="Times New Roman" w:hAnsi="Book Antiqua" w:cs="Times New Roman"/>
          <w:color w:val="000000" w:themeColor="text1"/>
          <w:sz w:val="24"/>
          <w:szCs w:val="24"/>
        </w:rPr>
        <w:t>liver cirrhosis</w:t>
      </w:r>
      <w:r w:rsidR="00A80F5F" w:rsidRPr="006410B4">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patients with normal portal pressure</w:t>
      </w:r>
      <w:r w:rsidR="000957D8" w:rsidRPr="006410B4">
        <w:rPr>
          <w:rFonts w:ascii="Book Antiqua" w:eastAsia="Times New Roman" w:hAnsi="Book Antiqua" w:cs="Times New Roman"/>
          <w:color w:val="000000" w:themeColor="text1"/>
          <w:sz w:val="24"/>
          <w:szCs w:val="24"/>
        </w:rPr>
        <w:t xml:space="preserve"> and portal hypertension</w:t>
      </w:r>
      <w:r w:rsidR="002F5339" w:rsidRPr="006410B4">
        <w:rPr>
          <w:rFonts w:ascii="Book Antiqua" w:eastAsia="Times New Roman" w:hAnsi="Book Antiqua" w:cs="Times New Roman"/>
          <w:color w:val="000000" w:themeColor="text1"/>
          <w:sz w:val="24"/>
          <w:szCs w:val="24"/>
        </w:rPr>
        <w:t xml:space="preserve"> </w:t>
      </w:r>
      <w:r w:rsidR="000957D8" w:rsidRPr="006410B4">
        <w:rPr>
          <w:rFonts w:ascii="Book Antiqua" w:eastAsia="Times New Roman" w:hAnsi="Book Antiqua" w:cs="Times New Roman"/>
          <w:color w:val="000000" w:themeColor="text1"/>
          <w:sz w:val="24"/>
          <w:szCs w:val="24"/>
        </w:rPr>
        <w:t>as well as</w:t>
      </w:r>
      <w:r w:rsidRPr="006410B4">
        <w:rPr>
          <w:rFonts w:ascii="Book Antiqua" w:eastAsia="Times New Roman" w:hAnsi="Book Antiqua" w:cs="Times New Roman"/>
          <w:color w:val="000000" w:themeColor="text1"/>
          <w:sz w:val="24"/>
          <w:szCs w:val="24"/>
        </w:rPr>
        <w:t xml:space="preserve"> </w:t>
      </w:r>
      <w:r w:rsidR="000957D8" w:rsidRPr="006410B4">
        <w:rPr>
          <w:rFonts w:ascii="Book Antiqua" w:eastAsia="Times New Roman" w:hAnsi="Book Antiqua" w:cs="Times New Roman"/>
          <w:color w:val="000000" w:themeColor="text1"/>
          <w:sz w:val="24"/>
          <w:szCs w:val="24"/>
        </w:rPr>
        <w:t xml:space="preserve">in </w:t>
      </w:r>
      <w:r w:rsidRPr="006410B4">
        <w:rPr>
          <w:rFonts w:ascii="Book Antiqua" w:eastAsia="Times New Roman" w:hAnsi="Book Antiqua" w:cs="Times New Roman"/>
          <w:color w:val="000000" w:themeColor="text1"/>
          <w:sz w:val="24"/>
          <w:szCs w:val="24"/>
        </w:rPr>
        <w:t>controls</w:t>
      </w:r>
      <w:r w:rsidR="002F5339"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We also aimed to evaluate the </w:t>
      </w:r>
      <w:r w:rsidR="00F21BBB" w:rsidRPr="006410B4">
        <w:rPr>
          <w:rFonts w:ascii="Book Antiqua" w:eastAsia="Times New Roman" w:hAnsi="Book Antiqua" w:cs="Times New Roman"/>
          <w:color w:val="000000" w:themeColor="text1"/>
          <w:sz w:val="24"/>
          <w:szCs w:val="24"/>
        </w:rPr>
        <w:t xml:space="preserve">potential </w:t>
      </w:r>
      <w:r w:rsidRPr="006410B4">
        <w:rPr>
          <w:rFonts w:ascii="Book Antiqua" w:eastAsia="Times New Roman" w:hAnsi="Book Antiqua" w:cs="Times New Roman"/>
          <w:color w:val="000000" w:themeColor="text1"/>
          <w:sz w:val="24"/>
          <w:szCs w:val="24"/>
        </w:rPr>
        <w:t xml:space="preserve">of plasma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levels </w:t>
      </w:r>
      <w:r w:rsidR="00F21BBB" w:rsidRPr="006410B4">
        <w:rPr>
          <w:rFonts w:ascii="Book Antiqua" w:eastAsia="Times New Roman" w:hAnsi="Book Antiqua" w:cs="Times New Roman"/>
          <w:color w:val="000000" w:themeColor="text1"/>
          <w:sz w:val="24"/>
          <w:szCs w:val="24"/>
        </w:rPr>
        <w:t>as biomarker</w:t>
      </w:r>
      <w:r w:rsidR="00816BB9" w:rsidRPr="006410B4">
        <w:rPr>
          <w:rFonts w:ascii="Book Antiqua" w:eastAsia="Times New Roman" w:hAnsi="Book Antiqua" w:cs="Times New Roman"/>
          <w:color w:val="000000" w:themeColor="text1"/>
          <w:sz w:val="24"/>
          <w:szCs w:val="24"/>
        </w:rPr>
        <w:t>s</w:t>
      </w:r>
      <w:r w:rsidR="00F21BBB" w:rsidRPr="006410B4">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to predict CSPH and SPH</w:t>
      </w:r>
      <w:r w:rsidR="009E52E4" w:rsidRPr="006410B4">
        <w:rPr>
          <w:rFonts w:ascii="Book Antiqua" w:eastAsia="Times New Roman" w:hAnsi="Book Antiqua" w:cs="Times New Roman"/>
          <w:color w:val="000000" w:themeColor="text1"/>
          <w:sz w:val="24"/>
          <w:szCs w:val="24"/>
        </w:rPr>
        <w:t xml:space="preserve"> as well as complications of portal hypertension.</w:t>
      </w:r>
      <w:r w:rsidRPr="006410B4">
        <w:rPr>
          <w:rFonts w:ascii="Book Antiqua" w:eastAsia="Times New Roman" w:hAnsi="Book Antiqua" w:cs="Times New Roman"/>
          <w:color w:val="000000" w:themeColor="text1"/>
          <w:sz w:val="24"/>
          <w:szCs w:val="24"/>
        </w:rPr>
        <w:t xml:space="preserve"> </w:t>
      </w:r>
    </w:p>
    <w:p w:rsidR="00C232BE" w:rsidRDefault="00C232BE"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p>
    <w:p w:rsidR="00C42FE6" w:rsidRPr="006410B4" w:rsidRDefault="00370328"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color w:val="000000" w:themeColor="text1"/>
          <w:sz w:val="24"/>
          <w:szCs w:val="24"/>
        </w:rPr>
        <w:t xml:space="preserve">MATERIALS AND METHODS </w:t>
      </w:r>
    </w:p>
    <w:p w:rsidR="007D4B3C" w:rsidRPr="006410B4" w:rsidRDefault="00BF498E"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6410B4">
        <w:rPr>
          <w:rFonts w:ascii="Book Antiqua" w:eastAsia="Times New Roman" w:hAnsi="Book Antiqua" w:cs="Times New Roman"/>
          <w:b/>
          <w:i/>
          <w:color w:val="000000" w:themeColor="text1"/>
          <w:sz w:val="24"/>
          <w:szCs w:val="24"/>
        </w:rPr>
        <w:t>Patients</w:t>
      </w:r>
    </w:p>
    <w:p w:rsidR="00A00CCE" w:rsidRPr="006410B4" w:rsidRDefault="00BF498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The study included patients with hepatitis C</w:t>
      </w:r>
      <w:r w:rsidR="009E52E4" w:rsidRPr="006410B4">
        <w:rPr>
          <w:rFonts w:ascii="Book Antiqua" w:eastAsia="Times New Roman" w:hAnsi="Book Antiqua" w:cs="Times New Roman"/>
          <w:color w:val="000000" w:themeColor="text1"/>
          <w:sz w:val="24"/>
          <w:szCs w:val="24"/>
        </w:rPr>
        <w:t xml:space="preserve"> virus</w:t>
      </w:r>
      <w:r w:rsidRPr="006410B4">
        <w:rPr>
          <w:rFonts w:ascii="Book Antiqua" w:eastAsia="Times New Roman" w:hAnsi="Book Antiqua" w:cs="Times New Roman"/>
          <w:color w:val="000000" w:themeColor="text1"/>
          <w:sz w:val="24"/>
          <w:szCs w:val="24"/>
        </w:rPr>
        <w:t xml:space="preserve"> and/or alcoh</w:t>
      </w:r>
      <w:r w:rsidR="00971ADE" w:rsidRPr="006410B4">
        <w:rPr>
          <w:rFonts w:ascii="Book Antiqua" w:eastAsia="Times New Roman" w:hAnsi="Book Antiqua" w:cs="Times New Roman"/>
          <w:color w:val="000000" w:themeColor="text1"/>
          <w:sz w:val="24"/>
          <w:szCs w:val="24"/>
        </w:rPr>
        <w:t>ol induced</w:t>
      </w:r>
      <w:r w:rsidRPr="006410B4">
        <w:rPr>
          <w:rFonts w:ascii="Book Antiqua" w:eastAsia="Times New Roman" w:hAnsi="Book Antiqua" w:cs="Times New Roman"/>
          <w:color w:val="000000" w:themeColor="text1"/>
          <w:sz w:val="24"/>
          <w:szCs w:val="24"/>
        </w:rPr>
        <w:t xml:space="preserve"> liver cirrhosis who underwent a scheduled HVPG measurement or </w:t>
      </w:r>
      <w:proofErr w:type="spellStart"/>
      <w:r w:rsidRPr="006410B4">
        <w:rPr>
          <w:rFonts w:ascii="Book Antiqua" w:eastAsia="Times New Roman" w:hAnsi="Book Antiqua" w:cs="Times New Roman"/>
          <w:color w:val="000000" w:themeColor="text1"/>
          <w:sz w:val="24"/>
          <w:szCs w:val="24"/>
        </w:rPr>
        <w:t>transjugular</w:t>
      </w:r>
      <w:proofErr w:type="spellEnd"/>
      <w:r w:rsidRPr="006410B4">
        <w:rPr>
          <w:rFonts w:ascii="Book Antiqua" w:eastAsia="Times New Roman" w:hAnsi="Book Antiqua" w:cs="Times New Roman"/>
          <w:color w:val="000000" w:themeColor="text1"/>
          <w:sz w:val="24"/>
          <w:szCs w:val="24"/>
        </w:rPr>
        <w:t xml:space="preserve"> liver biopsy in the </w:t>
      </w:r>
      <w:r w:rsidRPr="006410B4">
        <w:rPr>
          <w:rFonts w:ascii="Book Antiqua" w:eastAsia="Times New Roman" w:hAnsi="Book Antiqua" w:cs="Times New Roman"/>
          <w:color w:val="000000" w:themeColor="text1"/>
          <w:sz w:val="24"/>
          <w:szCs w:val="24"/>
        </w:rPr>
        <w:lastRenderedPageBreak/>
        <w:t>Department of Gastroenterology, Lithuanian University of Hea</w:t>
      </w:r>
      <w:r w:rsidR="00154A54" w:rsidRPr="006410B4">
        <w:rPr>
          <w:rFonts w:ascii="Book Antiqua" w:eastAsia="Times New Roman" w:hAnsi="Book Antiqua" w:cs="Times New Roman"/>
          <w:color w:val="000000" w:themeColor="text1"/>
          <w:sz w:val="24"/>
          <w:szCs w:val="24"/>
        </w:rPr>
        <w:t>lth Sciences from September 2015</w:t>
      </w:r>
      <w:r w:rsidRPr="006410B4">
        <w:rPr>
          <w:rFonts w:ascii="Book Antiqua" w:eastAsia="Times New Roman" w:hAnsi="Book Antiqua" w:cs="Times New Roman"/>
          <w:color w:val="000000" w:themeColor="text1"/>
          <w:sz w:val="24"/>
          <w:szCs w:val="24"/>
        </w:rPr>
        <w:t xml:space="preserve"> to December 2017. </w:t>
      </w:r>
      <w:r w:rsidR="00A00CCE" w:rsidRPr="006410B4">
        <w:rPr>
          <w:rFonts w:ascii="Book Antiqua" w:eastAsia="Times New Roman" w:hAnsi="Book Antiqua" w:cs="Times New Roman"/>
          <w:color w:val="000000" w:themeColor="text1"/>
          <w:sz w:val="24"/>
          <w:szCs w:val="24"/>
        </w:rPr>
        <w:t xml:space="preserve">A total of 290 patients were examined, out of which 122 were included in the study. The main criteria for the exclusion from the study were: </w:t>
      </w:r>
      <w:r w:rsidRPr="006410B4">
        <w:rPr>
          <w:rFonts w:ascii="Book Antiqua" w:eastAsia="Times New Roman" w:hAnsi="Book Antiqua" w:cs="Times New Roman"/>
          <w:color w:val="000000" w:themeColor="text1"/>
          <w:sz w:val="24"/>
          <w:szCs w:val="24"/>
        </w:rPr>
        <w:t xml:space="preserve">pre- or </w:t>
      </w:r>
      <w:proofErr w:type="spellStart"/>
      <w:r w:rsidRPr="006410B4">
        <w:rPr>
          <w:rFonts w:ascii="Book Antiqua" w:eastAsia="Times New Roman" w:hAnsi="Book Antiqua" w:cs="Times New Roman"/>
          <w:color w:val="000000" w:themeColor="text1"/>
          <w:sz w:val="24"/>
          <w:szCs w:val="24"/>
        </w:rPr>
        <w:t>posthepatic</w:t>
      </w:r>
      <w:proofErr w:type="spellEnd"/>
      <w:r w:rsidRPr="006410B4">
        <w:rPr>
          <w:rFonts w:ascii="Book Antiqua" w:eastAsia="Times New Roman" w:hAnsi="Book Antiqua" w:cs="Times New Roman"/>
          <w:color w:val="000000" w:themeColor="text1"/>
          <w:sz w:val="24"/>
          <w:szCs w:val="24"/>
        </w:rPr>
        <w:t xml:space="preserve"> causes of portal hypertension, cardiovascular, kidney disease, diabetes, neurodegenerative diseases, active infection, hepatocellular carcinoma or </w:t>
      </w:r>
      <w:r w:rsidR="009049AF" w:rsidRPr="006410B4">
        <w:rPr>
          <w:rFonts w:ascii="Book Antiqua" w:eastAsia="Times New Roman" w:hAnsi="Book Antiqua" w:cs="Times New Roman"/>
          <w:color w:val="000000" w:themeColor="text1"/>
          <w:sz w:val="24"/>
          <w:szCs w:val="24"/>
        </w:rPr>
        <w:t xml:space="preserve">cancer of </w:t>
      </w:r>
      <w:r w:rsidRPr="006410B4">
        <w:rPr>
          <w:rFonts w:ascii="Book Antiqua" w:eastAsia="Times New Roman" w:hAnsi="Book Antiqua" w:cs="Times New Roman"/>
          <w:color w:val="000000" w:themeColor="text1"/>
          <w:sz w:val="24"/>
          <w:szCs w:val="24"/>
        </w:rPr>
        <w:t>other location</w:t>
      </w:r>
      <w:r w:rsidR="00971ADE" w:rsidRPr="006410B4">
        <w:rPr>
          <w:rFonts w:ascii="Book Antiqua" w:eastAsia="Times New Roman" w:hAnsi="Book Antiqua" w:cs="Times New Roman"/>
          <w:color w:val="000000" w:themeColor="text1"/>
          <w:sz w:val="24"/>
          <w:szCs w:val="24"/>
        </w:rPr>
        <w:t>. We also excluded the patients with the history of</w:t>
      </w:r>
      <w:r w:rsidRPr="006410B4">
        <w:rPr>
          <w:rFonts w:ascii="Book Antiqua" w:eastAsia="Times New Roman" w:hAnsi="Book Antiqua" w:cs="Times New Roman"/>
          <w:color w:val="000000" w:themeColor="text1"/>
          <w:sz w:val="24"/>
          <w:szCs w:val="24"/>
        </w:rPr>
        <w:t xml:space="preserve"> current use of beta-blockers</w:t>
      </w:r>
      <w:r w:rsidR="009E52E4" w:rsidRPr="006410B4">
        <w:rPr>
          <w:rFonts w:ascii="Book Antiqua" w:eastAsia="Times New Roman" w:hAnsi="Book Antiqua" w:cs="Times New Roman"/>
          <w:color w:val="000000" w:themeColor="text1"/>
          <w:sz w:val="24"/>
          <w:szCs w:val="24"/>
        </w:rPr>
        <w:t xml:space="preserve"> or other vasoactive drugs</w:t>
      </w:r>
      <w:r w:rsidRPr="006410B4">
        <w:rPr>
          <w:rFonts w:ascii="Book Antiqua" w:eastAsia="Times New Roman" w:hAnsi="Book Antiqua" w:cs="Times New Roman"/>
          <w:color w:val="000000" w:themeColor="text1"/>
          <w:sz w:val="24"/>
          <w:szCs w:val="24"/>
        </w:rPr>
        <w:t>. Demographic data, medical history (presence of ascites, esophageal varices), Child-Turcotte-Pugh and Model of End Stage liver disease (MELD) score, clinical chemistry, liver stiffness (</w:t>
      </w:r>
      <w:proofErr w:type="spellStart"/>
      <w:r w:rsidRPr="006410B4">
        <w:rPr>
          <w:rFonts w:ascii="Book Antiqua" w:eastAsia="Times New Roman" w:hAnsi="Book Antiqua" w:cs="Times New Roman"/>
          <w:color w:val="000000" w:themeColor="text1"/>
          <w:sz w:val="24"/>
          <w:szCs w:val="24"/>
        </w:rPr>
        <w:t>Fibroscan</w:t>
      </w:r>
      <w:proofErr w:type="spellEnd"/>
      <w:r w:rsidRPr="006410B4">
        <w:rPr>
          <w:rFonts w:ascii="Book Antiqua" w:eastAsia="Times New Roman" w:hAnsi="Book Antiqua" w:cs="Times New Roman"/>
          <w:color w:val="000000" w:themeColor="text1"/>
          <w:sz w:val="24"/>
          <w:szCs w:val="24"/>
        </w:rPr>
        <w:t xml:space="preserve">, </w:t>
      </w:r>
      <w:proofErr w:type="spellStart"/>
      <w:r w:rsidRPr="006410B4">
        <w:rPr>
          <w:rFonts w:ascii="Book Antiqua" w:eastAsia="Times New Roman" w:hAnsi="Book Antiqua" w:cs="Times New Roman"/>
          <w:color w:val="000000" w:themeColor="text1"/>
          <w:sz w:val="24"/>
          <w:szCs w:val="24"/>
        </w:rPr>
        <w:t>Echosens</w:t>
      </w:r>
      <w:proofErr w:type="spellEnd"/>
      <w:r w:rsidRPr="006410B4">
        <w:rPr>
          <w:rFonts w:ascii="Book Antiqua" w:eastAsia="Times New Roman" w:hAnsi="Book Antiqua" w:cs="Times New Roman"/>
          <w:color w:val="000000" w:themeColor="text1"/>
          <w:sz w:val="24"/>
          <w:szCs w:val="24"/>
        </w:rPr>
        <w:t xml:space="preserve">, France), plasma levels of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and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HVPG value</w:t>
      </w:r>
      <w:r w:rsidR="002633C6" w:rsidRPr="006410B4">
        <w:rPr>
          <w:rFonts w:ascii="Book Antiqua" w:eastAsia="Times New Roman" w:hAnsi="Book Antiqua" w:cs="Times New Roman"/>
          <w:color w:val="000000" w:themeColor="text1"/>
          <w:sz w:val="24"/>
          <w:szCs w:val="24"/>
        </w:rPr>
        <w:t>s</w:t>
      </w:r>
      <w:r w:rsidRPr="006410B4">
        <w:rPr>
          <w:rFonts w:ascii="Book Antiqua" w:eastAsia="Times New Roman" w:hAnsi="Book Antiqua" w:cs="Times New Roman"/>
          <w:color w:val="000000" w:themeColor="text1"/>
          <w:sz w:val="24"/>
          <w:szCs w:val="24"/>
        </w:rPr>
        <w:t xml:space="preserve"> were recorded</w:t>
      </w:r>
      <w:r w:rsidR="00971ADE" w:rsidRPr="006410B4">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on the day of </w:t>
      </w:r>
      <w:r w:rsidR="003034A5" w:rsidRPr="006410B4">
        <w:rPr>
          <w:rFonts w:ascii="Book Antiqua" w:eastAsia="Times New Roman" w:hAnsi="Book Antiqua" w:cs="Times New Roman"/>
          <w:color w:val="000000" w:themeColor="text1"/>
          <w:sz w:val="24"/>
          <w:szCs w:val="24"/>
        </w:rPr>
        <w:t xml:space="preserve">the procedure prior </w:t>
      </w:r>
      <w:r w:rsidRPr="006410B4">
        <w:rPr>
          <w:rFonts w:ascii="Book Antiqua" w:eastAsia="Times New Roman" w:hAnsi="Book Antiqua" w:cs="Times New Roman"/>
          <w:color w:val="000000" w:themeColor="text1"/>
          <w:sz w:val="24"/>
          <w:szCs w:val="24"/>
        </w:rPr>
        <w:t xml:space="preserve">HVPG measurement. </w:t>
      </w:r>
    </w:p>
    <w:p w:rsidR="00A00CCE" w:rsidRPr="006410B4" w:rsidRDefault="00A00CCE" w:rsidP="00C232BE">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Liver cirrhosis was diagnosed according to clinical, laboratory and radiologic data and/or histology; the presence of portal hypertension was diagnosed by hepatic vein catheterization.</w:t>
      </w:r>
    </w:p>
    <w:p w:rsidR="00154A54" w:rsidRPr="006410B4" w:rsidRDefault="00C232BE" w:rsidP="00C232BE">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Thirty</w:t>
      </w:r>
      <w:r w:rsidR="00154A54" w:rsidRPr="006410B4">
        <w:rPr>
          <w:rFonts w:ascii="Book Antiqua" w:eastAsia="Times New Roman" w:hAnsi="Book Antiqua" w:cs="Times New Roman"/>
          <w:color w:val="000000" w:themeColor="text1"/>
          <w:sz w:val="24"/>
          <w:szCs w:val="24"/>
        </w:rPr>
        <w:t xml:space="preserve"> healthy volunteers, matched for age and sex, with normal liver enzymes and normal liver stiffness measurements were included as controls for peripheral levels of </w:t>
      </w:r>
      <w:proofErr w:type="spellStart"/>
      <w:r w:rsidR="00154A54" w:rsidRPr="006410B4">
        <w:rPr>
          <w:rFonts w:ascii="Book Antiqua" w:eastAsia="Times New Roman" w:hAnsi="Book Antiqua" w:cs="Times New Roman"/>
          <w:color w:val="000000" w:themeColor="text1"/>
          <w:sz w:val="24"/>
          <w:szCs w:val="24"/>
        </w:rPr>
        <w:t>Nogo</w:t>
      </w:r>
      <w:proofErr w:type="spellEnd"/>
      <w:r w:rsidR="00154A54" w:rsidRPr="006410B4">
        <w:rPr>
          <w:rFonts w:ascii="Book Antiqua" w:eastAsia="Times New Roman" w:hAnsi="Book Antiqua" w:cs="Times New Roman"/>
          <w:color w:val="000000" w:themeColor="text1"/>
          <w:sz w:val="24"/>
          <w:szCs w:val="24"/>
        </w:rPr>
        <w:t xml:space="preserve">-A and </w:t>
      </w:r>
      <w:proofErr w:type="spellStart"/>
      <w:r w:rsidR="00154A54" w:rsidRPr="006410B4">
        <w:rPr>
          <w:rFonts w:ascii="Book Antiqua" w:eastAsia="Times New Roman" w:hAnsi="Book Antiqua" w:cs="Times New Roman"/>
          <w:color w:val="000000" w:themeColor="text1"/>
          <w:sz w:val="24"/>
          <w:szCs w:val="24"/>
        </w:rPr>
        <w:t>PlGF</w:t>
      </w:r>
      <w:proofErr w:type="spellEnd"/>
      <w:r w:rsidR="00154A54" w:rsidRPr="006410B4">
        <w:rPr>
          <w:rFonts w:ascii="Book Antiqua" w:eastAsia="Times New Roman" w:hAnsi="Book Antiqua" w:cs="Times New Roman"/>
          <w:color w:val="000000" w:themeColor="text1"/>
          <w:sz w:val="24"/>
          <w:szCs w:val="24"/>
        </w:rPr>
        <w:t>.</w:t>
      </w:r>
    </w:p>
    <w:p w:rsidR="00C42FE6" w:rsidRDefault="00BF498E" w:rsidP="00C232BE">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6410B4">
        <w:rPr>
          <w:rFonts w:ascii="Book Antiqua" w:eastAsia="Times New Roman" w:hAnsi="Book Antiqua" w:cs="Times New Roman"/>
          <w:color w:val="000000" w:themeColor="text1"/>
          <w:sz w:val="24"/>
          <w:szCs w:val="24"/>
        </w:rPr>
        <w:t>The study was approved by Kaunas Region Biomedical Research Ethics Committee (2015-08-24, No.</w:t>
      </w:r>
      <w:r w:rsidR="00C232BE">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BE-2-28, Kaunas, Lithuania). Every participant provided a written </w:t>
      </w:r>
      <w:r w:rsidR="004F7134" w:rsidRPr="006410B4">
        <w:rPr>
          <w:rFonts w:ascii="Book Antiqua" w:eastAsia="Times New Roman" w:hAnsi="Book Antiqua" w:cs="Times New Roman"/>
          <w:color w:val="000000" w:themeColor="text1"/>
          <w:sz w:val="24"/>
          <w:szCs w:val="24"/>
        </w:rPr>
        <w:t xml:space="preserve">informed </w:t>
      </w:r>
      <w:r w:rsidRPr="006410B4">
        <w:rPr>
          <w:rFonts w:ascii="Book Antiqua" w:eastAsia="Times New Roman" w:hAnsi="Book Antiqua" w:cs="Times New Roman"/>
          <w:color w:val="000000" w:themeColor="text1"/>
          <w:sz w:val="24"/>
          <w:szCs w:val="24"/>
        </w:rPr>
        <w:t xml:space="preserve">consent to participate in the study </w:t>
      </w:r>
      <w:r w:rsidR="00154A54" w:rsidRPr="006410B4">
        <w:rPr>
          <w:rFonts w:ascii="Book Antiqua" w:eastAsia="Times New Roman" w:hAnsi="Book Antiqua" w:cs="Times New Roman"/>
          <w:color w:val="000000" w:themeColor="text1"/>
          <w:sz w:val="24"/>
          <w:szCs w:val="24"/>
        </w:rPr>
        <w:t>and</w:t>
      </w:r>
      <w:r w:rsidR="00816BB9" w:rsidRPr="006410B4">
        <w:rPr>
          <w:rFonts w:ascii="Book Antiqua" w:eastAsia="Times New Roman" w:hAnsi="Book Antiqua" w:cs="Times New Roman"/>
          <w:color w:val="000000" w:themeColor="text1"/>
          <w:sz w:val="24"/>
          <w:szCs w:val="24"/>
        </w:rPr>
        <w:t xml:space="preserve"> </w:t>
      </w:r>
      <w:r w:rsidR="00816BB9" w:rsidRPr="006410B4">
        <w:rPr>
          <w:rFonts w:ascii="Book Antiqua" w:hAnsi="Book Antiqua" w:cs="Times New Roman"/>
          <w:color w:val="000000" w:themeColor="text1"/>
          <w:sz w:val="24"/>
          <w:szCs w:val="24"/>
          <w:shd w:val="clear" w:color="auto" w:fill="FFFFFF"/>
        </w:rPr>
        <w:t>study protocol conforms to the ethical guidelines of t</w:t>
      </w:r>
      <w:r w:rsidR="00154A54" w:rsidRPr="006410B4">
        <w:rPr>
          <w:rFonts w:ascii="Book Antiqua" w:hAnsi="Book Antiqua" w:cs="Times New Roman"/>
          <w:color w:val="000000" w:themeColor="text1"/>
          <w:sz w:val="24"/>
          <w:szCs w:val="24"/>
          <w:shd w:val="clear" w:color="auto" w:fill="FFFFFF"/>
        </w:rPr>
        <w:t>he 1975 Declaration of Helsinki.</w:t>
      </w:r>
    </w:p>
    <w:p w:rsidR="00C232BE" w:rsidRPr="006410B4" w:rsidRDefault="00C232BE" w:rsidP="00C232BE">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p>
    <w:p w:rsidR="007D4B3C" w:rsidRPr="006410B4" w:rsidRDefault="001A428D"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proofErr w:type="spellStart"/>
      <w:r w:rsidRPr="006410B4">
        <w:rPr>
          <w:rFonts w:ascii="Book Antiqua" w:eastAsia="Times New Roman" w:hAnsi="Book Antiqua" w:cs="Times New Roman"/>
          <w:b/>
          <w:i/>
          <w:color w:val="000000" w:themeColor="text1"/>
          <w:sz w:val="24"/>
          <w:szCs w:val="24"/>
        </w:rPr>
        <w:t>Nogo</w:t>
      </w:r>
      <w:proofErr w:type="spellEnd"/>
      <w:r w:rsidRPr="006410B4">
        <w:rPr>
          <w:rFonts w:ascii="Book Antiqua" w:eastAsia="Times New Roman" w:hAnsi="Book Antiqua" w:cs="Times New Roman"/>
          <w:b/>
          <w:i/>
          <w:color w:val="000000" w:themeColor="text1"/>
          <w:sz w:val="24"/>
          <w:szCs w:val="24"/>
        </w:rPr>
        <w:t xml:space="preserve">-A and </w:t>
      </w:r>
      <w:proofErr w:type="spellStart"/>
      <w:r w:rsidRPr="006410B4">
        <w:rPr>
          <w:rFonts w:ascii="Book Antiqua" w:eastAsia="Times New Roman" w:hAnsi="Book Antiqua" w:cs="Times New Roman"/>
          <w:b/>
          <w:i/>
          <w:color w:val="000000" w:themeColor="text1"/>
          <w:sz w:val="24"/>
          <w:szCs w:val="24"/>
        </w:rPr>
        <w:t>PlGF</w:t>
      </w:r>
      <w:proofErr w:type="spellEnd"/>
      <w:r w:rsidRPr="006410B4">
        <w:rPr>
          <w:rFonts w:ascii="Book Antiqua" w:eastAsia="Times New Roman" w:hAnsi="Book Antiqua" w:cs="Times New Roman"/>
          <w:b/>
          <w:i/>
          <w:color w:val="000000" w:themeColor="text1"/>
          <w:sz w:val="24"/>
          <w:szCs w:val="24"/>
        </w:rPr>
        <w:t xml:space="preserve"> measurements</w:t>
      </w:r>
    </w:p>
    <w:p w:rsidR="00C42FE6" w:rsidRDefault="00BF498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Peripheral blood samples were obtained on the day of </w:t>
      </w:r>
      <w:r w:rsidR="00F20289" w:rsidRPr="006410B4">
        <w:rPr>
          <w:rFonts w:ascii="Book Antiqua" w:eastAsia="Times New Roman" w:hAnsi="Book Antiqua" w:cs="Times New Roman"/>
          <w:color w:val="000000" w:themeColor="text1"/>
          <w:sz w:val="24"/>
          <w:szCs w:val="24"/>
        </w:rPr>
        <w:t xml:space="preserve">the </w:t>
      </w:r>
      <w:r w:rsidRPr="006410B4">
        <w:rPr>
          <w:rFonts w:ascii="Book Antiqua" w:eastAsia="Times New Roman" w:hAnsi="Book Antiqua" w:cs="Times New Roman"/>
          <w:color w:val="000000" w:themeColor="text1"/>
          <w:sz w:val="24"/>
          <w:szCs w:val="24"/>
        </w:rPr>
        <w:t xml:space="preserve">procedure. Blood samples from the hepatic vein were obtained during the HVPG measurement in EDTA tubes. Samples were centrifuged </w:t>
      </w:r>
      <w:r w:rsidR="00F21BBB" w:rsidRPr="006410B4">
        <w:rPr>
          <w:rFonts w:ascii="Book Antiqua" w:eastAsia="Times New Roman" w:hAnsi="Book Antiqua" w:cs="Times New Roman"/>
          <w:color w:val="000000" w:themeColor="text1"/>
          <w:sz w:val="24"/>
          <w:szCs w:val="24"/>
        </w:rPr>
        <w:t xml:space="preserve">at </w:t>
      </w:r>
      <w:r w:rsidRPr="006410B4">
        <w:rPr>
          <w:rFonts w:ascii="Book Antiqua" w:eastAsia="Times New Roman" w:hAnsi="Book Antiqua" w:cs="Times New Roman"/>
          <w:color w:val="000000" w:themeColor="text1"/>
          <w:sz w:val="24"/>
          <w:szCs w:val="24"/>
        </w:rPr>
        <w:t>room temperature in 3500</w:t>
      </w:r>
      <w:r w:rsidR="00C232BE">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g for 10 min, plasma was separated and stored in -80</w:t>
      </w:r>
      <w:r w:rsidR="00C232BE">
        <w:rPr>
          <w:rFonts w:ascii="Book Antiqua" w:eastAsia="Times New Roman" w:hAnsi="Book Antiqua" w:cs="Times New Roman"/>
          <w:color w:val="000000" w:themeColor="text1"/>
          <w:sz w:val="24"/>
          <w:szCs w:val="24"/>
        </w:rPr>
        <w:t xml:space="preserve"> </w:t>
      </w:r>
      <w:r w:rsidR="00C232BE">
        <w:rPr>
          <w:rFonts w:ascii="Cambria Math" w:eastAsia="Times New Roman" w:hAnsi="Cambria Math" w:cs="Cambria Math"/>
          <w:color w:val="000000" w:themeColor="text1"/>
          <w:sz w:val="24"/>
          <w:szCs w:val="24"/>
          <w:lang w:eastAsia="ja-JP"/>
        </w:rPr>
        <w:t xml:space="preserve">℃ </w:t>
      </w:r>
      <w:r w:rsidRPr="006410B4">
        <w:rPr>
          <w:rFonts w:ascii="Book Antiqua" w:eastAsia="Times New Roman" w:hAnsi="Book Antiqua" w:cs="Times New Roman"/>
          <w:color w:val="000000" w:themeColor="text1"/>
          <w:sz w:val="24"/>
          <w:szCs w:val="24"/>
        </w:rPr>
        <w:t>for further analysis.</w:t>
      </w:r>
      <w:r w:rsidR="00024F0C" w:rsidRPr="006410B4">
        <w:rPr>
          <w:rFonts w:ascii="Book Antiqua" w:eastAsia="Times New Roman" w:hAnsi="Book Antiqua" w:cs="Times New Roman"/>
          <w:color w:val="000000" w:themeColor="text1"/>
          <w:sz w:val="24"/>
          <w:szCs w:val="24"/>
        </w:rPr>
        <w:t xml:space="preserve"> </w:t>
      </w:r>
      <w:r w:rsidR="00AC0AB8" w:rsidRPr="006410B4">
        <w:rPr>
          <w:rFonts w:ascii="Book Antiqua" w:eastAsia="Times New Roman" w:hAnsi="Book Antiqua" w:cs="Times New Roman"/>
          <w:color w:val="000000" w:themeColor="text1"/>
          <w:sz w:val="24"/>
          <w:szCs w:val="24"/>
        </w:rPr>
        <w:t>Sandwich e</w:t>
      </w:r>
      <w:r w:rsidR="00024F0C" w:rsidRPr="006410B4">
        <w:rPr>
          <w:rFonts w:ascii="Book Antiqua" w:hAnsi="Book Antiqua"/>
          <w:color w:val="000000" w:themeColor="text1"/>
          <w:sz w:val="24"/>
          <w:szCs w:val="24"/>
          <w:shd w:val="clear" w:color="auto" w:fill="FFFFFF"/>
        </w:rPr>
        <w:t xml:space="preserve">nzyme-linked immunosorbent assay (ELISA) kits were used to determine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w:t>
      </w:r>
      <w:r w:rsidR="00024F0C" w:rsidRPr="006410B4">
        <w:rPr>
          <w:rFonts w:ascii="Book Antiqua" w:eastAsia="Times New Roman" w:hAnsi="Book Antiqua" w:cs="Times New Roman"/>
          <w:color w:val="000000" w:themeColor="text1"/>
          <w:sz w:val="24"/>
          <w:szCs w:val="24"/>
        </w:rPr>
        <w:t xml:space="preserve"> (</w:t>
      </w:r>
      <w:proofErr w:type="spellStart"/>
      <w:r w:rsidR="00024F0C" w:rsidRPr="006410B4">
        <w:rPr>
          <w:rFonts w:ascii="Book Antiqua" w:eastAsia="Times New Roman" w:hAnsi="Book Antiqua" w:cs="Times New Roman"/>
          <w:color w:val="000000" w:themeColor="text1"/>
          <w:sz w:val="24"/>
          <w:szCs w:val="24"/>
        </w:rPr>
        <w:t>Elabscience</w:t>
      </w:r>
      <w:proofErr w:type="spellEnd"/>
      <w:r w:rsidR="00024F0C" w:rsidRPr="006410B4">
        <w:rPr>
          <w:rFonts w:ascii="Book Antiqua" w:eastAsia="Times New Roman" w:hAnsi="Book Antiqua" w:cs="Times New Roman"/>
          <w:color w:val="000000" w:themeColor="text1"/>
          <w:sz w:val="24"/>
          <w:szCs w:val="24"/>
        </w:rPr>
        <w:t xml:space="preserve">, </w:t>
      </w:r>
      <w:r w:rsidR="002F520F" w:rsidRPr="006410B4">
        <w:rPr>
          <w:rFonts w:ascii="Book Antiqua" w:eastAsia="Times New Roman" w:hAnsi="Book Antiqua" w:cs="Times New Roman"/>
          <w:color w:val="000000" w:themeColor="text1"/>
          <w:sz w:val="24"/>
          <w:szCs w:val="24"/>
        </w:rPr>
        <w:t>U</w:t>
      </w:r>
      <w:r w:rsidR="00C232BE">
        <w:rPr>
          <w:rFonts w:ascii="Book Antiqua" w:eastAsia="Times New Roman" w:hAnsi="Book Antiqua" w:cs="Times New Roman"/>
          <w:color w:val="000000" w:themeColor="text1"/>
          <w:sz w:val="24"/>
          <w:szCs w:val="24"/>
        </w:rPr>
        <w:t>nited States</w:t>
      </w:r>
      <w:r w:rsidR="002F520F"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and </w:t>
      </w:r>
      <w:proofErr w:type="spellStart"/>
      <w:r w:rsidRPr="006410B4">
        <w:rPr>
          <w:rFonts w:ascii="Book Antiqua" w:eastAsia="Times New Roman" w:hAnsi="Book Antiqua" w:cs="Times New Roman"/>
          <w:color w:val="000000" w:themeColor="text1"/>
          <w:sz w:val="24"/>
          <w:szCs w:val="24"/>
        </w:rPr>
        <w:t>PlGF</w:t>
      </w:r>
      <w:proofErr w:type="spellEnd"/>
      <w:r w:rsidR="002F520F" w:rsidRPr="006410B4">
        <w:rPr>
          <w:rFonts w:ascii="Book Antiqua" w:eastAsia="Times New Roman" w:hAnsi="Book Antiqua" w:cs="Times New Roman"/>
          <w:color w:val="000000" w:themeColor="text1"/>
          <w:sz w:val="24"/>
          <w:szCs w:val="24"/>
        </w:rPr>
        <w:t xml:space="preserve"> (</w:t>
      </w:r>
      <w:proofErr w:type="spellStart"/>
      <w:r w:rsidR="002F520F" w:rsidRPr="006410B4">
        <w:rPr>
          <w:rFonts w:ascii="Book Antiqua" w:eastAsia="Times New Roman" w:hAnsi="Book Antiqua" w:cs="Times New Roman"/>
          <w:color w:val="000000" w:themeColor="text1"/>
          <w:sz w:val="24"/>
          <w:szCs w:val="24"/>
        </w:rPr>
        <w:t>Abbexa</w:t>
      </w:r>
      <w:proofErr w:type="spellEnd"/>
      <w:r w:rsidR="002F520F" w:rsidRPr="006410B4">
        <w:rPr>
          <w:rFonts w:ascii="Book Antiqua" w:eastAsia="Times New Roman" w:hAnsi="Book Antiqua" w:cs="Times New Roman"/>
          <w:color w:val="000000" w:themeColor="text1"/>
          <w:sz w:val="24"/>
          <w:szCs w:val="24"/>
        </w:rPr>
        <w:t xml:space="preserve"> LTD,</w:t>
      </w:r>
      <w:r w:rsidR="00AC0AB8" w:rsidRPr="006410B4">
        <w:rPr>
          <w:rFonts w:ascii="Book Antiqua" w:eastAsia="Times New Roman" w:hAnsi="Book Antiqua" w:cs="Times New Roman"/>
          <w:color w:val="000000" w:themeColor="text1"/>
          <w:sz w:val="24"/>
          <w:szCs w:val="24"/>
        </w:rPr>
        <w:t xml:space="preserve"> U</w:t>
      </w:r>
      <w:r w:rsidR="00C232BE">
        <w:rPr>
          <w:rFonts w:ascii="Book Antiqua" w:eastAsia="Times New Roman" w:hAnsi="Book Antiqua" w:cs="Times New Roman"/>
          <w:color w:val="000000" w:themeColor="text1"/>
          <w:sz w:val="24"/>
          <w:szCs w:val="24"/>
        </w:rPr>
        <w:t>nited Kingdom</w:t>
      </w:r>
      <w:r w:rsidR="00AC0AB8"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w:t>
      </w:r>
      <w:r w:rsidR="00024F0C" w:rsidRPr="006410B4">
        <w:rPr>
          <w:rFonts w:ascii="Book Antiqua" w:eastAsia="Times New Roman" w:hAnsi="Book Antiqua" w:cs="Times New Roman"/>
          <w:color w:val="000000" w:themeColor="text1"/>
          <w:sz w:val="24"/>
          <w:szCs w:val="24"/>
        </w:rPr>
        <w:t xml:space="preserve">plasma </w:t>
      </w:r>
      <w:r w:rsidRPr="006410B4">
        <w:rPr>
          <w:rFonts w:ascii="Book Antiqua" w:eastAsia="Times New Roman" w:hAnsi="Book Antiqua" w:cs="Times New Roman"/>
          <w:color w:val="000000" w:themeColor="text1"/>
          <w:sz w:val="24"/>
          <w:szCs w:val="24"/>
        </w:rPr>
        <w:t>levels, according to manufacturers</w:t>
      </w:r>
      <w:r w:rsidR="00AC0AB8"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protocols</w:t>
      </w:r>
      <w:r w:rsidR="00AC0AB8" w:rsidRPr="006410B4">
        <w:rPr>
          <w:rFonts w:ascii="Book Antiqua" w:eastAsia="Times New Roman" w:hAnsi="Book Antiqua" w:cs="Times New Roman"/>
          <w:color w:val="000000" w:themeColor="text1"/>
          <w:sz w:val="24"/>
          <w:szCs w:val="24"/>
        </w:rPr>
        <w:t xml:space="preserve"> </w:t>
      </w:r>
      <w:r w:rsidR="00AC0AB8" w:rsidRPr="006410B4">
        <w:rPr>
          <w:rFonts w:ascii="Book Antiqua" w:eastAsia="Times New Roman" w:hAnsi="Book Antiqua" w:cs="Times New Roman"/>
          <w:color w:val="000000" w:themeColor="text1"/>
          <w:sz w:val="24"/>
          <w:szCs w:val="24"/>
        </w:rPr>
        <w:lastRenderedPageBreak/>
        <w:t xml:space="preserve">using </w:t>
      </w:r>
      <w:proofErr w:type="spellStart"/>
      <w:r w:rsidR="003824CF" w:rsidRPr="006410B4">
        <w:rPr>
          <w:rFonts w:ascii="Book Antiqua" w:eastAsia="Times New Roman" w:hAnsi="Book Antiqua" w:cs="Times New Roman"/>
          <w:color w:val="000000" w:themeColor="text1"/>
          <w:sz w:val="24"/>
          <w:szCs w:val="24"/>
        </w:rPr>
        <w:t>Sunrise</w:t>
      </w:r>
      <w:r w:rsidR="003824CF" w:rsidRPr="006410B4">
        <w:rPr>
          <w:rFonts w:ascii="Book Antiqua" w:eastAsia="Times New Roman" w:hAnsi="Book Antiqua" w:cs="Times New Roman"/>
          <w:color w:val="000000" w:themeColor="text1"/>
          <w:sz w:val="24"/>
          <w:szCs w:val="24"/>
          <w:vertAlign w:val="superscript"/>
        </w:rPr>
        <w:t>TM</w:t>
      </w:r>
      <w:proofErr w:type="spellEnd"/>
      <w:r w:rsidR="003824CF" w:rsidRPr="006410B4">
        <w:rPr>
          <w:rFonts w:ascii="Book Antiqua" w:eastAsia="Times New Roman" w:hAnsi="Book Antiqua" w:cs="Times New Roman"/>
          <w:color w:val="000000" w:themeColor="text1"/>
          <w:sz w:val="24"/>
          <w:szCs w:val="24"/>
          <w:vertAlign w:val="superscript"/>
        </w:rPr>
        <w:t xml:space="preserve"> </w:t>
      </w:r>
      <w:r w:rsidR="003824CF" w:rsidRPr="006410B4">
        <w:rPr>
          <w:rFonts w:ascii="Book Antiqua" w:eastAsia="Times New Roman" w:hAnsi="Book Antiqua" w:cs="Times New Roman"/>
          <w:color w:val="000000" w:themeColor="text1"/>
          <w:sz w:val="24"/>
          <w:szCs w:val="24"/>
        </w:rPr>
        <w:t xml:space="preserve">(Tecan Trading AG, Switzerland) </w:t>
      </w:r>
      <w:r w:rsidR="00AC0AB8" w:rsidRPr="006410B4">
        <w:rPr>
          <w:rFonts w:ascii="Book Antiqua" w:eastAsia="Times New Roman" w:hAnsi="Book Antiqua" w:cs="Times New Roman"/>
          <w:color w:val="000000" w:themeColor="text1"/>
          <w:sz w:val="24"/>
          <w:szCs w:val="24"/>
        </w:rPr>
        <w:t>m</w:t>
      </w:r>
      <w:r w:rsidR="002F520F" w:rsidRPr="006410B4">
        <w:rPr>
          <w:rFonts w:ascii="Book Antiqua" w:eastAsia="Times New Roman" w:hAnsi="Book Antiqua" w:cs="Times New Roman"/>
          <w:color w:val="000000" w:themeColor="text1"/>
          <w:sz w:val="24"/>
          <w:szCs w:val="24"/>
        </w:rPr>
        <w:t>icroplate reader with 450 nm wavelength filter</w:t>
      </w:r>
      <w:r w:rsidR="003824CF" w:rsidRPr="006410B4">
        <w:rPr>
          <w:rFonts w:ascii="Book Antiqua" w:eastAsia="Times New Roman" w:hAnsi="Book Antiqua" w:cs="Times New Roman"/>
          <w:color w:val="000000" w:themeColor="text1"/>
          <w:sz w:val="24"/>
          <w:szCs w:val="24"/>
        </w:rPr>
        <w:t xml:space="preserve"> and </w:t>
      </w:r>
      <w:proofErr w:type="spellStart"/>
      <w:r w:rsidR="003824CF" w:rsidRPr="006410B4">
        <w:rPr>
          <w:rFonts w:ascii="Book Antiqua" w:eastAsia="Times New Roman" w:hAnsi="Book Antiqua" w:cs="Times New Roman"/>
          <w:color w:val="000000" w:themeColor="text1"/>
          <w:sz w:val="24"/>
          <w:szCs w:val="24"/>
        </w:rPr>
        <w:t>Magellan</w:t>
      </w:r>
      <w:r w:rsidR="003824CF" w:rsidRPr="006410B4">
        <w:rPr>
          <w:rFonts w:ascii="Book Antiqua" w:eastAsia="Times New Roman" w:hAnsi="Book Antiqua" w:cs="Times New Roman"/>
          <w:color w:val="000000" w:themeColor="text1"/>
          <w:sz w:val="24"/>
          <w:szCs w:val="24"/>
          <w:vertAlign w:val="superscript"/>
        </w:rPr>
        <w:t>TM</w:t>
      </w:r>
      <w:proofErr w:type="spellEnd"/>
      <w:r w:rsidR="003824CF" w:rsidRPr="006410B4">
        <w:rPr>
          <w:rFonts w:ascii="Book Antiqua" w:eastAsia="Times New Roman" w:hAnsi="Book Antiqua" w:cs="Times New Roman"/>
          <w:color w:val="000000" w:themeColor="text1"/>
          <w:sz w:val="24"/>
          <w:szCs w:val="24"/>
        </w:rPr>
        <w:t xml:space="preserve"> (Tecan Trading AG, Switzerland) software</w:t>
      </w:r>
      <w:r w:rsidR="00AC0AB8" w:rsidRPr="006410B4">
        <w:rPr>
          <w:rFonts w:ascii="Book Antiqua" w:eastAsia="Times New Roman" w:hAnsi="Book Antiqua" w:cs="Times New Roman"/>
          <w:color w:val="000000" w:themeColor="text1"/>
          <w:sz w:val="24"/>
          <w:szCs w:val="24"/>
        </w:rPr>
        <w:t xml:space="preserve">. </w:t>
      </w:r>
      <w:r w:rsidR="00445D1D" w:rsidRPr="006410B4">
        <w:rPr>
          <w:rFonts w:ascii="Book Antiqua" w:eastAsia="Times New Roman" w:hAnsi="Book Antiqua" w:cs="Times New Roman"/>
          <w:color w:val="000000" w:themeColor="text1"/>
          <w:sz w:val="24"/>
          <w:szCs w:val="24"/>
        </w:rPr>
        <w:t>In each ELISA kit both controls and patients were included.</w:t>
      </w:r>
    </w:p>
    <w:p w:rsidR="00C232BE" w:rsidRPr="006410B4" w:rsidRDefault="00C232B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7D4B3C" w:rsidRPr="006410B4" w:rsidRDefault="00BF498E"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6410B4">
        <w:rPr>
          <w:rFonts w:ascii="Book Antiqua" w:eastAsia="Times New Roman" w:hAnsi="Book Antiqua" w:cs="Times New Roman"/>
          <w:b/>
          <w:i/>
          <w:color w:val="000000" w:themeColor="text1"/>
          <w:sz w:val="24"/>
          <w:szCs w:val="24"/>
        </w:rPr>
        <w:t>HVPG measurement</w:t>
      </w:r>
    </w:p>
    <w:p w:rsidR="00C42FE6" w:rsidRDefault="00BF498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The degree of portal hypertension was determined by the invasive HVPG measurement. The procedure was performed by the same experienced radiologist according to </w:t>
      </w:r>
      <w:r w:rsidR="00F20289" w:rsidRPr="006410B4">
        <w:rPr>
          <w:rFonts w:ascii="Book Antiqua" w:eastAsia="Times New Roman" w:hAnsi="Book Antiqua" w:cs="Times New Roman"/>
          <w:color w:val="000000" w:themeColor="text1"/>
          <w:sz w:val="24"/>
          <w:szCs w:val="24"/>
        </w:rPr>
        <w:t xml:space="preserve">the </w:t>
      </w:r>
      <w:r w:rsidRPr="006410B4">
        <w:rPr>
          <w:rFonts w:ascii="Book Antiqua" w:eastAsia="Times New Roman" w:hAnsi="Book Antiqua" w:cs="Times New Roman"/>
          <w:color w:val="000000" w:themeColor="text1"/>
          <w:sz w:val="24"/>
          <w:szCs w:val="24"/>
        </w:rPr>
        <w:t xml:space="preserve">standard as described by </w:t>
      </w:r>
      <w:proofErr w:type="spellStart"/>
      <w:r w:rsidRPr="006410B4">
        <w:rPr>
          <w:rFonts w:ascii="Book Antiqua" w:eastAsia="Times New Roman" w:hAnsi="Book Antiqua" w:cs="Times New Roman"/>
          <w:color w:val="000000" w:themeColor="text1"/>
          <w:sz w:val="24"/>
          <w:szCs w:val="24"/>
        </w:rPr>
        <w:t>Groszmann</w:t>
      </w:r>
      <w:proofErr w:type="spellEnd"/>
      <w:r w:rsidR="00C232BE">
        <w:rPr>
          <w:rFonts w:ascii="Book Antiqua" w:eastAsia="Times New Roman" w:hAnsi="Book Antiqua" w:cs="Times New Roman"/>
          <w:color w:val="000000" w:themeColor="text1"/>
          <w:sz w:val="24"/>
          <w:szCs w:val="24"/>
        </w:rPr>
        <w:t xml:space="preserve"> </w:t>
      </w:r>
      <w:r w:rsidR="00C232BE">
        <w:rPr>
          <w:rFonts w:ascii="Book Antiqua" w:eastAsia="Times New Roman" w:hAnsi="Book Antiqua" w:cs="Times New Roman"/>
          <w:i/>
          <w:color w:val="000000" w:themeColor="text1"/>
          <w:sz w:val="24"/>
          <w:szCs w:val="24"/>
        </w:rPr>
        <w:t>et al</w:t>
      </w:r>
      <w:r w:rsidR="001346FA" w:rsidRPr="006410B4">
        <w:rPr>
          <w:rFonts w:ascii="Book Antiqua" w:eastAsia="Times New Roman" w:hAnsi="Book Antiqua" w:cs="Times New Roman"/>
          <w:color w:val="000000" w:themeColor="text1"/>
          <w:sz w:val="24"/>
          <w:szCs w:val="24"/>
          <w:vertAlign w:val="superscript"/>
        </w:rPr>
        <w:t>[</w:t>
      </w:r>
      <w:r w:rsidR="00FF55AB" w:rsidRPr="006410B4">
        <w:rPr>
          <w:rStyle w:val="FootnoteReference"/>
          <w:rFonts w:ascii="Book Antiqua" w:eastAsia="Times New Roman" w:hAnsi="Book Antiqua" w:cs="Times New Roman"/>
          <w:color w:val="000000" w:themeColor="text1"/>
          <w:sz w:val="24"/>
          <w:szCs w:val="24"/>
        </w:rPr>
        <w:fldChar w:fldCharType="begin" w:fldLock="1"/>
      </w:r>
      <w:r w:rsidR="00F2624B" w:rsidRPr="006410B4">
        <w:rPr>
          <w:rFonts w:ascii="Book Antiqua" w:eastAsia="Times New Roman" w:hAnsi="Book Antiqua" w:cs="Times New Roman"/>
          <w:color w:val="000000" w:themeColor="text1"/>
          <w:sz w:val="24"/>
          <w:szCs w:val="24"/>
        </w:rPr>
        <w:instrText>ADDIN CSL_CITATION {"citationItems":[{"id":"ITEM-1","itemData":{"DOI":"10.1002/hep.20062","ISBN":"2039333665","ISSN":"02709139","PMID":"14767976","author":[{"dropping-particle":"","family":"Groszmann","given":"Roberto J.","non-dropping-particle":"","parse-names":false,"suffix":""},{"dropping-particle":"","family":"Wongcharatrawee","given":"Suchat","non-dropping-particle":"","parse-names":false,"suffix":""}],"container-title":"Hepatology","id":"ITEM-1","issue":"2","issued":{"date-parts":[["2004"]]},"page":"280-282","title":"The Hepatic Venous Pressure Gradient: Anything Worth Doing Should Be Done Right","type":"article-journal","volume":"39"},"uris":["http://www.mendeley.com/documents/?uuid=1fdb543d-9d1b-4f00-9369-64b5d6f55364"]}],"mendeley":{"formattedCitation":"&lt;sup&gt;32&lt;/sup&gt;","plainTextFormattedCitation":"32","previouslyFormattedCitation":"&lt;sup&gt;31&lt;/sup&gt;"},"properties":{"noteIndex":0},"schema":"https://github.com/citation-style-language/schema/raw/master/csl-citation.json"}</w:instrText>
      </w:r>
      <w:r w:rsidR="00FF55AB" w:rsidRPr="006410B4">
        <w:rPr>
          <w:rStyle w:val="FootnoteReference"/>
          <w:rFonts w:ascii="Book Antiqua" w:eastAsia="Times New Roman" w:hAnsi="Book Antiqua" w:cs="Times New Roman"/>
          <w:color w:val="000000" w:themeColor="text1"/>
          <w:sz w:val="24"/>
          <w:szCs w:val="24"/>
        </w:rPr>
        <w:fldChar w:fldCharType="separate"/>
      </w:r>
      <w:r w:rsidR="00F2624B" w:rsidRPr="006410B4">
        <w:rPr>
          <w:rFonts w:ascii="Book Antiqua" w:eastAsia="Times New Roman" w:hAnsi="Book Antiqua" w:cs="Times New Roman"/>
          <w:bCs/>
          <w:color w:val="000000" w:themeColor="text1"/>
          <w:sz w:val="24"/>
          <w:szCs w:val="24"/>
          <w:vertAlign w:val="superscript"/>
        </w:rPr>
        <w:t>32</w:t>
      </w:r>
      <w:r w:rsidR="00FF55AB" w:rsidRPr="006410B4">
        <w:rPr>
          <w:rStyle w:val="FootnoteReference"/>
          <w:rFonts w:ascii="Book Antiqua" w:eastAsia="Times New Roman" w:hAnsi="Book Antiqua" w:cs="Times New Roman"/>
          <w:color w:val="000000" w:themeColor="text1"/>
          <w:sz w:val="24"/>
          <w:szCs w:val="24"/>
        </w:rPr>
        <w:fldChar w:fldCharType="end"/>
      </w:r>
      <w:r w:rsidR="001346FA" w:rsidRPr="006410B4">
        <w:rPr>
          <w:rStyle w:val="FootnoteReference"/>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At least three repeated measurements were performed to determine free and wedged hepatic vein pressure </w:t>
      </w:r>
      <w:r w:rsidR="000509C5" w:rsidRPr="006410B4">
        <w:rPr>
          <w:rFonts w:ascii="Book Antiqua" w:eastAsia="Times New Roman" w:hAnsi="Book Antiqua" w:cs="Times New Roman"/>
          <w:color w:val="000000" w:themeColor="text1"/>
          <w:sz w:val="24"/>
          <w:szCs w:val="24"/>
        </w:rPr>
        <w:t xml:space="preserve">for calculation of </w:t>
      </w:r>
      <w:r w:rsidRPr="006410B4">
        <w:rPr>
          <w:rFonts w:ascii="Book Antiqua" w:eastAsia="Times New Roman" w:hAnsi="Book Antiqua" w:cs="Times New Roman"/>
          <w:color w:val="000000" w:themeColor="text1"/>
          <w:sz w:val="24"/>
          <w:szCs w:val="24"/>
        </w:rPr>
        <w:t xml:space="preserve">HVPG. </w:t>
      </w:r>
      <w:r w:rsidR="000509C5" w:rsidRPr="006410B4">
        <w:rPr>
          <w:rFonts w:ascii="Book Antiqua" w:eastAsia="Times New Roman" w:hAnsi="Book Antiqua" w:cs="Times New Roman"/>
          <w:color w:val="000000" w:themeColor="text1"/>
          <w:sz w:val="24"/>
          <w:szCs w:val="24"/>
        </w:rPr>
        <w:t>HVPG v</w:t>
      </w:r>
      <w:r w:rsidRPr="006410B4">
        <w:rPr>
          <w:rFonts w:ascii="Book Antiqua" w:eastAsia="Times New Roman" w:hAnsi="Book Antiqua" w:cs="Times New Roman"/>
          <w:color w:val="000000" w:themeColor="text1"/>
          <w:sz w:val="24"/>
          <w:szCs w:val="24"/>
        </w:rPr>
        <w:t xml:space="preserve">alues </w:t>
      </w:r>
      <w:r w:rsidR="000509C5" w:rsidRPr="006410B4">
        <w:rPr>
          <w:rFonts w:ascii="Book Antiqua" w:eastAsia="Times New Roman" w:hAnsi="Book Antiqua" w:cs="Times New Roman"/>
          <w:color w:val="000000" w:themeColor="text1"/>
          <w:sz w:val="24"/>
          <w:szCs w:val="24"/>
        </w:rPr>
        <w:t xml:space="preserve">of </w:t>
      </w:r>
      <w:r w:rsidRPr="006410B4">
        <w:rPr>
          <w:rFonts w:ascii="Book Antiqua" w:eastAsia="Times New Roman" w:hAnsi="Book Antiqua" w:cs="Times New Roman"/>
          <w:color w:val="000000" w:themeColor="text1"/>
          <w:sz w:val="24"/>
          <w:szCs w:val="24"/>
        </w:rPr>
        <w:t xml:space="preserve">1-5 mmHg were considered to represent normal portal pressure, whereas portal hypertension was diagnosed at a HVPG </w:t>
      </w:r>
      <w:r w:rsidRPr="006410B4">
        <w:rPr>
          <w:rFonts w:ascii="Book Antiqua" w:eastAsia="Cambria Math" w:hAnsi="Book Antiqua" w:cs="Cambria Math"/>
          <w:color w:val="000000" w:themeColor="text1"/>
          <w:sz w:val="24"/>
          <w:szCs w:val="24"/>
        </w:rPr>
        <w:t>≥</w:t>
      </w:r>
      <w:r w:rsidRPr="006410B4">
        <w:rPr>
          <w:rFonts w:ascii="Book Antiqua" w:eastAsia="Times New Roman" w:hAnsi="Book Antiqua" w:cs="Times New Roman"/>
          <w:color w:val="000000" w:themeColor="text1"/>
          <w:sz w:val="24"/>
          <w:szCs w:val="24"/>
        </w:rPr>
        <w:t xml:space="preserve"> 6 mmHg. HVPG </w:t>
      </w:r>
      <w:r w:rsidRPr="006410B4">
        <w:rPr>
          <w:rFonts w:ascii="Book Antiqua" w:eastAsia="Cambria Math" w:hAnsi="Book Antiqua" w:cs="Cambria Math"/>
          <w:color w:val="000000" w:themeColor="text1"/>
          <w:sz w:val="24"/>
          <w:szCs w:val="24"/>
        </w:rPr>
        <w:t>≥</w:t>
      </w:r>
      <w:r w:rsidRPr="006410B4">
        <w:rPr>
          <w:rFonts w:ascii="Book Antiqua" w:eastAsia="Times New Roman" w:hAnsi="Book Antiqua" w:cs="Times New Roman"/>
          <w:color w:val="000000" w:themeColor="text1"/>
          <w:sz w:val="24"/>
          <w:szCs w:val="24"/>
        </w:rPr>
        <w:t xml:space="preserve"> 10 mmHg was considered to be CSPH and </w:t>
      </w:r>
      <w:r w:rsidRPr="006410B4">
        <w:rPr>
          <w:rFonts w:ascii="Book Antiqua" w:eastAsia="Cambria Math" w:hAnsi="Book Antiqua" w:cs="Cambria Math"/>
          <w:color w:val="000000" w:themeColor="text1"/>
          <w:sz w:val="24"/>
          <w:szCs w:val="24"/>
        </w:rPr>
        <w:t>≥</w:t>
      </w:r>
      <w:r w:rsidRPr="006410B4">
        <w:rPr>
          <w:rFonts w:ascii="Book Antiqua" w:eastAsia="Times New Roman" w:hAnsi="Book Antiqua" w:cs="Times New Roman"/>
          <w:color w:val="000000" w:themeColor="text1"/>
          <w:sz w:val="24"/>
          <w:szCs w:val="24"/>
        </w:rPr>
        <w:t xml:space="preserve"> 12 mmHg</w:t>
      </w:r>
      <w:r w:rsidR="00C232BE">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SPH. </w:t>
      </w:r>
    </w:p>
    <w:p w:rsidR="00C232BE" w:rsidRPr="006410B4" w:rsidRDefault="00C232B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7D4B3C" w:rsidRPr="006410B4" w:rsidRDefault="00BF498E"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6410B4">
        <w:rPr>
          <w:rFonts w:ascii="Book Antiqua" w:eastAsia="Times New Roman" w:hAnsi="Book Antiqua" w:cs="Times New Roman"/>
          <w:b/>
          <w:i/>
          <w:color w:val="000000" w:themeColor="text1"/>
          <w:sz w:val="24"/>
          <w:szCs w:val="24"/>
        </w:rPr>
        <w:t>Statistical analysis</w:t>
      </w:r>
    </w:p>
    <w:p w:rsidR="00034363" w:rsidRDefault="00BF498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Statistical analysis was performed using SPSS 2</w:t>
      </w:r>
      <w:r w:rsidR="00681899" w:rsidRPr="006410B4">
        <w:rPr>
          <w:rFonts w:ascii="Book Antiqua" w:eastAsia="Times New Roman" w:hAnsi="Book Antiqua" w:cs="Times New Roman"/>
          <w:color w:val="000000" w:themeColor="text1"/>
          <w:sz w:val="24"/>
          <w:szCs w:val="24"/>
        </w:rPr>
        <w:t>5</w:t>
      </w:r>
      <w:r w:rsidRPr="006410B4">
        <w:rPr>
          <w:rFonts w:ascii="Book Antiqua" w:eastAsia="Times New Roman" w:hAnsi="Book Antiqua" w:cs="Times New Roman"/>
          <w:color w:val="000000" w:themeColor="text1"/>
          <w:sz w:val="24"/>
          <w:szCs w:val="24"/>
        </w:rPr>
        <w:t xml:space="preserve">.0 software. Descriptive statistics are provided as mean and </w:t>
      </w:r>
      <w:r w:rsidR="00BD6AD0" w:rsidRPr="006410B4">
        <w:rPr>
          <w:rFonts w:ascii="Book Antiqua" w:eastAsia="Times New Roman" w:hAnsi="Book Antiqua" w:cs="Times New Roman"/>
          <w:color w:val="000000" w:themeColor="text1"/>
          <w:sz w:val="24"/>
          <w:szCs w:val="24"/>
        </w:rPr>
        <w:t>standard deviation (SD)</w:t>
      </w:r>
      <w:r w:rsidR="00154A54" w:rsidRPr="006410B4">
        <w:rPr>
          <w:rFonts w:ascii="Book Antiqua" w:eastAsia="Times New Roman" w:hAnsi="Book Antiqua" w:cs="Times New Roman"/>
          <w:color w:val="000000" w:themeColor="text1"/>
          <w:sz w:val="24"/>
          <w:szCs w:val="24"/>
        </w:rPr>
        <w:t>, or as median and range for non-parametric data</w:t>
      </w:r>
      <w:r w:rsidRPr="006410B4">
        <w:rPr>
          <w:rFonts w:ascii="Book Antiqua" w:eastAsia="Times New Roman" w:hAnsi="Book Antiqua" w:cs="Times New Roman"/>
          <w:color w:val="000000" w:themeColor="text1"/>
          <w:sz w:val="24"/>
          <w:szCs w:val="24"/>
        </w:rPr>
        <w:t xml:space="preserve">. Differences between the groups were assessed with the Student’s t test or Mann-Whitney’s test as appropriate. Differences between three groups were assessed by one-way </w:t>
      </w:r>
      <w:r w:rsidR="00890ED7" w:rsidRPr="006410B4">
        <w:rPr>
          <w:rFonts w:ascii="Book Antiqua" w:eastAsia="Times New Roman" w:hAnsi="Book Antiqua" w:cs="Times New Roman"/>
          <w:color w:val="000000" w:themeColor="text1"/>
          <w:sz w:val="24"/>
          <w:szCs w:val="24"/>
        </w:rPr>
        <w:t xml:space="preserve">ANOVA </w:t>
      </w:r>
      <w:r w:rsidRPr="006410B4">
        <w:rPr>
          <w:rFonts w:ascii="Book Antiqua" w:eastAsia="Times New Roman" w:hAnsi="Book Antiqua" w:cs="Times New Roman"/>
          <w:color w:val="000000" w:themeColor="text1"/>
          <w:sz w:val="24"/>
          <w:szCs w:val="24"/>
        </w:rPr>
        <w:t xml:space="preserve">test or the Wilcoxon test, when appropriate. Correlations were performed by means of Spearman’s correlation for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and Pearson’s correlation for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and expressed by Spearman’s or Pearson’s coefficient. Univariate regression analysis was performed to identify the relationship of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with PH and </w:t>
      </w:r>
      <w:r w:rsidR="00584363" w:rsidRPr="006410B4">
        <w:rPr>
          <w:rFonts w:ascii="Book Antiqua" w:eastAsia="Times New Roman" w:hAnsi="Book Antiqua" w:cs="Times New Roman"/>
          <w:color w:val="000000" w:themeColor="text1"/>
          <w:sz w:val="24"/>
          <w:szCs w:val="24"/>
        </w:rPr>
        <w:t>its</w:t>
      </w:r>
      <w:r w:rsidRPr="006410B4">
        <w:rPr>
          <w:rFonts w:ascii="Book Antiqua" w:eastAsia="Times New Roman" w:hAnsi="Book Antiqua" w:cs="Times New Roman"/>
          <w:color w:val="000000" w:themeColor="text1"/>
          <w:sz w:val="24"/>
          <w:szCs w:val="24"/>
        </w:rPr>
        <w:t xml:space="preserve"> complications. Receiver operating characteristic (ROC) curves were created to assess the predictive values of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for CSPH, SPH and complications with area under the curve (AUC), sensitivity, specificity, positive predictive value (PPV) and negative predictive value (NPV). </w:t>
      </w:r>
      <w:r w:rsidR="00F2624B" w:rsidRPr="006410B4">
        <w:rPr>
          <w:rFonts w:ascii="Book Antiqua" w:eastAsia="Times New Roman" w:hAnsi="Book Antiqua" w:cs="Times New Roman"/>
          <w:color w:val="000000" w:themeColor="text1"/>
          <w:sz w:val="24"/>
          <w:szCs w:val="24"/>
        </w:rPr>
        <w:t>The value with the best sensitivity and specificity in AUC analysis (Youden</w:t>
      </w:r>
      <w:r w:rsidR="00E709BC" w:rsidRPr="006410B4">
        <w:rPr>
          <w:rFonts w:ascii="Book Antiqua" w:eastAsia="Times New Roman" w:hAnsi="Book Antiqua" w:cs="Times New Roman"/>
          <w:color w:val="000000" w:themeColor="text1"/>
          <w:sz w:val="24"/>
          <w:szCs w:val="24"/>
        </w:rPr>
        <w:t>’s</w:t>
      </w:r>
      <w:r w:rsidR="00F2624B" w:rsidRPr="006410B4">
        <w:rPr>
          <w:rFonts w:ascii="Book Antiqua" w:eastAsia="Times New Roman" w:hAnsi="Book Antiqua" w:cs="Times New Roman"/>
          <w:color w:val="000000" w:themeColor="text1"/>
          <w:sz w:val="24"/>
          <w:szCs w:val="24"/>
        </w:rPr>
        <w:t xml:space="preserve"> Index) was chosen </w:t>
      </w:r>
      <w:r w:rsidRPr="006410B4">
        <w:rPr>
          <w:rFonts w:ascii="Book Antiqua" w:eastAsia="Times New Roman" w:hAnsi="Book Antiqua" w:cs="Times New Roman"/>
          <w:color w:val="000000" w:themeColor="text1"/>
          <w:sz w:val="24"/>
          <w:szCs w:val="24"/>
        </w:rPr>
        <w:t xml:space="preserve">for further analysis. Statistical significance was established at </w:t>
      </w:r>
      <w:r w:rsidR="00FB7C11" w:rsidRPr="00C232BE">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&lt; </w:t>
      </w:r>
      <w:r w:rsidRPr="006410B4">
        <w:rPr>
          <w:rFonts w:ascii="Book Antiqua" w:eastAsia="Times New Roman" w:hAnsi="Book Antiqua" w:cs="Times New Roman"/>
          <w:color w:val="000000" w:themeColor="text1"/>
          <w:sz w:val="24"/>
          <w:szCs w:val="24"/>
        </w:rPr>
        <w:t>0.05</w:t>
      </w:r>
      <w:r w:rsidR="00973BAB" w:rsidRPr="006410B4">
        <w:rPr>
          <w:rFonts w:ascii="Book Antiqua" w:eastAsia="Times New Roman" w:hAnsi="Book Antiqua" w:cs="Times New Roman"/>
          <w:color w:val="000000" w:themeColor="text1"/>
          <w:sz w:val="24"/>
          <w:szCs w:val="24"/>
        </w:rPr>
        <w:t xml:space="preserve"> and expressed as </w:t>
      </w:r>
      <w:proofErr w:type="spellStart"/>
      <w:r w:rsidR="00973BAB" w:rsidRPr="006410B4">
        <w:rPr>
          <w:rFonts w:ascii="Book Antiqua" w:eastAsia="Times New Roman" w:hAnsi="Book Antiqua" w:cs="Times New Roman"/>
          <w:color w:val="000000" w:themeColor="text1"/>
          <w:sz w:val="24"/>
          <w:szCs w:val="24"/>
          <w:vertAlign w:val="superscript"/>
        </w:rPr>
        <w:t>a</w:t>
      </w:r>
      <w:r w:rsidR="00FB7C11" w:rsidRPr="00C232BE">
        <w:rPr>
          <w:rFonts w:ascii="Book Antiqua" w:eastAsia="Times New Roman" w:hAnsi="Book Antiqua" w:cs="Times New Roman"/>
          <w:i/>
          <w:color w:val="000000" w:themeColor="text1"/>
          <w:sz w:val="24"/>
          <w:szCs w:val="24"/>
        </w:rPr>
        <w:t>P</w:t>
      </w:r>
      <w:proofErr w:type="spellEnd"/>
      <w:r w:rsidR="00FB7C11">
        <w:rPr>
          <w:rFonts w:ascii="Book Antiqua" w:eastAsia="Times New Roman" w:hAnsi="Book Antiqua" w:cs="Times New Roman"/>
          <w:color w:val="000000" w:themeColor="text1"/>
          <w:sz w:val="24"/>
          <w:szCs w:val="24"/>
        </w:rPr>
        <w:t xml:space="preserve"> &lt; </w:t>
      </w:r>
      <w:r w:rsidR="00973BAB" w:rsidRPr="006410B4">
        <w:rPr>
          <w:rFonts w:ascii="Book Antiqua" w:eastAsia="Times New Roman" w:hAnsi="Book Antiqua" w:cs="Times New Roman"/>
          <w:color w:val="000000" w:themeColor="text1"/>
          <w:sz w:val="24"/>
          <w:szCs w:val="24"/>
        </w:rPr>
        <w:t>0.05</w:t>
      </w:r>
      <w:r w:rsidRPr="006410B4">
        <w:rPr>
          <w:rFonts w:ascii="Book Antiqua" w:eastAsia="Times New Roman" w:hAnsi="Book Antiqua" w:cs="Times New Roman"/>
          <w:color w:val="000000" w:themeColor="text1"/>
          <w:sz w:val="24"/>
          <w:szCs w:val="24"/>
        </w:rPr>
        <w:t>.</w:t>
      </w:r>
    </w:p>
    <w:p w:rsidR="00C232BE" w:rsidRPr="006410B4" w:rsidRDefault="00C232BE"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p>
    <w:p w:rsidR="00C42FE6" w:rsidRPr="006410B4" w:rsidRDefault="0025310D"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color w:val="000000" w:themeColor="text1"/>
          <w:sz w:val="24"/>
          <w:szCs w:val="24"/>
        </w:rPr>
        <w:lastRenderedPageBreak/>
        <w:t>RESULTS</w:t>
      </w:r>
    </w:p>
    <w:p w:rsidR="00C42FE6" w:rsidRPr="006410B4" w:rsidRDefault="00BF498E"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6410B4">
        <w:rPr>
          <w:rFonts w:ascii="Book Antiqua" w:eastAsia="Times New Roman" w:hAnsi="Book Antiqua" w:cs="Times New Roman"/>
          <w:b/>
          <w:i/>
          <w:color w:val="000000" w:themeColor="text1"/>
          <w:sz w:val="24"/>
          <w:szCs w:val="24"/>
        </w:rPr>
        <w:t>Patient characteristics</w:t>
      </w:r>
    </w:p>
    <w:p w:rsidR="007C7B89" w:rsidRDefault="00C232B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One hundred and twenty-two</w:t>
      </w:r>
      <w:r w:rsidR="007C7B89" w:rsidRPr="006410B4">
        <w:rPr>
          <w:rFonts w:ascii="Book Antiqua" w:eastAsia="Times New Roman" w:hAnsi="Book Antiqua" w:cs="Times New Roman"/>
          <w:color w:val="000000" w:themeColor="text1"/>
          <w:sz w:val="24"/>
          <w:szCs w:val="24"/>
        </w:rPr>
        <w:t xml:space="preserve"> </w:t>
      </w:r>
      <w:r w:rsidR="006706A7" w:rsidRPr="006410B4">
        <w:rPr>
          <w:rFonts w:ascii="Book Antiqua" w:eastAsia="Times New Roman" w:hAnsi="Book Antiqua" w:cs="Times New Roman"/>
          <w:color w:val="000000" w:themeColor="text1"/>
          <w:sz w:val="24"/>
          <w:szCs w:val="24"/>
        </w:rPr>
        <w:t>patients</w:t>
      </w:r>
      <w:r w:rsidR="007C7B89" w:rsidRPr="006410B4">
        <w:rPr>
          <w:rFonts w:ascii="Book Antiqua" w:eastAsia="Times New Roman" w:hAnsi="Book Antiqua" w:cs="Times New Roman"/>
          <w:color w:val="000000" w:themeColor="text1"/>
          <w:sz w:val="24"/>
          <w:szCs w:val="24"/>
        </w:rPr>
        <w:t xml:space="preserve"> with liver cirrhosis and 30 controls were included in the study. Sixt</w:t>
      </w:r>
      <w:r w:rsidR="00154A54" w:rsidRPr="006410B4">
        <w:rPr>
          <w:rFonts w:ascii="Book Antiqua" w:eastAsia="Times New Roman" w:hAnsi="Book Antiqua" w:cs="Times New Roman"/>
          <w:color w:val="000000" w:themeColor="text1"/>
          <w:sz w:val="24"/>
          <w:szCs w:val="24"/>
        </w:rPr>
        <w:t>y</w:t>
      </w:r>
      <w:r w:rsidR="007C7B89" w:rsidRPr="006410B4">
        <w:rPr>
          <w:rFonts w:ascii="Book Antiqua" w:eastAsia="Times New Roman" w:hAnsi="Book Antiqua" w:cs="Times New Roman"/>
          <w:color w:val="000000" w:themeColor="text1"/>
          <w:sz w:val="24"/>
          <w:szCs w:val="24"/>
        </w:rPr>
        <w:t>-seven patients (54.9%) were male and mean age was 50.45 (± 11.13). Sixty-one (50%) patient had alcohol induced liver cirrhosis and sixty-one (50%)</w:t>
      </w:r>
      <w:r>
        <w:rPr>
          <w:rFonts w:ascii="Book Antiqua" w:eastAsia="Times New Roman" w:hAnsi="Book Antiqua" w:cs="Times New Roman"/>
          <w:color w:val="000000" w:themeColor="text1"/>
          <w:sz w:val="24"/>
          <w:szCs w:val="24"/>
        </w:rPr>
        <w:t>-</w:t>
      </w:r>
      <w:r w:rsidR="007C7B89" w:rsidRPr="006410B4">
        <w:rPr>
          <w:rFonts w:ascii="Book Antiqua" w:eastAsia="Times New Roman" w:hAnsi="Book Antiqua" w:cs="Times New Roman"/>
          <w:color w:val="000000" w:themeColor="text1"/>
          <w:sz w:val="24"/>
          <w:szCs w:val="24"/>
        </w:rPr>
        <w:t>hepatitis C virus cirrhosis. Seventy-five (61.5%) patients were classified as having Child</w:t>
      </w:r>
      <w:r w:rsidR="00154A54" w:rsidRPr="006410B4">
        <w:rPr>
          <w:rFonts w:ascii="Book Antiqua" w:eastAsia="Times New Roman" w:hAnsi="Book Antiqua" w:cs="Times New Roman"/>
          <w:color w:val="000000" w:themeColor="text1"/>
          <w:sz w:val="24"/>
          <w:szCs w:val="24"/>
        </w:rPr>
        <w:t>-</w:t>
      </w:r>
      <w:r w:rsidR="007C7B89" w:rsidRPr="006410B4">
        <w:rPr>
          <w:rFonts w:ascii="Book Antiqua" w:eastAsia="Times New Roman" w:hAnsi="Book Antiqua" w:cs="Times New Roman"/>
          <w:color w:val="000000" w:themeColor="text1"/>
          <w:sz w:val="24"/>
          <w:szCs w:val="24"/>
        </w:rPr>
        <w:t>Pugh A, 30 (24.6%) as Child</w:t>
      </w:r>
      <w:r w:rsidR="00154A54" w:rsidRPr="006410B4">
        <w:rPr>
          <w:rFonts w:ascii="Book Antiqua" w:eastAsia="Times New Roman" w:hAnsi="Book Antiqua" w:cs="Times New Roman"/>
          <w:color w:val="000000" w:themeColor="text1"/>
          <w:sz w:val="24"/>
          <w:szCs w:val="24"/>
        </w:rPr>
        <w:t>-</w:t>
      </w:r>
      <w:r w:rsidR="007C7B89" w:rsidRPr="006410B4">
        <w:rPr>
          <w:rFonts w:ascii="Book Antiqua" w:eastAsia="Times New Roman" w:hAnsi="Book Antiqua" w:cs="Times New Roman"/>
          <w:color w:val="000000" w:themeColor="text1"/>
          <w:sz w:val="24"/>
          <w:szCs w:val="24"/>
        </w:rPr>
        <w:t>Pugh B and 17 (13.9%) as Child</w:t>
      </w:r>
      <w:r w:rsidR="00154A54" w:rsidRPr="006410B4">
        <w:rPr>
          <w:rFonts w:ascii="Book Antiqua" w:eastAsia="Times New Roman" w:hAnsi="Book Antiqua" w:cs="Times New Roman"/>
          <w:color w:val="000000" w:themeColor="text1"/>
          <w:sz w:val="24"/>
          <w:szCs w:val="24"/>
        </w:rPr>
        <w:t>-</w:t>
      </w:r>
      <w:r w:rsidR="007C7B89" w:rsidRPr="006410B4">
        <w:rPr>
          <w:rFonts w:ascii="Book Antiqua" w:eastAsia="Times New Roman" w:hAnsi="Book Antiqua" w:cs="Times New Roman"/>
          <w:color w:val="000000" w:themeColor="text1"/>
          <w:sz w:val="24"/>
          <w:szCs w:val="24"/>
        </w:rPr>
        <w:t xml:space="preserve">Pugh C cirrhosis. Fourteen patients (11.5%) had normal HVPG, eighty-six (70.5 %) had HVPG ≥ 10 mmHg, of which 70 (57.4%) had HVPG ≥ 12 mmHg. Demographic, clinical and endoscopic characteristics are displayed in Table 1. Peripheral </w:t>
      </w:r>
      <w:proofErr w:type="spellStart"/>
      <w:r w:rsidR="007C7B89" w:rsidRPr="006410B4">
        <w:rPr>
          <w:rFonts w:ascii="Book Antiqua" w:eastAsia="Times New Roman" w:hAnsi="Book Antiqua" w:cs="Times New Roman"/>
          <w:color w:val="000000" w:themeColor="text1"/>
          <w:sz w:val="24"/>
          <w:szCs w:val="24"/>
        </w:rPr>
        <w:t>Nogo</w:t>
      </w:r>
      <w:proofErr w:type="spellEnd"/>
      <w:r w:rsidR="007C7B89" w:rsidRPr="006410B4">
        <w:rPr>
          <w:rFonts w:ascii="Book Antiqua" w:eastAsia="Times New Roman" w:hAnsi="Book Antiqua" w:cs="Times New Roman"/>
          <w:color w:val="000000" w:themeColor="text1"/>
          <w:sz w:val="24"/>
          <w:szCs w:val="24"/>
        </w:rPr>
        <w:t xml:space="preserve">-A and </w:t>
      </w:r>
      <w:proofErr w:type="spellStart"/>
      <w:r w:rsidR="007C7B89" w:rsidRPr="006410B4">
        <w:rPr>
          <w:rFonts w:ascii="Book Antiqua" w:eastAsia="Times New Roman" w:hAnsi="Book Antiqua" w:cs="Times New Roman"/>
          <w:color w:val="000000" w:themeColor="text1"/>
          <w:sz w:val="24"/>
          <w:szCs w:val="24"/>
        </w:rPr>
        <w:t>PlGF</w:t>
      </w:r>
      <w:proofErr w:type="spellEnd"/>
      <w:r w:rsidR="007C7B89" w:rsidRPr="006410B4">
        <w:rPr>
          <w:rFonts w:ascii="Book Antiqua" w:eastAsia="Times New Roman" w:hAnsi="Book Antiqua" w:cs="Times New Roman"/>
          <w:color w:val="000000" w:themeColor="text1"/>
          <w:sz w:val="24"/>
          <w:szCs w:val="24"/>
        </w:rPr>
        <w:t xml:space="preserve"> levels were examined in 100 patients each</w:t>
      </w:r>
      <w:r w:rsidR="00E709BC" w:rsidRPr="006410B4">
        <w:rPr>
          <w:rFonts w:ascii="Book Antiqua" w:eastAsia="Times New Roman" w:hAnsi="Book Antiqua" w:cs="Times New Roman"/>
          <w:color w:val="000000" w:themeColor="text1"/>
          <w:sz w:val="24"/>
          <w:szCs w:val="24"/>
        </w:rPr>
        <w:t xml:space="preserve"> and hepatic </w:t>
      </w:r>
      <w:proofErr w:type="spellStart"/>
      <w:r w:rsidR="00E709BC" w:rsidRPr="006410B4">
        <w:rPr>
          <w:rFonts w:ascii="Book Antiqua" w:eastAsia="Times New Roman" w:hAnsi="Book Antiqua" w:cs="Times New Roman"/>
          <w:color w:val="000000" w:themeColor="text1"/>
          <w:sz w:val="24"/>
          <w:szCs w:val="24"/>
        </w:rPr>
        <w:t>Nogo</w:t>
      </w:r>
      <w:proofErr w:type="spellEnd"/>
      <w:r w:rsidR="00E709BC" w:rsidRPr="006410B4">
        <w:rPr>
          <w:rFonts w:ascii="Book Antiqua" w:eastAsia="Times New Roman" w:hAnsi="Book Antiqua" w:cs="Times New Roman"/>
          <w:color w:val="000000" w:themeColor="text1"/>
          <w:sz w:val="24"/>
          <w:szCs w:val="24"/>
        </w:rPr>
        <w:t xml:space="preserve">-A and </w:t>
      </w:r>
      <w:proofErr w:type="spellStart"/>
      <w:r w:rsidR="00E709BC" w:rsidRPr="006410B4">
        <w:rPr>
          <w:rFonts w:ascii="Book Antiqua" w:eastAsia="Times New Roman" w:hAnsi="Book Antiqua" w:cs="Times New Roman"/>
          <w:color w:val="000000" w:themeColor="text1"/>
          <w:sz w:val="24"/>
          <w:szCs w:val="24"/>
        </w:rPr>
        <w:t>PlGF</w:t>
      </w:r>
      <w:proofErr w:type="spellEnd"/>
      <w:r w:rsidR="00E709BC" w:rsidRPr="006410B4">
        <w:rPr>
          <w:rFonts w:ascii="Book Antiqua" w:eastAsia="Times New Roman" w:hAnsi="Book Antiqua" w:cs="Times New Roman"/>
          <w:color w:val="000000" w:themeColor="text1"/>
          <w:sz w:val="24"/>
          <w:szCs w:val="24"/>
        </w:rPr>
        <w:t xml:space="preserve"> levels were examined in 30 patients each.</w:t>
      </w:r>
    </w:p>
    <w:p w:rsidR="00C232BE" w:rsidRPr="006410B4" w:rsidRDefault="00C232B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C42FE6" w:rsidRPr="006410B4" w:rsidRDefault="003B159A"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proofErr w:type="spellStart"/>
      <w:r w:rsidRPr="006410B4">
        <w:rPr>
          <w:rFonts w:ascii="Book Antiqua" w:eastAsia="Times New Roman" w:hAnsi="Book Antiqua" w:cs="Times New Roman"/>
          <w:b/>
          <w:i/>
          <w:color w:val="000000" w:themeColor="text1"/>
          <w:sz w:val="24"/>
          <w:szCs w:val="24"/>
        </w:rPr>
        <w:t>PlGF</w:t>
      </w:r>
      <w:proofErr w:type="spellEnd"/>
      <w:r w:rsidRPr="006410B4">
        <w:rPr>
          <w:rFonts w:ascii="Book Antiqua" w:eastAsia="Times New Roman" w:hAnsi="Book Antiqua" w:cs="Times New Roman"/>
          <w:b/>
          <w:i/>
          <w:color w:val="000000" w:themeColor="text1"/>
          <w:sz w:val="24"/>
          <w:szCs w:val="24"/>
        </w:rPr>
        <w:t xml:space="preserve"> and </w:t>
      </w:r>
      <w:proofErr w:type="spellStart"/>
      <w:r w:rsidRPr="006410B4">
        <w:rPr>
          <w:rFonts w:ascii="Book Antiqua" w:eastAsia="Times New Roman" w:hAnsi="Book Antiqua" w:cs="Times New Roman"/>
          <w:b/>
          <w:i/>
          <w:color w:val="000000" w:themeColor="text1"/>
          <w:sz w:val="24"/>
          <w:szCs w:val="24"/>
        </w:rPr>
        <w:t>Nogo</w:t>
      </w:r>
      <w:proofErr w:type="spellEnd"/>
      <w:r w:rsidR="00681899" w:rsidRPr="006410B4">
        <w:rPr>
          <w:rFonts w:ascii="Book Antiqua" w:eastAsia="Times New Roman" w:hAnsi="Book Antiqua" w:cs="Times New Roman"/>
          <w:b/>
          <w:i/>
          <w:color w:val="000000" w:themeColor="text1"/>
          <w:sz w:val="24"/>
          <w:szCs w:val="24"/>
        </w:rPr>
        <w:t>-A</w:t>
      </w:r>
      <w:r w:rsidRPr="006410B4">
        <w:rPr>
          <w:rFonts w:ascii="Book Antiqua" w:eastAsia="Times New Roman" w:hAnsi="Book Antiqua" w:cs="Times New Roman"/>
          <w:b/>
          <w:i/>
          <w:color w:val="000000" w:themeColor="text1"/>
          <w:sz w:val="24"/>
          <w:szCs w:val="24"/>
        </w:rPr>
        <w:t xml:space="preserve"> plasma levels </w:t>
      </w:r>
      <w:r w:rsidR="00BF498E" w:rsidRPr="006410B4">
        <w:rPr>
          <w:rFonts w:ascii="Book Antiqua" w:eastAsia="Times New Roman" w:hAnsi="Book Antiqua" w:cs="Times New Roman"/>
          <w:b/>
          <w:i/>
          <w:color w:val="000000" w:themeColor="text1"/>
          <w:sz w:val="24"/>
          <w:szCs w:val="24"/>
        </w:rPr>
        <w:t>in liver cirrhosis</w:t>
      </w:r>
    </w:p>
    <w:p w:rsidR="0025310D" w:rsidRPr="006410B4" w:rsidRDefault="00890ED7"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M</w:t>
      </w:r>
      <w:r w:rsidR="00BF498E" w:rsidRPr="006410B4">
        <w:rPr>
          <w:rFonts w:ascii="Book Antiqua" w:eastAsia="Times New Roman" w:hAnsi="Book Antiqua" w:cs="Times New Roman"/>
          <w:color w:val="000000" w:themeColor="text1"/>
          <w:sz w:val="24"/>
          <w:szCs w:val="24"/>
        </w:rPr>
        <w:t xml:space="preserve">edian </w:t>
      </w:r>
      <w:r w:rsidRPr="006410B4">
        <w:rPr>
          <w:rFonts w:ascii="Book Antiqua" w:eastAsia="Times New Roman" w:hAnsi="Book Antiqua" w:cs="Times New Roman"/>
          <w:color w:val="000000" w:themeColor="text1"/>
          <w:sz w:val="24"/>
          <w:szCs w:val="24"/>
        </w:rPr>
        <w:t xml:space="preserve">peripheral </w:t>
      </w:r>
      <w:proofErr w:type="spellStart"/>
      <w:r w:rsidR="00BF498E" w:rsidRPr="006410B4">
        <w:rPr>
          <w:rFonts w:ascii="Book Antiqua" w:eastAsia="Times New Roman" w:hAnsi="Book Antiqua" w:cs="Times New Roman"/>
          <w:color w:val="000000" w:themeColor="text1"/>
          <w:sz w:val="24"/>
          <w:szCs w:val="24"/>
        </w:rPr>
        <w:t>PlGF</w:t>
      </w:r>
      <w:proofErr w:type="spellEnd"/>
      <w:r w:rsidR="00BF498E" w:rsidRPr="006410B4">
        <w:rPr>
          <w:rFonts w:ascii="Book Antiqua" w:eastAsia="Times New Roman" w:hAnsi="Book Antiqua" w:cs="Times New Roman"/>
          <w:color w:val="000000" w:themeColor="text1"/>
          <w:sz w:val="24"/>
          <w:szCs w:val="24"/>
        </w:rPr>
        <w:t xml:space="preserve"> levels were higher in patients with liver cirrhosis when compared to controls (23.20; range 14.08-37.70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00BF498E" w:rsidRPr="006410B4">
        <w:rPr>
          <w:rFonts w:ascii="Book Antiqua" w:eastAsia="Times New Roman" w:hAnsi="Book Antiqua" w:cs="Times New Roman"/>
          <w:color w:val="000000" w:themeColor="text1"/>
          <w:sz w:val="24"/>
          <w:szCs w:val="24"/>
        </w:rPr>
        <w:t xml:space="preserve"> </w:t>
      </w:r>
      <w:r w:rsidR="00FB7C11" w:rsidRPr="00C232BE">
        <w:rPr>
          <w:rFonts w:ascii="Book Antiqua" w:eastAsia="Times New Roman" w:hAnsi="Book Antiqua" w:cs="Times New Roman"/>
          <w:i/>
          <w:color w:val="000000" w:themeColor="text1"/>
          <w:sz w:val="24"/>
          <w:szCs w:val="24"/>
        </w:rPr>
        <w:t>vs</w:t>
      </w:r>
      <w:r w:rsidR="00BF498E" w:rsidRPr="006410B4">
        <w:rPr>
          <w:rFonts w:ascii="Book Antiqua" w:eastAsia="Times New Roman" w:hAnsi="Book Antiqua" w:cs="Times New Roman"/>
          <w:color w:val="000000" w:themeColor="text1"/>
          <w:sz w:val="24"/>
          <w:szCs w:val="24"/>
        </w:rPr>
        <w:t xml:space="preserve"> 9.85; range 4.88-22.72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00BF498E" w:rsidRPr="006410B4">
        <w:rPr>
          <w:rFonts w:ascii="Book Antiqua" w:eastAsia="Times New Roman" w:hAnsi="Book Antiqua" w:cs="Times New Roman"/>
          <w:color w:val="000000" w:themeColor="text1"/>
          <w:sz w:val="24"/>
          <w:szCs w:val="24"/>
        </w:rPr>
        <w:t xml:space="preserve">; </w:t>
      </w:r>
      <w:r w:rsidR="00FB7C11" w:rsidRPr="00C232BE">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&lt; </w:t>
      </w:r>
      <w:r w:rsidR="00BF498E" w:rsidRPr="006410B4">
        <w:rPr>
          <w:rFonts w:ascii="Book Antiqua" w:eastAsia="Times New Roman" w:hAnsi="Book Antiqua" w:cs="Times New Roman"/>
          <w:color w:val="000000" w:themeColor="text1"/>
          <w:sz w:val="24"/>
          <w:szCs w:val="24"/>
        </w:rPr>
        <w:t xml:space="preserve">0.0001; </w:t>
      </w:r>
      <w:r w:rsidR="001B6083" w:rsidRPr="006410B4">
        <w:rPr>
          <w:rFonts w:ascii="Book Antiqua" w:eastAsia="Times New Roman" w:hAnsi="Book Antiqua" w:cs="Times New Roman"/>
          <w:color w:val="000000" w:themeColor="text1"/>
          <w:sz w:val="24"/>
          <w:szCs w:val="24"/>
        </w:rPr>
        <w:t>Fig</w:t>
      </w:r>
      <w:r w:rsidR="009E5C59" w:rsidRPr="006410B4">
        <w:rPr>
          <w:rFonts w:ascii="Book Antiqua" w:eastAsia="Times New Roman" w:hAnsi="Book Antiqua" w:cs="Times New Roman"/>
          <w:color w:val="000000" w:themeColor="text1"/>
          <w:sz w:val="24"/>
          <w:szCs w:val="24"/>
        </w:rPr>
        <w:t>ure</w:t>
      </w:r>
      <w:r w:rsidR="001B6083" w:rsidRPr="006410B4">
        <w:rPr>
          <w:rFonts w:ascii="Book Antiqua" w:eastAsia="Times New Roman" w:hAnsi="Book Antiqua" w:cs="Times New Roman"/>
          <w:color w:val="000000" w:themeColor="text1"/>
          <w:sz w:val="24"/>
          <w:szCs w:val="24"/>
        </w:rPr>
        <w:t xml:space="preserve"> 1</w:t>
      </w:r>
      <w:r w:rsidR="00BF498E" w:rsidRPr="006410B4">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Peripheral </w:t>
      </w:r>
      <w:proofErr w:type="spellStart"/>
      <w:r w:rsidR="00BF498E" w:rsidRPr="006410B4">
        <w:rPr>
          <w:rFonts w:ascii="Book Antiqua" w:eastAsia="Times New Roman" w:hAnsi="Book Antiqua" w:cs="Times New Roman"/>
          <w:color w:val="000000" w:themeColor="text1"/>
          <w:sz w:val="24"/>
          <w:szCs w:val="24"/>
        </w:rPr>
        <w:t>PlGF</w:t>
      </w:r>
      <w:proofErr w:type="spellEnd"/>
      <w:r w:rsidR="00BF498E" w:rsidRPr="006410B4">
        <w:rPr>
          <w:rFonts w:ascii="Book Antiqua" w:eastAsia="Times New Roman" w:hAnsi="Book Antiqua" w:cs="Times New Roman"/>
          <w:color w:val="000000" w:themeColor="text1"/>
          <w:sz w:val="24"/>
          <w:szCs w:val="24"/>
        </w:rPr>
        <w:t xml:space="preserve"> levels were </w:t>
      </w:r>
      <w:r w:rsidR="00681899" w:rsidRPr="006410B4">
        <w:rPr>
          <w:rFonts w:ascii="Book Antiqua" w:eastAsia="Times New Roman" w:hAnsi="Book Antiqua" w:cs="Times New Roman"/>
          <w:color w:val="000000" w:themeColor="text1"/>
          <w:sz w:val="24"/>
          <w:szCs w:val="24"/>
        </w:rPr>
        <w:t>higher in patients with alcohol</w:t>
      </w:r>
      <w:r w:rsidR="00154A54" w:rsidRPr="006410B4">
        <w:rPr>
          <w:rFonts w:ascii="Book Antiqua" w:eastAsia="Times New Roman" w:hAnsi="Book Antiqua" w:cs="Times New Roman"/>
          <w:color w:val="000000" w:themeColor="text1"/>
          <w:sz w:val="24"/>
          <w:szCs w:val="24"/>
        </w:rPr>
        <w:t>-</w:t>
      </w:r>
      <w:r w:rsidR="00681899" w:rsidRPr="006410B4">
        <w:rPr>
          <w:rFonts w:ascii="Book Antiqua" w:eastAsia="Times New Roman" w:hAnsi="Book Antiqua" w:cs="Times New Roman"/>
          <w:color w:val="000000" w:themeColor="text1"/>
          <w:sz w:val="24"/>
          <w:szCs w:val="24"/>
        </w:rPr>
        <w:t>induced</w:t>
      </w:r>
      <w:r w:rsidR="00BF498E" w:rsidRPr="006410B4">
        <w:rPr>
          <w:rFonts w:ascii="Book Antiqua" w:eastAsia="Times New Roman" w:hAnsi="Book Antiqua" w:cs="Times New Roman"/>
          <w:color w:val="000000" w:themeColor="text1"/>
          <w:sz w:val="24"/>
          <w:szCs w:val="24"/>
        </w:rPr>
        <w:t xml:space="preserve"> cirrhosis when compared to patients with hepatitis C </w:t>
      </w:r>
      <w:r w:rsidR="00681899" w:rsidRPr="006410B4">
        <w:rPr>
          <w:rFonts w:ascii="Book Antiqua" w:eastAsia="Times New Roman" w:hAnsi="Book Antiqua" w:cs="Times New Roman"/>
          <w:color w:val="000000" w:themeColor="text1"/>
          <w:sz w:val="24"/>
          <w:szCs w:val="24"/>
        </w:rPr>
        <w:t xml:space="preserve">virus </w:t>
      </w:r>
      <w:r w:rsidR="00BF498E" w:rsidRPr="006410B4">
        <w:rPr>
          <w:rFonts w:ascii="Book Antiqua" w:eastAsia="Times New Roman" w:hAnsi="Book Antiqua" w:cs="Times New Roman"/>
          <w:color w:val="000000" w:themeColor="text1"/>
          <w:sz w:val="24"/>
          <w:szCs w:val="24"/>
        </w:rPr>
        <w:t xml:space="preserve">cirrhosis (29.10; range 16.52-41.71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00BF498E" w:rsidRPr="006410B4">
        <w:rPr>
          <w:rFonts w:ascii="Book Antiqua" w:eastAsia="Times New Roman" w:hAnsi="Book Antiqua" w:cs="Times New Roman"/>
          <w:color w:val="000000" w:themeColor="text1"/>
          <w:sz w:val="24"/>
          <w:szCs w:val="24"/>
        </w:rPr>
        <w:t xml:space="preserve"> </w:t>
      </w:r>
      <w:r w:rsidR="00FB7C11" w:rsidRPr="00C232BE">
        <w:rPr>
          <w:rFonts w:ascii="Book Antiqua" w:eastAsia="Times New Roman" w:hAnsi="Book Antiqua" w:cs="Times New Roman"/>
          <w:i/>
          <w:color w:val="000000" w:themeColor="text1"/>
          <w:sz w:val="24"/>
          <w:szCs w:val="24"/>
        </w:rPr>
        <w:t>vs</w:t>
      </w:r>
      <w:r w:rsidR="00BF498E" w:rsidRPr="006410B4">
        <w:rPr>
          <w:rFonts w:ascii="Book Antiqua" w:eastAsia="Times New Roman" w:hAnsi="Book Antiqua" w:cs="Times New Roman"/>
          <w:color w:val="000000" w:themeColor="text1"/>
          <w:sz w:val="24"/>
          <w:szCs w:val="24"/>
        </w:rPr>
        <w:t xml:space="preserve"> 20.92; range 13.72</w:t>
      </w:r>
      <w:r w:rsidR="00C232BE">
        <w:rPr>
          <w:rFonts w:ascii="Book Antiqua" w:eastAsia="Times New Roman" w:hAnsi="Book Antiqua" w:cs="Times New Roman"/>
          <w:color w:val="000000" w:themeColor="text1"/>
          <w:sz w:val="24"/>
          <w:szCs w:val="24"/>
        </w:rPr>
        <w:t>-</w:t>
      </w:r>
      <w:r w:rsidR="00BF498E" w:rsidRPr="006410B4">
        <w:rPr>
          <w:rFonts w:ascii="Book Antiqua" w:eastAsia="Times New Roman" w:hAnsi="Book Antiqua" w:cs="Times New Roman"/>
          <w:color w:val="000000" w:themeColor="text1"/>
          <w:sz w:val="24"/>
          <w:szCs w:val="24"/>
        </w:rPr>
        <w:t xml:space="preserve">34.42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00BF498E" w:rsidRPr="006410B4">
        <w:rPr>
          <w:rFonts w:ascii="Book Antiqua" w:eastAsia="Times New Roman" w:hAnsi="Book Antiqua" w:cs="Times New Roman"/>
          <w:color w:val="000000" w:themeColor="text1"/>
          <w:sz w:val="24"/>
          <w:szCs w:val="24"/>
        </w:rPr>
        <w:t xml:space="preserve">; </w:t>
      </w:r>
      <w:r w:rsidR="00FB7C11" w:rsidRPr="00C232BE">
        <w:rPr>
          <w:rFonts w:ascii="Book Antiqua" w:eastAsia="Times New Roman" w:hAnsi="Book Antiqua" w:cs="Times New Roman"/>
          <w:i/>
          <w:color w:val="000000" w:themeColor="text1"/>
          <w:sz w:val="24"/>
          <w:szCs w:val="24"/>
        </w:rPr>
        <w:t xml:space="preserve">P </w:t>
      </w:r>
      <w:r w:rsidR="00FB7C11">
        <w:rPr>
          <w:rFonts w:ascii="Book Antiqua" w:eastAsia="Times New Roman" w:hAnsi="Book Antiqua" w:cs="Times New Roman"/>
          <w:color w:val="000000" w:themeColor="text1"/>
          <w:sz w:val="24"/>
          <w:szCs w:val="24"/>
        </w:rPr>
        <w:t xml:space="preserve">= </w:t>
      </w:r>
      <w:r w:rsidR="00BF498E" w:rsidRPr="006410B4">
        <w:rPr>
          <w:rFonts w:ascii="Book Antiqua" w:eastAsia="Times New Roman" w:hAnsi="Book Antiqua" w:cs="Times New Roman"/>
          <w:color w:val="000000" w:themeColor="text1"/>
          <w:sz w:val="24"/>
          <w:szCs w:val="24"/>
        </w:rPr>
        <w:t>0.049) and both were significantly higher than in control</w:t>
      </w:r>
      <w:r w:rsidR="00846B22" w:rsidRPr="006410B4">
        <w:rPr>
          <w:rFonts w:ascii="Book Antiqua" w:eastAsia="Times New Roman" w:hAnsi="Book Antiqua" w:cs="Times New Roman"/>
          <w:color w:val="000000" w:themeColor="text1"/>
          <w:sz w:val="24"/>
          <w:szCs w:val="24"/>
        </w:rPr>
        <w:t xml:space="preserve">s (9.85; range 4.88-22.72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00BF498E" w:rsidRPr="006410B4">
        <w:rPr>
          <w:rFonts w:ascii="Book Antiqua" w:eastAsia="Times New Roman" w:hAnsi="Book Antiqua" w:cs="Times New Roman"/>
          <w:color w:val="000000" w:themeColor="text1"/>
          <w:sz w:val="24"/>
          <w:szCs w:val="24"/>
        </w:rPr>
        <w:t xml:space="preserve">). Levels of </w:t>
      </w:r>
      <w:proofErr w:type="spellStart"/>
      <w:r w:rsidR="00BF498E" w:rsidRPr="006410B4">
        <w:rPr>
          <w:rFonts w:ascii="Book Antiqua" w:eastAsia="Times New Roman" w:hAnsi="Book Antiqua" w:cs="Times New Roman"/>
          <w:color w:val="000000" w:themeColor="text1"/>
          <w:sz w:val="24"/>
          <w:szCs w:val="24"/>
        </w:rPr>
        <w:t>PlGF</w:t>
      </w:r>
      <w:proofErr w:type="spellEnd"/>
      <w:r w:rsidR="00BF498E" w:rsidRPr="006410B4">
        <w:rPr>
          <w:rFonts w:ascii="Book Antiqua" w:eastAsia="Times New Roman" w:hAnsi="Book Antiqua" w:cs="Times New Roman"/>
          <w:color w:val="000000" w:themeColor="text1"/>
          <w:sz w:val="24"/>
          <w:szCs w:val="24"/>
        </w:rPr>
        <w:t xml:space="preserve"> at the hepatic vein did not differ significantly from those at the peripheral vein (25.22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00BF498E" w:rsidRPr="006410B4">
        <w:rPr>
          <w:rFonts w:ascii="Book Antiqua" w:eastAsia="Times New Roman" w:hAnsi="Book Antiqua" w:cs="Times New Roman"/>
          <w:color w:val="000000" w:themeColor="text1"/>
          <w:sz w:val="24"/>
          <w:szCs w:val="24"/>
        </w:rPr>
        <w:t>, range 10.51</w:t>
      </w:r>
      <w:r w:rsidR="00C232BE">
        <w:rPr>
          <w:rFonts w:ascii="Book Antiqua" w:eastAsia="Times New Roman" w:hAnsi="Book Antiqua" w:cs="Times New Roman"/>
          <w:color w:val="000000" w:themeColor="text1"/>
          <w:sz w:val="24"/>
          <w:szCs w:val="24"/>
        </w:rPr>
        <w:t>-</w:t>
      </w:r>
      <w:r w:rsidR="00BF498E" w:rsidRPr="006410B4">
        <w:rPr>
          <w:rFonts w:ascii="Book Antiqua" w:eastAsia="Times New Roman" w:hAnsi="Book Antiqua" w:cs="Times New Roman"/>
          <w:color w:val="000000" w:themeColor="text1"/>
          <w:sz w:val="24"/>
          <w:szCs w:val="24"/>
        </w:rPr>
        <w:t xml:space="preserve">34.73 </w:t>
      </w:r>
      <w:r w:rsidR="00FB7C11" w:rsidRPr="00C232BE">
        <w:rPr>
          <w:rFonts w:ascii="Book Antiqua" w:eastAsia="Times New Roman" w:hAnsi="Book Antiqua" w:cs="Times New Roman"/>
          <w:i/>
          <w:color w:val="000000" w:themeColor="text1"/>
          <w:sz w:val="24"/>
          <w:szCs w:val="24"/>
        </w:rPr>
        <w:t>vs</w:t>
      </w:r>
      <w:r w:rsidR="00BF498E" w:rsidRPr="006410B4">
        <w:rPr>
          <w:rFonts w:ascii="Book Antiqua" w:eastAsia="Times New Roman" w:hAnsi="Book Antiqua" w:cs="Times New Roman"/>
          <w:color w:val="000000" w:themeColor="text1"/>
          <w:sz w:val="24"/>
          <w:szCs w:val="24"/>
        </w:rPr>
        <w:t xml:space="preserve"> 2</w:t>
      </w:r>
      <w:r w:rsidR="00F20289" w:rsidRPr="006410B4">
        <w:rPr>
          <w:rFonts w:ascii="Book Antiqua" w:eastAsia="Times New Roman" w:hAnsi="Book Antiqua" w:cs="Times New Roman"/>
          <w:color w:val="000000" w:themeColor="text1"/>
          <w:sz w:val="24"/>
          <w:szCs w:val="24"/>
        </w:rPr>
        <w:t>1</w:t>
      </w:r>
      <w:r w:rsidR="00BF498E" w:rsidRPr="006410B4">
        <w:rPr>
          <w:rFonts w:ascii="Book Antiqua" w:eastAsia="Times New Roman" w:hAnsi="Book Antiqua" w:cs="Times New Roman"/>
          <w:color w:val="000000" w:themeColor="text1"/>
          <w:sz w:val="24"/>
          <w:szCs w:val="24"/>
        </w:rPr>
        <w:t xml:space="preserve">.22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00BF498E" w:rsidRPr="006410B4">
        <w:rPr>
          <w:rFonts w:ascii="Book Antiqua" w:eastAsia="Times New Roman" w:hAnsi="Book Antiqua" w:cs="Times New Roman"/>
          <w:color w:val="000000" w:themeColor="text1"/>
          <w:sz w:val="24"/>
          <w:szCs w:val="24"/>
        </w:rPr>
        <w:t>, range 9.48</w:t>
      </w:r>
      <w:r w:rsidR="00C232BE">
        <w:rPr>
          <w:rFonts w:ascii="Book Antiqua" w:eastAsia="Times New Roman" w:hAnsi="Book Antiqua" w:cs="Times New Roman"/>
          <w:color w:val="000000" w:themeColor="text1"/>
          <w:sz w:val="24"/>
          <w:szCs w:val="24"/>
        </w:rPr>
        <w:t>-</w:t>
      </w:r>
      <w:r w:rsidR="00BF498E" w:rsidRPr="006410B4">
        <w:rPr>
          <w:rFonts w:ascii="Book Antiqua" w:eastAsia="Times New Roman" w:hAnsi="Book Antiqua" w:cs="Times New Roman"/>
          <w:color w:val="000000" w:themeColor="text1"/>
          <w:sz w:val="24"/>
          <w:szCs w:val="24"/>
        </w:rPr>
        <w:t xml:space="preserve">44.87; </w:t>
      </w:r>
      <w:r w:rsidR="00FB7C11" w:rsidRPr="00C232BE">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00BF498E" w:rsidRPr="006410B4">
        <w:rPr>
          <w:rFonts w:ascii="Book Antiqua" w:eastAsia="Times New Roman" w:hAnsi="Book Antiqua" w:cs="Times New Roman"/>
          <w:color w:val="000000" w:themeColor="text1"/>
          <w:sz w:val="24"/>
          <w:szCs w:val="24"/>
        </w:rPr>
        <w:t xml:space="preserve">0.289). </w:t>
      </w:r>
      <w:r w:rsidR="0025310D" w:rsidRPr="006410B4">
        <w:rPr>
          <w:rFonts w:ascii="Book Antiqua" w:eastAsia="Times New Roman" w:hAnsi="Book Antiqua" w:cs="Times New Roman"/>
          <w:color w:val="000000" w:themeColor="text1"/>
          <w:sz w:val="24"/>
          <w:szCs w:val="24"/>
        </w:rPr>
        <w:t xml:space="preserve">There was </w:t>
      </w:r>
      <w:r w:rsidR="00F20289" w:rsidRPr="006410B4">
        <w:rPr>
          <w:rFonts w:ascii="Book Antiqua" w:eastAsia="Times New Roman" w:hAnsi="Book Antiqua" w:cs="Times New Roman"/>
          <w:color w:val="000000" w:themeColor="text1"/>
          <w:sz w:val="24"/>
          <w:szCs w:val="24"/>
        </w:rPr>
        <w:t xml:space="preserve">a </w:t>
      </w:r>
      <w:r w:rsidR="0025310D" w:rsidRPr="006410B4">
        <w:rPr>
          <w:rFonts w:ascii="Book Antiqua" w:eastAsia="Times New Roman" w:hAnsi="Book Antiqua" w:cs="Times New Roman"/>
          <w:color w:val="000000" w:themeColor="text1"/>
          <w:sz w:val="24"/>
          <w:szCs w:val="24"/>
        </w:rPr>
        <w:t xml:space="preserve">positive linear correlation between </w:t>
      </w:r>
      <w:r w:rsidR="00F20289" w:rsidRPr="006410B4">
        <w:rPr>
          <w:rFonts w:ascii="Book Antiqua" w:eastAsia="Times New Roman" w:hAnsi="Book Antiqua" w:cs="Times New Roman"/>
          <w:color w:val="000000" w:themeColor="text1"/>
          <w:sz w:val="24"/>
          <w:szCs w:val="24"/>
        </w:rPr>
        <w:t xml:space="preserve">the </w:t>
      </w:r>
      <w:r w:rsidR="0025310D" w:rsidRPr="006410B4">
        <w:rPr>
          <w:rFonts w:ascii="Book Antiqua" w:eastAsia="Times New Roman" w:hAnsi="Book Antiqua" w:cs="Times New Roman"/>
          <w:color w:val="000000" w:themeColor="text1"/>
          <w:sz w:val="24"/>
          <w:szCs w:val="24"/>
        </w:rPr>
        <w:t xml:space="preserve">peripheral </w:t>
      </w:r>
      <w:proofErr w:type="spellStart"/>
      <w:r w:rsidR="0025310D" w:rsidRPr="006410B4">
        <w:rPr>
          <w:rFonts w:ascii="Book Antiqua" w:eastAsia="Times New Roman" w:hAnsi="Book Antiqua" w:cs="Times New Roman"/>
          <w:color w:val="000000" w:themeColor="text1"/>
          <w:sz w:val="24"/>
          <w:szCs w:val="24"/>
        </w:rPr>
        <w:t>PlGF</w:t>
      </w:r>
      <w:proofErr w:type="spellEnd"/>
      <w:r w:rsidR="0025310D" w:rsidRPr="006410B4">
        <w:rPr>
          <w:rFonts w:ascii="Book Antiqua" w:eastAsia="Times New Roman" w:hAnsi="Book Antiqua" w:cs="Times New Roman"/>
          <w:color w:val="000000" w:themeColor="text1"/>
          <w:sz w:val="24"/>
          <w:szCs w:val="24"/>
        </w:rPr>
        <w:t xml:space="preserve"> levels and Child-Pugh score (</w:t>
      </w:r>
      <w:r w:rsidR="00FB7C11" w:rsidRPr="00AB4099">
        <w:rPr>
          <w:rFonts w:ascii="Book Antiqua" w:eastAsia="Times New Roman" w:hAnsi="Book Antiqua" w:cs="Times New Roman"/>
          <w:i/>
          <w:color w:val="000000" w:themeColor="text1"/>
          <w:sz w:val="24"/>
          <w:szCs w:val="24"/>
        </w:rPr>
        <w:t>r</w:t>
      </w:r>
      <w:r w:rsidR="00FB7C11">
        <w:rPr>
          <w:rFonts w:ascii="Book Antiqua" w:eastAsia="Times New Roman" w:hAnsi="Book Antiqua" w:cs="Times New Roman"/>
          <w:color w:val="000000" w:themeColor="text1"/>
          <w:sz w:val="24"/>
          <w:szCs w:val="24"/>
        </w:rPr>
        <w:t xml:space="preserve"> = </w:t>
      </w:r>
      <w:r w:rsidR="0025310D" w:rsidRPr="006410B4">
        <w:rPr>
          <w:rFonts w:ascii="Book Antiqua" w:eastAsia="Times New Roman" w:hAnsi="Book Antiqua" w:cs="Times New Roman"/>
          <w:color w:val="000000" w:themeColor="text1"/>
          <w:sz w:val="24"/>
          <w:szCs w:val="24"/>
        </w:rPr>
        <w:t xml:space="preserve">0.424; </w:t>
      </w:r>
      <w:r w:rsidR="00FB7C11" w:rsidRPr="00AB4099">
        <w:rPr>
          <w:rFonts w:ascii="Book Antiqua" w:eastAsia="Times New Roman" w:hAnsi="Book Antiqua" w:cs="Times New Roman"/>
          <w:i/>
          <w:color w:val="000000" w:themeColor="text1"/>
          <w:sz w:val="24"/>
          <w:szCs w:val="24"/>
        </w:rPr>
        <w:t xml:space="preserve">P </w:t>
      </w:r>
      <w:r w:rsidR="00FB7C11">
        <w:rPr>
          <w:rFonts w:ascii="Book Antiqua" w:eastAsia="Times New Roman" w:hAnsi="Book Antiqua" w:cs="Times New Roman"/>
          <w:color w:val="000000" w:themeColor="text1"/>
          <w:sz w:val="24"/>
          <w:szCs w:val="24"/>
        </w:rPr>
        <w:t xml:space="preserve">&lt; </w:t>
      </w:r>
      <w:r w:rsidR="0025310D" w:rsidRPr="006410B4">
        <w:rPr>
          <w:rFonts w:ascii="Book Antiqua" w:eastAsia="Times New Roman" w:hAnsi="Book Antiqua" w:cs="Times New Roman"/>
          <w:color w:val="000000" w:themeColor="text1"/>
          <w:sz w:val="24"/>
          <w:szCs w:val="24"/>
        </w:rPr>
        <w:t xml:space="preserve">0.0001). Peripheral </w:t>
      </w:r>
      <w:proofErr w:type="spellStart"/>
      <w:r w:rsidR="0025310D" w:rsidRPr="006410B4">
        <w:rPr>
          <w:rFonts w:ascii="Book Antiqua" w:eastAsia="Times New Roman" w:hAnsi="Book Antiqua" w:cs="Times New Roman"/>
          <w:color w:val="000000" w:themeColor="text1"/>
          <w:sz w:val="24"/>
          <w:szCs w:val="24"/>
        </w:rPr>
        <w:t>PlGF</w:t>
      </w:r>
      <w:proofErr w:type="spellEnd"/>
      <w:r w:rsidR="0025310D" w:rsidRPr="006410B4">
        <w:rPr>
          <w:rFonts w:ascii="Book Antiqua" w:eastAsia="Times New Roman" w:hAnsi="Book Antiqua" w:cs="Times New Roman"/>
          <w:color w:val="000000" w:themeColor="text1"/>
          <w:sz w:val="24"/>
          <w:szCs w:val="24"/>
        </w:rPr>
        <w:t xml:space="preserve"> levels were increasing with the Child-Pugh stage: in patients with Child-Pugh class A </w:t>
      </w:r>
      <w:proofErr w:type="spellStart"/>
      <w:r w:rsidR="0025310D" w:rsidRPr="006410B4">
        <w:rPr>
          <w:rFonts w:ascii="Book Antiqua" w:eastAsia="Times New Roman" w:hAnsi="Book Antiqua" w:cs="Times New Roman"/>
          <w:color w:val="000000" w:themeColor="text1"/>
          <w:sz w:val="24"/>
          <w:szCs w:val="24"/>
        </w:rPr>
        <w:t>PlGF</w:t>
      </w:r>
      <w:proofErr w:type="spellEnd"/>
      <w:r w:rsidR="0025310D" w:rsidRPr="006410B4">
        <w:rPr>
          <w:rFonts w:ascii="Book Antiqua" w:eastAsia="Times New Roman" w:hAnsi="Book Antiqua" w:cs="Times New Roman"/>
          <w:color w:val="000000" w:themeColor="text1"/>
          <w:sz w:val="24"/>
          <w:szCs w:val="24"/>
        </w:rPr>
        <w:t xml:space="preserve"> was 19.64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0025310D" w:rsidRPr="006410B4">
        <w:rPr>
          <w:rFonts w:ascii="Book Antiqua" w:eastAsia="Times New Roman" w:hAnsi="Book Antiqua" w:cs="Times New Roman"/>
          <w:color w:val="000000" w:themeColor="text1"/>
          <w:sz w:val="24"/>
          <w:szCs w:val="24"/>
        </w:rPr>
        <w:t xml:space="preserve"> (IQR</w:t>
      </w:r>
      <w:r w:rsidR="00AB4099">
        <w:rPr>
          <w:rFonts w:ascii="Book Antiqua" w:eastAsia="Times New Roman" w:hAnsi="Book Antiqua" w:cs="Times New Roman"/>
          <w:color w:val="000000" w:themeColor="text1"/>
          <w:sz w:val="24"/>
          <w:szCs w:val="24"/>
        </w:rPr>
        <w:t>:</w:t>
      </w:r>
      <w:r w:rsidR="0025310D" w:rsidRPr="006410B4">
        <w:rPr>
          <w:rFonts w:ascii="Book Antiqua" w:eastAsia="Times New Roman" w:hAnsi="Book Antiqua" w:cs="Times New Roman"/>
          <w:color w:val="000000" w:themeColor="text1"/>
          <w:sz w:val="24"/>
          <w:szCs w:val="24"/>
        </w:rPr>
        <w:t xml:space="preserve"> 13.38</w:t>
      </w:r>
      <w:r w:rsidR="00C232BE">
        <w:rPr>
          <w:rFonts w:ascii="Book Antiqua" w:eastAsia="Times New Roman" w:hAnsi="Book Antiqua" w:cs="Times New Roman"/>
          <w:color w:val="000000" w:themeColor="text1"/>
          <w:sz w:val="24"/>
          <w:szCs w:val="24"/>
        </w:rPr>
        <w:t>-</w:t>
      </w:r>
      <w:r w:rsidR="0025310D" w:rsidRPr="006410B4">
        <w:rPr>
          <w:rFonts w:ascii="Book Antiqua" w:eastAsia="Times New Roman" w:hAnsi="Book Antiqua" w:cs="Times New Roman"/>
          <w:color w:val="000000" w:themeColor="text1"/>
          <w:sz w:val="24"/>
          <w:szCs w:val="24"/>
        </w:rPr>
        <w:t xml:space="preserve">31.42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0025310D" w:rsidRPr="006410B4">
        <w:rPr>
          <w:rFonts w:ascii="Book Antiqua" w:eastAsia="Times New Roman" w:hAnsi="Book Antiqua" w:cs="Times New Roman"/>
          <w:color w:val="000000" w:themeColor="text1"/>
          <w:sz w:val="24"/>
          <w:szCs w:val="24"/>
        </w:rPr>
        <w:t xml:space="preserve">), in Child-Pugh class B 29.65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0025310D" w:rsidRPr="006410B4">
        <w:rPr>
          <w:rFonts w:ascii="Book Antiqua" w:eastAsia="Times New Roman" w:hAnsi="Book Antiqua" w:cs="Times New Roman"/>
          <w:color w:val="000000" w:themeColor="text1"/>
          <w:sz w:val="24"/>
          <w:szCs w:val="24"/>
        </w:rPr>
        <w:t xml:space="preserve"> (IQR</w:t>
      </w:r>
      <w:r w:rsidR="00AB4099">
        <w:rPr>
          <w:rFonts w:ascii="Book Antiqua" w:eastAsia="Times New Roman" w:hAnsi="Book Antiqua" w:cs="Times New Roman"/>
          <w:color w:val="000000" w:themeColor="text1"/>
          <w:sz w:val="24"/>
          <w:szCs w:val="24"/>
        </w:rPr>
        <w:t>:</w:t>
      </w:r>
      <w:r w:rsidR="0025310D" w:rsidRPr="006410B4">
        <w:rPr>
          <w:rFonts w:ascii="Book Antiqua" w:eastAsia="Times New Roman" w:hAnsi="Book Antiqua" w:cs="Times New Roman"/>
          <w:color w:val="000000" w:themeColor="text1"/>
          <w:sz w:val="24"/>
          <w:szCs w:val="24"/>
        </w:rPr>
        <w:t xml:space="preserve"> 18.95</w:t>
      </w:r>
      <w:r w:rsidR="00C232BE">
        <w:rPr>
          <w:rFonts w:ascii="Book Antiqua" w:eastAsia="Times New Roman" w:hAnsi="Book Antiqua" w:cs="Times New Roman"/>
          <w:color w:val="000000" w:themeColor="text1"/>
          <w:sz w:val="24"/>
          <w:szCs w:val="24"/>
        </w:rPr>
        <w:t>-</w:t>
      </w:r>
      <w:r w:rsidR="0025310D" w:rsidRPr="006410B4">
        <w:rPr>
          <w:rFonts w:ascii="Book Antiqua" w:eastAsia="Times New Roman" w:hAnsi="Book Antiqua" w:cs="Times New Roman"/>
          <w:color w:val="000000" w:themeColor="text1"/>
          <w:sz w:val="24"/>
          <w:szCs w:val="24"/>
        </w:rPr>
        <w:t xml:space="preserve">46.29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0025310D" w:rsidRPr="006410B4">
        <w:rPr>
          <w:rFonts w:ascii="Book Antiqua" w:eastAsia="Times New Roman" w:hAnsi="Book Antiqua" w:cs="Times New Roman"/>
          <w:color w:val="000000" w:themeColor="text1"/>
          <w:sz w:val="24"/>
          <w:szCs w:val="24"/>
        </w:rPr>
        <w:t xml:space="preserve">) and in Child-Pugh class C 32.80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0025310D" w:rsidRPr="006410B4">
        <w:rPr>
          <w:rFonts w:ascii="Book Antiqua" w:eastAsia="Times New Roman" w:hAnsi="Book Antiqua" w:cs="Times New Roman"/>
          <w:color w:val="000000" w:themeColor="text1"/>
          <w:sz w:val="24"/>
          <w:szCs w:val="24"/>
        </w:rPr>
        <w:t xml:space="preserve"> (IQR</w:t>
      </w:r>
      <w:r w:rsidR="00AB4099">
        <w:rPr>
          <w:rFonts w:ascii="Book Antiqua" w:eastAsia="Times New Roman" w:hAnsi="Book Antiqua" w:cs="Times New Roman"/>
          <w:color w:val="000000" w:themeColor="text1"/>
          <w:sz w:val="24"/>
          <w:szCs w:val="24"/>
        </w:rPr>
        <w:t>:</w:t>
      </w:r>
      <w:r w:rsidR="0025310D" w:rsidRPr="006410B4">
        <w:rPr>
          <w:rFonts w:ascii="Book Antiqua" w:eastAsia="Times New Roman" w:hAnsi="Book Antiqua" w:cs="Times New Roman"/>
          <w:color w:val="000000" w:themeColor="text1"/>
          <w:sz w:val="24"/>
          <w:szCs w:val="24"/>
        </w:rPr>
        <w:t xml:space="preserve"> 28.00</w:t>
      </w:r>
      <w:r w:rsidR="00C232BE">
        <w:rPr>
          <w:rFonts w:ascii="Book Antiqua" w:eastAsia="Times New Roman" w:hAnsi="Book Antiqua" w:cs="Times New Roman"/>
          <w:color w:val="000000" w:themeColor="text1"/>
          <w:sz w:val="24"/>
          <w:szCs w:val="24"/>
        </w:rPr>
        <w:t>-</w:t>
      </w:r>
      <w:r w:rsidR="0025310D" w:rsidRPr="006410B4">
        <w:rPr>
          <w:rFonts w:ascii="Book Antiqua" w:eastAsia="Times New Roman" w:hAnsi="Book Antiqua" w:cs="Times New Roman"/>
          <w:color w:val="000000" w:themeColor="text1"/>
          <w:sz w:val="24"/>
          <w:szCs w:val="24"/>
        </w:rPr>
        <w:t xml:space="preserve">49.93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0025310D" w:rsidRPr="006410B4">
        <w:rPr>
          <w:rFonts w:ascii="Book Antiqua" w:eastAsia="Times New Roman" w:hAnsi="Book Antiqua" w:cs="Times New Roman"/>
          <w:color w:val="000000" w:themeColor="text1"/>
          <w:sz w:val="24"/>
          <w:szCs w:val="24"/>
        </w:rPr>
        <w:t xml:space="preserve">). </w:t>
      </w:r>
      <w:proofErr w:type="spellStart"/>
      <w:r w:rsidR="0025310D" w:rsidRPr="006410B4">
        <w:rPr>
          <w:rFonts w:ascii="Book Antiqua" w:eastAsia="Times New Roman" w:hAnsi="Book Antiqua" w:cs="Times New Roman"/>
          <w:color w:val="000000" w:themeColor="text1"/>
          <w:sz w:val="24"/>
          <w:szCs w:val="24"/>
        </w:rPr>
        <w:t>PlGF</w:t>
      </w:r>
      <w:proofErr w:type="spellEnd"/>
      <w:r w:rsidR="0025310D" w:rsidRPr="006410B4">
        <w:rPr>
          <w:rFonts w:ascii="Book Antiqua" w:eastAsia="Times New Roman" w:hAnsi="Book Antiqua" w:cs="Times New Roman"/>
          <w:color w:val="000000" w:themeColor="text1"/>
          <w:sz w:val="24"/>
          <w:szCs w:val="24"/>
        </w:rPr>
        <w:t xml:space="preserve"> levels were significantly higher in Child-Pugh class B (</w:t>
      </w:r>
      <w:r w:rsidR="00FB7C11">
        <w:rPr>
          <w:rFonts w:ascii="Book Antiqua" w:eastAsia="Times New Roman" w:hAnsi="Book Antiqua" w:cs="Times New Roman"/>
          <w:color w:val="000000" w:themeColor="text1"/>
          <w:sz w:val="24"/>
          <w:szCs w:val="24"/>
        </w:rPr>
        <w:t xml:space="preserve">P &lt; </w:t>
      </w:r>
      <w:r w:rsidR="0025310D" w:rsidRPr="006410B4">
        <w:rPr>
          <w:rFonts w:ascii="Book Antiqua" w:eastAsia="Times New Roman" w:hAnsi="Book Antiqua" w:cs="Times New Roman"/>
          <w:color w:val="000000" w:themeColor="text1"/>
          <w:sz w:val="24"/>
          <w:szCs w:val="24"/>
        </w:rPr>
        <w:t>0.042) and class C (</w:t>
      </w:r>
      <w:r w:rsidR="00FB7C11" w:rsidRPr="00AB409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&lt; </w:t>
      </w:r>
      <w:r w:rsidR="0025310D" w:rsidRPr="006410B4">
        <w:rPr>
          <w:rFonts w:ascii="Book Antiqua" w:eastAsia="Times New Roman" w:hAnsi="Book Antiqua" w:cs="Times New Roman"/>
          <w:color w:val="000000" w:themeColor="text1"/>
          <w:sz w:val="24"/>
          <w:szCs w:val="24"/>
        </w:rPr>
        <w:t>0.002) when compared to Child-Pugh class A. Positive linear correlation was also observed with MELD score (</w:t>
      </w:r>
      <w:r w:rsidR="00FB7C11" w:rsidRPr="00AB4099">
        <w:rPr>
          <w:rFonts w:ascii="Book Antiqua" w:eastAsia="Times New Roman" w:hAnsi="Book Antiqua" w:cs="Times New Roman"/>
          <w:i/>
          <w:color w:val="000000" w:themeColor="text1"/>
          <w:sz w:val="24"/>
          <w:szCs w:val="24"/>
        </w:rPr>
        <w:t xml:space="preserve">r </w:t>
      </w:r>
      <w:r w:rsidR="00FB7C11">
        <w:rPr>
          <w:rFonts w:ascii="Book Antiqua" w:eastAsia="Times New Roman" w:hAnsi="Book Antiqua" w:cs="Times New Roman"/>
          <w:color w:val="000000" w:themeColor="text1"/>
          <w:sz w:val="24"/>
          <w:szCs w:val="24"/>
        </w:rPr>
        <w:t xml:space="preserve">= </w:t>
      </w:r>
      <w:r w:rsidR="0025310D" w:rsidRPr="006410B4">
        <w:rPr>
          <w:rFonts w:ascii="Book Antiqua" w:eastAsia="Times New Roman" w:hAnsi="Book Antiqua" w:cs="Times New Roman"/>
          <w:color w:val="000000" w:themeColor="text1"/>
          <w:sz w:val="24"/>
          <w:szCs w:val="24"/>
        </w:rPr>
        <w:t xml:space="preserve">0.283; </w:t>
      </w:r>
      <w:r w:rsidR="00FB7C11" w:rsidRPr="00AB4099">
        <w:rPr>
          <w:rFonts w:ascii="Book Antiqua" w:eastAsia="Times New Roman" w:hAnsi="Book Antiqua" w:cs="Times New Roman"/>
          <w:i/>
          <w:color w:val="000000" w:themeColor="text1"/>
          <w:sz w:val="24"/>
          <w:szCs w:val="24"/>
        </w:rPr>
        <w:t xml:space="preserve">P </w:t>
      </w:r>
      <w:r w:rsidR="00FB7C11">
        <w:rPr>
          <w:rFonts w:ascii="Book Antiqua" w:eastAsia="Times New Roman" w:hAnsi="Book Antiqua" w:cs="Times New Roman"/>
          <w:color w:val="000000" w:themeColor="text1"/>
          <w:sz w:val="24"/>
          <w:szCs w:val="24"/>
        </w:rPr>
        <w:t xml:space="preserve">&lt; </w:t>
      </w:r>
      <w:r w:rsidR="0025310D" w:rsidRPr="006410B4">
        <w:rPr>
          <w:rFonts w:ascii="Book Antiqua" w:eastAsia="Times New Roman" w:hAnsi="Book Antiqua" w:cs="Times New Roman"/>
          <w:color w:val="000000" w:themeColor="text1"/>
          <w:sz w:val="24"/>
          <w:szCs w:val="24"/>
        </w:rPr>
        <w:t xml:space="preserve">0.006). </w:t>
      </w:r>
      <w:proofErr w:type="spellStart"/>
      <w:r w:rsidR="0025310D" w:rsidRPr="006410B4">
        <w:rPr>
          <w:rFonts w:ascii="Book Antiqua" w:eastAsia="Times New Roman" w:hAnsi="Book Antiqua" w:cs="Times New Roman"/>
          <w:color w:val="000000" w:themeColor="text1"/>
          <w:sz w:val="24"/>
          <w:szCs w:val="24"/>
        </w:rPr>
        <w:t>PlGF</w:t>
      </w:r>
      <w:proofErr w:type="spellEnd"/>
      <w:r w:rsidR="0025310D" w:rsidRPr="006410B4">
        <w:rPr>
          <w:rFonts w:ascii="Book Antiqua" w:eastAsia="Times New Roman" w:hAnsi="Book Antiqua" w:cs="Times New Roman"/>
          <w:color w:val="000000" w:themeColor="text1"/>
          <w:sz w:val="24"/>
          <w:szCs w:val="24"/>
        </w:rPr>
        <w:t xml:space="preserve"> levels at the </w:t>
      </w:r>
      <w:r w:rsidR="0025310D" w:rsidRPr="006410B4">
        <w:rPr>
          <w:rFonts w:ascii="Book Antiqua" w:eastAsia="Times New Roman" w:hAnsi="Book Antiqua" w:cs="Times New Roman"/>
          <w:color w:val="000000" w:themeColor="text1"/>
          <w:sz w:val="24"/>
          <w:szCs w:val="24"/>
        </w:rPr>
        <w:lastRenderedPageBreak/>
        <w:t>hepatic vein correlated with Child-Pugh score (</w:t>
      </w:r>
      <w:r w:rsidR="00FB7C11" w:rsidRPr="00AB4099">
        <w:rPr>
          <w:rFonts w:ascii="Book Antiqua" w:eastAsia="Times New Roman" w:hAnsi="Book Antiqua" w:cs="Times New Roman"/>
          <w:i/>
          <w:color w:val="000000" w:themeColor="text1"/>
          <w:sz w:val="24"/>
          <w:szCs w:val="24"/>
        </w:rPr>
        <w:t>r</w:t>
      </w:r>
      <w:r w:rsidR="00FB7C11">
        <w:rPr>
          <w:rFonts w:ascii="Book Antiqua" w:eastAsia="Times New Roman" w:hAnsi="Book Antiqua" w:cs="Times New Roman"/>
          <w:color w:val="000000" w:themeColor="text1"/>
          <w:sz w:val="24"/>
          <w:szCs w:val="24"/>
        </w:rPr>
        <w:t xml:space="preserve"> = </w:t>
      </w:r>
      <w:r w:rsidR="0025310D" w:rsidRPr="006410B4">
        <w:rPr>
          <w:rFonts w:ascii="Book Antiqua" w:eastAsia="Times New Roman" w:hAnsi="Book Antiqua" w:cs="Times New Roman"/>
          <w:color w:val="000000" w:themeColor="text1"/>
          <w:sz w:val="24"/>
          <w:szCs w:val="24"/>
        </w:rPr>
        <w:t xml:space="preserve">0.384; </w:t>
      </w:r>
      <w:r w:rsidR="00FB7C11" w:rsidRPr="00AB409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0025310D" w:rsidRPr="006410B4">
        <w:rPr>
          <w:rFonts w:ascii="Book Antiqua" w:eastAsia="Times New Roman" w:hAnsi="Book Antiqua" w:cs="Times New Roman"/>
          <w:color w:val="000000" w:themeColor="text1"/>
          <w:sz w:val="24"/>
          <w:szCs w:val="24"/>
        </w:rPr>
        <w:t>0.036) and were significantly higher in Child-Pugh C stage (</w:t>
      </w:r>
      <w:r w:rsidR="00FB7C11" w:rsidRPr="00AB409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0025310D" w:rsidRPr="006410B4">
        <w:rPr>
          <w:rFonts w:ascii="Book Antiqua" w:eastAsia="Times New Roman" w:hAnsi="Book Antiqua" w:cs="Times New Roman"/>
          <w:color w:val="000000" w:themeColor="text1"/>
          <w:sz w:val="24"/>
          <w:szCs w:val="24"/>
        </w:rPr>
        <w:t xml:space="preserve">0.007), when compared to Child-Pugh A and B stage. </w:t>
      </w:r>
    </w:p>
    <w:p w:rsidR="009E5C59" w:rsidRPr="006410B4" w:rsidRDefault="00154A54" w:rsidP="00AB409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Mean p</w:t>
      </w:r>
      <w:r w:rsidR="00BF498E" w:rsidRPr="006410B4">
        <w:rPr>
          <w:rFonts w:ascii="Book Antiqua" w:eastAsia="Times New Roman" w:hAnsi="Book Antiqua" w:cs="Times New Roman"/>
          <w:color w:val="000000" w:themeColor="text1"/>
          <w:sz w:val="24"/>
          <w:szCs w:val="24"/>
        </w:rPr>
        <w:t xml:space="preserve">eripheral mean levels of </w:t>
      </w:r>
      <w:proofErr w:type="spellStart"/>
      <w:r w:rsidR="00BF498E" w:rsidRPr="006410B4">
        <w:rPr>
          <w:rFonts w:ascii="Book Antiqua" w:eastAsia="Times New Roman" w:hAnsi="Book Antiqua" w:cs="Times New Roman"/>
          <w:color w:val="000000" w:themeColor="text1"/>
          <w:sz w:val="24"/>
          <w:szCs w:val="24"/>
        </w:rPr>
        <w:t>Nogo</w:t>
      </w:r>
      <w:proofErr w:type="spellEnd"/>
      <w:r w:rsidR="00BF498E" w:rsidRPr="006410B4">
        <w:rPr>
          <w:rFonts w:ascii="Book Antiqua" w:eastAsia="Times New Roman" w:hAnsi="Book Antiqua" w:cs="Times New Roman"/>
          <w:color w:val="000000" w:themeColor="text1"/>
          <w:sz w:val="24"/>
          <w:szCs w:val="24"/>
        </w:rPr>
        <w:t xml:space="preserve">-A protein were lower in patients with liver cirrhosis (2.19 ± 1.47 </w:t>
      </w:r>
      <w:r w:rsidR="005702DC">
        <w:rPr>
          <w:rFonts w:ascii="Book Antiqua" w:eastAsia="Times New Roman" w:hAnsi="Book Antiqua" w:cs="Times New Roman"/>
          <w:color w:val="000000" w:themeColor="text1"/>
          <w:sz w:val="24"/>
          <w:szCs w:val="24"/>
        </w:rPr>
        <w:t>ng/mL</w:t>
      </w:r>
      <w:r w:rsidR="00BF498E" w:rsidRPr="006410B4">
        <w:rPr>
          <w:rFonts w:ascii="Book Antiqua" w:eastAsia="Times New Roman" w:hAnsi="Book Antiqua" w:cs="Times New Roman"/>
          <w:color w:val="000000" w:themeColor="text1"/>
          <w:sz w:val="24"/>
          <w:szCs w:val="24"/>
        </w:rPr>
        <w:t xml:space="preserve">) when compared to controls (3.12 ± 1.54 </w:t>
      </w:r>
      <w:r w:rsidR="005702DC">
        <w:rPr>
          <w:rFonts w:ascii="Book Antiqua" w:eastAsia="Times New Roman" w:hAnsi="Book Antiqua" w:cs="Times New Roman"/>
          <w:color w:val="000000" w:themeColor="text1"/>
          <w:sz w:val="24"/>
          <w:szCs w:val="24"/>
        </w:rPr>
        <w:t>ng/mL</w:t>
      </w:r>
      <w:r w:rsidR="00BF498E" w:rsidRPr="006410B4">
        <w:rPr>
          <w:rFonts w:ascii="Book Antiqua" w:eastAsia="Times New Roman" w:hAnsi="Book Antiqua" w:cs="Times New Roman"/>
          <w:color w:val="000000" w:themeColor="text1"/>
          <w:sz w:val="24"/>
          <w:szCs w:val="24"/>
        </w:rPr>
        <w:t xml:space="preserve">; </w:t>
      </w:r>
      <w:r w:rsidR="00FB7C11" w:rsidRPr="00AB409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00BF498E" w:rsidRPr="006410B4">
        <w:rPr>
          <w:rFonts w:ascii="Book Antiqua" w:eastAsia="Times New Roman" w:hAnsi="Book Antiqua" w:cs="Times New Roman"/>
          <w:color w:val="000000" w:themeColor="text1"/>
          <w:sz w:val="24"/>
          <w:szCs w:val="24"/>
        </w:rPr>
        <w:t>0.004; Fig</w:t>
      </w:r>
      <w:r w:rsidR="00846B22" w:rsidRPr="006410B4">
        <w:rPr>
          <w:rFonts w:ascii="Book Antiqua" w:eastAsia="Times New Roman" w:hAnsi="Book Antiqua" w:cs="Times New Roman"/>
          <w:color w:val="000000" w:themeColor="text1"/>
          <w:sz w:val="24"/>
          <w:szCs w:val="24"/>
        </w:rPr>
        <w:t>ure</w:t>
      </w:r>
      <w:r w:rsidR="009E5C59" w:rsidRPr="006410B4">
        <w:rPr>
          <w:rFonts w:ascii="Book Antiqua" w:eastAsia="Times New Roman" w:hAnsi="Book Antiqua" w:cs="Times New Roman"/>
          <w:color w:val="000000" w:themeColor="text1"/>
          <w:sz w:val="24"/>
          <w:szCs w:val="24"/>
        </w:rPr>
        <w:t xml:space="preserve"> 2</w:t>
      </w:r>
      <w:r w:rsidR="00BF498E" w:rsidRPr="006410B4">
        <w:rPr>
          <w:rFonts w:ascii="Book Antiqua" w:eastAsia="Times New Roman" w:hAnsi="Book Antiqua" w:cs="Times New Roman"/>
          <w:color w:val="000000" w:themeColor="text1"/>
          <w:sz w:val="24"/>
          <w:szCs w:val="24"/>
        </w:rPr>
        <w:t xml:space="preserve">). Peripheral </w:t>
      </w:r>
      <w:proofErr w:type="spellStart"/>
      <w:r w:rsidR="00BF498E" w:rsidRPr="006410B4">
        <w:rPr>
          <w:rFonts w:ascii="Book Antiqua" w:eastAsia="Times New Roman" w:hAnsi="Book Antiqua" w:cs="Times New Roman"/>
          <w:color w:val="000000" w:themeColor="text1"/>
          <w:sz w:val="24"/>
          <w:szCs w:val="24"/>
        </w:rPr>
        <w:t>Nogo</w:t>
      </w:r>
      <w:proofErr w:type="spellEnd"/>
      <w:r w:rsidR="00BF498E" w:rsidRPr="006410B4">
        <w:rPr>
          <w:rFonts w:ascii="Book Antiqua" w:eastAsia="Times New Roman" w:hAnsi="Book Antiqua" w:cs="Times New Roman"/>
          <w:color w:val="000000" w:themeColor="text1"/>
          <w:sz w:val="24"/>
          <w:szCs w:val="24"/>
        </w:rPr>
        <w:t xml:space="preserve">-A protein levels did </w:t>
      </w:r>
      <w:r w:rsidR="00681899" w:rsidRPr="006410B4">
        <w:rPr>
          <w:rFonts w:ascii="Book Antiqua" w:eastAsia="Times New Roman" w:hAnsi="Book Antiqua" w:cs="Times New Roman"/>
          <w:color w:val="000000" w:themeColor="text1"/>
          <w:sz w:val="24"/>
          <w:szCs w:val="24"/>
        </w:rPr>
        <w:t>not differ between the alcohol</w:t>
      </w:r>
      <w:r w:rsidRPr="006410B4">
        <w:rPr>
          <w:rFonts w:ascii="Book Antiqua" w:eastAsia="Times New Roman" w:hAnsi="Book Antiqua" w:cs="Times New Roman"/>
          <w:color w:val="000000" w:themeColor="text1"/>
          <w:sz w:val="24"/>
          <w:szCs w:val="24"/>
        </w:rPr>
        <w:t>-</w:t>
      </w:r>
      <w:r w:rsidR="00681899" w:rsidRPr="006410B4">
        <w:rPr>
          <w:rFonts w:ascii="Book Antiqua" w:eastAsia="Times New Roman" w:hAnsi="Book Antiqua" w:cs="Times New Roman"/>
          <w:color w:val="000000" w:themeColor="text1"/>
          <w:sz w:val="24"/>
          <w:szCs w:val="24"/>
        </w:rPr>
        <w:t>induced</w:t>
      </w:r>
      <w:r w:rsidR="00BF498E" w:rsidRPr="006410B4">
        <w:rPr>
          <w:rFonts w:ascii="Book Antiqua" w:eastAsia="Times New Roman" w:hAnsi="Book Antiqua" w:cs="Times New Roman"/>
          <w:color w:val="000000" w:themeColor="text1"/>
          <w:sz w:val="24"/>
          <w:szCs w:val="24"/>
        </w:rPr>
        <w:t xml:space="preserve"> (2.22 ± 1.59 </w:t>
      </w:r>
      <w:r w:rsidR="005702DC">
        <w:rPr>
          <w:rFonts w:ascii="Book Antiqua" w:eastAsia="Times New Roman" w:hAnsi="Book Antiqua" w:cs="Times New Roman"/>
          <w:color w:val="000000" w:themeColor="text1"/>
          <w:sz w:val="24"/>
          <w:szCs w:val="24"/>
        </w:rPr>
        <w:t>ng/mL</w:t>
      </w:r>
      <w:r w:rsidR="00BF498E" w:rsidRPr="006410B4">
        <w:rPr>
          <w:rFonts w:ascii="Book Antiqua" w:eastAsia="Times New Roman" w:hAnsi="Book Antiqua" w:cs="Times New Roman"/>
          <w:color w:val="000000" w:themeColor="text1"/>
          <w:sz w:val="24"/>
          <w:szCs w:val="24"/>
        </w:rPr>
        <w:t>) and hepatitis C</w:t>
      </w:r>
      <w:r w:rsidR="00681899" w:rsidRPr="006410B4">
        <w:rPr>
          <w:rFonts w:ascii="Book Antiqua" w:eastAsia="Times New Roman" w:hAnsi="Book Antiqua" w:cs="Times New Roman"/>
          <w:color w:val="000000" w:themeColor="text1"/>
          <w:sz w:val="24"/>
          <w:szCs w:val="24"/>
        </w:rPr>
        <w:t xml:space="preserve"> virus</w:t>
      </w:r>
      <w:r w:rsidR="00BF498E" w:rsidRPr="006410B4">
        <w:rPr>
          <w:rFonts w:ascii="Book Antiqua" w:eastAsia="Times New Roman" w:hAnsi="Book Antiqua" w:cs="Times New Roman"/>
          <w:color w:val="000000" w:themeColor="text1"/>
          <w:sz w:val="24"/>
          <w:szCs w:val="24"/>
        </w:rPr>
        <w:t xml:space="preserve"> cirrhosis (2.02 ± 1.33 </w:t>
      </w:r>
      <w:r w:rsidR="005702DC">
        <w:rPr>
          <w:rFonts w:ascii="Book Antiqua" w:eastAsia="Times New Roman" w:hAnsi="Book Antiqua" w:cs="Times New Roman"/>
          <w:color w:val="000000" w:themeColor="text1"/>
          <w:sz w:val="24"/>
          <w:szCs w:val="24"/>
        </w:rPr>
        <w:t>ng/mL</w:t>
      </w:r>
      <w:r w:rsidR="00BF498E" w:rsidRPr="006410B4">
        <w:rPr>
          <w:rFonts w:ascii="Book Antiqua" w:eastAsia="Times New Roman" w:hAnsi="Book Antiqua" w:cs="Times New Roman"/>
          <w:color w:val="000000" w:themeColor="text1"/>
          <w:sz w:val="24"/>
          <w:szCs w:val="24"/>
        </w:rPr>
        <w:t xml:space="preserve">; </w:t>
      </w:r>
      <w:r w:rsidR="00FB7C11" w:rsidRPr="00AB409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00BF498E" w:rsidRPr="006410B4">
        <w:rPr>
          <w:rFonts w:ascii="Book Antiqua" w:eastAsia="Times New Roman" w:hAnsi="Book Antiqua" w:cs="Times New Roman"/>
          <w:color w:val="000000" w:themeColor="text1"/>
          <w:sz w:val="24"/>
          <w:szCs w:val="24"/>
        </w:rPr>
        <w:t>0.785), however both were significantly lower than</w:t>
      </w:r>
      <w:r w:rsidR="009E5C59" w:rsidRPr="006410B4">
        <w:rPr>
          <w:rFonts w:ascii="Book Antiqua" w:eastAsia="Times New Roman" w:hAnsi="Book Antiqua" w:cs="Times New Roman"/>
          <w:color w:val="000000" w:themeColor="text1"/>
          <w:sz w:val="24"/>
          <w:szCs w:val="24"/>
        </w:rPr>
        <w:t xml:space="preserve"> in controls (3.15 ± 1.48 </w:t>
      </w:r>
      <w:r w:rsidR="005702DC">
        <w:rPr>
          <w:rFonts w:ascii="Book Antiqua" w:eastAsia="Times New Roman" w:hAnsi="Book Antiqua" w:cs="Times New Roman"/>
          <w:color w:val="000000" w:themeColor="text1"/>
          <w:sz w:val="24"/>
          <w:szCs w:val="24"/>
        </w:rPr>
        <w:t>ng/mL</w:t>
      </w:r>
      <w:r w:rsidR="00BF498E" w:rsidRPr="006410B4">
        <w:rPr>
          <w:rFonts w:ascii="Book Antiqua" w:eastAsia="Times New Roman" w:hAnsi="Book Antiqua" w:cs="Times New Roman"/>
          <w:color w:val="000000" w:themeColor="text1"/>
          <w:sz w:val="24"/>
          <w:szCs w:val="24"/>
        </w:rPr>
        <w:t xml:space="preserve">). Peripheral levels of </w:t>
      </w:r>
      <w:proofErr w:type="spellStart"/>
      <w:r w:rsidR="00BF498E" w:rsidRPr="006410B4">
        <w:rPr>
          <w:rFonts w:ascii="Book Antiqua" w:eastAsia="Times New Roman" w:hAnsi="Book Antiqua" w:cs="Times New Roman"/>
          <w:color w:val="000000" w:themeColor="text1"/>
          <w:sz w:val="24"/>
          <w:szCs w:val="24"/>
        </w:rPr>
        <w:t>Nogo</w:t>
      </w:r>
      <w:proofErr w:type="spellEnd"/>
      <w:r w:rsidR="00BF498E" w:rsidRPr="006410B4">
        <w:rPr>
          <w:rFonts w:ascii="Book Antiqua" w:eastAsia="Times New Roman" w:hAnsi="Book Antiqua" w:cs="Times New Roman"/>
          <w:color w:val="000000" w:themeColor="text1"/>
          <w:sz w:val="24"/>
          <w:szCs w:val="24"/>
        </w:rPr>
        <w:t xml:space="preserve">-A were significantly lower when compared to the levels at the hepatic vein (1.70 ± 1.19 </w:t>
      </w:r>
      <w:r w:rsidR="005702DC">
        <w:rPr>
          <w:rFonts w:ascii="Book Antiqua" w:eastAsia="Times New Roman" w:hAnsi="Book Antiqua" w:cs="Times New Roman"/>
          <w:color w:val="000000" w:themeColor="text1"/>
          <w:sz w:val="24"/>
          <w:szCs w:val="24"/>
        </w:rPr>
        <w:t>ng/mL</w:t>
      </w:r>
      <w:r w:rsidR="00BF498E" w:rsidRPr="006410B4">
        <w:rPr>
          <w:rFonts w:ascii="Book Antiqua" w:eastAsia="Times New Roman" w:hAnsi="Book Antiqua" w:cs="Times New Roman"/>
          <w:color w:val="000000" w:themeColor="text1"/>
          <w:sz w:val="24"/>
          <w:szCs w:val="24"/>
        </w:rPr>
        <w:t xml:space="preserve"> </w:t>
      </w:r>
      <w:r w:rsidR="00FB7C11" w:rsidRPr="00AB4099">
        <w:rPr>
          <w:rFonts w:ascii="Book Antiqua" w:eastAsia="Times New Roman" w:hAnsi="Book Antiqua" w:cs="Times New Roman"/>
          <w:i/>
          <w:color w:val="000000" w:themeColor="text1"/>
          <w:sz w:val="24"/>
          <w:szCs w:val="24"/>
        </w:rPr>
        <w:t>vs</w:t>
      </w:r>
      <w:r w:rsidR="00BF498E" w:rsidRPr="006410B4">
        <w:rPr>
          <w:rFonts w:ascii="Book Antiqua" w:eastAsia="Times New Roman" w:hAnsi="Book Antiqua" w:cs="Times New Roman"/>
          <w:color w:val="000000" w:themeColor="text1"/>
          <w:sz w:val="24"/>
          <w:szCs w:val="24"/>
        </w:rPr>
        <w:t xml:space="preserve"> 3.48 ± 2.27 </w:t>
      </w:r>
      <w:r w:rsidR="005702DC">
        <w:rPr>
          <w:rFonts w:ascii="Book Antiqua" w:eastAsia="Times New Roman" w:hAnsi="Book Antiqua" w:cs="Times New Roman"/>
          <w:color w:val="000000" w:themeColor="text1"/>
          <w:sz w:val="24"/>
          <w:szCs w:val="24"/>
        </w:rPr>
        <w:t>ng/mL</w:t>
      </w:r>
      <w:r w:rsidR="00BF498E" w:rsidRPr="006410B4">
        <w:rPr>
          <w:rFonts w:ascii="Book Antiqua" w:eastAsia="Times New Roman" w:hAnsi="Book Antiqua" w:cs="Times New Roman"/>
          <w:color w:val="000000" w:themeColor="text1"/>
          <w:sz w:val="24"/>
          <w:szCs w:val="24"/>
        </w:rPr>
        <w:t xml:space="preserve"> respect. </w:t>
      </w:r>
      <w:r w:rsidR="00FB7C11" w:rsidRPr="00AB409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&lt; </w:t>
      </w:r>
      <w:r w:rsidR="00BF498E" w:rsidRPr="006410B4">
        <w:rPr>
          <w:rFonts w:ascii="Book Antiqua" w:eastAsia="Times New Roman" w:hAnsi="Book Antiqua" w:cs="Times New Roman"/>
          <w:color w:val="000000" w:themeColor="text1"/>
          <w:sz w:val="24"/>
          <w:szCs w:val="24"/>
        </w:rPr>
        <w:t>0.0001).</w:t>
      </w:r>
      <w:r w:rsidR="009E5C59" w:rsidRPr="006410B4">
        <w:rPr>
          <w:rFonts w:ascii="Book Antiqua" w:eastAsia="Times New Roman" w:hAnsi="Book Antiqua" w:cs="Times New Roman"/>
          <w:color w:val="000000" w:themeColor="text1"/>
          <w:sz w:val="24"/>
          <w:szCs w:val="24"/>
        </w:rPr>
        <w:t xml:space="preserve"> No significant correlation was observed between peripheral and hepatic </w:t>
      </w:r>
      <w:proofErr w:type="spellStart"/>
      <w:r w:rsidR="009E5C59" w:rsidRPr="006410B4">
        <w:rPr>
          <w:rFonts w:ascii="Book Antiqua" w:eastAsia="Times New Roman" w:hAnsi="Book Antiqua" w:cs="Times New Roman"/>
          <w:color w:val="000000" w:themeColor="text1"/>
          <w:sz w:val="24"/>
          <w:szCs w:val="24"/>
        </w:rPr>
        <w:t>Nogo</w:t>
      </w:r>
      <w:proofErr w:type="spellEnd"/>
      <w:r w:rsidR="009E5C59" w:rsidRPr="006410B4">
        <w:rPr>
          <w:rFonts w:ascii="Book Antiqua" w:eastAsia="Times New Roman" w:hAnsi="Book Antiqua" w:cs="Times New Roman"/>
          <w:color w:val="000000" w:themeColor="text1"/>
          <w:sz w:val="24"/>
          <w:szCs w:val="24"/>
        </w:rPr>
        <w:t xml:space="preserve">-A levels and Child-Pugh score as well as MELD score. Peripheral </w:t>
      </w:r>
      <w:proofErr w:type="spellStart"/>
      <w:r w:rsidR="009E5C59" w:rsidRPr="006410B4">
        <w:rPr>
          <w:rFonts w:ascii="Book Antiqua" w:eastAsia="Times New Roman" w:hAnsi="Book Antiqua" w:cs="Times New Roman"/>
          <w:color w:val="000000" w:themeColor="text1"/>
          <w:sz w:val="24"/>
          <w:szCs w:val="24"/>
        </w:rPr>
        <w:t>Nogo</w:t>
      </w:r>
      <w:proofErr w:type="spellEnd"/>
      <w:r w:rsidR="009E5C59" w:rsidRPr="006410B4">
        <w:rPr>
          <w:rFonts w:ascii="Book Antiqua" w:eastAsia="Times New Roman" w:hAnsi="Book Antiqua" w:cs="Times New Roman"/>
          <w:color w:val="000000" w:themeColor="text1"/>
          <w:sz w:val="24"/>
          <w:szCs w:val="24"/>
        </w:rPr>
        <w:t xml:space="preserve">-A levels did not differ between the Child-Pugh stage groups (Child-Pugh A 2.19 ± 1.37 </w:t>
      </w:r>
      <w:r w:rsidR="005702DC">
        <w:rPr>
          <w:rFonts w:ascii="Book Antiqua" w:eastAsia="Times New Roman" w:hAnsi="Book Antiqua" w:cs="Times New Roman"/>
          <w:color w:val="000000" w:themeColor="text1"/>
          <w:sz w:val="24"/>
          <w:szCs w:val="24"/>
        </w:rPr>
        <w:t>ng/mL</w:t>
      </w:r>
      <w:r w:rsidR="009E5C59" w:rsidRPr="006410B4">
        <w:rPr>
          <w:rFonts w:ascii="Book Antiqua" w:eastAsia="Times New Roman" w:hAnsi="Book Antiqua" w:cs="Times New Roman"/>
          <w:color w:val="000000" w:themeColor="text1"/>
          <w:sz w:val="24"/>
          <w:szCs w:val="24"/>
        </w:rPr>
        <w:t>; Child-Pugh B 1.9</w:t>
      </w:r>
      <w:r w:rsidR="007D4D29">
        <w:rPr>
          <w:rFonts w:ascii="Book Antiqua" w:eastAsia="Times New Roman" w:hAnsi="Book Antiqua" w:cs="Times New Roman"/>
          <w:color w:val="000000" w:themeColor="text1"/>
          <w:sz w:val="24"/>
          <w:szCs w:val="24"/>
        </w:rPr>
        <w:t xml:space="preserve"> </w:t>
      </w:r>
      <w:r w:rsidR="009E5C59" w:rsidRPr="006410B4">
        <w:rPr>
          <w:rFonts w:ascii="Book Antiqua" w:eastAsia="Times New Roman" w:hAnsi="Book Antiqua" w:cs="Times New Roman"/>
          <w:color w:val="000000" w:themeColor="text1"/>
          <w:sz w:val="24"/>
          <w:szCs w:val="24"/>
        </w:rPr>
        <w:t xml:space="preserve">± 1.49 </w:t>
      </w:r>
      <w:r w:rsidR="005702DC">
        <w:rPr>
          <w:rFonts w:ascii="Book Antiqua" w:eastAsia="Times New Roman" w:hAnsi="Book Antiqua" w:cs="Times New Roman"/>
          <w:color w:val="000000" w:themeColor="text1"/>
          <w:sz w:val="24"/>
          <w:szCs w:val="24"/>
        </w:rPr>
        <w:t>ng/mL</w:t>
      </w:r>
      <w:r w:rsidR="009E5C59" w:rsidRPr="006410B4">
        <w:rPr>
          <w:rFonts w:ascii="Book Antiqua" w:eastAsia="Times New Roman" w:hAnsi="Book Antiqua" w:cs="Times New Roman"/>
          <w:color w:val="000000" w:themeColor="text1"/>
          <w:sz w:val="24"/>
          <w:szCs w:val="24"/>
        </w:rPr>
        <w:t xml:space="preserve"> and Child-Pugh C 2.17 ± 1.84 </w:t>
      </w:r>
      <w:r w:rsidR="005702DC">
        <w:rPr>
          <w:rFonts w:ascii="Book Antiqua" w:eastAsia="Times New Roman" w:hAnsi="Book Antiqua" w:cs="Times New Roman"/>
          <w:color w:val="000000" w:themeColor="text1"/>
          <w:sz w:val="24"/>
          <w:szCs w:val="24"/>
        </w:rPr>
        <w:t>ng/mL</w:t>
      </w:r>
      <w:r w:rsidR="009E5C59" w:rsidRPr="006410B4">
        <w:rPr>
          <w:rFonts w:ascii="Book Antiqua" w:eastAsia="Times New Roman" w:hAnsi="Book Antiqua" w:cs="Times New Roman"/>
          <w:color w:val="000000" w:themeColor="text1"/>
          <w:sz w:val="24"/>
          <w:szCs w:val="24"/>
        </w:rPr>
        <w:t xml:space="preserve">). </w:t>
      </w:r>
    </w:p>
    <w:p w:rsidR="00C42FE6" w:rsidRDefault="00BF498E"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To evaluate the relationship of </w:t>
      </w:r>
      <w:r w:rsidR="00681899" w:rsidRPr="006410B4">
        <w:rPr>
          <w:rFonts w:ascii="Book Antiqua" w:eastAsia="Times New Roman" w:hAnsi="Book Antiqua" w:cs="Times New Roman"/>
          <w:color w:val="000000" w:themeColor="text1"/>
          <w:sz w:val="24"/>
          <w:szCs w:val="24"/>
        </w:rPr>
        <w:t xml:space="preserve">plasma </w:t>
      </w:r>
      <w:proofErr w:type="spellStart"/>
      <w:r w:rsidR="00681899" w:rsidRPr="006410B4">
        <w:rPr>
          <w:rFonts w:ascii="Book Antiqua" w:eastAsia="Times New Roman" w:hAnsi="Book Antiqua" w:cs="Times New Roman"/>
          <w:color w:val="000000" w:themeColor="text1"/>
          <w:sz w:val="24"/>
          <w:szCs w:val="24"/>
        </w:rPr>
        <w:t>PlGF</w:t>
      </w:r>
      <w:proofErr w:type="spellEnd"/>
      <w:r w:rsidR="00681899" w:rsidRPr="006410B4">
        <w:rPr>
          <w:rFonts w:ascii="Book Antiqua" w:eastAsia="Times New Roman" w:hAnsi="Book Antiqua" w:cs="Times New Roman"/>
          <w:color w:val="000000" w:themeColor="text1"/>
          <w:sz w:val="24"/>
          <w:szCs w:val="24"/>
        </w:rPr>
        <w:t xml:space="preserve"> and </w:t>
      </w:r>
      <w:proofErr w:type="spellStart"/>
      <w:r w:rsidR="00681899" w:rsidRPr="006410B4">
        <w:rPr>
          <w:rFonts w:ascii="Book Antiqua" w:eastAsia="Times New Roman" w:hAnsi="Book Antiqua" w:cs="Times New Roman"/>
          <w:color w:val="000000" w:themeColor="text1"/>
          <w:sz w:val="24"/>
          <w:szCs w:val="24"/>
        </w:rPr>
        <w:t>Nogo</w:t>
      </w:r>
      <w:proofErr w:type="spellEnd"/>
      <w:r w:rsidR="00681899" w:rsidRPr="006410B4">
        <w:rPr>
          <w:rFonts w:ascii="Book Antiqua" w:eastAsia="Times New Roman" w:hAnsi="Book Antiqua" w:cs="Times New Roman"/>
          <w:color w:val="000000" w:themeColor="text1"/>
          <w:sz w:val="24"/>
          <w:szCs w:val="24"/>
        </w:rPr>
        <w:t xml:space="preserve">-A levels </w:t>
      </w:r>
      <w:r w:rsidRPr="006410B4">
        <w:rPr>
          <w:rFonts w:ascii="Book Antiqua" w:eastAsia="Times New Roman" w:hAnsi="Book Antiqua" w:cs="Times New Roman"/>
          <w:color w:val="000000" w:themeColor="text1"/>
          <w:sz w:val="24"/>
          <w:szCs w:val="24"/>
        </w:rPr>
        <w:t xml:space="preserve">with liver </w:t>
      </w:r>
      <w:r w:rsidR="00681899" w:rsidRPr="006410B4">
        <w:rPr>
          <w:rFonts w:ascii="Book Antiqua" w:eastAsia="Times New Roman" w:hAnsi="Book Antiqua" w:cs="Times New Roman"/>
          <w:color w:val="000000" w:themeColor="text1"/>
          <w:sz w:val="24"/>
          <w:szCs w:val="24"/>
        </w:rPr>
        <w:t>stiffness</w:t>
      </w:r>
      <w:r w:rsidRPr="006410B4">
        <w:rPr>
          <w:rFonts w:ascii="Book Antiqua" w:eastAsia="Times New Roman" w:hAnsi="Book Antiqua" w:cs="Times New Roman"/>
          <w:color w:val="000000" w:themeColor="text1"/>
          <w:sz w:val="24"/>
          <w:szCs w:val="24"/>
        </w:rPr>
        <w:t xml:space="preserve"> we calculated the correlation of biomarkers with values of transient elastography</w:t>
      </w:r>
      <w:r w:rsidR="00681899" w:rsidRPr="006410B4">
        <w:rPr>
          <w:rFonts w:ascii="Book Antiqua" w:eastAsia="Times New Roman" w:hAnsi="Book Antiqua" w:cs="Times New Roman"/>
          <w:color w:val="000000" w:themeColor="text1"/>
          <w:sz w:val="24"/>
          <w:szCs w:val="24"/>
        </w:rPr>
        <w:t xml:space="preserve"> (TE; </w:t>
      </w:r>
      <w:proofErr w:type="spellStart"/>
      <w:r w:rsidR="00681899" w:rsidRPr="006410B4">
        <w:rPr>
          <w:rFonts w:ascii="Book Antiqua" w:eastAsia="Times New Roman" w:hAnsi="Book Antiqua" w:cs="Times New Roman"/>
          <w:color w:val="000000" w:themeColor="text1"/>
          <w:sz w:val="24"/>
          <w:szCs w:val="24"/>
        </w:rPr>
        <w:t>Fibroscan</w:t>
      </w:r>
      <w:proofErr w:type="spellEnd"/>
      <w:r w:rsidR="00681899"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w:t>
      </w:r>
      <w:r w:rsidR="003B159A" w:rsidRPr="006410B4">
        <w:rPr>
          <w:rFonts w:ascii="Book Antiqua" w:eastAsia="Times New Roman" w:hAnsi="Book Antiqua" w:cs="Times New Roman"/>
          <w:color w:val="000000" w:themeColor="text1"/>
          <w:sz w:val="24"/>
          <w:szCs w:val="24"/>
        </w:rPr>
        <w:t>Transient elastography measurements we</w:t>
      </w:r>
      <w:r w:rsidR="002633C6" w:rsidRPr="006410B4">
        <w:rPr>
          <w:rFonts w:ascii="Book Antiqua" w:eastAsia="Times New Roman" w:hAnsi="Book Antiqua" w:cs="Times New Roman"/>
          <w:color w:val="000000" w:themeColor="text1"/>
          <w:sz w:val="24"/>
          <w:szCs w:val="24"/>
        </w:rPr>
        <w:t>re</w:t>
      </w:r>
      <w:r w:rsidR="003B159A" w:rsidRPr="006410B4">
        <w:rPr>
          <w:rFonts w:ascii="Book Antiqua" w:eastAsia="Times New Roman" w:hAnsi="Book Antiqua" w:cs="Times New Roman"/>
          <w:color w:val="000000" w:themeColor="text1"/>
          <w:sz w:val="24"/>
          <w:szCs w:val="24"/>
        </w:rPr>
        <w:t xml:space="preserve"> available for</w:t>
      </w:r>
      <w:r w:rsidRPr="006410B4">
        <w:rPr>
          <w:rFonts w:ascii="Book Antiqua" w:eastAsia="Times New Roman" w:hAnsi="Book Antiqua" w:cs="Times New Roman"/>
          <w:color w:val="000000" w:themeColor="text1"/>
          <w:sz w:val="24"/>
          <w:szCs w:val="24"/>
        </w:rPr>
        <w:t xml:space="preserve"> 74 patients. There was a positive linear correlation between peripheral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v</w:t>
      </w:r>
      <w:r w:rsidR="00AB263D" w:rsidRPr="006410B4">
        <w:rPr>
          <w:rFonts w:ascii="Book Antiqua" w:eastAsia="Times New Roman" w:hAnsi="Book Antiqua" w:cs="Times New Roman"/>
          <w:color w:val="000000" w:themeColor="text1"/>
          <w:sz w:val="24"/>
          <w:szCs w:val="24"/>
        </w:rPr>
        <w:t>alues and TE (</w:t>
      </w:r>
      <w:r w:rsidR="00FB7C11" w:rsidRPr="007D4D29">
        <w:rPr>
          <w:rFonts w:ascii="Book Antiqua" w:eastAsia="Times New Roman" w:hAnsi="Book Antiqua" w:cs="Times New Roman"/>
          <w:i/>
          <w:color w:val="000000" w:themeColor="text1"/>
          <w:sz w:val="24"/>
          <w:szCs w:val="24"/>
        </w:rPr>
        <w:t xml:space="preserve">r </w:t>
      </w:r>
      <w:r w:rsidR="00FB7C11">
        <w:rPr>
          <w:rFonts w:ascii="Book Antiqua" w:eastAsia="Times New Roman" w:hAnsi="Book Antiqua" w:cs="Times New Roman"/>
          <w:color w:val="000000" w:themeColor="text1"/>
          <w:sz w:val="24"/>
          <w:szCs w:val="24"/>
        </w:rPr>
        <w:t xml:space="preserve">= </w:t>
      </w:r>
      <w:r w:rsidR="00AB263D" w:rsidRPr="006410B4">
        <w:rPr>
          <w:rFonts w:ascii="Book Antiqua" w:eastAsia="Times New Roman" w:hAnsi="Book Antiqua" w:cs="Times New Roman"/>
          <w:color w:val="000000" w:themeColor="text1"/>
          <w:sz w:val="24"/>
          <w:szCs w:val="24"/>
        </w:rPr>
        <w:t xml:space="preserve">0.364; </w:t>
      </w:r>
      <w:r w:rsidR="00FB7C11" w:rsidRPr="007D4D2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&lt; </w:t>
      </w:r>
      <w:r w:rsidR="00AB263D" w:rsidRPr="006410B4">
        <w:rPr>
          <w:rFonts w:ascii="Book Antiqua" w:eastAsia="Times New Roman" w:hAnsi="Book Antiqua" w:cs="Times New Roman"/>
          <w:color w:val="000000" w:themeColor="text1"/>
          <w:sz w:val="24"/>
          <w:szCs w:val="24"/>
        </w:rPr>
        <w:t xml:space="preserve">0.001), </w:t>
      </w:r>
      <w:r w:rsidRPr="006410B4">
        <w:rPr>
          <w:rFonts w:ascii="Book Antiqua" w:eastAsia="Times New Roman" w:hAnsi="Book Antiqua" w:cs="Times New Roman"/>
          <w:color w:val="000000" w:themeColor="text1"/>
          <w:sz w:val="24"/>
          <w:szCs w:val="24"/>
        </w:rPr>
        <w:t xml:space="preserve">but hepatic levels of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did not correlate with liver stiffness. Peripheral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 levels did not</w:t>
      </w:r>
      <w:r w:rsidR="00846B22" w:rsidRPr="006410B4">
        <w:rPr>
          <w:rFonts w:ascii="Book Antiqua" w:eastAsia="Times New Roman" w:hAnsi="Book Antiqua" w:cs="Times New Roman"/>
          <w:color w:val="000000" w:themeColor="text1"/>
          <w:sz w:val="24"/>
          <w:szCs w:val="24"/>
        </w:rPr>
        <w:t xml:space="preserve"> correlate with liver stiffness</w:t>
      </w:r>
      <w:r w:rsidRPr="006410B4">
        <w:rPr>
          <w:rFonts w:ascii="Book Antiqua" w:eastAsia="Times New Roman" w:hAnsi="Book Antiqua" w:cs="Times New Roman"/>
          <w:color w:val="000000" w:themeColor="text1"/>
          <w:sz w:val="24"/>
          <w:szCs w:val="24"/>
        </w:rPr>
        <w:t>.</w:t>
      </w:r>
    </w:p>
    <w:p w:rsidR="007D4D29" w:rsidRPr="006410B4" w:rsidRDefault="007D4D29"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p>
    <w:p w:rsidR="00681899" w:rsidRPr="006410B4" w:rsidRDefault="00681899"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proofErr w:type="spellStart"/>
      <w:r w:rsidRPr="006410B4">
        <w:rPr>
          <w:rFonts w:ascii="Book Antiqua" w:eastAsia="Times New Roman" w:hAnsi="Book Antiqua" w:cs="Times New Roman"/>
          <w:b/>
          <w:i/>
          <w:color w:val="000000" w:themeColor="text1"/>
          <w:sz w:val="24"/>
          <w:szCs w:val="24"/>
        </w:rPr>
        <w:t>PlGF</w:t>
      </w:r>
      <w:proofErr w:type="spellEnd"/>
      <w:r w:rsidRPr="006410B4">
        <w:rPr>
          <w:rFonts w:ascii="Book Antiqua" w:eastAsia="Times New Roman" w:hAnsi="Book Antiqua" w:cs="Times New Roman"/>
          <w:b/>
          <w:i/>
          <w:color w:val="000000" w:themeColor="text1"/>
          <w:sz w:val="24"/>
          <w:szCs w:val="24"/>
        </w:rPr>
        <w:t xml:space="preserve"> and </w:t>
      </w:r>
      <w:proofErr w:type="spellStart"/>
      <w:r w:rsidRPr="006410B4">
        <w:rPr>
          <w:rFonts w:ascii="Book Antiqua" w:eastAsia="Times New Roman" w:hAnsi="Book Antiqua" w:cs="Times New Roman"/>
          <w:b/>
          <w:i/>
          <w:color w:val="000000" w:themeColor="text1"/>
          <w:sz w:val="24"/>
          <w:szCs w:val="24"/>
        </w:rPr>
        <w:t>Nogo</w:t>
      </w:r>
      <w:proofErr w:type="spellEnd"/>
      <w:r w:rsidRPr="006410B4">
        <w:rPr>
          <w:rFonts w:ascii="Book Antiqua" w:eastAsia="Times New Roman" w:hAnsi="Book Antiqua" w:cs="Times New Roman"/>
          <w:b/>
          <w:i/>
          <w:color w:val="000000" w:themeColor="text1"/>
          <w:sz w:val="24"/>
          <w:szCs w:val="24"/>
        </w:rPr>
        <w:t>-A plasma levels in portal hypertension</w:t>
      </w:r>
    </w:p>
    <w:p w:rsidR="00C42FE6" w:rsidRPr="006410B4" w:rsidRDefault="00BF498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There was a positive linear correlation between peripheral levels of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and </w:t>
      </w:r>
      <w:r w:rsidR="00712F92" w:rsidRPr="006410B4">
        <w:rPr>
          <w:rFonts w:ascii="Book Antiqua" w:eastAsia="Times New Roman" w:hAnsi="Book Antiqua" w:cs="Times New Roman"/>
          <w:color w:val="000000" w:themeColor="text1"/>
          <w:sz w:val="24"/>
          <w:szCs w:val="24"/>
        </w:rPr>
        <w:t>HVPG (</w:t>
      </w:r>
      <w:r w:rsidR="00FB7C11" w:rsidRPr="007D4D29">
        <w:rPr>
          <w:rFonts w:ascii="Book Antiqua" w:eastAsia="Times New Roman" w:hAnsi="Book Antiqua" w:cs="Times New Roman"/>
          <w:i/>
          <w:color w:val="000000" w:themeColor="text1"/>
          <w:sz w:val="24"/>
          <w:szCs w:val="24"/>
        </w:rPr>
        <w:t>r</w:t>
      </w:r>
      <w:r w:rsidR="00FB7C11">
        <w:rPr>
          <w:rFonts w:ascii="Book Antiqua" w:eastAsia="Times New Roman" w:hAnsi="Book Antiqua" w:cs="Times New Roman"/>
          <w:color w:val="000000" w:themeColor="text1"/>
          <w:sz w:val="24"/>
          <w:szCs w:val="24"/>
        </w:rPr>
        <w:t xml:space="preserve"> = </w:t>
      </w:r>
      <w:r w:rsidR="00712F92" w:rsidRPr="006410B4">
        <w:rPr>
          <w:rFonts w:ascii="Book Antiqua" w:eastAsia="Times New Roman" w:hAnsi="Book Antiqua" w:cs="Times New Roman"/>
          <w:color w:val="000000" w:themeColor="text1"/>
          <w:sz w:val="24"/>
          <w:szCs w:val="24"/>
        </w:rPr>
        <w:t xml:space="preserve">0.338, </w:t>
      </w:r>
      <w:r w:rsidR="00FB7C11" w:rsidRPr="007D4D29">
        <w:rPr>
          <w:rFonts w:ascii="Book Antiqua" w:eastAsia="Times New Roman" w:hAnsi="Book Antiqua" w:cs="Times New Roman"/>
          <w:i/>
          <w:color w:val="000000" w:themeColor="text1"/>
          <w:sz w:val="24"/>
          <w:szCs w:val="24"/>
        </w:rPr>
        <w:t xml:space="preserve">P </w:t>
      </w:r>
      <w:r w:rsidR="00FB7C11">
        <w:rPr>
          <w:rFonts w:ascii="Book Antiqua" w:eastAsia="Times New Roman" w:hAnsi="Book Antiqua" w:cs="Times New Roman"/>
          <w:color w:val="000000" w:themeColor="text1"/>
          <w:sz w:val="24"/>
          <w:szCs w:val="24"/>
        </w:rPr>
        <w:t xml:space="preserve">= </w:t>
      </w:r>
      <w:r w:rsidR="00712F92" w:rsidRPr="006410B4">
        <w:rPr>
          <w:rFonts w:ascii="Book Antiqua" w:eastAsia="Times New Roman" w:hAnsi="Book Antiqua" w:cs="Times New Roman"/>
          <w:color w:val="000000" w:themeColor="text1"/>
          <w:sz w:val="24"/>
          <w:szCs w:val="24"/>
        </w:rPr>
        <w:t>0.001, Fig</w:t>
      </w:r>
      <w:r w:rsidR="009E5C59" w:rsidRPr="006410B4">
        <w:rPr>
          <w:rFonts w:ascii="Book Antiqua" w:eastAsia="Times New Roman" w:hAnsi="Book Antiqua" w:cs="Times New Roman"/>
          <w:color w:val="000000" w:themeColor="text1"/>
          <w:sz w:val="24"/>
          <w:szCs w:val="24"/>
        </w:rPr>
        <w:t>ure</w:t>
      </w:r>
      <w:r w:rsidR="00712F92" w:rsidRPr="006410B4">
        <w:rPr>
          <w:rFonts w:ascii="Book Antiqua" w:eastAsia="Times New Roman" w:hAnsi="Book Antiqua" w:cs="Times New Roman"/>
          <w:color w:val="000000" w:themeColor="text1"/>
          <w:sz w:val="24"/>
          <w:szCs w:val="24"/>
        </w:rPr>
        <w:t xml:space="preserve"> </w:t>
      </w:r>
      <w:r w:rsidR="009E5C59" w:rsidRPr="006410B4">
        <w:rPr>
          <w:rFonts w:ascii="Book Antiqua" w:eastAsia="Times New Roman" w:hAnsi="Book Antiqua" w:cs="Times New Roman"/>
          <w:color w:val="000000" w:themeColor="text1"/>
          <w:sz w:val="24"/>
          <w:szCs w:val="24"/>
        </w:rPr>
        <w:t>3</w:t>
      </w:r>
      <w:r w:rsidRPr="006410B4">
        <w:rPr>
          <w:rFonts w:ascii="Book Antiqua" w:eastAsia="Times New Roman" w:hAnsi="Book Antiqua" w:cs="Times New Roman"/>
          <w:color w:val="000000" w:themeColor="text1"/>
          <w:sz w:val="24"/>
          <w:szCs w:val="24"/>
        </w:rPr>
        <w:t xml:space="preserve">). Hepatic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levels did not correlate with HVPG. Higher peripheral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values were significantly associated with ascites (OR </w:t>
      </w:r>
      <w:r w:rsidR="007D4D29">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5.59; </w:t>
      </w:r>
      <w:r w:rsidR="00FB7C11" w:rsidRPr="007D4D29">
        <w:rPr>
          <w:rFonts w:ascii="Book Antiqua" w:eastAsia="Times New Roman" w:hAnsi="Book Antiqua" w:cs="Times New Roman"/>
          <w:i/>
          <w:color w:val="000000" w:themeColor="text1"/>
          <w:sz w:val="24"/>
          <w:szCs w:val="24"/>
        </w:rPr>
        <w:t xml:space="preserve">P </w:t>
      </w:r>
      <w:r w:rsidR="00FB7C11">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0.018). Linear regression revealed that an increase of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by 10 points increased the HVPG by 0.5 mmHg (</w:t>
      </w:r>
      <w:r w:rsidR="00FB7C11" w:rsidRPr="007D4D2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Pr="006410B4">
        <w:rPr>
          <w:rFonts w:ascii="Book Antiqua" w:eastAsia="Times New Roman" w:hAnsi="Book Antiqua" w:cs="Times New Roman"/>
          <w:color w:val="000000" w:themeColor="text1"/>
          <w:sz w:val="24"/>
          <w:szCs w:val="24"/>
        </w:rPr>
        <w:t>0.003).</w:t>
      </w:r>
    </w:p>
    <w:p w:rsidR="00C42FE6" w:rsidRPr="006410B4" w:rsidRDefault="00BF498E"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Peripheral levels of </w:t>
      </w:r>
      <w:proofErr w:type="spellStart"/>
      <w:r w:rsidR="00154A54" w:rsidRPr="006410B4">
        <w:rPr>
          <w:rFonts w:ascii="Book Antiqua" w:eastAsia="Times New Roman" w:hAnsi="Book Antiqua" w:cs="Times New Roman"/>
          <w:color w:val="000000" w:themeColor="text1"/>
          <w:sz w:val="24"/>
          <w:szCs w:val="24"/>
        </w:rPr>
        <w:t>PlGF</w:t>
      </w:r>
      <w:proofErr w:type="spellEnd"/>
      <w:r w:rsidR="00154A54" w:rsidRPr="006410B4">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were significantly higher in patients with CSPH (28.20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Pr="006410B4">
        <w:rPr>
          <w:rFonts w:ascii="Book Antiqua" w:eastAsia="Times New Roman" w:hAnsi="Book Antiqua" w:cs="Times New Roman"/>
          <w:color w:val="000000" w:themeColor="text1"/>
          <w:sz w:val="24"/>
          <w:szCs w:val="24"/>
        </w:rPr>
        <w:t>; range 17.09</w:t>
      </w:r>
      <w:r w:rsidR="00C232BE">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41.17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Pr="006410B4">
        <w:rPr>
          <w:rFonts w:ascii="Book Antiqua" w:eastAsia="Times New Roman" w:hAnsi="Book Antiqua" w:cs="Times New Roman"/>
          <w:color w:val="000000" w:themeColor="text1"/>
          <w:sz w:val="24"/>
          <w:szCs w:val="24"/>
        </w:rPr>
        <w:t xml:space="preserve">) than in patients without CSPH (17.20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Pr="006410B4">
        <w:rPr>
          <w:rFonts w:ascii="Book Antiqua" w:eastAsia="Times New Roman" w:hAnsi="Book Antiqua" w:cs="Times New Roman"/>
          <w:color w:val="000000" w:themeColor="text1"/>
          <w:sz w:val="24"/>
          <w:szCs w:val="24"/>
        </w:rPr>
        <w:t>; range 10.12</w:t>
      </w:r>
      <w:r w:rsidR="00C232BE">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26.00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Pr="006410B4">
        <w:rPr>
          <w:rFonts w:ascii="Book Antiqua" w:eastAsia="Times New Roman" w:hAnsi="Book Antiqua" w:cs="Times New Roman"/>
          <w:color w:val="000000" w:themeColor="text1"/>
          <w:sz w:val="24"/>
          <w:szCs w:val="24"/>
        </w:rPr>
        <w:t xml:space="preserve">; </w:t>
      </w:r>
      <w:r w:rsidR="00FB7C11" w:rsidRPr="007D4D2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Pr="006410B4">
        <w:rPr>
          <w:rFonts w:ascii="Book Antiqua" w:eastAsia="Times New Roman" w:hAnsi="Book Antiqua" w:cs="Times New Roman"/>
          <w:color w:val="000000" w:themeColor="text1"/>
          <w:sz w:val="24"/>
          <w:szCs w:val="24"/>
        </w:rPr>
        <w:t xml:space="preserve">0.006), as well as in patients with SPH (29.27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Pr="006410B4">
        <w:rPr>
          <w:rFonts w:ascii="Book Antiqua" w:eastAsia="Times New Roman" w:hAnsi="Book Antiqua" w:cs="Times New Roman"/>
          <w:color w:val="000000" w:themeColor="text1"/>
          <w:sz w:val="24"/>
          <w:szCs w:val="24"/>
        </w:rPr>
        <w:t>; range 19.83</w:t>
      </w:r>
      <w:r w:rsidR="00C232BE">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lastRenderedPageBreak/>
        <w:t xml:space="preserve">42.68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Pr="006410B4">
        <w:rPr>
          <w:rFonts w:ascii="Book Antiqua" w:eastAsia="Times New Roman" w:hAnsi="Book Antiqua" w:cs="Times New Roman"/>
          <w:color w:val="000000" w:themeColor="text1"/>
          <w:sz w:val="24"/>
          <w:szCs w:val="24"/>
        </w:rPr>
        <w:t xml:space="preserve">) when compared to patients without SPH (15.39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Pr="006410B4">
        <w:rPr>
          <w:rFonts w:ascii="Book Antiqua" w:eastAsia="Times New Roman" w:hAnsi="Book Antiqua" w:cs="Times New Roman"/>
          <w:color w:val="000000" w:themeColor="text1"/>
          <w:sz w:val="24"/>
          <w:szCs w:val="24"/>
        </w:rPr>
        <w:t>; range 10.15</w:t>
      </w:r>
      <w:r w:rsidR="00C232BE">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24.99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Pr="006410B4">
        <w:rPr>
          <w:rFonts w:ascii="Book Antiqua" w:eastAsia="Times New Roman" w:hAnsi="Book Antiqua" w:cs="Times New Roman"/>
          <w:color w:val="000000" w:themeColor="text1"/>
          <w:sz w:val="24"/>
          <w:szCs w:val="24"/>
        </w:rPr>
        <w:t xml:space="preserve">; </w:t>
      </w:r>
      <w:r w:rsidR="00FB7C11" w:rsidRPr="007D4D29">
        <w:rPr>
          <w:rFonts w:ascii="Book Antiqua" w:eastAsia="Times New Roman" w:hAnsi="Book Antiqua" w:cs="Times New Roman"/>
          <w:i/>
          <w:color w:val="000000" w:themeColor="text1"/>
          <w:sz w:val="24"/>
          <w:szCs w:val="24"/>
        </w:rPr>
        <w:t xml:space="preserve">P </w:t>
      </w:r>
      <w:r w:rsidR="00FB7C11">
        <w:rPr>
          <w:rFonts w:ascii="Book Antiqua" w:eastAsia="Times New Roman" w:hAnsi="Book Antiqua" w:cs="Times New Roman"/>
          <w:color w:val="000000" w:themeColor="text1"/>
          <w:sz w:val="24"/>
          <w:szCs w:val="24"/>
        </w:rPr>
        <w:t xml:space="preserve">&lt; </w:t>
      </w:r>
      <w:r w:rsidRPr="006410B4">
        <w:rPr>
          <w:rFonts w:ascii="Book Antiqua" w:eastAsia="Times New Roman" w:hAnsi="Book Antiqua" w:cs="Times New Roman"/>
          <w:color w:val="000000" w:themeColor="text1"/>
          <w:sz w:val="24"/>
          <w:szCs w:val="24"/>
        </w:rPr>
        <w:t xml:space="preserve">0.0001). AUC for the diagnosis of CSPH was 0.68 </w:t>
      </w:r>
      <w:r w:rsidR="00CE2B86" w:rsidRPr="006410B4">
        <w:rPr>
          <w:rFonts w:ascii="Book Antiqua" w:eastAsia="Times New Roman" w:hAnsi="Book Antiqua" w:cs="Times New Roman"/>
          <w:color w:val="000000" w:themeColor="text1"/>
          <w:sz w:val="24"/>
          <w:szCs w:val="24"/>
        </w:rPr>
        <w:t xml:space="preserve">(CI: 0.56-0.79; </w:t>
      </w:r>
      <w:r w:rsidR="00FB7C11" w:rsidRPr="007D4D2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00CE2B86" w:rsidRPr="006410B4">
        <w:rPr>
          <w:rFonts w:ascii="Book Antiqua" w:eastAsia="Times New Roman" w:hAnsi="Book Antiqua" w:cs="Times New Roman"/>
          <w:color w:val="000000" w:themeColor="text1"/>
          <w:sz w:val="24"/>
          <w:szCs w:val="24"/>
        </w:rPr>
        <w:t>0.003 Fig</w:t>
      </w:r>
      <w:r w:rsidR="009E5C59" w:rsidRPr="006410B4">
        <w:rPr>
          <w:rFonts w:ascii="Book Antiqua" w:eastAsia="Times New Roman" w:hAnsi="Book Antiqua" w:cs="Times New Roman"/>
          <w:color w:val="000000" w:themeColor="text1"/>
          <w:sz w:val="24"/>
          <w:szCs w:val="24"/>
        </w:rPr>
        <w:t>ure</w:t>
      </w:r>
      <w:r w:rsidR="00CE2B86" w:rsidRPr="006410B4">
        <w:rPr>
          <w:rFonts w:ascii="Book Antiqua" w:eastAsia="Times New Roman" w:hAnsi="Book Antiqua" w:cs="Times New Roman"/>
          <w:color w:val="000000" w:themeColor="text1"/>
          <w:sz w:val="24"/>
          <w:szCs w:val="24"/>
        </w:rPr>
        <w:t xml:space="preserve"> </w:t>
      </w:r>
      <w:r w:rsidR="009E5C59" w:rsidRPr="006410B4">
        <w:rPr>
          <w:rFonts w:ascii="Book Antiqua" w:eastAsia="Times New Roman" w:hAnsi="Book Antiqua" w:cs="Times New Roman"/>
          <w:color w:val="000000" w:themeColor="text1"/>
          <w:sz w:val="24"/>
          <w:szCs w:val="24"/>
        </w:rPr>
        <w:t>4A</w:t>
      </w:r>
      <w:r w:rsidRPr="006410B4">
        <w:rPr>
          <w:rFonts w:ascii="Book Antiqua" w:eastAsia="Times New Roman" w:hAnsi="Book Antiqua" w:cs="Times New Roman"/>
          <w:color w:val="000000" w:themeColor="text1"/>
          <w:sz w:val="24"/>
          <w:szCs w:val="24"/>
        </w:rPr>
        <w:t>) and for the diagnosis of SPH 0.714 (CI: 0.61</w:t>
      </w:r>
      <w:r w:rsidR="00C232BE">
        <w:rPr>
          <w:rFonts w:ascii="Book Antiqua" w:eastAsia="Times New Roman" w:hAnsi="Book Antiqua" w:cs="Times New Roman"/>
          <w:color w:val="000000" w:themeColor="text1"/>
          <w:sz w:val="24"/>
          <w:szCs w:val="24"/>
        </w:rPr>
        <w:t>-</w:t>
      </w:r>
      <w:r w:rsidR="00CE2B86" w:rsidRPr="006410B4">
        <w:rPr>
          <w:rFonts w:ascii="Book Antiqua" w:eastAsia="Times New Roman" w:hAnsi="Book Antiqua" w:cs="Times New Roman"/>
          <w:color w:val="000000" w:themeColor="text1"/>
          <w:sz w:val="24"/>
          <w:szCs w:val="24"/>
        </w:rPr>
        <w:t xml:space="preserve">0.82; </w:t>
      </w:r>
      <w:r w:rsidR="00FB7C11" w:rsidRPr="007D4D29">
        <w:rPr>
          <w:rFonts w:ascii="Book Antiqua" w:eastAsia="Times New Roman" w:hAnsi="Book Antiqua" w:cs="Times New Roman"/>
          <w:i/>
          <w:color w:val="000000" w:themeColor="text1"/>
          <w:sz w:val="24"/>
          <w:szCs w:val="24"/>
        </w:rPr>
        <w:t xml:space="preserve">P </w:t>
      </w:r>
      <w:r w:rsidR="00FB7C11">
        <w:rPr>
          <w:rFonts w:ascii="Book Antiqua" w:eastAsia="Times New Roman" w:hAnsi="Book Antiqua" w:cs="Times New Roman"/>
          <w:color w:val="000000" w:themeColor="text1"/>
          <w:sz w:val="24"/>
          <w:szCs w:val="24"/>
        </w:rPr>
        <w:t xml:space="preserve">&lt; </w:t>
      </w:r>
      <w:r w:rsidR="00CE2B86" w:rsidRPr="006410B4">
        <w:rPr>
          <w:rFonts w:ascii="Book Antiqua" w:eastAsia="Times New Roman" w:hAnsi="Book Antiqua" w:cs="Times New Roman"/>
          <w:color w:val="000000" w:themeColor="text1"/>
          <w:sz w:val="24"/>
          <w:szCs w:val="24"/>
        </w:rPr>
        <w:t>0.0001 Fig</w:t>
      </w:r>
      <w:r w:rsidR="009E5C59" w:rsidRPr="006410B4">
        <w:rPr>
          <w:rFonts w:ascii="Book Antiqua" w:eastAsia="Times New Roman" w:hAnsi="Book Antiqua" w:cs="Times New Roman"/>
          <w:color w:val="000000" w:themeColor="text1"/>
          <w:sz w:val="24"/>
          <w:szCs w:val="24"/>
        </w:rPr>
        <w:t>ure</w:t>
      </w:r>
      <w:r w:rsidR="00E56083" w:rsidRPr="006410B4">
        <w:rPr>
          <w:rFonts w:ascii="Book Antiqua" w:eastAsia="Times New Roman" w:hAnsi="Book Antiqua" w:cs="Times New Roman"/>
          <w:color w:val="000000" w:themeColor="text1"/>
          <w:sz w:val="24"/>
          <w:szCs w:val="24"/>
        </w:rPr>
        <w:t xml:space="preserve"> </w:t>
      </w:r>
      <w:r w:rsidR="009E5C59" w:rsidRPr="006410B4">
        <w:rPr>
          <w:rFonts w:ascii="Book Antiqua" w:eastAsia="Times New Roman" w:hAnsi="Book Antiqua" w:cs="Times New Roman"/>
          <w:color w:val="000000" w:themeColor="text1"/>
          <w:sz w:val="24"/>
          <w:szCs w:val="24"/>
        </w:rPr>
        <w:t>4</w:t>
      </w:r>
      <w:r w:rsidR="00846B22" w:rsidRPr="006410B4">
        <w:rPr>
          <w:rFonts w:ascii="Book Antiqua" w:eastAsia="Times New Roman" w:hAnsi="Book Antiqua" w:cs="Times New Roman"/>
          <w:color w:val="000000" w:themeColor="text1"/>
          <w:sz w:val="24"/>
          <w:szCs w:val="24"/>
        </w:rPr>
        <w:t>B</w:t>
      </w:r>
      <w:r w:rsidRPr="006410B4">
        <w:rPr>
          <w:rFonts w:ascii="Book Antiqua" w:eastAsia="Times New Roman" w:hAnsi="Book Antiqua" w:cs="Times New Roman"/>
          <w:color w:val="000000" w:themeColor="text1"/>
          <w:sz w:val="24"/>
          <w:szCs w:val="24"/>
        </w:rPr>
        <w:t xml:space="preserve">). A cut-off value of 25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Pr="006410B4">
        <w:rPr>
          <w:rFonts w:ascii="Book Antiqua" w:eastAsia="Times New Roman" w:hAnsi="Book Antiqua" w:cs="Times New Roman"/>
          <w:color w:val="000000" w:themeColor="text1"/>
          <w:sz w:val="24"/>
          <w:szCs w:val="24"/>
        </w:rPr>
        <w:t xml:space="preserve"> provided the most accurate sensitivity and specificity to discriminate betw</w:t>
      </w:r>
      <w:r w:rsidR="00681899" w:rsidRPr="006410B4">
        <w:rPr>
          <w:rFonts w:ascii="Book Antiqua" w:eastAsia="Times New Roman" w:hAnsi="Book Antiqua" w:cs="Times New Roman"/>
          <w:color w:val="000000" w:themeColor="text1"/>
          <w:sz w:val="24"/>
          <w:szCs w:val="24"/>
        </w:rPr>
        <w:t>een patients with and without CS</w:t>
      </w:r>
      <w:r w:rsidRPr="006410B4">
        <w:rPr>
          <w:rFonts w:ascii="Book Antiqua" w:eastAsia="Times New Roman" w:hAnsi="Book Antiqua" w:cs="Times New Roman"/>
          <w:color w:val="000000" w:themeColor="text1"/>
          <w:sz w:val="24"/>
          <w:szCs w:val="24"/>
        </w:rPr>
        <w:t>PH</w:t>
      </w:r>
      <w:r w:rsidR="00681899"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whereas a cut-off value of 26.8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Pr="006410B4">
        <w:rPr>
          <w:rFonts w:ascii="Book Antiqua" w:eastAsia="Times New Roman" w:hAnsi="Book Antiqua" w:cs="Times New Roman"/>
          <w:color w:val="000000" w:themeColor="text1"/>
          <w:sz w:val="24"/>
          <w:szCs w:val="24"/>
        </w:rPr>
        <w:t xml:space="preserve"> helped to differentiate between the patients with and without SPH</w:t>
      </w:r>
      <w:r w:rsidR="00962C09" w:rsidRPr="006410B4">
        <w:rPr>
          <w:rFonts w:ascii="Book Antiqua" w:eastAsia="Times New Roman" w:hAnsi="Book Antiqua" w:cs="Times New Roman"/>
          <w:color w:val="000000" w:themeColor="text1"/>
          <w:sz w:val="24"/>
          <w:szCs w:val="24"/>
        </w:rPr>
        <w:t xml:space="preserve"> (Table 2)</w:t>
      </w:r>
      <w:r w:rsidRPr="006410B4">
        <w:rPr>
          <w:rFonts w:ascii="Book Antiqua" w:eastAsia="Times New Roman" w:hAnsi="Book Antiqua" w:cs="Times New Roman"/>
          <w:color w:val="000000" w:themeColor="text1"/>
          <w:sz w:val="24"/>
          <w:szCs w:val="24"/>
        </w:rPr>
        <w:t>. When classifying patients according</w:t>
      </w:r>
      <w:r w:rsidR="00681899" w:rsidRPr="006410B4">
        <w:rPr>
          <w:rFonts w:ascii="Book Antiqua" w:eastAsia="Times New Roman" w:hAnsi="Book Antiqua" w:cs="Times New Roman"/>
          <w:color w:val="000000" w:themeColor="text1"/>
          <w:sz w:val="24"/>
          <w:szCs w:val="24"/>
        </w:rPr>
        <w:t xml:space="preserve"> to</w:t>
      </w:r>
      <w:r w:rsidRPr="006410B4">
        <w:rPr>
          <w:rFonts w:ascii="Book Antiqua" w:eastAsia="Times New Roman" w:hAnsi="Book Antiqua" w:cs="Times New Roman"/>
          <w:color w:val="000000" w:themeColor="text1"/>
          <w:sz w:val="24"/>
          <w:szCs w:val="24"/>
        </w:rPr>
        <w:t xml:space="preserve"> the cut-off values, OR for the presence of CSPH was 4.13 (</w:t>
      </w:r>
      <w:r w:rsidR="00FB7C11" w:rsidRPr="007D4D2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Pr="006410B4">
        <w:rPr>
          <w:rFonts w:ascii="Book Antiqua" w:eastAsia="Times New Roman" w:hAnsi="Book Antiqua" w:cs="Times New Roman"/>
          <w:color w:val="000000" w:themeColor="text1"/>
          <w:sz w:val="24"/>
          <w:szCs w:val="24"/>
        </w:rPr>
        <w:t>0.004) and for the presence of SPH 5.58 (</w:t>
      </w:r>
      <w:r w:rsidR="00FB7C11" w:rsidRPr="007D4D2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&lt; </w:t>
      </w:r>
      <w:r w:rsidRPr="006410B4">
        <w:rPr>
          <w:rFonts w:ascii="Book Antiqua" w:eastAsia="Times New Roman" w:hAnsi="Book Antiqua" w:cs="Times New Roman"/>
          <w:color w:val="000000" w:themeColor="text1"/>
          <w:sz w:val="24"/>
          <w:szCs w:val="24"/>
        </w:rPr>
        <w:t xml:space="preserve">0.0001). </w:t>
      </w:r>
    </w:p>
    <w:p w:rsidR="00C42FE6" w:rsidRPr="006410B4" w:rsidRDefault="00BF498E"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There was </w:t>
      </w:r>
      <w:r w:rsidR="00681899" w:rsidRPr="006410B4">
        <w:rPr>
          <w:rFonts w:ascii="Book Antiqua" w:eastAsia="Times New Roman" w:hAnsi="Book Antiqua" w:cs="Times New Roman"/>
          <w:color w:val="000000" w:themeColor="text1"/>
          <w:sz w:val="24"/>
          <w:szCs w:val="24"/>
        </w:rPr>
        <w:t xml:space="preserve">a </w:t>
      </w:r>
      <w:r w:rsidRPr="006410B4">
        <w:rPr>
          <w:rFonts w:ascii="Book Antiqua" w:eastAsia="Times New Roman" w:hAnsi="Book Antiqua" w:cs="Times New Roman"/>
          <w:color w:val="000000" w:themeColor="text1"/>
          <w:sz w:val="24"/>
          <w:szCs w:val="24"/>
        </w:rPr>
        <w:t xml:space="preserve">negative linear correlation between the peripheral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 levels and HVPG (</w:t>
      </w:r>
      <w:r w:rsidR="00FB7C11" w:rsidRPr="007D4D29">
        <w:rPr>
          <w:rFonts w:ascii="Book Antiqua" w:eastAsia="Times New Roman" w:hAnsi="Book Antiqua" w:cs="Times New Roman"/>
          <w:i/>
          <w:color w:val="000000" w:themeColor="text1"/>
          <w:sz w:val="24"/>
          <w:szCs w:val="24"/>
        </w:rPr>
        <w:t>r</w:t>
      </w:r>
      <w:r w:rsidR="00FB7C11">
        <w:rPr>
          <w:rFonts w:ascii="Book Antiqua" w:eastAsia="Times New Roman" w:hAnsi="Book Antiqua" w:cs="Times New Roman"/>
          <w:color w:val="000000" w:themeColor="text1"/>
          <w:sz w:val="24"/>
          <w:szCs w:val="24"/>
        </w:rPr>
        <w:t xml:space="preserve"> = </w:t>
      </w:r>
      <w:r w:rsidRPr="006410B4">
        <w:rPr>
          <w:rFonts w:ascii="Book Antiqua" w:eastAsia="Times New Roman" w:hAnsi="Book Antiqua" w:cs="Times New Roman"/>
          <w:color w:val="000000" w:themeColor="text1"/>
          <w:sz w:val="24"/>
          <w:szCs w:val="24"/>
        </w:rPr>
        <w:t xml:space="preserve">-0.267, </w:t>
      </w:r>
      <w:r w:rsidR="00FB7C11" w:rsidRPr="007D4D2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Pr="006410B4">
        <w:rPr>
          <w:rFonts w:ascii="Book Antiqua" w:eastAsia="Times New Roman" w:hAnsi="Book Antiqua" w:cs="Times New Roman"/>
          <w:color w:val="000000" w:themeColor="text1"/>
          <w:sz w:val="24"/>
          <w:szCs w:val="24"/>
        </w:rPr>
        <w:t xml:space="preserve">0.007, </w:t>
      </w:r>
      <w:r w:rsidR="00162F3C" w:rsidRPr="006410B4">
        <w:rPr>
          <w:rFonts w:ascii="Book Antiqua" w:eastAsia="Times New Roman" w:hAnsi="Book Antiqua" w:cs="Times New Roman"/>
          <w:color w:val="000000" w:themeColor="text1"/>
          <w:sz w:val="24"/>
          <w:szCs w:val="24"/>
        </w:rPr>
        <w:t>Fig</w:t>
      </w:r>
      <w:r w:rsidR="009E5C59" w:rsidRPr="006410B4">
        <w:rPr>
          <w:rFonts w:ascii="Book Antiqua" w:eastAsia="Times New Roman" w:hAnsi="Book Antiqua" w:cs="Times New Roman"/>
          <w:color w:val="000000" w:themeColor="text1"/>
          <w:sz w:val="24"/>
          <w:szCs w:val="24"/>
        </w:rPr>
        <w:t>ure</w:t>
      </w:r>
      <w:r w:rsidR="00162F3C" w:rsidRPr="006410B4">
        <w:rPr>
          <w:rFonts w:ascii="Book Antiqua" w:eastAsia="Times New Roman" w:hAnsi="Book Antiqua" w:cs="Times New Roman"/>
          <w:color w:val="000000" w:themeColor="text1"/>
          <w:sz w:val="24"/>
          <w:szCs w:val="24"/>
        </w:rPr>
        <w:t xml:space="preserve"> </w:t>
      </w:r>
      <w:r w:rsidR="009E5C59" w:rsidRPr="006410B4">
        <w:rPr>
          <w:rFonts w:ascii="Book Antiqua" w:eastAsia="Times New Roman" w:hAnsi="Book Antiqua" w:cs="Times New Roman"/>
          <w:color w:val="000000" w:themeColor="text1"/>
          <w:sz w:val="24"/>
          <w:szCs w:val="24"/>
        </w:rPr>
        <w:t>5</w:t>
      </w:r>
      <w:r w:rsidRPr="006410B4">
        <w:rPr>
          <w:rFonts w:ascii="Book Antiqua" w:eastAsia="Times New Roman" w:hAnsi="Book Antiqua" w:cs="Times New Roman"/>
          <w:color w:val="000000" w:themeColor="text1"/>
          <w:sz w:val="24"/>
          <w:szCs w:val="24"/>
        </w:rPr>
        <w:t xml:space="preserve">). Hepatic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levels did not correlate with HVPG. Linear regression showed an increase of HVPG by 1.2 mmHg per decrease of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 levels by 1 point (</w:t>
      </w:r>
      <w:r w:rsidR="00FB7C11" w:rsidRPr="007D4D2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Pr="006410B4">
        <w:rPr>
          <w:rFonts w:ascii="Book Antiqua" w:eastAsia="Times New Roman" w:hAnsi="Book Antiqua" w:cs="Times New Roman"/>
          <w:color w:val="000000" w:themeColor="text1"/>
          <w:sz w:val="24"/>
          <w:szCs w:val="24"/>
        </w:rPr>
        <w:t>0.007).</w:t>
      </w:r>
    </w:p>
    <w:p w:rsidR="00C42FE6" w:rsidRDefault="00BF498E"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Peripheral levels of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 were significantly lower in patients with CSPH (1.96</w:t>
      </w:r>
      <w:r w:rsidR="007D4D29">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w:t>
      </w:r>
      <w:r w:rsidR="007D4D29">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1.39 </w:t>
      </w:r>
      <w:r w:rsidR="005702DC">
        <w:rPr>
          <w:rFonts w:ascii="Book Antiqua" w:eastAsia="Times New Roman" w:hAnsi="Book Antiqua" w:cs="Times New Roman"/>
          <w:color w:val="000000" w:themeColor="text1"/>
          <w:sz w:val="24"/>
          <w:szCs w:val="24"/>
        </w:rPr>
        <w:t>ng/mL</w:t>
      </w:r>
      <w:r w:rsidRPr="006410B4">
        <w:rPr>
          <w:rFonts w:ascii="Book Antiqua" w:eastAsia="Times New Roman" w:hAnsi="Book Antiqua" w:cs="Times New Roman"/>
          <w:color w:val="000000" w:themeColor="text1"/>
          <w:sz w:val="24"/>
          <w:szCs w:val="24"/>
        </w:rPr>
        <w:t>) than in patients without CSPH (2.77</w:t>
      </w:r>
      <w:r w:rsidR="007D4D29">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w:t>
      </w:r>
      <w:r w:rsidR="007D4D29">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1.53 </w:t>
      </w:r>
      <w:r w:rsidR="005702DC">
        <w:rPr>
          <w:rFonts w:ascii="Book Antiqua" w:eastAsia="Times New Roman" w:hAnsi="Book Antiqua" w:cs="Times New Roman"/>
          <w:color w:val="000000" w:themeColor="text1"/>
          <w:sz w:val="24"/>
          <w:szCs w:val="24"/>
        </w:rPr>
        <w:t>ng/mL</w:t>
      </w:r>
      <w:r w:rsidRPr="006410B4">
        <w:rPr>
          <w:rFonts w:ascii="Book Antiqua" w:eastAsia="Times New Roman" w:hAnsi="Book Antiqua" w:cs="Times New Roman"/>
          <w:color w:val="000000" w:themeColor="text1"/>
          <w:sz w:val="24"/>
          <w:szCs w:val="24"/>
        </w:rPr>
        <w:t xml:space="preserve">; </w:t>
      </w:r>
      <w:r w:rsidR="00FB7C11" w:rsidRPr="007D4D2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Pr="006410B4">
        <w:rPr>
          <w:rFonts w:ascii="Book Antiqua" w:eastAsia="Times New Roman" w:hAnsi="Book Antiqua" w:cs="Times New Roman"/>
          <w:color w:val="000000" w:themeColor="text1"/>
          <w:sz w:val="24"/>
          <w:szCs w:val="24"/>
        </w:rPr>
        <w:t>0.011), as well as in patients with SPH (1.94</w:t>
      </w:r>
      <w:r w:rsidR="007D4D29">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w:t>
      </w:r>
      <w:r w:rsidR="007D4D29">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1.46 </w:t>
      </w:r>
      <w:r w:rsidR="005702DC">
        <w:rPr>
          <w:rFonts w:ascii="Book Antiqua" w:eastAsia="Times New Roman" w:hAnsi="Book Antiqua" w:cs="Times New Roman"/>
          <w:color w:val="000000" w:themeColor="text1"/>
          <w:sz w:val="24"/>
          <w:szCs w:val="24"/>
        </w:rPr>
        <w:t>ng/mL</w:t>
      </w:r>
      <w:r w:rsidRPr="006410B4">
        <w:rPr>
          <w:rFonts w:ascii="Book Antiqua" w:eastAsia="Times New Roman" w:hAnsi="Book Antiqua" w:cs="Times New Roman"/>
          <w:color w:val="000000" w:themeColor="text1"/>
          <w:sz w:val="24"/>
          <w:szCs w:val="24"/>
        </w:rPr>
        <w:t>) when compared to patients without SPH (2.57</w:t>
      </w:r>
      <w:r w:rsidR="007D4D29">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w:t>
      </w:r>
      <w:r w:rsidR="007D4D29">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1.42 </w:t>
      </w:r>
      <w:r w:rsidR="005702DC">
        <w:rPr>
          <w:rFonts w:ascii="Book Antiqua" w:eastAsia="Times New Roman" w:hAnsi="Book Antiqua" w:cs="Times New Roman"/>
          <w:color w:val="000000" w:themeColor="text1"/>
          <w:sz w:val="24"/>
          <w:szCs w:val="24"/>
        </w:rPr>
        <w:t>ng/mL</w:t>
      </w:r>
      <w:r w:rsidRPr="006410B4">
        <w:rPr>
          <w:rFonts w:ascii="Book Antiqua" w:eastAsia="Times New Roman" w:hAnsi="Book Antiqua" w:cs="Times New Roman"/>
          <w:color w:val="000000" w:themeColor="text1"/>
          <w:sz w:val="24"/>
          <w:szCs w:val="24"/>
        </w:rPr>
        <w:t xml:space="preserve">; </w:t>
      </w:r>
      <w:r w:rsidR="00FB7C11" w:rsidRPr="007D4D2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&lt; </w:t>
      </w:r>
      <w:r w:rsidRPr="006410B4">
        <w:rPr>
          <w:rFonts w:ascii="Book Antiqua" w:eastAsia="Times New Roman" w:hAnsi="Book Antiqua" w:cs="Times New Roman"/>
          <w:color w:val="000000" w:themeColor="text1"/>
          <w:sz w:val="24"/>
          <w:szCs w:val="24"/>
        </w:rPr>
        <w:t>0.033). AUC for the diagnosis of CSPH was 0.67</w:t>
      </w:r>
      <w:r w:rsidR="00CC6DB1" w:rsidRPr="006410B4">
        <w:rPr>
          <w:rFonts w:ascii="Book Antiqua" w:eastAsia="Times New Roman" w:hAnsi="Book Antiqua" w:cs="Times New Roman"/>
          <w:color w:val="000000" w:themeColor="text1"/>
          <w:sz w:val="24"/>
          <w:szCs w:val="24"/>
        </w:rPr>
        <w:t xml:space="preserve"> (CI: 0.55-0.78; </w:t>
      </w:r>
      <w:r w:rsidR="00FB7C11" w:rsidRPr="007D4D2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00CC6DB1" w:rsidRPr="006410B4">
        <w:rPr>
          <w:rFonts w:ascii="Book Antiqua" w:eastAsia="Times New Roman" w:hAnsi="Book Antiqua" w:cs="Times New Roman"/>
          <w:color w:val="000000" w:themeColor="text1"/>
          <w:sz w:val="24"/>
          <w:szCs w:val="24"/>
        </w:rPr>
        <w:t xml:space="preserve">0.01 </w:t>
      </w:r>
      <w:r w:rsidR="009E5C59" w:rsidRPr="006410B4">
        <w:rPr>
          <w:rFonts w:ascii="Book Antiqua" w:eastAsia="Times New Roman" w:hAnsi="Book Antiqua" w:cs="Times New Roman"/>
          <w:color w:val="000000" w:themeColor="text1"/>
          <w:sz w:val="24"/>
          <w:szCs w:val="24"/>
        </w:rPr>
        <w:t>Figure 6A</w:t>
      </w:r>
      <w:r w:rsidRPr="006410B4">
        <w:rPr>
          <w:rFonts w:ascii="Book Antiqua" w:eastAsia="Times New Roman" w:hAnsi="Book Antiqua" w:cs="Times New Roman"/>
          <w:color w:val="000000" w:themeColor="text1"/>
          <w:sz w:val="24"/>
          <w:szCs w:val="24"/>
        </w:rPr>
        <w:t>) and for the diagnosis of SPH 0.65 (C</w:t>
      </w:r>
      <w:r w:rsidR="00CC6DB1" w:rsidRPr="006410B4">
        <w:rPr>
          <w:rFonts w:ascii="Book Antiqua" w:eastAsia="Times New Roman" w:hAnsi="Book Antiqua" w:cs="Times New Roman"/>
          <w:color w:val="000000" w:themeColor="text1"/>
          <w:sz w:val="24"/>
          <w:szCs w:val="24"/>
        </w:rPr>
        <w:t>I: 0.54</w:t>
      </w:r>
      <w:r w:rsidR="00C232BE">
        <w:rPr>
          <w:rFonts w:ascii="Book Antiqua" w:eastAsia="Times New Roman" w:hAnsi="Book Antiqua" w:cs="Times New Roman"/>
          <w:color w:val="000000" w:themeColor="text1"/>
          <w:sz w:val="24"/>
          <w:szCs w:val="24"/>
        </w:rPr>
        <w:t>-</w:t>
      </w:r>
      <w:r w:rsidR="00CC6DB1" w:rsidRPr="006410B4">
        <w:rPr>
          <w:rFonts w:ascii="Book Antiqua" w:eastAsia="Times New Roman" w:hAnsi="Book Antiqua" w:cs="Times New Roman"/>
          <w:color w:val="000000" w:themeColor="text1"/>
          <w:sz w:val="24"/>
          <w:szCs w:val="24"/>
        </w:rPr>
        <w:t xml:space="preserve">0.75; </w:t>
      </w:r>
      <w:r w:rsidR="00FB7C11" w:rsidRPr="007D4D29">
        <w:rPr>
          <w:rFonts w:ascii="Book Antiqua" w:eastAsia="Times New Roman" w:hAnsi="Book Antiqua" w:cs="Times New Roman"/>
          <w:i/>
          <w:color w:val="000000" w:themeColor="text1"/>
          <w:sz w:val="24"/>
          <w:szCs w:val="24"/>
        </w:rPr>
        <w:t xml:space="preserve">P </w:t>
      </w:r>
      <w:r w:rsidR="00FB7C11">
        <w:rPr>
          <w:rFonts w:ascii="Book Antiqua" w:eastAsia="Times New Roman" w:hAnsi="Book Antiqua" w:cs="Times New Roman"/>
          <w:color w:val="000000" w:themeColor="text1"/>
          <w:sz w:val="24"/>
          <w:szCs w:val="24"/>
        </w:rPr>
        <w:t xml:space="preserve">= </w:t>
      </w:r>
      <w:r w:rsidR="00CC6DB1" w:rsidRPr="006410B4">
        <w:rPr>
          <w:rFonts w:ascii="Book Antiqua" w:eastAsia="Times New Roman" w:hAnsi="Book Antiqua" w:cs="Times New Roman"/>
          <w:color w:val="000000" w:themeColor="text1"/>
          <w:sz w:val="24"/>
          <w:szCs w:val="24"/>
        </w:rPr>
        <w:t xml:space="preserve">0.014 </w:t>
      </w:r>
      <w:r w:rsidR="009E5C59" w:rsidRPr="006410B4">
        <w:rPr>
          <w:rFonts w:ascii="Book Antiqua" w:eastAsia="Times New Roman" w:hAnsi="Book Antiqua" w:cs="Times New Roman"/>
          <w:color w:val="000000" w:themeColor="text1"/>
          <w:sz w:val="24"/>
          <w:szCs w:val="24"/>
        </w:rPr>
        <w:t>Figure 6B</w:t>
      </w:r>
      <w:r w:rsidRPr="006410B4">
        <w:rPr>
          <w:rFonts w:ascii="Book Antiqua" w:eastAsia="Times New Roman" w:hAnsi="Book Antiqua" w:cs="Times New Roman"/>
          <w:color w:val="000000" w:themeColor="text1"/>
          <w:sz w:val="24"/>
          <w:szCs w:val="24"/>
        </w:rPr>
        <w:t xml:space="preserve">). A cut-off value of 1.12 </w:t>
      </w:r>
      <w:r w:rsidR="005702DC">
        <w:rPr>
          <w:rFonts w:ascii="Book Antiqua" w:eastAsia="Times New Roman" w:hAnsi="Book Antiqua" w:cs="Times New Roman"/>
          <w:color w:val="000000" w:themeColor="text1"/>
          <w:sz w:val="24"/>
          <w:szCs w:val="24"/>
        </w:rPr>
        <w:t>ng/mL</w:t>
      </w:r>
      <w:r w:rsidRPr="006410B4">
        <w:rPr>
          <w:rFonts w:ascii="Book Antiqua" w:eastAsia="Times New Roman" w:hAnsi="Book Antiqua" w:cs="Times New Roman"/>
          <w:color w:val="000000" w:themeColor="text1"/>
          <w:sz w:val="24"/>
          <w:szCs w:val="24"/>
        </w:rPr>
        <w:t xml:space="preserve"> yielded the most accurate sensitivity and specificity to differentiate betw</w:t>
      </w:r>
      <w:r w:rsidR="007E1342" w:rsidRPr="006410B4">
        <w:rPr>
          <w:rFonts w:ascii="Book Antiqua" w:eastAsia="Times New Roman" w:hAnsi="Book Antiqua" w:cs="Times New Roman"/>
          <w:color w:val="000000" w:themeColor="text1"/>
          <w:sz w:val="24"/>
          <w:szCs w:val="24"/>
        </w:rPr>
        <w:t>een patients with and without CS</w:t>
      </w:r>
      <w:r w:rsidRPr="006410B4">
        <w:rPr>
          <w:rFonts w:ascii="Book Antiqua" w:eastAsia="Times New Roman" w:hAnsi="Book Antiqua" w:cs="Times New Roman"/>
          <w:color w:val="000000" w:themeColor="text1"/>
          <w:sz w:val="24"/>
          <w:szCs w:val="24"/>
        </w:rPr>
        <w:t xml:space="preserve">PH whereas a cut-off value of 1 </w:t>
      </w:r>
      <w:r w:rsidR="005702DC">
        <w:rPr>
          <w:rFonts w:ascii="Book Antiqua" w:eastAsia="Times New Roman" w:hAnsi="Book Antiqua" w:cs="Times New Roman"/>
          <w:color w:val="000000" w:themeColor="text1"/>
          <w:sz w:val="24"/>
          <w:szCs w:val="24"/>
        </w:rPr>
        <w:t>ng/mL</w:t>
      </w:r>
      <w:r w:rsidRPr="006410B4">
        <w:rPr>
          <w:rFonts w:ascii="Book Antiqua" w:eastAsia="Times New Roman" w:hAnsi="Book Antiqua" w:cs="Times New Roman"/>
          <w:color w:val="000000" w:themeColor="text1"/>
          <w:sz w:val="24"/>
          <w:szCs w:val="24"/>
        </w:rPr>
        <w:t xml:space="preserve"> helped to differentiate between the patients with and without SPH</w:t>
      </w:r>
      <w:r w:rsidR="00962C09" w:rsidRPr="006410B4">
        <w:rPr>
          <w:rFonts w:ascii="Book Antiqua" w:eastAsia="Times New Roman" w:hAnsi="Book Antiqua" w:cs="Times New Roman"/>
          <w:color w:val="000000" w:themeColor="text1"/>
          <w:sz w:val="24"/>
          <w:szCs w:val="24"/>
        </w:rPr>
        <w:t xml:space="preserve"> (Table 2)</w:t>
      </w:r>
      <w:r w:rsidRPr="006410B4">
        <w:rPr>
          <w:rFonts w:ascii="Book Antiqua" w:eastAsia="Times New Roman" w:hAnsi="Book Antiqua" w:cs="Times New Roman"/>
          <w:color w:val="000000" w:themeColor="text1"/>
          <w:sz w:val="24"/>
          <w:szCs w:val="24"/>
        </w:rPr>
        <w:t xml:space="preserve">. When classifying patients according </w:t>
      </w:r>
      <w:r w:rsidR="00A45B2C" w:rsidRPr="006410B4">
        <w:rPr>
          <w:rFonts w:ascii="Book Antiqua" w:eastAsia="Times New Roman" w:hAnsi="Book Antiqua" w:cs="Times New Roman"/>
          <w:color w:val="000000" w:themeColor="text1"/>
          <w:sz w:val="24"/>
          <w:szCs w:val="24"/>
        </w:rPr>
        <w:t xml:space="preserve">to </w:t>
      </w:r>
      <w:r w:rsidRPr="006410B4">
        <w:rPr>
          <w:rFonts w:ascii="Book Antiqua" w:eastAsia="Times New Roman" w:hAnsi="Book Antiqua" w:cs="Times New Roman"/>
          <w:color w:val="000000" w:themeColor="text1"/>
          <w:sz w:val="24"/>
          <w:szCs w:val="24"/>
        </w:rPr>
        <w:t>the cut-off values, OR for the presence of CSPH was 7.8 (</w:t>
      </w:r>
      <w:r w:rsidR="00FB7C11" w:rsidRPr="007D4D2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Pr="006410B4">
        <w:rPr>
          <w:rFonts w:ascii="Book Antiqua" w:eastAsia="Times New Roman" w:hAnsi="Book Antiqua" w:cs="Times New Roman"/>
          <w:color w:val="000000" w:themeColor="text1"/>
          <w:sz w:val="24"/>
          <w:szCs w:val="24"/>
        </w:rPr>
        <w:t>0.008) and for the presence of SPH 6.12 (</w:t>
      </w:r>
      <w:r w:rsidR="00FB7C11" w:rsidRPr="007D4D2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Pr="006410B4">
        <w:rPr>
          <w:rFonts w:ascii="Book Antiqua" w:eastAsia="Times New Roman" w:hAnsi="Book Antiqua" w:cs="Times New Roman"/>
          <w:color w:val="000000" w:themeColor="text1"/>
          <w:sz w:val="24"/>
          <w:szCs w:val="24"/>
        </w:rPr>
        <w:t>0.006).</w:t>
      </w:r>
    </w:p>
    <w:p w:rsidR="007D4D29" w:rsidRPr="006410B4" w:rsidRDefault="007D4D29"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p>
    <w:p w:rsidR="00A45B2C" w:rsidRPr="006410B4" w:rsidRDefault="00A45B2C"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proofErr w:type="spellStart"/>
      <w:r w:rsidRPr="006410B4">
        <w:rPr>
          <w:rFonts w:ascii="Book Antiqua" w:eastAsia="Times New Roman" w:hAnsi="Book Antiqua" w:cs="Times New Roman"/>
          <w:b/>
          <w:i/>
          <w:color w:val="000000" w:themeColor="text1"/>
          <w:sz w:val="24"/>
          <w:szCs w:val="24"/>
        </w:rPr>
        <w:t>PlGF</w:t>
      </w:r>
      <w:proofErr w:type="spellEnd"/>
      <w:r w:rsidRPr="006410B4">
        <w:rPr>
          <w:rFonts w:ascii="Book Antiqua" w:eastAsia="Times New Roman" w:hAnsi="Book Antiqua" w:cs="Times New Roman"/>
          <w:b/>
          <w:i/>
          <w:color w:val="000000" w:themeColor="text1"/>
          <w:sz w:val="24"/>
          <w:szCs w:val="24"/>
        </w:rPr>
        <w:t xml:space="preserve"> and </w:t>
      </w:r>
      <w:proofErr w:type="spellStart"/>
      <w:r w:rsidRPr="006410B4">
        <w:rPr>
          <w:rFonts w:ascii="Book Antiqua" w:eastAsia="Times New Roman" w:hAnsi="Book Antiqua" w:cs="Times New Roman"/>
          <w:b/>
          <w:i/>
          <w:color w:val="000000" w:themeColor="text1"/>
          <w:sz w:val="24"/>
          <w:szCs w:val="24"/>
        </w:rPr>
        <w:t>Nogo</w:t>
      </w:r>
      <w:proofErr w:type="spellEnd"/>
      <w:r w:rsidRPr="006410B4">
        <w:rPr>
          <w:rFonts w:ascii="Book Antiqua" w:eastAsia="Times New Roman" w:hAnsi="Book Antiqua" w:cs="Times New Roman"/>
          <w:b/>
          <w:i/>
          <w:color w:val="000000" w:themeColor="text1"/>
          <w:sz w:val="24"/>
          <w:szCs w:val="24"/>
        </w:rPr>
        <w:t>-A plasma levels and esophageal varices</w:t>
      </w:r>
    </w:p>
    <w:p w:rsidR="00C42FE6" w:rsidRPr="006410B4" w:rsidRDefault="00BF498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Both peripheral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were significantly associated with esophageal varices. Peripheral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values were higher 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 levels were lower in patients with esophageal varices when compared to patients without esophageal var</w:t>
      </w:r>
      <w:r w:rsidR="00154A54" w:rsidRPr="006410B4">
        <w:rPr>
          <w:rFonts w:ascii="Book Antiqua" w:eastAsia="Times New Roman" w:hAnsi="Book Antiqua" w:cs="Times New Roman"/>
          <w:color w:val="000000" w:themeColor="text1"/>
          <w:sz w:val="24"/>
          <w:szCs w:val="24"/>
        </w:rPr>
        <w:t xml:space="preserve">ices </w:t>
      </w:r>
      <w:r w:rsidR="00C7413E" w:rsidRPr="006410B4">
        <w:rPr>
          <w:rFonts w:ascii="Book Antiqua" w:eastAsia="Times New Roman" w:hAnsi="Book Antiqua" w:cs="Times New Roman"/>
          <w:color w:val="000000" w:themeColor="text1"/>
          <w:sz w:val="24"/>
          <w:szCs w:val="24"/>
        </w:rPr>
        <w:t>(</w:t>
      </w:r>
      <w:proofErr w:type="spellStart"/>
      <w:r w:rsidR="00C7413E" w:rsidRPr="006410B4">
        <w:rPr>
          <w:rFonts w:ascii="Book Antiqua" w:eastAsia="Times New Roman" w:hAnsi="Book Antiqua" w:cs="Times New Roman"/>
          <w:color w:val="000000" w:themeColor="text1"/>
          <w:sz w:val="24"/>
          <w:szCs w:val="24"/>
        </w:rPr>
        <w:t>PlGF</w:t>
      </w:r>
      <w:proofErr w:type="spellEnd"/>
      <w:r w:rsidR="00C7413E" w:rsidRPr="006410B4">
        <w:rPr>
          <w:rFonts w:ascii="Book Antiqua" w:eastAsia="Times New Roman" w:hAnsi="Book Antiqua" w:cs="Times New Roman"/>
          <w:color w:val="000000" w:themeColor="text1"/>
          <w:sz w:val="24"/>
          <w:szCs w:val="24"/>
        </w:rPr>
        <w:t xml:space="preserve"> 29.96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00C7413E" w:rsidRPr="006410B4">
        <w:rPr>
          <w:rFonts w:ascii="Book Antiqua" w:eastAsia="Times New Roman" w:hAnsi="Book Antiqua" w:cs="Times New Roman"/>
          <w:color w:val="000000" w:themeColor="text1"/>
          <w:sz w:val="24"/>
          <w:szCs w:val="24"/>
        </w:rPr>
        <w:t xml:space="preserve">; range 20.34-44.03 </w:t>
      </w:r>
      <w:r w:rsidR="00FB7C11" w:rsidRPr="007D4D29">
        <w:rPr>
          <w:rFonts w:ascii="Book Antiqua" w:eastAsia="Times New Roman" w:hAnsi="Book Antiqua" w:cs="Times New Roman"/>
          <w:i/>
          <w:color w:val="000000" w:themeColor="text1"/>
          <w:sz w:val="24"/>
          <w:szCs w:val="24"/>
        </w:rPr>
        <w:t>vs</w:t>
      </w:r>
      <w:r w:rsidR="00C7413E" w:rsidRPr="006410B4">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17.73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Pr="006410B4">
        <w:rPr>
          <w:rFonts w:ascii="Book Antiqua" w:eastAsia="Times New Roman" w:hAnsi="Book Antiqua" w:cs="Times New Roman"/>
          <w:color w:val="000000" w:themeColor="text1"/>
          <w:sz w:val="24"/>
          <w:szCs w:val="24"/>
        </w:rPr>
        <w:t xml:space="preserve">; range 11.76-27.97; </w:t>
      </w:r>
      <w:r w:rsidR="00FB7C11" w:rsidRPr="007D4D2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Pr="006410B4">
        <w:rPr>
          <w:rFonts w:ascii="Book Antiqua" w:eastAsia="Times New Roman" w:hAnsi="Book Antiqua" w:cs="Times New Roman"/>
          <w:color w:val="000000" w:themeColor="text1"/>
          <w:sz w:val="24"/>
          <w:szCs w:val="24"/>
        </w:rPr>
        <w:t xml:space="preserve">0.001; </w:t>
      </w:r>
      <w:r w:rsidR="00C7413E" w:rsidRPr="006410B4">
        <w:rPr>
          <w:rFonts w:ascii="Book Antiqua" w:eastAsia="Times New Roman" w:hAnsi="Book Antiqua" w:cs="Times New Roman"/>
          <w:color w:val="000000" w:themeColor="text1"/>
          <w:sz w:val="24"/>
          <w:szCs w:val="24"/>
        </w:rPr>
        <w:t xml:space="preserve">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w:t>
      </w:r>
      <w:r w:rsidR="00C7413E" w:rsidRPr="006410B4">
        <w:rPr>
          <w:rFonts w:ascii="Book Antiqua" w:eastAsia="Times New Roman" w:hAnsi="Book Antiqua" w:cs="Times New Roman"/>
          <w:color w:val="000000" w:themeColor="text1"/>
          <w:sz w:val="24"/>
          <w:szCs w:val="24"/>
        </w:rPr>
        <w:t>1.94</w:t>
      </w:r>
      <w:r w:rsidR="007D4D29">
        <w:rPr>
          <w:rFonts w:ascii="Book Antiqua" w:eastAsia="Times New Roman" w:hAnsi="Book Antiqua" w:cs="Times New Roman"/>
          <w:color w:val="000000" w:themeColor="text1"/>
          <w:sz w:val="24"/>
          <w:szCs w:val="24"/>
        </w:rPr>
        <w:t xml:space="preserve"> </w:t>
      </w:r>
      <w:r w:rsidR="00C7413E" w:rsidRPr="006410B4">
        <w:rPr>
          <w:rFonts w:ascii="Book Antiqua" w:eastAsia="Times New Roman" w:hAnsi="Book Antiqua" w:cs="Times New Roman"/>
          <w:color w:val="000000" w:themeColor="text1"/>
          <w:sz w:val="24"/>
          <w:szCs w:val="24"/>
        </w:rPr>
        <w:t>±</w:t>
      </w:r>
      <w:r w:rsidR="007D4D29">
        <w:rPr>
          <w:rFonts w:ascii="Book Antiqua" w:eastAsia="Times New Roman" w:hAnsi="Book Antiqua" w:cs="Times New Roman"/>
          <w:color w:val="000000" w:themeColor="text1"/>
          <w:sz w:val="24"/>
          <w:szCs w:val="24"/>
        </w:rPr>
        <w:t xml:space="preserve"> </w:t>
      </w:r>
      <w:r w:rsidR="00C7413E" w:rsidRPr="006410B4">
        <w:rPr>
          <w:rFonts w:ascii="Book Antiqua" w:eastAsia="Times New Roman" w:hAnsi="Book Antiqua" w:cs="Times New Roman"/>
          <w:color w:val="000000" w:themeColor="text1"/>
          <w:sz w:val="24"/>
          <w:szCs w:val="24"/>
        </w:rPr>
        <w:t xml:space="preserve">1.48 </w:t>
      </w:r>
      <w:r w:rsidR="005702DC">
        <w:rPr>
          <w:rFonts w:ascii="Book Antiqua" w:eastAsia="Times New Roman" w:hAnsi="Book Antiqua" w:cs="Times New Roman"/>
          <w:color w:val="000000" w:themeColor="text1"/>
          <w:sz w:val="24"/>
          <w:szCs w:val="24"/>
        </w:rPr>
        <w:t>ng/mL</w:t>
      </w:r>
      <w:r w:rsidR="00C7413E" w:rsidRPr="006410B4">
        <w:rPr>
          <w:rFonts w:ascii="Book Antiqua" w:eastAsia="Times New Roman" w:hAnsi="Book Antiqua" w:cs="Times New Roman"/>
          <w:color w:val="000000" w:themeColor="text1"/>
          <w:sz w:val="24"/>
          <w:szCs w:val="24"/>
        </w:rPr>
        <w:t xml:space="preserve"> </w:t>
      </w:r>
      <w:r w:rsidR="00FB7C11" w:rsidRPr="007D4D29">
        <w:rPr>
          <w:rFonts w:ascii="Book Antiqua" w:eastAsia="Times New Roman" w:hAnsi="Book Antiqua" w:cs="Times New Roman"/>
          <w:i/>
          <w:color w:val="000000" w:themeColor="text1"/>
          <w:sz w:val="24"/>
          <w:szCs w:val="24"/>
        </w:rPr>
        <w:t>vs</w:t>
      </w:r>
      <w:r w:rsidR="00C7413E" w:rsidRPr="006410B4">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2.52</w:t>
      </w:r>
      <w:r w:rsidR="007D4D29">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w:t>
      </w:r>
      <w:r w:rsidR="007D4D29">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1.41 </w:t>
      </w:r>
      <w:r w:rsidR="005702DC">
        <w:rPr>
          <w:rFonts w:ascii="Book Antiqua" w:eastAsia="Times New Roman" w:hAnsi="Book Antiqua" w:cs="Times New Roman"/>
          <w:color w:val="000000" w:themeColor="text1"/>
          <w:sz w:val="24"/>
          <w:szCs w:val="24"/>
        </w:rPr>
        <w:t>ng/mL</w:t>
      </w:r>
      <w:r w:rsidRPr="006410B4">
        <w:rPr>
          <w:rFonts w:ascii="Book Antiqua" w:eastAsia="Times New Roman" w:hAnsi="Book Antiqua" w:cs="Times New Roman"/>
          <w:color w:val="000000" w:themeColor="text1"/>
          <w:sz w:val="24"/>
          <w:szCs w:val="24"/>
        </w:rPr>
        <w:t xml:space="preserve">; </w:t>
      </w:r>
      <w:r w:rsidR="00FB7C11" w:rsidRPr="007D4D2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&lt; </w:t>
      </w:r>
      <w:r w:rsidRPr="006410B4">
        <w:rPr>
          <w:rFonts w:ascii="Book Antiqua" w:eastAsia="Times New Roman" w:hAnsi="Book Antiqua" w:cs="Times New Roman"/>
          <w:color w:val="000000" w:themeColor="text1"/>
          <w:sz w:val="24"/>
          <w:szCs w:val="24"/>
        </w:rPr>
        <w:t>0.05</w:t>
      </w:r>
      <w:r w:rsidR="00C7413E" w:rsidRPr="006410B4">
        <w:rPr>
          <w:rFonts w:ascii="Book Antiqua" w:eastAsia="Times New Roman" w:hAnsi="Book Antiqua" w:cs="Times New Roman"/>
          <w:color w:val="000000" w:themeColor="text1"/>
          <w:sz w:val="24"/>
          <w:szCs w:val="24"/>
        </w:rPr>
        <w:t>, respectively</w:t>
      </w:r>
      <w:r w:rsidRPr="006410B4">
        <w:rPr>
          <w:rFonts w:ascii="Book Antiqua" w:eastAsia="Times New Roman" w:hAnsi="Book Antiqua" w:cs="Times New Roman"/>
          <w:color w:val="000000" w:themeColor="text1"/>
          <w:sz w:val="24"/>
          <w:szCs w:val="24"/>
        </w:rPr>
        <w:t xml:space="preserve">). The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cut-off value of 19.83 </w:t>
      </w:r>
      <w:proofErr w:type="spellStart"/>
      <w:r w:rsidR="005702DC">
        <w:rPr>
          <w:rFonts w:ascii="Book Antiqua" w:eastAsia="Times New Roman" w:hAnsi="Book Antiqua" w:cs="Times New Roman"/>
          <w:color w:val="000000" w:themeColor="text1"/>
          <w:sz w:val="24"/>
          <w:szCs w:val="24"/>
        </w:rPr>
        <w:lastRenderedPageBreak/>
        <w:t>pg</w:t>
      </w:r>
      <w:proofErr w:type="spellEnd"/>
      <w:r w:rsidR="005702DC">
        <w:rPr>
          <w:rFonts w:ascii="Book Antiqua" w:eastAsia="Times New Roman" w:hAnsi="Book Antiqua" w:cs="Times New Roman"/>
          <w:color w:val="000000" w:themeColor="text1"/>
          <w:sz w:val="24"/>
          <w:szCs w:val="24"/>
        </w:rPr>
        <w:t>/mL</w:t>
      </w:r>
      <w:r w:rsidRPr="006410B4">
        <w:rPr>
          <w:rFonts w:ascii="Book Antiqua" w:eastAsia="Times New Roman" w:hAnsi="Book Antiqua" w:cs="Times New Roman"/>
          <w:color w:val="000000" w:themeColor="text1"/>
          <w:sz w:val="24"/>
          <w:szCs w:val="24"/>
        </w:rPr>
        <w:t xml:space="preserve"> 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cut-off value of 2.3 </w:t>
      </w:r>
      <w:r w:rsidR="005702DC">
        <w:rPr>
          <w:rFonts w:ascii="Book Antiqua" w:eastAsia="Times New Roman" w:hAnsi="Book Antiqua" w:cs="Times New Roman"/>
          <w:color w:val="000000" w:themeColor="text1"/>
          <w:sz w:val="24"/>
          <w:szCs w:val="24"/>
        </w:rPr>
        <w:t>ng/mL</w:t>
      </w:r>
      <w:r w:rsidRPr="006410B4">
        <w:rPr>
          <w:rFonts w:ascii="Book Antiqua" w:eastAsia="Times New Roman" w:hAnsi="Book Antiqua" w:cs="Times New Roman"/>
          <w:color w:val="000000" w:themeColor="text1"/>
          <w:sz w:val="24"/>
          <w:szCs w:val="24"/>
        </w:rPr>
        <w:t xml:space="preserve"> were </w:t>
      </w:r>
      <w:r w:rsidR="00A45B2C" w:rsidRPr="006410B4">
        <w:rPr>
          <w:rFonts w:ascii="Book Antiqua" w:eastAsia="Times New Roman" w:hAnsi="Book Antiqua" w:cs="Times New Roman"/>
          <w:color w:val="000000" w:themeColor="text1"/>
          <w:sz w:val="24"/>
          <w:szCs w:val="24"/>
        </w:rPr>
        <w:t xml:space="preserve">the </w:t>
      </w:r>
      <w:r w:rsidRPr="006410B4">
        <w:rPr>
          <w:rFonts w:ascii="Book Antiqua" w:eastAsia="Times New Roman" w:hAnsi="Book Antiqua" w:cs="Times New Roman"/>
          <w:color w:val="000000" w:themeColor="text1"/>
          <w:sz w:val="24"/>
          <w:szCs w:val="24"/>
        </w:rPr>
        <w:t>most sensitive and specific in order to discriminate patients having esophageal varices. When categorizing patient</w:t>
      </w:r>
      <w:r w:rsidR="00A45B2C" w:rsidRPr="006410B4">
        <w:rPr>
          <w:rFonts w:ascii="Book Antiqua" w:eastAsia="Times New Roman" w:hAnsi="Book Antiqua" w:cs="Times New Roman"/>
          <w:color w:val="000000" w:themeColor="text1"/>
          <w:sz w:val="24"/>
          <w:szCs w:val="24"/>
        </w:rPr>
        <w:t>s</w:t>
      </w:r>
      <w:r w:rsidRPr="006410B4">
        <w:rPr>
          <w:rFonts w:ascii="Book Antiqua" w:eastAsia="Times New Roman" w:hAnsi="Book Antiqua" w:cs="Times New Roman"/>
          <w:color w:val="000000" w:themeColor="text1"/>
          <w:sz w:val="24"/>
          <w:szCs w:val="24"/>
        </w:rPr>
        <w:t xml:space="preserve"> according to</w:t>
      </w:r>
      <w:r w:rsidR="00A45B2C" w:rsidRPr="006410B4">
        <w:rPr>
          <w:rFonts w:ascii="Book Antiqua" w:eastAsia="Times New Roman" w:hAnsi="Book Antiqua" w:cs="Times New Roman"/>
          <w:color w:val="000000" w:themeColor="text1"/>
          <w:sz w:val="24"/>
          <w:szCs w:val="24"/>
        </w:rPr>
        <w:t xml:space="preserve"> peripheral</w:t>
      </w:r>
      <w:r w:rsidRPr="006410B4">
        <w:rPr>
          <w:rFonts w:ascii="Book Antiqua" w:eastAsia="Times New Roman" w:hAnsi="Book Antiqua" w:cs="Times New Roman"/>
          <w:color w:val="000000" w:themeColor="text1"/>
          <w:sz w:val="24"/>
          <w:szCs w:val="24"/>
        </w:rPr>
        <w:t xml:space="preserve">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levels above 19.83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Pr="006410B4">
        <w:rPr>
          <w:rFonts w:ascii="Book Antiqua" w:eastAsia="Times New Roman" w:hAnsi="Book Antiqua" w:cs="Times New Roman"/>
          <w:color w:val="000000" w:themeColor="text1"/>
          <w:sz w:val="24"/>
          <w:szCs w:val="24"/>
        </w:rPr>
        <w:t>, the OR for the presence of esophageal varices was 5.25 (</w:t>
      </w:r>
      <w:r w:rsidR="00FB7C11" w:rsidRPr="007D4D29">
        <w:rPr>
          <w:rFonts w:ascii="Book Antiqua" w:eastAsia="Times New Roman" w:hAnsi="Book Antiqua" w:cs="Times New Roman"/>
          <w:i/>
          <w:color w:val="000000" w:themeColor="text1"/>
          <w:sz w:val="24"/>
          <w:szCs w:val="24"/>
        </w:rPr>
        <w:t>P</w:t>
      </w:r>
      <w:r w:rsidR="00FB7C11">
        <w:rPr>
          <w:rFonts w:ascii="Book Antiqua" w:eastAsia="Times New Roman" w:hAnsi="Book Antiqua" w:cs="Times New Roman"/>
          <w:color w:val="000000" w:themeColor="text1"/>
          <w:sz w:val="24"/>
          <w:szCs w:val="24"/>
        </w:rPr>
        <w:t xml:space="preserve"> = </w:t>
      </w:r>
      <w:r w:rsidRPr="006410B4">
        <w:rPr>
          <w:rFonts w:ascii="Book Antiqua" w:eastAsia="Times New Roman" w:hAnsi="Book Antiqua" w:cs="Times New Roman"/>
          <w:color w:val="000000" w:themeColor="text1"/>
          <w:sz w:val="24"/>
          <w:szCs w:val="24"/>
        </w:rPr>
        <w:t>0.0001). With</w:t>
      </w:r>
      <w:r w:rsidR="00A45B2C" w:rsidRPr="006410B4">
        <w:rPr>
          <w:rFonts w:ascii="Book Antiqua" w:eastAsia="Times New Roman" w:hAnsi="Book Antiqua" w:cs="Times New Roman"/>
          <w:color w:val="000000" w:themeColor="text1"/>
          <w:sz w:val="24"/>
          <w:szCs w:val="24"/>
        </w:rPr>
        <w:t xml:space="preserve"> peripheral</w:t>
      </w:r>
      <w:r w:rsidRPr="006410B4">
        <w:rPr>
          <w:rFonts w:ascii="Book Antiqua" w:eastAsia="Times New Roman" w:hAnsi="Book Antiqua" w:cs="Times New Roman"/>
          <w:color w:val="000000" w:themeColor="text1"/>
          <w:sz w:val="24"/>
          <w:szCs w:val="24"/>
        </w:rPr>
        <w:t xml:space="preserve">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levels below 2.3 </w:t>
      </w:r>
      <w:r w:rsidR="005702DC">
        <w:rPr>
          <w:rFonts w:ascii="Book Antiqua" w:eastAsia="Times New Roman" w:hAnsi="Book Antiqua" w:cs="Times New Roman"/>
          <w:color w:val="000000" w:themeColor="text1"/>
          <w:sz w:val="24"/>
          <w:szCs w:val="24"/>
        </w:rPr>
        <w:t>ng/mL</w:t>
      </w:r>
      <w:r w:rsidRPr="006410B4">
        <w:rPr>
          <w:rFonts w:ascii="Book Antiqua" w:eastAsia="Times New Roman" w:hAnsi="Book Antiqua" w:cs="Times New Roman"/>
          <w:color w:val="000000" w:themeColor="text1"/>
          <w:sz w:val="24"/>
          <w:szCs w:val="24"/>
        </w:rPr>
        <w:t>, the OR for the presence of esophageal varices was 3.2 (</w:t>
      </w:r>
      <w:r w:rsidR="00FB7C11" w:rsidRPr="007D4D29">
        <w:rPr>
          <w:rFonts w:ascii="Book Antiqua" w:eastAsia="Times New Roman" w:hAnsi="Book Antiqua" w:cs="Times New Roman"/>
          <w:i/>
          <w:color w:val="000000" w:themeColor="text1"/>
          <w:sz w:val="24"/>
          <w:szCs w:val="24"/>
        </w:rPr>
        <w:t xml:space="preserve">P </w:t>
      </w:r>
      <w:r w:rsidR="00FB7C11">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0.007). However</w:t>
      </w:r>
      <w:r w:rsidR="00C7413E"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the levels of biomarkers did not differ between different grades of esophageal varices (F</w:t>
      </w:r>
      <w:r w:rsidR="007D4D29">
        <w:rPr>
          <w:rFonts w:ascii="Book Antiqua" w:eastAsia="Times New Roman" w:hAnsi="Book Antiqua" w:cs="Times New Roman"/>
          <w:color w:val="000000" w:themeColor="text1"/>
          <w:sz w:val="24"/>
          <w:szCs w:val="24"/>
        </w:rPr>
        <w:t xml:space="preserve">igures </w:t>
      </w:r>
      <w:r w:rsidRPr="006410B4">
        <w:rPr>
          <w:rFonts w:ascii="Book Antiqua" w:eastAsia="Times New Roman" w:hAnsi="Book Antiqua" w:cs="Times New Roman"/>
          <w:color w:val="000000" w:themeColor="text1"/>
          <w:sz w:val="24"/>
          <w:szCs w:val="24"/>
        </w:rPr>
        <w:t>1-3).</w:t>
      </w:r>
    </w:p>
    <w:p w:rsidR="009D61D4" w:rsidRDefault="00BF498E"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To evaluate the esophageal varices with high risk of bleeding we selected a separate group of patients with large (F</w:t>
      </w:r>
      <w:r w:rsidR="007D4D29">
        <w:rPr>
          <w:rFonts w:ascii="Book Antiqua" w:eastAsia="Times New Roman" w:hAnsi="Book Antiqua" w:cs="Times New Roman"/>
          <w:color w:val="000000" w:themeColor="text1"/>
          <w:sz w:val="24"/>
          <w:szCs w:val="24"/>
        </w:rPr>
        <w:t xml:space="preserve">igure </w:t>
      </w:r>
      <w:r w:rsidRPr="006410B4">
        <w:rPr>
          <w:rFonts w:ascii="Book Antiqua" w:eastAsia="Times New Roman" w:hAnsi="Book Antiqua" w:cs="Times New Roman"/>
          <w:color w:val="000000" w:themeColor="text1"/>
          <w:sz w:val="24"/>
          <w:szCs w:val="24"/>
        </w:rPr>
        <w:t>3) esophageal varices and with va</w:t>
      </w:r>
      <w:r w:rsidR="00A45B2C" w:rsidRPr="006410B4">
        <w:rPr>
          <w:rFonts w:ascii="Book Antiqua" w:eastAsia="Times New Roman" w:hAnsi="Book Antiqua" w:cs="Times New Roman"/>
          <w:color w:val="000000" w:themeColor="text1"/>
          <w:sz w:val="24"/>
          <w:szCs w:val="24"/>
        </w:rPr>
        <w:t xml:space="preserve">rices containing red </w:t>
      </w:r>
      <w:r w:rsidR="003034A5" w:rsidRPr="006410B4">
        <w:rPr>
          <w:rFonts w:ascii="Book Antiqua" w:eastAsia="Times New Roman" w:hAnsi="Book Antiqua" w:cs="Times New Roman"/>
          <w:color w:val="000000" w:themeColor="text1"/>
          <w:sz w:val="24"/>
          <w:szCs w:val="24"/>
        </w:rPr>
        <w:t xml:space="preserve">wale </w:t>
      </w:r>
      <w:r w:rsidR="00A45B2C" w:rsidRPr="006410B4">
        <w:rPr>
          <w:rFonts w:ascii="Book Antiqua" w:eastAsia="Times New Roman" w:hAnsi="Book Antiqua" w:cs="Times New Roman"/>
          <w:color w:val="000000" w:themeColor="text1"/>
          <w:sz w:val="24"/>
          <w:szCs w:val="24"/>
        </w:rPr>
        <w:t>marks</w:t>
      </w:r>
      <w:r w:rsidR="003034A5" w:rsidRPr="006410B4">
        <w:rPr>
          <w:rFonts w:ascii="Book Antiqua" w:eastAsia="Times New Roman" w:hAnsi="Book Antiqua" w:cs="Times New Roman"/>
          <w:color w:val="000000" w:themeColor="text1"/>
          <w:sz w:val="24"/>
          <w:szCs w:val="24"/>
        </w:rPr>
        <w:t xml:space="preserve"> or cherry red spots on endoscopy</w:t>
      </w:r>
      <w:r w:rsidR="00A45B2C" w:rsidRPr="006410B4">
        <w:rPr>
          <w:rFonts w:ascii="Book Antiqua" w:eastAsia="Times New Roman" w:hAnsi="Book Antiqua" w:cs="Times New Roman"/>
          <w:color w:val="000000" w:themeColor="text1"/>
          <w:sz w:val="24"/>
          <w:szCs w:val="24"/>
        </w:rPr>
        <w:t xml:space="preserve"> (</w:t>
      </w:r>
      <w:r w:rsidR="007D4D29">
        <w:rPr>
          <w:rFonts w:ascii="Book Antiqua" w:eastAsia="Times New Roman" w:hAnsi="Book Antiqua" w:cs="Times New Roman"/>
          <w:i/>
          <w:color w:val="000000" w:themeColor="text1"/>
          <w:sz w:val="24"/>
          <w:szCs w:val="24"/>
        </w:rPr>
        <w:t>n</w:t>
      </w:r>
      <w:r w:rsidR="007D4D29">
        <w:rPr>
          <w:rFonts w:ascii="Book Antiqua" w:eastAsia="Times New Roman" w:hAnsi="Book Antiqua" w:cs="Times New Roman"/>
          <w:color w:val="000000" w:themeColor="text1"/>
          <w:sz w:val="24"/>
          <w:szCs w:val="24"/>
        </w:rPr>
        <w:t xml:space="preserve"> </w:t>
      </w:r>
      <w:r w:rsidR="00A45B2C" w:rsidRPr="006410B4">
        <w:rPr>
          <w:rFonts w:ascii="Book Antiqua" w:eastAsia="Times New Roman" w:hAnsi="Book Antiqua" w:cs="Times New Roman"/>
          <w:color w:val="000000" w:themeColor="text1"/>
          <w:sz w:val="24"/>
          <w:szCs w:val="24"/>
        </w:rPr>
        <w:t>=</w:t>
      </w:r>
      <w:r w:rsidR="007D4D29">
        <w:rPr>
          <w:rFonts w:ascii="Book Antiqua" w:eastAsia="Times New Roman" w:hAnsi="Book Antiqua" w:cs="Times New Roman"/>
          <w:color w:val="000000" w:themeColor="text1"/>
          <w:sz w:val="24"/>
          <w:szCs w:val="24"/>
        </w:rPr>
        <w:t xml:space="preserve"> </w:t>
      </w:r>
      <w:r w:rsidR="00A45B2C" w:rsidRPr="006410B4">
        <w:rPr>
          <w:rFonts w:ascii="Book Antiqua" w:eastAsia="Times New Roman" w:hAnsi="Book Antiqua" w:cs="Times New Roman"/>
          <w:color w:val="000000" w:themeColor="text1"/>
          <w:sz w:val="24"/>
          <w:szCs w:val="24"/>
        </w:rPr>
        <w:t>21</w:t>
      </w:r>
      <w:r w:rsidRPr="006410B4">
        <w:rPr>
          <w:rFonts w:ascii="Book Antiqua" w:eastAsia="Times New Roman" w:hAnsi="Book Antiqua" w:cs="Times New Roman"/>
          <w:color w:val="000000" w:themeColor="text1"/>
          <w:sz w:val="24"/>
          <w:szCs w:val="24"/>
        </w:rPr>
        <w:t xml:space="preserve">). Higher peripheral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levels were associated with high risk esophageal varices (OR </w:t>
      </w:r>
      <w:r w:rsidR="007D4D29">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7.512; </w:t>
      </w:r>
      <w:r w:rsidR="00FB7C11" w:rsidRPr="007D4D29">
        <w:rPr>
          <w:rFonts w:ascii="Book Antiqua" w:eastAsia="Times New Roman" w:hAnsi="Book Antiqua" w:cs="Times New Roman"/>
          <w:i/>
          <w:color w:val="000000" w:themeColor="text1"/>
          <w:sz w:val="24"/>
          <w:szCs w:val="24"/>
        </w:rPr>
        <w:t xml:space="preserve">P </w:t>
      </w:r>
      <w:r w:rsidR="00FB7C11">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0.01). AUC for the presence of </w:t>
      </w:r>
      <w:r w:rsidR="00C7413E" w:rsidRPr="006410B4">
        <w:rPr>
          <w:rFonts w:ascii="Book Antiqua" w:eastAsia="Times New Roman" w:hAnsi="Book Antiqua" w:cs="Times New Roman"/>
          <w:color w:val="000000" w:themeColor="text1"/>
          <w:sz w:val="24"/>
          <w:szCs w:val="24"/>
        </w:rPr>
        <w:t>high-risk</w:t>
      </w:r>
      <w:r w:rsidRPr="006410B4">
        <w:rPr>
          <w:rFonts w:ascii="Book Antiqua" w:eastAsia="Times New Roman" w:hAnsi="Book Antiqua" w:cs="Times New Roman"/>
          <w:color w:val="000000" w:themeColor="text1"/>
          <w:sz w:val="24"/>
          <w:szCs w:val="24"/>
        </w:rPr>
        <w:t xml:space="preserve"> esophageal varices was 0.62 (CI: 0.54-0.77) </w:t>
      </w:r>
      <w:r w:rsidR="005D0551"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Table 2</w:t>
      </w:r>
      <w:r w:rsidR="005D0551" w:rsidRPr="006410B4">
        <w:rPr>
          <w:rFonts w:ascii="Book Antiqua" w:eastAsia="Times New Roman" w:hAnsi="Book Antiqua" w:cs="Times New Roman"/>
          <w:color w:val="000000" w:themeColor="text1"/>
          <w:sz w:val="24"/>
          <w:szCs w:val="24"/>
        </w:rPr>
        <w:t>)</w:t>
      </w:r>
      <w:r w:rsidR="00034363" w:rsidRPr="006410B4">
        <w:rPr>
          <w:rFonts w:ascii="Book Antiqua" w:eastAsia="Times New Roman" w:hAnsi="Book Antiqua" w:cs="Times New Roman"/>
          <w:color w:val="000000" w:themeColor="text1"/>
          <w:sz w:val="24"/>
          <w:szCs w:val="24"/>
        </w:rPr>
        <w:t>.</w:t>
      </w:r>
    </w:p>
    <w:p w:rsidR="007D4D29" w:rsidRPr="006410B4" w:rsidRDefault="007D4D29"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p>
    <w:p w:rsidR="00C42FE6" w:rsidRPr="006410B4" w:rsidRDefault="009E5C59"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color w:val="000000" w:themeColor="text1"/>
          <w:sz w:val="24"/>
          <w:szCs w:val="24"/>
        </w:rPr>
        <w:t>DISCUSSION</w:t>
      </w:r>
    </w:p>
    <w:p w:rsidR="00F454B8" w:rsidRPr="006410B4" w:rsidRDefault="00C50B87"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With growing burden on chronic liver diseases worldwide</w:t>
      </w:r>
      <w:r w:rsidR="007D4D29" w:rsidRPr="006410B4">
        <w:rPr>
          <w:rFonts w:ascii="Book Antiqua" w:eastAsia="Times New Roman" w:hAnsi="Book Antiqua" w:cs="Times New Roman"/>
          <w:color w:val="000000" w:themeColor="text1"/>
          <w:sz w:val="24"/>
          <w:szCs w:val="24"/>
          <w:vertAlign w:val="superscript"/>
        </w:rPr>
        <w:t>[</w:t>
      </w:r>
      <w:r w:rsidR="007D4D29" w:rsidRPr="006410B4">
        <w:rPr>
          <w:rStyle w:val="FootnoteReference"/>
          <w:rFonts w:ascii="Book Antiqua" w:eastAsia="Times New Roman" w:hAnsi="Book Antiqua" w:cs="Times New Roman"/>
          <w:color w:val="000000" w:themeColor="text1"/>
          <w:sz w:val="24"/>
          <w:szCs w:val="24"/>
        </w:rPr>
        <w:fldChar w:fldCharType="begin" w:fldLock="1"/>
      </w:r>
      <w:r w:rsidR="007D4D29" w:rsidRPr="006410B4">
        <w:rPr>
          <w:rFonts w:ascii="Book Antiqua" w:eastAsia="Times New Roman" w:hAnsi="Book Antiqua" w:cs="Times New Roman"/>
          <w:color w:val="000000" w:themeColor="text1"/>
          <w:sz w:val="24"/>
          <w:szCs w:val="24"/>
        </w:rPr>
        <w:instrText>ADDIN CSL_CITATION {"citationItems":[{"id":"ITEM-1","itemData":{"DOI":"10.1111/liv.13682","ISSN":"14783231","PMID":"29427496","abstract":"CLDs represent an important, and certainly underestimated, global public health problem. CLDs are highly prevalent and silent, related to different, sometimes associated causes. The distribution of the causes of these diseases is slowly changing, and within the next decade, the proportion of virus-induced CLDs will certainly decrease significantly while the proportion of NASH will increase. There is an urgent need for effective global actions including education, prevention and early diagnosis to manage and treat CLDs, thus preventing cirrhosis-related morbidity and mortality. Our role is to increase the awareness of the public, healthcare professionals and public health authorities to encourage active policies for early management that will decrease the short- and long-term public health burden of these diseases. Because necroinflammation is the key mechanism in the progression of CLDs, it should be detected early. Thus, large-scale screening for CLDs is needed. ALT levels are an easy and inexpensive marker of liver necroinflammation and could be the first-line tool in this process","author":[{"dropping-particle":"","family":"Marcellin","given":"Patrick","non-dropping-particle":"","parse-names":false,"suffix":""},{"dropping-particle":"","family":"Kutala","given":"Blaise K.","non-dropping-particle":"","parse-names":false,"suffix":""}],"container-title":"Liver International","id":"ITEM-1","issue":"December 2017","issued":{"date-parts":[["2018"]]},"page":"2-6","title":"Liver diseases: A major, neglected global public health problem requiring urgent actions and large-scale screening","type":"article-journal","volume":"38"},"uris":["http://www.mendeley.com/documents/?uuid=9ca601a3-bba6-46f0-8da3-348c936f593d"]}],"mendeley":{"formattedCitation":"&lt;sup&gt;33&lt;/sup&gt;","plainTextFormattedCitation":"33","previouslyFormattedCitation":"&lt;sup&gt;32&lt;/sup&gt;"},"properties":{"noteIndex":0},"schema":"https://github.com/citation-style-language/schema/raw/master/csl-citation.json"}</w:instrText>
      </w:r>
      <w:r w:rsidR="007D4D29" w:rsidRPr="006410B4">
        <w:rPr>
          <w:rStyle w:val="FootnoteReference"/>
          <w:rFonts w:ascii="Book Antiqua" w:eastAsia="Times New Roman" w:hAnsi="Book Antiqua" w:cs="Times New Roman"/>
          <w:color w:val="000000" w:themeColor="text1"/>
          <w:sz w:val="24"/>
          <w:szCs w:val="24"/>
        </w:rPr>
        <w:fldChar w:fldCharType="separate"/>
      </w:r>
      <w:r w:rsidR="007D4D29" w:rsidRPr="006410B4">
        <w:rPr>
          <w:rFonts w:ascii="Book Antiqua" w:eastAsia="Times New Roman" w:hAnsi="Book Antiqua" w:cs="Times New Roman"/>
          <w:bCs/>
          <w:color w:val="000000" w:themeColor="text1"/>
          <w:sz w:val="24"/>
          <w:szCs w:val="24"/>
          <w:vertAlign w:val="superscript"/>
        </w:rPr>
        <w:t>33</w:t>
      </w:r>
      <w:r w:rsidR="007D4D29" w:rsidRPr="006410B4">
        <w:rPr>
          <w:rStyle w:val="FootnoteReference"/>
          <w:rFonts w:ascii="Book Antiqua" w:eastAsia="Times New Roman" w:hAnsi="Book Antiqua" w:cs="Times New Roman"/>
          <w:color w:val="000000" w:themeColor="text1"/>
          <w:sz w:val="24"/>
          <w:szCs w:val="24"/>
        </w:rPr>
        <w:fldChar w:fldCharType="end"/>
      </w:r>
      <w:r w:rsidR="007D4D29"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the optimization of care provided to the patients with liver cirrhosis has become a priority. </w:t>
      </w:r>
      <w:r w:rsidR="00FC4542" w:rsidRPr="006410B4">
        <w:rPr>
          <w:rFonts w:ascii="Book Antiqua" w:eastAsia="Times New Roman" w:hAnsi="Book Antiqua" w:cs="Times New Roman"/>
          <w:color w:val="000000" w:themeColor="text1"/>
          <w:sz w:val="24"/>
          <w:szCs w:val="24"/>
        </w:rPr>
        <w:t xml:space="preserve">According to the </w:t>
      </w:r>
      <w:proofErr w:type="spellStart"/>
      <w:r w:rsidR="00FC4542" w:rsidRPr="006410B4">
        <w:rPr>
          <w:rFonts w:ascii="Book Antiqua" w:eastAsia="Times New Roman" w:hAnsi="Book Antiqua" w:cs="Times New Roman"/>
          <w:color w:val="000000" w:themeColor="text1"/>
          <w:sz w:val="24"/>
          <w:szCs w:val="24"/>
        </w:rPr>
        <w:t>Baveno</w:t>
      </w:r>
      <w:proofErr w:type="spellEnd"/>
      <w:r w:rsidR="00FC4542" w:rsidRPr="006410B4">
        <w:rPr>
          <w:rFonts w:ascii="Book Antiqua" w:eastAsia="Times New Roman" w:hAnsi="Book Antiqua" w:cs="Times New Roman"/>
          <w:color w:val="000000" w:themeColor="text1"/>
          <w:sz w:val="24"/>
          <w:szCs w:val="24"/>
        </w:rPr>
        <w:t xml:space="preserve"> VI consensus meeting the detection and treatment of early PH as well as the prevention and timely treatment of CSPH, in order to avoid complications and decompensation, are of utmost importance</w:t>
      </w:r>
      <w:r w:rsidR="007D4D29" w:rsidRPr="006410B4">
        <w:rPr>
          <w:rFonts w:ascii="Book Antiqua" w:eastAsia="Times New Roman" w:hAnsi="Book Antiqua" w:cs="Times New Roman"/>
          <w:color w:val="000000" w:themeColor="text1"/>
          <w:sz w:val="24"/>
          <w:szCs w:val="24"/>
          <w:vertAlign w:val="superscript"/>
        </w:rPr>
        <w:t>[</w:t>
      </w:r>
      <w:r w:rsidR="007D4D29" w:rsidRPr="006410B4">
        <w:rPr>
          <w:rStyle w:val="FootnoteReference"/>
          <w:rFonts w:ascii="Book Antiqua" w:eastAsia="Times New Roman" w:hAnsi="Book Antiqua" w:cs="Times New Roman"/>
          <w:color w:val="000000" w:themeColor="text1"/>
          <w:sz w:val="24"/>
          <w:szCs w:val="24"/>
        </w:rPr>
        <w:fldChar w:fldCharType="begin" w:fldLock="1"/>
      </w:r>
      <w:r w:rsidR="007D4D29" w:rsidRPr="006410B4">
        <w:rPr>
          <w:rFonts w:ascii="Book Antiqua" w:eastAsia="Times New Roman" w:hAnsi="Book Antiqua" w:cs="Times New Roman"/>
          <w:color w:val="000000" w:themeColor="text1"/>
          <w:sz w:val="24"/>
          <w:szCs w:val="24"/>
        </w:rPr>
        <w:instrText>ADDIN CSL_CITATION {"citationItems":[{"id":"ITEM-1","itemData":{"DOI":"10.1016/j.jhep.2015.05.022","ISBN":"0021-9258 (Print)","ISSN":"00219258","PMID":"2115886","abstract":"Baveno VI meeting","author":[{"dropping-particle":"de","family":"Franchis","given":"Roberto","non-dropping-particle":"","parse-names":false,"suffix":""}],"container-title":"Journal of Healthcare Engineering","id":"ITEM-1","issued":{"date-parts":[["2015"]]},"page":"743-752","publisher":"European Association for the Study of the Liver","title":"Expanding consensus in portal hypertension Report of the Baveno VI Consensus Workshop: Stratifying risk and individualizing care for portal hypertension","type":"article-journal","volume":"63"},"uris":["http://www.mendeley.com/documents/?uuid=d3e69915-f619-4bf7-8e5d-ed326308d7f6"]}],"mendeley":{"formattedCitation":"&lt;sup&gt;4&lt;/sup&gt;","plainTextFormattedCitation":"4","previouslyFormattedCitation":"&lt;sup&gt;4&lt;/sup&gt;"},"properties":{"noteIndex":0},"schema":"https://github.com/citation-style-language/schema/raw/master/csl-citation.json"}</w:instrText>
      </w:r>
      <w:r w:rsidR="007D4D29" w:rsidRPr="006410B4">
        <w:rPr>
          <w:rStyle w:val="FootnoteReference"/>
          <w:rFonts w:ascii="Book Antiqua" w:eastAsia="Times New Roman" w:hAnsi="Book Antiqua" w:cs="Times New Roman"/>
          <w:color w:val="000000" w:themeColor="text1"/>
          <w:sz w:val="24"/>
          <w:szCs w:val="24"/>
        </w:rPr>
        <w:fldChar w:fldCharType="separate"/>
      </w:r>
      <w:r w:rsidR="007D4D29" w:rsidRPr="006410B4">
        <w:rPr>
          <w:rFonts w:ascii="Book Antiqua" w:eastAsia="Times New Roman" w:hAnsi="Book Antiqua" w:cs="Times New Roman"/>
          <w:color w:val="000000" w:themeColor="text1"/>
          <w:sz w:val="24"/>
          <w:szCs w:val="24"/>
          <w:vertAlign w:val="superscript"/>
        </w:rPr>
        <w:t>4</w:t>
      </w:r>
      <w:r w:rsidR="007D4D29" w:rsidRPr="006410B4">
        <w:rPr>
          <w:rStyle w:val="FootnoteReference"/>
          <w:rFonts w:ascii="Book Antiqua" w:eastAsia="Times New Roman" w:hAnsi="Book Antiqua" w:cs="Times New Roman"/>
          <w:color w:val="000000" w:themeColor="text1"/>
          <w:sz w:val="24"/>
          <w:szCs w:val="24"/>
        </w:rPr>
        <w:fldChar w:fldCharType="end"/>
      </w:r>
      <w:r w:rsidR="007D4D29"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00FC4542" w:rsidRPr="006410B4">
        <w:rPr>
          <w:rFonts w:ascii="Book Antiqua" w:eastAsia="Times New Roman" w:hAnsi="Book Antiqua" w:cs="Times New Roman"/>
          <w:color w:val="000000" w:themeColor="text1"/>
          <w:sz w:val="24"/>
          <w:szCs w:val="24"/>
        </w:rPr>
        <w:t xml:space="preserve"> The consensus has encouraged the search</w:t>
      </w:r>
      <w:r w:rsidR="00FC4542" w:rsidRPr="006410B4">
        <w:rPr>
          <w:rFonts w:ascii="Book Antiqua" w:hAnsi="Book Antiqua" w:cs="Times New Roman"/>
          <w:color w:val="000000" w:themeColor="text1"/>
          <w:sz w:val="24"/>
          <w:szCs w:val="24"/>
        </w:rPr>
        <w:t xml:space="preserve"> for new treatment strategies to target different pathogenetic components of PH</w:t>
      </w:r>
      <w:r w:rsidR="007D4D29" w:rsidRPr="006410B4">
        <w:rPr>
          <w:rFonts w:ascii="Book Antiqua" w:hAnsi="Book Antiqua" w:cs="Times New Roman"/>
          <w:color w:val="000000" w:themeColor="text1"/>
          <w:sz w:val="24"/>
          <w:szCs w:val="24"/>
          <w:vertAlign w:val="superscript"/>
        </w:rPr>
        <w:t>[</w:t>
      </w:r>
      <w:r w:rsidR="007D4D29" w:rsidRPr="006410B4">
        <w:rPr>
          <w:rStyle w:val="FootnoteReference"/>
          <w:rFonts w:ascii="Book Antiqua" w:hAnsi="Book Antiqua" w:cs="Times New Roman"/>
          <w:color w:val="000000" w:themeColor="text1"/>
          <w:sz w:val="24"/>
          <w:szCs w:val="24"/>
        </w:rPr>
        <w:fldChar w:fldCharType="begin" w:fldLock="1"/>
      </w:r>
      <w:r w:rsidR="007D4D29" w:rsidRPr="006410B4">
        <w:rPr>
          <w:rFonts w:ascii="Book Antiqua" w:hAnsi="Book Antiqua" w:cs="Times New Roman"/>
          <w:color w:val="000000" w:themeColor="text1"/>
          <w:sz w:val="24"/>
          <w:szCs w:val="24"/>
        </w:rPr>
        <w:instrText>ADDIN CSL_CITATION {"citationItems":[{"id":"ITEM-1","itemData":{"DOI":"10.1016/j.jhep.2015.05.022","ISBN":"0021-9258 (Print)","ISSN":"00219258","PMID":"2115886","abstract":"Baveno VI meeting","author":[{"dropping-particle":"de","family":"Franchis","given":"Roberto","non-dropping-particle":"","parse-names":false,"suffix":""}],"container-title":"Journal of Healthcare Engineering","id":"ITEM-1","issued":{"date-parts":[["2015"]]},"page":"743-752","publisher":"European Association for the Study of the Liver","title":"Expanding consensus in portal hypertension Report of the Baveno VI Consensus Workshop: Stratifying risk and individualizing care for portal hypertension","type":"article-journal","volume":"63"},"uris":["http://www.mendeley.com/documents/?uuid=d3e69915-f619-4bf7-8e5d-ed326308d7f6"]}],"mendeley":{"formattedCitation":"&lt;sup&gt;4&lt;/sup&gt;","plainTextFormattedCitation":"4","previouslyFormattedCitation":"&lt;sup&gt;4&lt;/sup&gt;"},"properties":{"noteIndex":0},"schema":"https://github.com/citation-style-language/schema/raw/master/csl-citation.json"}</w:instrText>
      </w:r>
      <w:r w:rsidR="007D4D29" w:rsidRPr="006410B4">
        <w:rPr>
          <w:rStyle w:val="FootnoteReference"/>
          <w:rFonts w:ascii="Book Antiqua" w:hAnsi="Book Antiqua" w:cs="Times New Roman"/>
          <w:color w:val="000000" w:themeColor="text1"/>
          <w:sz w:val="24"/>
          <w:szCs w:val="24"/>
        </w:rPr>
        <w:fldChar w:fldCharType="separate"/>
      </w:r>
      <w:r w:rsidR="007D4D29" w:rsidRPr="006410B4">
        <w:rPr>
          <w:rFonts w:ascii="Book Antiqua" w:hAnsi="Book Antiqua" w:cs="Times New Roman"/>
          <w:color w:val="000000" w:themeColor="text1"/>
          <w:sz w:val="24"/>
          <w:szCs w:val="24"/>
          <w:vertAlign w:val="superscript"/>
        </w:rPr>
        <w:t>4</w:t>
      </w:r>
      <w:r w:rsidR="007D4D29" w:rsidRPr="006410B4">
        <w:rPr>
          <w:rStyle w:val="FootnoteReference"/>
          <w:rFonts w:ascii="Book Antiqua" w:hAnsi="Book Antiqua" w:cs="Times New Roman"/>
          <w:color w:val="000000" w:themeColor="text1"/>
          <w:sz w:val="24"/>
          <w:szCs w:val="24"/>
        </w:rPr>
        <w:fldChar w:fldCharType="end"/>
      </w:r>
      <w:r w:rsidR="007D4D29" w:rsidRPr="006410B4">
        <w:rPr>
          <w:rStyle w:val="FootnoteReference"/>
          <w:rFonts w:ascii="Book Antiqua" w:hAnsi="Book Antiqua" w:cs="Times New Roman"/>
          <w:color w:val="000000" w:themeColor="text1"/>
          <w:sz w:val="24"/>
          <w:szCs w:val="24"/>
        </w:rPr>
        <w:t>]</w:t>
      </w:r>
      <w:r w:rsidR="00FB65D0" w:rsidRPr="006410B4">
        <w:rPr>
          <w:rFonts w:ascii="Book Antiqua" w:hAnsi="Book Antiqua" w:cs="Times New Roman"/>
          <w:color w:val="000000" w:themeColor="text1"/>
          <w:sz w:val="24"/>
          <w:szCs w:val="24"/>
        </w:rPr>
        <w:t>.</w:t>
      </w:r>
      <w:r w:rsidR="00FC4542" w:rsidRPr="006410B4">
        <w:rPr>
          <w:rFonts w:ascii="Book Antiqua" w:eastAsia="Times New Roman" w:hAnsi="Book Antiqua" w:cs="Times New Roman"/>
          <w:color w:val="000000" w:themeColor="text1"/>
          <w:sz w:val="24"/>
          <w:szCs w:val="24"/>
        </w:rPr>
        <w:t xml:space="preserve"> </w:t>
      </w:r>
    </w:p>
    <w:p w:rsidR="00C42FE6" w:rsidRPr="006410B4" w:rsidRDefault="00FD0911"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T</w:t>
      </w:r>
      <w:r w:rsidR="00BF498E" w:rsidRPr="006410B4">
        <w:rPr>
          <w:rFonts w:ascii="Book Antiqua" w:eastAsia="Times New Roman" w:hAnsi="Book Antiqua" w:cs="Times New Roman"/>
          <w:color w:val="000000" w:themeColor="text1"/>
          <w:sz w:val="24"/>
          <w:szCs w:val="24"/>
        </w:rPr>
        <w:t xml:space="preserve">his prospective study </w:t>
      </w:r>
      <w:r w:rsidRPr="006410B4">
        <w:rPr>
          <w:rFonts w:ascii="Book Antiqua" w:eastAsia="Times New Roman" w:hAnsi="Book Antiqua" w:cs="Times New Roman"/>
          <w:color w:val="000000" w:themeColor="text1"/>
          <w:sz w:val="24"/>
          <w:szCs w:val="24"/>
        </w:rPr>
        <w:t xml:space="preserve">was aimed to </w:t>
      </w:r>
      <w:r w:rsidR="00D53AEE" w:rsidRPr="006410B4">
        <w:rPr>
          <w:rFonts w:ascii="Book Antiqua" w:eastAsia="Times New Roman" w:hAnsi="Book Antiqua" w:cs="Times New Roman"/>
          <w:color w:val="000000" w:themeColor="text1"/>
          <w:sz w:val="24"/>
          <w:szCs w:val="24"/>
        </w:rPr>
        <w:t xml:space="preserve">gain deeper knowledge on the molecules involved in </w:t>
      </w:r>
      <w:r w:rsidR="00F20289" w:rsidRPr="006410B4">
        <w:rPr>
          <w:rFonts w:ascii="Book Antiqua" w:eastAsia="Times New Roman" w:hAnsi="Book Antiqua" w:cs="Times New Roman"/>
          <w:color w:val="000000" w:themeColor="text1"/>
          <w:sz w:val="24"/>
          <w:szCs w:val="24"/>
        </w:rPr>
        <w:t xml:space="preserve">the </w:t>
      </w:r>
      <w:r w:rsidR="00D53AEE" w:rsidRPr="006410B4">
        <w:rPr>
          <w:rFonts w:ascii="Book Antiqua" w:eastAsia="Times New Roman" w:hAnsi="Book Antiqua" w:cs="Times New Roman"/>
          <w:color w:val="000000" w:themeColor="text1"/>
          <w:sz w:val="24"/>
          <w:szCs w:val="24"/>
        </w:rPr>
        <w:t>abnormal angiogenesis</w:t>
      </w:r>
      <w:r w:rsidR="00C232BE">
        <w:rPr>
          <w:rFonts w:ascii="Book Antiqua" w:eastAsia="Times New Roman" w:hAnsi="Book Antiqua" w:cs="Times New Roman"/>
          <w:color w:val="000000" w:themeColor="text1"/>
          <w:sz w:val="24"/>
          <w:szCs w:val="24"/>
        </w:rPr>
        <w:t>-</w:t>
      </w:r>
      <w:r w:rsidR="00D53AEE" w:rsidRPr="006410B4">
        <w:rPr>
          <w:rFonts w:ascii="Book Antiqua" w:eastAsia="Times New Roman" w:hAnsi="Book Antiqua" w:cs="Times New Roman"/>
          <w:color w:val="000000" w:themeColor="text1"/>
          <w:sz w:val="24"/>
          <w:szCs w:val="24"/>
        </w:rPr>
        <w:t>one of the pathogenetic components of PH. W</w:t>
      </w:r>
      <w:r w:rsidR="00BF498E" w:rsidRPr="006410B4">
        <w:rPr>
          <w:rFonts w:ascii="Book Antiqua" w:eastAsia="Times New Roman" w:hAnsi="Book Antiqua" w:cs="Times New Roman"/>
          <w:color w:val="000000" w:themeColor="text1"/>
          <w:sz w:val="24"/>
          <w:szCs w:val="24"/>
        </w:rPr>
        <w:t xml:space="preserve">e have demonstrated </w:t>
      </w:r>
      <w:r w:rsidR="00C34780" w:rsidRPr="006410B4">
        <w:rPr>
          <w:rFonts w:ascii="Book Antiqua" w:eastAsia="Times New Roman" w:hAnsi="Book Antiqua" w:cs="Times New Roman"/>
          <w:color w:val="000000" w:themeColor="text1"/>
          <w:sz w:val="24"/>
          <w:szCs w:val="24"/>
        </w:rPr>
        <w:t>differences</w:t>
      </w:r>
      <w:r w:rsidR="00BF498E" w:rsidRPr="006410B4">
        <w:rPr>
          <w:rFonts w:ascii="Book Antiqua" w:eastAsia="Times New Roman" w:hAnsi="Book Antiqua" w:cs="Times New Roman"/>
          <w:color w:val="000000" w:themeColor="text1"/>
          <w:sz w:val="24"/>
          <w:szCs w:val="24"/>
        </w:rPr>
        <w:t xml:space="preserve"> of</w:t>
      </w:r>
      <w:r w:rsidR="00C34780" w:rsidRPr="006410B4">
        <w:rPr>
          <w:rFonts w:ascii="Book Antiqua" w:eastAsia="Times New Roman" w:hAnsi="Book Antiqua" w:cs="Times New Roman"/>
          <w:color w:val="000000" w:themeColor="text1"/>
          <w:sz w:val="24"/>
          <w:szCs w:val="24"/>
        </w:rPr>
        <w:t xml:space="preserve"> proangiogenic mediator </w:t>
      </w:r>
      <w:proofErr w:type="spellStart"/>
      <w:r w:rsidR="00BF498E" w:rsidRPr="006410B4">
        <w:rPr>
          <w:rFonts w:ascii="Book Antiqua" w:eastAsia="Times New Roman" w:hAnsi="Book Antiqua" w:cs="Times New Roman"/>
          <w:color w:val="000000" w:themeColor="text1"/>
          <w:sz w:val="24"/>
          <w:szCs w:val="24"/>
        </w:rPr>
        <w:t>PlGF</w:t>
      </w:r>
      <w:proofErr w:type="spellEnd"/>
      <w:r w:rsidR="00BF498E" w:rsidRPr="006410B4">
        <w:rPr>
          <w:rFonts w:ascii="Book Antiqua" w:eastAsia="Times New Roman" w:hAnsi="Book Antiqua" w:cs="Times New Roman"/>
          <w:color w:val="000000" w:themeColor="text1"/>
          <w:sz w:val="24"/>
          <w:szCs w:val="24"/>
        </w:rPr>
        <w:t xml:space="preserve"> and </w:t>
      </w:r>
      <w:r w:rsidR="00C34780" w:rsidRPr="006410B4">
        <w:rPr>
          <w:rFonts w:ascii="Book Antiqua" w:eastAsia="Times New Roman" w:hAnsi="Book Antiqua" w:cs="Times New Roman"/>
          <w:color w:val="000000" w:themeColor="text1"/>
          <w:sz w:val="24"/>
          <w:szCs w:val="24"/>
        </w:rPr>
        <w:t xml:space="preserve">angiogenesis inhibitor </w:t>
      </w:r>
      <w:proofErr w:type="spellStart"/>
      <w:r w:rsidR="00BF498E" w:rsidRPr="006410B4">
        <w:rPr>
          <w:rFonts w:ascii="Book Antiqua" w:eastAsia="Times New Roman" w:hAnsi="Book Antiqua" w:cs="Times New Roman"/>
          <w:color w:val="000000" w:themeColor="text1"/>
          <w:sz w:val="24"/>
          <w:szCs w:val="24"/>
        </w:rPr>
        <w:t>Nogo</w:t>
      </w:r>
      <w:proofErr w:type="spellEnd"/>
      <w:r w:rsidR="00BF498E" w:rsidRPr="006410B4">
        <w:rPr>
          <w:rFonts w:ascii="Book Antiqua" w:eastAsia="Times New Roman" w:hAnsi="Book Antiqua" w:cs="Times New Roman"/>
          <w:color w:val="000000" w:themeColor="text1"/>
          <w:sz w:val="24"/>
          <w:szCs w:val="24"/>
        </w:rPr>
        <w:t>-A</w:t>
      </w:r>
      <w:r w:rsidR="00C34780" w:rsidRPr="006410B4">
        <w:rPr>
          <w:rFonts w:ascii="Book Antiqua" w:eastAsia="Times New Roman" w:hAnsi="Book Antiqua" w:cs="Times New Roman"/>
          <w:color w:val="000000" w:themeColor="text1"/>
          <w:sz w:val="24"/>
          <w:szCs w:val="24"/>
        </w:rPr>
        <w:t xml:space="preserve"> plasma</w:t>
      </w:r>
      <w:r w:rsidR="00F454B8" w:rsidRPr="006410B4">
        <w:rPr>
          <w:rFonts w:ascii="Book Antiqua" w:eastAsia="Times New Roman" w:hAnsi="Book Antiqua" w:cs="Times New Roman"/>
          <w:color w:val="000000" w:themeColor="text1"/>
          <w:sz w:val="24"/>
          <w:szCs w:val="24"/>
        </w:rPr>
        <w:t xml:space="preserve"> levels</w:t>
      </w:r>
      <w:r w:rsidR="00BF498E" w:rsidRPr="006410B4">
        <w:rPr>
          <w:rFonts w:ascii="Book Antiqua" w:eastAsia="Times New Roman" w:hAnsi="Book Antiqua" w:cs="Times New Roman"/>
          <w:color w:val="000000" w:themeColor="text1"/>
          <w:sz w:val="24"/>
          <w:szCs w:val="24"/>
        </w:rPr>
        <w:t xml:space="preserve"> </w:t>
      </w:r>
      <w:r w:rsidR="00C34780" w:rsidRPr="006410B4">
        <w:rPr>
          <w:rFonts w:ascii="Book Antiqua" w:eastAsia="Times New Roman" w:hAnsi="Book Antiqua" w:cs="Times New Roman"/>
          <w:color w:val="000000" w:themeColor="text1"/>
          <w:sz w:val="24"/>
          <w:szCs w:val="24"/>
        </w:rPr>
        <w:t>in patients with</w:t>
      </w:r>
      <w:r w:rsidR="00BF498E" w:rsidRPr="006410B4">
        <w:rPr>
          <w:rFonts w:ascii="Book Antiqua" w:eastAsia="Times New Roman" w:hAnsi="Book Antiqua" w:cs="Times New Roman"/>
          <w:color w:val="000000" w:themeColor="text1"/>
          <w:sz w:val="24"/>
          <w:szCs w:val="24"/>
        </w:rPr>
        <w:t xml:space="preserve"> liver cirrhosis</w:t>
      </w:r>
      <w:r w:rsidR="00C34780" w:rsidRPr="006410B4">
        <w:rPr>
          <w:rFonts w:ascii="Book Antiqua" w:eastAsia="Times New Roman" w:hAnsi="Book Antiqua" w:cs="Times New Roman"/>
          <w:color w:val="000000" w:themeColor="text1"/>
          <w:sz w:val="24"/>
          <w:szCs w:val="24"/>
        </w:rPr>
        <w:t>, when compared to controls. We have also determine</w:t>
      </w:r>
      <w:r w:rsidR="009D61D4" w:rsidRPr="006410B4">
        <w:rPr>
          <w:rFonts w:ascii="Book Antiqua" w:eastAsia="Times New Roman" w:hAnsi="Book Antiqua" w:cs="Times New Roman"/>
          <w:color w:val="000000" w:themeColor="text1"/>
          <w:sz w:val="24"/>
          <w:szCs w:val="24"/>
        </w:rPr>
        <w:t>d</w:t>
      </w:r>
      <w:r w:rsidR="00C34780" w:rsidRPr="006410B4">
        <w:rPr>
          <w:rFonts w:ascii="Book Antiqua" w:eastAsia="Times New Roman" w:hAnsi="Book Antiqua" w:cs="Times New Roman"/>
          <w:color w:val="000000" w:themeColor="text1"/>
          <w:sz w:val="24"/>
          <w:szCs w:val="24"/>
        </w:rPr>
        <w:t xml:space="preserve"> </w:t>
      </w:r>
      <w:r w:rsidR="001A428D" w:rsidRPr="006410B4">
        <w:rPr>
          <w:rFonts w:ascii="Book Antiqua" w:eastAsia="Times New Roman" w:hAnsi="Book Antiqua" w:cs="Times New Roman"/>
          <w:color w:val="000000" w:themeColor="text1"/>
          <w:sz w:val="24"/>
          <w:szCs w:val="24"/>
        </w:rPr>
        <w:t>a</w:t>
      </w:r>
      <w:r w:rsidR="00C34780" w:rsidRPr="006410B4">
        <w:rPr>
          <w:rFonts w:ascii="Book Antiqua" w:eastAsia="Times New Roman" w:hAnsi="Book Antiqua" w:cs="Times New Roman"/>
          <w:color w:val="000000" w:themeColor="text1"/>
          <w:sz w:val="24"/>
          <w:szCs w:val="24"/>
        </w:rPr>
        <w:t xml:space="preserve"> clear correlation of these mediators to PH</w:t>
      </w:r>
      <w:r w:rsidR="00BF498E" w:rsidRPr="006410B4">
        <w:rPr>
          <w:rFonts w:ascii="Book Antiqua" w:eastAsia="Times New Roman" w:hAnsi="Book Antiqua" w:cs="Times New Roman"/>
          <w:color w:val="000000" w:themeColor="text1"/>
          <w:sz w:val="24"/>
          <w:szCs w:val="24"/>
        </w:rPr>
        <w:t xml:space="preserve"> and complications of PH. Furthermore</w:t>
      </w:r>
      <w:r w:rsidR="001A428D" w:rsidRPr="006410B4">
        <w:rPr>
          <w:rFonts w:ascii="Book Antiqua" w:eastAsia="Times New Roman" w:hAnsi="Book Antiqua" w:cs="Times New Roman"/>
          <w:color w:val="000000" w:themeColor="text1"/>
          <w:sz w:val="24"/>
          <w:szCs w:val="24"/>
        </w:rPr>
        <w:t>,</w:t>
      </w:r>
      <w:r w:rsidR="00BF498E" w:rsidRPr="006410B4">
        <w:rPr>
          <w:rFonts w:ascii="Book Antiqua" w:eastAsia="Times New Roman" w:hAnsi="Book Antiqua" w:cs="Times New Roman"/>
          <w:color w:val="000000" w:themeColor="text1"/>
          <w:sz w:val="24"/>
          <w:szCs w:val="24"/>
        </w:rPr>
        <w:t xml:space="preserve"> we have for the first time demonstrated that </w:t>
      </w:r>
      <w:r w:rsidR="003034A5" w:rsidRPr="006410B4">
        <w:rPr>
          <w:rFonts w:ascii="Book Antiqua" w:eastAsia="Times New Roman" w:hAnsi="Book Antiqua" w:cs="Times New Roman"/>
          <w:color w:val="000000" w:themeColor="text1"/>
          <w:sz w:val="24"/>
          <w:szCs w:val="24"/>
        </w:rPr>
        <w:t xml:space="preserve">plasma concentration of </w:t>
      </w:r>
      <w:proofErr w:type="spellStart"/>
      <w:r w:rsidR="00BF498E" w:rsidRPr="006410B4">
        <w:rPr>
          <w:rFonts w:ascii="Book Antiqua" w:eastAsia="Times New Roman" w:hAnsi="Book Antiqua" w:cs="Times New Roman"/>
          <w:color w:val="000000" w:themeColor="text1"/>
          <w:sz w:val="24"/>
          <w:szCs w:val="24"/>
        </w:rPr>
        <w:t>Nogo</w:t>
      </w:r>
      <w:proofErr w:type="spellEnd"/>
      <w:r w:rsidR="00BF498E" w:rsidRPr="006410B4">
        <w:rPr>
          <w:rFonts w:ascii="Book Antiqua" w:eastAsia="Times New Roman" w:hAnsi="Book Antiqua" w:cs="Times New Roman"/>
          <w:color w:val="000000" w:themeColor="text1"/>
          <w:sz w:val="24"/>
          <w:szCs w:val="24"/>
        </w:rPr>
        <w:t xml:space="preserve">-A is </w:t>
      </w:r>
      <w:r w:rsidR="009D61D4" w:rsidRPr="006410B4">
        <w:rPr>
          <w:rFonts w:ascii="Book Antiqua" w:eastAsia="Times New Roman" w:hAnsi="Book Antiqua" w:cs="Times New Roman"/>
          <w:color w:val="000000" w:themeColor="text1"/>
          <w:sz w:val="24"/>
          <w:szCs w:val="24"/>
        </w:rPr>
        <w:t xml:space="preserve">lower </w:t>
      </w:r>
      <w:r w:rsidR="00BF498E" w:rsidRPr="006410B4">
        <w:rPr>
          <w:rFonts w:ascii="Book Antiqua" w:eastAsia="Times New Roman" w:hAnsi="Book Antiqua" w:cs="Times New Roman"/>
          <w:color w:val="000000" w:themeColor="text1"/>
          <w:sz w:val="24"/>
          <w:szCs w:val="24"/>
        </w:rPr>
        <w:t xml:space="preserve">in liver cirrhosis and PH, as well as the predictive values of plasma </w:t>
      </w:r>
      <w:proofErr w:type="spellStart"/>
      <w:r w:rsidR="00BF498E" w:rsidRPr="006410B4">
        <w:rPr>
          <w:rFonts w:ascii="Book Antiqua" w:eastAsia="Times New Roman" w:hAnsi="Book Antiqua" w:cs="Times New Roman"/>
          <w:color w:val="000000" w:themeColor="text1"/>
          <w:sz w:val="24"/>
          <w:szCs w:val="24"/>
        </w:rPr>
        <w:t>PlGF</w:t>
      </w:r>
      <w:proofErr w:type="spellEnd"/>
      <w:r w:rsidR="00BF498E" w:rsidRPr="006410B4">
        <w:rPr>
          <w:rFonts w:ascii="Book Antiqua" w:eastAsia="Times New Roman" w:hAnsi="Book Antiqua" w:cs="Times New Roman"/>
          <w:color w:val="000000" w:themeColor="text1"/>
          <w:sz w:val="24"/>
          <w:szCs w:val="24"/>
        </w:rPr>
        <w:t xml:space="preserve"> and </w:t>
      </w:r>
      <w:proofErr w:type="spellStart"/>
      <w:r w:rsidR="00BF498E" w:rsidRPr="006410B4">
        <w:rPr>
          <w:rFonts w:ascii="Book Antiqua" w:eastAsia="Times New Roman" w:hAnsi="Book Antiqua" w:cs="Times New Roman"/>
          <w:color w:val="000000" w:themeColor="text1"/>
          <w:sz w:val="24"/>
          <w:szCs w:val="24"/>
        </w:rPr>
        <w:t>Nogo</w:t>
      </w:r>
      <w:proofErr w:type="spellEnd"/>
      <w:r w:rsidR="00BF498E" w:rsidRPr="006410B4">
        <w:rPr>
          <w:rFonts w:ascii="Book Antiqua" w:eastAsia="Times New Roman" w:hAnsi="Book Antiqua" w:cs="Times New Roman"/>
          <w:color w:val="000000" w:themeColor="text1"/>
          <w:sz w:val="24"/>
          <w:szCs w:val="24"/>
        </w:rPr>
        <w:t>-A</w:t>
      </w:r>
      <w:r w:rsidR="00F454B8" w:rsidRPr="006410B4">
        <w:rPr>
          <w:rFonts w:ascii="Book Antiqua" w:eastAsia="Times New Roman" w:hAnsi="Book Antiqua" w:cs="Times New Roman"/>
          <w:color w:val="000000" w:themeColor="text1"/>
          <w:sz w:val="24"/>
          <w:szCs w:val="24"/>
        </w:rPr>
        <w:t xml:space="preserve"> levels</w:t>
      </w:r>
      <w:r w:rsidR="00BF498E" w:rsidRPr="006410B4">
        <w:rPr>
          <w:rFonts w:ascii="Book Antiqua" w:eastAsia="Times New Roman" w:hAnsi="Book Antiqua" w:cs="Times New Roman"/>
          <w:color w:val="000000" w:themeColor="text1"/>
          <w:sz w:val="24"/>
          <w:szCs w:val="24"/>
        </w:rPr>
        <w:t xml:space="preserve"> in diagnosing CSPH, SPH and PH complications. This information provides further insights in the pathogenesis of PH in </w:t>
      </w:r>
      <w:r w:rsidR="00BF498E" w:rsidRPr="006410B4">
        <w:rPr>
          <w:rFonts w:ascii="Book Antiqua" w:eastAsia="Times New Roman" w:hAnsi="Book Antiqua" w:cs="Times New Roman"/>
          <w:color w:val="000000" w:themeColor="text1"/>
          <w:sz w:val="24"/>
          <w:szCs w:val="24"/>
        </w:rPr>
        <w:lastRenderedPageBreak/>
        <w:t xml:space="preserve">liver cirrhosis and might be useful in creating new </w:t>
      </w:r>
      <w:r w:rsidR="00F454B8" w:rsidRPr="006410B4">
        <w:rPr>
          <w:rFonts w:ascii="Book Antiqua" w:eastAsia="Times New Roman" w:hAnsi="Book Antiqua" w:cs="Times New Roman"/>
          <w:color w:val="000000" w:themeColor="text1"/>
          <w:sz w:val="24"/>
          <w:szCs w:val="24"/>
        </w:rPr>
        <w:t>noninvasive</w:t>
      </w:r>
      <w:r w:rsidR="00BF498E" w:rsidRPr="006410B4">
        <w:rPr>
          <w:rFonts w:ascii="Book Antiqua" w:eastAsia="Times New Roman" w:hAnsi="Book Antiqua" w:cs="Times New Roman"/>
          <w:color w:val="000000" w:themeColor="text1"/>
          <w:sz w:val="24"/>
          <w:szCs w:val="24"/>
        </w:rPr>
        <w:t xml:space="preserve"> diagnostic models for CSPH, as it is one of the most important prognostic factors for patients with liver cirrhosis.</w:t>
      </w:r>
    </w:p>
    <w:p w:rsidR="00C42FE6" w:rsidRPr="006410B4" w:rsidRDefault="00BF498E"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Data of recent research suggests that angiogenesis plays an </w:t>
      </w:r>
      <w:r w:rsidR="00164A5C" w:rsidRPr="006410B4">
        <w:rPr>
          <w:rFonts w:ascii="Book Antiqua" w:eastAsia="Times New Roman" w:hAnsi="Book Antiqua" w:cs="Times New Roman"/>
          <w:color w:val="000000" w:themeColor="text1"/>
          <w:sz w:val="24"/>
          <w:szCs w:val="24"/>
        </w:rPr>
        <w:t>important</w:t>
      </w:r>
      <w:r w:rsidRPr="006410B4">
        <w:rPr>
          <w:rFonts w:ascii="Book Antiqua" w:eastAsia="Times New Roman" w:hAnsi="Book Antiqua" w:cs="Times New Roman"/>
          <w:color w:val="000000" w:themeColor="text1"/>
          <w:sz w:val="24"/>
          <w:szCs w:val="24"/>
        </w:rPr>
        <w:t xml:space="preserve"> role in the development of PH by contributing to all pathogenetic processes involved in the formation of PH and its complications: an increased intra-hepatic resistance due to the establishment of abnormal liver </w:t>
      </w:r>
      <w:r w:rsidR="00C7413E" w:rsidRPr="006410B4">
        <w:rPr>
          <w:rFonts w:ascii="Book Antiqua" w:eastAsia="Times New Roman" w:hAnsi="Book Antiqua" w:cs="Times New Roman"/>
          <w:color w:val="000000" w:themeColor="text1"/>
          <w:sz w:val="24"/>
          <w:szCs w:val="24"/>
        </w:rPr>
        <w:t>angioarchitecture</w:t>
      </w:r>
      <w:r w:rsidRPr="006410B4">
        <w:rPr>
          <w:rFonts w:ascii="Book Antiqua" w:eastAsia="Times New Roman" w:hAnsi="Book Antiqua" w:cs="Times New Roman"/>
          <w:color w:val="000000" w:themeColor="text1"/>
          <w:sz w:val="24"/>
          <w:szCs w:val="24"/>
        </w:rPr>
        <w:t xml:space="preserve">, portosystemic collateralization and possibly development and </w:t>
      </w:r>
      <w:r w:rsidR="005D0551" w:rsidRPr="006410B4">
        <w:rPr>
          <w:rFonts w:ascii="Book Antiqua" w:eastAsia="Times New Roman" w:hAnsi="Book Antiqua" w:cs="Times New Roman"/>
          <w:color w:val="000000" w:themeColor="text1"/>
          <w:sz w:val="24"/>
          <w:szCs w:val="24"/>
        </w:rPr>
        <w:t>maintenance</w:t>
      </w:r>
      <w:r w:rsidRPr="006410B4">
        <w:rPr>
          <w:rFonts w:ascii="Book Antiqua" w:eastAsia="Times New Roman" w:hAnsi="Book Antiqua" w:cs="Times New Roman"/>
          <w:color w:val="000000" w:themeColor="text1"/>
          <w:sz w:val="24"/>
          <w:szCs w:val="24"/>
        </w:rPr>
        <w:t xml:space="preserve"> of splanchnic hyperemia as well as hyperdynamic circulation</w:t>
      </w:r>
      <w:r w:rsidR="007D4D29" w:rsidRPr="006410B4">
        <w:rPr>
          <w:rFonts w:ascii="Book Antiqua" w:eastAsia="Times New Roman" w:hAnsi="Book Antiqua" w:cs="Times New Roman"/>
          <w:color w:val="000000" w:themeColor="text1"/>
          <w:sz w:val="24"/>
          <w:szCs w:val="24"/>
          <w:vertAlign w:val="superscript"/>
        </w:rPr>
        <w:t>[</w:t>
      </w:r>
      <w:r w:rsidR="007D4D29" w:rsidRPr="006410B4">
        <w:rPr>
          <w:rStyle w:val="FootnoteReference"/>
          <w:rFonts w:ascii="Book Antiqua" w:eastAsia="Times New Roman" w:hAnsi="Book Antiqua" w:cs="Times New Roman"/>
          <w:color w:val="000000" w:themeColor="text1"/>
          <w:sz w:val="24"/>
          <w:szCs w:val="24"/>
        </w:rPr>
        <w:fldChar w:fldCharType="begin" w:fldLock="1"/>
      </w:r>
      <w:r w:rsidR="007D4D29" w:rsidRPr="006410B4">
        <w:rPr>
          <w:rFonts w:ascii="Book Antiqua" w:eastAsia="Times New Roman" w:hAnsi="Book Antiqua" w:cs="Times New Roman"/>
          <w:color w:val="000000" w:themeColor="text1"/>
          <w:sz w:val="24"/>
          <w:szCs w:val="24"/>
        </w:rPr>
        <w:instrText>ADDIN CSL_CITATION {"citationItems":[{"id":"ITEM-1","itemData":{"DOI":"10.1016/j.jhep.2010.03.021","ISBN":"1600-0641 (Electronic)\r0168-8278 (Linking)","ISSN":"01688278","PMID":"20561700","abstract":"Portal hypertension is the main cause of complications in patients with chronic liver disease. Over the past 25 years, progress in the understanding of the pathophysiology of portal hypertension was followed by the introduction of an effective pharmacological therapy, consisting mainly of treatments aimed at correcting the increased splanchnic blood flow. It is only recently that this paradigm has been changed. Progress in our knowledge of the mechanisms of increased resistance to portal blood flow, of the formation of portal-systemic collaterals, and of mechanisms other than vasodilatation maintaining the increased splanchnic blood flow have opened entirely new perspectives for developing more effective treatment strategies. This is the aim of the current review, which focuses on: (a) the modulation of hepatic vascular resistance by correcting the increased hepatic vascular tone due to hepatic endothelial dysfunction, and (b) correcting the abnormal angiogenesis associated with portal hypertension, which contributes to liver inflammation and fibrogenesis, to the hyperkinetic splanchnic circulation, and to the formation of portal-systemic collaterals and varices. © 2010 European Association for the Study of the Liver. Published by Elsevier B.V. All rights reserved.","author":[{"dropping-particle":"","family":"Bosch","given":"Jaume","non-dropping-particle":"","parse-names":false,"suffix":""},{"dropping-particle":"","family":"Abraldes","given":"Juan G.","non-dropping-particle":"","parse-names":false,"suffix":""},{"dropping-particle":"","family":"Fernández","given":"Mercedes","non-dropping-particle":"","parse-names":false,"suffix":""},{"dropping-particle":"","family":"García-Pagán","given":"Juan Carlos","non-dropping-particle":"","parse-names":false,"suffix":""}],"container-title":"Journal of Hepatology","id":"ITEM-1","issue":"3","issued":{"date-parts":[["2010"]]},"page":"558-567","publisher":"European Association for the Study of the Liver","title":"Hepatic endothelial dysfunction and abnormal angiogenesis: New targets in the treatment of portal hypertension","type":"article-journal","volume":"53"},"uris":["http://www.mendeley.com/documents/?uuid=c0311a08-6d0a-4483-a209-eaf1a5510462"]},{"id":"ITEM-2","itemData":{"DOI":"10.5604/16652681.1198799","ISBN":"1665-2681","ISSN":"16652681","PMID":"27049484","abstract":"In patients with advanced liver disease with portal hypertension, portal-systemic collaterals contribute to circulatory disturbance, gastrointestinal hemorrhage, hepatic encephalopathy, ascites, hepatopulmonary syndrome and portopulmonary hypertension. Angiogenesis has a pivotal role in the formation of portal-systemic shunts. Recent research has defined many of the mediators and mechanisms involved in this angiogenic process, linking the central roles of hepatic stellate cells and endothelial cells. Studies of animal models have demonstrated the potential therapeutic impact of drugs to inhibit angiogenesis in cirrhosis. For example, inhibition of VEGF reduces portal pressure, hyperdynamic splanchnic circulation, portosystemic collateralization and liver fibrosis. An improved understanding of the role of other angiogenic factors provides hope for a novel targeted therapy for portal hypertension with a tolerable adverse effect profile.","author":[{"dropping-particle":"","family":"Gana","given":"Juan Cristóbal","non-dropping-particle":"","parse-names":false,"suffix":""},{"dropping-particle":"","family":"Serrano","given":"Carolina A.","non-dropping-particle":"","parse-names":false,"suffix":""},{"dropping-particle":"","family":"Ling","given":"Simon C.","non-dropping-particle":"","parse-names":false,"suffix":""}],"container-title":"Annals of Hepatology","id":"ITEM-2","issue":"3","issued":{"date-parts":[["2016"]]},"page":"303-313","title":"Angiogenesis and portal-systemic collaterals in portal hypertension","type":"article-journal","volume":"15"},"uris":["http://www.mendeley.com/documents/?uuid=45f061ab-8896-4669-87da-4b99d16ccd8e"]},{"id":"ITEM-3","itemData":{"DOI":"10.1016/j.jhep.2008.12.011","ISBN":"0168-8278 (Print)","ISSN":"01688278","PMID":"19157625","abstract":"Angiogenesis and disruption of liver vascular architecture have been linked to progression to cirrhosis and liver cancer (HCC) in chronic liver diseases, which contributes both to increased hepatic vascular resistance and portal hypertension and to decreased hepatocyte perfusion. On the other hand, recent evidence shows that angiogenesis modulates the formation of portal-systemic collaterals and the increased splanchnic blood flow which are involved in the life threatening complications of cirrhosis. Finally, angiogenesis plays a key role in the growth of tumours, suggesting that interference with angiogenesis may prevent or delay the development of HCC. This review summarizes current knowledge on the molecular mechanisms of liver angiogenesis and on the consequences of angiogenesis in chronic liver disease. On the other hand, it presents the different strategies that have been used in experimental models to counteract excessive angiogenesis and its potential role in preventing transition to cirrhosis, development of portal hypertension and its consequences, and its application in the treatment of hepatocellular carcinoma. © 2008.","author":[{"dropping-particle":"","family":"Fernández","given":"Mercedes","non-dropping-particle":"","parse-names":false,"suffix":""},{"dropping-particle":"","family":"Semela","given":"David","non-dropping-particle":"","parse-names":false,"suffix":""},{"dropping-particle":"","family":"Bruix","given":"Jordi","non-dropping-particle":"","parse-names":false,"suffix":""},{"dropping-particle":"","family":"Colle","given":"Isabelle","non-dropping-particle":"","parse-names":false,"suffix":""},{"dropping-particle":"","family":"Pinzani","given":"Massimo","non-dropping-particle":"","parse-names":false,"suffix":""},{"dropping-particle":"","family":"Bosch","given":"Jaume","non-dropping-particle":"","parse-names":false,"suffix":""}],"container-title":"Journal of Hepatology","id":"ITEM-3","issue":"3","issued":{"date-parts":[["2009"]]},"page":"604-620","title":"Angiogenesis in liver disease","type":"article-journal","volume":"50"},"uris":["http://www.mendeley.com/documents/?uuid=ec17b925-4609-439e-916f-534ddfa5e6d2"]}],"mendeley":{"formattedCitation":"&lt;sup&gt;7,15,20&lt;/sup&gt;","plainTextFormattedCitation":"7,15,20","previouslyFormattedCitation":"&lt;sup&gt;7,15,19&lt;/sup&gt;"},"properties":{"noteIndex":0},"schema":"https://github.com/citation-style-language/schema/raw/master/csl-citation.json"}</w:instrText>
      </w:r>
      <w:r w:rsidR="007D4D29" w:rsidRPr="006410B4">
        <w:rPr>
          <w:rStyle w:val="FootnoteReference"/>
          <w:rFonts w:ascii="Book Antiqua" w:eastAsia="Times New Roman" w:hAnsi="Book Antiqua" w:cs="Times New Roman"/>
          <w:color w:val="000000" w:themeColor="text1"/>
          <w:sz w:val="24"/>
          <w:szCs w:val="24"/>
        </w:rPr>
        <w:fldChar w:fldCharType="separate"/>
      </w:r>
      <w:r w:rsidR="007D4D29" w:rsidRPr="006410B4">
        <w:rPr>
          <w:rFonts w:ascii="Book Antiqua" w:eastAsia="Times New Roman" w:hAnsi="Book Antiqua" w:cs="Times New Roman"/>
          <w:color w:val="000000" w:themeColor="text1"/>
          <w:sz w:val="24"/>
          <w:szCs w:val="24"/>
          <w:vertAlign w:val="superscript"/>
        </w:rPr>
        <w:t>7,15,20</w:t>
      </w:r>
      <w:r w:rsidR="007D4D29" w:rsidRPr="006410B4">
        <w:rPr>
          <w:rStyle w:val="FootnoteReference"/>
          <w:rFonts w:ascii="Book Antiqua" w:eastAsia="Times New Roman" w:hAnsi="Book Antiqua" w:cs="Times New Roman"/>
          <w:color w:val="000000" w:themeColor="text1"/>
          <w:sz w:val="24"/>
          <w:szCs w:val="24"/>
        </w:rPr>
        <w:fldChar w:fldCharType="end"/>
      </w:r>
      <w:r w:rsidR="007D4D29" w:rsidRPr="006410B4">
        <w:rPr>
          <w:rFonts w:ascii="Book Antiqua" w:eastAsia="Times New Roman" w:hAnsi="Book Antiqua" w:cs="Times New Roman"/>
          <w:color w:val="000000" w:themeColor="text1"/>
          <w:sz w:val="24"/>
          <w:szCs w:val="24"/>
          <w:vertAlign w:val="superscript"/>
        </w:rPr>
        <w:t>]</w:t>
      </w:r>
      <w:r w:rsidR="00FB65D0"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This evidence supporting the role of angiogenesis in the pathogenesis of PH </w:t>
      </w:r>
      <w:r w:rsidR="009D61D4" w:rsidRPr="006410B4">
        <w:rPr>
          <w:rFonts w:ascii="Book Antiqua" w:eastAsia="Times New Roman" w:hAnsi="Book Antiqua" w:cs="Times New Roman"/>
          <w:color w:val="000000" w:themeColor="text1"/>
          <w:sz w:val="24"/>
          <w:szCs w:val="24"/>
        </w:rPr>
        <w:t>a</w:t>
      </w:r>
      <w:r w:rsidRPr="006410B4">
        <w:rPr>
          <w:rFonts w:ascii="Book Antiqua" w:eastAsia="Times New Roman" w:hAnsi="Book Antiqua" w:cs="Times New Roman"/>
          <w:color w:val="000000" w:themeColor="text1"/>
          <w:sz w:val="24"/>
          <w:szCs w:val="24"/>
        </w:rPr>
        <w:t>rise</w:t>
      </w:r>
      <w:r w:rsidR="009D61D4" w:rsidRPr="006410B4">
        <w:rPr>
          <w:rFonts w:ascii="Book Antiqua" w:eastAsia="Times New Roman" w:hAnsi="Book Antiqua" w:cs="Times New Roman"/>
          <w:color w:val="000000" w:themeColor="text1"/>
          <w:sz w:val="24"/>
          <w:szCs w:val="24"/>
        </w:rPr>
        <w:t>s</w:t>
      </w:r>
      <w:r w:rsidRPr="006410B4">
        <w:rPr>
          <w:rFonts w:ascii="Book Antiqua" w:eastAsia="Times New Roman" w:hAnsi="Book Antiqua" w:cs="Times New Roman"/>
          <w:color w:val="000000" w:themeColor="text1"/>
          <w:sz w:val="24"/>
          <w:szCs w:val="24"/>
        </w:rPr>
        <w:t xml:space="preserve"> from the animal and human studies involving a potent proangiogenic factor</w:t>
      </w:r>
      <w:r w:rsidR="00C232BE">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VEGF. VEGF has been shown to be overexpressed in the splanchnic circulation in animal models of PH</w:t>
      </w:r>
      <w:r w:rsidR="007D4D29" w:rsidRPr="006410B4">
        <w:rPr>
          <w:rFonts w:ascii="Book Antiqua" w:eastAsia="Times New Roman" w:hAnsi="Book Antiqua" w:cs="Times New Roman"/>
          <w:color w:val="000000" w:themeColor="text1"/>
          <w:sz w:val="24"/>
          <w:szCs w:val="24"/>
          <w:vertAlign w:val="superscript"/>
        </w:rPr>
        <w:t>[</w:t>
      </w:r>
      <w:r w:rsidR="007D4D29" w:rsidRPr="006410B4">
        <w:rPr>
          <w:rStyle w:val="FootnoteReference"/>
          <w:rFonts w:ascii="Book Antiqua" w:eastAsia="Times New Roman" w:hAnsi="Book Antiqua" w:cs="Times New Roman"/>
          <w:color w:val="000000" w:themeColor="text1"/>
          <w:sz w:val="24"/>
          <w:szCs w:val="24"/>
        </w:rPr>
        <w:fldChar w:fldCharType="begin" w:fldLock="1"/>
      </w:r>
      <w:r w:rsidR="007D4D29" w:rsidRPr="006410B4">
        <w:rPr>
          <w:rFonts w:ascii="Book Antiqua" w:eastAsia="Times New Roman" w:hAnsi="Book Antiqua" w:cs="Times New Roman"/>
          <w:color w:val="000000" w:themeColor="text1"/>
          <w:sz w:val="24"/>
          <w:szCs w:val="24"/>
        </w:rPr>
        <w:instrText>ADDIN CSL_CITATION {"citationItems":[{"id":"ITEM-1","itemData":{"DOI":"10.1053/j.gastro.2003.12.012","ISBN":"0016-5085 (Print)","ISSN":"00165085","PMID":"14988842","abstract":"Background &amp; Aims: Portal hypertension is a frequent syndrome that develops in patients with chronic liver diseases, which are one of the most common causes of death in adults worldwide. The most serious clinical consequences of portal hypertension are related to the development of portal-systemic collateral vessels. Those include hepatic encephalopathy and massive bleeding from ruptured gastroesophageal varices. The high relevance of these collateral vessels prompted us to investigate the mechanism underlying its formation in a murine model of portal hypertension. Methods: To determine whether the development of portal-systemic collateral vessels in portal hypertension is a vascular endothelial growth factor (VEGF)-dependent angiogenic process, we assessed the effects of a monoclonal antibody against VEGF receptor-2 on the formation of these collateral vessels in mice with portal hypertension induced by partial portal vein ligation. We also studied the effects of a selective and specific inhibitor of VEGF receptor-2 autophosphorylation in partial portal vein-ligated rats. Results: A significant and marked inhibition in the formation of portal-systemic collateral vessels was observed in both partial portal vein-ligated mice and rats treated with anti-VEGF receptor-2 monoclonal antibodies or with the inhibitor of VEGF receptor-2 autophosphorylation, respectively, compared with animals receiving control solutions. Conclusions: Our present study shows that formation of collateral vessels is an angiogenesis-dependent process that can be markedly inhibited by blockade of the VEGF signaling pathway. These findings will make angiogenesis a focal point of research in portal hypertension and may lead to novel approaches for therapy of patients with chronic liver diseases.","author":[{"dropping-particle":"","family":"Fernandez","given":"Mercedes","non-dropping-particle":"","parse-names":false,"suffix":""},{"dropping-particle":"","family":"Vizzutti","given":"Francesco","non-dropping-particle":"","parse-names":false,"suffix":""},{"dropping-particle":"","family":"Garcia-Pagan","given":"Juan Carlos","non-dropping-particle":"","parse-names":false,"suffix":""},{"dropping-particle":"","family":"Rodes","given":"Juan","non-dropping-particle":"","parse-names":false,"suffix":""},{"dropping-particle":"","family":"Bosch","given":"Jaime","non-dropping-particle":"","parse-names":false,"suffix":""}],"container-title":"Gastroenterology","id":"ITEM-1","issue":"3","issued":{"date-parts":[["2004"]]},"page":"886-894","title":"Anti-VEGF Receptor-2 Monoclonal Antibody Prevents Portal-Systemic Collateral Vessel Formation in Portal Hypertensive Mice","type":"article-journal","volume":"126"},"uris":["http://www.mendeley.com/documents/?uuid=2e841e34-4c87-4ff6-852d-7c0dcbf0128b"]},{"id":"ITEM-2","itemData":{"DOI":"10.1016/j.jhep.2005.02.022","ISBN":"0168-8278","ISSN":"01688278","PMID":"15893841","abstract":"Background/Aims: Portal hypertension is characterized by the development of a hyperdynamic splanchnic circulation. To determine whether this process is angiogenesis-dependent, we assessed the effects of SU5416, a specific inhibitor of VEGF receptor-2, in portal hypertensive rats. Methods: Rats with portal hypertension induced by partial portal vein ligation were treated with SU5416 or vehicle during 5 days. Then, hemodynamic studies were performed using radioactive microspheres. Protein expressions of CD31, VEGF receptor-2 and VEGF were also determined by Western blotting. Results: Treatment of portal hypertensive rats with SU5416 resulted in a significant and marked decrease (by 44%) in portal venous inflow, and increases in splanchnic arteriolar resistance (by 68%) and portal venous resistance (by 93%). In addition, SU5416 administration significantly inhibited the formation of portal-systemic collateral vessels (52% inhibition), as well as the splanchnic CD31 and VEGF receptor-2 protein expressions in portal hypertensive rats, compared with those receiving vehicle. Conclusions: This study demonstrates that the development of hyperdynamic splanchnic circulation and the formation of portal-systemic collateral vessels in portal hypertensive rats are angiogenesis-dependent processes that can be markedly inhibited by blockade of the VEGF signaling pathway. Therefore, modulation of angiogenesis may represent a potential target in the treatment of portal hypertension. © 2005 European Association for the Study of the Liver. Published by Elsevier B.V. All rights reserved.","author":[{"dropping-particle":"","family":"Fernandez","given":"Mercedes","non-dropping-particle":"","parse-names":false,"suffix":""},{"dropping-particle":"","family":"Mejias","given":"Marc","non-dropping-particle":"","parse-names":false,"suffix":""},{"dropping-particle":"","family":"Angermayr","given":"Bernhard","non-dropping-particle":"","parse-names":false,"suffix":""},{"dropping-particle":"","family":"Garcia-Pagan","given":"Juan Carlos","non-dropping-particle":"","parse-names":false,"suffix":""},{"dropping-particle":"","family":"Rodés","given":"Juan","non-dropping-particle":"","parse-names":false,"suffix":""},{"dropping-particle":"","family":"Bosch","given":"Jaime","non-dropping-particle":"","parse-names":false,"suffix":""}],"container-title":"Journal of Hepatology","id":"ITEM-2","issue":"1","issued":{"date-parts":[["2005"]]},"page":"98-103","title":"Inhibition of VEGF receptor-2 decreases the development of hyperdynamic splanchnic circulation and portal-systemic collateral vessels in portal hypertensive rats","type":"article","volume":"43"},"uris":["http://www.mendeley.com/documents/?uuid=96b791fd-846e-4e7c-8660-75b5063da56d"]}],"mendeley":{"formattedCitation":"&lt;sup&gt;11,12&lt;/sup&gt;","plainTextFormattedCitation":"11,12","previouslyFormattedCitation":"&lt;sup&gt;11,12&lt;/sup&gt;"},"properties":{"noteIndex":0},"schema":"https://github.com/citation-style-language/schema/raw/master/csl-citation.json"}</w:instrText>
      </w:r>
      <w:r w:rsidR="007D4D29" w:rsidRPr="006410B4">
        <w:rPr>
          <w:rStyle w:val="FootnoteReference"/>
          <w:rFonts w:ascii="Book Antiqua" w:eastAsia="Times New Roman" w:hAnsi="Book Antiqua" w:cs="Times New Roman"/>
          <w:color w:val="000000" w:themeColor="text1"/>
          <w:sz w:val="24"/>
          <w:szCs w:val="24"/>
        </w:rPr>
        <w:fldChar w:fldCharType="separate"/>
      </w:r>
      <w:r w:rsidR="007D4D29" w:rsidRPr="006410B4">
        <w:rPr>
          <w:rFonts w:ascii="Book Antiqua" w:eastAsia="Times New Roman" w:hAnsi="Book Antiqua" w:cs="Times New Roman"/>
          <w:color w:val="000000" w:themeColor="text1"/>
          <w:sz w:val="24"/>
          <w:szCs w:val="24"/>
          <w:vertAlign w:val="superscript"/>
        </w:rPr>
        <w:t>11,12</w:t>
      </w:r>
      <w:r w:rsidR="007D4D29" w:rsidRPr="006410B4">
        <w:rPr>
          <w:rStyle w:val="FootnoteReference"/>
          <w:rFonts w:ascii="Book Antiqua" w:eastAsia="Times New Roman" w:hAnsi="Book Antiqua" w:cs="Times New Roman"/>
          <w:color w:val="000000" w:themeColor="text1"/>
          <w:sz w:val="24"/>
          <w:szCs w:val="24"/>
        </w:rPr>
        <w:fldChar w:fldCharType="end"/>
      </w:r>
      <w:r w:rsidR="007D4D29"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an increased VEGF mediated angiogenesis was observed in animal models as well as cirrhotic patients with PH</w:t>
      </w:r>
      <w:r w:rsidR="007D4D29" w:rsidRPr="006410B4">
        <w:rPr>
          <w:rFonts w:ascii="Book Antiqua" w:eastAsia="Times New Roman" w:hAnsi="Book Antiqua" w:cs="Times New Roman"/>
          <w:color w:val="000000" w:themeColor="text1"/>
          <w:sz w:val="24"/>
          <w:szCs w:val="24"/>
          <w:vertAlign w:val="superscript"/>
        </w:rPr>
        <w:t>[</w:t>
      </w:r>
      <w:r w:rsidR="007D4D29" w:rsidRPr="006410B4">
        <w:rPr>
          <w:rStyle w:val="FootnoteReference"/>
          <w:rFonts w:ascii="Book Antiqua" w:eastAsia="Times New Roman" w:hAnsi="Book Antiqua" w:cs="Times New Roman"/>
          <w:color w:val="000000" w:themeColor="text1"/>
          <w:sz w:val="24"/>
          <w:szCs w:val="24"/>
        </w:rPr>
        <w:fldChar w:fldCharType="begin" w:fldLock="1"/>
      </w:r>
      <w:r w:rsidR="007D4D29" w:rsidRPr="006410B4">
        <w:rPr>
          <w:rFonts w:ascii="Book Antiqua" w:eastAsia="Times New Roman" w:hAnsi="Book Antiqua" w:cs="Times New Roman"/>
          <w:color w:val="000000" w:themeColor="text1"/>
          <w:sz w:val="24"/>
          <w:szCs w:val="24"/>
        </w:rPr>
        <w:instrText>ADDIN CSL_CITATION {"citationItems":[{"id":"ITEM-1","itemData":{"DOI":"10.1016/S0168-8278(00)00064-7","ISSN":"01688278","PMID":"11434609","abstract":"Background: Angiogenesis plays a pivotal role in many processes. Here, we studied whether angiogenesis to basic fibroblast growth factor (bFGF) in normal and portal hypertensive rats requires nitric oxide (NO). Methods: To measure angiogenesis in vivo, two Teflon rings filled with collagen I (Vitrogen 100®) were fixed in the mesenteric cavity at day 0, with one supplemented with bFGF (100 ng). Portal hypertension was induced by partial portal vein ligation (PVL). Sham-operated rats served as controls (CON). The role of NO was tested by adding the NO formation antagonist Nω-nitro-L-arginine (NNA; 3.3 mg/kg per day) to the drinking water. After 16 days, rings were explanted and embedded, and vessels were morphometrically counted. Results: bFGF significantly stimulated vessel formation per implant in CON rats (from 624 ± 97 without stimulation to 1123 ± 171, n = 11, P &lt; 0.01), but not in PVL rats (from 1106 ± 174 without stimulation to 1046 ± 202, n = 9). Without stimulation, numbers of ingrown vessels were significantly (P &lt; 0.05) higher in PVL compared to CON rats. NNA substantially inhibited angiogenesis in both groups (P &lt; 0.01). Vessel numbers were 202 ± 124 for PVL (n = 5) and 197 ± 14 for CON (n = 5) animals. bFGF did not reverse angiogenesis prevented by NNA (373 ± 98 for PVL, 265 ± 26 for CON, n = 5 per group, NS). Conclusions: NO formation inhibition diminishes both unstimulated and bFGF-stimulated angiogenesis in CON rats. Moreover, bFGF cannot rescue NNA-inhibited angiogenesis in PVL rats. © 2001 European Association for the Study of the Liver. Published by Elsevier Science B.V.","author":[{"dropping-particle":"","family":"Sieber","given":"Cornel C.","non-dropping-particle":"","parse-names":false,"suffix":""},{"dropping-particle":"","family":"Sumanovski","given":"Lazar T.","non-dropping-particle":"","parse-names":false,"suffix":""},{"dropping-particle":"","family":"Stumm","given":"Michael","non-dropping-particle":"","parse-names":false,"suffix":""},{"dropping-particle":"","family":"Kooij","given":"Maaike","non-dropping-particle":"Van Der","parse-names":false,"suffix":""},{"dropping-particle":"","family":"Battegay","given":"Edouard","non-dropping-particle":"","parse-names":false,"suffix":""}],"container-title":"Journal of Hepatology","id":"ITEM-1","issue":"5","issued":{"date-parts":[["2001"]]},"page":"644-650","title":"In vivo angiogenesis in normal and portal hypertensive rats: Role of basic fibroblast growth factor and nitric oxide","type":"article","volume":"34"},"uris":["http://www.mendeley.com/documents/?uuid=bc099cff-5af0-45a7-aae4-9a5839d531ca"]},{"id":"ITEM-2","itemData":{"DOI":"10.1053/jhep.2001.27093","ISBN":"0270-9139","ISSN":"02709139","PMID":"11526533","abstract":"Spontaneous bacterial peritonitis (SBP) is a common complication of cirrhotic patients with ascites that usually results in renal failure and death despite the efficacy of the current antibiotic therapy. The pathogenesis of these phenomena is poorly known but it has been related to the production of vasoactive cell mediators locally acting on the splanchnic vasculature. Because previous studies showed that peritoneal macrophages of cirrhotic patients may produce high quantities of vascular endothelial growth factor (VEGF), a powerful vessel permeabilizing agent, when stimulated by cytokines and bacterial lipopolysaccharide, the present study was aimed to seek whether peritoneal macrophages of SBP patients are induced to produce increased amounts of VEGF. Our results indicate that the production rate and the messenger RNA (mRNA) and protein expression of this substance are increased in macrophages of patients with SBP in comparison with those of noninfected cirrhotic patients. This characteristic feature is absent in circulating monocytes of these patients. Moreover, enhanced endothelial cell proliferation induced by conditioned medium of macrophages isolated from the ascites of patients with SBP is abolished by anti-VEGF antibody, and peritoneal tissue of cirrhotic patients expresses both VEGF receptors, Flt-1 and KDR. These results, therefore, are consistent with the concept that locally released macrophage-derived VEGF may result in increased vascular permeability and plasma leakage in the peritoneal vessels of cirrhotic patients with SBP.","author":[{"dropping-particle":"","family":"Cejudo-Martín","given":"Pilar","non-dropping-particle":"","parse-names":false,"suffix":""},{"dropping-particle":"","family":"Ros","given":"Josefa","non-dropping-particle":"","parse-names":false,"suffix":""},{"dropping-particle":"","family":"Navasa","given":"Miguel","non-dropping-particle":"","parse-names":false,"suffix":""},{"dropping-particle":"","family":"Fernández","given":"Javier","non-dropping-particle":"","parse-names":false,"suffix":""},{"dropping-particle":"","family":"Fernádez-Varo","given":"Guillermo","non-dropping-particle":"","parse-names":false,"suffix":""},{"dropping-particle":"","family":"Ruiz-del-Arbol","given":"Luis","non-dropping-particle":"","parse-names":false,"suffix":""},{"dropping-particle":"","family":"Rivera","given":"Francisca","non-dropping-particle":"","parse-names":false,"suffix":""},{"dropping-particle":"","family":"Arroyo","given":"Vicente","non-dropping-particle":"","parse-names":false,"suffix":""},{"dropping-particle":"","family":"Rodés","given":"Juan","non-dropping-particle":"","parse-names":false,"suffix":""},{"dropping-particle":"","family":"Jiménez","given":"Wladimiro","non-dropping-particle":"","parse-names":false,"suffix":""}],"container-title":"Hepatology","id":"ITEM-2","issue":"3","issued":{"date-parts":[["2001"]]},"page":"487-493","title":"Increased production of vascular endothelial growth factor in peritoneal macrophages of cirrhotic patients with spontaneous bacterial peritonitis","type":"article-journal","volume":"34"},"uris":["http://www.mendeley.com/documents/?uuid=971507a8-2cc3-41f7-a5fe-e1fbb0e34ffc"]}],"mendeley":{"formattedCitation":"&lt;sup&gt;34,35&lt;/sup&gt;","plainTextFormattedCitation":"34,35","previouslyFormattedCitation":"&lt;sup&gt;33,34&lt;/sup&gt;"},"properties":{"noteIndex":0},"schema":"https://github.com/citation-style-language/schema/raw/master/csl-citation.json"}</w:instrText>
      </w:r>
      <w:r w:rsidR="007D4D29" w:rsidRPr="006410B4">
        <w:rPr>
          <w:rStyle w:val="FootnoteReference"/>
          <w:rFonts w:ascii="Book Antiqua" w:eastAsia="Times New Roman" w:hAnsi="Book Antiqua" w:cs="Times New Roman"/>
          <w:color w:val="000000" w:themeColor="text1"/>
          <w:sz w:val="24"/>
          <w:szCs w:val="24"/>
        </w:rPr>
        <w:fldChar w:fldCharType="separate"/>
      </w:r>
      <w:r w:rsidR="007D4D29" w:rsidRPr="006410B4">
        <w:rPr>
          <w:rFonts w:ascii="Book Antiqua" w:eastAsia="Times New Roman" w:hAnsi="Book Antiqua" w:cs="Times New Roman"/>
          <w:bCs/>
          <w:color w:val="000000" w:themeColor="text1"/>
          <w:sz w:val="24"/>
          <w:szCs w:val="24"/>
          <w:vertAlign w:val="superscript"/>
        </w:rPr>
        <w:t>34,35</w:t>
      </w:r>
      <w:r w:rsidR="007D4D29" w:rsidRPr="006410B4">
        <w:rPr>
          <w:rStyle w:val="FootnoteReference"/>
          <w:rFonts w:ascii="Book Antiqua" w:eastAsia="Times New Roman" w:hAnsi="Book Antiqua" w:cs="Times New Roman"/>
          <w:color w:val="000000" w:themeColor="text1"/>
          <w:sz w:val="24"/>
          <w:szCs w:val="24"/>
        </w:rPr>
        <w:fldChar w:fldCharType="end"/>
      </w:r>
      <w:r w:rsidR="007D4D29"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w:t>
      </w:r>
    </w:p>
    <w:p w:rsidR="00C42FE6" w:rsidRPr="006410B4" w:rsidRDefault="00BF498E"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is a member of VEGF family, which is upregulated in pathological tissues and almost undetectable in healthy tissues</w:t>
      </w:r>
      <w:r w:rsidR="007D4D29" w:rsidRPr="006410B4">
        <w:rPr>
          <w:rFonts w:ascii="Book Antiqua" w:eastAsia="Times New Roman" w:hAnsi="Book Antiqua" w:cs="Times New Roman"/>
          <w:color w:val="000000" w:themeColor="text1"/>
          <w:sz w:val="24"/>
          <w:szCs w:val="24"/>
          <w:vertAlign w:val="superscript"/>
        </w:rPr>
        <w:t>[</w:t>
      </w:r>
      <w:r w:rsidR="007D4D29" w:rsidRPr="006410B4">
        <w:rPr>
          <w:rStyle w:val="FootnoteReference"/>
          <w:rFonts w:ascii="Book Antiqua" w:eastAsia="Times New Roman" w:hAnsi="Book Antiqua" w:cs="Times New Roman"/>
          <w:color w:val="000000" w:themeColor="text1"/>
          <w:sz w:val="24"/>
          <w:szCs w:val="24"/>
        </w:rPr>
        <w:fldChar w:fldCharType="begin" w:fldLock="1"/>
      </w:r>
      <w:r w:rsidR="007D4D29" w:rsidRPr="006410B4">
        <w:rPr>
          <w:rFonts w:ascii="Book Antiqua" w:eastAsia="Times New Roman" w:hAnsi="Book Antiqua" w:cs="Times New Roman"/>
          <w:color w:val="000000" w:themeColor="text1"/>
          <w:sz w:val="24"/>
          <w:szCs w:val="24"/>
        </w:rPr>
        <w:instrText>ADDIN CSL_CITATION {"citationItems":[{"id":"ITEM-1","itemData":{"DOI":"10.1101/cshperspect.a011056","ISBN":"2157-1422 (Electronic)","ISSN":"21571422","PMID":"22908198","abstract":"Placental growth factor (PlGF) is a member of the vascular endothelial growth factor (VEGF) family that also comprises VEGF-A (VEGF), VEGF-B, VEGF-C, and VEGF-D. Unlike VEGF, PlGF is dispensable for development and health but has diverse nonredundant roles in tissue ischemia, malignancy, inflammation, and multiple other diseases. Genetic and pharmacological gain-of-function and loss-of-function studies have identified molecular mechanisms of this multitasking cytokine and characterized the therapeutic potential of delivering or blocking PlGF for various disorders.","author":[{"dropping-particle":"","family":"Dewerchin","given":"Mieke","non-dropping-particle":"","parse-names":false,"suffix":""},{"dropping-particle":"","family":"Carmeliet","given":"Peter","non-dropping-particle":"","parse-names":false,"suffix":""}],"container-title":"Cold Spring Harbor Perspectives in Medicine","id":"ITEM-1","issue":"8","issued":{"date-parts":[["2012"]]},"page":"1-24","title":"PlGF: A multitasking cytokine with disease-restricted activity","type":"article-journal","volume":"2"},"uris":["http://www.mendeley.com/documents/?uuid=f63d5382-3f8f-45c3-b5c6-4345560b8c9f"]}],"mendeley":{"formattedCitation":"&lt;sup&gt;16&lt;/sup&gt;","plainTextFormattedCitation":"16","previouslyFormattedCitation":"&lt;sup&gt;35&lt;/sup&gt;"},"properties":{"noteIndex":0},"schema":"https://github.com/citation-style-language/schema/raw/master/csl-citation.json"}</w:instrText>
      </w:r>
      <w:r w:rsidR="007D4D29" w:rsidRPr="006410B4">
        <w:rPr>
          <w:rStyle w:val="FootnoteReference"/>
          <w:rFonts w:ascii="Book Antiqua" w:eastAsia="Times New Roman" w:hAnsi="Book Antiqua" w:cs="Times New Roman"/>
          <w:color w:val="000000" w:themeColor="text1"/>
          <w:sz w:val="24"/>
          <w:szCs w:val="24"/>
        </w:rPr>
        <w:fldChar w:fldCharType="separate"/>
      </w:r>
      <w:r w:rsidR="007D4D29" w:rsidRPr="006410B4">
        <w:rPr>
          <w:rFonts w:ascii="Book Antiqua" w:eastAsia="Times New Roman" w:hAnsi="Book Antiqua" w:cs="Times New Roman"/>
          <w:bCs/>
          <w:color w:val="000000" w:themeColor="text1"/>
          <w:sz w:val="24"/>
          <w:szCs w:val="24"/>
          <w:vertAlign w:val="superscript"/>
        </w:rPr>
        <w:t>16</w:t>
      </w:r>
      <w:r w:rsidR="007D4D29" w:rsidRPr="006410B4">
        <w:rPr>
          <w:rStyle w:val="FootnoteReference"/>
          <w:rFonts w:ascii="Book Antiqua" w:eastAsia="Times New Roman" w:hAnsi="Book Antiqua" w:cs="Times New Roman"/>
          <w:color w:val="000000" w:themeColor="text1"/>
          <w:sz w:val="24"/>
          <w:szCs w:val="24"/>
        </w:rPr>
        <w:fldChar w:fldCharType="end"/>
      </w:r>
      <w:r w:rsidR="007D4D29"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making it a perspective candidate for </w:t>
      </w:r>
      <w:r w:rsidR="0048559A" w:rsidRPr="006410B4">
        <w:rPr>
          <w:rFonts w:ascii="Book Antiqua" w:eastAsia="Times New Roman" w:hAnsi="Book Antiqua" w:cs="Times New Roman"/>
          <w:color w:val="000000" w:themeColor="text1"/>
          <w:sz w:val="24"/>
          <w:szCs w:val="24"/>
        </w:rPr>
        <w:t xml:space="preserve">the </w:t>
      </w:r>
      <w:r w:rsidRPr="006410B4">
        <w:rPr>
          <w:rFonts w:ascii="Book Antiqua" w:eastAsia="Times New Roman" w:hAnsi="Book Antiqua" w:cs="Times New Roman"/>
          <w:color w:val="000000" w:themeColor="text1"/>
          <w:sz w:val="24"/>
          <w:szCs w:val="24"/>
        </w:rPr>
        <w:t xml:space="preserve">therapeutic strategies.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has been identified by multiple studies as a </w:t>
      </w:r>
      <w:r w:rsidR="005F133F" w:rsidRPr="006410B4">
        <w:rPr>
          <w:rFonts w:ascii="Book Antiqua" w:eastAsia="Times New Roman" w:hAnsi="Book Antiqua" w:cs="Times New Roman"/>
          <w:color w:val="000000" w:themeColor="text1"/>
          <w:sz w:val="24"/>
          <w:szCs w:val="24"/>
        </w:rPr>
        <w:t>disease</w:t>
      </w:r>
      <w:r w:rsidRPr="006410B4">
        <w:rPr>
          <w:rFonts w:ascii="Book Antiqua" w:eastAsia="Times New Roman" w:hAnsi="Book Antiqua" w:cs="Times New Roman"/>
          <w:color w:val="000000" w:themeColor="text1"/>
          <w:sz w:val="24"/>
          <w:szCs w:val="24"/>
        </w:rPr>
        <w:t xml:space="preserve"> modifying agent in various organs and organ systems, including heart, muscles, skin, solid tumors, nervous system, colon, lungs</w:t>
      </w:r>
      <w:r w:rsidR="007D4D29" w:rsidRPr="006410B4">
        <w:rPr>
          <w:rFonts w:ascii="Book Antiqua" w:eastAsia="Times New Roman" w:hAnsi="Book Antiqua" w:cs="Times New Roman"/>
          <w:color w:val="000000" w:themeColor="text1"/>
          <w:sz w:val="24"/>
          <w:szCs w:val="24"/>
          <w:vertAlign w:val="superscript"/>
        </w:rPr>
        <w:t>[</w:t>
      </w:r>
      <w:r w:rsidR="007D4D29" w:rsidRPr="006410B4">
        <w:rPr>
          <w:rStyle w:val="FootnoteReference"/>
          <w:rFonts w:ascii="Book Antiqua" w:eastAsia="Times New Roman" w:hAnsi="Book Antiqua" w:cs="Times New Roman"/>
          <w:color w:val="000000" w:themeColor="text1"/>
          <w:sz w:val="24"/>
          <w:szCs w:val="24"/>
        </w:rPr>
        <w:fldChar w:fldCharType="begin" w:fldLock="1"/>
      </w:r>
      <w:r w:rsidR="007D4D29" w:rsidRPr="006410B4">
        <w:rPr>
          <w:rFonts w:ascii="Book Antiqua" w:eastAsia="Times New Roman" w:hAnsi="Book Antiqua" w:cs="Times New Roman"/>
          <w:color w:val="000000" w:themeColor="text1"/>
          <w:sz w:val="24"/>
          <w:szCs w:val="24"/>
        </w:rPr>
        <w:instrText>ADDIN CSL_CITATION {"citationItems":[{"id":"ITEM-1","itemData":{"DOI":"10.1101/cshperspect.a011056","ISBN":"2157-1422 (Electronic)","ISSN":"21571422","PMID":"22908198","abstract":"Placental growth factor (PlGF) is a member of the vascular endothelial growth factor (VEGF) family that also comprises VEGF-A (VEGF), VEGF-B, VEGF-C, and VEGF-D. Unlike VEGF, PlGF is dispensable for development and health but has diverse nonredundant roles in tissue ischemia, malignancy, inflammation, and multiple other diseases. Genetic and pharmacological gain-of-function and loss-of-function studies have identified molecular mechanisms of this multitasking cytokine and characterized the therapeutic potential of delivering or blocking PlGF for various disorders.","author":[{"dropping-particle":"","family":"Dewerchin","given":"Mieke","non-dropping-particle":"","parse-names":false,"suffix":""},{"dropping-particle":"","family":"Carmeliet","given":"Peter","non-dropping-particle":"","parse-names":false,"suffix":""}],"container-title":"Cold Spring Harbor Perspectives in Medicine","id":"ITEM-1","issue":"8","issued":{"date-parts":[["2012"]]},"page":"1-24","title":"PlGF: A multitasking cytokine with disease-restricted activity","type":"article-journal","volume":"2"},"uris":["http://www.mendeley.com/documents/?uuid=f63d5382-3f8f-45c3-b5c6-4345560b8c9f"]}],"mendeley":{"formattedCitation":"&lt;sup&gt;16&lt;/sup&gt;","plainTextFormattedCitation":"16","previouslyFormattedCitation":"&lt;sup&gt;35&lt;/sup&gt;"},"properties":{"noteIndex":0},"schema":"https://github.com/citation-style-language/schema/raw/master/csl-citation.json"}</w:instrText>
      </w:r>
      <w:r w:rsidR="007D4D29" w:rsidRPr="006410B4">
        <w:rPr>
          <w:rStyle w:val="FootnoteReference"/>
          <w:rFonts w:ascii="Book Antiqua" w:eastAsia="Times New Roman" w:hAnsi="Book Antiqua" w:cs="Times New Roman"/>
          <w:color w:val="000000" w:themeColor="text1"/>
          <w:sz w:val="24"/>
          <w:szCs w:val="24"/>
        </w:rPr>
        <w:fldChar w:fldCharType="separate"/>
      </w:r>
      <w:r w:rsidR="007D4D29" w:rsidRPr="006410B4">
        <w:rPr>
          <w:rFonts w:ascii="Book Antiqua" w:eastAsia="Times New Roman" w:hAnsi="Book Antiqua" w:cs="Times New Roman"/>
          <w:color w:val="000000" w:themeColor="text1"/>
          <w:sz w:val="24"/>
          <w:szCs w:val="24"/>
          <w:vertAlign w:val="superscript"/>
        </w:rPr>
        <w:t>16</w:t>
      </w:r>
      <w:r w:rsidR="007D4D29" w:rsidRPr="006410B4">
        <w:rPr>
          <w:rStyle w:val="FootnoteReference"/>
          <w:rFonts w:ascii="Book Antiqua" w:eastAsia="Times New Roman" w:hAnsi="Book Antiqua" w:cs="Times New Roman"/>
          <w:color w:val="000000" w:themeColor="text1"/>
          <w:sz w:val="24"/>
          <w:szCs w:val="24"/>
        </w:rPr>
        <w:fldChar w:fldCharType="end"/>
      </w:r>
      <w:r w:rsidR="007D4D29"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In liver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has been found to be associated with </w:t>
      </w:r>
      <w:r w:rsidR="005F133F" w:rsidRPr="006410B4">
        <w:rPr>
          <w:rFonts w:ascii="Book Antiqua" w:eastAsia="Times New Roman" w:hAnsi="Book Antiqua" w:cs="Times New Roman"/>
          <w:color w:val="000000" w:themeColor="text1"/>
          <w:sz w:val="24"/>
          <w:szCs w:val="24"/>
        </w:rPr>
        <w:t>inflammation</w:t>
      </w:r>
      <w:r w:rsidRPr="006410B4">
        <w:rPr>
          <w:rFonts w:ascii="Book Antiqua" w:eastAsia="Times New Roman" w:hAnsi="Book Antiqua" w:cs="Times New Roman"/>
          <w:color w:val="000000" w:themeColor="text1"/>
          <w:sz w:val="24"/>
          <w:szCs w:val="24"/>
        </w:rPr>
        <w:t>, fibrosis, angiogenesis</w:t>
      </w:r>
      <w:r w:rsidR="00857345" w:rsidRPr="006410B4">
        <w:rPr>
          <w:rFonts w:ascii="Book Antiqua" w:eastAsia="Times New Roman" w:hAnsi="Book Antiqua" w:cs="Times New Roman"/>
          <w:color w:val="000000" w:themeColor="text1"/>
          <w:sz w:val="24"/>
          <w:szCs w:val="24"/>
          <w:vertAlign w:val="superscript"/>
        </w:rPr>
        <w:t>[</w:t>
      </w:r>
      <w:r w:rsidR="00FF55AB" w:rsidRPr="006410B4">
        <w:rPr>
          <w:rStyle w:val="FootnoteReference"/>
          <w:rFonts w:ascii="Book Antiqua" w:eastAsia="Times New Roman" w:hAnsi="Book Antiqua" w:cs="Times New Roman"/>
          <w:color w:val="000000" w:themeColor="text1"/>
          <w:sz w:val="24"/>
          <w:szCs w:val="24"/>
        </w:rPr>
        <w:fldChar w:fldCharType="begin" w:fldLock="1"/>
      </w:r>
      <w:r w:rsidR="00F2624B" w:rsidRPr="006410B4">
        <w:rPr>
          <w:rFonts w:ascii="Book Antiqua" w:eastAsia="Times New Roman" w:hAnsi="Book Antiqua" w:cs="Times New Roman"/>
          <w:color w:val="000000" w:themeColor="text1"/>
          <w:sz w:val="24"/>
          <w:szCs w:val="24"/>
        </w:rPr>
        <w:instrText>ADDIN CSL_CITATION {"citationItems":[{"id":"ITEM-1","itemData":{"DOI":"10.1002/hep.24238","ISBN":"1527-3350 (Electronic)\\r0270-9139 (Linking)","ISSN":"02709139","PMID":"21520176","abstract":"Placental growth factor (PlGF) is associated selectively with pathological angiogenesis, and PlGF blockade does not affect the healthy vasculature. Anti-PlGF is therefore currently being clinically evaluated for the treatment of cancer patients. In cirrhosis, hepatic fibrogenesis is accompanied by extensive angiogenesis. In this paper, we evaluated the pathophysiological role of PlGF and the therapeutic potential of anti-PlGF in liver cirrhosis. PlGF was significantly up-regulated in the CCl(4) -induced rodent model of liver cirrhosis as well as in cirrhotic patients. Compared with wild-type animals, cirrhotic PlGF(-/-) mice showed a significant reduction in angiogenesis, arteriogenesis, inflammation, fibrosis, and portal hypertension. Importantly, pharmacological inhibition with anti-PlGF antibodies yielded similar results as genetic loss of PlGF. Notably, PlGF treatment of activated hepatic stellate cells induced sustained extracellular signal-regulated kinase 1/2 phosphorylation, as well as chemotaxis and proliferation, indicating a previously unrecognized profibrogenic role of PlGF. CONCLUSION: PlGF is a disease-candidate gene in liver cirrhosis, and inhibition of PlGF offers a therapeutic alternative with an attractive safety profile.","author":[{"dropping-particle":"Van","family":"Steenkiste","given":"Christophe","non-dropping-particle":"","parse-names":false,"suffix":""},{"dropping-particle":"","family":"Ribera","given":"Jordi","non-dropping-particle":"","parse-names":false,"suffix":""},{"dropping-particle":"","family":"Geerts","given":"Anja","non-dropping-particle":"","parse-names":false,"suffix":""},{"dropping-particle":"","family":"Pauta","given":"Montse","non-dropping-particle":"","parse-names":false,"suffix":""},{"dropping-particle":"","family":"Tugues","given":"Sònia","non-dropping-particle":"","parse-names":false,"suffix":""},{"dropping-particle":"","family":"Casteleyn","given":"Christophe","non-dropping-particle":"","parse-names":false,"suffix":""},{"dropping-particle":"","family":"Libbrecht","given":"Louis","non-dropping-particle":"","parse-names":false,"suffix":""},{"dropping-particle":"","family":"Olievier","given":"Kim","non-dropping-particle":"","parse-names":false,"suffix":""},{"dropping-particle":"","family":"Schroyen","given":"Ben","non-dropping-particle":"","parse-names":false,"suffix":""},{"dropping-particle":"","family":"Reynaert","given":"Hendrik","non-dropping-particle":"","parse-names":false,"suffix":""},{"dropping-particle":"","family":"Grunsven","given":"Leo A.","non-dropping-particle":"van","parse-names":false,"suffix":""},{"dropping-particle":"","family":"Blomme","given":"Bram","non-dropping-particle":"","parse-names":false,"suffix":""},{"dropping-particle":"","family":"Coulon","given":"Stephanie","non-dropping-particle":"","parse-names":false,"suffix":""},{"dropping-particle":"","family":"Heindryckx","given":"Femke","non-dropping-particle":"","parse-names":false,"suffix":""},{"dropping-particle":"","family":"Vos","given":"Martine","non-dropping-particle":"De","parse-names":false,"suffix":""},{"dropping-particle":"","family":"Stassen","given":"Jean Marie","non-dropping-particle":"","parse-names":false,"suffix":""},{"dropping-particle":"","family":"Vinckier","given":"Stefan","non-dropping-particle":"","parse-names":false,"suffix":""},{"dropping-particle":"","family":"Altamirano","given":"Jose","non-dropping-particle":"","parse-names":false,"suffix":""},{"dropping-particle":"","family":"Bataller","given":"Ramón","non-dropping-particle":"","parse-names":false,"suffix":""},{"dropping-particle":"","family":"Carmeliet","given":"Peter","non-dropping-particle":"","parse-names":false,"suffix":""},{"dropping-particle":"","family":"Vlierberghe","given":"Hans","non-dropping-particle":"Van","parse-names":false,"suffix":""},{"dropping-particle":"","family":"Colle","given":"Isabelle","non-dropping-particle":"","parse-names":false,"suffix":""},{"dropping-particle":"","family":"Morales-Ruiz","given":"Manuel","non-dropping-particle":"","parse-names":false,"suffix":""}],"container-title":"Hepatology","id":"ITEM-1","issue":"5","issued":{"date-parts":[["2011"]]},"page":"1629-1640","title":"Inhibition of placental growth factor activity reduces the severity of fibrosis, inflammation, and portal hypertension in cirrhotic mice","type":"article-journal","volume":"53"},"uris":["http://www.mendeley.com/documents/?uuid=bc8a01cf-291e-4ca2-b50f-db855c1363f5"]},{"id":"ITEM-2","itemData":{"DOI":"10.1111/jcmm.13158","ISSN":"15821838","PMID":"28378526","abstract":"Placental growth factor (PlGF) is a member of the vascular endothelial growth factor (VEGF) family and is involved in pathological angiogenesis associated with chronic liver diseases. However, the precise mechanisms underlying PlGF signalling contributing to liver fibrosis and angiogenesis remain largely unexplored. This study aimed to assess the effect of reducing PlGF expression using small interfering RNA (siRNA) on experimental liver fibrosis and angiogenesis, and to elucidate the underlying molecular mechanisms. Fibrosis was induced in mice by carbon tetrachloride (CCl(4)) for 8 weeks, and mice were treated with PlGF siRNA or non</w:instrText>
      </w:r>
      <w:r w:rsidR="00F2624B" w:rsidRPr="006410B4">
        <w:rPr>
          <w:rFonts w:ascii="Cambria Math" w:eastAsia="Times New Roman" w:hAnsi="Cambria Math" w:cs="Cambria Math"/>
          <w:color w:val="000000" w:themeColor="text1"/>
          <w:sz w:val="24"/>
          <w:szCs w:val="24"/>
        </w:rPr>
        <w:instrText>‐</w:instrText>
      </w:r>
      <w:r w:rsidR="00F2624B" w:rsidRPr="006410B4">
        <w:rPr>
          <w:rFonts w:ascii="Book Antiqua" w:eastAsia="Times New Roman" w:hAnsi="Book Antiqua" w:cs="Book Antiqua"/>
          <w:color w:val="000000" w:themeColor="text1"/>
          <w:sz w:val="24"/>
          <w:szCs w:val="24"/>
        </w:rPr>
        <w:instrText>targeting control siRNA starting two weeks after initiating CCl(4) injections. The results showed that PlGF was highly expressed in cirrhotic human and mice livers; which mainly distributed in activated hepatic stellate cells (HSCs). PlG</w:instrText>
      </w:r>
      <w:r w:rsidR="00F2624B" w:rsidRPr="006410B4">
        <w:rPr>
          <w:rFonts w:ascii="Book Antiqua" w:eastAsia="Times New Roman" w:hAnsi="Book Antiqua" w:cs="Times New Roman"/>
          <w:color w:val="000000" w:themeColor="text1"/>
          <w:sz w:val="24"/>
          <w:szCs w:val="24"/>
        </w:rPr>
        <w:instrText>F silencing robustly reduced liver inflammation, fibrosis, intrahepatic macrophage recruitment, and inhibited the activation of HSCs in vivo. Moreover, PlGF siRNA</w:instrText>
      </w:r>
      <w:r w:rsidR="00F2624B" w:rsidRPr="006410B4">
        <w:rPr>
          <w:rFonts w:ascii="Cambria Math" w:eastAsia="Times New Roman" w:hAnsi="Cambria Math" w:cs="Cambria Math"/>
          <w:color w:val="000000" w:themeColor="text1"/>
          <w:sz w:val="24"/>
          <w:szCs w:val="24"/>
        </w:rPr>
        <w:instrText>‐</w:instrText>
      </w:r>
      <w:r w:rsidR="00F2624B" w:rsidRPr="006410B4">
        <w:rPr>
          <w:rFonts w:ascii="Book Antiqua" w:eastAsia="Times New Roman" w:hAnsi="Book Antiqua" w:cs="Book Antiqua"/>
          <w:color w:val="000000" w:themeColor="text1"/>
          <w:sz w:val="24"/>
          <w:szCs w:val="24"/>
        </w:rPr>
        <w:instrText>treated fibrotic mice showed diminished hepatic microvessel density and angiogenic factors, s</w:instrText>
      </w:r>
      <w:r w:rsidR="00F2624B" w:rsidRPr="006410B4">
        <w:rPr>
          <w:rFonts w:ascii="Book Antiqua" w:eastAsia="Times New Roman" w:hAnsi="Book Antiqua" w:cs="Times New Roman"/>
          <w:color w:val="000000" w:themeColor="text1"/>
          <w:sz w:val="24"/>
          <w:szCs w:val="24"/>
        </w:rPr>
        <w:instrText>uch as hypoxia</w:instrText>
      </w:r>
      <w:r w:rsidR="00F2624B" w:rsidRPr="006410B4">
        <w:rPr>
          <w:rFonts w:ascii="Cambria Math" w:eastAsia="Times New Roman" w:hAnsi="Cambria Math" w:cs="Cambria Math"/>
          <w:color w:val="000000" w:themeColor="text1"/>
          <w:sz w:val="24"/>
          <w:szCs w:val="24"/>
        </w:rPr>
        <w:instrText>‐</w:instrText>
      </w:r>
      <w:r w:rsidR="00F2624B" w:rsidRPr="006410B4">
        <w:rPr>
          <w:rFonts w:ascii="Book Antiqua" w:eastAsia="Times New Roman" w:hAnsi="Book Antiqua" w:cs="Book Antiqua"/>
          <w:color w:val="000000" w:themeColor="text1"/>
          <w:sz w:val="24"/>
          <w:szCs w:val="24"/>
        </w:rPr>
        <w:instrText>inducible factor</w:instrText>
      </w:r>
      <w:r w:rsidR="00F2624B" w:rsidRPr="006410B4">
        <w:rPr>
          <w:rFonts w:ascii="Cambria Math" w:eastAsia="Times New Roman" w:hAnsi="Cambria Math" w:cs="Cambria Math"/>
          <w:color w:val="000000" w:themeColor="text1"/>
          <w:sz w:val="24"/>
          <w:szCs w:val="24"/>
        </w:rPr>
        <w:instrText>‐</w:instrText>
      </w:r>
      <w:r w:rsidR="00F2624B" w:rsidRPr="006410B4">
        <w:rPr>
          <w:rFonts w:ascii="Book Antiqua" w:eastAsia="Times New Roman" w:hAnsi="Book Antiqua" w:cs="Book Antiqua"/>
          <w:color w:val="000000" w:themeColor="text1"/>
          <w:sz w:val="24"/>
          <w:szCs w:val="24"/>
        </w:rPr>
        <w:instrText>1α (HIF</w:instrText>
      </w:r>
      <w:r w:rsidR="00F2624B" w:rsidRPr="006410B4">
        <w:rPr>
          <w:rFonts w:ascii="Cambria Math" w:eastAsia="Times New Roman" w:hAnsi="Cambria Math" w:cs="Cambria Math"/>
          <w:color w:val="000000" w:themeColor="text1"/>
          <w:sz w:val="24"/>
          <w:szCs w:val="24"/>
        </w:rPr>
        <w:instrText>‐</w:instrText>
      </w:r>
      <w:r w:rsidR="00F2624B" w:rsidRPr="006410B4">
        <w:rPr>
          <w:rFonts w:ascii="Book Antiqua" w:eastAsia="Times New Roman" w:hAnsi="Book Antiqua" w:cs="Book Antiqua"/>
          <w:color w:val="000000" w:themeColor="text1"/>
          <w:sz w:val="24"/>
          <w:szCs w:val="24"/>
        </w:rPr>
        <w:instrText>1α), VEGF and VEGF receptor</w:instrText>
      </w:r>
      <w:r w:rsidR="00F2624B" w:rsidRPr="006410B4">
        <w:rPr>
          <w:rFonts w:ascii="Cambria Math" w:eastAsia="Times New Roman" w:hAnsi="Cambria Math" w:cs="Cambria Math"/>
          <w:color w:val="000000" w:themeColor="text1"/>
          <w:sz w:val="24"/>
          <w:szCs w:val="24"/>
        </w:rPr>
        <w:instrText>‐</w:instrText>
      </w:r>
      <w:r w:rsidR="00F2624B" w:rsidRPr="006410B4">
        <w:rPr>
          <w:rFonts w:ascii="Book Antiqua" w:eastAsia="Times New Roman" w:hAnsi="Book Antiqua" w:cs="Book Antiqua"/>
          <w:color w:val="000000" w:themeColor="text1"/>
          <w:sz w:val="24"/>
          <w:szCs w:val="24"/>
        </w:rPr>
        <w:instrText>1. Moreover, down</w:instrText>
      </w:r>
      <w:r w:rsidR="00F2624B" w:rsidRPr="006410B4">
        <w:rPr>
          <w:rFonts w:ascii="Cambria Math" w:eastAsia="Times New Roman" w:hAnsi="Cambria Math" w:cs="Cambria Math"/>
          <w:color w:val="000000" w:themeColor="text1"/>
          <w:sz w:val="24"/>
          <w:szCs w:val="24"/>
        </w:rPr>
        <w:instrText>‐</w:instrText>
      </w:r>
      <w:r w:rsidR="00F2624B" w:rsidRPr="006410B4">
        <w:rPr>
          <w:rFonts w:ascii="Book Antiqua" w:eastAsia="Times New Roman" w:hAnsi="Book Antiqua" w:cs="Book Antiqua"/>
          <w:color w:val="000000" w:themeColor="text1"/>
          <w:sz w:val="24"/>
          <w:szCs w:val="24"/>
        </w:rPr>
        <w:instrText>regulation of PlGF with siRNA in HSCs inhibited the activation and proliferation of HSCs. Mechanistically, overexpression of PlGF in activated HSCs was induced by hypoxia</w:instrText>
      </w:r>
      <w:r w:rsidR="00F2624B" w:rsidRPr="006410B4">
        <w:rPr>
          <w:rFonts w:ascii="Book Antiqua" w:eastAsia="Times New Roman" w:hAnsi="Book Antiqua" w:cs="Times New Roman"/>
          <w:color w:val="000000" w:themeColor="text1"/>
          <w:sz w:val="24"/>
          <w:szCs w:val="24"/>
        </w:rPr>
        <w:instrText xml:space="preserve"> dependent on HIF</w:instrText>
      </w:r>
      <w:r w:rsidR="00F2624B" w:rsidRPr="006410B4">
        <w:rPr>
          <w:rFonts w:ascii="Cambria Math" w:eastAsia="Times New Roman" w:hAnsi="Cambria Math" w:cs="Cambria Math"/>
          <w:color w:val="000000" w:themeColor="text1"/>
          <w:sz w:val="24"/>
          <w:szCs w:val="24"/>
        </w:rPr>
        <w:instrText>‐</w:instrText>
      </w:r>
      <w:r w:rsidR="00F2624B" w:rsidRPr="006410B4">
        <w:rPr>
          <w:rFonts w:ascii="Book Antiqua" w:eastAsia="Times New Roman" w:hAnsi="Book Antiqua" w:cs="Book Antiqua"/>
          <w:color w:val="000000" w:themeColor="text1"/>
          <w:sz w:val="24"/>
          <w:szCs w:val="24"/>
        </w:rPr>
        <w:instrText>1α, and PlGF induces HSC activation and proliferation via activation the phosphatidylinositol 3</w:instrText>
      </w:r>
      <w:r w:rsidR="00F2624B" w:rsidRPr="006410B4">
        <w:rPr>
          <w:rFonts w:ascii="Cambria Math" w:eastAsia="Times New Roman" w:hAnsi="Cambria Math" w:cs="Cambria Math"/>
          <w:color w:val="000000" w:themeColor="text1"/>
          <w:sz w:val="24"/>
          <w:szCs w:val="24"/>
        </w:rPr>
        <w:instrText>‐</w:instrText>
      </w:r>
      <w:r w:rsidR="00F2624B" w:rsidRPr="006410B4">
        <w:rPr>
          <w:rFonts w:ascii="Book Antiqua" w:eastAsia="Times New Roman" w:hAnsi="Book Antiqua" w:cs="Book Antiqua"/>
          <w:color w:val="000000" w:themeColor="text1"/>
          <w:sz w:val="24"/>
          <w:szCs w:val="24"/>
        </w:rPr>
        <w:instrText>kinase (PI3K)/Akt signalling pathways. These findings indicate that PlGF plays an important role in liver fibrosis</w:instrText>
      </w:r>
      <w:r w:rsidR="00F2624B" w:rsidRPr="006410B4">
        <w:rPr>
          <w:rFonts w:ascii="Cambria Math" w:eastAsia="Times New Roman" w:hAnsi="Cambria Math" w:cs="Cambria Math"/>
          <w:color w:val="000000" w:themeColor="text1"/>
          <w:sz w:val="24"/>
          <w:szCs w:val="24"/>
        </w:rPr>
        <w:instrText>‐</w:instrText>
      </w:r>
      <w:r w:rsidR="00F2624B" w:rsidRPr="006410B4">
        <w:rPr>
          <w:rFonts w:ascii="Book Antiqua" w:eastAsia="Times New Roman" w:hAnsi="Book Antiqua" w:cs="Book Antiqua"/>
          <w:color w:val="000000" w:themeColor="text1"/>
          <w:sz w:val="24"/>
          <w:szCs w:val="24"/>
        </w:rPr>
        <w:instrText>associated angiogenesis and</w:instrText>
      </w:r>
      <w:r w:rsidR="00F2624B" w:rsidRPr="006410B4">
        <w:rPr>
          <w:rFonts w:ascii="Book Antiqua" w:eastAsia="Times New Roman" w:hAnsi="Book Antiqua" w:cs="Times New Roman"/>
          <w:color w:val="000000" w:themeColor="text1"/>
          <w:sz w:val="24"/>
          <w:szCs w:val="24"/>
        </w:rPr>
        <w:instrText xml:space="preserve"> that blockage of PlGF could be an effective strategy for chronic liver disease.","author":[{"dropping-particle":"","family":"Li","given":"Xi","non-dropping-particle":"","parse-names":false,"suffix":""},{"dropping-particle":"","family":"Yao","given":"Qun-Yan","non-dropping-particle":"","parse-names":false,"suffix":""},{"dropping-particle":"","family":"Liu","given":"Hong-Chun","non-dropping-particle":"","parse-names":false,"suffix":""},{"dropping-particle":"","family":"Jin","given":"Qian-Wen","non-dropping-particle":"","parse-names":false,"suffix":""},{"dropping-particle":"","family":"Xu","given":"Bei-Li","non-dropping-particle":"","parse-names":false,"suffix":""},{"dropping-particle":"","family":"Zhang","given":"Shun-Cai","non-dropping-particle":"","parse-names":false,"suffix":""},{"dropping-particle":"","family":"Tu","given":"Chuan-Tao","non-dropping-particle":"","parse-names":false,"suffix":""}],"container-title":"Journal of Cellular and Molecular Medicine","id":"ITEM-2","issue":"10","issued":{"date-parts":[["2017"]]},"page":"2370-2385","title":"Placental growth factor silencing ameliorates liver fibrosis and angiogenesis and inhibits activation of hepatic stellate cells in a murine model of chronic liver disease","type":"article-journal","volume":"21"},"uris":["http://www.mendeley.com/documents/?uuid=96f15383-819d-48d2-a98e-cbfd2bd228f9"]}],"mendeley":{"formattedCitation":"&lt;sup&gt;17,18&lt;/sup&gt;","plainTextFormattedCitation":"17,18","previouslyFormattedCitation":"&lt;sup&gt;16,17&lt;/sup&gt;"},"properties":{"noteIndex":0},"schema":"https://github.com/citation-style-language/schema/raw/master/csl-citation.json"}</w:instrText>
      </w:r>
      <w:r w:rsidR="00FF55AB" w:rsidRPr="006410B4">
        <w:rPr>
          <w:rStyle w:val="FootnoteReference"/>
          <w:rFonts w:ascii="Book Antiqua" w:eastAsia="Times New Roman" w:hAnsi="Book Antiqua" w:cs="Times New Roman"/>
          <w:color w:val="000000" w:themeColor="text1"/>
          <w:sz w:val="24"/>
          <w:szCs w:val="24"/>
        </w:rPr>
        <w:fldChar w:fldCharType="separate"/>
      </w:r>
      <w:r w:rsidR="00F2624B" w:rsidRPr="006410B4">
        <w:rPr>
          <w:rFonts w:ascii="Book Antiqua" w:eastAsia="Times New Roman" w:hAnsi="Book Antiqua" w:cs="Times New Roman"/>
          <w:color w:val="000000" w:themeColor="text1"/>
          <w:sz w:val="24"/>
          <w:szCs w:val="24"/>
          <w:vertAlign w:val="superscript"/>
        </w:rPr>
        <w:t>17,18</w:t>
      </w:r>
      <w:r w:rsidR="00FF55AB" w:rsidRPr="006410B4">
        <w:rPr>
          <w:rStyle w:val="FootnoteReference"/>
          <w:rFonts w:ascii="Book Antiqua" w:eastAsia="Times New Roman" w:hAnsi="Book Antiqua" w:cs="Times New Roman"/>
          <w:color w:val="000000" w:themeColor="text1"/>
          <w:sz w:val="24"/>
          <w:szCs w:val="24"/>
        </w:rPr>
        <w:fldChar w:fldCharType="end"/>
      </w:r>
      <w:r w:rsidR="00857345" w:rsidRPr="006410B4">
        <w:rPr>
          <w:rStyle w:val="FootnoteReference"/>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and portal hypertension</w:t>
      </w:r>
      <w:r w:rsidR="007D4D29" w:rsidRPr="006410B4">
        <w:rPr>
          <w:rFonts w:ascii="Book Antiqua" w:eastAsia="Times New Roman" w:hAnsi="Book Antiqua" w:cs="Times New Roman"/>
          <w:color w:val="000000" w:themeColor="text1"/>
          <w:sz w:val="24"/>
          <w:szCs w:val="24"/>
          <w:vertAlign w:val="superscript"/>
        </w:rPr>
        <w:t>[</w:t>
      </w:r>
      <w:r w:rsidR="007D4D29" w:rsidRPr="006410B4">
        <w:rPr>
          <w:rStyle w:val="FootnoteReference"/>
          <w:rFonts w:ascii="Book Antiqua" w:eastAsia="Times New Roman" w:hAnsi="Book Antiqua" w:cs="Times New Roman"/>
          <w:color w:val="000000" w:themeColor="text1"/>
          <w:sz w:val="24"/>
          <w:szCs w:val="24"/>
        </w:rPr>
        <w:fldChar w:fldCharType="begin" w:fldLock="1"/>
      </w:r>
      <w:r w:rsidR="007D4D29" w:rsidRPr="006410B4">
        <w:rPr>
          <w:rFonts w:ascii="Book Antiqua" w:eastAsia="Times New Roman" w:hAnsi="Book Antiqua" w:cs="Times New Roman"/>
          <w:color w:val="000000" w:themeColor="text1"/>
          <w:sz w:val="24"/>
          <w:szCs w:val="24"/>
        </w:rPr>
        <w:instrText>ADDIN CSL_CITATION {"citationItems":[{"id":"ITEM-1","itemData":{"abstract":"Objectives: our objectives were to compare angiogenesis sol- uble factor (ASF) levels in chronic hepatitis C (CHC) patients and healthy individuals, and to investigate potential associations be- tween ASF levels and both histological and biochemical markers of disease progression. Method: thirty-six patients (69% males) positive for HCV- RNA by PCR analysis were included in the study. All patients un- derwent liver biopsy before treatment. Serum levels of vascular endothelial growth factor (VEGF), soluble Flt-1 and Flk-1 recep- tors, placental growth factor (PlGF), angiopoietin-2 (Ang-2) and soluble Tie-2 receptor were determined by ELISA. Fifteen healthy subjects were used as controls. Results: in comparison to healthy individuals, CHC patients showed significantly increased serum levels of proangiogenic fac- tors PlGF (22 ± 5 vs. 18 ± 8 pg/ml; p &lt; 0.05), Ang-2 (1265 ± 385 vs. 833 ± 346 pg/ml; p &lt; 0.005) and sFlt-1 (95 ± 22 vs. 72 ± 14 pg/ml; p &lt; 0.0001). Interestingly, in CHC patients serum levels of VEGF and Tie-2 correlated with grade of inflammation, PlGF correlated with stage of fibrosis, and Flt-1 and Flk-1 correlat- ed with serum transaminase levels (p &lt; 0.05 in all cases). Conclusions: CHC patients showed increased serum levels of ASF, and a significant correlation was shown between serum lev- els of selected ASFs and grade of inflammation, stage of fibrosis, and transaminase levels. Key words: Angiogenic. Soluble factors. Chronic hepatitis C. HCV-RNA. Fibrosis. Inflammation. Salcedo","author":[{"dropping-particle":"","family":"Salcedo","given":"M X","non-dropping-particle":"","parse-names":false,"suffix":""},{"dropping-particle":"","family":"Sanz-Cameno","given":"P","non-dropping-particle":"","parse-names":false,"suffix":""},{"dropping-particle":"","family":"Median","given":"J","non-dropping-particle":"","parse-names":false,"suffix":""},{"dropping-particle":"","family":"Martin-Vilchez","given":"S","non-dropping-particle":"","parse-names":false,"suffix":""},{"dropping-particle":"","family":"Garcia-Buey","given":"L","non-dropping-particle":"","parse-names":false,"suffix":""},{"dropping-particle":"","family":"Borque","given":"M J","non-dropping-particle":"","parse-names":false,"suffix":""},{"dropping-particle":"","family":"Moreno-Otero","given":"R","non-dropping-particle":"","parse-names":false,"suffix":""}],"container-title":"Rev Esp Enferm Dig","id":"ITEM-1","issue":"10","issued":{"date-parts":[["2005"]]},"page":"699-706","title":"Association between angiogenesis soluble factors and disease progression markers in chronic hepatitis C patients.","type":"article-journal","volume":"97"},"uris":["http://www.mendeley.com/documents/?uuid=71a21d94-4348-4dcb-b49d-d1c1c6f7802f"]},{"id":"ITEM-2","itemData":{"DOI":"10.1371/journal.pone.0173506","ISBN":"1111111111","ISSN":"19326203","PMID":"28301573","abstract":"Latest data suggest that placental growth factor (PLGF), growth differentiation factor-15 (GDF-15) and hepatic growth factor (HGF) are involved in hepatic fibrogenesis. Diagnostic performance of these markers for non-invasive liver fibrosis prediction was evaluated based on liver histology and stiffness. In total 834 patients were recruited. Receiver-operating-characteristics were used to define cut-offs for markers correlating to fibrosis stages. Odds-ratios were calculated for the presence/absence of fibrosis/cirrhosis and confirmed in the sub-group of patients phenotyped by elastography only. Logistic and uni- and multivariate regression analyses were used to test for association of markers with liver fibrosis stages and for independent prediction of liver histology and stiffness. Marker concentrations correlated significantly (P&lt;0.001) with histology and stiffness. Cut-offs for liver fibrosis (≥F2) were PLGF = 20.20 pg/ml, GDF15 = 1582.76 pg/ml and HGF = 2598.00 pg/ml. Logistic regression confirmed an increase of ORs from 3.6 over 33.0 to 108.4 with incremental (1-3) markers positive for increased liver stiffness (≥12.8kPa; all P&lt;0.05). Subgroup analysis revealed associations with advanced fibrosis for HCV (three markers positive: OR = 59.9, CI 23.4-153.4, P&lt;0.001) and non-HCV patients (three markers positive: OR = 144, CI 59-3383, P&lt;0.001). Overall, serum markers identified additional 50% of patients at risk for advanced fibrosis presenting with low elastography results. In conclusion, this novel combination of markers reflects the presence of significant liver fibrosis detected by elastography and histology and may also identify patients at risk presenting with low elastography values.","author":[{"dropping-particle":"","family":"Krawczyk","given":"Marcin","non-dropping-particle":"","parse-names":false,"suffix":""},{"dropping-particle":"","family":"Zimmermann","given":"Simone","non-dropping-particle":"","parse-names":false,"suffix":""},{"dropping-particle":"","family":"Hess","given":"Georg","non-dropping-particle":"","parse-names":false,"suffix":""},{"dropping-particle":"","family":"Holz","given":"Robert","non-dropping-particle":"","parse-names":false,"suffix":""},{"dropping-particle":"","family":"Dauer","given":"Marc","non-dropping-particle":"","parse-names":false,"suffix":""},{"dropping-particle":"","family":"Raedle","given":"Jochen","non-dropping-particle":"","parse-names":false,"suffix":""},{"dropping-particle":"","family":"Lammert","given":"Frank","non-dropping-particle":"","parse-names":false,"suffix":""},{"dropping-particle":"","family":"Grünhage","given":"Frank","non-dropping-particle":"","parse-names":false,"suffix":""}],"container-title":"PLoS ONE","id":"ITEM-2","issue":"3","issued":{"date-parts":[["2017"]]},"page":"1-12","title":"Panel of three novel serum markers predicts liver stiffness and fibrosis stages in patients with chronic liver disease","type":"article-journal","volume":"12"},"uris":["http://www.mendeley.com/documents/?uuid=eeeb64df-7222-4873-9a12-955961652c6a"]},{"id":"ITEM-3","itemData":{"DOI":"10.3389/fimmu.2017.00801","ISSN":"16643224","abstract":"Placental growth factor (PlGF), a member of the vascular endothelial growth factor (VEGF) family, mediates wound healing and inflammatory responses, exerting an effect on liver fibrosis and angiogenesis; however, the precise mechanism remains unclear. The aims of this study are to identify the role of PlGF in liver inflammation and fibrosis induced by bile duct ligation (BDL) in mice and to reveal the underlying molecular mechanism. PlGF small interfering RNA (siRNA) or non-targeting control siRNA was injected by tail vein starting 2 days after BDL. Liver inflammation, fibrosis, angiogenesis, macrophage infiltration, and hepatic stellate cells (HSCs) activation were examined. Our results showed that PlGF was highly expressed in fibrotic livers and mainly distributed in activated HSCs and macrophages. Furthermore, PlGF silencing strongly reduced the severity of liver inflammation and fibrosis, and inhibited the activation of HSCs. Remarkably, PlGF silencing also attenuated BDL-induced hepatic angiogenesis, as evidenced by attenuated liver endothelial cell markers CD31 and von Willebrand factor immunostaining and genes or protein expression. Interestingly, these pathological ameliorations by PlGF silencing were due to a marked reduction in the numbers of intrahepatic F4/80(+), CD68(+), and Ly6C(+) cell populations, which were reflected by a lower expression of these macrophage marker molecules in fibrotic livers. In addition, knockdown of PlGF by siRNA inhibited macrophages activation and substantially suppressed the expression of pro-inflammatory cytokines and chemokines in fibrotic livers. Mechanistically, evaluation of cultured RAW 264.7 cells revealed that VEGF receptor 1 (VEGFR1) mainly involved in mediating the role of PlGF in macrophages recruitment and activation, since using VEGFR1 neutralizing antibody blocking PlGF/VEGFR1 signaling axis significantly inhibited macrophages migration and inflammatory responses. Together, these findings indicate that PlGF plays an important role in liver inflammation, angiogenesis, and fibrosis by promoting hepatic macrophage recruitment and activation, and suggest that blockage of PlGF could be a promising novel therapy for chronic fibrotic liver diseases.","author":[{"dropping-particle":"","family":"Li","given":"Xi","non-dropping-particle":"","parse-names":false,"suffix":""},{"dropping-particle":"","family":"Jin","given":"Qianwen","non-dropping-particle":"","parse-names":false,"suffix":""},{"dropping-particle":"","family":"Yao","given":"Qunyan","non-dropping-particle":"","parse-names":false,"suffix":""},{"dropping-particle":"","family":"Zhou","given":"Yi","non-dropping-particle":"","parse-names":false,"suffix":""},{"dropping-particle":"","family":"Zou","given":"Yanting","non-dropping-particle":"","parse-names":false,"suffix":""},{"dropping-particle":"","family":"Li","given":"Zheng","non-dropping-particle":"","parse-names":false,"suffix":""},{"dropping-particle":"","family":"Zhang","given":"Shuncai","non-dropping-particle":"","parse-names":false,"suffix":""},{"dropping-particle":"","family":"Tu","given":"Chuantao","non-dropping-particle":"","parse-names":false,"suffix":""}],"container-title":"Frontiers in Immunology","id":"ITEM-3","issue":"JUL","issued":{"date-parts":[["2017"]]},"title":"Placental growth factor contributes to liver inflammation, angiogenesis, fibrosis in mice by promoting hepatic macrophage recruitment and activation","type":"article-journal","volume":"8"},"uris":["http://www.mendeley.com/documents/?uuid=1f433fd7-485d-4d29-a629-df5110e68c97"]}],"mendeley":{"formattedCitation":"&lt;sup&gt;36–38&lt;/sup&gt;","plainTextFormattedCitation":"36–38","previouslyFormattedCitation":"&lt;sup&gt;36–38&lt;/sup&gt;"},"properties":{"noteIndex":0},"schema":"https://github.com/citation-style-language/schema/raw/master/csl-citation.json"}</w:instrText>
      </w:r>
      <w:r w:rsidR="007D4D29" w:rsidRPr="006410B4">
        <w:rPr>
          <w:rStyle w:val="FootnoteReference"/>
          <w:rFonts w:ascii="Book Antiqua" w:eastAsia="Times New Roman" w:hAnsi="Book Antiqua" w:cs="Times New Roman"/>
          <w:color w:val="000000" w:themeColor="text1"/>
          <w:sz w:val="24"/>
          <w:szCs w:val="24"/>
        </w:rPr>
        <w:fldChar w:fldCharType="separate"/>
      </w:r>
      <w:r w:rsidR="007D4D29" w:rsidRPr="006410B4">
        <w:rPr>
          <w:rFonts w:ascii="Book Antiqua" w:eastAsia="Times New Roman" w:hAnsi="Book Antiqua" w:cs="Times New Roman"/>
          <w:bCs/>
          <w:color w:val="000000" w:themeColor="text1"/>
          <w:sz w:val="24"/>
          <w:szCs w:val="24"/>
          <w:vertAlign w:val="superscript"/>
        </w:rPr>
        <w:t>36–38</w:t>
      </w:r>
      <w:r w:rsidR="007D4D29" w:rsidRPr="006410B4">
        <w:rPr>
          <w:rStyle w:val="FootnoteReference"/>
          <w:rFonts w:ascii="Book Antiqua" w:eastAsia="Times New Roman" w:hAnsi="Book Antiqua" w:cs="Times New Roman"/>
          <w:color w:val="000000" w:themeColor="text1"/>
          <w:sz w:val="24"/>
          <w:szCs w:val="24"/>
        </w:rPr>
        <w:fldChar w:fldCharType="end"/>
      </w:r>
      <w:r w:rsidR="007D4D29"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The role of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in portal hypertension is believed to be associated with pathological angiogenesis and vascular maturing through the action on VEGFR-1 receptor</w:t>
      </w:r>
      <w:r w:rsidR="007D4D29" w:rsidRPr="006410B4">
        <w:rPr>
          <w:rFonts w:ascii="Book Antiqua" w:eastAsia="Times New Roman" w:hAnsi="Book Antiqua" w:cs="Times New Roman"/>
          <w:color w:val="000000" w:themeColor="text1"/>
          <w:sz w:val="24"/>
          <w:szCs w:val="24"/>
          <w:vertAlign w:val="superscript"/>
        </w:rPr>
        <w:t>[</w:t>
      </w:r>
      <w:r w:rsidR="007D4D29" w:rsidRPr="006410B4">
        <w:rPr>
          <w:rStyle w:val="FootnoteReference"/>
          <w:rFonts w:ascii="Book Antiqua" w:eastAsia="Times New Roman" w:hAnsi="Book Antiqua" w:cs="Times New Roman"/>
          <w:color w:val="000000" w:themeColor="text1"/>
          <w:sz w:val="24"/>
          <w:szCs w:val="24"/>
        </w:rPr>
        <w:fldChar w:fldCharType="begin" w:fldLock="1"/>
      </w:r>
      <w:r w:rsidR="007D4D29" w:rsidRPr="006410B4">
        <w:rPr>
          <w:rFonts w:ascii="Book Antiqua" w:eastAsia="Times New Roman" w:hAnsi="Book Antiqua" w:cs="Times New Roman"/>
          <w:color w:val="000000" w:themeColor="text1"/>
          <w:sz w:val="24"/>
          <w:szCs w:val="24"/>
        </w:rPr>
        <w:instrText>ADDIN CSL_CITATION {"citationItems":[{"id":"ITEM-1","itemData":{"DOI":"10.1093/gastro/gox011","ISSN":"20520034","abstract":"Portal hypertension is most frequently associated with cirrhosis and is a major driver for associated complications, such as variceal bleeding, ascites or hepatic encephalopathy. As such, clinically significant portal hypertension forms the prelude to decompensation and impacts significantly on the prognosis of patients with liver cirrhosis. At present, non-selective b-blockers, vasopressin analogues and somatostatin analogues are the mainstay of treatment but these strategies are far from satisfactory and only target splanchnic hyperemia. In contrast, safe and reliable strategies to reduce the increased intrahepatic resistance in cirrhotic patients still represent a pending issue. In recent years, several preclinical and clinical trials have focused on this latter component and other therapeutic avenues. In this review, we highlight novel data in this context and address potentially interesting therapeutic options for the future.","author":[{"dropping-particle":"","family":"Schwabl","given":"Philipp","non-dropping-particle":"","parse-names":false,"suffix":""},{"dropping-particle":"","family":"Laleman","given":"Wim","non-dropping-particle":"","parse-names":false,"suffix":""}],"container-title":"Gastroenterology Report","id":"ITEM-1","issue":"2","issued":{"date-parts":[["2017"]]},"page":"90-103","title":"Novel treatment options for portal hypertension","type":"article-journal","volume":"5"},"uris":["http://www.mendeley.com/documents/?uuid=e0dfa08e-3e4a-4acd-b612-0650ef70b724"]},{"id":"ITEM-2","itemData":{"DOI":"10.5604/16652681.1198799","ISBN":"1665-2681","ISSN":"16652681","PMID":"27049484","abstract":"In patients with advanced liver disease with portal hypertension, portal-systemic collaterals contribute to circulatory disturbance, gastrointestinal hemorrhage, hepatic encephalopathy, ascites, hepatopulmonary syndrome and portopulmonary hypertension. Angiogenesis has a pivotal role in the formation of portal-systemic shunts. Recent research has defined many of the mediators and mechanisms involved in this angiogenic process, linking the central roles of hepatic stellate cells and endothelial cells. Studies of animal models have demonstrated the potential therapeutic impact of drugs to inhibit angiogenesis in cirrhosis. For example, inhibition of VEGF reduces portal pressure, hyperdynamic splanchnic circulation, portosystemic collateralization and liver fibrosis. An improved understanding of the role of other angiogenic factors provides hope for a novel targeted therapy for portal hypertension with a tolerable adverse effect profile.","author":[{"dropping-particle":"","family":"Gana","given":"Juan Cristóbal","non-dropping-particle":"","parse-names":false,"suffix":""},{"dropping-particle":"","family":"Serrano","given":"Carolina A.","non-dropping-particle":"","parse-names":false,"suffix":""},{"dropping-particle":"","family":"Ling","given":"Simon C.","non-dropping-particle":"","parse-names":false,"suffix":""}],"container-title":"Annals of Hepatology","id":"ITEM-2","issue":"3","issued":{"date-parts":[["2016"]]},"page":"303-313","title":"Angiogenesis and portal-systemic collaterals in portal hypertension","type":"article-journal","volume":"15"},"uris":["http://www.mendeley.com/documents/?uuid=45f061ab-8896-4669-87da-4b99d16ccd8e"]}],"mendeley":{"formattedCitation":"&lt;sup&gt;5,20&lt;/sup&gt;","plainTextFormattedCitation":"5,20","previouslyFormattedCitation":"&lt;sup&gt;5,19&lt;/sup&gt;"},"properties":{"noteIndex":0},"schema":"https://github.com/citation-style-language/schema/raw/master/csl-citation.json"}</w:instrText>
      </w:r>
      <w:r w:rsidR="007D4D29" w:rsidRPr="006410B4">
        <w:rPr>
          <w:rStyle w:val="FootnoteReference"/>
          <w:rFonts w:ascii="Book Antiqua" w:eastAsia="Times New Roman" w:hAnsi="Book Antiqua" w:cs="Times New Roman"/>
          <w:color w:val="000000" w:themeColor="text1"/>
          <w:sz w:val="24"/>
          <w:szCs w:val="24"/>
        </w:rPr>
        <w:fldChar w:fldCharType="separate"/>
      </w:r>
      <w:r w:rsidR="007D4D29" w:rsidRPr="006410B4">
        <w:rPr>
          <w:rFonts w:ascii="Book Antiqua" w:eastAsia="Times New Roman" w:hAnsi="Book Antiqua" w:cs="Times New Roman"/>
          <w:color w:val="000000" w:themeColor="text1"/>
          <w:sz w:val="24"/>
          <w:szCs w:val="24"/>
          <w:vertAlign w:val="superscript"/>
        </w:rPr>
        <w:t>5,20</w:t>
      </w:r>
      <w:r w:rsidR="007D4D29" w:rsidRPr="006410B4">
        <w:rPr>
          <w:rStyle w:val="FootnoteReference"/>
          <w:rFonts w:ascii="Book Antiqua" w:eastAsia="Times New Roman" w:hAnsi="Book Antiqua" w:cs="Times New Roman"/>
          <w:color w:val="000000" w:themeColor="text1"/>
          <w:sz w:val="24"/>
          <w:szCs w:val="24"/>
        </w:rPr>
        <w:fldChar w:fldCharType="end"/>
      </w:r>
      <w:r w:rsidR="007D4D29"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Thus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antibodies or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knockout decreased neo-vascularization, </w:t>
      </w:r>
      <w:r w:rsidR="005F133F" w:rsidRPr="006410B4">
        <w:rPr>
          <w:rFonts w:ascii="Book Antiqua" w:eastAsia="Times New Roman" w:hAnsi="Book Antiqua" w:cs="Times New Roman"/>
          <w:color w:val="000000" w:themeColor="text1"/>
          <w:sz w:val="24"/>
          <w:szCs w:val="24"/>
        </w:rPr>
        <w:t>splanchnic</w:t>
      </w:r>
      <w:r w:rsidRPr="006410B4">
        <w:rPr>
          <w:rFonts w:ascii="Book Antiqua" w:eastAsia="Times New Roman" w:hAnsi="Book Antiqua" w:cs="Times New Roman"/>
          <w:color w:val="000000" w:themeColor="text1"/>
          <w:sz w:val="24"/>
          <w:szCs w:val="24"/>
        </w:rPr>
        <w:t xml:space="preserve"> blood flow and portal pressure in animal models</w:t>
      </w:r>
      <w:r w:rsidR="007D4D29" w:rsidRPr="006410B4">
        <w:rPr>
          <w:rFonts w:ascii="Book Antiqua" w:eastAsia="Times New Roman" w:hAnsi="Book Antiqua" w:cs="Times New Roman"/>
          <w:color w:val="000000" w:themeColor="text1"/>
          <w:sz w:val="24"/>
          <w:szCs w:val="24"/>
          <w:vertAlign w:val="superscript"/>
        </w:rPr>
        <w:t>[</w:t>
      </w:r>
      <w:r w:rsidR="007D4D29" w:rsidRPr="006410B4">
        <w:rPr>
          <w:rStyle w:val="FootnoteReference"/>
          <w:rFonts w:ascii="Book Antiqua" w:eastAsia="Times New Roman" w:hAnsi="Book Antiqua" w:cs="Times New Roman"/>
          <w:color w:val="000000" w:themeColor="text1"/>
          <w:sz w:val="24"/>
          <w:szCs w:val="24"/>
        </w:rPr>
        <w:fldChar w:fldCharType="begin" w:fldLock="1"/>
      </w:r>
      <w:r w:rsidR="007D4D29" w:rsidRPr="006410B4">
        <w:rPr>
          <w:rFonts w:ascii="Book Antiqua" w:eastAsia="Times New Roman" w:hAnsi="Book Antiqua" w:cs="Times New Roman"/>
          <w:color w:val="000000" w:themeColor="text1"/>
          <w:sz w:val="24"/>
          <w:szCs w:val="24"/>
        </w:rPr>
        <w:instrText>ADDIN CSL_CITATION {"citationItems":[{"id":"ITEM-1","itemData":{"DOI":"10.1002/hep.24238","ISBN":"1527-3350 (Electronic)\\r0270-9139 (Linking)","ISSN":"02709139","PMID":"21520176","abstract":"Placental growth factor (PlGF) is associated selectively with pathological angiogenesis, and PlGF blockade does not affect the healthy vasculature. Anti-PlGF is therefore currently being clinically evaluated for the treatment of cancer patients. In cirrhosis, hepatic fibrogenesis is accompanied by extensive angiogenesis. In this paper, we evaluated the pathophysiological role of PlGF and the therapeutic potential of anti-PlGF in liver cirrhosis. PlGF was significantly up-regulated in the CCl(4) -induced rodent model of liver cirrhosis as well as in cirrhotic patients. Compared with wild-type animals, cirrhotic PlGF(-/-) mice showed a significant reduction in angiogenesis, arteriogenesis, inflammation, fibrosis, and portal hypertension. Importantly, pharmacological inhibition with anti-PlGF antibodies yielded similar results as genetic loss of PlGF. Notably, PlGF treatment of activated hepatic stellate cells induced sustained extracellular signal-regulated kinase 1/2 phosphorylation, as well as chemotaxis and proliferation, indicating a previously unrecognized profibrogenic role of PlGF. CONCLUSION: PlGF is a disease-candidate gene in liver cirrhosis, and inhibition of PlGF offers a therapeutic alternative with an attractive safety profile.","author":[{"dropping-particle":"Van","family":"Steenkiste","given":"Christophe","non-dropping-particle":"","parse-names":false,"suffix":""},{"dropping-particle":"","family":"Ribera","given":"Jordi","non-dropping-particle":"","parse-names":false,"suffix":""},{"dropping-particle":"","family":"Geerts","given":"Anja","non-dropping-particle":"","parse-names":false,"suffix":""},{"dropping-particle":"","family":"Pauta","given":"Montse","non-dropping-particle":"","parse-names":false,"suffix":""},{"dropping-particle":"","family":"Tugues","given":"Sònia","non-dropping-particle":"","parse-names":false,"suffix":""},{"dropping-particle":"","family":"Casteleyn","given":"Christophe","non-dropping-particle":"","parse-names":false,"suffix":""},{"dropping-particle":"","family":"Libbrecht","given":"Louis","non-dropping-particle":"","parse-names":false,"suffix":""},{"dropping-particle":"","family":"Olievier","given":"Kim","non-dropping-particle":"","parse-names":false,"suffix":""},{"dropping-particle":"","family":"Schroyen","given":"Ben","non-dropping-particle":"","parse-names":false,"suffix":""},{"dropping-particle":"","family":"Reynaert","given":"Hendrik","non-dropping-particle":"","parse-names":false,"suffix":""},{"dropping-particle":"","family":"Grunsven","given":"Leo A.","non-dropping-particle":"van","parse-names":false,"suffix":""},{"dropping-particle":"","family":"Blomme","given":"Bram","non-dropping-particle":"","parse-names":false,"suffix":""},{"dropping-particle":"","family":"Coulon","given":"Stephanie","non-dropping-particle":"","parse-names":false,"suffix":""},{"dropping-particle":"","family":"Heindryckx","given":"Femke","non-dropping-particle":"","parse-names":false,"suffix":""},{"dropping-particle":"","family":"Vos","given":"Martine","non-dropping-particle":"De","parse-names":false,"suffix":""},{"dropping-particle":"","family":"Stassen","given":"Jean Marie","non-dropping-particle":"","parse-names":false,"suffix":""},{"dropping-particle":"","family":"Vinckier","given":"Stefan","non-dropping-particle":"","parse-names":false,"suffix":""},{"dropping-particle":"","family":"Altamirano","given":"Jose","non-dropping-particle":"","parse-names":false,"suffix":""},{"dropping-particle":"","family":"Bataller","given":"Ramón","non-dropping-particle":"","parse-names":false,"suffix":""},{"dropping-particle":"","family":"Carmeliet","given":"Peter","non-dropping-particle":"","parse-names":false,"suffix":""},{"dropping-particle":"","family":"Vlierberghe","given":"Hans","non-dropping-particle":"Van","parse-names":false,"suffix":""},{"dropping-particle":"","family":"Colle","given":"Isabelle","non-dropping-particle":"","parse-names":false,"suffix":""},{"dropping-particle":"","family":"Morales-Ruiz","given":"Manuel","non-dropping-particle":"","parse-names":false,"suffix":""}],"container-title":"Hepatology","id":"ITEM-1","issue":"5","issued":{"date-parts":[["2011"]]},"page":"1629-1640","title":"Inhibition of placental growth factor activity reduces the severity of fibrosis, inflammation, and portal hypertension in cirrhotic mice","type":"article-journal","volume":"53"},"uris":["http://www.mendeley.com/documents/?uuid=bc8a01cf-291e-4ca2-b50f-db855c1363f5"]},{"id":"ITEM-2","itemData":{"DOI":"10.1111/j.1478-3231.2006.01308.x","ISBN":"1478-3223 (Print)","ISSN":"14783223","PMID":"16911473","abstract":"BACKGROUND: In vivo evidence for angiogenesis in the splanchnic vasodilation in portal hypertension (PHT) and cirrhosis is lacking. Vascular endothelial growth factor (VEGF) and endothelial nitric oxide synthase (eNOS) are mediators of angiogenesis. The present study visualises in vivo structural changes (angiogenesis and vascular hyperpermeability) and examines the presence of VEGF and eNOS in the mesenteric microvasculature of animal models of PHT with and without cirrhosis.","author":[{"dropping-particle":"","family":"Geerts","given":"Anja M.","non-dropping-particle":"","parse-names":false,"suffix":""},{"dropping-particle":"","family":"Vriese","given":"An S.","non-dropping-particle":"De","parse-names":false,"suffix":""},{"dropping-particle":"","family":"Vanheule","given":"Eline","non-dropping-particle":"","parse-names":false,"suffix":""},{"dropping-particle":"","family":"Vlierberghe","given":"Hans","non-dropping-particle":"Van","parse-names":false,"suffix":""},{"dropping-particle":"","family":"Mortier","given":"Siska","non-dropping-particle":"","parse-names":false,"suffix":""},{"dropping-particle":"","family":"Cheung","given":"Kin Jip","non-dropping-particle":"","parse-names":false,"suffix":""},{"dropping-particle":"","family":"Demetter","given":"Pieter","non-dropping-particle":"","parse-names":false,"suffix":""},{"dropping-particle":"","family":"Lameire","given":"Norbert","non-dropping-particle":"","parse-names":false,"suffix":""},{"dropping-particle":"","family":"Vos","given":"Martine","non-dropping-particle":"De","parse-names":false,"suffix":""},{"dropping-particle":"","family":"Colle","given":"Isabelle","non-dropping-particle":"","parse-names":false,"suffix":""}],"container-title":"Liver International","id":"ITEM-2","issue":"7","issued":{"date-parts":[["2006"]]},"page":"889-898","title":"Increased angiogenesis and permeability in the mesenteric microvasculature of rats with cirrhosis and portal hypertension: An in vivo study","type":"article-journal","volume":"26"},"uris":["http://www.mendeley.com/documents/?uuid=7f353468-f2ea-48c1-a86e-9970de549442"]},{"id":"ITEM-3","itemData":{"DOI":"10.1053/j.gastro.2009.08.068","ISBN":"0016-5085","ISSN":"00165085","PMID":"19751735","abstract":"Background &amp; Aims: Portal hypertension is responsible for the major complications associated with cirrhosis. Angiogenesis has been associated with the pathophysiology of portal hypertension. We investigated the role of placental growth factor (PlGF) and tested the effects of monoclonal antibodies against PlGF (αPlGF) in a mouse model of portal hypertension. Methods: Using a mouse model of prehepatic portal hypertension, we measured PlGF levels in the mesenteric tissue at different time points. We used knockout mice and αPlGF to determine the role of PlGF in the splanchnic hyperdynamic system and portosystemic collateral formation, examining its effects before and after portal hypertension was induced. Results: PlGF was significantly up-regulated in the mesenteric tissue of mice with portal hypertension. Compared with wild-type animals, the vascular density in the mesentery was reduced in PlGF knockout hypertensive mice, preventing collateral formation and attenuation of mesenteric artery flow without affecting portal pressure. In the prevention study, αPlGF showed similar findings as in the knockout study. In mice with portal hypertension, administration of αPlGF resulted in a 32% decrease in portal pressure, compared with mice given immunoglobulin G1(control). Conclusions: Pathologic angiogenesis in the mesenteric tissues of mice with portal hypertension is mediated by PlGF. Blocking PlGF could be an effective strategy for reducing collateral formation and lowering portal pressure; further research into the effects in cirrhosis is warranted. © 2009 AGA Institute.","author":[{"dropping-particle":"","family":"Steenkiste","given":"Christophe","non-dropping-particle":"Van","parse-names":false,"suffix":""},{"dropping-particle":"","family":"Geerts","given":"Anja","non-dropping-particle":"","parse-names":false,"suffix":""},{"dropping-particle":"","family":"Vanheule","given":"Eline","non-dropping-particle":"","parse-names":false,"suffix":""},{"dropping-particle":"","family":"Vlierberghe","given":"Hans","non-dropping-particle":"Van","parse-names":false,"suffix":""},{"dropping-particle":"","family":"Vos","given":"Filip","non-dropping-particle":"De","parse-names":false,"suffix":""},{"dropping-particle":"","family":"Olievier","given":"Kim","non-dropping-particle":"","parse-names":false,"suffix":""},{"dropping-particle":"","family":"Casteleyn","given":"Christophe","non-dropping-particle":"","parse-names":false,"suffix":""},{"dropping-particle":"","family":"Laukens","given":"Debby","non-dropping-particle":"","parse-names":false,"suffix":""},{"dropping-particle":"","family":"Vos","given":"Martine","non-dropping-particle":"De","parse-names":false,"suffix":""},{"dropping-particle":"","family":"Stassen","given":"Jean Marie","non-dropping-particle":"","parse-names":false,"suffix":""},{"dropping-particle":"","family":"Carmeliet","given":"Peter","non-dropping-particle":"","parse-names":false,"suffix":""},{"dropping-particle":"","family":"Colle","given":"Isabelle","non-dropping-particle":"","parse-names":false,"suffix":""}],"container-title":"Gastroenterology","id":"ITEM-3","issue":"6","issued":{"date-parts":[["2009"]]},"page":"2112-2124.e6","publisher":"Elsevier Inc.","title":"Role of Placental Growth Factor in Mesenteric Neoangiogenesis in a Mouse Model of Portal Hypertension","type":"article-journal","volume":"137"},"uris":["http://www.mendeley.com/documents/?uuid=144da20c-2ec9-4f8d-9b97-7f18b822e58c"]}],"mendeley":{"formattedCitation":"&lt;sup&gt;9,17,39&lt;/sup&gt;","plainTextFormattedCitation":"9,17,39","previouslyFormattedCitation":"&lt;sup&gt;9,16,39&lt;/sup&gt;"},"properties":{"noteIndex":0},"schema":"https://github.com/citation-style-language/schema/raw/master/csl-citation.json"}</w:instrText>
      </w:r>
      <w:r w:rsidR="007D4D29" w:rsidRPr="006410B4">
        <w:rPr>
          <w:rStyle w:val="FootnoteReference"/>
          <w:rFonts w:ascii="Book Antiqua" w:eastAsia="Times New Roman" w:hAnsi="Book Antiqua" w:cs="Times New Roman"/>
          <w:color w:val="000000" w:themeColor="text1"/>
          <w:sz w:val="24"/>
          <w:szCs w:val="24"/>
        </w:rPr>
        <w:fldChar w:fldCharType="separate"/>
      </w:r>
      <w:r w:rsidR="007D4D29" w:rsidRPr="006410B4">
        <w:rPr>
          <w:rFonts w:ascii="Book Antiqua" w:eastAsia="Times New Roman" w:hAnsi="Book Antiqua" w:cs="Times New Roman"/>
          <w:color w:val="000000" w:themeColor="text1"/>
          <w:sz w:val="24"/>
          <w:szCs w:val="24"/>
          <w:vertAlign w:val="superscript"/>
        </w:rPr>
        <w:t>9,17,39</w:t>
      </w:r>
      <w:r w:rsidR="007D4D29" w:rsidRPr="006410B4">
        <w:rPr>
          <w:rStyle w:val="FootnoteReference"/>
          <w:rFonts w:ascii="Book Antiqua" w:eastAsia="Times New Roman" w:hAnsi="Book Antiqua" w:cs="Times New Roman"/>
          <w:color w:val="000000" w:themeColor="text1"/>
          <w:sz w:val="24"/>
          <w:szCs w:val="24"/>
        </w:rPr>
        <w:fldChar w:fldCharType="end"/>
      </w:r>
      <w:r w:rsidR="007D4D29" w:rsidRPr="006410B4">
        <w:rPr>
          <w:rStyle w:val="FootnoteReference"/>
          <w:rFonts w:ascii="Book Antiqua" w:eastAsia="Times New Roman" w:hAnsi="Book Antiqua" w:cs="Times New Roman"/>
          <w:color w:val="000000" w:themeColor="text1"/>
          <w:sz w:val="24"/>
          <w:szCs w:val="24"/>
        </w:rPr>
        <w:t>]</w:t>
      </w:r>
      <w:r w:rsidR="00FB65D0"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To our knowledge only one previous study evaluated the association of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to liver cirrhosis and HVPG in humans. Van </w:t>
      </w:r>
      <w:proofErr w:type="spellStart"/>
      <w:r w:rsidRPr="006410B4">
        <w:rPr>
          <w:rFonts w:ascii="Book Antiqua" w:eastAsia="Times New Roman" w:hAnsi="Book Antiqua" w:cs="Times New Roman"/>
          <w:color w:val="000000" w:themeColor="text1"/>
          <w:sz w:val="24"/>
          <w:szCs w:val="24"/>
        </w:rPr>
        <w:t>Steenkiste</w:t>
      </w:r>
      <w:proofErr w:type="spellEnd"/>
      <w:r w:rsidRPr="006410B4">
        <w:rPr>
          <w:rFonts w:ascii="Book Antiqua" w:eastAsia="Times New Roman" w:hAnsi="Book Antiqua" w:cs="Times New Roman"/>
          <w:color w:val="000000" w:themeColor="text1"/>
          <w:sz w:val="24"/>
          <w:szCs w:val="24"/>
        </w:rPr>
        <w:t xml:space="preserve"> </w:t>
      </w:r>
      <w:r w:rsidRPr="007D4D29">
        <w:rPr>
          <w:rFonts w:ascii="Book Antiqua" w:eastAsia="Times New Roman" w:hAnsi="Book Antiqua" w:cs="Times New Roman"/>
          <w:i/>
          <w:color w:val="000000" w:themeColor="text1"/>
          <w:sz w:val="24"/>
          <w:szCs w:val="24"/>
        </w:rPr>
        <w:t>et al</w:t>
      </w:r>
      <w:r w:rsidR="007D4D29" w:rsidRPr="006410B4">
        <w:rPr>
          <w:rFonts w:ascii="Book Antiqua" w:eastAsia="Times New Roman" w:hAnsi="Book Antiqua" w:cs="Times New Roman"/>
          <w:color w:val="000000" w:themeColor="text1"/>
          <w:sz w:val="24"/>
          <w:szCs w:val="24"/>
          <w:vertAlign w:val="superscript"/>
        </w:rPr>
        <w:t>[</w:t>
      </w:r>
      <w:r w:rsidR="007D4D29" w:rsidRPr="006410B4">
        <w:rPr>
          <w:rStyle w:val="FootnoteReference"/>
          <w:rFonts w:ascii="Book Antiqua" w:eastAsia="Times New Roman" w:hAnsi="Book Antiqua" w:cs="Times New Roman"/>
          <w:color w:val="000000" w:themeColor="text1"/>
          <w:sz w:val="24"/>
          <w:szCs w:val="24"/>
        </w:rPr>
        <w:fldChar w:fldCharType="begin" w:fldLock="1"/>
      </w:r>
      <w:r w:rsidR="007D4D29" w:rsidRPr="006410B4">
        <w:rPr>
          <w:rFonts w:ascii="Book Antiqua" w:eastAsia="Times New Roman" w:hAnsi="Book Antiqua" w:cs="Times New Roman"/>
          <w:color w:val="000000" w:themeColor="text1"/>
          <w:sz w:val="24"/>
          <w:szCs w:val="24"/>
        </w:rPr>
        <w:instrText>ADDIN CSL_CITATION {"citationItems":[{"id":"ITEM-1","itemData":{"DOI":"10.1002/hep.24238","ISBN":"1527-3350 (Electronic)\\r0270-9139 (Linking)","ISSN":"02709139","PMID":"21520176","abstract":"Placental growth factor (PlGF) is associated selectively with pathological angiogenesis, and PlGF blockade does not affect the healthy vasculature. Anti-PlGF is therefore currently being clinically evaluated for the treatment of cancer patients. In cirrhosis, hepatic fibrogenesis is accompanied by extensive angiogenesis. In this paper, we evaluated the pathophysiological role of PlGF and the therapeutic potential of anti-PlGF in liver cirrhosis. PlGF was significantly up-regulated in the CCl(4) -induced rodent model of liver cirrhosis as well as in cirrhotic patients. Compared with wild-type animals, cirrhotic PlGF(-/-) mice showed a significant reduction in angiogenesis, arteriogenesis, inflammation, fibrosis, and portal hypertension. Importantly, pharmacological inhibition with anti-PlGF antibodies yielded similar results as genetic loss of PlGF. Notably, PlGF treatment of activated hepatic stellate cells induced sustained extracellular signal-regulated kinase 1/2 phosphorylation, as well as chemotaxis and proliferation, indicating a previously unrecognized profibrogenic role of PlGF. CONCLUSION: PlGF is a disease-candidate gene in liver cirrhosis, and inhibition of PlGF offers a therapeutic alternative with an attractive safety profile.","author":[{"dropping-particle":"Van","family":"Steenkiste","given":"Christophe","non-dropping-particle":"","parse-names":false,"suffix":""},{"dropping-particle":"","family":"Ribera","given":"Jordi","non-dropping-particle":"","parse-names":false,"suffix":""},{"dropping-particle":"","family":"Geerts","given":"Anja","non-dropping-particle":"","parse-names":false,"suffix":""},{"dropping-particle":"","family":"Pauta","given":"Montse","non-dropping-particle":"","parse-names":false,"suffix":""},{"dropping-particle":"","family":"Tugues","given":"Sònia","non-dropping-particle":"","parse-names":false,"suffix":""},{"dropping-particle":"","family":"Casteleyn","given":"Christophe","non-dropping-particle":"","parse-names":false,"suffix":""},{"dropping-particle":"","family":"Libbrecht","given":"Louis","non-dropping-particle":"","parse-names":false,"suffix":""},{"dropping-particle":"","family":"Olievier","given":"Kim","non-dropping-particle":"","parse-names":false,"suffix":""},{"dropping-particle":"","family":"Schroyen","given":"Ben","non-dropping-particle":"","parse-names":false,"suffix":""},{"dropping-particle":"","family":"Reynaert","given":"Hendrik","non-dropping-particle":"","parse-names":false,"suffix":""},{"dropping-particle":"","family":"Grunsven","given":"Leo A.","non-dropping-particle":"van","parse-names":false,"suffix":""},{"dropping-particle":"","family":"Blomme","given":"Bram","non-dropping-particle":"","parse-names":false,"suffix":""},{"dropping-particle":"","family":"Coulon","given":"Stephanie","non-dropping-particle":"","parse-names":false,"suffix":""},{"dropping-particle":"","family":"Heindryckx","given":"Femke","non-dropping-particle":"","parse-names":false,"suffix":""},{"dropping-particle":"","family":"Vos","given":"Martine","non-dropping-particle":"De","parse-names":false,"suffix":""},{"dropping-particle":"","family":"Stassen","given":"Jean Marie","non-dropping-particle":"","parse-names":false,"suffix":""},{"dropping-particle":"","family":"Vinckier","given":"Stefan","non-dropping-particle":"","parse-names":false,"suffix":""},{"dropping-particle":"","family":"Altamirano","given":"Jose","non-dropping-particle":"","parse-names":false,"suffix":""},{"dropping-particle":"","family":"Bataller","given":"Ramón","non-dropping-particle":"","parse-names":false,"suffix":""},{"dropping-particle":"","family":"Carmeliet","given":"Peter","non-dropping-particle":"","parse-names":false,"suffix":""},{"dropping-particle":"","family":"Vlierberghe","given":"Hans","non-dropping-particle":"Van","parse-names":false,"suffix":""},{"dropping-particle":"","family":"Colle","given":"Isabelle","non-dropping-particle":"","parse-names":false,"suffix":""},{"dropping-particle":"","family":"Morales-Ruiz","given":"Manuel","non-dropping-particle":"","parse-names":false,"suffix":""}],"container-title":"Hepatology","id":"ITEM-1","issue":"5","issued":{"date-parts":[["2011"]]},"page":"1629-1640","title":"Inhibition of placental growth factor activity reduces the severity of fibrosis, inflammation, and portal hypertension in cirrhotic mice","type":"article-journal","volume":"53"},"uris":["http://www.mendeley.com/documents/?uuid=bc8a01cf-291e-4ca2-b50f-db855c1363f5"]}],"mendeley":{"formattedCitation":"&lt;sup&gt;17&lt;/sup&gt;","plainTextFormattedCitation":"17","previouslyFormattedCitation":"&lt;sup&gt;16&lt;/sup&gt;"},"properties":{"noteIndex":0},"schema":"https://github.com/citation-style-language/schema/raw/master/csl-citation.json"}</w:instrText>
      </w:r>
      <w:r w:rsidR="007D4D29" w:rsidRPr="006410B4">
        <w:rPr>
          <w:rStyle w:val="FootnoteReference"/>
          <w:rFonts w:ascii="Book Antiqua" w:eastAsia="Times New Roman" w:hAnsi="Book Antiqua" w:cs="Times New Roman"/>
          <w:color w:val="000000" w:themeColor="text1"/>
          <w:sz w:val="24"/>
          <w:szCs w:val="24"/>
        </w:rPr>
        <w:fldChar w:fldCharType="separate"/>
      </w:r>
      <w:r w:rsidR="007D4D29" w:rsidRPr="006410B4">
        <w:rPr>
          <w:rFonts w:ascii="Book Antiqua" w:eastAsia="Times New Roman" w:hAnsi="Book Antiqua" w:cs="Times New Roman"/>
          <w:color w:val="000000" w:themeColor="text1"/>
          <w:sz w:val="24"/>
          <w:szCs w:val="24"/>
          <w:vertAlign w:val="superscript"/>
        </w:rPr>
        <w:t>17</w:t>
      </w:r>
      <w:r w:rsidR="007D4D29" w:rsidRPr="006410B4">
        <w:rPr>
          <w:rStyle w:val="FootnoteReference"/>
          <w:rFonts w:ascii="Book Antiqua" w:eastAsia="Times New Roman" w:hAnsi="Book Antiqua" w:cs="Times New Roman"/>
          <w:color w:val="000000" w:themeColor="text1"/>
          <w:sz w:val="24"/>
          <w:szCs w:val="24"/>
        </w:rPr>
        <w:fldChar w:fldCharType="end"/>
      </w:r>
      <w:r w:rsidR="007D4D29" w:rsidRPr="006410B4">
        <w:rPr>
          <w:rStyle w:val="FootnoteReference"/>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reported the increase of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expression in cirrhotic liver, increase in plasma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levels in patients with alcoholic hepatitis and a linear correlation between plasma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levels and HVPG</w:t>
      </w:r>
      <w:r w:rsidR="00286FAE"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Our findings support this evidence as we have also observed increased plasma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levels in patients with </w:t>
      </w:r>
      <w:r w:rsidR="005F133F" w:rsidRPr="006410B4">
        <w:rPr>
          <w:rFonts w:ascii="Book Antiqua" w:eastAsia="Times New Roman" w:hAnsi="Book Antiqua" w:cs="Times New Roman"/>
          <w:color w:val="000000" w:themeColor="text1"/>
          <w:sz w:val="24"/>
          <w:szCs w:val="24"/>
        </w:rPr>
        <w:t>hepatitis</w:t>
      </w:r>
      <w:r w:rsidRPr="006410B4">
        <w:rPr>
          <w:rFonts w:ascii="Book Antiqua" w:eastAsia="Times New Roman" w:hAnsi="Book Antiqua" w:cs="Times New Roman"/>
          <w:color w:val="000000" w:themeColor="text1"/>
          <w:sz w:val="24"/>
          <w:szCs w:val="24"/>
        </w:rPr>
        <w:t xml:space="preserve"> C</w:t>
      </w:r>
      <w:r w:rsidR="00F34D96" w:rsidRPr="006410B4">
        <w:rPr>
          <w:rFonts w:ascii="Book Antiqua" w:eastAsia="Times New Roman" w:hAnsi="Book Antiqua" w:cs="Times New Roman"/>
          <w:color w:val="000000" w:themeColor="text1"/>
          <w:sz w:val="24"/>
          <w:szCs w:val="24"/>
        </w:rPr>
        <w:t xml:space="preserve"> virus and alcohol</w:t>
      </w:r>
      <w:r w:rsidR="0048559A" w:rsidRPr="006410B4">
        <w:rPr>
          <w:rFonts w:ascii="Book Antiqua" w:eastAsia="Times New Roman" w:hAnsi="Book Antiqua" w:cs="Times New Roman"/>
          <w:color w:val="000000" w:themeColor="text1"/>
          <w:sz w:val="24"/>
          <w:szCs w:val="24"/>
        </w:rPr>
        <w:t>-</w:t>
      </w:r>
      <w:r w:rsidR="00F34D96" w:rsidRPr="006410B4">
        <w:rPr>
          <w:rFonts w:ascii="Book Antiqua" w:eastAsia="Times New Roman" w:hAnsi="Book Antiqua" w:cs="Times New Roman"/>
          <w:color w:val="000000" w:themeColor="text1"/>
          <w:sz w:val="24"/>
          <w:szCs w:val="24"/>
        </w:rPr>
        <w:t>induced liver</w:t>
      </w:r>
      <w:r w:rsidRPr="006410B4">
        <w:rPr>
          <w:rFonts w:ascii="Book Antiqua" w:eastAsia="Times New Roman" w:hAnsi="Book Antiqua" w:cs="Times New Roman"/>
          <w:color w:val="000000" w:themeColor="text1"/>
          <w:sz w:val="24"/>
          <w:szCs w:val="24"/>
        </w:rPr>
        <w:t xml:space="preserve"> cirrhosis as well as linear correlation between plasma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levels and HVPG. </w:t>
      </w:r>
      <w:proofErr w:type="spellStart"/>
      <w:r w:rsidR="00E709BC" w:rsidRPr="006410B4">
        <w:rPr>
          <w:rFonts w:ascii="Book Antiqua" w:eastAsia="Times New Roman" w:hAnsi="Book Antiqua" w:cs="Times New Roman"/>
          <w:color w:val="000000" w:themeColor="text1"/>
          <w:sz w:val="24"/>
          <w:szCs w:val="24"/>
        </w:rPr>
        <w:t>PlGF</w:t>
      </w:r>
      <w:proofErr w:type="spellEnd"/>
      <w:r w:rsidR="00E709BC" w:rsidRPr="006410B4">
        <w:rPr>
          <w:rFonts w:ascii="Book Antiqua" w:eastAsia="Times New Roman" w:hAnsi="Book Antiqua" w:cs="Times New Roman"/>
          <w:color w:val="000000" w:themeColor="text1"/>
          <w:sz w:val="24"/>
          <w:szCs w:val="24"/>
        </w:rPr>
        <w:t xml:space="preserve"> levels </w:t>
      </w:r>
      <w:r w:rsidR="00357F5F" w:rsidRPr="006410B4">
        <w:rPr>
          <w:rFonts w:ascii="Book Antiqua" w:eastAsia="Times New Roman" w:hAnsi="Book Antiqua" w:cs="Times New Roman"/>
          <w:color w:val="000000" w:themeColor="text1"/>
          <w:sz w:val="24"/>
          <w:szCs w:val="24"/>
        </w:rPr>
        <w:t>at the</w:t>
      </w:r>
      <w:r w:rsidR="00E709BC" w:rsidRPr="006410B4">
        <w:rPr>
          <w:rFonts w:ascii="Book Antiqua" w:eastAsia="Times New Roman" w:hAnsi="Book Antiqua" w:cs="Times New Roman"/>
          <w:color w:val="000000" w:themeColor="text1"/>
          <w:sz w:val="24"/>
          <w:szCs w:val="24"/>
        </w:rPr>
        <w:t xml:space="preserve"> </w:t>
      </w:r>
      <w:r w:rsidR="00E709BC" w:rsidRPr="006410B4">
        <w:rPr>
          <w:rFonts w:ascii="Book Antiqua" w:eastAsia="Times New Roman" w:hAnsi="Book Antiqua" w:cs="Times New Roman"/>
          <w:color w:val="000000" w:themeColor="text1"/>
          <w:sz w:val="24"/>
          <w:szCs w:val="24"/>
        </w:rPr>
        <w:lastRenderedPageBreak/>
        <w:t xml:space="preserve">hepatic vein did not differ from </w:t>
      </w:r>
      <w:r w:rsidR="0048559A" w:rsidRPr="006410B4">
        <w:rPr>
          <w:rFonts w:ascii="Book Antiqua" w:eastAsia="Times New Roman" w:hAnsi="Book Antiqua" w:cs="Times New Roman"/>
          <w:color w:val="000000" w:themeColor="text1"/>
          <w:sz w:val="24"/>
          <w:szCs w:val="24"/>
        </w:rPr>
        <w:t xml:space="preserve">the </w:t>
      </w:r>
      <w:r w:rsidR="00E709BC" w:rsidRPr="006410B4">
        <w:rPr>
          <w:rFonts w:ascii="Book Antiqua" w:eastAsia="Times New Roman" w:hAnsi="Book Antiqua" w:cs="Times New Roman"/>
          <w:color w:val="000000" w:themeColor="text1"/>
          <w:sz w:val="24"/>
          <w:szCs w:val="24"/>
        </w:rPr>
        <w:t xml:space="preserve">levels </w:t>
      </w:r>
      <w:r w:rsidR="0048559A" w:rsidRPr="006410B4">
        <w:rPr>
          <w:rFonts w:ascii="Book Antiqua" w:eastAsia="Times New Roman" w:hAnsi="Book Antiqua" w:cs="Times New Roman"/>
          <w:color w:val="000000" w:themeColor="text1"/>
          <w:sz w:val="24"/>
          <w:szCs w:val="24"/>
        </w:rPr>
        <w:t>at</w:t>
      </w:r>
      <w:r w:rsidR="00E709BC" w:rsidRPr="006410B4">
        <w:rPr>
          <w:rFonts w:ascii="Book Antiqua" w:eastAsia="Times New Roman" w:hAnsi="Book Antiqua" w:cs="Times New Roman"/>
          <w:color w:val="000000" w:themeColor="text1"/>
          <w:sz w:val="24"/>
          <w:szCs w:val="24"/>
        </w:rPr>
        <w:t xml:space="preserve"> the peripheral vein, suggesting that </w:t>
      </w:r>
      <w:proofErr w:type="spellStart"/>
      <w:r w:rsidR="00E709BC" w:rsidRPr="006410B4">
        <w:rPr>
          <w:rFonts w:ascii="Book Antiqua" w:eastAsia="Times New Roman" w:hAnsi="Book Antiqua" w:cs="Times New Roman"/>
          <w:color w:val="000000" w:themeColor="text1"/>
          <w:sz w:val="24"/>
          <w:szCs w:val="24"/>
        </w:rPr>
        <w:t>PlGF</w:t>
      </w:r>
      <w:proofErr w:type="spellEnd"/>
      <w:r w:rsidR="00E709BC" w:rsidRPr="006410B4">
        <w:rPr>
          <w:rFonts w:ascii="Book Antiqua" w:eastAsia="Times New Roman" w:hAnsi="Book Antiqua" w:cs="Times New Roman"/>
          <w:color w:val="000000" w:themeColor="text1"/>
          <w:sz w:val="24"/>
          <w:szCs w:val="24"/>
        </w:rPr>
        <w:t xml:space="preserve"> levels remain stable after passing to </w:t>
      </w:r>
      <w:r w:rsidR="00357F5F" w:rsidRPr="006410B4">
        <w:rPr>
          <w:rFonts w:ascii="Book Antiqua" w:eastAsia="Times New Roman" w:hAnsi="Book Antiqua" w:cs="Times New Roman"/>
          <w:color w:val="000000" w:themeColor="text1"/>
          <w:sz w:val="24"/>
          <w:szCs w:val="24"/>
        </w:rPr>
        <w:t xml:space="preserve">the </w:t>
      </w:r>
      <w:r w:rsidR="00E709BC" w:rsidRPr="006410B4">
        <w:rPr>
          <w:rFonts w:ascii="Book Antiqua" w:eastAsia="Times New Roman" w:hAnsi="Book Antiqua" w:cs="Times New Roman"/>
          <w:color w:val="000000" w:themeColor="text1"/>
          <w:sz w:val="24"/>
          <w:szCs w:val="24"/>
        </w:rPr>
        <w:t>systemic circulation. The reason why</w:t>
      </w:r>
      <w:r w:rsidR="00357F5F" w:rsidRPr="006410B4">
        <w:rPr>
          <w:rFonts w:ascii="Book Antiqua" w:eastAsia="Times New Roman" w:hAnsi="Book Antiqua" w:cs="Times New Roman"/>
          <w:color w:val="000000" w:themeColor="text1"/>
          <w:sz w:val="24"/>
          <w:szCs w:val="24"/>
        </w:rPr>
        <w:t xml:space="preserve"> in our study</w:t>
      </w:r>
      <w:r w:rsidR="00E709BC" w:rsidRPr="006410B4">
        <w:rPr>
          <w:rFonts w:ascii="Book Antiqua" w:eastAsia="Times New Roman" w:hAnsi="Book Antiqua" w:cs="Times New Roman"/>
          <w:color w:val="000000" w:themeColor="text1"/>
          <w:sz w:val="24"/>
          <w:szCs w:val="24"/>
        </w:rPr>
        <w:t xml:space="preserve"> hepatic </w:t>
      </w:r>
      <w:proofErr w:type="spellStart"/>
      <w:r w:rsidR="00E709BC" w:rsidRPr="006410B4">
        <w:rPr>
          <w:rFonts w:ascii="Book Antiqua" w:eastAsia="Times New Roman" w:hAnsi="Book Antiqua" w:cs="Times New Roman"/>
          <w:color w:val="000000" w:themeColor="text1"/>
          <w:sz w:val="24"/>
          <w:szCs w:val="24"/>
        </w:rPr>
        <w:t>PlGF</w:t>
      </w:r>
      <w:proofErr w:type="spellEnd"/>
      <w:r w:rsidR="00E709BC" w:rsidRPr="006410B4">
        <w:rPr>
          <w:rFonts w:ascii="Book Antiqua" w:eastAsia="Times New Roman" w:hAnsi="Book Antiqua" w:cs="Times New Roman"/>
          <w:color w:val="000000" w:themeColor="text1"/>
          <w:sz w:val="24"/>
          <w:szCs w:val="24"/>
        </w:rPr>
        <w:t xml:space="preserve"> levels did not correlate to HVPG needs further research and we are planning to explore </w:t>
      </w:r>
      <w:r w:rsidR="00357F5F" w:rsidRPr="006410B4">
        <w:rPr>
          <w:rFonts w:ascii="Book Antiqua" w:eastAsia="Times New Roman" w:hAnsi="Book Antiqua" w:cs="Times New Roman"/>
          <w:color w:val="000000" w:themeColor="text1"/>
          <w:sz w:val="24"/>
          <w:szCs w:val="24"/>
        </w:rPr>
        <w:t>this phenomenon</w:t>
      </w:r>
      <w:r w:rsidR="00E709BC" w:rsidRPr="006410B4">
        <w:rPr>
          <w:rFonts w:ascii="Book Antiqua" w:eastAsia="Times New Roman" w:hAnsi="Book Antiqua" w:cs="Times New Roman"/>
          <w:color w:val="000000" w:themeColor="text1"/>
          <w:sz w:val="24"/>
          <w:szCs w:val="24"/>
        </w:rPr>
        <w:t xml:space="preserve"> with </w:t>
      </w:r>
      <w:r w:rsidR="00357F5F" w:rsidRPr="006410B4">
        <w:rPr>
          <w:rFonts w:ascii="Book Antiqua" w:eastAsia="Times New Roman" w:hAnsi="Book Antiqua" w:cs="Times New Roman"/>
          <w:color w:val="000000" w:themeColor="text1"/>
          <w:sz w:val="24"/>
          <w:szCs w:val="24"/>
        </w:rPr>
        <w:t xml:space="preserve">a </w:t>
      </w:r>
      <w:r w:rsidR="00E709BC" w:rsidRPr="006410B4">
        <w:rPr>
          <w:rFonts w:ascii="Book Antiqua" w:eastAsia="Times New Roman" w:hAnsi="Book Antiqua" w:cs="Times New Roman"/>
          <w:color w:val="000000" w:themeColor="text1"/>
          <w:sz w:val="24"/>
          <w:szCs w:val="24"/>
        </w:rPr>
        <w:t xml:space="preserve">higher study sample. </w:t>
      </w:r>
      <w:r w:rsidRPr="006410B4">
        <w:rPr>
          <w:rFonts w:ascii="Book Antiqua" w:eastAsia="Times New Roman" w:hAnsi="Book Antiqua" w:cs="Times New Roman"/>
          <w:color w:val="000000" w:themeColor="text1"/>
          <w:sz w:val="24"/>
          <w:szCs w:val="24"/>
        </w:rPr>
        <w:t>Furthermore</w:t>
      </w:r>
      <w:r w:rsidR="001A428D"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in our study we have observed that plasma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levels were predictors of CSPH (sensitivity 55.7%, specificity 76.7%) and SPH (sensitivity 59%, specificity 79%) in patients with cirrhosis. Another important finding of our study was the association of plasma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levels with high-risk esophageal varices. The cut-off value of 19.83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r w:rsidRPr="006410B4">
        <w:rPr>
          <w:rFonts w:ascii="Book Antiqua" w:eastAsia="Times New Roman" w:hAnsi="Book Antiqua" w:cs="Times New Roman"/>
          <w:color w:val="000000" w:themeColor="text1"/>
          <w:sz w:val="24"/>
          <w:szCs w:val="24"/>
        </w:rPr>
        <w:t xml:space="preserve"> predicted high-risk esophageal varices with high sensitivity 90% and high negative predictive value 94.4%. Hence plasma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levels could be promising candidates for noninvasive diagnosis of PH and help distinguish the patients with high risk for variceal bleeding.</w:t>
      </w:r>
    </w:p>
    <w:p w:rsidR="00C42FE6" w:rsidRPr="006410B4" w:rsidRDefault="00BF498E"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 is a member of reticulon 4 (RTN4) family of membrane-associated multifunctional proteins</w:t>
      </w:r>
      <w:r w:rsidR="007D4D29" w:rsidRPr="006410B4">
        <w:rPr>
          <w:rFonts w:ascii="Book Antiqua" w:eastAsia="Times New Roman" w:hAnsi="Book Antiqua" w:cs="Times New Roman"/>
          <w:color w:val="000000" w:themeColor="text1"/>
          <w:sz w:val="24"/>
          <w:szCs w:val="24"/>
          <w:vertAlign w:val="superscript"/>
        </w:rPr>
        <w:t>[</w:t>
      </w:r>
      <w:r w:rsidR="007D4D29" w:rsidRPr="006410B4">
        <w:rPr>
          <w:rStyle w:val="FootnoteReference"/>
          <w:rFonts w:ascii="Book Antiqua" w:eastAsia="Times New Roman" w:hAnsi="Book Antiqua" w:cs="Times New Roman"/>
          <w:color w:val="000000" w:themeColor="text1"/>
          <w:sz w:val="24"/>
          <w:szCs w:val="24"/>
        </w:rPr>
        <w:fldChar w:fldCharType="begin" w:fldLock="1"/>
      </w:r>
      <w:r w:rsidR="007D4D29" w:rsidRPr="006410B4">
        <w:rPr>
          <w:rFonts w:ascii="Book Antiqua" w:eastAsia="Times New Roman" w:hAnsi="Book Antiqua" w:cs="Times New Roman"/>
          <w:color w:val="000000" w:themeColor="text1"/>
          <w:sz w:val="24"/>
          <w:szCs w:val="24"/>
        </w:rPr>
        <w:instrText>ADDIN CSL_CITATION {"citationItems":[{"id":"ITEM-1","itemData":{"DOI":"10.1186/gb-2007-8-12-234","ISBN":"1465-6906","ISSN":"14747596","PMID":"18177508","abstract":"The reticulon family is a large and diverse group of membrane-associated proteins found throughout the eukaryotic kingdom. All of its members contain a carboxy-terminal reticulon homology domain that consists of two hydrophobic regions flanking a hydrophilic loop of 60-70 amino acids, but reticulon amino-terminal domains display little or no similarity to each other. Reticulons principally localize to the endoplasmic reticulum, and there is evidence that they influence endoplasmic reticulum-Golgi trafficking, vesicle formation and membrane morphogenesis. However, mammalian reticulons have also been found on the cell surface and mammalian reticulon 4 expressed on the surface of oligodendrocytes is an inhibitor of axon growth both in culture and in vivo. There is also growing evidence that reticulons may be important in neurodegenerative diseases such as Alzheimer's disease and amyotrophic lateral sclerosis. The diversity of structure, topology, localization and expression patterns of reticulons is reflected in their multiple, diverse functions in the cell.","author":[{"dropping-particle":"","family":"Yang","given":"Yvonne S.","non-dropping-particle":"","parse-names":false,"suffix":""},{"dropping-particle":"","family":"Strittmatter","given":"Stephen M.","non-dropping-particle":"","parse-names":false,"suffix":""}],"container-title":"Genome Biology","id":"ITEM-1","issue":"12","issued":{"date-parts":[["2007"]]},"page":"1-10","title":"The reticulons: A family of proteins with diverse functions","type":"article-journal","volume":"8"},"uris":["http://www.mendeley.com/documents/?uuid=76579f31-2c66-410d-b17c-234e9a9bc954"]}],"mendeley":{"formattedCitation":"&lt;sup&gt;40&lt;/sup&gt;","plainTextFormattedCitation":"40","previouslyFormattedCitation":"&lt;sup&gt;40&lt;/sup&gt;"},"properties":{"noteIndex":0},"schema":"https://github.com/citation-style-language/schema/raw/master/csl-citation.json"}</w:instrText>
      </w:r>
      <w:r w:rsidR="007D4D29" w:rsidRPr="006410B4">
        <w:rPr>
          <w:rStyle w:val="FootnoteReference"/>
          <w:rFonts w:ascii="Book Antiqua" w:eastAsia="Times New Roman" w:hAnsi="Book Antiqua" w:cs="Times New Roman"/>
          <w:color w:val="000000" w:themeColor="text1"/>
          <w:sz w:val="24"/>
          <w:szCs w:val="24"/>
        </w:rPr>
        <w:fldChar w:fldCharType="separate"/>
      </w:r>
      <w:r w:rsidR="007D4D29" w:rsidRPr="006410B4">
        <w:rPr>
          <w:rFonts w:ascii="Book Antiqua" w:eastAsia="Times New Roman" w:hAnsi="Book Antiqua" w:cs="Times New Roman"/>
          <w:bCs/>
          <w:color w:val="000000" w:themeColor="text1"/>
          <w:sz w:val="24"/>
          <w:szCs w:val="24"/>
          <w:vertAlign w:val="superscript"/>
        </w:rPr>
        <w:t>40</w:t>
      </w:r>
      <w:r w:rsidR="007D4D29" w:rsidRPr="006410B4">
        <w:rPr>
          <w:rStyle w:val="FootnoteReference"/>
          <w:rFonts w:ascii="Book Antiqua" w:eastAsia="Times New Roman" w:hAnsi="Book Antiqua" w:cs="Times New Roman"/>
          <w:color w:val="000000" w:themeColor="text1"/>
          <w:sz w:val="24"/>
          <w:szCs w:val="24"/>
        </w:rPr>
        <w:fldChar w:fldCharType="end"/>
      </w:r>
      <w:r w:rsidR="007D4D29" w:rsidRPr="006410B4">
        <w:rPr>
          <w:rStyle w:val="FootnoteReference"/>
          <w:rFonts w:ascii="Book Antiqua" w:eastAsia="Times New Roman" w:hAnsi="Book Antiqua" w:cs="Times New Roman"/>
          <w:color w:val="000000" w:themeColor="text1"/>
          <w:sz w:val="24"/>
          <w:szCs w:val="24"/>
        </w:rPr>
        <w:t>]</w:t>
      </w:r>
      <w:r w:rsidR="00286FAE"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There are three isoforms of RTN4 protein: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-B 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 C.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 was initially most widely studied as a neurite growth inhibitor and was believed to be mainly expressed in the nervous system</w:t>
      </w:r>
      <w:r w:rsidR="007D4D29" w:rsidRPr="006410B4">
        <w:rPr>
          <w:rFonts w:ascii="Book Antiqua" w:eastAsia="Times New Roman" w:hAnsi="Book Antiqua" w:cs="Times New Roman"/>
          <w:color w:val="000000" w:themeColor="text1"/>
          <w:sz w:val="24"/>
          <w:szCs w:val="24"/>
          <w:vertAlign w:val="superscript"/>
        </w:rPr>
        <w:t>[</w:t>
      </w:r>
      <w:r w:rsidR="007D4D29" w:rsidRPr="006410B4">
        <w:rPr>
          <w:rStyle w:val="FootnoteReference"/>
          <w:rFonts w:ascii="Book Antiqua" w:eastAsia="Times New Roman" w:hAnsi="Book Antiqua" w:cs="Times New Roman"/>
          <w:color w:val="000000" w:themeColor="text1"/>
          <w:sz w:val="24"/>
          <w:szCs w:val="24"/>
        </w:rPr>
        <w:fldChar w:fldCharType="begin" w:fldLock="1"/>
      </w:r>
      <w:r w:rsidR="007D4D29" w:rsidRPr="006410B4">
        <w:rPr>
          <w:rFonts w:ascii="Book Antiqua" w:eastAsia="Times New Roman" w:hAnsi="Book Antiqua" w:cs="Times New Roman"/>
          <w:color w:val="000000" w:themeColor="text1"/>
          <w:sz w:val="24"/>
          <w:szCs w:val="24"/>
        </w:rPr>
        <w:instrText>ADDIN CSL_CITATION {"citationItems":[{"id":"ITEM-1","itemData":{"abstract":"Objectives: our objectives were to compare angiogenesis sol- uble factor (ASF) levels in chronic hepatitis C (CHC) patients and healthy individuals, and to investigate potential associations be- tween ASF levels and both histological and biochemical markers of disease progression. Method: thirty-six patients (69% males) positive for HCV- RNA by PCR analysis were included in the study. All patients un- derwent liver biopsy before treatment. Serum levels of vascular endothelial growth factor (VEGF), soluble Flt-1 and Flk-1 recep- tors, placental growth factor (PlGF), angiopoietin-2 (Ang-2) and soluble Tie-2 receptor were determined by ELISA. Fifteen healthy subjects were used as controls. Results: in comparison to healthy individuals, CHC patients showed significantly increased serum levels of proangiogenic fac- tors PlGF (22 ± 5 vs. 18 ± 8 pg/ml; p &lt; 0.05), Ang-2 (1265 ± 385 vs. 833 ± 346 pg/ml; p &lt; 0.005) and sFlt-1 (95 ± 22 vs. 72 ± 14 pg/ml; p &lt; 0.0001). Interestingly, in CHC patients serum levels of VEGF and Tie-2 correlated with grade of inflammation, PlGF correlated with stage of fibrosis, and Flt-1 and Flk-1 correlat- ed with serum transaminase levels (p &lt; 0.05 in all cases). Conclusions: CHC patients showed increased serum levels of ASF, and a significant correlation was shown between serum lev- els of selected ASFs and grade of inflammation, stage of fibrosis, and transaminase levels. Key words: Angiogenic. Soluble factors. Chronic hepatitis C. HCV-RNA. Fibrosis. Inflammation. Salcedo","author":[{"dropping-particle":"","family":"Salcedo","given":"M X","non-dropping-particle":"","parse-names":false,"suffix":""},{"dropping-particle":"","family":"Sanz-Cameno","given":"P","non-dropping-particle":"","parse-names":false,"suffix":""},{"dropping-particle":"","family":"Median","given":"J","non-dropping-particle":"","parse-names":false,"suffix":""},{"dropping-particle":"","family":"Martin-Vilchez","given":"S","non-dropping-particle":"","parse-names":false,"suffix":""},{"dropping-particle":"","family":"Garcia-Buey","given":"L","non-dropping-particle":"","parse-names":false,"suffix":""},{"dropping-particle":"","family":"Borque","given":"M J","non-dropping-particle":"","parse-names":false,"suffix":""},{"dropping-particle":"","family":"Moreno-Otero","given":"R","non-dropping-particle":"","parse-names":false,"suffix":""}],"container-title":"Rev Esp Enferm Dig","id":"ITEM-1","issue":"10","issued":{"date-parts":[["2005"]]},"page":"699-706","title":"Association between angiogenesis soluble factors and disease progression markers in chronic hepatitis C patients.","type":"article-journal","volume":"97"},"uris":["http://www.mendeley.com/documents/?uuid=71a21d94-4348-4dcb-b49d-d1c1c6f7802f"]},{"id":"ITEM-2","itemData":{"DOI":"10.1007/s11064-015-1671-5","ISSN":"15736903","PMID":"26266872","abstract":"Nogos have become a hot topic for its well-known number Nogo-A's big role in clinical matters. It has been recognized that the expression of Nogo-A and the receptor NgR1 inhibit the neuron's growth after CNS injuries or the onset of the MS. The piling evidence supports the notion that the Nogo-A is also involved in the synaptic plasticity, which was shown to negatively regulate the strength of synaptic transmission. The occurrence of significant schizophrenia-like behavioral phenotypes in Nogo-A KO rats also added strong proof to this conclusion. This review mainly focuses on the structure of Nogo-A and its corresponding receptor-NgR1, its intra- and extra-cellular signaling, together with its major physiological functions such as regulation of migration and distribution and its related diseases like stroke, AD, ALS and so on.","author":[{"dropping-particle":"","family":"Sui","given":"Yun Peng","non-dropping-particle":"","parse-names":false,"suffix":""},{"dropping-particle":"","family":"Zhang","given":"Xiao Xi","non-dropping-particle":"","parse-names":false,"suffix":""},{"dropping-particle":"","family":"Lu","given":"Jun Lin","non-dropping-particle":"","parse-names":false,"suffix":""},{"dropping-particle":"","family":"Sui","given":"Feng","non-dropping-particle":"","parse-names":false,"suffix":""}],"container-title":"Neurochemical Research","id":"ITEM-2","issue":"9","issued":{"date-parts":[["2015"]]},"page":"1767-1785","publisher":"Springer US","title":"New Insights into the Roles of Nogo-A in CNS Biology and Diseases","type":"article-journal","volume":"40"},"uris":["http://www.mendeley.com/documents/?uuid=fea35c31-a6d0-4e1a-9026-f15dacb49645"]}],"mendeley":{"formattedCitation":"&lt;sup&gt;36,41&lt;/sup&gt;","plainTextFormattedCitation":"36,41","previouslyFormattedCitation":"&lt;sup&gt;36,41&lt;/sup&gt;"},"properties":{"noteIndex":0},"schema":"https://github.com/citation-style-language/schema/raw/master/csl-citation.json"}</w:instrText>
      </w:r>
      <w:r w:rsidR="007D4D29" w:rsidRPr="006410B4">
        <w:rPr>
          <w:rStyle w:val="FootnoteReference"/>
          <w:rFonts w:ascii="Book Antiqua" w:eastAsia="Times New Roman" w:hAnsi="Book Antiqua" w:cs="Times New Roman"/>
          <w:color w:val="000000" w:themeColor="text1"/>
          <w:sz w:val="24"/>
          <w:szCs w:val="24"/>
        </w:rPr>
        <w:fldChar w:fldCharType="separate"/>
      </w:r>
      <w:r w:rsidR="007D4D29" w:rsidRPr="006410B4">
        <w:rPr>
          <w:rFonts w:ascii="Book Antiqua" w:eastAsia="Times New Roman" w:hAnsi="Book Antiqua" w:cs="Times New Roman"/>
          <w:bCs/>
          <w:color w:val="000000" w:themeColor="text1"/>
          <w:sz w:val="24"/>
          <w:szCs w:val="24"/>
          <w:vertAlign w:val="superscript"/>
        </w:rPr>
        <w:t>36,41</w:t>
      </w:r>
      <w:r w:rsidR="007D4D29" w:rsidRPr="006410B4">
        <w:rPr>
          <w:rStyle w:val="FootnoteReference"/>
          <w:rFonts w:ascii="Book Antiqua" w:eastAsia="Times New Roman" w:hAnsi="Book Antiqua" w:cs="Times New Roman"/>
          <w:color w:val="000000" w:themeColor="text1"/>
          <w:sz w:val="24"/>
          <w:szCs w:val="24"/>
        </w:rPr>
        <w:fldChar w:fldCharType="end"/>
      </w:r>
      <w:r w:rsidR="007D4D29" w:rsidRPr="006410B4">
        <w:rPr>
          <w:rStyle w:val="FootnoteReference"/>
          <w:rFonts w:ascii="Book Antiqua" w:eastAsia="Times New Roman" w:hAnsi="Book Antiqua" w:cs="Times New Roman"/>
          <w:color w:val="000000" w:themeColor="text1"/>
          <w:sz w:val="24"/>
          <w:szCs w:val="24"/>
        </w:rPr>
        <w:t>]</w:t>
      </w:r>
      <w:r w:rsidR="00286FAE"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w:t>
      </w:r>
      <w:r w:rsidR="009D61D4" w:rsidRPr="006410B4">
        <w:rPr>
          <w:rFonts w:ascii="Book Antiqua" w:eastAsia="Times New Roman" w:hAnsi="Book Antiqua" w:cs="Times New Roman"/>
          <w:color w:val="000000" w:themeColor="text1"/>
          <w:sz w:val="24"/>
          <w:szCs w:val="24"/>
        </w:rPr>
        <w:t>Apart from</w:t>
      </w:r>
      <w:r w:rsidRPr="006410B4">
        <w:rPr>
          <w:rFonts w:ascii="Book Antiqua" w:eastAsia="Times New Roman" w:hAnsi="Book Antiqua" w:cs="Times New Roman"/>
          <w:color w:val="000000" w:themeColor="text1"/>
          <w:sz w:val="24"/>
          <w:szCs w:val="24"/>
        </w:rPr>
        <w:t xml:space="preserve"> </w:t>
      </w:r>
      <w:r w:rsidR="0048559A" w:rsidRPr="006410B4">
        <w:rPr>
          <w:rFonts w:ascii="Book Antiqua" w:eastAsia="Times New Roman" w:hAnsi="Book Antiqua" w:cs="Times New Roman"/>
          <w:color w:val="000000" w:themeColor="text1"/>
          <w:sz w:val="24"/>
          <w:szCs w:val="24"/>
        </w:rPr>
        <w:t xml:space="preserve">the </w:t>
      </w:r>
      <w:r w:rsidRPr="006410B4">
        <w:rPr>
          <w:rFonts w:ascii="Book Antiqua" w:eastAsia="Times New Roman" w:hAnsi="Book Antiqua" w:cs="Times New Roman"/>
          <w:color w:val="000000" w:themeColor="text1"/>
          <w:sz w:val="24"/>
          <w:szCs w:val="24"/>
        </w:rPr>
        <w:t>nervous system</w:t>
      </w:r>
      <w:r w:rsidR="009D61D4"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was shown to be expressed in </w:t>
      </w:r>
      <w:r w:rsidR="0048559A" w:rsidRPr="006410B4">
        <w:rPr>
          <w:rFonts w:ascii="Book Antiqua" w:eastAsia="Times New Roman" w:hAnsi="Book Antiqua" w:cs="Times New Roman"/>
          <w:color w:val="000000" w:themeColor="text1"/>
          <w:sz w:val="24"/>
          <w:szCs w:val="24"/>
        </w:rPr>
        <w:t xml:space="preserve">the </w:t>
      </w:r>
      <w:r w:rsidRPr="006410B4">
        <w:rPr>
          <w:rFonts w:ascii="Book Antiqua" w:eastAsia="Times New Roman" w:hAnsi="Book Antiqua" w:cs="Times New Roman"/>
          <w:color w:val="000000" w:themeColor="text1"/>
          <w:sz w:val="24"/>
          <w:szCs w:val="24"/>
        </w:rPr>
        <w:t xml:space="preserve">heart tissue, testis and liver, </w:t>
      </w:r>
      <w:r w:rsidR="006706A7" w:rsidRPr="006410B4">
        <w:rPr>
          <w:rFonts w:ascii="Book Antiqua" w:eastAsia="Times New Roman" w:hAnsi="Book Antiqua" w:cs="Times New Roman"/>
          <w:color w:val="000000" w:themeColor="text1"/>
          <w:sz w:val="24"/>
          <w:szCs w:val="24"/>
        </w:rPr>
        <w:t>al</w:t>
      </w:r>
      <w:r w:rsidRPr="006410B4">
        <w:rPr>
          <w:rFonts w:ascii="Book Antiqua" w:eastAsia="Times New Roman" w:hAnsi="Book Antiqua" w:cs="Times New Roman"/>
          <w:color w:val="000000" w:themeColor="text1"/>
          <w:sz w:val="24"/>
          <w:szCs w:val="24"/>
        </w:rPr>
        <w:t>though in the latter the signal was considered unspecific</w:t>
      </w:r>
      <w:r w:rsidR="007D4D29" w:rsidRPr="006410B4">
        <w:rPr>
          <w:rFonts w:ascii="Book Antiqua" w:eastAsia="Times New Roman" w:hAnsi="Book Antiqua" w:cs="Times New Roman"/>
          <w:color w:val="000000" w:themeColor="text1"/>
          <w:sz w:val="24"/>
          <w:szCs w:val="24"/>
          <w:vertAlign w:val="superscript"/>
        </w:rPr>
        <w:t>[</w:t>
      </w:r>
      <w:r w:rsidR="007D4D29" w:rsidRPr="006410B4">
        <w:rPr>
          <w:rStyle w:val="FootnoteReference"/>
          <w:rFonts w:ascii="Book Antiqua" w:eastAsia="Times New Roman" w:hAnsi="Book Antiqua" w:cs="Times New Roman"/>
          <w:color w:val="000000" w:themeColor="text1"/>
          <w:sz w:val="24"/>
          <w:szCs w:val="24"/>
        </w:rPr>
        <w:fldChar w:fldCharType="begin" w:fldLock="1"/>
      </w:r>
      <w:r w:rsidR="007D4D29" w:rsidRPr="006410B4">
        <w:rPr>
          <w:rFonts w:ascii="Book Antiqua" w:eastAsia="Times New Roman" w:hAnsi="Book Antiqua" w:cs="Times New Roman"/>
          <w:color w:val="000000" w:themeColor="text1"/>
          <w:sz w:val="24"/>
          <w:szCs w:val="24"/>
        </w:rPr>
        <w:instrText>ADDIN CSL_CITATION {"citationItems":[{"id":"ITEM-1","itemData":{"DOI":"20026323","ISSN":"1529-2401","PMID":"11978832","abstract":"Nogo-A is a neurite growth inhibitor involved in regenerative failure and restriction of structural plasticity in the adult CNS. Three major protein products (Nogo-A, -B, and -C) are derived from the nogo gene. Here we describe the embryonic and postnatal expression of the three Nogo isoforms in the rat by in situ hybridization and immunohistochemistry. Northern and Western blot analysis indicated that Nogo-A is predominantly expressed in the nervous system with lower levels also present in testis and heart. In CNS myelin, confocal and immunoelectron microscopy revealed that Nogo-A is expressed in oligodendrocyte cell bodies and processes and localized in the innermost adaxonal and outermost myelin membranes. Additionally, we find Nogo-A to be expressed by projection neurons, in particular during development, and by postmitotic cells in the developing cortex, spinal cord, and cerebellum. The expression levels of Nogo-A/B were not changed significantly after traumatic lesions to the cortex or spinal cord. Nogo-B showed widespread expression in the central and peripheral nervous systems and other peripheral tissues. Nogo-C was mainly found in skeletal muscle, but brain and heart were also found to express this isoform. The localization of Nogo-A in oligodendrocytes fits well with its role as a myelin-associated inhibitor of regenerative fiber growth and structural plasticity. However, expression of Nogo-A in other tissues and, in particular, in neurons and the widespread expression of the two shorter isoforms, Nogo-B and -C, suggest that the Nogo family of proteins might have function(s) additional to the neurite growth-inhibitory activity.","author":[{"dropping-particle":"","family":"Huber","given":"Andrea B","non-dropping-particle":"","parse-names":false,"suffix":""},{"dropping-particle":"","family":"Weinmann","given":"Oliver","non-dropping-particle":"","parse-names":false,"suffix":""},{"dropping-particle":"","family":"Bro","given":"Christian","non-dropping-particle":"","parse-names":false,"suffix":""},{"dropping-particle":"","family":"Oertle","given":"Thomas","non-dropping-particle":"","parse-names":false,"suffix":""},{"dropping-particle":"","family":"Schwab","given":"Martin E","non-dropping-particle":"","parse-names":false,"suffix":""}],"container-title":"The Journal of neuroscience : the official journal of the Society for Neuroscience","id":"ITEM-1","issue":"9","issued":{"date-parts":[["2002"]]},"page":"3553-3567","title":"Patterns of Nogo mRNA and Protein Expression in the Developing and Adult Rat and After CNS Lesions","type":"article-journal","volume":"22"},"uris":["http://www.mendeley.com/documents/?uuid=e8b47104-daf3-4e4a-8c4c-1675d615c6dd"]}],"mendeley":{"formattedCitation":"&lt;sup&gt;42&lt;/sup&gt;","plainTextFormattedCitation":"42","previouslyFormattedCitation":"&lt;sup&gt;42&lt;/sup&gt;"},"properties":{"noteIndex":0},"schema":"https://github.com/citation-style-language/schema/raw/master/csl-citation.json"}</w:instrText>
      </w:r>
      <w:r w:rsidR="007D4D29" w:rsidRPr="006410B4">
        <w:rPr>
          <w:rStyle w:val="FootnoteReference"/>
          <w:rFonts w:ascii="Book Antiqua" w:eastAsia="Times New Roman" w:hAnsi="Book Antiqua" w:cs="Times New Roman"/>
          <w:color w:val="000000" w:themeColor="text1"/>
          <w:sz w:val="24"/>
          <w:szCs w:val="24"/>
        </w:rPr>
        <w:fldChar w:fldCharType="separate"/>
      </w:r>
      <w:r w:rsidR="007D4D29" w:rsidRPr="006410B4">
        <w:rPr>
          <w:rFonts w:ascii="Book Antiqua" w:eastAsia="Times New Roman" w:hAnsi="Book Antiqua" w:cs="Times New Roman"/>
          <w:bCs/>
          <w:color w:val="000000" w:themeColor="text1"/>
          <w:sz w:val="24"/>
          <w:szCs w:val="24"/>
          <w:vertAlign w:val="superscript"/>
        </w:rPr>
        <w:t>42</w:t>
      </w:r>
      <w:r w:rsidR="007D4D29" w:rsidRPr="006410B4">
        <w:rPr>
          <w:rStyle w:val="FootnoteReference"/>
          <w:rFonts w:ascii="Book Antiqua" w:eastAsia="Times New Roman" w:hAnsi="Book Antiqua" w:cs="Times New Roman"/>
          <w:color w:val="000000" w:themeColor="text1"/>
          <w:sz w:val="24"/>
          <w:szCs w:val="24"/>
        </w:rPr>
        <w:fldChar w:fldCharType="end"/>
      </w:r>
      <w:r w:rsidR="007D4D29" w:rsidRPr="006410B4">
        <w:rPr>
          <w:rStyle w:val="FootnoteReference"/>
          <w:rFonts w:ascii="Book Antiqua" w:eastAsia="Times New Roman" w:hAnsi="Book Antiqua" w:cs="Times New Roman"/>
          <w:color w:val="000000" w:themeColor="text1"/>
          <w:sz w:val="24"/>
          <w:szCs w:val="24"/>
        </w:rPr>
        <w:t>]</w:t>
      </w:r>
      <w:r w:rsidR="00286FAE"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Furthermore</w:t>
      </w:r>
      <w:r w:rsidR="009D61D4"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a recent study by </w:t>
      </w:r>
      <w:proofErr w:type="spellStart"/>
      <w:r w:rsidRPr="006410B4">
        <w:rPr>
          <w:rFonts w:ascii="Book Antiqua" w:eastAsia="Times New Roman" w:hAnsi="Book Antiqua" w:cs="Times New Roman"/>
          <w:color w:val="000000" w:themeColor="text1"/>
          <w:sz w:val="24"/>
          <w:szCs w:val="24"/>
        </w:rPr>
        <w:t>Ramo</w:t>
      </w:r>
      <w:proofErr w:type="spellEnd"/>
      <w:r w:rsidRPr="006410B4">
        <w:rPr>
          <w:rFonts w:ascii="Book Antiqua" w:eastAsia="Times New Roman" w:hAnsi="Book Antiqua" w:cs="Times New Roman"/>
          <w:color w:val="000000" w:themeColor="text1"/>
          <w:sz w:val="24"/>
          <w:szCs w:val="24"/>
        </w:rPr>
        <w:t xml:space="preserve"> </w:t>
      </w:r>
      <w:r w:rsidRPr="007D4D29">
        <w:rPr>
          <w:rFonts w:ascii="Book Antiqua" w:eastAsia="Times New Roman" w:hAnsi="Book Antiqua" w:cs="Times New Roman"/>
          <w:i/>
          <w:color w:val="000000" w:themeColor="text1"/>
          <w:sz w:val="24"/>
          <w:szCs w:val="24"/>
        </w:rPr>
        <w:t>et al</w:t>
      </w:r>
      <w:r w:rsidR="00857345" w:rsidRPr="006410B4">
        <w:rPr>
          <w:rFonts w:ascii="Book Antiqua" w:eastAsia="Times New Roman" w:hAnsi="Book Antiqua" w:cs="Times New Roman"/>
          <w:color w:val="000000" w:themeColor="text1"/>
          <w:sz w:val="24"/>
          <w:szCs w:val="24"/>
          <w:vertAlign w:val="superscript"/>
        </w:rPr>
        <w:t>[</w:t>
      </w:r>
      <w:r w:rsidR="00FF55AB" w:rsidRPr="006410B4">
        <w:rPr>
          <w:rStyle w:val="FootnoteReference"/>
          <w:rFonts w:ascii="Book Antiqua" w:eastAsia="Times New Roman" w:hAnsi="Book Antiqua" w:cs="Times New Roman"/>
          <w:color w:val="000000" w:themeColor="text1"/>
          <w:sz w:val="24"/>
          <w:szCs w:val="24"/>
        </w:rPr>
        <w:fldChar w:fldCharType="begin" w:fldLock="1"/>
      </w:r>
      <w:r w:rsidR="005D258C" w:rsidRPr="006410B4">
        <w:rPr>
          <w:rFonts w:ascii="Book Antiqua" w:eastAsia="Times New Roman" w:hAnsi="Book Antiqua" w:cs="Times New Roman"/>
          <w:color w:val="000000" w:themeColor="text1"/>
          <w:sz w:val="24"/>
          <w:szCs w:val="24"/>
        </w:rPr>
        <w:instrText>ADDIN CSL_CITATION {"citationItems":[{"id":"ITEM-1","itemData":{"DOI":"10.1038/srep35969","ISBN":"2045-2322 (Electronic)\\r2045-2322 (Linking)","ISSN":"20452322","PMID":"27786289","abstract":"Reticulons (RTNs) are a large family of membrane associated proteins with various functions. NOGO-A/RTN4A has a well-known function in limiting neurite outgrowth and restricting the plasticity of the mammalian central nervous system. On the other hand, Reticulon 4 proteins were shown to be involved in forming and maintaining endoplasmic reticulum (ER) tubules. Using comparative transcriptome analysis and qPCR, we show here that NOGO-B/RTN4B and NOGO-A/RTN4A are simultaneously expressed in cultured epithelial, fibroblast and neuronal cells. Electron tomography combined with immunolabelling reveal that both isoforms localize preferably to curved membranes on ER tubules and sheet edges. Morphological analysis of cells with manipulated levels of NOGO-B/RTN4B revealed that it is required for maintenance of normal ER shape; over-expression changes the sheet/tubule balance strongly towards tubules and causes the deformation of the cell shape while depletion of the protein induces formation of large peripheral ER sheets.","author":[{"dropping-particle":"","family":"Rämö","given":"Olli","non-dropping-particle":"","parse-names":false,"suffix":""},{"dropping-particle":"","family":"Kumar","given":"Darshan","non-dropping-particle":"","parse-names":false,"suffix":""},{"dropping-particle":"","family":"Gucciardo","given":"Erika","non-dropping-particle":"","parse-names":false,"suffix":""},{"dropping-particle":"","family":"Joensuu","given":"Merja","non-dropping-particle":"","parse-names":false,"suffix":""},{"dropping-particle":"","family":"Saarekas","given":"Maiju","non-dropping-particle":"","parse-names":false,"suffix":""},{"dropping-particle":"","family":"Vihinen","given":"Helena","non-dropping-particle":"","parse-names":false,"suffix":""},{"dropping-particle":"","family":"Belevich","given":"Ilya","non-dropping-particle":"","parse-names":false,"suffix":""},{"dropping-particle":"","family":"Smolander","given":"Olli Pekka","non-dropping-particle":"","parse-names":false,"suffix":""},{"dropping-particle":"","family":"Qian","given":"Kui","non-dropping-particle":"","parse-names":false,"suffix":""},{"dropping-particle":"","family":"Auvinen","given":"Petri","non-dropping-particle":"","parse-names":false,"suffix":""},{"dropping-particle":"","family":"Jokitalo","given":"Eija","non-dropping-particle":"","parse-names":false,"suffix":""}],"container-title":"Scientific Reports","id":"ITEM-1","issue":"April","issued":{"date-parts":[["2016"]]},"page":"1-14","publisher":"Nature Publishing Group","title":"NOGO-A/RTN4A and NOGO-B/RTN4B are simultaneously expressed in epithelial, fibroblast and neuronal cells and maintain ER morphology","type":"article-journal","volume":"6"},"uris":["http://www.mendeley.com/documents/?uuid=6406682c-451b-49b6-9e9f-254544fa0642"]}],"mendeley":{"formattedCitation":"&lt;sup&gt;43&lt;/sup&gt;","plainTextFormattedCitation":"43","previouslyFormattedCitation":"&lt;sup&gt;43&lt;/sup&gt;"},"properties":{"noteIndex":0},"schema":"https://github.com/citation-style-language/schema/raw/master/csl-citation.json"}</w:instrText>
      </w:r>
      <w:r w:rsidR="00FF55AB" w:rsidRPr="006410B4">
        <w:rPr>
          <w:rStyle w:val="FootnoteReference"/>
          <w:rFonts w:ascii="Book Antiqua" w:eastAsia="Times New Roman" w:hAnsi="Book Antiqua" w:cs="Times New Roman"/>
          <w:color w:val="000000" w:themeColor="text1"/>
          <w:sz w:val="24"/>
          <w:szCs w:val="24"/>
        </w:rPr>
        <w:fldChar w:fldCharType="separate"/>
      </w:r>
      <w:r w:rsidR="00857345" w:rsidRPr="006410B4">
        <w:rPr>
          <w:rFonts w:ascii="Book Antiqua" w:eastAsia="Times New Roman" w:hAnsi="Book Antiqua" w:cs="Times New Roman"/>
          <w:bCs/>
          <w:color w:val="000000" w:themeColor="text1"/>
          <w:sz w:val="24"/>
          <w:szCs w:val="24"/>
          <w:vertAlign w:val="superscript"/>
        </w:rPr>
        <w:t>43</w:t>
      </w:r>
      <w:r w:rsidR="00FF55AB" w:rsidRPr="006410B4">
        <w:rPr>
          <w:rStyle w:val="FootnoteReference"/>
          <w:rFonts w:ascii="Book Antiqua" w:eastAsia="Times New Roman" w:hAnsi="Book Antiqua" w:cs="Times New Roman"/>
          <w:color w:val="000000" w:themeColor="text1"/>
          <w:sz w:val="24"/>
          <w:szCs w:val="24"/>
        </w:rPr>
        <w:fldChar w:fldCharType="end"/>
      </w:r>
      <w:r w:rsidR="00857345" w:rsidRPr="006410B4">
        <w:rPr>
          <w:rStyle w:val="FootnoteReference"/>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has reported that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-B are simultaneously expressed in human hepatoma, fibroblast and neuronal cells, concluding than none of the isoforms should be considered a cell type specific isoform and revealed a wider range of functions for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 outside the nervous system</w:t>
      </w:r>
      <w:r w:rsidR="00286FAE"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Another study addressing the expression of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in the liver was performed by Hao </w:t>
      </w:r>
      <w:r w:rsidRPr="002D18D4">
        <w:rPr>
          <w:rFonts w:ascii="Book Antiqua" w:eastAsia="Times New Roman" w:hAnsi="Book Antiqua" w:cs="Times New Roman"/>
          <w:i/>
          <w:color w:val="000000" w:themeColor="text1"/>
          <w:sz w:val="24"/>
          <w:szCs w:val="24"/>
        </w:rPr>
        <w:t>et al</w:t>
      </w:r>
      <w:r w:rsidR="00857345" w:rsidRPr="006410B4">
        <w:rPr>
          <w:rFonts w:ascii="Book Antiqua" w:eastAsia="Times New Roman" w:hAnsi="Book Antiqua" w:cs="Times New Roman"/>
          <w:color w:val="000000" w:themeColor="text1"/>
          <w:sz w:val="24"/>
          <w:szCs w:val="24"/>
          <w:vertAlign w:val="superscript"/>
        </w:rPr>
        <w:t>[</w:t>
      </w:r>
      <w:r w:rsidR="00FF55AB" w:rsidRPr="006410B4">
        <w:rPr>
          <w:rStyle w:val="FootnoteReference"/>
          <w:rFonts w:ascii="Book Antiqua" w:eastAsia="Times New Roman" w:hAnsi="Book Antiqua" w:cs="Times New Roman"/>
          <w:color w:val="000000" w:themeColor="text1"/>
          <w:sz w:val="24"/>
          <w:szCs w:val="24"/>
        </w:rPr>
        <w:fldChar w:fldCharType="begin" w:fldLock="1"/>
      </w:r>
      <w:r w:rsidR="00F2624B" w:rsidRPr="006410B4">
        <w:rPr>
          <w:rFonts w:ascii="Book Antiqua" w:eastAsia="Times New Roman" w:hAnsi="Book Antiqua" w:cs="Times New Roman"/>
          <w:color w:val="000000" w:themeColor="text1"/>
          <w:sz w:val="24"/>
          <w:szCs w:val="24"/>
        </w:rPr>
        <w:instrText>ADDIN CSL_CITATION {"citationItems":[{"id":"ITEM-1","itemData":{"DOI":"10.3892/mmr.2014.2050","ISBN":"1791-3004 (Electronic)\\r1791-2997 (Linking)","ISSN":"17913004","PMID":"24626842","abstract":"Nogo-A has been identified as an inhibitor of neurite outgrowth specific to the central nervous system. However, little is known about the role of Nogo-A in hepatocellular carcinoma (HCC), the most common primary malignant tumor with a high mortality rate. This study aimed to investigate the role of endogenous Nogo-A in human liver cancer cells. Reverse transcription polymerase chain reaction was used to detect the expression of Nogo-A in four liver cancer cell lines. A lentivirus vector was then constructed to mediate RNA interference (RNAi) targeting of NogoA (LVNogo-AsiRNA) and was confirmed to successfully suppress the expression of the Nogo-A gene in SMMC-7721 cells. Furthermore, Nogo-A was observed to be highly expressed in liver cancer cell lines. RNAi of Nogo-A using the LVNogo-AsiRNA construct significantly decreased Nogo-A protein expression and specifically inhibited the growth of SMMC-7721 cells. This growth inhibitory effect may be attributed to an increase in G2/M phase arrest and apoptosis in SMMC-7721 cells containing Nogo-AsiRNA. The results of this study demonstrate that Nogo-A may represent a novel therapeutic target for the treatment of liver cancer, in addition to its potent roles in neural systems.","author":[{"dropping-particle":"","family":"Hao","given":"Chun Qiu","non-dropping-particle":"","parse-names":false,"suffix":""},{"dropping-particle":"","family":"Zhou","given":"Yun","non-dropping-particle":"","parse-names":false,"suffix":""},{"dropping-particle":"","family":"Wang","given":"Jiu Ping","non-dropping-particle":"","parse-names":false,"suffix":""},{"dropping-particle":"","family":"Peng","given":"Mei Jun","non-dropping-particle":"","parse-names":false,"suffix":""},{"dropping-particle":"","family":"Xie","given":"Y. U.Mei","non-dropping-particle":"","parse-names":false,"suffix":""},{"dropping-particle":"","family":"Kang","given":"Wen Zhen","non-dropping-particle":"","parse-names":false,"suffix":""},{"dropping-particle":"","family":"Sun","given":"L. I.","non-dropping-particle":"","parse-names":false,"suffix":""},{"dropping-particle":"","family":"Wang","given":"Ping Zhong","non-dropping-particle":"","parse-names":false,"suffix":""},{"dropping-particle":"","family":"Wan","given":"Chun Ling","non-dropping-particle":"","parse-names":false,"suffix":""},{"dropping-particle":"","family":"He","given":"Lin","non-dropping-particle":"","parse-names":false,"suffix":""},{"dropping-particle":"","family":"Cai","given":"Lei","non-dropping-particle":"","parse-names":false,"suffix":""},{"dropping-particle":"","family":"Jia","given":"Zhang Sheng","non-dropping-particle":"","parse-names":false,"suffix":""}],"container-title":"Molecular Medicine Reports","id":"ITEM-1","issue":"5","issued":{"date-parts":[["2014"]]},"page":"1743-1748","title":"Role of Nogo-A in the regulation of hepatocellular carcinoma SMMC-7721 cell apoptosis","type":"article-journal","volume":"9"},"uris":["http://www.mendeley.com/documents/?uuid=f035cd11-0590-4340-8a68-ee9af8846136"]}],"mendeley":{"formattedCitation":"&lt;sup&gt;24&lt;/sup&gt;","plainTextFormattedCitation":"24","previouslyFormattedCitation":"&lt;sup&gt;23&lt;/sup&gt;"},"properties":{"noteIndex":0},"schema":"https://github.com/citation-style-language/schema/raw/master/csl-citation.json"}</w:instrText>
      </w:r>
      <w:r w:rsidR="00FF55AB" w:rsidRPr="006410B4">
        <w:rPr>
          <w:rStyle w:val="FootnoteReference"/>
          <w:rFonts w:ascii="Book Antiqua" w:eastAsia="Times New Roman" w:hAnsi="Book Antiqua" w:cs="Times New Roman"/>
          <w:color w:val="000000" w:themeColor="text1"/>
          <w:sz w:val="24"/>
          <w:szCs w:val="24"/>
        </w:rPr>
        <w:fldChar w:fldCharType="separate"/>
      </w:r>
      <w:r w:rsidR="00F2624B" w:rsidRPr="006410B4">
        <w:rPr>
          <w:rFonts w:ascii="Book Antiqua" w:eastAsia="Times New Roman" w:hAnsi="Book Antiqua" w:cs="Times New Roman"/>
          <w:color w:val="000000" w:themeColor="text1"/>
          <w:sz w:val="24"/>
          <w:szCs w:val="24"/>
          <w:vertAlign w:val="superscript"/>
        </w:rPr>
        <w:t>24</w:t>
      </w:r>
      <w:r w:rsidR="00FF55AB" w:rsidRPr="006410B4">
        <w:rPr>
          <w:rStyle w:val="FootnoteReference"/>
          <w:rFonts w:ascii="Book Antiqua" w:eastAsia="Times New Roman" w:hAnsi="Book Antiqua" w:cs="Times New Roman"/>
          <w:color w:val="000000" w:themeColor="text1"/>
          <w:sz w:val="24"/>
          <w:szCs w:val="24"/>
        </w:rPr>
        <w:fldChar w:fldCharType="end"/>
      </w:r>
      <w:r w:rsidR="00857345" w:rsidRPr="006410B4">
        <w:rPr>
          <w:rStyle w:val="FootnoteReference"/>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where the authors reported that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was highly expressed in four liver cancer cell lines </w:t>
      </w:r>
      <w:r w:rsidRPr="006410B4">
        <w:rPr>
          <w:rFonts w:ascii="Book Antiqua" w:eastAsia="Times New Roman" w:hAnsi="Book Antiqua" w:cs="Times New Roman"/>
          <w:i/>
          <w:color w:val="000000" w:themeColor="text1"/>
          <w:sz w:val="24"/>
          <w:szCs w:val="24"/>
        </w:rPr>
        <w:t>in vitro</w:t>
      </w:r>
      <w:r w:rsidRPr="006410B4">
        <w:rPr>
          <w:rFonts w:ascii="Book Antiqua" w:eastAsia="Times New Roman" w:hAnsi="Book Antiqua" w:cs="Times New Roman"/>
          <w:color w:val="000000" w:themeColor="text1"/>
          <w:sz w:val="24"/>
          <w:szCs w:val="24"/>
        </w:rPr>
        <w:t xml:space="preserve"> and the depletion of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 protein suppressed cancer cell proliferation</w:t>
      </w:r>
      <w:r w:rsidR="00286FAE"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w:t>
      </w:r>
      <w:r w:rsidR="009D61D4" w:rsidRPr="006410B4">
        <w:rPr>
          <w:rFonts w:ascii="Book Antiqua" w:eastAsia="Times New Roman" w:hAnsi="Book Antiqua" w:cs="Times New Roman"/>
          <w:color w:val="000000" w:themeColor="text1"/>
          <w:sz w:val="24"/>
          <w:szCs w:val="24"/>
        </w:rPr>
        <w:t>T</w:t>
      </w:r>
      <w:r w:rsidRPr="006410B4">
        <w:rPr>
          <w:rFonts w:ascii="Book Antiqua" w:eastAsia="Times New Roman" w:hAnsi="Book Antiqua" w:cs="Times New Roman"/>
          <w:color w:val="000000" w:themeColor="text1"/>
          <w:sz w:val="24"/>
          <w:szCs w:val="24"/>
        </w:rPr>
        <w:t xml:space="preserve">o our </w:t>
      </w:r>
      <w:r w:rsidR="009D61D4" w:rsidRPr="006410B4">
        <w:rPr>
          <w:rFonts w:ascii="Book Antiqua" w:eastAsia="Times New Roman" w:hAnsi="Book Antiqua" w:cs="Times New Roman"/>
          <w:color w:val="000000" w:themeColor="text1"/>
          <w:sz w:val="24"/>
          <w:szCs w:val="24"/>
        </w:rPr>
        <w:t xml:space="preserve">best </w:t>
      </w:r>
      <w:r w:rsidRPr="006410B4">
        <w:rPr>
          <w:rFonts w:ascii="Book Antiqua" w:eastAsia="Times New Roman" w:hAnsi="Book Antiqua" w:cs="Times New Roman"/>
          <w:color w:val="000000" w:themeColor="text1"/>
          <w:sz w:val="24"/>
          <w:szCs w:val="24"/>
        </w:rPr>
        <w:t>knowledge</w:t>
      </w:r>
      <w:r w:rsidR="009D61D4" w:rsidRPr="006410B4">
        <w:rPr>
          <w:rFonts w:ascii="Book Antiqua" w:eastAsia="Times New Roman" w:hAnsi="Book Antiqua" w:cs="Times New Roman"/>
          <w:color w:val="000000" w:themeColor="text1"/>
          <w:sz w:val="24"/>
          <w:szCs w:val="24"/>
        </w:rPr>
        <w:t>, this study</w:t>
      </w:r>
      <w:r w:rsidRPr="006410B4">
        <w:rPr>
          <w:rFonts w:ascii="Book Antiqua" w:eastAsia="Times New Roman" w:hAnsi="Book Antiqua" w:cs="Times New Roman"/>
          <w:color w:val="000000" w:themeColor="text1"/>
          <w:sz w:val="24"/>
          <w:szCs w:val="24"/>
        </w:rPr>
        <w:t xml:space="preserve"> is the first to demonstrate the relationship of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 with liver cirrhosis and PH in humans. Furthermore</w:t>
      </w:r>
      <w:r w:rsidR="009D61D4"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the cut-off value of 1.12 </w:t>
      </w:r>
      <w:r w:rsidR="005702DC">
        <w:rPr>
          <w:rFonts w:ascii="Book Antiqua" w:eastAsia="Times New Roman" w:hAnsi="Book Antiqua" w:cs="Times New Roman"/>
          <w:color w:val="000000" w:themeColor="text1"/>
          <w:sz w:val="24"/>
          <w:szCs w:val="24"/>
        </w:rPr>
        <w:t>ng/mL</w:t>
      </w:r>
      <w:r w:rsidRPr="006410B4">
        <w:rPr>
          <w:rFonts w:ascii="Book Antiqua" w:eastAsia="Times New Roman" w:hAnsi="Book Antiqua" w:cs="Times New Roman"/>
          <w:color w:val="000000" w:themeColor="text1"/>
          <w:sz w:val="24"/>
          <w:szCs w:val="24"/>
        </w:rPr>
        <w:t xml:space="preserve"> helped </w:t>
      </w:r>
      <w:r w:rsidR="009D61D4" w:rsidRPr="006410B4">
        <w:rPr>
          <w:rFonts w:ascii="Book Antiqua" w:eastAsia="Times New Roman" w:hAnsi="Book Antiqua" w:cs="Times New Roman"/>
          <w:color w:val="000000" w:themeColor="text1"/>
          <w:sz w:val="24"/>
          <w:szCs w:val="24"/>
        </w:rPr>
        <w:t xml:space="preserve">to </w:t>
      </w:r>
      <w:r w:rsidRPr="006410B4">
        <w:rPr>
          <w:rFonts w:ascii="Book Antiqua" w:eastAsia="Times New Roman" w:hAnsi="Book Antiqua" w:cs="Times New Roman"/>
          <w:color w:val="000000" w:themeColor="text1"/>
          <w:sz w:val="24"/>
          <w:szCs w:val="24"/>
        </w:rPr>
        <w:t xml:space="preserve">differentiate CSPH with high specificity (93.1%) and positive predictive value (92.9%), showing that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 might be used as a non-invasive marker for the diagnosis of CSPH.</w:t>
      </w:r>
      <w:r w:rsidR="00357F5F" w:rsidRPr="006410B4">
        <w:rPr>
          <w:rFonts w:ascii="Book Antiqua" w:eastAsia="Times New Roman" w:hAnsi="Book Antiqua" w:cs="Times New Roman"/>
          <w:color w:val="000000" w:themeColor="text1"/>
          <w:sz w:val="24"/>
          <w:szCs w:val="24"/>
        </w:rPr>
        <w:t xml:space="preserve"> </w:t>
      </w:r>
      <w:proofErr w:type="spellStart"/>
      <w:r w:rsidR="00357F5F" w:rsidRPr="006410B4">
        <w:rPr>
          <w:rFonts w:ascii="Book Antiqua" w:eastAsia="Times New Roman" w:hAnsi="Book Antiqua" w:cs="Times New Roman"/>
          <w:color w:val="000000" w:themeColor="text1"/>
          <w:sz w:val="24"/>
          <w:szCs w:val="24"/>
        </w:rPr>
        <w:t>Nogo</w:t>
      </w:r>
      <w:proofErr w:type="spellEnd"/>
      <w:r w:rsidR="00357F5F" w:rsidRPr="006410B4">
        <w:rPr>
          <w:rFonts w:ascii="Book Antiqua" w:eastAsia="Times New Roman" w:hAnsi="Book Antiqua" w:cs="Times New Roman"/>
          <w:color w:val="000000" w:themeColor="text1"/>
          <w:sz w:val="24"/>
          <w:szCs w:val="24"/>
        </w:rPr>
        <w:t xml:space="preserve">-A levels at the hepatic vein were significantly higher than in the peripheral vein, suggesting that the protein </w:t>
      </w:r>
      <w:r w:rsidR="00357F5F" w:rsidRPr="006410B4">
        <w:rPr>
          <w:rFonts w:ascii="Book Antiqua" w:eastAsia="Times New Roman" w:hAnsi="Book Antiqua" w:cs="Times New Roman"/>
          <w:color w:val="000000" w:themeColor="text1"/>
          <w:sz w:val="24"/>
          <w:szCs w:val="24"/>
        </w:rPr>
        <w:lastRenderedPageBreak/>
        <w:t xml:space="preserve">undergoes some metabolism processes in the systemic circulation. </w:t>
      </w:r>
      <w:proofErr w:type="gramStart"/>
      <w:r w:rsidR="00357F5F" w:rsidRPr="006410B4">
        <w:rPr>
          <w:rFonts w:ascii="Book Antiqua" w:eastAsia="Times New Roman" w:hAnsi="Book Antiqua" w:cs="Times New Roman"/>
          <w:color w:val="000000" w:themeColor="text1"/>
          <w:sz w:val="24"/>
          <w:szCs w:val="24"/>
        </w:rPr>
        <w:t>However</w:t>
      </w:r>
      <w:proofErr w:type="gramEnd"/>
      <w:r w:rsidR="00357F5F" w:rsidRPr="006410B4">
        <w:rPr>
          <w:rFonts w:ascii="Book Antiqua" w:eastAsia="Times New Roman" w:hAnsi="Book Antiqua" w:cs="Times New Roman"/>
          <w:color w:val="000000" w:themeColor="text1"/>
          <w:sz w:val="24"/>
          <w:szCs w:val="24"/>
        </w:rPr>
        <w:t xml:space="preserve"> to explain this phenomenon further mechanistic studies are required. </w:t>
      </w:r>
    </w:p>
    <w:p w:rsidR="0058161E" w:rsidRPr="006410B4" w:rsidRDefault="00BF498E" w:rsidP="002D18D4">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In conclusion</w:t>
      </w:r>
      <w:r w:rsidR="009D61D4" w:rsidRPr="006410B4">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plasma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w:t>
      </w:r>
      <w:r w:rsidR="003034A5" w:rsidRPr="006410B4">
        <w:rPr>
          <w:rFonts w:ascii="Book Antiqua" w:eastAsia="Times New Roman" w:hAnsi="Book Antiqua" w:cs="Times New Roman"/>
          <w:color w:val="000000" w:themeColor="text1"/>
          <w:sz w:val="24"/>
          <w:szCs w:val="24"/>
        </w:rPr>
        <w:t xml:space="preserve">levels were higher </w:t>
      </w:r>
      <w:r w:rsidRPr="006410B4">
        <w:rPr>
          <w:rFonts w:ascii="Book Antiqua" w:eastAsia="Times New Roman" w:hAnsi="Book Antiqua" w:cs="Times New Roman"/>
          <w:color w:val="000000" w:themeColor="text1"/>
          <w:sz w:val="24"/>
          <w:szCs w:val="24"/>
        </w:rPr>
        <w:t xml:space="preserve">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w:t>
      </w:r>
      <w:r w:rsidR="003034A5" w:rsidRPr="006410B4">
        <w:rPr>
          <w:rFonts w:ascii="Book Antiqua" w:eastAsia="Times New Roman" w:hAnsi="Book Antiqua" w:cs="Times New Roman"/>
          <w:color w:val="000000" w:themeColor="text1"/>
          <w:sz w:val="24"/>
          <w:szCs w:val="24"/>
        </w:rPr>
        <w:t xml:space="preserve">plasma </w:t>
      </w:r>
      <w:r w:rsidRPr="006410B4">
        <w:rPr>
          <w:rFonts w:ascii="Book Antiqua" w:eastAsia="Times New Roman" w:hAnsi="Book Antiqua" w:cs="Times New Roman"/>
          <w:color w:val="000000" w:themeColor="text1"/>
          <w:sz w:val="24"/>
          <w:szCs w:val="24"/>
        </w:rPr>
        <w:t xml:space="preserve">levels </w:t>
      </w:r>
      <w:r w:rsidR="003034A5" w:rsidRPr="006410B4">
        <w:rPr>
          <w:rFonts w:ascii="Book Antiqua" w:eastAsia="Times New Roman" w:hAnsi="Book Antiqua" w:cs="Times New Roman"/>
          <w:color w:val="000000" w:themeColor="text1"/>
          <w:sz w:val="24"/>
          <w:szCs w:val="24"/>
        </w:rPr>
        <w:t>were lower in patients</w:t>
      </w:r>
      <w:r w:rsidRPr="006410B4">
        <w:rPr>
          <w:rFonts w:ascii="Book Antiqua" w:eastAsia="Times New Roman" w:hAnsi="Book Antiqua" w:cs="Times New Roman"/>
          <w:color w:val="000000" w:themeColor="text1"/>
          <w:sz w:val="24"/>
          <w:szCs w:val="24"/>
        </w:rPr>
        <w:t xml:space="preserve"> with liver cirrhosis and PH. Both biomarkers showed correlation with HVPG </w:t>
      </w:r>
      <w:r w:rsidR="008E58C6" w:rsidRPr="006410B4">
        <w:rPr>
          <w:rFonts w:ascii="Book Antiqua" w:eastAsia="Times New Roman" w:hAnsi="Book Antiqua" w:cs="Times New Roman"/>
          <w:color w:val="000000" w:themeColor="text1"/>
          <w:sz w:val="24"/>
          <w:szCs w:val="24"/>
        </w:rPr>
        <w:t>and only moderate predictive value in determining clinically significant, severe portal hypertension and</w:t>
      </w:r>
      <w:r w:rsidR="00162F3C" w:rsidRPr="006410B4">
        <w:rPr>
          <w:rFonts w:ascii="Book Antiqua" w:eastAsia="Times New Roman" w:hAnsi="Book Antiqua" w:cs="Times New Roman"/>
          <w:color w:val="000000" w:themeColor="text1"/>
          <w:sz w:val="24"/>
          <w:szCs w:val="24"/>
        </w:rPr>
        <w:t xml:space="preserve"> high-risk esophageal varices.</w:t>
      </w:r>
    </w:p>
    <w:p w:rsidR="00F934F0" w:rsidRPr="006410B4" w:rsidRDefault="00741164" w:rsidP="002D18D4">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The main limitation of our study is the lack of mechanistic studies concerning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 protein in healthy liver tissue and cirrhotic tissue, which could better explain the expression of the protein in healthy and diseased liver.</w:t>
      </w:r>
    </w:p>
    <w:p w:rsidR="00F934F0" w:rsidRPr="006410B4" w:rsidRDefault="00F934F0"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F934F0" w:rsidRPr="006410B4" w:rsidRDefault="00F934F0" w:rsidP="006410B4">
      <w:pPr>
        <w:adjustRightInd w:val="0"/>
        <w:snapToGrid w:val="0"/>
        <w:spacing w:after="0" w:line="360" w:lineRule="auto"/>
        <w:jc w:val="both"/>
        <w:rPr>
          <w:rFonts w:ascii="Book Antiqua" w:hAnsi="Book Antiqua"/>
          <w:b/>
          <w:caps/>
          <w:color w:val="000000" w:themeColor="text1"/>
          <w:sz w:val="24"/>
          <w:szCs w:val="24"/>
        </w:rPr>
      </w:pPr>
      <w:bookmarkStart w:id="84" w:name="OLE_LINK151"/>
      <w:bookmarkStart w:id="85" w:name="OLE_LINK259"/>
      <w:r w:rsidRPr="006410B4">
        <w:rPr>
          <w:rFonts w:ascii="Book Antiqua" w:hAnsi="Book Antiqua" w:cs="Segoe UI"/>
          <w:b/>
          <w:caps/>
          <w:color w:val="000000" w:themeColor="text1"/>
          <w:sz w:val="24"/>
          <w:szCs w:val="24"/>
          <w:shd w:val="clear" w:color="auto" w:fill="FFFFFF"/>
        </w:rPr>
        <w:t>Article Highlights</w:t>
      </w:r>
      <w:r w:rsidR="00C82565">
        <w:rPr>
          <w:rFonts w:ascii="Book Antiqua" w:hAnsi="Book Antiqua" w:cs="Segoe UI"/>
          <w:b/>
          <w:caps/>
          <w:color w:val="000000" w:themeColor="text1"/>
          <w:sz w:val="24"/>
          <w:szCs w:val="24"/>
          <w:shd w:val="clear" w:color="auto" w:fill="FFFFFF"/>
        </w:rPr>
        <w:t xml:space="preserve"> </w:t>
      </w:r>
    </w:p>
    <w:p w:rsidR="00F934F0" w:rsidRPr="006410B4" w:rsidRDefault="00F934F0" w:rsidP="006410B4">
      <w:pPr>
        <w:adjustRightInd w:val="0"/>
        <w:snapToGrid w:val="0"/>
        <w:spacing w:after="0" w:line="360" w:lineRule="auto"/>
        <w:jc w:val="both"/>
        <w:rPr>
          <w:rFonts w:ascii="Book Antiqua" w:hAnsi="Book Antiqua"/>
          <w:b/>
          <w:i/>
          <w:color w:val="000000" w:themeColor="text1"/>
          <w:sz w:val="24"/>
          <w:szCs w:val="24"/>
        </w:rPr>
      </w:pPr>
      <w:r w:rsidRPr="006410B4">
        <w:rPr>
          <w:rFonts w:ascii="Book Antiqua" w:hAnsi="Book Antiqua"/>
          <w:b/>
          <w:i/>
          <w:color w:val="000000" w:themeColor="text1"/>
          <w:sz w:val="24"/>
          <w:szCs w:val="24"/>
        </w:rPr>
        <w:t>Research background</w:t>
      </w:r>
    </w:p>
    <w:p w:rsidR="00F934F0" w:rsidRDefault="00F65084"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Portal hypertension (PH) is a consequence of liver cirrhosis and can cause serious life-threatening complications. The degree of portal hypertension is one of the most important prognostic factors and is defined by the hepatic venous pressure gradient (HVPG).</w:t>
      </w:r>
      <w:r w:rsidRPr="006410B4">
        <w:rPr>
          <w:rFonts w:ascii="Book Antiqua" w:eastAsiaTheme="minorHAnsi"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 xml:space="preserve">In order to optimize the care of patients with liver cirrhosis, it is essential to detect early PH and prevent the development of clinically significant PH </w:t>
      </w:r>
      <w:r w:rsidR="001E5FD1" w:rsidRPr="006410B4">
        <w:rPr>
          <w:rFonts w:ascii="Book Antiqua" w:eastAsia="Times New Roman" w:hAnsi="Book Antiqua" w:cs="Times New Roman"/>
          <w:color w:val="000000" w:themeColor="text1"/>
          <w:sz w:val="24"/>
          <w:szCs w:val="24"/>
        </w:rPr>
        <w:t xml:space="preserve">(CSPH) </w:t>
      </w:r>
      <w:r w:rsidRPr="006410B4">
        <w:rPr>
          <w:rFonts w:ascii="Book Antiqua" w:eastAsia="Times New Roman" w:hAnsi="Book Antiqua" w:cs="Times New Roman"/>
          <w:color w:val="000000" w:themeColor="text1"/>
          <w:sz w:val="24"/>
          <w:szCs w:val="24"/>
        </w:rPr>
        <w:t>to avoid decompensation.</w:t>
      </w:r>
      <w:r w:rsidR="00C82565">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As current options for prevention and treatment of CSPH are limited to attenuating splanchnic vasodilatation, new insights and deeper knowledge about pathogenetic mechanisms of PH and molecules involved, would aid in search for newer and more effective treatment strategies.</w:t>
      </w:r>
    </w:p>
    <w:p w:rsidR="002D18D4" w:rsidRPr="006410B4" w:rsidRDefault="002D18D4" w:rsidP="006410B4">
      <w:pPr>
        <w:adjustRightInd w:val="0"/>
        <w:snapToGrid w:val="0"/>
        <w:spacing w:after="0" w:line="360" w:lineRule="auto"/>
        <w:jc w:val="both"/>
        <w:rPr>
          <w:rFonts w:ascii="Book Antiqua" w:hAnsi="Book Antiqua"/>
          <w:color w:val="000000" w:themeColor="text1"/>
          <w:sz w:val="24"/>
          <w:szCs w:val="24"/>
        </w:rPr>
      </w:pPr>
    </w:p>
    <w:p w:rsidR="00F934F0" w:rsidRPr="006410B4" w:rsidRDefault="00F934F0" w:rsidP="006410B4">
      <w:pPr>
        <w:adjustRightInd w:val="0"/>
        <w:snapToGrid w:val="0"/>
        <w:spacing w:after="0" w:line="360" w:lineRule="auto"/>
        <w:jc w:val="both"/>
        <w:rPr>
          <w:rFonts w:ascii="Book Antiqua" w:hAnsi="Book Antiqua"/>
          <w:b/>
          <w:i/>
          <w:color w:val="000000" w:themeColor="text1"/>
          <w:sz w:val="24"/>
          <w:szCs w:val="24"/>
        </w:rPr>
      </w:pPr>
      <w:r w:rsidRPr="006410B4">
        <w:rPr>
          <w:rFonts w:ascii="Book Antiqua" w:hAnsi="Book Antiqua"/>
          <w:b/>
          <w:i/>
          <w:color w:val="000000" w:themeColor="text1"/>
          <w:sz w:val="24"/>
          <w:szCs w:val="24"/>
        </w:rPr>
        <w:t>Research motivation</w:t>
      </w:r>
    </w:p>
    <w:p w:rsidR="00F934F0" w:rsidRDefault="00F65084"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With growing burden on chronic liver diseases worldwide, the optimization of care provided to the patients with liver cirrhosis has become a priority. According to the </w:t>
      </w:r>
      <w:proofErr w:type="spellStart"/>
      <w:r w:rsidRPr="006410B4">
        <w:rPr>
          <w:rFonts w:ascii="Book Antiqua" w:eastAsia="Times New Roman" w:hAnsi="Book Antiqua" w:cs="Times New Roman"/>
          <w:color w:val="000000" w:themeColor="text1"/>
          <w:sz w:val="24"/>
          <w:szCs w:val="24"/>
        </w:rPr>
        <w:t>Baveno</w:t>
      </w:r>
      <w:proofErr w:type="spellEnd"/>
      <w:r w:rsidRPr="006410B4">
        <w:rPr>
          <w:rFonts w:ascii="Book Antiqua" w:eastAsia="Times New Roman" w:hAnsi="Book Antiqua" w:cs="Times New Roman"/>
          <w:color w:val="000000" w:themeColor="text1"/>
          <w:sz w:val="24"/>
          <w:szCs w:val="24"/>
        </w:rPr>
        <w:t xml:space="preserve"> VI consensus meeting the detection and treatment of early PH as well as the prevention and timely treatment of CSPH, in order to avoid complications and decompensation, are of utmost importance. The consensus has encouraged the search</w:t>
      </w:r>
      <w:r w:rsidRPr="006410B4">
        <w:rPr>
          <w:rFonts w:ascii="Book Antiqua" w:hAnsi="Book Antiqua" w:cs="Times New Roman"/>
          <w:color w:val="000000" w:themeColor="text1"/>
          <w:sz w:val="24"/>
          <w:szCs w:val="24"/>
        </w:rPr>
        <w:t xml:space="preserve"> for new treatment strategies to target different pathogenetic components of PH.</w:t>
      </w:r>
      <w:r w:rsidRPr="006410B4">
        <w:rPr>
          <w:rFonts w:ascii="Book Antiqua" w:eastAsia="Times New Roman" w:hAnsi="Book Antiqua" w:cs="Times New Roman"/>
          <w:color w:val="000000" w:themeColor="text1"/>
          <w:sz w:val="24"/>
          <w:szCs w:val="24"/>
        </w:rPr>
        <w:t xml:space="preserve"> </w:t>
      </w:r>
      <w:r w:rsidR="001E5FD1" w:rsidRPr="006410B4">
        <w:rPr>
          <w:rFonts w:ascii="Book Antiqua" w:eastAsia="Times New Roman" w:hAnsi="Book Antiqua" w:cs="Times New Roman"/>
          <w:color w:val="000000" w:themeColor="text1"/>
          <w:sz w:val="24"/>
          <w:szCs w:val="24"/>
        </w:rPr>
        <w:t xml:space="preserve">Recent </w:t>
      </w:r>
      <w:r w:rsidR="001E5FD1" w:rsidRPr="006410B4">
        <w:rPr>
          <w:rFonts w:ascii="Book Antiqua" w:eastAsia="Times New Roman" w:hAnsi="Book Antiqua" w:cs="Times New Roman"/>
          <w:color w:val="000000" w:themeColor="text1"/>
          <w:sz w:val="24"/>
          <w:szCs w:val="24"/>
        </w:rPr>
        <w:lastRenderedPageBreak/>
        <w:t xml:space="preserve">studies suggest that one of these alternative pathogenetic components is pathologic angiogenesis. Pathologic angiogenesis has been reported to result from the upregulation of proangiogenic factors and simultaneous downregulation of angiogenesis inhibitors, thus both stimuli might be important and contribute to the pathophysiological mechanisms. </w:t>
      </w:r>
      <w:r w:rsidR="00CA4C25" w:rsidRPr="006410B4">
        <w:rPr>
          <w:rFonts w:ascii="Book Antiqua" w:eastAsia="Times New Roman" w:hAnsi="Book Antiqua" w:cs="Times New Roman"/>
          <w:color w:val="000000" w:themeColor="text1"/>
          <w:sz w:val="24"/>
          <w:szCs w:val="24"/>
        </w:rPr>
        <w:t>This prospective study was aimed to gain deeper knowledge on the molecules involved in abnormal angiogenesis</w:t>
      </w:r>
      <w:r w:rsidR="00C232BE">
        <w:rPr>
          <w:rFonts w:ascii="Book Antiqua" w:eastAsia="Times New Roman" w:hAnsi="Book Antiqua" w:cs="Times New Roman"/>
          <w:color w:val="000000" w:themeColor="text1"/>
          <w:sz w:val="24"/>
          <w:szCs w:val="24"/>
        </w:rPr>
        <w:t>-</w:t>
      </w:r>
      <w:r w:rsidR="00CA4C25" w:rsidRPr="006410B4">
        <w:rPr>
          <w:rFonts w:ascii="Book Antiqua" w:eastAsia="Times New Roman" w:hAnsi="Book Antiqua" w:cs="Times New Roman"/>
          <w:color w:val="000000" w:themeColor="text1"/>
          <w:sz w:val="24"/>
          <w:szCs w:val="24"/>
        </w:rPr>
        <w:t xml:space="preserve">one of the pathogenetic components of PH. </w:t>
      </w:r>
      <w:proofErr w:type="spellStart"/>
      <w:r w:rsidR="001E5FD1" w:rsidRPr="006410B4">
        <w:rPr>
          <w:rFonts w:ascii="Book Antiqua" w:eastAsia="Times New Roman" w:hAnsi="Book Antiqua" w:cs="Times New Roman"/>
          <w:color w:val="000000" w:themeColor="text1"/>
          <w:sz w:val="24"/>
          <w:szCs w:val="24"/>
        </w:rPr>
        <w:t>PlGF</w:t>
      </w:r>
      <w:proofErr w:type="spellEnd"/>
      <w:r w:rsidR="001E5FD1" w:rsidRPr="006410B4">
        <w:rPr>
          <w:rFonts w:ascii="Book Antiqua" w:eastAsia="Times New Roman" w:hAnsi="Book Antiqua" w:cs="Times New Roman"/>
          <w:color w:val="000000" w:themeColor="text1"/>
          <w:sz w:val="24"/>
          <w:szCs w:val="24"/>
        </w:rPr>
        <w:t xml:space="preserve"> has previously been associated with portal hypertension in animal models; however, data in patients with liver cirrhosis are scarce. </w:t>
      </w:r>
      <w:proofErr w:type="spellStart"/>
      <w:r w:rsidR="001E5FD1" w:rsidRPr="006410B4">
        <w:rPr>
          <w:rFonts w:ascii="Book Antiqua" w:eastAsia="Times New Roman" w:hAnsi="Book Antiqua" w:cs="Times New Roman"/>
          <w:color w:val="000000" w:themeColor="text1"/>
          <w:sz w:val="24"/>
          <w:szCs w:val="24"/>
        </w:rPr>
        <w:t>Nogo</w:t>
      </w:r>
      <w:proofErr w:type="spellEnd"/>
      <w:r w:rsidR="001E5FD1" w:rsidRPr="006410B4">
        <w:rPr>
          <w:rFonts w:ascii="Book Antiqua" w:eastAsia="Times New Roman" w:hAnsi="Book Antiqua" w:cs="Times New Roman"/>
          <w:color w:val="000000" w:themeColor="text1"/>
          <w:sz w:val="24"/>
          <w:szCs w:val="24"/>
        </w:rPr>
        <w:t xml:space="preserve">-A protein has not been previously evaluated in patients with liver cirrhosis and PH. </w:t>
      </w:r>
    </w:p>
    <w:p w:rsidR="002D18D4" w:rsidRPr="006410B4" w:rsidRDefault="002D18D4" w:rsidP="006410B4">
      <w:pPr>
        <w:adjustRightInd w:val="0"/>
        <w:snapToGrid w:val="0"/>
        <w:spacing w:after="0" w:line="360" w:lineRule="auto"/>
        <w:jc w:val="both"/>
        <w:rPr>
          <w:rFonts w:ascii="Book Antiqua" w:hAnsi="Book Antiqua"/>
          <w:b/>
          <w:color w:val="000000" w:themeColor="text1"/>
          <w:sz w:val="24"/>
          <w:szCs w:val="24"/>
        </w:rPr>
      </w:pPr>
    </w:p>
    <w:p w:rsidR="00F934F0" w:rsidRPr="006410B4" w:rsidRDefault="00F934F0" w:rsidP="006410B4">
      <w:pPr>
        <w:adjustRightInd w:val="0"/>
        <w:snapToGrid w:val="0"/>
        <w:spacing w:after="0" w:line="360" w:lineRule="auto"/>
        <w:jc w:val="both"/>
        <w:rPr>
          <w:rFonts w:ascii="Book Antiqua" w:hAnsi="Book Antiqua"/>
          <w:b/>
          <w:i/>
          <w:color w:val="000000" w:themeColor="text1"/>
          <w:sz w:val="24"/>
          <w:szCs w:val="24"/>
        </w:rPr>
      </w:pPr>
      <w:r w:rsidRPr="006410B4">
        <w:rPr>
          <w:rFonts w:ascii="Book Antiqua" w:hAnsi="Book Antiqua"/>
          <w:b/>
          <w:i/>
          <w:color w:val="000000" w:themeColor="text1"/>
          <w:sz w:val="24"/>
          <w:szCs w:val="24"/>
        </w:rPr>
        <w:t>Research objectives</w:t>
      </w:r>
    </w:p>
    <w:p w:rsidR="00F934F0" w:rsidRPr="006410B4" w:rsidRDefault="001E5FD1"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In this study we aimed to evaluate plasma levels of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in liver cirrhosis patients with normal portal pressure and portal hypertension as well as in controls. We also aimed to evaluate the potential of plasma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levels as biomarkers to predict CSPH and SPH as well as complications of portal hypertension. </w:t>
      </w:r>
    </w:p>
    <w:p w:rsidR="001E5FD1" w:rsidRPr="006410B4" w:rsidRDefault="001E5FD1" w:rsidP="006410B4">
      <w:pPr>
        <w:adjustRightInd w:val="0"/>
        <w:snapToGrid w:val="0"/>
        <w:spacing w:after="0" w:line="360" w:lineRule="auto"/>
        <w:jc w:val="both"/>
        <w:rPr>
          <w:rFonts w:ascii="Book Antiqua" w:hAnsi="Book Antiqua"/>
          <w:b/>
          <w:color w:val="000000" w:themeColor="text1"/>
          <w:sz w:val="24"/>
          <w:szCs w:val="24"/>
        </w:rPr>
      </w:pPr>
    </w:p>
    <w:p w:rsidR="00F934F0" w:rsidRPr="006410B4" w:rsidRDefault="00F934F0" w:rsidP="006410B4">
      <w:pPr>
        <w:adjustRightInd w:val="0"/>
        <w:snapToGrid w:val="0"/>
        <w:spacing w:after="0" w:line="360" w:lineRule="auto"/>
        <w:jc w:val="both"/>
        <w:rPr>
          <w:rFonts w:ascii="Book Antiqua" w:hAnsi="Book Antiqua"/>
          <w:b/>
          <w:i/>
          <w:color w:val="000000" w:themeColor="text1"/>
          <w:sz w:val="24"/>
          <w:szCs w:val="24"/>
        </w:rPr>
      </w:pPr>
      <w:r w:rsidRPr="006410B4">
        <w:rPr>
          <w:rFonts w:ascii="Book Antiqua" w:hAnsi="Book Antiqua"/>
          <w:b/>
          <w:i/>
          <w:color w:val="000000" w:themeColor="text1"/>
          <w:sz w:val="24"/>
          <w:szCs w:val="24"/>
        </w:rPr>
        <w:t>Research methods</w:t>
      </w:r>
    </w:p>
    <w:p w:rsidR="00F934F0" w:rsidRDefault="00CA4C25"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A cohort of 122 patients with hepatitis C virus and/or alcohol-induced liver cirrhosis with characterized HVPG were included in the study. Demographic data, medical history, Child-Turcotte-Pugh and Model of End Stage liver disease score, clinical chemistry, liver stiffness values were recorded on the day of the procedure prior HVPG measurement. The degree of portal hypertension was determined by the invasive HVPG measurement.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and placental growth factor levels in plasma were evaluated using enzyme </w:t>
      </w:r>
      <w:proofErr w:type="spellStart"/>
      <w:r w:rsidRPr="006410B4">
        <w:rPr>
          <w:rFonts w:ascii="Book Antiqua" w:eastAsia="Times New Roman" w:hAnsi="Book Antiqua" w:cs="Times New Roman"/>
          <w:color w:val="000000" w:themeColor="text1"/>
          <w:sz w:val="24"/>
          <w:szCs w:val="24"/>
        </w:rPr>
        <w:t>li</w:t>
      </w:r>
      <w:r w:rsidR="002D18D4">
        <w:rPr>
          <w:rFonts w:ascii="Book Antiqua" w:eastAsia="Times New Roman" w:hAnsi="Book Antiqua" w:cs="Times New Roman"/>
          <w:color w:val="000000" w:themeColor="text1"/>
          <w:sz w:val="24"/>
          <w:szCs w:val="24"/>
        </w:rPr>
        <w:t>k</w:t>
      </w:r>
      <w:r w:rsidRPr="006410B4">
        <w:rPr>
          <w:rFonts w:ascii="Book Antiqua" w:eastAsia="Times New Roman" w:hAnsi="Book Antiqua" w:cs="Times New Roman"/>
          <w:color w:val="000000" w:themeColor="text1"/>
          <w:sz w:val="24"/>
          <w:szCs w:val="24"/>
        </w:rPr>
        <w:t>ed</w:t>
      </w:r>
      <w:proofErr w:type="spellEnd"/>
      <w:r w:rsidRPr="006410B4">
        <w:rPr>
          <w:rFonts w:ascii="Book Antiqua" w:eastAsia="Times New Roman" w:hAnsi="Book Antiqua" w:cs="Times New Roman"/>
          <w:color w:val="000000" w:themeColor="text1"/>
          <w:sz w:val="24"/>
          <w:szCs w:val="24"/>
        </w:rPr>
        <w:t xml:space="preserve"> immunosorbent assay. The control group consisted of 30 healthy age- and sex- matched individuals</w:t>
      </w:r>
    </w:p>
    <w:p w:rsidR="002D18D4" w:rsidRPr="006410B4" w:rsidRDefault="002D18D4" w:rsidP="006410B4">
      <w:pPr>
        <w:adjustRightInd w:val="0"/>
        <w:snapToGrid w:val="0"/>
        <w:spacing w:after="0" w:line="360" w:lineRule="auto"/>
        <w:jc w:val="both"/>
        <w:rPr>
          <w:rFonts w:ascii="Book Antiqua" w:hAnsi="Book Antiqua"/>
          <w:b/>
          <w:color w:val="000000" w:themeColor="text1"/>
          <w:sz w:val="24"/>
          <w:szCs w:val="24"/>
        </w:rPr>
      </w:pPr>
    </w:p>
    <w:p w:rsidR="00F934F0" w:rsidRPr="006410B4" w:rsidRDefault="00F934F0" w:rsidP="006410B4">
      <w:pPr>
        <w:adjustRightInd w:val="0"/>
        <w:snapToGrid w:val="0"/>
        <w:spacing w:after="0" w:line="360" w:lineRule="auto"/>
        <w:jc w:val="both"/>
        <w:rPr>
          <w:rFonts w:ascii="Book Antiqua" w:hAnsi="Book Antiqua"/>
          <w:b/>
          <w:i/>
          <w:color w:val="000000" w:themeColor="text1"/>
          <w:sz w:val="24"/>
          <w:szCs w:val="24"/>
        </w:rPr>
      </w:pPr>
      <w:r w:rsidRPr="006410B4">
        <w:rPr>
          <w:rFonts w:ascii="Book Antiqua" w:hAnsi="Book Antiqua"/>
          <w:b/>
          <w:i/>
          <w:color w:val="000000" w:themeColor="text1"/>
          <w:sz w:val="24"/>
          <w:szCs w:val="24"/>
        </w:rPr>
        <w:t>Research results</w:t>
      </w:r>
    </w:p>
    <w:p w:rsidR="00CA4C25" w:rsidRPr="006410B4" w:rsidRDefault="00CA4C25"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We have demonstrated differences of proangiogenic mediator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and angiogenesis inhibitor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plasma levels in patients with liver cirrhosis, when compared to </w:t>
      </w:r>
      <w:r w:rsidRPr="006410B4">
        <w:rPr>
          <w:rFonts w:ascii="Book Antiqua" w:eastAsia="Times New Roman" w:hAnsi="Book Antiqua" w:cs="Times New Roman"/>
          <w:color w:val="000000" w:themeColor="text1"/>
          <w:sz w:val="24"/>
          <w:szCs w:val="24"/>
        </w:rPr>
        <w:lastRenderedPageBreak/>
        <w:t xml:space="preserve">controls. We have also determined a clear correlation of these mediators to PH and complications of PH. Furthermore, we have for the first time demonstrated that plasma concentration of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is lower in liver cirrhosis and PH, as well as the predictive values of plasma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levels in diagnosing CSPH, SPH and PH complications. </w:t>
      </w:r>
      <w:proofErr w:type="spellStart"/>
      <w:r w:rsidRPr="006410B4">
        <w:rPr>
          <w:rFonts w:ascii="Book Antiqua" w:eastAsia="Times New Roman" w:hAnsi="Book Antiqua" w:cs="Times New Roman"/>
          <w:color w:val="000000" w:themeColor="text1"/>
          <w:sz w:val="24"/>
          <w:szCs w:val="24"/>
        </w:rPr>
        <w:t>Futher</w:t>
      </w:r>
      <w:proofErr w:type="spellEnd"/>
      <w:r w:rsidRPr="006410B4">
        <w:rPr>
          <w:rFonts w:ascii="Book Antiqua" w:eastAsia="Times New Roman" w:hAnsi="Book Antiqua" w:cs="Times New Roman"/>
          <w:color w:val="000000" w:themeColor="text1"/>
          <w:sz w:val="24"/>
          <w:szCs w:val="24"/>
        </w:rPr>
        <w:t xml:space="preserve"> research will be addressed to evaluate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 expression in healthy and cirrhotic liver.</w:t>
      </w:r>
    </w:p>
    <w:p w:rsidR="00F934F0" w:rsidRPr="006410B4" w:rsidRDefault="00F934F0" w:rsidP="006410B4">
      <w:pPr>
        <w:adjustRightInd w:val="0"/>
        <w:snapToGrid w:val="0"/>
        <w:spacing w:after="0" w:line="360" w:lineRule="auto"/>
        <w:jc w:val="both"/>
        <w:rPr>
          <w:rFonts w:ascii="Book Antiqua" w:hAnsi="Book Antiqua" w:cs="Segoe UI"/>
          <w:color w:val="000000" w:themeColor="text1"/>
          <w:sz w:val="24"/>
          <w:szCs w:val="24"/>
          <w:shd w:val="clear" w:color="auto" w:fill="FFFFFF"/>
        </w:rPr>
      </w:pPr>
    </w:p>
    <w:p w:rsidR="00F934F0" w:rsidRPr="006410B4" w:rsidRDefault="00F934F0" w:rsidP="006410B4">
      <w:pPr>
        <w:adjustRightInd w:val="0"/>
        <w:snapToGrid w:val="0"/>
        <w:spacing w:after="0" w:line="360" w:lineRule="auto"/>
        <w:jc w:val="both"/>
        <w:rPr>
          <w:rFonts w:ascii="Book Antiqua" w:hAnsi="Book Antiqua" w:cs="Segoe UI"/>
          <w:b/>
          <w:i/>
          <w:color w:val="000000" w:themeColor="text1"/>
          <w:sz w:val="24"/>
          <w:szCs w:val="24"/>
          <w:shd w:val="clear" w:color="auto" w:fill="FFFFFF"/>
        </w:rPr>
      </w:pPr>
      <w:r w:rsidRPr="006410B4">
        <w:rPr>
          <w:rFonts w:ascii="Book Antiqua" w:hAnsi="Book Antiqua"/>
          <w:b/>
          <w:i/>
          <w:color w:val="000000" w:themeColor="text1"/>
          <w:sz w:val="24"/>
          <w:szCs w:val="24"/>
        </w:rPr>
        <w:t>Research conclusions</w:t>
      </w:r>
    </w:p>
    <w:p w:rsidR="00F934F0" w:rsidRDefault="00CA4C25" w:rsidP="006410B4">
      <w:pPr>
        <w:adjustRightInd w:val="0"/>
        <w:snapToGrid w:val="0"/>
        <w:spacing w:after="0" w:line="360" w:lineRule="auto"/>
        <w:jc w:val="both"/>
        <w:rPr>
          <w:rFonts w:ascii="Book Antiqua" w:hAnsi="Book Antiqua" w:cs="Segoe UI"/>
          <w:color w:val="000000" w:themeColor="text1"/>
          <w:sz w:val="24"/>
          <w:szCs w:val="24"/>
          <w:shd w:val="clear" w:color="auto" w:fill="FFFFFF"/>
        </w:rPr>
      </w:pPr>
      <w:r w:rsidRPr="006410B4">
        <w:rPr>
          <w:rFonts w:ascii="Book Antiqua" w:eastAsia="Times New Roman" w:hAnsi="Book Antiqua" w:cs="Times New Roman"/>
          <w:color w:val="000000" w:themeColor="text1"/>
          <w:sz w:val="24"/>
          <w:szCs w:val="24"/>
        </w:rPr>
        <w:t xml:space="preserve">We have for the first time demonstrated that plasma concentration of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 xml:space="preserve">-A is lower in liver cirrhosis and PH, as well as the predictive values of plasma </w:t>
      </w:r>
      <w:proofErr w:type="spellStart"/>
      <w:r w:rsidRPr="006410B4">
        <w:rPr>
          <w:rFonts w:ascii="Book Antiqua" w:eastAsia="Times New Roman" w:hAnsi="Book Antiqua" w:cs="Times New Roman"/>
          <w:color w:val="000000" w:themeColor="text1"/>
          <w:sz w:val="24"/>
          <w:szCs w:val="24"/>
        </w:rPr>
        <w:t>PlGF</w:t>
      </w:r>
      <w:proofErr w:type="spellEnd"/>
      <w:r w:rsidRPr="006410B4">
        <w:rPr>
          <w:rFonts w:ascii="Book Antiqua" w:eastAsia="Times New Roman" w:hAnsi="Book Antiqua" w:cs="Times New Roman"/>
          <w:color w:val="000000" w:themeColor="text1"/>
          <w:sz w:val="24"/>
          <w:szCs w:val="24"/>
        </w:rPr>
        <w:t xml:space="preserve"> and </w:t>
      </w:r>
      <w:proofErr w:type="spellStart"/>
      <w:r w:rsidRPr="006410B4">
        <w:rPr>
          <w:rFonts w:ascii="Book Antiqua" w:eastAsia="Times New Roman" w:hAnsi="Book Antiqua" w:cs="Times New Roman"/>
          <w:color w:val="000000" w:themeColor="text1"/>
          <w:sz w:val="24"/>
          <w:szCs w:val="24"/>
        </w:rPr>
        <w:t>Nogo</w:t>
      </w:r>
      <w:proofErr w:type="spellEnd"/>
      <w:r w:rsidRPr="006410B4">
        <w:rPr>
          <w:rFonts w:ascii="Book Antiqua" w:eastAsia="Times New Roman" w:hAnsi="Book Antiqua" w:cs="Times New Roman"/>
          <w:color w:val="000000" w:themeColor="text1"/>
          <w:sz w:val="24"/>
          <w:szCs w:val="24"/>
        </w:rPr>
        <w:t>-A levels in diagnosing CSPH, SPH and PH complications.</w:t>
      </w:r>
      <w:r w:rsidR="002D18D4">
        <w:rPr>
          <w:rFonts w:ascii="Book Antiqua" w:eastAsia="Times New Roman" w:hAnsi="Book Antiqua" w:cs="Times New Roman"/>
          <w:color w:val="000000" w:themeColor="text1"/>
          <w:sz w:val="24"/>
          <w:szCs w:val="24"/>
        </w:rPr>
        <w:t xml:space="preserve"> </w:t>
      </w:r>
      <w:r w:rsidRPr="006410B4">
        <w:rPr>
          <w:rFonts w:ascii="Book Antiqua" w:hAnsi="Book Antiqua" w:cs="Segoe UI"/>
          <w:color w:val="000000" w:themeColor="text1"/>
          <w:sz w:val="24"/>
          <w:szCs w:val="24"/>
          <w:shd w:val="clear" w:color="auto" w:fill="FFFFFF"/>
        </w:rPr>
        <w:t>We believe that our study expands the knowledge on pathologic angiogenesis and its role in the pathogenesis of PH as well as molecules involved.</w:t>
      </w:r>
      <w:r w:rsidR="002D18D4">
        <w:rPr>
          <w:rFonts w:ascii="Book Antiqua" w:hAnsi="Book Antiqua" w:hint="eastAsia"/>
          <w:color w:val="000000" w:themeColor="text1"/>
          <w:sz w:val="24"/>
          <w:szCs w:val="24"/>
        </w:rPr>
        <w:t xml:space="preserve"> </w:t>
      </w:r>
      <w:r w:rsidRPr="006410B4">
        <w:rPr>
          <w:rFonts w:ascii="Book Antiqua" w:hAnsi="Book Antiqua" w:cs="Microsoft YaHei"/>
          <w:color w:val="000000" w:themeColor="text1"/>
          <w:sz w:val="24"/>
          <w:szCs w:val="24"/>
          <w:shd w:val="clear" w:color="auto" w:fill="FFFFFF"/>
        </w:rPr>
        <w:t>We have demonstrated that indeed PH is a complicated pathology with multiple pathogenetic pathways, which are important in optimizing the care of patients with portal hypertension.</w:t>
      </w:r>
      <w:r w:rsidR="00F934F0" w:rsidRPr="006410B4">
        <w:rPr>
          <w:rFonts w:ascii="Book Antiqua" w:hAnsi="Book Antiqua" w:cs="Microsoft YaHei"/>
          <w:color w:val="000000" w:themeColor="text1"/>
          <w:sz w:val="24"/>
          <w:szCs w:val="24"/>
          <w:shd w:val="clear" w:color="auto" w:fill="FFFFFF"/>
        </w:rPr>
        <w:t xml:space="preserve"> </w:t>
      </w:r>
      <w:r w:rsidRPr="006410B4">
        <w:rPr>
          <w:rFonts w:ascii="Book Antiqua" w:eastAsia="Times New Roman" w:hAnsi="Book Antiqua" w:cs="Times New Roman"/>
          <w:color w:val="000000" w:themeColor="text1"/>
          <w:sz w:val="24"/>
          <w:szCs w:val="24"/>
        </w:rPr>
        <w:t>This information provides further insights in the pathogenesis of PH in liver cirrhosis and might be useful in creating new noninvasive diagnostic models for CSPH, as it is one of the most important prognostic factors for patients with liver cirrhosis.</w:t>
      </w:r>
      <w:r w:rsidR="002D18D4">
        <w:rPr>
          <w:rFonts w:ascii="Book Antiqua" w:hAnsi="Book Antiqua" w:cs="Microsoft YaHei" w:hint="eastAsia"/>
          <w:color w:val="000000" w:themeColor="text1"/>
          <w:sz w:val="24"/>
          <w:szCs w:val="24"/>
          <w:shd w:val="clear" w:color="auto" w:fill="FFFFFF"/>
        </w:rPr>
        <w:t xml:space="preserve"> </w:t>
      </w:r>
      <w:r w:rsidR="000B2615" w:rsidRPr="006410B4">
        <w:rPr>
          <w:rFonts w:ascii="Book Antiqua" w:hAnsi="Book Antiqua" w:cs="Microsoft YaHei"/>
          <w:color w:val="000000" w:themeColor="text1"/>
          <w:sz w:val="24"/>
          <w:szCs w:val="24"/>
          <w:shd w:val="clear" w:color="auto" w:fill="FFFFFF"/>
        </w:rPr>
        <w:t xml:space="preserve">We have proposed the new hypothesis that </w:t>
      </w:r>
      <w:proofErr w:type="spellStart"/>
      <w:r w:rsidR="000B2615" w:rsidRPr="006410B4">
        <w:rPr>
          <w:rFonts w:ascii="Book Antiqua" w:hAnsi="Book Antiqua" w:cs="Microsoft YaHei"/>
          <w:color w:val="000000" w:themeColor="text1"/>
          <w:sz w:val="24"/>
          <w:szCs w:val="24"/>
          <w:shd w:val="clear" w:color="auto" w:fill="FFFFFF"/>
        </w:rPr>
        <w:t>Nogo</w:t>
      </w:r>
      <w:proofErr w:type="spellEnd"/>
      <w:r w:rsidR="000B2615" w:rsidRPr="006410B4">
        <w:rPr>
          <w:rFonts w:ascii="Book Antiqua" w:hAnsi="Book Antiqua" w:cs="Microsoft YaHei"/>
          <w:color w:val="000000" w:themeColor="text1"/>
          <w:sz w:val="24"/>
          <w:szCs w:val="24"/>
          <w:shd w:val="clear" w:color="auto" w:fill="FFFFFF"/>
        </w:rPr>
        <w:t>-A protein is associated with portal hypertension and pathologic angiogenesis.</w:t>
      </w:r>
      <w:r w:rsidR="002D18D4">
        <w:rPr>
          <w:rFonts w:ascii="Book Antiqua" w:hAnsi="Book Antiqua" w:cs="Microsoft YaHei" w:hint="eastAsia"/>
          <w:color w:val="000000" w:themeColor="text1"/>
          <w:sz w:val="24"/>
          <w:szCs w:val="24"/>
          <w:shd w:val="clear" w:color="auto" w:fill="FFFFFF"/>
        </w:rPr>
        <w:t xml:space="preserve"> </w:t>
      </w:r>
      <w:r w:rsidR="000B2615" w:rsidRPr="006410B4">
        <w:rPr>
          <w:rFonts w:ascii="Book Antiqua" w:hAnsi="Book Antiqua" w:cs="Microsoft YaHei"/>
          <w:color w:val="000000" w:themeColor="text1"/>
          <w:sz w:val="24"/>
          <w:szCs w:val="24"/>
          <w:shd w:val="clear" w:color="auto" w:fill="FFFFFF"/>
        </w:rPr>
        <w:t xml:space="preserve">This study examined two novel non-invasive markers of portal hypertension, which could be useful in </w:t>
      </w:r>
      <w:proofErr w:type="spellStart"/>
      <w:r w:rsidR="000B2615" w:rsidRPr="006410B4">
        <w:rPr>
          <w:rFonts w:ascii="Book Antiqua" w:hAnsi="Book Antiqua" w:cs="Microsoft YaHei"/>
          <w:color w:val="000000" w:themeColor="text1"/>
          <w:sz w:val="24"/>
          <w:szCs w:val="24"/>
          <w:shd w:val="clear" w:color="auto" w:fill="FFFFFF"/>
        </w:rPr>
        <w:t>creatinf</w:t>
      </w:r>
      <w:proofErr w:type="spellEnd"/>
      <w:r w:rsidR="000B2615" w:rsidRPr="006410B4">
        <w:rPr>
          <w:rFonts w:ascii="Book Antiqua" w:hAnsi="Book Antiqua" w:cs="Microsoft YaHei"/>
          <w:color w:val="000000" w:themeColor="text1"/>
          <w:sz w:val="24"/>
          <w:szCs w:val="24"/>
          <w:shd w:val="clear" w:color="auto" w:fill="FFFFFF"/>
        </w:rPr>
        <w:t xml:space="preserve"> noninvasive diagnostic models for PH, or new treatment targets.</w:t>
      </w:r>
      <w:r w:rsidR="002D18D4">
        <w:rPr>
          <w:rFonts w:ascii="Book Antiqua" w:hAnsi="Book Antiqua" w:cs="Microsoft YaHei" w:hint="eastAsia"/>
          <w:color w:val="000000" w:themeColor="text1"/>
          <w:sz w:val="24"/>
          <w:szCs w:val="24"/>
          <w:shd w:val="clear" w:color="auto" w:fill="FFFFFF"/>
        </w:rPr>
        <w:t xml:space="preserve"> </w:t>
      </w:r>
      <w:r w:rsidR="000B2615" w:rsidRPr="006410B4">
        <w:rPr>
          <w:rFonts w:ascii="Book Antiqua" w:hAnsi="Book Antiqua" w:cs="Segoe UI"/>
          <w:color w:val="000000" w:themeColor="text1"/>
          <w:sz w:val="24"/>
          <w:szCs w:val="24"/>
          <w:shd w:val="clear" w:color="auto" w:fill="FFFFFF"/>
        </w:rPr>
        <w:t>We have demonstrated that two biomarkers of pathologic angiogenesis have moderate predictive value in diagnosing CSPH and SPH as well as high risk esophageal varices.</w:t>
      </w:r>
      <w:r w:rsidR="002D18D4">
        <w:rPr>
          <w:rFonts w:ascii="Book Antiqua" w:hAnsi="Book Antiqua" w:cs="Microsoft YaHei" w:hint="eastAsia"/>
          <w:color w:val="000000" w:themeColor="text1"/>
          <w:sz w:val="24"/>
          <w:szCs w:val="24"/>
          <w:shd w:val="clear" w:color="auto" w:fill="FFFFFF"/>
        </w:rPr>
        <w:t xml:space="preserve"> </w:t>
      </w:r>
      <w:r w:rsidR="000B2615" w:rsidRPr="006410B4">
        <w:rPr>
          <w:rFonts w:ascii="Book Antiqua" w:hAnsi="Book Antiqua" w:cs="Segoe UI"/>
          <w:color w:val="000000" w:themeColor="text1"/>
          <w:sz w:val="24"/>
          <w:szCs w:val="24"/>
          <w:shd w:val="clear" w:color="auto" w:fill="FFFFFF"/>
        </w:rPr>
        <w:t>Our study demonstrated that biomarkers of pathologic angiogenesis are associated with liver cirrhosis and PH and have moderate ability to predict CSPH and SPH.</w:t>
      </w:r>
      <w:r w:rsidR="002D18D4">
        <w:rPr>
          <w:rFonts w:ascii="Book Antiqua" w:hAnsi="Book Antiqua" w:cs="Microsoft YaHei" w:hint="eastAsia"/>
          <w:color w:val="000000" w:themeColor="text1"/>
          <w:sz w:val="24"/>
          <w:szCs w:val="24"/>
          <w:shd w:val="clear" w:color="auto" w:fill="FFFFFF"/>
        </w:rPr>
        <w:t xml:space="preserve"> </w:t>
      </w:r>
      <w:r w:rsidR="000B2615" w:rsidRPr="006410B4">
        <w:rPr>
          <w:rFonts w:ascii="Book Antiqua" w:hAnsi="Book Antiqua" w:cs="Segoe UI"/>
          <w:color w:val="000000" w:themeColor="text1"/>
          <w:sz w:val="24"/>
          <w:szCs w:val="24"/>
          <w:shd w:val="clear" w:color="auto" w:fill="FFFFFF"/>
        </w:rPr>
        <w:t>These findings might be useful in creating new noninvasive diagnostic models for PH as well as new treatment targets of PH.</w:t>
      </w:r>
    </w:p>
    <w:p w:rsidR="002D18D4" w:rsidRPr="002D18D4" w:rsidRDefault="002D18D4" w:rsidP="006410B4">
      <w:pPr>
        <w:adjustRightInd w:val="0"/>
        <w:snapToGrid w:val="0"/>
        <w:spacing w:after="0" w:line="360" w:lineRule="auto"/>
        <w:jc w:val="both"/>
        <w:rPr>
          <w:rFonts w:ascii="Book Antiqua" w:hAnsi="Book Antiqua" w:cs="Microsoft YaHei"/>
          <w:color w:val="000000" w:themeColor="text1"/>
          <w:sz w:val="24"/>
          <w:szCs w:val="24"/>
          <w:shd w:val="clear" w:color="auto" w:fill="FFFFFF"/>
        </w:rPr>
      </w:pPr>
    </w:p>
    <w:p w:rsidR="00F934F0" w:rsidRPr="006410B4" w:rsidRDefault="00F934F0" w:rsidP="006410B4">
      <w:pPr>
        <w:adjustRightInd w:val="0"/>
        <w:snapToGrid w:val="0"/>
        <w:spacing w:after="0" w:line="360" w:lineRule="auto"/>
        <w:jc w:val="both"/>
        <w:rPr>
          <w:rFonts w:ascii="Book Antiqua" w:hAnsi="Book Antiqua" w:cs="Segoe UI"/>
          <w:b/>
          <w:i/>
          <w:color w:val="000000" w:themeColor="text1"/>
          <w:sz w:val="24"/>
          <w:szCs w:val="24"/>
          <w:shd w:val="clear" w:color="auto" w:fill="FFFFFF"/>
        </w:rPr>
      </w:pPr>
      <w:r w:rsidRPr="006410B4">
        <w:rPr>
          <w:rFonts w:ascii="Book Antiqua" w:hAnsi="Book Antiqua" w:cs="Segoe UI"/>
          <w:b/>
          <w:i/>
          <w:color w:val="000000" w:themeColor="text1"/>
          <w:sz w:val="24"/>
          <w:szCs w:val="24"/>
          <w:shd w:val="clear" w:color="auto" w:fill="FFFFFF"/>
        </w:rPr>
        <w:t>Research perspectives</w:t>
      </w:r>
    </w:p>
    <w:p w:rsidR="009D7221" w:rsidRPr="006410B4" w:rsidRDefault="0071693B" w:rsidP="006410B4">
      <w:pPr>
        <w:adjustRightInd w:val="0"/>
        <w:snapToGrid w:val="0"/>
        <w:spacing w:after="0" w:line="360" w:lineRule="auto"/>
        <w:jc w:val="both"/>
        <w:rPr>
          <w:rFonts w:ascii="Book Antiqua" w:hAnsi="Book Antiqua" w:cs="Segoe UI"/>
          <w:color w:val="000000" w:themeColor="text1"/>
          <w:sz w:val="24"/>
          <w:szCs w:val="24"/>
          <w:shd w:val="clear" w:color="auto" w:fill="FFFFFF"/>
        </w:rPr>
      </w:pPr>
      <w:r w:rsidRPr="006410B4">
        <w:rPr>
          <w:rFonts w:ascii="Book Antiqua" w:hAnsi="Book Antiqua" w:cs="Segoe UI"/>
          <w:color w:val="000000" w:themeColor="text1"/>
          <w:sz w:val="24"/>
          <w:szCs w:val="24"/>
          <w:shd w:val="clear" w:color="auto" w:fill="FFFFFF"/>
        </w:rPr>
        <w:lastRenderedPageBreak/>
        <w:t xml:space="preserve">Future research will be directed towards gaining more detailed information about </w:t>
      </w:r>
      <w:proofErr w:type="spellStart"/>
      <w:r w:rsidRPr="006410B4">
        <w:rPr>
          <w:rFonts w:ascii="Book Antiqua" w:hAnsi="Book Antiqua" w:cs="Segoe UI"/>
          <w:color w:val="000000" w:themeColor="text1"/>
          <w:sz w:val="24"/>
          <w:szCs w:val="24"/>
          <w:shd w:val="clear" w:color="auto" w:fill="FFFFFF"/>
        </w:rPr>
        <w:t>Nogo</w:t>
      </w:r>
      <w:proofErr w:type="spellEnd"/>
      <w:r w:rsidRPr="006410B4">
        <w:rPr>
          <w:rFonts w:ascii="Book Antiqua" w:hAnsi="Book Antiqua" w:cs="Segoe UI"/>
          <w:color w:val="000000" w:themeColor="text1"/>
          <w:sz w:val="24"/>
          <w:szCs w:val="24"/>
          <w:shd w:val="clear" w:color="auto" w:fill="FFFFFF"/>
        </w:rPr>
        <w:t>-A protein expression in healthy an</w:t>
      </w:r>
      <w:r w:rsidR="009D7221" w:rsidRPr="006410B4">
        <w:rPr>
          <w:rFonts w:ascii="Book Antiqua" w:hAnsi="Book Antiqua" w:cs="Segoe UI"/>
          <w:color w:val="000000" w:themeColor="text1"/>
          <w:sz w:val="24"/>
          <w:szCs w:val="24"/>
          <w:shd w:val="clear" w:color="auto" w:fill="FFFFFF"/>
        </w:rPr>
        <w:t xml:space="preserve">d cirrhotic liver as well as further understanding of </w:t>
      </w:r>
      <w:proofErr w:type="spellStart"/>
      <w:r w:rsidR="009D7221" w:rsidRPr="006410B4">
        <w:rPr>
          <w:rFonts w:ascii="Book Antiqua" w:hAnsi="Book Antiqua" w:cs="Segoe UI"/>
          <w:color w:val="000000" w:themeColor="text1"/>
          <w:sz w:val="24"/>
          <w:szCs w:val="24"/>
          <w:shd w:val="clear" w:color="auto" w:fill="FFFFFF"/>
        </w:rPr>
        <w:t>Nogo</w:t>
      </w:r>
      <w:proofErr w:type="spellEnd"/>
      <w:r w:rsidR="009D7221" w:rsidRPr="006410B4">
        <w:rPr>
          <w:rFonts w:ascii="Book Antiqua" w:hAnsi="Book Antiqua" w:cs="Segoe UI"/>
          <w:color w:val="000000" w:themeColor="text1"/>
          <w:sz w:val="24"/>
          <w:szCs w:val="24"/>
          <w:shd w:val="clear" w:color="auto" w:fill="FFFFFF"/>
        </w:rPr>
        <w:t>-A protein roles outside the central nervous system.</w:t>
      </w:r>
      <w:r w:rsidRPr="006410B4">
        <w:rPr>
          <w:rFonts w:ascii="Book Antiqua" w:hAnsi="Book Antiqua" w:cs="Segoe UI"/>
          <w:color w:val="000000" w:themeColor="text1"/>
          <w:sz w:val="24"/>
          <w:szCs w:val="24"/>
          <w:shd w:val="clear" w:color="auto" w:fill="FFFFFF"/>
        </w:rPr>
        <w:t xml:space="preserve"> </w:t>
      </w:r>
      <w:r w:rsidR="009D7221" w:rsidRPr="006410B4">
        <w:rPr>
          <w:rFonts w:ascii="Book Antiqua" w:hAnsi="Book Antiqua" w:cs="Segoe UI"/>
          <w:color w:val="000000" w:themeColor="text1"/>
          <w:sz w:val="24"/>
          <w:szCs w:val="24"/>
          <w:shd w:val="clear" w:color="auto" w:fill="FFFFFF"/>
        </w:rPr>
        <w:t>We plan to conduct mechanistic studies, using liver cell models as well as liver tissue biopsy specimens.</w:t>
      </w:r>
    </w:p>
    <w:bookmarkEnd w:id="84"/>
    <w:bookmarkEnd w:id="85"/>
    <w:p w:rsidR="0058161E" w:rsidRPr="006410B4" w:rsidRDefault="0058161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br w:type="page"/>
      </w:r>
    </w:p>
    <w:p w:rsidR="0058161E" w:rsidRPr="006410B4" w:rsidRDefault="002D18D4"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color w:val="000000" w:themeColor="text1"/>
          <w:sz w:val="24"/>
          <w:szCs w:val="24"/>
        </w:rPr>
        <w:lastRenderedPageBreak/>
        <w:t>REFERENCES</w:t>
      </w:r>
    </w:p>
    <w:p w:rsidR="00CB7670" w:rsidRPr="00CB7670" w:rsidRDefault="00FF55AB"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6410B4">
        <w:rPr>
          <w:rFonts w:ascii="Book Antiqua" w:eastAsia="Times New Roman" w:hAnsi="Book Antiqua" w:cs="Times New Roman"/>
          <w:b/>
          <w:color w:val="000000" w:themeColor="text1"/>
          <w:sz w:val="24"/>
          <w:szCs w:val="24"/>
        </w:rPr>
        <w:fldChar w:fldCharType="begin" w:fldLock="1"/>
      </w:r>
      <w:r w:rsidR="005D258C" w:rsidRPr="006410B4">
        <w:rPr>
          <w:rFonts w:ascii="Book Antiqua" w:eastAsia="Times New Roman" w:hAnsi="Book Antiqua" w:cs="Times New Roman"/>
          <w:b/>
          <w:color w:val="000000" w:themeColor="text1"/>
          <w:sz w:val="24"/>
          <w:szCs w:val="24"/>
        </w:rPr>
        <w:instrText xml:space="preserve">ADDIN Mendeley Bibliography CSL_BIBLIOGRAPHY </w:instrText>
      </w:r>
      <w:r w:rsidRPr="006410B4">
        <w:rPr>
          <w:rFonts w:ascii="Book Antiqua" w:eastAsia="Times New Roman" w:hAnsi="Book Antiqua" w:cs="Times New Roman"/>
          <w:b/>
          <w:color w:val="000000" w:themeColor="text1"/>
          <w:sz w:val="24"/>
          <w:szCs w:val="24"/>
        </w:rPr>
        <w:fldChar w:fldCharType="separate"/>
      </w:r>
      <w:r w:rsidR="00CB7670" w:rsidRPr="00CB7670">
        <w:rPr>
          <w:rFonts w:ascii="Book Antiqua" w:hAnsi="Book Antiqua" w:cs="Times New Roman"/>
          <w:color w:val="000000" w:themeColor="text1"/>
          <w:sz w:val="24"/>
          <w:szCs w:val="24"/>
        </w:rPr>
        <w:t>1 </w:t>
      </w:r>
      <w:r w:rsidR="00CB7670" w:rsidRPr="00CB7670">
        <w:rPr>
          <w:rFonts w:ascii="Book Antiqua" w:hAnsi="Book Antiqua" w:cs="Times New Roman"/>
          <w:b/>
          <w:bCs/>
          <w:color w:val="000000" w:themeColor="text1"/>
          <w:sz w:val="24"/>
          <w:szCs w:val="24"/>
        </w:rPr>
        <w:t>Snowdon VK</w:t>
      </w:r>
      <w:r w:rsidR="00CB7670" w:rsidRPr="00CB7670">
        <w:rPr>
          <w:rFonts w:ascii="Book Antiqua" w:hAnsi="Book Antiqua" w:cs="Times New Roman"/>
          <w:color w:val="000000" w:themeColor="text1"/>
          <w:sz w:val="24"/>
          <w:szCs w:val="24"/>
        </w:rPr>
        <w:t>, Guha N, Fallowfield JA. Noninvasive evaluation of portal hypertension: emerging tools and techniques. </w:t>
      </w:r>
      <w:r w:rsidR="00CB7670" w:rsidRPr="00CB7670">
        <w:rPr>
          <w:rFonts w:ascii="Book Antiqua" w:hAnsi="Book Antiqua" w:cs="Times New Roman"/>
          <w:i/>
          <w:iCs/>
          <w:color w:val="000000" w:themeColor="text1"/>
          <w:sz w:val="24"/>
          <w:szCs w:val="24"/>
        </w:rPr>
        <w:t>Int J Hepatol</w:t>
      </w:r>
      <w:r w:rsidR="00CB7670" w:rsidRPr="00CB7670">
        <w:rPr>
          <w:rFonts w:ascii="Book Antiqua" w:hAnsi="Book Antiqua" w:cs="Times New Roman"/>
          <w:color w:val="000000" w:themeColor="text1"/>
          <w:sz w:val="24"/>
          <w:szCs w:val="24"/>
        </w:rPr>
        <w:t> 2012; </w:t>
      </w:r>
      <w:r w:rsidR="00CB7670" w:rsidRPr="00CB7670">
        <w:rPr>
          <w:rFonts w:ascii="Book Antiqua" w:hAnsi="Book Antiqua" w:cs="Times New Roman"/>
          <w:b/>
          <w:bCs/>
          <w:color w:val="000000" w:themeColor="text1"/>
          <w:sz w:val="24"/>
          <w:szCs w:val="24"/>
        </w:rPr>
        <w:t>2012</w:t>
      </w:r>
      <w:r w:rsidR="00CB7670" w:rsidRPr="00CB7670">
        <w:rPr>
          <w:rFonts w:ascii="Book Antiqua" w:hAnsi="Book Antiqua" w:cs="Times New Roman"/>
          <w:color w:val="000000" w:themeColor="text1"/>
          <w:sz w:val="24"/>
          <w:szCs w:val="24"/>
        </w:rPr>
        <w:t>: 691089 [PMID: 22720166 DOI: 10.1155/2012/691089]</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2 </w:t>
      </w:r>
      <w:r w:rsidRPr="00CB7670">
        <w:rPr>
          <w:rFonts w:ascii="Book Antiqua" w:hAnsi="Book Antiqua" w:cs="Times New Roman"/>
          <w:b/>
          <w:bCs/>
          <w:color w:val="000000" w:themeColor="text1"/>
          <w:sz w:val="24"/>
          <w:szCs w:val="24"/>
        </w:rPr>
        <w:t>Berzigotti A</w:t>
      </w:r>
      <w:r w:rsidRPr="00CB7670">
        <w:rPr>
          <w:rFonts w:ascii="Book Antiqua" w:hAnsi="Book Antiqua" w:cs="Times New Roman"/>
          <w:color w:val="000000" w:themeColor="text1"/>
          <w:sz w:val="24"/>
          <w:szCs w:val="24"/>
        </w:rPr>
        <w:t>. Non-invasive evaluation of portal hypertension using ultrasound elastography. </w:t>
      </w:r>
      <w:r w:rsidRPr="00CB7670">
        <w:rPr>
          <w:rFonts w:ascii="Book Antiqua" w:hAnsi="Book Antiqua" w:cs="Times New Roman"/>
          <w:i/>
          <w:iCs/>
          <w:color w:val="000000" w:themeColor="text1"/>
          <w:sz w:val="24"/>
          <w:szCs w:val="24"/>
        </w:rPr>
        <w:t>J Hepatol</w:t>
      </w:r>
      <w:r w:rsidRPr="00CB7670">
        <w:rPr>
          <w:rFonts w:ascii="Book Antiqua" w:hAnsi="Book Antiqua" w:cs="Times New Roman"/>
          <w:color w:val="000000" w:themeColor="text1"/>
          <w:sz w:val="24"/>
          <w:szCs w:val="24"/>
        </w:rPr>
        <w:t> 2017; </w:t>
      </w:r>
      <w:r w:rsidRPr="00CB7670">
        <w:rPr>
          <w:rFonts w:ascii="Book Antiqua" w:hAnsi="Book Antiqua" w:cs="Times New Roman"/>
          <w:b/>
          <w:bCs/>
          <w:color w:val="000000" w:themeColor="text1"/>
          <w:sz w:val="24"/>
          <w:szCs w:val="24"/>
        </w:rPr>
        <w:t>67</w:t>
      </w:r>
      <w:r w:rsidRPr="00CB7670">
        <w:rPr>
          <w:rFonts w:ascii="Book Antiqua" w:hAnsi="Book Antiqua" w:cs="Times New Roman"/>
          <w:color w:val="000000" w:themeColor="text1"/>
          <w:sz w:val="24"/>
          <w:szCs w:val="24"/>
        </w:rPr>
        <w:t>: 399-411 [PMID: 28223101 DOI: 10.1016/j.jhep.2017.02.003]</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3 </w:t>
      </w:r>
      <w:r w:rsidRPr="00CB7670">
        <w:rPr>
          <w:rFonts w:ascii="Book Antiqua" w:hAnsi="Book Antiqua" w:cs="Times New Roman"/>
          <w:b/>
          <w:bCs/>
          <w:color w:val="000000" w:themeColor="text1"/>
          <w:sz w:val="24"/>
          <w:szCs w:val="24"/>
        </w:rPr>
        <w:t>Stefanescu H</w:t>
      </w:r>
      <w:r w:rsidRPr="00CB7670">
        <w:rPr>
          <w:rFonts w:ascii="Book Antiqua" w:hAnsi="Book Antiqua" w:cs="Times New Roman"/>
          <w:color w:val="000000" w:themeColor="text1"/>
          <w:sz w:val="24"/>
          <w:szCs w:val="24"/>
        </w:rPr>
        <w:t>, Procopet B. Noninvasive assessment of portal hypertension in cirrhosis: liver stiffness and beyond. </w:t>
      </w:r>
      <w:r w:rsidRPr="00CB7670">
        <w:rPr>
          <w:rFonts w:ascii="Book Antiqua" w:hAnsi="Book Antiqua" w:cs="Times New Roman"/>
          <w:i/>
          <w:iCs/>
          <w:color w:val="000000" w:themeColor="text1"/>
          <w:sz w:val="24"/>
          <w:szCs w:val="24"/>
        </w:rPr>
        <w:t>World J Gastroenterol</w:t>
      </w:r>
      <w:r w:rsidRPr="00CB7670">
        <w:rPr>
          <w:rFonts w:ascii="Book Antiqua" w:hAnsi="Book Antiqua" w:cs="Times New Roman"/>
          <w:color w:val="000000" w:themeColor="text1"/>
          <w:sz w:val="24"/>
          <w:szCs w:val="24"/>
        </w:rPr>
        <w:t> 2014; </w:t>
      </w:r>
      <w:r w:rsidRPr="00CB7670">
        <w:rPr>
          <w:rFonts w:ascii="Book Antiqua" w:hAnsi="Book Antiqua" w:cs="Times New Roman"/>
          <w:b/>
          <w:bCs/>
          <w:color w:val="000000" w:themeColor="text1"/>
          <w:sz w:val="24"/>
          <w:szCs w:val="24"/>
        </w:rPr>
        <w:t>20</w:t>
      </w:r>
      <w:r w:rsidRPr="00CB7670">
        <w:rPr>
          <w:rFonts w:ascii="Book Antiqua" w:hAnsi="Book Antiqua" w:cs="Times New Roman"/>
          <w:color w:val="000000" w:themeColor="text1"/>
          <w:sz w:val="24"/>
          <w:szCs w:val="24"/>
        </w:rPr>
        <w:t>: 16811-16819 [PMID: 25492995 DOI: 10.3748/wjg.v20.i45.16811]</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4 </w:t>
      </w:r>
      <w:r w:rsidRPr="00CB7670">
        <w:rPr>
          <w:rFonts w:ascii="Book Antiqua" w:hAnsi="Book Antiqua" w:cs="Times New Roman"/>
          <w:b/>
          <w:bCs/>
          <w:color w:val="000000" w:themeColor="text1"/>
          <w:sz w:val="24"/>
          <w:szCs w:val="24"/>
        </w:rPr>
        <w:t>de Franchis R</w:t>
      </w:r>
      <w:r w:rsidRPr="00CB7670">
        <w:rPr>
          <w:rFonts w:ascii="Book Antiqua" w:hAnsi="Book Antiqua" w:cs="Times New Roman"/>
          <w:color w:val="000000" w:themeColor="text1"/>
          <w:sz w:val="24"/>
          <w:szCs w:val="24"/>
        </w:rPr>
        <w:t>; Baveno VI Faculty. Expanding consensus in portal hypertension: Report of the Baveno VI Consensus Workshop: Stratifying risk and individualizing care for portal hypertension. </w:t>
      </w:r>
      <w:r w:rsidRPr="00CB7670">
        <w:rPr>
          <w:rFonts w:ascii="Book Antiqua" w:hAnsi="Book Antiqua" w:cs="Times New Roman"/>
          <w:i/>
          <w:iCs/>
          <w:color w:val="000000" w:themeColor="text1"/>
          <w:sz w:val="24"/>
          <w:szCs w:val="24"/>
        </w:rPr>
        <w:t>J Hepatol</w:t>
      </w:r>
      <w:r w:rsidRPr="00CB7670">
        <w:rPr>
          <w:rFonts w:ascii="Book Antiqua" w:hAnsi="Book Antiqua" w:cs="Times New Roman"/>
          <w:color w:val="000000" w:themeColor="text1"/>
          <w:sz w:val="24"/>
          <w:szCs w:val="24"/>
        </w:rPr>
        <w:t> 2015; </w:t>
      </w:r>
      <w:r w:rsidRPr="00CB7670">
        <w:rPr>
          <w:rFonts w:ascii="Book Antiqua" w:hAnsi="Book Antiqua" w:cs="Times New Roman"/>
          <w:b/>
          <w:bCs/>
          <w:color w:val="000000" w:themeColor="text1"/>
          <w:sz w:val="24"/>
          <w:szCs w:val="24"/>
        </w:rPr>
        <w:t>63</w:t>
      </w:r>
      <w:r w:rsidRPr="00CB7670">
        <w:rPr>
          <w:rFonts w:ascii="Book Antiqua" w:hAnsi="Book Antiqua" w:cs="Times New Roman"/>
          <w:color w:val="000000" w:themeColor="text1"/>
          <w:sz w:val="24"/>
          <w:szCs w:val="24"/>
        </w:rPr>
        <w:t>: 743-752 [PMID: 26047908 DOI: 10.1016/j.jhep.2015.05.022]</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5 </w:t>
      </w:r>
      <w:r w:rsidRPr="00CB7670">
        <w:rPr>
          <w:rFonts w:ascii="Book Antiqua" w:hAnsi="Book Antiqua" w:cs="Times New Roman"/>
          <w:b/>
          <w:bCs/>
          <w:color w:val="000000" w:themeColor="text1"/>
          <w:sz w:val="24"/>
          <w:szCs w:val="24"/>
        </w:rPr>
        <w:t>Schwabl P</w:t>
      </w:r>
      <w:r w:rsidRPr="00CB7670">
        <w:rPr>
          <w:rFonts w:ascii="Book Antiqua" w:hAnsi="Book Antiqua" w:cs="Times New Roman"/>
          <w:color w:val="000000" w:themeColor="text1"/>
          <w:sz w:val="24"/>
          <w:szCs w:val="24"/>
        </w:rPr>
        <w:t>, Laleman W. Novel treatment options for portal hypertension. </w:t>
      </w:r>
      <w:r w:rsidRPr="00CB7670">
        <w:rPr>
          <w:rFonts w:ascii="Book Antiqua" w:hAnsi="Book Antiqua" w:cs="Times New Roman"/>
          <w:i/>
          <w:iCs/>
          <w:color w:val="000000" w:themeColor="text1"/>
          <w:sz w:val="24"/>
          <w:szCs w:val="24"/>
        </w:rPr>
        <w:t xml:space="preserve">Gastroenterol Rep </w:t>
      </w:r>
      <w:r w:rsidRPr="00CB7670">
        <w:rPr>
          <w:rFonts w:ascii="Book Antiqua" w:hAnsi="Book Antiqua" w:cs="Times New Roman"/>
          <w:iCs/>
          <w:color w:val="000000" w:themeColor="text1"/>
          <w:sz w:val="24"/>
          <w:szCs w:val="24"/>
        </w:rPr>
        <w:t>(Oxf)</w:t>
      </w:r>
      <w:r w:rsidRPr="00CB7670">
        <w:rPr>
          <w:rFonts w:ascii="Book Antiqua" w:hAnsi="Book Antiqua" w:cs="Times New Roman"/>
          <w:color w:val="000000" w:themeColor="text1"/>
          <w:sz w:val="24"/>
          <w:szCs w:val="24"/>
        </w:rPr>
        <w:t> 2017; </w:t>
      </w:r>
      <w:r w:rsidRPr="00CB7670">
        <w:rPr>
          <w:rFonts w:ascii="Book Antiqua" w:hAnsi="Book Antiqua" w:cs="Times New Roman"/>
          <w:b/>
          <w:bCs/>
          <w:color w:val="000000" w:themeColor="text1"/>
          <w:sz w:val="24"/>
          <w:szCs w:val="24"/>
        </w:rPr>
        <w:t>5</w:t>
      </w:r>
      <w:r w:rsidRPr="00CB7670">
        <w:rPr>
          <w:rFonts w:ascii="Book Antiqua" w:hAnsi="Book Antiqua" w:cs="Times New Roman"/>
          <w:color w:val="000000" w:themeColor="text1"/>
          <w:sz w:val="24"/>
          <w:szCs w:val="24"/>
        </w:rPr>
        <w:t>: 90-103 [PMID: 28533907 DOI: 10.1093/gastro/gox011]</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6 </w:t>
      </w:r>
      <w:r w:rsidRPr="00CB7670">
        <w:rPr>
          <w:rFonts w:ascii="Book Antiqua" w:hAnsi="Book Antiqua" w:cs="Times New Roman"/>
          <w:b/>
          <w:bCs/>
          <w:color w:val="000000" w:themeColor="text1"/>
          <w:sz w:val="24"/>
          <w:szCs w:val="24"/>
        </w:rPr>
        <w:t>Garbuzenko DV</w:t>
      </w:r>
      <w:r w:rsidRPr="00CB7670">
        <w:rPr>
          <w:rFonts w:ascii="Book Antiqua" w:hAnsi="Book Antiqua" w:cs="Times New Roman"/>
          <w:color w:val="000000" w:themeColor="text1"/>
          <w:sz w:val="24"/>
          <w:szCs w:val="24"/>
        </w:rPr>
        <w:t>, Arefyev NO, Kazachkov EL. Antiangiogenic therapy for portal hypertension in liver cirrhosis: Current progress and perspectives. </w:t>
      </w:r>
      <w:r w:rsidRPr="00CB7670">
        <w:rPr>
          <w:rFonts w:ascii="Book Antiqua" w:hAnsi="Book Antiqua" w:cs="Times New Roman"/>
          <w:i/>
          <w:iCs/>
          <w:color w:val="000000" w:themeColor="text1"/>
          <w:sz w:val="24"/>
          <w:szCs w:val="24"/>
        </w:rPr>
        <w:t>World J Gastroenterol</w:t>
      </w:r>
      <w:r w:rsidRPr="00CB7670">
        <w:rPr>
          <w:rFonts w:ascii="Book Antiqua" w:hAnsi="Book Antiqua" w:cs="Times New Roman"/>
          <w:color w:val="000000" w:themeColor="text1"/>
          <w:sz w:val="24"/>
          <w:szCs w:val="24"/>
        </w:rPr>
        <w:t> 2018; </w:t>
      </w:r>
      <w:r w:rsidRPr="00CB7670">
        <w:rPr>
          <w:rFonts w:ascii="Book Antiqua" w:hAnsi="Book Antiqua" w:cs="Times New Roman"/>
          <w:b/>
          <w:bCs/>
          <w:color w:val="000000" w:themeColor="text1"/>
          <w:sz w:val="24"/>
          <w:szCs w:val="24"/>
        </w:rPr>
        <w:t>24</w:t>
      </w:r>
      <w:r w:rsidRPr="00CB7670">
        <w:rPr>
          <w:rFonts w:ascii="Book Antiqua" w:hAnsi="Book Antiqua" w:cs="Times New Roman"/>
          <w:color w:val="000000" w:themeColor="text1"/>
          <w:sz w:val="24"/>
          <w:szCs w:val="24"/>
        </w:rPr>
        <w:t>: 3738-3748 [PMID: 30197479 DOI: 10.3748/wjg.v24.i33.3738]</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7 </w:t>
      </w:r>
      <w:r w:rsidRPr="00CB7670">
        <w:rPr>
          <w:rFonts w:ascii="Book Antiqua" w:hAnsi="Book Antiqua" w:cs="Times New Roman"/>
          <w:b/>
          <w:bCs/>
          <w:color w:val="000000" w:themeColor="text1"/>
          <w:sz w:val="24"/>
          <w:szCs w:val="24"/>
        </w:rPr>
        <w:t>Bosch J</w:t>
      </w:r>
      <w:r w:rsidRPr="00CB7670">
        <w:rPr>
          <w:rFonts w:ascii="Book Antiqua" w:hAnsi="Book Antiqua" w:cs="Times New Roman"/>
          <w:color w:val="000000" w:themeColor="text1"/>
          <w:sz w:val="24"/>
          <w:szCs w:val="24"/>
        </w:rPr>
        <w:t>, Abraldes JG, Fernández M, García-Pagán JC. Hepatic endothelial dysfunction and abnormal angiogenesis: new targets in the treatment of portal hypertension. </w:t>
      </w:r>
      <w:r w:rsidRPr="00CB7670">
        <w:rPr>
          <w:rFonts w:ascii="Book Antiqua" w:hAnsi="Book Antiqua" w:cs="Times New Roman"/>
          <w:i/>
          <w:iCs/>
          <w:color w:val="000000" w:themeColor="text1"/>
          <w:sz w:val="24"/>
          <w:szCs w:val="24"/>
        </w:rPr>
        <w:t>J Hepatol</w:t>
      </w:r>
      <w:r w:rsidR="00153687">
        <w:rPr>
          <w:rFonts w:ascii="Book Antiqua" w:hAnsi="Book Antiqua" w:cs="Times New Roman"/>
          <w:color w:val="000000" w:themeColor="text1"/>
          <w:sz w:val="24"/>
          <w:szCs w:val="24"/>
        </w:rPr>
        <w:t xml:space="preserve"> </w:t>
      </w:r>
      <w:r w:rsidRPr="00CB7670">
        <w:rPr>
          <w:rFonts w:ascii="Book Antiqua" w:hAnsi="Book Antiqua" w:cs="Times New Roman"/>
          <w:color w:val="000000" w:themeColor="text1"/>
          <w:sz w:val="24"/>
          <w:szCs w:val="24"/>
        </w:rPr>
        <w:t>2010; </w:t>
      </w:r>
      <w:r w:rsidRPr="00CB7670">
        <w:rPr>
          <w:rFonts w:ascii="Book Antiqua" w:hAnsi="Book Antiqua" w:cs="Times New Roman"/>
          <w:b/>
          <w:bCs/>
          <w:color w:val="000000" w:themeColor="text1"/>
          <w:sz w:val="24"/>
          <w:szCs w:val="24"/>
        </w:rPr>
        <w:t>53</w:t>
      </w:r>
      <w:r w:rsidRPr="00CB7670">
        <w:rPr>
          <w:rFonts w:ascii="Book Antiqua" w:hAnsi="Book Antiqua" w:cs="Times New Roman"/>
          <w:color w:val="000000" w:themeColor="text1"/>
          <w:sz w:val="24"/>
          <w:szCs w:val="24"/>
        </w:rPr>
        <w:t>: 558-567 [PMID: 20561700 DOI: 10.1016/j.jhep.2010.03.021]</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8 </w:t>
      </w:r>
      <w:r w:rsidRPr="00CB7670">
        <w:rPr>
          <w:rFonts w:ascii="Book Antiqua" w:hAnsi="Book Antiqua" w:cs="Times New Roman"/>
          <w:b/>
          <w:bCs/>
          <w:color w:val="000000" w:themeColor="text1"/>
          <w:sz w:val="24"/>
          <w:szCs w:val="24"/>
        </w:rPr>
        <w:t>Bocca C</w:t>
      </w:r>
      <w:r w:rsidRPr="00CB7670">
        <w:rPr>
          <w:rFonts w:ascii="Book Antiqua" w:hAnsi="Book Antiqua" w:cs="Times New Roman"/>
          <w:color w:val="000000" w:themeColor="text1"/>
          <w:sz w:val="24"/>
          <w:szCs w:val="24"/>
        </w:rPr>
        <w:t>, Novo E, Miglietta A, Parola M. Angiogenesis and Fibrogenesis in Chronic Liver Diseases. </w:t>
      </w:r>
      <w:r w:rsidRPr="00CB7670">
        <w:rPr>
          <w:rFonts w:ascii="Book Antiqua" w:hAnsi="Book Antiqua" w:cs="Times New Roman"/>
          <w:i/>
          <w:iCs/>
          <w:color w:val="000000" w:themeColor="text1"/>
          <w:sz w:val="24"/>
          <w:szCs w:val="24"/>
        </w:rPr>
        <w:t>Cell Mol Gastroenterol Hepatol</w:t>
      </w:r>
      <w:r w:rsidRPr="00CB7670">
        <w:rPr>
          <w:rFonts w:ascii="Book Antiqua" w:hAnsi="Book Antiqua" w:cs="Times New Roman"/>
          <w:color w:val="000000" w:themeColor="text1"/>
          <w:sz w:val="24"/>
          <w:szCs w:val="24"/>
        </w:rPr>
        <w:t> 2015; </w:t>
      </w:r>
      <w:r w:rsidRPr="00CB7670">
        <w:rPr>
          <w:rFonts w:ascii="Book Antiqua" w:hAnsi="Book Antiqua" w:cs="Times New Roman"/>
          <w:b/>
          <w:bCs/>
          <w:color w:val="000000" w:themeColor="text1"/>
          <w:sz w:val="24"/>
          <w:szCs w:val="24"/>
        </w:rPr>
        <w:t>1</w:t>
      </w:r>
      <w:r w:rsidRPr="00CB7670">
        <w:rPr>
          <w:rFonts w:ascii="Book Antiqua" w:hAnsi="Book Antiqua" w:cs="Times New Roman"/>
          <w:color w:val="000000" w:themeColor="text1"/>
          <w:sz w:val="24"/>
          <w:szCs w:val="24"/>
        </w:rPr>
        <w:t>: 477-488 [PMID: 28210697 DOI: 10.1016/j.jcmgh.2015.06.011]</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9 </w:t>
      </w:r>
      <w:r w:rsidRPr="00CB7670">
        <w:rPr>
          <w:rFonts w:ascii="Book Antiqua" w:hAnsi="Book Antiqua" w:cs="Times New Roman"/>
          <w:b/>
          <w:bCs/>
          <w:color w:val="000000" w:themeColor="text1"/>
          <w:sz w:val="24"/>
          <w:szCs w:val="24"/>
        </w:rPr>
        <w:t>Geerts AM</w:t>
      </w:r>
      <w:r w:rsidRPr="00CB7670">
        <w:rPr>
          <w:rFonts w:ascii="Book Antiqua" w:hAnsi="Book Antiqua" w:cs="Times New Roman"/>
          <w:color w:val="000000" w:themeColor="text1"/>
          <w:sz w:val="24"/>
          <w:szCs w:val="24"/>
        </w:rPr>
        <w:t>, De Vriese AS, Vanheule E, Van Vlierberghe H, Mortier S, Cheung KJ, Demetter P, Lameire N, De Vos M, Colle I. Increased angiogenesis and permeability in the mesenteric microvasculature of rats with cirrhosis and portal hypertension: an in vivo study. </w:t>
      </w:r>
      <w:r w:rsidRPr="00CB7670">
        <w:rPr>
          <w:rFonts w:ascii="Book Antiqua" w:hAnsi="Book Antiqua" w:cs="Times New Roman"/>
          <w:i/>
          <w:iCs/>
          <w:color w:val="000000" w:themeColor="text1"/>
          <w:sz w:val="24"/>
          <w:szCs w:val="24"/>
        </w:rPr>
        <w:t>Liver Int</w:t>
      </w:r>
      <w:r w:rsidRPr="00CB7670">
        <w:rPr>
          <w:rFonts w:ascii="Book Antiqua" w:hAnsi="Book Antiqua" w:cs="Times New Roman"/>
          <w:color w:val="000000" w:themeColor="text1"/>
          <w:sz w:val="24"/>
          <w:szCs w:val="24"/>
        </w:rPr>
        <w:t> 2006; </w:t>
      </w:r>
      <w:r w:rsidRPr="00CB7670">
        <w:rPr>
          <w:rFonts w:ascii="Book Antiqua" w:hAnsi="Book Antiqua" w:cs="Times New Roman"/>
          <w:b/>
          <w:bCs/>
          <w:color w:val="000000" w:themeColor="text1"/>
          <w:sz w:val="24"/>
          <w:szCs w:val="24"/>
        </w:rPr>
        <w:t>26</w:t>
      </w:r>
      <w:r w:rsidRPr="00CB7670">
        <w:rPr>
          <w:rFonts w:ascii="Book Antiqua" w:hAnsi="Book Antiqua" w:cs="Times New Roman"/>
          <w:color w:val="000000" w:themeColor="text1"/>
          <w:sz w:val="24"/>
          <w:szCs w:val="24"/>
        </w:rPr>
        <w:t>: 889-898 [PMID: 16911473 DOI: 10.1111/j.1478-3231.2006.01308.x]</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lastRenderedPageBreak/>
        <w:t>10 </w:t>
      </w:r>
      <w:r w:rsidRPr="00CB7670">
        <w:rPr>
          <w:rFonts w:ascii="Book Antiqua" w:hAnsi="Book Antiqua" w:cs="Times New Roman"/>
          <w:b/>
          <w:bCs/>
          <w:color w:val="000000" w:themeColor="text1"/>
          <w:sz w:val="24"/>
          <w:szCs w:val="24"/>
        </w:rPr>
        <w:t>Mejias M</w:t>
      </w:r>
      <w:r w:rsidRPr="00CB7670">
        <w:rPr>
          <w:rFonts w:ascii="Book Antiqua" w:hAnsi="Book Antiqua" w:cs="Times New Roman"/>
          <w:color w:val="000000" w:themeColor="text1"/>
          <w:sz w:val="24"/>
          <w:szCs w:val="24"/>
        </w:rPr>
        <w:t>, Garcia-Pras E, Tiani C, Miquel R, Bosch J, Fernandez M. Beneficial effects of sorafenib on splanchnic, intrahepatic, and portocollateral circulations in portal hypertensive and cirrhotic rats. </w:t>
      </w:r>
      <w:r w:rsidRPr="00CB7670">
        <w:rPr>
          <w:rFonts w:ascii="Book Antiqua" w:hAnsi="Book Antiqua" w:cs="Times New Roman"/>
          <w:i/>
          <w:iCs/>
          <w:color w:val="000000" w:themeColor="text1"/>
          <w:sz w:val="24"/>
          <w:szCs w:val="24"/>
        </w:rPr>
        <w:t>Hepatology</w:t>
      </w:r>
      <w:r w:rsidR="00BB0923">
        <w:rPr>
          <w:rFonts w:ascii="Book Antiqua" w:hAnsi="Book Antiqua" w:cs="Times New Roman"/>
          <w:i/>
          <w:iCs/>
          <w:color w:val="000000" w:themeColor="text1"/>
          <w:sz w:val="24"/>
          <w:szCs w:val="24"/>
        </w:rPr>
        <w:t xml:space="preserve"> </w:t>
      </w:r>
      <w:r w:rsidRPr="00CB7670">
        <w:rPr>
          <w:rFonts w:ascii="Book Antiqua" w:hAnsi="Book Antiqua" w:cs="Times New Roman"/>
          <w:color w:val="000000" w:themeColor="text1"/>
          <w:sz w:val="24"/>
          <w:szCs w:val="24"/>
        </w:rPr>
        <w:t>2009; </w:t>
      </w:r>
      <w:r w:rsidRPr="00CB7670">
        <w:rPr>
          <w:rFonts w:ascii="Book Antiqua" w:hAnsi="Book Antiqua" w:cs="Times New Roman"/>
          <w:b/>
          <w:bCs/>
          <w:color w:val="000000" w:themeColor="text1"/>
          <w:sz w:val="24"/>
          <w:szCs w:val="24"/>
        </w:rPr>
        <w:t>49</w:t>
      </w:r>
      <w:r w:rsidRPr="00CB7670">
        <w:rPr>
          <w:rFonts w:ascii="Book Antiqua" w:hAnsi="Book Antiqua" w:cs="Times New Roman"/>
          <w:color w:val="000000" w:themeColor="text1"/>
          <w:sz w:val="24"/>
          <w:szCs w:val="24"/>
        </w:rPr>
        <w:t>: 1245-1256 [PMID: 19137587 DOI: 10.1002/hep.22758]</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11 </w:t>
      </w:r>
      <w:r w:rsidRPr="00CB7670">
        <w:rPr>
          <w:rFonts w:ascii="Book Antiqua" w:hAnsi="Book Antiqua" w:cs="Times New Roman"/>
          <w:b/>
          <w:bCs/>
          <w:color w:val="000000" w:themeColor="text1"/>
          <w:sz w:val="24"/>
          <w:szCs w:val="24"/>
        </w:rPr>
        <w:t>Fernandez M</w:t>
      </w:r>
      <w:r w:rsidRPr="00CB7670">
        <w:rPr>
          <w:rFonts w:ascii="Book Antiqua" w:hAnsi="Book Antiqua" w:cs="Times New Roman"/>
          <w:color w:val="000000" w:themeColor="text1"/>
          <w:sz w:val="24"/>
          <w:szCs w:val="24"/>
        </w:rPr>
        <w:t>, Vizzutti F, Garcia-Pagan JC, Rodes J, Bosch J. Anti-VEGF receptor-2 monoclonal antibody prevents portal-systemic collateral vessel formation in portal hypertensive mice. </w:t>
      </w:r>
      <w:r w:rsidRPr="00CB7670">
        <w:rPr>
          <w:rFonts w:ascii="Book Antiqua" w:hAnsi="Book Antiqua" w:cs="Times New Roman"/>
          <w:i/>
          <w:iCs/>
          <w:color w:val="000000" w:themeColor="text1"/>
          <w:sz w:val="24"/>
          <w:szCs w:val="24"/>
        </w:rPr>
        <w:t>Gastroenterology</w:t>
      </w:r>
      <w:r w:rsidRPr="00CB7670">
        <w:rPr>
          <w:rFonts w:ascii="Book Antiqua" w:hAnsi="Book Antiqua" w:cs="Times New Roman"/>
          <w:color w:val="000000" w:themeColor="text1"/>
          <w:sz w:val="24"/>
          <w:szCs w:val="24"/>
        </w:rPr>
        <w:t> 2004; </w:t>
      </w:r>
      <w:r w:rsidRPr="00CB7670">
        <w:rPr>
          <w:rFonts w:ascii="Book Antiqua" w:hAnsi="Book Antiqua" w:cs="Times New Roman"/>
          <w:b/>
          <w:bCs/>
          <w:color w:val="000000" w:themeColor="text1"/>
          <w:sz w:val="24"/>
          <w:szCs w:val="24"/>
        </w:rPr>
        <w:t>126</w:t>
      </w:r>
      <w:r w:rsidRPr="00CB7670">
        <w:rPr>
          <w:rFonts w:ascii="Book Antiqua" w:hAnsi="Book Antiqua" w:cs="Times New Roman"/>
          <w:color w:val="000000" w:themeColor="text1"/>
          <w:sz w:val="24"/>
          <w:szCs w:val="24"/>
        </w:rPr>
        <w:t>: 886-894 [PMID: 14988842 DOI: 10.1053/j.gastro.2003.12.012]</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12 </w:t>
      </w:r>
      <w:r w:rsidRPr="00CB7670">
        <w:rPr>
          <w:rFonts w:ascii="Book Antiqua" w:hAnsi="Book Antiqua" w:cs="Times New Roman"/>
          <w:b/>
          <w:bCs/>
          <w:color w:val="000000" w:themeColor="text1"/>
          <w:sz w:val="24"/>
          <w:szCs w:val="24"/>
        </w:rPr>
        <w:t>Fernandez M</w:t>
      </w:r>
      <w:r w:rsidRPr="00CB7670">
        <w:rPr>
          <w:rFonts w:ascii="Book Antiqua" w:hAnsi="Book Antiqua" w:cs="Times New Roman"/>
          <w:color w:val="000000" w:themeColor="text1"/>
          <w:sz w:val="24"/>
          <w:szCs w:val="24"/>
        </w:rPr>
        <w:t>, Mejias M, Angermayr B, Garcia-Pagan JC, Rodés J, Bosch J. Inhibition of VEGF receptor-2 decreases the development of hyperdynamic splanchnic circulation and portal-systemic collateral vessels in portal hypertensive rats. </w:t>
      </w:r>
      <w:r w:rsidRPr="00CB7670">
        <w:rPr>
          <w:rFonts w:ascii="Book Antiqua" w:hAnsi="Book Antiqua" w:cs="Times New Roman"/>
          <w:i/>
          <w:iCs/>
          <w:color w:val="000000" w:themeColor="text1"/>
          <w:sz w:val="24"/>
          <w:szCs w:val="24"/>
        </w:rPr>
        <w:t>J Hepatol</w:t>
      </w:r>
      <w:r w:rsidRPr="00CB7670">
        <w:rPr>
          <w:rFonts w:ascii="Book Antiqua" w:hAnsi="Book Antiqua" w:cs="Times New Roman"/>
          <w:color w:val="000000" w:themeColor="text1"/>
          <w:sz w:val="24"/>
          <w:szCs w:val="24"/>
        </w:rPr>
        <w:t> 2005; </w:t>
      </w:r>
      <w:r w:rsidRPr="00CB7670">
        <w:rPr>
          <w:rFonts w:ascii="Book Antiqua" w:hAnsi="Book Antiqua" w:cs="Times New Roman"/>
          <w:b/>
          <w:bCs/>
          <w:color w:val="000000" w:themeColor="text1"/>
          <w:sz w:val="24"/>
          <w:szCs w:val="24"/>
        </w:rPr>
        <w:t>43</w:t>
      </w:r>
      <w:r w:rsidRPr="00CB7670">
        <w:rPr>
          <w:rFonts w:ascii="Book Antiqua" w:hAnsi="Book Antiqua" w:cs="Times New Roman"/>
          <w:color w:val="000000" w:themeColor="text1"/>
          <w:sz w:val="24"/>
          <w:szCs w:val="24"/>
        </w:rPr>
        <w:t>: 98-103 [PMID: 15893841 DOI: 10.1016/j.jhep.2005.02.022]</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13 . State-of-the-art conference on azidothymidine therapy for early HIV infection. </w:t>
      </w:r>
      <w:r w:rsidRPr="00CB7670">
        <w:rPr>
          <w:rFonts w:ascii="Book Antiqua" w:hAnsi="Book Antiqua" w:cs="Times New Roman"/>
          <w:i/>
          <w:iCs/>
          <w:color w:val="000000" w:themeColor="text1"/>
          <w:sz w:val="24"/>
          <w:szCs w:val="24"/>
        </w:rPr>
        <w:t>Am J Med</w:t>
      </w:r>
      <w:r w:rsidRPr="00CB7670">
        <w:rPr>
          <w:rFonts w:ascii="Book Antiqua" w:hAnsi="Book Antiqua" w:cs="Times New Roman"/>
          <w:color w:val="000000" w:themeColor="text1"/>
          <w:sz w:val="24"/>
          <w:szCs w:val="24"/>
        </w:rPr>
        <w:t> 1990; </w:t>
      </w:r>
      <w:r w:rsidRPr="00CB7670">
        <w:rPr>
          <w:rFonts w:ascii="Book Antiqua" w:hAnsi="Book Antiqua" w:cs="Times New Roman"/>
          <w:b/>
          <w:bCs/>
          <w:color w:val="000000" w:themeColor="text1"/>
          <w:sz w:val="24"/>
          <w:szCs w:val="24"/>
        </w:rPr>
        <w:t>89</w:t>
      </w:r>
      <w:r w:rsidRPr="00CB7670">
        <w:rPr>
          <w:rFonts w:ascii="Book Antiqua" w:hAnsi="Book Antiqua" w:cs="Times New Roman"/>
          <w:color w:val="000000" w:themeColor="text1"/>
          <w:sz w:val="24"/>
          <w:szCs w:val="24"/>
        </w:rPr>
        <w:t>: 335-344 [PMID: 2203263 DOI: 10.1111/j.1365-2036.2011.04896.x]</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14 </w:t>
      </w:r>
      <w:r w:rsidRPr="00CB7670">
        <w:rPr>
          <w:rFonts w:ascii="Book Antiqua" w:hAnsi="Book Antiqua" w:cs="Times New Roman"/>
          <w:b/>
          <w:bCs/>
          <w:color w:val="000000" w:themeColor="text1"/>
          <w:sz w:val="24"/>
          <w:szCs w:val="24"/>
        </w:rPr>
        <w:t>Coriat R</w:t>
      </w:r>
      <w:r w:rsidRPr="00CB7670">
        <w:rPr>
          <w:rFonts w:ascii="Book Antiqua" w:hAnsi="Book Antiqua" w:cs="Times New Roman"/>
          <w:color w:val="000000" w:themeColor="text1"/>
          <w:sz w:val="24"/>
          <w:szCs w:val="24"/>
        </w:rPr>
        <w:t>, Gouya H, Mir O, Ropert S, Vignaux O, Chaussade S, Sogni P, Pol S, Blanchet B, Legmann P, Goldwasser F. Reversible decrease of portal venous flow in cirrhotic patients: a positive side effect of sorafenib. </w:t>
      </w:r>
      <w:r w:rsidRPr="00CB7670">
        <w:rPr>
          <w:rFonts w:ascii="Book Antiqua" w:hAnsi="Book Antiqua" w:cs="Times New Roman"/>
          <w:i/>
          <w:iCs/>
          <w:color w:val="000000" w:themeColor="text1"/>
          <w:sz w:val="24"/>
          <w:szCs w:val="24"/>
        </w:rPr>
        <w:t>PLoS One</w:t>
      </w:r>
      <w:r w:rsidRPr="00CB7670">
        <w:rPr>
          <w:rFonts w:ascii="Book Antiqua" w:hAnsi="Book Antiqua" w:cs="Times New Roman"/>
          <w:color w:val="000000" w:themeColor="text1"/>
          <w:sz w:val="24"/>
          <w:szCs w:val="24"/>
        </w:rPr>
        <w:t> 2011; </w:t>
      </w:r>
      <w:r w:rsidRPr="00CB7670">
        <w:rPr>
          <w:rFonts w:ascii="Book Antiqua" w:hAnsi="Book Antiqua" w:cs="Times New Roman"/>
          <w:b/>
          <w:bCs/>
          <w:color w:val="000000" w:themeColor="text1"/>
          <w:sz w:val="24"/>
          <w:szCs w:val="24"/>
        </w:rPr>
        <w:t>6</w:t>
      </w:r>
      <w:r w:rsidRPr="00CB7670">
        <w:rPr>
          <w:rFonts w:ascii="Book Antiqua" w:hAnsi="Book Antiqua" w:cs="Times New Roman"/>
          <w:color w:val="000000" w:themeColor="text1"/>
          <w:sz w:val="24"/>
          <w:szCs w:val="24"/>
        </w:rPr>
        <w:t>: e16978 [PMID: 21340026 DOI: 10.1371/journal.pone.0016978]</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15 </w:t>
      </w:r>
      <w:r w:rsidRPr="00CB7670">
        <w:rPr>
          <w:rFonts w:ascii="Book Antiqua" w:hAnsi="Book Antiqua" w:cs="Times New Roman"/>
          <w:b/>
          <w:bCs/>
          <w:color w:val="000000" w:themeColor="text1"/>
          <w:sz w:val="24"/>
          <w:szCs w:val="24"/>
        </w:rPr>
        <w:t>Fernández M</w:t>
      </w:r>
      <w:r w:rsidRPr="00CB7670">
        <w:rPr>
          <w:rFonts w:ascii="Book Antiqua" w:hAnsi="Book Antiqua" w:cs="Times New Roman"/>
          <w:color w:val="000000" w:themeColor="text1"/>
          <w:sz w:val="24"/>
          <w:szCs w:val="24"/>
        </w:rPr>
        <w:t>, Semela D, Bruix J, Colle I, Pinzani M, Bosch J. Angiogenesis in liver disease. </w:t>
      </w:r>
      <w:r w:rsidRPr="00CB7670">
        <w:rPr>
          <w:rFonts w:ascii="Book Antiqua" w:hAnsi="Book Antiqua" w:cs="Times New Roman"/>
          <w:i/>
          <w:iCs/>
          <w:color w:val="000000" w:themeColor="text1"/>
          <w:sz w:val="24"/>
          <w:szCs w:val="24"/>
        </w:rPr>
        <w:t>J Hepatol</w:t>
      </w:r>
      <w:r w:rsidRPr="00CB7670">
        <w:rPr>
          <w:rFonts w:ascii="Book Antiqua" w:hAnsi="Book Antiqua" w:cs="Times New Roman"/>
          <w:color w:val="000000" w:themeColor="text1"/>
          <w:sz w:val="24"/>
          <w:szCs w:val="24"/>
        </w:rPr>
        <w:t> 2009; </w:t>
      </w:r>
      <w:r w:rsidRPr="00CB7670">
        <w:rPr>
          <w:rFonts w:ascii="Book Antiqua" w:hAnsi="Book Antiqua" w:cs="Times New Roman"/>
          <w:b/>
          <w:bCs/>
          <w:color w:val="000000" w:themeColor="text1"/>
          <w:sz w:val="24"/>
          <w:szCs w:val="24"/>
        </w:rPr>
        <w:t>50</w:t>
      </w:r>
      <w:r w:rsidRPr="00CB7670">
        <w:rPr>
          <w:rFonts w:ascii="Book Antiqua" w:hAnsi="Book Antiqua" w:cs="Times New Roman"/>
          <w:color w:val="000000" w:themeColor="text1"/>
          <w:sz w:val="24"/>
          <w:szCs w:val="24"/>
        </w:rPr>
        <w:t>: 604-620 [PMID: 19157625 DOI: 10.1016/j.jhep.2008.12.011]</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16 </w:t>
      </w:r>
      <w:r w:rsidRPr="00CB7670">
        <w:rPr>
          <w:rFonts w:ascii="Book Antiqua" w:hAnsi="Book Antiqua" w:cs="Times New Roman"/>
          <w:b/>
          <w:bCs/>
          <w:color w:val="000000" w:themeColor="text1"/>
          <w:sz w:val="24"/>
          <w:szCs w:val="24"/>
        </w:rPr>
        <w:t>Dewerchin M</w:t>
      </w:r>
      <w:r w:rsidRPr="00CB7670">
        <w:rPr>
          <w:rFonts w:ascii="Book Antiqua" w:hAnsi="Book Antiqua" w:cs="Times New Roman"/>
          <w:color w:val="000000" w:themeColor="text1"/>
          <w:sz w:val="24"/>
          <w:szCs w:val="24"/>
        </w:rPr>
        <w:t>, Carmeliet P. PlGF: a multitasking cytokine with disease-restricted activity. </w:t>
      </w:r>
      <w:r w:rsidRPr="00CB7670">
        <w:rPr>
          <w:rFonts w:ascii="Book Antiqua" w:hAnsi="Book Antiqua" w:cs="Times New Roman"/>
          <w:i/>
          <w:iCs/>
          <w:color w:val="000000" w:themeColor="text1"/>
          <w:sz w:val="24"/>
          <w:szCs w:val="24"/>
        </w:rPr>
        <w:t>Cold Spring Harb Perspect Med</w:t>
      </w:r>
      <w:r w:rsidRPr="00CB7670">
        <w:rPr>
          <w:rFonts w:ascii="Book Antiqua" w:hAnsi="Book Antiqua" w:cs="Times New Roman"/>
          <w:color w:val="000000" w:themeColor="text1"/>
          <w:sz w:val="24"/>
          <w:szCs w:val="24"/>
        </w:rPr>
        <w:t> 2012; </w:t>
      </w:r>
      <w:r w:rsidRPr="00CB7670">
        <w:rPr>
          <w:rFonts w:ascii="Book Antiqua" w:hAnsi="Book Antiqua" w:cs="Times New Roman"/>
          <w:b/>
          <w:bCs/>
          <w:color w:val="000000" w:themeColor="text1"/>
          <w:sz w:val="24"/>
          <w:szCs w:val="24"/>
        </w:rPr>
        <w:t>2</w:t>
      </w:r>
      <w:r w:rsidRPr="00CB7670">
        <w:rPr>
          <w:rFonts w:ascii="Book Antiqua" w:hAnsi="Book Antiqua" w:cs="Times New Roman"/>
          <w:color w:val="000000" w:themeColor="text1"/>
          <w:sz w:val="24"/>
          <w:szCs w:val="24"/>
        </w:rPr>
        <w:t>: [PMID: 22908198 DOI: 10.1101/cshperspect.a011056]</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17 </w:t>
      </w:r>
      <w:r w:rsidRPr="00CB7670">
        <w:rPr>
          <w:rFonts w:ascii="Book Antiqua" w:hAnsi="Book Antiqua" w:cs="Times New Roman"/>
          <w:b/>
          <w:bCs/>
          <w:color w:val="000000" w:themeColor="text1"/>
          <w:sz w:val="24"/>
          <w:szCs w:val="24"/>
        </w:rPr>
        <w:t>Van Steenkiste C</w:t>
      </w:r>
      <w:r w:rsidRPr="00CB7670">
        <w:rPr>
          <w:rFonts w:ascii="Book Antiqua" w:hAnsi="Book Antiqua" w:cs="Times New Roman"/>
          <w:color w:val="000000" w:themeColor="text1"/>
          <w:sz w:val="24"/>
          <w:szCs w:val="24"/>
        </w:rPr>
        <w:t>, Ribera J, Geerts A, Pauta M, Tugues S, Casteleyn C, Libbrecht L, Olievier K, Schroyen B, Reynaert H, van Grunsven LA, Blomme B, Coulon S, Heindryckx F, De Vos M, Stassen JM, Vinckier S, Altamirano J, Bataller R, Carmeliet P, Van Vlierberghe H, Colle I, Morales-Ruiz M. Inhibition of placental growth factor activity reduces the severity of fibrosis, inflammation, and portal hypertension in cirrhotic mice. </w:t>
      </w:r>
      <w:r w:rsidRPr="00CB7670">
        <w:rPr>
          <w:rFonts w:ascii="Book Antiqua" w:hAnsi="Book Antiqua" w:cs="Times New Roman"/>
          <w:i/>
          <w:iCs/>
          <w:color w:val="000000" w:themeColor="text1"/>
          <w:sz w:val="24"/>
          <w:szCs w:val="24"/>
        </w:rPr>
        <w:t>Hepatology</w:t>
      </w:r>
      <w:r w:rsidRPr="00CB7670">
        <w:rPr>
          <w:rFonts w:ascii="Book Antiqua" w:hAnsi="Book Antiqua" w:cs="Times New Roman"/>
          <w:color w:val="000000" w:themeColor="text1"/>
          <w:sz w:val="24"/>
          <w:szCs w:val="24"/>
        </w:rPr>
        <w:t> 2011; </w:t>
      </w:r>
      <w:r w:rsidRPr="00CB7670">
        <w:rPr>
          <w:rFonts w:ascii="Book Antiqua" w:hAnsi="Book Antiqua" w:cs="Times New Roman"/>
          <w:b/>
          <w:bCs/>
          <w:color w:val="000000" w:themeColor="text1"/>
          <w:sz w:val="24"/>
          <w:szCs w:val="24"/>
        </w:rPr>
        <w:t>53</w:t>
      </w:r>
      <w:r w:rsidRPr="00CB7670">
        <w:rPr>
          <w:rFonts w:ascii="Book Antiqua" w:hAnsi="Book Antiqua" w:cs="Times New Roman"/>
          <w:color w:val="000000" w:themeColor="text1"/>
          <w:sz w:val="24"/>
          <w:szCs w:val="24"/>
        </w:rPr>
        <w:t>: 1629-1640 [PMID: 21520176 DOI: 10.1002/hep.24238]</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lastRenderedPageBreak/>
        <w:t>18 </w:t>
      </w:r>
      <w:r w:rsidRPr="00CB7670">
        <w:rPr>
          <w:rFonts w:ascii="Book Antiqua" w:hAnsi="Book Antiqua" w:cs="Times New Roman"/>
          <w:b/>
          <w:bCs/>
          <w:color w:val="000000" w:themeColor="text1"/>
          <w:sz w:val="24"/>
          <w:szCs w:val="24"/>
        </w:rPr>
        <w:t>Li X</w:t>
      </w:r>
      <w:r w:rsidRPr="00CB7670">
        <w:rPr>
          <w:rFonts w:ascii="Book Antiqua" w:hAnsi="Book Antiqua" w:cs="Times New Roman"/>
          <w:color w:val="000000" w:themeColor="text1"/>
          <w:sz w:val="24"/>
          <w:szCs w:val="24"/>
        </w:rPr>
        <w:t>, Yao QY, Liu HC, Jin QW, Xu BL, Zhang SC, Tu CT. Placental growth factor silencing ameliorates liver fibrosis and angiogenesis and inhibits activation of hepatic stellate cells in a murine model of chronic liver disease. </w:t>
      </w:r>
      <w:r w:rsidRPr="00CB7670">
        <w:rPr>
          <w:rFonts w:ascii="Book Antiqua" w:hAnsi="Book Antiqua" w:cs="Times New Roman"/>
          <w:i/>
          <w:iCs/>
          <w:color w:val="000000" w:themeColor="text1"/>
          <w:sz w:val="24"/>
          <w:szCs w:val="24"/>
        </w:rPr>
        <w:t>J Cell Mol Med</w:t>
      </w:r>
      <w:r w:rsidRPr="00CB7670">
        <w:rPr>
          <w:rFonts w:ascii="Book Antiqua" w:hAnsi="Book Antiqua" w:cs="Times New Roman"/>
          <w:color w:val="000000" w:themeColor="text1"/>
          <w:sz w:val="24"/>
          <w:szCs w:val="24"/>
        </w:rPr>
        <w:t> 2017; </w:t>
      </w:r>
      <w:r w:rsidRPr="00CB7670">
        <w:rPr>
          <w:rFonts w:ascii="Book Antiqua" w:hAnsi="Book Antiqua" w:cs="Times New Roman"/>
          <w:b/>
          <w:bCs/>
          <w:color w:val="000000" w:themeColor="text1"/>
          <w:sz w:val="24"/>
          <w:szCs w:val="24"/>
        </w:rPr>
        <w:t>21</w:t>
      </w:r>
      <w:r w:rsidRPr="00CB7670">
        <w:rPr>
          <w:rFonts w:ascii="Book Antiqua" w:hAnsi="Book Antiqua" w:cs="Times New Roman"/>
          <w:color w:val="000000" w:themeColor="text1"/>
          <w:sz w:val="24"/>
          <w:szCs w:val="24"/>
        </w:rPr>
        <w:t>: 2370-2385 [PMID: 28378526 DOI: 10.1111/jcmm.13158]</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19 </w:t>
      </w:r>
      <w:r w:rsidRPr="00CB7670">
        <w:rPr>
          <w:rFonts w:ascii="Book Antiqua" w:hAnsi="Book Antiqua" w:cs="Times New Roman"/>
          <w:b/>
          <w:bCs/>
          <w:color w:val="000000" w:themeColor="text1"/>
          <w:sz w:val="24"/>
          <w:szCs w:val="24"/>
        </w:rPr>
        <w:t>Nyberg P</w:t>
      </w:r>
      <w:r w:rsidRPr="00CB7670">
        <w:rPr>
          <w:rFonts w:ascii="Book Antiqua" w:hAnsi="Book Antiqua" w:cs="Times New Roman"/>
          <w:color w:val="000000" w:themeColor="text1"/>
          <w:sz w:val="24"/>
          <w:szCs w:val="24"/>
        </w:rPr>
        <w:t>, Xie L, Kalluri R. Endogenous inhibitors of angiogenesis. </w:t>
      </w:r>
      <w:r w:rsidRPr="00CB7670">
        <w:rPr>
          <w:rFonts w:ascii="Book Antiqua" w:hAnsi="Book Antiqua" w:cs="Times New Roman"/>
          <w:i/>
          <w:iCs/>
          <w:color w:val="000000" w:themeColor="text1"/>
          <w:sz w:val="24"/>
          <w:szCs w:val="24"/>
        </w:rPr>
        <w:t>Cancer Res</w:t>
      </w:r>
      <w:r w:rsidRPr="00CB7670">
        <w:rPr>
          <w:rFonts w:ascii="Book Antiqua" w:hAnsi="Book Antiqua" w:cs="Times New Roman"/>
          <w:color w:val="000000" w:themeColor="text1"/>
          <w:sz w:val="24"/>
          <w:szCs w:val="24"/>
        </w:rPr>
        <w:t> 2005; </w:t>
      </w:r>
      <w:r w:rsidRPr="00CB7670">
        <w:rPr>
          <w:rFonts w:ascii="Book Antiqua" w:hAnsi="Book Antiqua" w:cs="Times New Roman"/>
          <w:b/>
          <w:bCs/>
          <w:color w:val="000000" w:themeColor="text1"/>
          <w:sz w:val="24"/>
          <w:szCs w:val="24"/>
        </w:rPr>
        <w:t>65</w:t>
      </w:r>
      <w:r w:rsidRPr="00CB7670">
        <w:rPr>
          <w:rFonts w:ascii="Book Antiqua" w:hAnsi="Book Antiqua" w:cs="Times New Roman"/>
          <w:color w:val="000000" w:themeColor="text1"/>
          <w:sz w:val="24"/>
          <w:szCs w:val="24"/>
        </w:rPr>
        <w:t>: 3967-3979 [PMID: 15899784 DOI: 10.1158/0008-5472.CAN-04-2427]</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20 </w:t>
      </w:r>
      <w:r w:rsidRPr="00CB7670">
        <w:rPr>
          <w:rFonts w:ascii="Book Antiqua" w:hAnsi="Book Antiqua" w:cs="Times New Roman"/>
          <w:b/>
          <w:bCs/>
          <w:color w:val="000000" w:themeColor="text1"/>
          <w:sz w:val="24"/>
          <w:szCs w:val="24"/>
        </w:rPr>
        <w:t>Gana JC</w:t>
      </w:r>
      <w:r w:rsidRPr="00CB7670">
        <w:rPr>
          <w:rFonts w:ascii="Book Antiqua" w:hAnsi="Book Antiqua" w:cs="Times New Roman"/>
          <w:color w:val="000000" w:themeColor="text1"/>
          <w:sz w:val="24"/>
          <w:szCs w:val="24"/>
        </w:rPr>
        <w:t>, Serrano CA, Ling SC. Angiogenesis and portal-systemic collaterals in portal hypertension. </w:t>
      </w:r>
      <w:r w:rsidRPr="00CB7670">
        <w:rPr>
          <w:rFonts w:ascii="Book Antiqua" w:hAnsi="Book Antiqua" w:cs="Times New Roman"/>
          <w:i/>
          <w:iCs/>
          <w:color w:val="000000" w:themeColor="text1"/>
          <w:sz w:val="24"/>
          <w:szCs w:val="24"/>
        </w:rPr>
        <w:t>Ann Hepatol</w:t>
      </w:r>
      <w:r w:rsidRPr="00CB7670">
        <w:rPr>
          <w:rFonts w:ascii="Book Antiqua" w:hAnsi="Book Antiqua" w:cs="Times New Roman"/>
          <w:color w:val="000000" w:themeColor="text1"/>
          <w:sz w:val="24"/>
          <w:szCs w:val="24"/>
        </w:rPr>
        <w:t> 2016; </w:t>
      </w:r>
      <w:r w:rsidRPr="00CB7670">
        <w:rPr>
          <w:rFonts w:ascii="Book Antiqua" w:hAnsi="Book Antiqua" w:cs="Times New Roman"/>
          <w:b/>
          <w:bCs/>
          <w:color w:val="000000" w:themeColor="text1"/>
          <w:sz w:val="24"/>
          <w:szCs w:val="24"/>
        </w:rPr>
        <w:t>15</w:t>
      </w:r>
      <w:r w:rsidRPr="00CB7670">
        <w:rPr>
          <w:rFonts w:ascii="Book Antiqua" w:hAnsi="Book Antiqua" w:cs="Times New Roman"/>
          <w:color w:val="000000" w:themeColor="text1"/>
          <w:sz w:val="24"/>
          <w:szCs w:val="24"/>
        </w:rPr>
        <w:t>: 303-313 [PMID: 27049484 DOI: 10.5604/16652681.1198799]</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21 </w:t>
      </w:r>
      <w:r w:rsidRPr="00CB7670">
        <w:rPr>
          <w:rFonts w:ascii="Book Antiqua" w:hAnsi="Book Antiqua" w:cs="Times New Roman"/>
          <w:b/>
          <w:bCs/>
          <w:color w:val="000000" w:themeColor="text1"/>
          <w:sz w:val="24"/>
          <w:szCs w:val="24"/>
        </w:rPr>
        <w:t>Sarkey JP</w:t>
      </w:r>
      <w:r w:rsidRPr="00CB7670">
        <w:rPr>
          <w:rFonts w:ascii="Book Antiqua" w:hAnsi="Book Antiqua" w:cs="Times New Roman"/>
          <w:color w:val="000000" w:themeColor="text1"/>
          <w:sz w:val="24"/>
          <w:szCs w:val="24"/>
        </w:rPr>
        <w:t>, Chu M, McShane M, Bovo E, Ait Mou Y, Zima AV, de Tombe PP, Kartje GL, Martin JL. Nogo-A knockdown inhibits hypoxia/reoxygenation-induced activation of mitochondrial-dependent apoptosis in cardiomyocytes. </w:t>
      </w:r>
      <w:r w:rsidRPr="00CB7670">
        <w:rPr>
          <w:rFonts w:ascii="Book Antiqua" w:hAnsi="Book Antiqua" w:cs="Times New Roman"/>
          <w:i/>
          <w:iCs/>
          <w:color w:val="000000" w:themeColor="text1"/>
          <w:sz w:val="24"/>
          <w:szCs w:val="24"/>
        </w:rPr>
        <w:t>J Mol Cell Cardiol</w:t>
      </w:r>
      <w:r w:rsidRPr="00CB7670">
        <w:rPr>
          <w:rFonts w:ascii="Book Antiqua" w:hAnsi="Book Antiqua" w:cs="Times New Roman"/>
          <w:color w:val="000000" w:themeColor="text1"/>
          <w:sz w:val="24"/>
          <w:szCs w:val="24"/>
        </w:rPr>
        <w:t> 2011; </w:t>
      </w:r>
      <w:r w:rsidRPr="00CB7670">
        <w:rPr>
          <w:rFonts w:ascii="Book Antiqua" w:hAnsi="Book Antiqua" w:cs="Times New Roman"/>
          <w:b/>
          <w:bCs/>
          <w:color w:val="000000" w:themeColor="text1"/>
          <w:sz w:val="24"/>
          <w:szCs w:val="24"/>
        </w:rPr>
        <w:t>50</w:t>
      </w:r>
      <w:r w:rsidRPr="00CB7670">
        <w:rPr>
          <w:rFonts w:ascii="Book Antiqua" w:hAnsi="Book Antiqua" w:cs="Times New Roman"/>
          <w:color w:val="000000" w:themeColor="text1"/>
          <w:sz w:val="24"/>
          <w:szCs w:val="24"/>
        </w:rPr>
        <w:t>: 1044-1055 [PMID: 21420413 DOI: 10.1016/j.yjmcc.2011.03.004]</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22 </w:t>
      </w:r>
      <w:r w:rsidRPr="00CB7670">
        <w:rPr>
          <w:rFonts w:ascii="Book Antiqua" w:hAnsi="Book Antiqua" w:cs="Times New Roman"/>
          <w:b/>
          <w:bCs/>
          <w:color w:val="000000" w:themeColor="text1"/>
          <w:sz w:val="24"/>
          <w:szCs w:val="24"/>
        </w:rPr>
        <w:t>Osborne SL</w:t>
      </w:r>
      <w:r w:rsidRPr="00CB7670">
        <w:rPr>
          <w:rFonts w:ascii="Book Antiqua" w:hAnsi="Book Antiqua" w:cs="Times New Roman"/>
          <w:color w:val="000000" w:themeColor="text1"/>
          <w:sz w:val="24"/>
          <w:szCs w:val="24"/>
        </w:rPr>
        <w:t>, Corcoran SL, Prinjha RK, Moore SE. Nogo A expression in the adult enteric nervous system. </w:t>
      </w:r>
      <w:r w:rsidRPr="00CB7670">
        <w:rPr>
          <w:rFonts w:ascii="Book Antiqua" w:hAnsi="Book Antiqua" w:cs="Times New Roman"/>
          <w:i/>
          <w:iCs/>
          <w:color w:val="000000" w:themeColor="text1"/>
          <w:sz w:val="24"/>
          <w:szCs w:val="24"/>
        </w:rPr>
        <w:t>Neurogastroenterol Motil</w:t>
      </w:r>
      <w:r w:rsidRPr="00CB7670">
        <w:rPr>
          <w:rFonts w:ascii="Book Antiqua" w:hAnsi="Book Antiqua" w:cs="Times New Roman"/>
          <w:color w:val="000000" w:themeColor="text1"/>
          <w:sz w:val="24"/>
          <w:szCs w:val="24"/>
        </w:rPr>
        <w:t> 2004; </w:t>
      </w:r>
      <w:r w:rsidRPr="00CB7670">
        <w:rPr>
          <w:rFonts w:ascii="Book Antiqua" w:hAnsi="Book Antiqua" w:cs="Times New Roman"/>
          <w:b/>
          <w:bCs/>
          <w:color w:val="000000" w:themeColor="text1"/>
          <w:sz w:val="24"/>
          <w:szCs w:val="24"/>
        </w:rPr>
        <w:t>16</w:t>
      </w:r>
      <w:r w:rsidRPr="00CB7670">
        <w:rPr>
          <w:rFonts w:ascii="Book Antiqua" w:hAnsi="Book Antiqua" w:cs="Times New Roman"/>
          <w:color w:val="000000" w:themeColor="text1"/>
          <w:sz w:val="24"/>
          <w:szCs w:val="24"/>
        </w:rPr>
        <w:t>: 465-474 [PMID: 15306002 DOI: 10.1111/j.1365-2982.2004.00527.x]</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23 </w:t>
      </w:r>
      <w:r w:rsidRPr="00CB7670">
        <w:rPr>
          <w:rFonts w:ascii="Book Antiqua" w:hAnsi="Book Antiqua" w:cs="Times New Roman"/>
          <w:b/>
          <w:bCs/>
          <w:color w:val="000000" w:themeColor="text1"/>
          <w:sz w:val="24"/>
          <w:szCs w:val="24"/>
        </w:rPr>
        <w:t>Pernet V</w:t>
      </w:r>
      <w:r w:rsidRPr="00CB7670">
        <w:rPr>
          <w:rFonts w:ascii="Book Antiqua" w:hAnsi="Book Antiqua" w:cs="Times New Roman"/>
          <w:color w:val="000000" w:themeColor="text1"/>
          <w:sz w:val="24"/>
          <w:szCs w:val="24"/>
        </w:rPr>
        <w:t>. Nogo-A in the visual system development and in ocular diseases. </w:t>
      </w:r>
      <w:r w:rsidRPr="00CB7670">
        <w:rPr>
          <w:rFonts w:ascii="Book Antiqua" w:hAnsi="Book Antiqua" w:cs="Times New Roman"/>
          <w:i/>
          <w:iCs/>
          <w:color w:val="000000" w:themeColor="text1"/>
          <w:sz w:val="24"/>
          <w:szCs w:val="24"/>
        </w:rPr>
        <w:t>Biochim Biophys Acta Mol Basis Dis</w:t>
      </w:r>
      <w:r w:rsidRPr="00CB7670">
        <w:rPr>
          <w:rFonts w:ascii="Book Antiqua" w:hAnsi="Book Antiqua" w:cs="Times New Roman"/>
          <w:color w:val="000000" w:themeColor="text1"/>
          <w:sz w:val="24"/>
          <w:szCs w:val="24"/>
        </w:rPr>
        <w:t> 2017; </w:t>
      </w:r>
      <w:r w:rsidRPr="00CB7670">
        <w:rPr>
          <w:rFonts w:ascii="Book Antiqua" w:hAnsi="Book Antiqua" w:cs="Times New Roman"/>
          <w:b/>
          <w:bCs/>
          <w:color w:val="000000" w:themeColor="text1"/>
          <w:sz w:val="24"/>
          <w:szCs w:val="24"/>
        </w:rPr>
        <w:t>1863</w:t>
      </w:r>
      <w:r w:rsidRPr="00CB7670">
        <w:rPr>
          <w:rFonts w:ascii="Book Antiqua" w:hAnsi="Book Antiqua" w:cs="Times New Roman"/>
          <w:color w:val="000000" w:themeColor="text1"/>
          <w:sz w:val="24"/>
          <w:szCs w:val="24"/>
        </w:rPr>
        <w:t>: 1300-1311 [PMID: 28408340 DOI: 10.1016/j.bbadis.2017.04.008]</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24 </w:t>
      </w:r>
      <w:r w:rsidRPr="00CB7670">
        <w:rPr>
          <w:rFonts w:ascii="Book Antiqua" w:hAnsi="Book Antiqua" w:cs="Times New Roman"/>
          <w:b/>
          <w:bCs/>
          <w:color w:val="000000" w:themeColor="text1"/>
          <w:sz w:val="24"/>
          <w:szCs w:val="24"/>
        </w:rPr>
        <w:t>Hao CQ</w:t>
      </w:r>
      <w:r w:rsidRPr="00CB7670">
        <w:rPr>
          <w:rFonts w:ascii="Book Antiqua" w:hAnsi="Book Antiqua" w:cs="Times New Roman"/>
          <w:color w:val="000000" w:themeColor="text1"/>
          <w:sz w:val="24"/>
          <w:szCs w:val="24"/>
        </w:rPr>
        <w:t>, Zhou Y, Wang JP, Peng MJ, Xie YM, Kang WZ, Sun L, Wang PZ, Wan CL, He L, Cai L, Jia ZS. Role of Nogo</w:t>
      </w:r>
      <w:r w:rsidRPr="00CB7670">
        <w:rPr>
          <w:rFonts w:ascii="Book Antiqua" w:hAnsi="Book Antiqua" w:cs="Times New Roman"/>
          <w:color w:val="000000" w:themeColor="text1"/>
          <w:sz w:val="24"/>
          <w:szCs w:val="24"/>
        </w:rPr>
        <w:noBreakHyphen/>
        <w:t>A in the regulation of hepatocellular carcinoma SMMC</w:t>
      </w:r>
      <w:r w:rsidRPr="00CB7670">
        <w:rPr>
          <w:rFonts w:ascii="Book Antiqua" w:hAnsi="Book Antiqua" w:cs="Times New Roman"/>
          <w:color w:val="000000" w:themeColor="text1"/>
          <w:sz w:val="24"/>
          <w:szCs w:val="24"/>
        </w:rPr>
        <w:noBreakHyphen/>
        <w:t>7721 cell apoptosis. </w:t>
      </w:r>
      <w:r w:rsidRPr="00CB7670">
        <w:rPr>
          <w:rFonts w:ascii="Book Antiqua" w:hAnsi="Book Antiqua" w:cs="Times New Roman"/>
          <w:i/>
          <w:iCs/>
          <w:color w:val="000000" w:themeColor="text1"/>
          <w:sz w:val="24"/>
          <w:szCs w:val="24"/>
        </w:rPr>
        <w:t>Mol Med Rep</w:t>
      </w:r>
      <w:r w:rsidRPr="00CB7670">
        <w:rPr>
          <w:rFonts w:ascii="Book Antiqua" w:hAnsi="Book Antiqua" w:cs="Times New Roman"/>
          <w:color w:val="000000" w:themeColor="text1"/>
          <w:sz w:val="24"/>
          <w:szCs w:val="24"/>
        </w:rPr>
        <w:t> 2014; </w:t>
      </w:r>
      <w:r w:rsidRPr="00CB7670">
        <w:rPr>
          <w:rFonts w:ascii="Book Antiqua" w:hAnsi="Book Antiqua" w:cs="Times New Roman"/>
          <w:b/>
          <w:bCs/>
          <w:color w:val="000000" w:themeColor="text1"/>
          <w:sz w:val="24"/>
          <w:szCs w:val="24"/>
        </w:rPr>
        <w:t>9</w:t>
      </w:r>
      <w:r w:rsidRPr="00CB7670">
        <w:rPr>
          <w:rFonts w:ascii="Book Antiqua" w:hAnsi="Book Antiqua" w:cs="Times New Roman"/>
          <w:color w:val="000000" w:themeColor="text1"/>
          <w:sz w:val="24"/>
          <w:szCs w:val="24"/>
        </w:rPr>
        <w:t>: 1743-1748 [PMID: 24626842 DOI: 10.3892/mmr.2014.2050]</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25 </w:t>
      </w:r>
      <w:r w:rsidRPr="00CB7670">
        <w:rPr>
          <w:rFonts w:ascii="Book Antiqua" w:hAnsi="Book Antiqua" w:cs="Times New Roman"/>
          <w:b/>
          <w:bCs/>
          <w:color w:val="000000" w:themeColor="text1"/>
          <w:sz w:val="24"/>
          <w:szCs w:val="24"/>
        </w:rPr>
        <w:t>Tata M</w:t>
      </w:r>
      <w:r w:rsidRPr="00CB7670">
        <w:rPr>
          <w:rFonts w:ascii="Book Antiqua" w:hAnsi="Book Antiqua" w:cs="Times New Roman"/>
          <w:color w:val="000000" w:themeColor="text1"/>
          <w:sz w:val="24"/>
          <w:szCs w:val="24"/>
        </w:rPr>
        <w:t>, Ruhrberg C, Fantin A. Vascularisation of the central nervous system. </w:t>
      </w:r>
      <w:r w:rsidRPr="00CB7670">
        <w:rPr>
          <w:rFonts w:ascii="Book Antiqua" w:hAnsi="Book Antiqua" w:cs="Times New Roman"/>
          <w:i/>
          <w:iCs/>
          <w:color w:val="000000" w:themeColor="text1"/>
          <w:sz w:val="24"/>
          <w:szCs w:val="24"/>
        </w:rPr>
        <w:t>Mech Dev</w:t>
      </w:r>
      <w:r w:rsidRPr="00CB7670">
        <w:rPr>
          <w:rFonts w:ascii="Book Antiqua" w:hAnsi="Book Antiqua" w:cs="Times New Roman"/>
          <w:color w:val="000000" w:themeColor="text1"/>
          <w:sz w:val="24"/>
          <w:szCs w:val="24"/>
        </w:rPr>
        <w:t> 2015; </w:t>
      </w:r>
      <w:r w:rsidRPr="00CB7670">
        <w:rPr>
          <w:rFonts w:ascii="Book Antiqua" w:hAnsi="Book Antiqua" w:cs="Times New Roman"/>
          <w:b/>
          <w:bCs/>
          <w:color w:val="000000" w:themeColor="text1"/>
          <w:sz w:val="24"/>
          <w:szCs w:val="24"/>
        </w:rPr>
        <w:t xml:space="preserve">138 </w:t>
      </w:r>
      <w:r w:rsidRPr="00CB7670">
        <w:rPr>
          <w:rFonts w:ascii="Book Antiqua" w:hAnsi="Book Antiqua" w:cs="Times New Roman"/>
          <w:bCs/>
          <w:color w:val="000000" w:themeColor="text1"/>
          <w:sz w:val="24"/>
          <w:szCs w:val="24"/>
        </w:rPr>
        <w:t>Pt 1</w:t>
      </w:r>
      <w:r w:rsidRPr="00CB7670">
        <w:rPr>
          <w:rFonts w:ascii="Book Antiqua" w:hAnsi="Book Antiqua" w:cs="Times New Roman"/>
          <w:color w:val="000000" w:themeColor="text1"/>
          <w:sz w:val="24"/>
          <w:szCs w:val="24"/>
        </w:rPr>
        <w:t>: 26-36 [PMID: 26222953 DOI: 10.1016/j.mod.2015.07.001]</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26 </w:t>
      </w:r>
      <w:r w:rsidRPr="00CB7670">
        <w:rPr>
          <w:rFonts w:ascii="Book Antiqua" w:hAnsi="Book Antiqua" w:cs="Times New Roman"/>
          <w:b/>
          <w:bCs/>
          <w:color w:val="000000" w:themeColor="text1"/>
          <w:sz w:val="24"/>
          <w:szCs w:val="24"/>
        </w:rPr>
        <w:t>Wälchli T</w:t>
      </w:r>
      <w:r w:rsidRPr="00CB7670">
        <w:rPr>
          <w:rFonts w:ascii="Book Antiqua" w:hAnsi="Book Antiqua" w:cs="Times New Roman"/>
          <w:color w:val="000000" w:themeColor="text1"/>
          <w:sz w:val="24"/>
          <w:szCs w:val="24"/>
        </w:rPr>
        <w:t>, Pernet V, Weinmann O, Shiu JY, Guzik-Kornacka A, Decrey G, Yüksel D, Schneider H, Vogel J, Ingber DE, Vogel V, Frei K, Schwab ME. Nogo-A is a negative regulator of CNS angiogenesis. </w:t>
      </w:r>
      <w:r w:rsidRPr="00CB7670">
        <w:rPr>
          <w:rFonts w:ascii="Book Antiqua" w:hAnsi="Book Antiqua" w:cs="Times New Roman"/>
          <w:i/>
          <w:iCs/>
          <w:color w:val="000000" w:themeColor="text1"/>
          <w:sz w:val="24"/>
          <w:szCs w:val="24"/>
        </w:rPr>
        <w:t>Proc Natl Acad Sci USA</w:t>
      </w:r>
      <w:r w:rsidRPr="00CB7670">
        <w:rPr>
          <w:rFonts w:ascii="Book Antiqua" w:hAnsi="Book Antiqua" w:cs="Times New Roman"/>
          <w:color w:val="000000" w:themeColor="text1"/>
          <w:sz w:val="24"/>
          <w:szCs w:val="24"/>
        </w:rPr>
        <w:t> 2013; </w:t>
      </w:r>
      <w:r w:rsidRPr="00CB7670">
        <w:rPr>
          <w:rFonts w:ascii="Book Antiqua" w:hAnsi="Book Antiqua" w:cs="Times New Roman"/>
          <w:b/>
          <w:bCs/>
          <w:color w:val="000000" w:themeColor="text1"/>
          <w:sz w:val="24"/>
          <w:szCs w:val="24"/>
        </w:rPr>
        <w:t>110</w:t>
      </w:r>
      <w:r w:rsidRPr="00CB7670">
        <w:rPr>
          <w:rFonts w:ascii="Book Antiqua" w:hAnsi="Book Antiqua" w:cs="Times New Roman"/>
          <w:color w:val="000000" w:themeColor="text1"/>
          <w:sz w:val="24"/>
          <w:szCs w:val="24"/>
        </w:rPr>
        <w:t>: E1943-E1952 [PMID: 23625008 DOI: 10.1073/pnas.1216203110]</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lastRenderedPageBreak/>
        <w:t>27 </w:t>
      </w:r>
      <w:r w:rsidRPr="00CB7670">
        <w:rPr>
          <w:rFonts w:ascii="Book Antiqua" w:hAnsi="Book Antiqua" w:cs="Times New Roman"/>
          <w:b/>
          <w:bCs/>
          <w:color w:val="000000" w:themeColor="text1"/>
          <w:sz w:val="24"/>
          <w:szCs w:val="24"/>
        </w:rPr>
        <w:t>Zhang D</w:t>
      </w:r>
      <w:r w:rsidRPr="00CB7670">
        <w:rPr>
          <w:rFonts w:ascii="Book Antiqua" w:hAnsi="Book Antiqua" w:cs="Times New Roman"/>
          <w:color w:val="000000" w:themeColor="text1"/>
          <w:sz w:val="24"/>
          <w:szCs w:val="24"/>
        </w:rPr>
        <w:t>, Utsumi T, Huang HC, Gao L, Sangwung P, Chung C, Shibao K, Okamoto K, Yamaguchi K, Groszmann RJ, Jozsef L, Hao Z, Sessa WC, Iwakiri Y. Reticulon 4B (Nogo-B) is a novel regulator of hepatic fibrosis. </w:t>
      </w:r>
      <w:r w:rsidRPr="00CB7670">
        <w:rPr>
          <w:rFonts w:ascii="Book Antiqua" w:hAnsi="Book Antiqua" w:cs="Times New Roman"/>
          <w:i/>
          <w:iCs/>
          <w:color w:val="000000" w:themeColor="text1"/>
          <w:sz w:val="24"/>
          <w:szCs w:val="24"/>
        </w:rPr>
        <w:t>Hepatology</w:t>
      </w:r>
      <w:r w:rsidRPr="00CB7670">
        <w:rPr>
          <w:rFonts w:ascii="Book Antiqua" w:hAnsi="Book Antiqua" w:cs="Times New Roman"/>
          <w:color w:val="000000" w:themeColor="text1"/>
          <w:sz w:val="24"/>
          <w:szCs w:val="24"/>
        </w:rPr>
        <w:t> 2011; </w:t>
      </w:r>
      <w:r w:rsidRPr="00CB7670">
        <w:rPr>
          <w:rFonts w:ascii="Book Antiqua" w:hAnsi="Book Antiqua" w:cs="Times New Roman"/>
          <w:b/>
          <w:bCs/>
          <w:color w:val="000000" w:themeColor="text1"/>
          <w:sz w:val="24"/>
          <w:szCs w:val="24"/>
        </w:rPr>
        <w:t>53</w:t>
      </w:r>
      <w:r w:rsidRPr="00CB7670">
        <w:rPr>
          <w:rFonts w:ascii="Book Antiqua" w:hAnsi="Book Antiqua" w:cs="Times New Roman"/>
          <w:color w:val="000000" w:themeColor="text1"/>
          <w:sz w:val="24"/>
          <w:szCs w:val="24"/>
        </w:rPr>
        <w:t>: 1306-1315 [PMID: 21480333 DOI: 10.1038/jid.2014.371]</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28 </w:t>
      </w:r>
      <w:r w:rsidRPr="00CB7670">
        <w:rPr>
          <w:rFonts w:ascii="Book Antiqua" w:hAnsi="Book Antiqua" w:cs="Times New Roman"/>
          <w:b/>
          <w:bCs/>
          <w:color w:val="000000" w:themeColor="text1"/>
          <w:sz w:val="24"/>
          <w:szCs w:val="24"/>
        </w:rPr>
        <w:t>Men R</w:t>
      </w:r>
      <w:r w:rsidRPr="00CB7670">
        <w:rPr>
          <w:rFonts w:ascii="Book Antiqua" w:hAnsi="Book Antiqua" w:cs="Times New Roman"/>
          <w:color w:val="000000" w:themeColor="text1"/>
          <w:sz w:val="24"/>
          <w:szCs w:val="24"/>
        </w:rPr>
        <w:t>, Wen M, Dan X, Zhu Y, Wang W, Li J, Wu W, Liu X, Yang L. Nogo-B: A potential indicator for hepatic cirrhosis and regulator in hepatic stellate cell activation. </w:t>
      </w:r>
      <w:r w:rsidRPr="00CB7670">
        <w:rPr>
          <w:rFonts w:ascii="Book Antiqua" w:hAnsi="Book Antiqua" w:cs="Times New Roman"/>
          <w:i/>
          <w:iCs/>
          <w:color w:val="000000" w:themeColor="text1"/>
          <w:sz w:val="24"/>
          <w:szCs w:val="24"/>
        </w:rPr>
        <w:t>Hepatol Res</w:t>
      </w:r>
      <w:r w:rsidRPr="00CB7670">
        <w:rPr>
          <w:rFonts w:ascii="Book Antiqua" w:hAnsi="Book Antiqua" w:cs="Times New Roman"/>
          <w:color w:val="000000" w:themeColor="text1"/>
          <w:sz w:val="24"/>
          <w:szCs w:val="24"/>
        </w:rPr>
        <w:t> 2015; </w:t>
      </w:r>
      <w:r w:rsidRPr="00CB7670">
        <w:rPr>
          <w:rFonts w:ascii="Book Antiqua" w:hAnsi="Book Antiqua" w:cs="Times New Roman"/>
          <w:b/>
          <w:bCs/>
          <w:color w:val="000000" w:themeColor="text1"/>
          <w:sz w:val="24"/>
          <w:szCs w:val="24"/>
        </w:rPr>
        <w:t>45</w:t>
      </w:r>
      <w:r w:rsidRPr="00CB7670">
        <w:rPr>
          <w:rFonts w:ascii="Book Antiqua" w:hAnsi="Book Antiqua" w:cs="Times New Roman"/>
          <w:color w:val="000000" w:themeColor="text1"/>
          <w:sz w:val="24"/>
          <w:szCs w:val="24"/>
        </w:rPr>
        <w:t>: 113-122 [PMID: 24606149 DOI: 10.1111/hepr.12324]</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29 </w:t>
      </w:r>
      <w:r w:rsidRPr="00CB7670">
        <w:rPr>
          <w:rFonts w:ascii="Book Antiqua" w:hAnsi="Book Antiqua" w:cs="Times New Roman"/>
          <w:b/>
          <w:bCs/>
          <w:color w:val="000000" w:themeColor="text1"/>
          <w:sz w:val="24"/>
          <w:szCs w:val="24"/>
        </w:rPr>
        <w:t>Zhao B</w:t>
      </w:r>
      <w:r w:rsidRPr="00CB7670">
        <w:rPr>
          <w:rFonts w:ascii="Book Antiqua" w:hAnsi="Book Antiqua" w:cs="Times New Roman"/>
          <w:color w:val="000000" w:themeColor="text1"/>
          <w:sz w:val="24"/>
          <w:szCs w:val="24"/>
        </w:rPr>
        <w:t>, Chun C, Liu Z, Horswill MA, Pramanik K, Wilkinson GA, Ramchandran R, Miao RQ. Nogo-B receptor is essential for angiogenesis in zebrafish via Akt pathway. </w:t>
      </w:r>
      <w:r w:rsidRPr="00CB7670">
        <w:rPr>
          <w:rFonts w:ascii="Book Antiqua" w:hAnsi="Book Antiqua" w:cs="Times New Roman"/>
          <w:i/>
          <w:iCs/>
          <w:color w:val="000000" w:themeColor="text1"/>
          <w:sz w:val="24"/>
          <w:szCs w:val="24"/>
        </w:rPr>
        <w:t>Blood</w:t>
      </w:r>
      <w:r w:rsidRPr="00CB7670">
        <w:rPr>
          <w:rFonts w:ascii="Book Antiqua" w:hAnsi="Book Antiqua" w:cs="Times New Roman"/>
          <w:color w:val="000000" w:themeColor="text1"/>
          <w:sz w:val="24"/>
          <w:szCs w:val="24"/>
        </w:rPr>
        <w:t> 2010; </w:t>
      </w:r>
      <w:r w:rsidRPr="00CB7670">
        <w:rPr>
          <w:rFonts w:ascii="Book Antiqua" w:hAnsi="Book Antiqua" w:cs="Times New Roman"/>
          <w:b/>
          <w:bCs/>
          <w:color w:val="000000" w:themeColor="text1"/>
          <w:sz w:val="24"/>
          <w:szCs w:val="24"/>
        </w:rPr>
        <w:t>116</w:t>
      </w:r>
      <w:r w:rsidRPr="00CB7670">
        <w:rPr>
          <w:rFonts w:ascii="Book Antiqua" w:hAnsi="Book Antiqua" w:cs="Times New Roman"/>
          <w:color w:val="000000" w:themeColor="text1"/>
          <w:sz w:val="24"/>
          <w:szCs w:val="24"/>
        </w:rPr>
        <w:t>: 5423-5433 [PMID: 20813898 DOI: 10.1182/blood-2010-02-271577]</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30 </w:t>
      </w:r>
      <w:r w:rsidRPr="00CB7670">
        <w:rPr>
          <w:rFonts w:ascii="Book Antiqua" w:hAnsi="Book Antiqua" w:cs="Times New Roman"/>
          <w:b/>
          <w:bCs/>
          <w:color w:val="000000" w:themeColor="text1"/>
          <w:sz w:val="24"/>
          <w:szCs w:val="24"/>
        </w:rPr>
        <w:t>Teng RJ</w:t>
      </w:r>
      <w:r w:rsidRPr="00CB7670">
        <w:rPr>
          <w:rFonts w:ascii="Book Antiqua" w:hAnsi="Book Antiqua" w:cs="Times New Roman"/>
          <w:color w:val="000000" w:themeColor="text1"/>
          <w:sz w:val="24"/>
          <w:szCs w:val="24"/>
        </w:rPr>
        <w:t>, Rana U, Afolayan AJ, Zhao B, Miao QR, Konduri GG. Nogo-B receptor modulates angiogenesis response of pulmonary artery endothelial cells through eNOS coupling. </w:t>
      </w:r>
      <w:r w:rsidRPr="00CB7670">
        <w:rPr>
          <w:rFonts w:ascii="Book Antiqua" w:hAnsi="Book Antiqua" w:cs="Times New Roman"/>
          <w:i/>
          <w:iCs/>
          <w:color w:val="000000" w:themeColor="text1"/>
          <w:sz w:val="24"/>
          <w:szCs w:val="24"/>
        </w:rPr>
        <w:t>Am J Respir Cell Mol Biol</w:t>
      </w:r>
      <w:r w:rsidRPr="00CB7670">
        <w:rPr>
          <w:rFonts w:ascii="Book Antiqua" w:hAnsi="Book Antiqua" w:cs="Times New Roman"/>
          <w:color w:val="000000" w:themeColor="text1"/>
          <w:sz w:val="24"/>
          <w:szCs w:val="24"/>
        </w:rPr>
        <w:t> 2014; </w:t>
      </w:r>
      <w:r w:rsidRPr="00CB7670">
        <w:rPr>
          <w:rFonts w:ascii="Book Antiqua" w:hAnsi="Book Antiqua" w:cs="Times New Roman"/>
          <w:b/>
          <w:bCs/>
          <w:color w:val="000000" w:themeColor="text1"/>
          <w:sz w:val="24"/>
          <w:szCs w:val="24"/>
        </w:rPr>
        <w:t>51</w:t>
      </w:r>
      <w:r w:rsidRPr="00CB7670">
        <w:rPr>
          <w:rFonts w:ascii="Book Antiqua" w:hAnsi="Book Antiqua" w:cs="Times New Roman"/>
          <w:color w:val="000000" w:themeColor="text1"/>
          <w:sz w:val="24"/>
          <w:szCs w:val="24"/>
        </w:rPr>
        <w:t>: 169-177 [PMID: 24568601 DOI: 10.1165/rcmb.2013-0298OC]</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31 </w:t>
      </w:r>
      <w:r w:rsidRPr="00CB7670">
        <w:rPr>
          <w:rFonts w:ascii="Book Antiqua" w:hAnsi="Book Antiqua" w:cs="Times New Roman"/>
          <w:b/>
          <w:bCs/>
          <w:color w:val="000000" w:themeColor="text1"/>
          <w:sz w:val="24"/>
          <w:szCs w:val="24"/>
        </w:rPr>
        <w:t>Yu J</w:t>
      </w:r>
      <w:r w:rsidRPr="00CB7670">
        <w:rPr>
          <w:rFonts w:ascii="Book Antiqua" w:hAnsi="Book Antiqua" w:cs="Times New Roman"/>
          <w:color w:val="000000" w:themeColor="text1"/>
          <w:sz w:val="24"/>
          <w:szCs w:val="24"/>
        </w:rPr>
        <w:t>, Fernández-Hernando C, Suarez Y, Schleicher M, Hao Z, Wright PL, DiLorenzo A, Kyriakides TR, Sessa WC. Reticulon 4B (Nogo-B) is necessary for macrophage infiltration and tissue repair. </w:t>
      </w:r>
      <w:r w:rsidRPr="00CB7670">
        <w:rPr>
          <w:rFonts w:ascii="Book Antiqua" w:hAnsi="Book Antiqua" w:cs="Times New Roman"/>
          <w:i/>
          <w:iCs/>
          <w:color w:val="000000" w:themeColor="text1"/>
          <w:sz w:val="24"/>
          <w:szCs w:val="24"/>
        </w:rPr>
        <w:t>Proc Natl Acad Sci USA</w:t>
      </w:r>
      <w:r w:rsidRPr="00CB7670">
        <w:rPr>
          <w:rFonts w:ascii="Book Antiqua" w:hAnsi="Book Antiqua" w:cs="Times New Roman"/>
          <w:color w:val="000000" w:themeColor="text1"/>
          <w:sz w:val="24"/>
          <w:szCs w:val="24"/>
        </w:rPr>
        <w:t> 2009; </w:t>
      </w:r>
      <w:r w:rsidRPr="00CB7670">
        <w:rPr>
          <w:rFonts w:ascii="Book Antiqua" w:hAnsi="Book Antiqua" w:cs="Times New Roman"/>
          <w:b/>
          <w:bCs/>
          <w:color w:val="000000" w:themeColor="text1"/>
          <w:sz w:val="24"/>
          <w:szCs w:val="24"/>
        </w:rPr>
        <w:t>106</w:t>
      </w:r>
      <w:r w:rsidRPr="00CB7670">
        <w:rPr>
          <w:rFonts w:ascii="Book Antiqua" w:hAnsi="Book Antiqua" w:cs="Times New Roman"/>
          <w:color w:val="000000" w:themeColor="text1"/>
          <w:sz w:val="24"/>
          <w:szCs w:val="24"/>
        </w:rPr>
        <w:t>: 17511-17516 [PMID: 19805174 DOI: 10.1073/pnas.0907359106]</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32 </w:t>
      </w:r>
      <w:r w:rsidRPr="00CB7670">
        <w:rPr>
          <w:rFonts w:ascii="Book Antiqua" w:hAnsi="Book Antiqua" w:cs="Times New Roman"/>
          <w:b/>
          <w:bCs/>
          <w:color w:val="000000" w:themeColor="text1"/>
          <w:sz w:val="24"/>
          <w:szCs w:val="24"/>
        </w:rPr>
        <w:t>Groszmann RJ</w:t>
      </w:r>
      <w:r w:rsidRPr="00CB7670">
        <w:rPr>
          <w:rFonts w:ascii="Book Antiqua" w:hAnsi="Book Antiqua" w:cs="Times New Roman"/>
          <w:color w:val="000000" w:themeColor="text1"/>
          <w:sz w:val="24"/>
          <w:szCs w:val="24"/>
        </w:rPr>
        <w:t>, Wongcharatrawee S. The hepatic venous pressure gradient: anything worth doing should be done right. </w:t>
      </w:r>
      <w:r w:rsidRPr="00CB7670">
        <w:rPr>
          <w:rFonts w:ascii="Book Antiqua" w:hAnsi="Book Antiqua" w:cs="Times New Roman"/>
          <w:i/>
          <w:iCs/>
          <w:color w:val="000000" w:themeColor="text1"/>
          <w:sz w:val="24"/>
          <w:szCs w:val="24"/>
        </w:rPr>
        <w:t>Hepatology</w:t>
      </w:r>
      <w:r w:rsidRPr="00CB7670">
        <w:rPr>
          <w:rFonts w:ascii="Book Antiqua" w:hAnsi="Book Antiqua" w:cs="Times New Roman"/>
          <w:color w:val="000000" w:themeColor="text1"/>
          <w:sz w:val="24"/>
          <w:szCs w:val="24"/>
        </w:rPr>
        <w:t> 2004; </w:t>
      </w:r>
      <w:r w:rsidRPr="00CB7670">
        <w:rPr>
          <w:rFonts w:ascii="Book Antiqua" w:hAnsi="Book Antiqua" w:cs="Times New Roman"/>
          <w:b/>
          <w:bCs/>
          <w:color w:val="000000" w:themeColor="text1"/>
          <w:sz w:val="24"/>
          <w:szCs w:val="24"/>
        </w:rPr>
        <w:t>39</w:t>
      </w:r>
      <w:r w:rsidRPr="00CB7670">
        <w:rPr>
          <w:rFonts w:ascii="Book Antiqua" w:hAnsi="Book Antiqua" w:cs="Times New Roman"/>
          <w:color w:val="000000" w:themeColor="text1"/>
          <w:sz w:val="24"/>
          <w:szCs w:val="24"/>
        </w:rPr>
        <w:t>: 280-282 [PMID: 14767976 DOI: 10.1002/hep.20062]</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33 </w:t>
      </w:r>
      <w:r w:rsidRPr="00CB7670">
        <w:rPr>
          <w:rFonts w:ascii="Book Antiqua" w:hAnsi="Book Antiqua" w:cs="Times New Roman"/>
          <w:b/>
          <w:bCs/>
          <w:color w:val="000000" w:themeColor="text1"/>
          <w:sz w:val="24"/>
          <w:szCs w:val="24"/>
        </w:rPr>
        <w:t>Marcellin P</w:t>
      </w:r>
      <w:r w:rsidRPr="00CB7670">
        <w:rPr>
          <w:rFonts w:ascii="Book Antiqua" w:hAnsi="Book Antiqua" w:cs="Times New Roman"/>
          <w:color w:val="000000" w:themeColor="text1"/>
          <w:sz w:val="24"/>
          <w:szCs w:val="24"/>
        </w:rPr>
        <w:t>, Kutala BK. Liver diseases: A major, neglected global public health problem requiring urgent actions and large-scale screening. </w:t>
      </w:r>
      <w:r w:rsidRPr="00CB7670">
        <w:rPr>
          <w:rFonts w:ascii="Book Antiqua" w:hAnsi="Book Antiqua" w:cs="Times New Roman"/>
          <w:i/>
          <w:iCs/>
          <w:color w:val="000000" w:themeColor="text1"/>
          <w:sz w:val="24"/>
          <w:szCs w:val="24"/>
        </w:rPr>
        <w:t>Liver Int</w:t>
      </w:r>
      <w:r w:rsidRPr="00CB7670">
        <w:rPr>
          <w:rFonts w:ascii="Book Antiqua" w:hAnsi="Book Antiqua" w:cs="Times New Roman"/>
          <w:color w:val="000000" w:themeColor="text1"/>
          <w:sz w:val="24"/>
          <w:szCs w:val="24"/>
        </w:rPr>
        <w:t> 2018; </w:t>
      </w:r>
      <w:r w:rsidRPr="00CB7670">
        <w:rPr>
          <w:rFonts w:ascii="Book Antiqua" w:hAnsi="Book Antiqua" w:cs="Times New Roman"/>
          <w:b/>
          <w:bCs/>
          <w:color w:val="000000" w:themeColor="text1"/>
          <w:sz w:val="24"/>
          <w:szCs w:val="24"/>
        </w:rPr>
        <w:t xml:space="preserve">38 </w:t>
      </w:r>
      <w:r w:rsidRPr="00CB7670">
        <w:rPr>
          <w:rFonts w:ascii="Book Antiqua" w:hAnsi="Book Antiqua" w:cs="Times New Roman"/>
          <w:bCs/>
          <w:color w:val="000000" w:themeColor="text1"/>
          <w:sz w:val="24"/>
          <w:szCs w:val="24"/>
        </w:rPr>
        <w:t>Suppl 1</w:t>
      </w:r>
      <w:r w:rsidRPr="00CB7670">
        <w:rPr>
          <w:rFonts w:ascii="Book Antiqua" w:hAnsi="Book Antiqua" w:cs="Times New Roman"/>
          <w:color w:val="000000" w:themeColor="text1"/>
          <w:sz w:val="24"/>
          <w:szCs w:val="24"/>
        </w:rPr>
        <w:t>: 2-6 [PMID: 29427496 DOI: 10.1111/liv.13682]</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34 </w:t>
      </w:r>
      <w:r w:rsidRPr="00CB7670">
        <w:rPr>
          <w:rFonts w:ascii="Book Antiqua" w:hAnsi="Book Antiqua" w:cs="Times New Roman"/>
          <w:b/>
          <w:bCs/>
          <w:color w:val="000000" w:themeColor="text1"/>
          <w:sz w:val="24"/>
          <w:szCs w:val="24"/>
        </w:rPr>
        <w:t>Sieber CC</w:t>
      </w:r>
      <w:r w:rsidRPr="00CB7670">
        <w:rPr>
          <w:rFonts w:ascii="Book Antiqua" w:hAnsi="Book Antiqua" w:cs="Times New Roman"/>
          <w:color w:val="000000" w:themeColor="text1"/>
          <w:sz w:val="24"/>
          <w:szCs w:val="24"/>
        </w:rPr>
        <w:t>, Sumanovski LT, Stumm M, van der Kooij M, Battegay E. In vivo angiogenesis in normal and portal hypertensive rats: role of basic fibroblast growth factor and nitric oxide. </w:t>
      </w:r>
      <w:r w:rsidRPr="00CB7670">
        <w:rPr>
          <w:rFonts w:ascii="Book Antiqua" w:hAnsi="Book Antiqua" w:cs="Times New Roman"/>
          <w:i/>
          <w:iCs/>
          <w:color w:val="000000" w:themeColor="text1"/>
          <w:sz w:val="24"/>
          <w:szCs w:val="24"/>
        </w:rPr>
        <w:t>J Hepatol</w:t>
      </w:r>
      <w:r w:rsidRPr="00CB7670">
        <w:rPr>
          <w:rFonts w:ascii="Book Antiqua" w:hAnsi="Book Antiqua" w:cs="Times New Roman"/>
          <w:color w:val="000000" w:themeColor="text1"/>
          <w:sz w:val="24"/>
          <w:szCs w:val="24"/>
        </w:rPr>
        <w:t> 2001; </w:t>
      </w:r>
      <w:r w:rsidRPr="00CB7670">
        <w:rPr>
          <w:rFonts w:ascii="Book Antiqua" w:hAnsi="Book Antiqua" w:cs="Times New Roman"/>
          <w:b/>
          <w:bCs/>
          <w:color w:val="000000" w:themeColor="text1"/>
          <w:sz w:val="24"/>
          <w:szCs w:val="24"/>
        </w:rPr>
        <w:t>34</w:t>
      </w:r>
      <w:r w:rsidRPr="00CB7670">
        <w:rPr>
          <w:rFonts w:ascii="Book Antiqua" w:hAnsi="Book Antiqua" w:cs="Times New Roman"/>
          <w:color w:val="000000" w:themeColor="text1"/>
          <w:sz w:val="24"/>
          <w:szCs w:val="24"/>
        </w:rPr>
        <w:t>: 644-650 [PMID: 11434609 DOI: 10.1016/S0168-8278(00)00064-7]</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lastRenderedPageBreak/>
        <w:t>35 </w:t>
      </w:r>
      <w:r w:rsidRPr="00CB7670">
        <w:rPr>
          <w:rFonts w:ascii="Book Antiqua" w:hAnsi="Book Antiqua" w:cs="Times New Roman"/>
          <w:b/>
          <w:bCs/>
          <w:color w:val="000000" w:themeColor="text1"/>
          <w:sz w:val="24"/>
          <w:szCs w:val="24"/>
        </w:rPr>
        <w:t>Cejudo-Martín P</w:t>
      </w:r>
      <w:r w:rsidRPr="00CB7670">
        <w:rPr>
          <w:rFonts w:ascii="Book Antiqua" w:hAnsi="Book Antiqua" w:cs="Times New Roman"/>
          <w:color w:val="000000" w:themeColor="text1"/>
          <w:sz w:val="24"/>
          <w:szCs w:val="24"/>
        </w:rPr>
        <w:t>, Ros J, Navasa M, Fernández J, Fernández-Varo G, Ruiz-del-Arbol L, Rivera F, Arroyo V, Rodés J, Jiménez W. Increased production of vascular endothelial growth factor in peritoneal macrophages of cirrhotic patients with spontaneous bacterial peritonitis. </w:t>
      </w:r>
      <w:r w:rsidRPr="00CB7670">
        <w:rPr>
          <w:rFonts w:ascii="Book Antiqua" w:hAnsi="Book Antiqua" w:cs="Times New Roman"/>
          <w:i/>
          <w:iCs/>
          <w:color w:val="000000" w:themeColor="text1"/>
          <w:sz w:val="24"/>
          <w:szCs w:val="24"/>
        </w:rPr>
        <w:t>Hepatology</w:t>
      </w:r>
      <w:r w:rsidRPr="00CB7670">
        <w:rPr>
          <w:rFonts w:ascii="Book Antiqua" w:hAnsi="Book Antiqua" w:cs="Times New Roman"/>
          <w:color w:val="000000" w:themeColor="text1"/>
          <w:sz w:val="24"/>
          <w:szCs w:val="24"/>
        </w:rPr>
        <w:t> 2001; </w:t>
      </w:r>
      <w:r w:rsidRPr="00CB7670">
        <w:rPr>
          <w:rFonts w:ascii="Book Antiqua" w:hAnsi="Book Antiqua" w:cs="Times New Roman"/>
          <w:b/>
          <w:bCs/>
          <w:color w:val="000000" w:themeColor="text1"/>
          <w:sz w:val="24"/>
          <w:szCs w:val="24"/>
        </w:rPr>
        <w:t>34</w:t>
      </w:r>
      <w:r w:rsidRPr="00CB7670">
        <w:rPr>
          <w:rFonts w:ascii="Book Antiqua" w:hAnsi="Book Antiqua" w:cs="Times New Roman"/>
          <w:color w:val="000000" w:themeColor="text1"/>
          <w:sz w:val="24"/>
          <w:szCs w:val="24"/>
        </w:rPr>
        <w:t>: 487-493 [PMID: 11526533 DOI: 10.1053/jhep.2001.27093]</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36 </w:t>
      </w:r>
      <w:r w:rsidRPr="00CB7670">
        <w:rPr>
          <w:rFonts w:ascii="Book Antiqua" w:hAnsi="Book Antiqua" w:cs="Times New Roman"/>
          <w:b/>
          <w:bCs/>
          <w:color w:val="000000" w:themeColor="text1"/>
          <w:sz w:val="24"/>
          <w:szCs w:val="24"/>
        </w:rPr>
        <w:t>Salcedo Mora X</w:t>
      </w:r>
      <w:r w:rsidRPr="00CB7670">
        <w:rPr>
          <w:rFonts w:ascii="Book Antiqua" w:hAnsi="Book Antiqua" w:cs="Times New Roman"/>
          <w:color w:val="000000" w:themeColor="text1"/>
          <w:sz w:val="24"/>
          <w:szCs w:val="24"/>
        </w:rPr>
        <w:t>, Sanz-Cameno P, Medina J, Martín-Vílchez S, García-Buey L, Borque MJ, Moreno-Otero R. Association between angiogenesis soluble factors and disease progression markers in chronic hepatitis C patients. </w:t>
      </w:r>
      <w:r w:rsidRPr="00CB7670">
        <w:rPr>
          <w:rFonts w:ascii="Book Antiqua" w:hAnsi="Book Antiqua" w:cs="Times New Roman"/>
          <w:i/>
          <w:iCs/>
          <w:color w:val="000000" w:themeColor="text1"/>
          <w:sz w:val="24"/>
          <w:szCs w:val="24"/>
        </w:rPr>
        <w:t>Rev Esp Enferm Dig</w:t>
      </w:r>
      <w:r w:rsidRPr="00CB7670">
        <w:rPr>
          <w:rFonts w:ascii="Book Antiqua" w:hAnsi="Book Antiqua" w:cs="Times New Roman"/>
          <w:color w:val="000000" w:themeColor="text1"/>
          <w:sz w:val="24"/>
          <w:szCs w:val="24"/>
        </w:rPr>
        <w:t> 2005; </w:t>
      </w:r>
      <w:r w:rsidRPr="00CB7670">
        <w:rPr>
          <w:rFonts w:ascii="Book Antiqua" w:hAnsi="Book Antiqua" w:cs="Times New Roman"/>
          <w:b/>
          <w:bCs/>
          <w:color w:val="000000" w:themeColor="text1"/>
          <w:sz w:val="24"/>
          <w:szCs w:val="24"/>
        </w:rPr>
        <w:t>97</w:t>
      </w:r>
      <w:r w:rsidRPr="00CB7670">
        <w:rPr>
          <w:rFonts w:ascii="Book Antiqua" w:hAnsi="Book Antiqua" w:cs="Times New Roman"/>
          <w:color w:val="000000" w:themeColor="text1"/>
          <w:sz w:val="24"/>
          <w:szCs w:val="24"/>
        </w:rPr>
        <w:t>: 699-706 [PMID: 16351462]</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37 </w:t>
      </w:r>
      <w:r w:rsidRPr="00CB7670">
        <w:rPr>
          <w:rFonts w:ascii="Book Antiqua" w:hAnsi="Book Antiqua" w:cs="Times New Roman"/>
          <w:b/>
          <w:bCs/>
          <w:color w:val="000000" w:themeColor="text1"/>
          <w:sz w:val="24"/>
          <w:szCs w:val="24"/>
        </w:rPr>
        <w:t>Krawczyk M</w:t>
      </w:r>
      <w:r w:rsidRPr="00CB7670">
        <w:rPr>
          <w:rFonts w:ascii="Book Antiqua" w:hAnsi="Book Antiqua" w:cs="Times New Roman"/>
          <w:color w:val="000000" w:themeColor="text1"/>
          <w:sz w:val="24"/>
          <w:szCs w:val="24"/>
        </w:rPr>
        <w:t>, Zimmermann S, Hess G, Holz R, Dauer M, Raedle J, Lammert F, Grünhage F. Panel of three novel serum markers predicts liver stiffness and fibrosis stages in patients with chronic liver disease. </w:t>
      </w:r>
      <w:r w:rsidRPr="00CB7670">
        <w:rPr>
          <w:rFonts w:ascii="Book Antiqua" w:hAnsi="Book Antiqua" w:cs="Times New Roman"/>
          <w:i/>
          <w:iCs/>
          <w:color w:val="000000" w:themeColor="text1"/>
          <w:sz w:val="24"/>
          <w:szCs w:val="24"/>
        </w:rPr>
        <w:t>PLoS One</w:t>
      </w:r>
      <w:r w:rsidRPr="00CB7670">
        <w:rPr>
          <w:rFonts w:ascii="Book Antiqua" w:hAnsi="Book Antiqua" w:cs="Times New Roman"/>
          <w:color w:val="000000" w:themeColor="text1"/>
          <w:sz w:val="24"/>
          <w:szCs w:val="24"/>
        </w:rPr>
        <w:t> 2017; </w:t>
      </w:r>
      <w:r w:rsidRPr="00CB7670">
        <w:rPr>
          <w:rFonts w:ascii="Book Antiqua" w:hAnsi="Book Antiqua" w:cs="Times New Roman"/>
          <w:b/>
          <w:bCs/>
          <w:color w:val="000000" w:themeColor="text1"/>
          <w:sz w:val="24"/>
          <w:szCs w:val="24"/>
        </w:rPr>
        <w:t>12</w:t>
      </w:r>
      <w:r w:rsidRPr="00CB7670">
        <w:rPr>
          <w:rFonts w:ascii="Book Antiqua" w:hAnsi="Book Antiqua" w:cs="Times New Roman"/>
          <w:color w:val="000000" w:themeColor="text1"/>
          <w:sz w:val="24"/>
          <w:szCs w:val="24"/>
        </w:rPr>
        <w:t>: e0173506 [PMID: 28301573 DOI: 10.1371/journal.pone.0173506]</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38 </w:t>
      </w:r>
      <w:r w:rsidRPr="00CB7670">
        <w:rPr>
          <w:rFonts w:ascii="Book Antiqua" w:hAnsi="Book Antiqua" w:cs="Times New Roman"/>
          <w:b/>
          <w:bCs/>
          <w:color w:val="000000" w:themeColor="text1"/>
          <w:sz w:val="24"/>
          <w:szCs w:val="24"/>
        </w:rPr>
        <w:t>Li X</w:t>
      </w:r>
      <w:r w:rsidRPr="00CB7670">
        <w:rPr>
          <w:rFonts w:ascii="Book Antiqua" w:hAnsi="Book Antiqua" w:cs="Times New Roman"/>
          <w:color w:val="000000" w:themeColor="text1"/>
          <w:sz w:val="24"/>
          <w:szCs w:val="24"/>
        </w:rPr>
        <w:t>, Jin Q, Yao Q, Zhou Y, Zou Y, Li Z, Zhang S, Tu C. Placental Growth Factor Contributes to Liver Inflammation, Angiogenesis, Fibrosis in Mice by Promoting Hepatic Macrophage Recruitment and Activation. </w:t>
      </w:r>
      <w:r w:rsidRPr="00CB7670">
        <w:rPr>
          <w:rFonts w:ascii="Book Antiqua" w:hAnsi="Book Antiqua" w:cs="Times New Roman"/>
          <w:i/>
          <w:iCs/>
          <w:color w:val="000000" w:themeColor="text1"/>
          <w:sz w:val="24"/>
          <w:szCs w:val="24"/>
        </w:rPr>
        <w:t>Front Immunol</w:t>
      </w:r>
      <w:r w:rsidRPr="00CB7670">
        <w:rPr>
          <w:rFonts w:ascii="Book Antiqua" w:hAnsi="Book Antiqua" w:cs="Times New Roman"/>
          <w:color w:val="000000" w:themeColor="text1"/>
          <w:sz w:val="24"/>
          <w:szCs w:val="24"/>
        </w:rPr>
        <w:t> 2017; </w:t>
      </w:r>
      <w:r w:rsidRPr="00CB7670">
        <w:rPr>
          <w:rFonts w:ascii="Book Antiqua" w:hAnsi="Book Antiqua" w:cs="Times New Roman"/>
          <w:b/>
          <w:bCs/>
          <w:color w:val="000000" w:themeColor="text1"/>
          <w:sz w:val="24"/>
          <w:szCs w:val="24"/>
        </w:rPr>
        <w:t>8</w:t>
      </w:r>
      <w:r w:rsidRPr="00CB7670">
        <w:rPr>
          <w:rFonts w:ascii="Book Antiqua" w:hAnsi="Book Antiqua" w:cs="Times New Roman"/>
          <w:color w:val="000000" w:themeColor="text1"/>
          <w:sz w:val="24"/>
          <w:szCs w:val="24"/>
        </w:rPr>
        <w:t>: 801 [PMID: 28744285 DOI: 10.3389/fimmu.2017.00801]</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39 </w:t>
      </w:r>
      <w:r w:rsidRPr="00CB7670">
        <w:rPr>
          <w:rFonts w:ascii="Book Antiqua" w:hAnsi="Book Antiqua" w:cs="Times New Roman"/>
          <w:b/>
          <w:bCs/>
          <w:color w:val="000000" w:themeColor="text1"/>
          <w:sz w:val="24"/>
          <w:szCs w:val="24"/>
        </w:rPr>
        <w:t>Van Steenkiste C</w:t>
      </w:r>
      <w:r w:rsidRPr="00CB7670">
        <w:rPr>
          <w:rFonts w:ascii="Book Antiqua" w:hAnsi="Book Antiqua" w:cs="Times New Roman"/>
          <w:color w:val="000000" w:themeColor="text1"/>
          <w:sz w:val="24"/>
          <w:szCs w:val="24"/>
        </w:rPr>
        <w:t>, Geerts A, Vanheule E, Van Vlierberghe H, De Vos F, Olievier K, Casteleyn C, Laukens D, De Vos M, Stassen JM, Carmeliet P, Colle I. Role of placental growth factor in mesenteric neoangiogenesis in a mouse model of portal hypertension. </w:t>
      </w:r>
      <w:r w:rsidRPr="00CB7670">
        <w:rPr>
          <w:rFonts w:ascii="Book Antiqua" w:hAnsi="Book Antiqua" w:cs="Times New Roman"/>
          <w:i/>
          <w:iCs/>
          <w:color w:val="000000" w:themeColor="text1"/>
          <w:sz w:val="24"/>
          <w:szCs w:val="24"/>
        </w:rPr>
        <w:t>Gastroenterology</w:t>
      </w:r>
      <w:r w:rsidRPr="00CB7670">
        <w:rPr>
          <w:rFonts w:ascii="Book Antiqua" w:hAnsi="Book Antiqua" w:cs="Times New Roman"/>
          <w:color w:val="000000" w:themeColor="text1"/>
          <w:sz w:val="24"/>
          <w:szCs w:val="24"/>
        </w:rPr>
        <w:t> 2009; </w:t>
      </w:r>
      <w:r w:rsidRPr="00CB7670">
        <w:rPr>
          <w:rFonts w:ascii="Book Antiqua" w:hAnsi="Book Antiqua" w:cs="Times New Roman"/>
          <w:b/>
          <w:bCs/>
          <w:color w:val="000000" w:themeColor="text1"/>
          <w:sz w:val="24"/>
          <w:szCs w:val="24"/>
        </w:rPr>
        <w:t>137</w:t>
      </w:r>
      <w:r w:rsidRPr="00CB7670">
        <w:rPr>
          <w:rFonts w:ascii="Book Antiqua" w:hAnsi="Book Antiqua" w:cs="Times New Roman"/>
          <w:color w:val="000000" w:themeColor="text1"/>
          <w:sz w:val="24"/>
          <w:szCs w:val="24"/>
        </w:rPr>
        <w:t>: 2112-24.e1-6 [PMID: 19751735 DOI: 10.1053/j.gastro.2009.08.068]</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40 </w:t>
      </w:r>
      <w:r w:rsidRPr="00CB7670">
        <w:rPr>
          <w:rFonts w:ascii="Book Antiqua" w:hAnsi="Book Antiqua" w:cs="Times New Roman"/>
          <w:b/>
          <w:bCs/>
          <w:color w:val="000000" w:themeColor="text1"/>
          <w:sz w:val="24"/>
          <w:szCs w:val="24"/>
        </w:rPr>
        <w:t>Yang YS</w:t>
      </w:r>
      <w:r w:rsidRPr="00CB7670">
        <w:rPr>
          <w:rFonts w:ascii="Book Antiqua" w:hAnsi="Book Antiqua" w:cs="Times New Roman"/>
          <w:color w:val="000000" w:themeColor="text1"/>
          <w:sz w:val="24"/>
          <w:szCs w:val="24"/>
        </w:rPr>
        <w:t>, Strittmatter SM. The reticulons: a family of proteins with diverse functions. </w:t>
      </w:r>
      <w:r w:rsidRPr="00CB7670">
        <w:rPr>
          <w:rFonts w:ascii="Book Antiqua" w:hAnsi="Book Antiqua" w:cs="Times New Roman"/>
          <w:i/>
          <w:iCs/>
          <w:color w:val="000000" w:themeColor="text1"/>
          <w:sz w:val="24"/>
          <w:szCs w:val="24"/>
        </w:rPr>
        <w:t>Genome Biol</w:t>
      </w:r>
      <w:r w:rsidRPr="00CB7670">
        <w:rPr>
          <w:rFonts w:ascii="Book Antiqua" w:hAnsi="Book Antiqua" w:cs="Times New Roman"/>
          <w:color w:val="000000" w:themeColor="text1"/>
          <w:sz w:val="24"/>
          <w:szCs w:val="24"/>
        </w:rPr>
        <w:t> 2007; </w:t>
      </w:r>
      <w:r w:rsidRPr="00CB7670">
        <w:rPr>
          <w:rFonts w:ascii="Book Antiqua" w:hAnsi="Book Antiqua" w:cs="Times New Roman"/>
          <w:b/>
          <w:bCs/>
          <w:color w:val="000000" w:themeColor="text1"/>
          <w:sz w:val="24"/>
          <w:szCs w:val="24"/>
        </w:rPr>
        <w:t>8</w:t>
      </w:r>
      <w:r w:rsidRPr="00CB7670">
        <w:rPr>
          <w:rFonts w:ascii="Book Antiqua" w:hAnsi="Book Antiqua" w:cs="Times New Roman"/>
          <w:color w:val="000000" w:themeColor="text1"/>
          <w:sz w:val="24"/>
          <w:szCs w:val="24"/>
        </w:rPr>
        <w:t>: 234 [PMID: 18177508 DOI: 10.1186/gb-2007-8-12-234]</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41 </w:t>
      </w:r>
      <w:r w:rsidRPr="00CB7670">
        <w:rPr>
          <w:rFonts w:ascii="Book Antiqua" w:hAnsi="Book Antiqua" w:cs="Times New Roman"/>
          <w:b/>
          <w:bCs/>
          <w:color w:val="000000" w:themeColor="text1"/>
          <w:sz w:val="24"/>
          <w:szCs w:val="24"/>
        </w:rPr>
        <w:t>Sui YP</w:t>
      </w:r>
      <w:r w:rsidRPr="00CB7670">
        <w:rPr>
          <w:rFonts w:ascii="Book Antiqua" w:hAnsi="Book Antiqua" w:cs="Times New Roman"/>
          <w:color w:val="000000" w:themeColor="text1"/>
          <w:sz w:val="24"/>
          <w:szCs w:val="24"/>
        </w:rPr>
        <w:t>, Zhang XX, Lu JL, Sui F. New Insights into the Roles of Nogo-A in CNS Biology and Diseases. </w:t>
      </w:r>
      <w:r w:rsidRPr="00CB7670">
        <w:rPr>
          <w:rFonts w:ascii="Book Antiqua" w:hAnsi="Book Antiqua" w:cs="Times New Roman"/>
          <w:i/>
          <w:iCs/>
          <w:color w:val="000000" w:themeColor="text1"/>
          <w:sz w:val="24"/>
          <w:szCs w:val="24"/>
        </w:rPr>
        <w:t>Neurochem Res</w:t>
      </w:r>
      <w:r w:rsidRPr="00CB7670">
        <w:rPr>
          <w:rFonts w:ascii="Book Antiqua" w:hAnsi="Book Antiqua" w:cs="Times New Roman"/>
          <w:color w:val="000000" w:themeColor="text1"/>
          <w:sz w:val="24"/>
          <w:szCs w:val="24"/>
        </w:rPr>
        <w:t> 2015; </w:t>
      </w:r>
      <w:r w:rsidRPr="00CB7670">
        <w:rPr>
          <w:rFonts w:ascii="Book Antiqua" w:hAnsi="Book Antiqua" w:cs="Times New Roman"/>
          <w:b/>
          <w:bCs/>
          <w:color w:val="000000" w:themeColor="text1"/>
          <w:sz w:val="24"/>
          <w:szCs w:val="24"/>
        </w:rPr>
        <w:t>40</w:t>
      </w:r>
      <w:r w:rsidRPr="00CB7670">
        <w:rPr>
          <w:rFonts w:ascii="Book Antiqua" w:hAnsi="Book Antiqua" w:cs="Times New Roman"/>
          <w:color w:val="000000" w:themeColor="text1"/>
          <w:sz w:val="24"/>
          <w:szCs w:val="24"/>
        </w:rPr>
        <w:t>: 1767-1785 [PMID: 26266872 DOI: 10.1007/s11064-015-1671-5]</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42 </w:t>
      </w:r>
      <w:r w:rsidRPr="00CB7670">
        <w:rPr>
          <w:rFonts w:ascii="Book Antiqua" w:hAnsi="Book Antiqua" w:cs="Times New Roman"/>
          <w:b/>
          <w:bCs/>
          <w:color w:val="000000" w:themeColor="text1"/>
          <w:sz w:val="24"/>
          <w:szCs w:val="24"/>
        </w:rPr>
        <w:t>Huber AB</w:t>
      </w:r>
      <w:r w:rsidRPr="00CB7670">
        <w:rPr>
          <w:rFonts w:ascii="Book Antiqua" w:hAnsi="Book Antiqua" w:cs="Times New Roman"/>
          <w:color w:val="000000" w:themeColor="text1"/>
          <w:sz w:val="24"/>
          <w:szCs w:val="24"/>
        </w:rPr>
        <w:t>, Weinmann O, Brösamle C, Oertle T, Schwab ME. Patterns of Nogo mRNA and protein expression in the developing and adult rat and after CNS lesions. </w:t>
      </w:r>
      <w:r w:rsidRPr="00CB7670">
        <w:rPr>
          <w:rFonts w:ascii="Book Antiqua" w:hAnsi="Book Antiqua" w:cs="Times New Roman"/>
          <w:i/>
          <w:iCs/>
          <w:color w:val="000000" w:themeColor="text1"/>
          <w:sz w:val="24"/>
          <w:szCs w:val="24"/>
        </w:rPr>
        <w:t>J Neurosci</w:t>
      </w:r>
      <w:r w:rsidRPr="00CB7670">
        <w:rPr>
          <w:rFonts w:ascii="Book Antiqua" w:hAnsi="Book Antiqua" w:cs="Times New Roman"/>
          <w:color w:val="000000" w:themeColor="text1"/>
          <w:sz w:val="24"/>
          <w:szCs w:val="24"/>
        </w:rPr>
        <w:t> 2002; </w:t>
      </w:r>
      <w:r w:rsidRPr="00CB7670">
        <w:rPr>
          <w:rFonts w:ascii="Book Antiqua" w:hAnsi="Book Antiqua" w:cs="Times New Roman"/>
          <w:b/>
          <w:bCs/>
          <w:color w:val="000000" w:themeColor="text1"/>
          <w:sz w:val="24"/>
          <w:szCs w:val="24"/>
        </w:rPr>
        <w:t>22</w:t>
      </w:r>
      <w:r w:rsidRPr="00CB7670">
        <w:rPr>
          <w:rFonts w:ascii="Book Antiqua" w:hAnsi="Book Antiqua" w:cs="Times New Roman"/>
          <w:color w:val="000000" w:themeColor="text1"/>
          <w:sz w:val="24"/>
          <w:szCs w:val="24"/>
        </w:rPr>
        <w:t>: 3553-3567 [PMID: 11978832 DOI: 10.1523/JNEUROSCI.22-09-</w:t>
      </w:r>
      <w:r w:rsidRPr="00CB7670">
        <w:rPr>
          <w:rFonts w:ascii="Book Antiqua" w:hAnsi="Book Antiqua" w:cs="Times New Roman"/>
          <w:color w:val="000000" w:themeColor="text1"/>
          <w:sz w:val="24"/>
          <w:szCs w:val="24"/>
        </w:rPr>
        <w:lastRenderedPageBreak/>
        <w:t>03553.2002]</w:t>
      </w:r>
    </w:p>
    <w:p w:rsidR="00CB7670" w:rsidRPr="00CB7670"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B7670">
        <w:rPr>
          <w:rFonts w:ascii="Book Antiqua" w:hAnsi="Book Antiqua" w:cs="Times New Roman"/>
          <w:color w:val="000000" w:themeColor="text1"/>
          <w:sz w:val="24"/>
          <w:szCs w:val="24"/>
        </w:rPr>
        <w:t>43 </w:t>
      </w:r>
      <w:r w:rsidRPr="00CB7670">
        <w:rPr>
          <w:rFonts w:ascii="Book Antiqua" w:hAnsi="Book Antiqua" w:cs="Times New Roman"/>
          <w:b/>
          <w:bCs/>
          <w:color w:val="000000" w:themeColor="text1"/>
          <w:sz w:val="24"/>
          <w:szCs w:val="24"/>
        </w:rPr>
        <w:t>Rämö O</w:t>
      </w:r>
      <w:r w:rsidRPr="00CB7670">
        <w:rPr>
          <w:rFonts w:ascii="Book Antiqua" w:hAnsi="Book Antiqua" w:cs="Times New Roman"/>
          <w:color w:val="000000" w:themeColor="text1"/>
          <w:sz w:val="24"/>
          <w:szCs w:val="24"/>
        </w:rPr>
        <w:t>, Kumar D, Gucciardo E, Joensuu M, Saarekas M, Vihinen H, Belevich I, Smolander OP, Qian K, Auvinen P, Jokitalo E. NOGO-A/RTN4A and NOGO-B/RTN4B are simultaneously expressed in epithelial, fibroblast and neuronal cells and maintain ER morphology. </w:t>
      </w:r>
      <w:r w:rsidRPr="00CB7670">
        <w:rPr>
          <w:rFonts w:ascii="Book Antiqua" w:hAnsi="Book Antiqua" w:cs="Times New Roman"/>
          <w:i/>
          <w:iCs/>
          <w:color w:val="000000" w:themeColor="text1"/>
          <w:sz w:val="24"/>
          <w:szCs w:val="24"/>
        </w:rPr>
        <w:t>Sci Rep</w:t>
      </w:r>
      <w:r w:rsidRPr="00CB7670">
        <w:rPr>
          <w:rFonts w:ascii="Book Antiqua" w:hAnsi="Book Antiqua" w:cs="Times New Roman"/>
          <w:color w:val="000000" w:themeColor="text1"/>
          <w:sz w:val="24"/>
          <w:szCs w:val="24"/>
        </w:rPr>
        <w:t> 2016; </w:t>
      </w:r>
      <w:r w:rsidRPr="00CB7670">
        <w:rPr>
          <w:rFonts w:ascii="Book Antiqua" w:hAnsi="Book Antiqua" w:cs="Times New Roman"/>
          <w:b/>
          <w:bCs/>
          <w:color w:val="000000" w:themeColor="text1"/>
          <w:sz w:val="24"/>
          <w:szCs w:val="24"/>
        </w:rPr>
        <w:t>6</w:t>
      </w:r>
      <w:r w:rsidRPr="00CB7670">
        <w:rPr>
          <w:rFonts w:ascii="Book Antiqua" w:hAnsi="Book Antiqua" w:cs="Times New Roman"/>
          <w:color w:val="000000" w:themeColor="text1"/>
          <w:sz w:val="24"/>
          <w:szCs w:val="24"/>
        </w:rPr>
        <w:t>: 35969 [PMID: 27786289 DOI: 10.1038/srep35969]</w:t>
      </w:r>
    </w:p>
    <w:p w:rsidR="00BB0923" w:rsidRPr="00BB0923" w:rsidRDefault="00FF55AB" w:rsidP="00BB0923">
      <w:pPr>
        <w:wordWrap w:val="0"/>
        <w:snapToGrid w:val="0"/>
        <w:spacing w:line="360" w:lineRule="auto"/>
        <w:jc w:val="right"/>
        <w:rPr>
          <w:rFonts w:ascii="Book Antiqua" w:eastAsia="SimSun" w:hAnsi="Book Antiqua" w:cs="Times New Roman"/>
          <w:b/>
          <w:bCs/>
          <w:sz w:val="24"/>
          <w:szCs w:val="24"/>
          <w:lang w:eastAsia="zh-CN"/>
        </w:rPr>
      </w:pPr>
      <w:r w:rsidRPr="006410B4">
        <w:rPr>
          <w:rFonts w:ascii="Book Antiqua" w:eastAsia="Times New Roman" w:hAnsi="Book Antiqua" w:cs="Times New Roman"/>
          <w:b/>
          <w:color w:val="000000" w:themeColor="text1"/>
          <w:sz w:val="24"/>
          <w:szCs w:val="24"/>
        </w:rPr>
        <w:fldChar w:fldCharType="end"/>
      </w:r>
      <w:bookmarkStart w:id="86" w:name="OLE_LINK148"/>
      <w:bookmarkStart w:id="87" w:name="OLE_LINK320"/>
      <w:bookmarkStart w:id="88" w:name="OLE_LINK387"/>
      <w:bookmarkStart w:id="89" w:name="OLE_LINK254"/>
      <w:bookmarkStart w:id="90" w:name="OLE_LINK149"/>
      <w:bookmarkStart w:id="91" w:name="OLE_LINK225"/>
      <w:bookmarkStart w:id="92" w:name="OLE_LINK207"/>
      <w:bookmarkStart w:id="93" w:name="OLE_LINK226"/>
      <w:bookmarkStart w:id="94" w:name="OLE_LINK212"/>
      <w:bookmarkStart w:id="95" w:name="OLE_LINK250"/>
      <w:bookmarkStart w:id="96" w:name="OLE_LINK281"/>
      <w:bookmarkStart w:id="97" w:name="OLE_LINK282"/>
      <w:bookmarkStart w:id="98" w:name="OLE_LINK313"/>
      <w:bookmarkStart w:id="99" w:name="OLE_LINK304"/>
      <w:bookmarkStart w:id="100" w:name="OLE_LINK321"/>
      <w:bookmarkStart w:id="101" w:name="OLE_LINK385"/>
      <w:bookmarkStart w:id="102" w:name="OLE_LINK400"/>
      <w:bookmarkStart w:id="103" w:name="OLE_LINK346"/>
      <w:bookmarkStart w:id="104" w:name="OLE_LINK371"/>
      <w:bookmarkStart w:id="105" w:name="OLE_LINK334"/>
      <w:bookmarkStart w:id="106" w:name="OLE_LINK1830"/>
      <w:bookmarkStart w:id="107" w:name="OLE_LINK457"/>
      <w:bookmarkStart w:id="108" w:name="OLE_LINK288"/>
      <w:bookmarkStart w:id="109" w:name="OLE_LINK384"/>
      <w:bookmarkStart w:id="110" w:name="OLE_LINK379"/>
      <w:bookmarkStart w:id="111" w:name="OLE_LINK303"/>
      <w:bookmarkStart w:id="112" w:name="OLE_LINK450"/>
      <w:bookmarkStart w:id="113" w:name="OLE_LINK489"/>
      <w:bookmarkStart w:id="114" w:name="OLE_LINK535"/>
      <w:bookmarkStart w:id="115" w:name="OLE_LINK648"/>
      <w:bookmarkStart w:id="116" w:name="OLE_LINK686"/>
      <w:bookmarkStart w:id="117" w:name="OLE_LINK471"/>
      <w:bookmarkStart w:id="118" w:name="OLE_LINK462"/>
      <w:bookmarkStart w:id="119" w:name="OLE_LINK519"/>
      <w:bookmarkStart w:id="120" w:name="OLE_LINK575"/>
      <w:bookmarkStart w:id="121" w:name="OLE_LINK491"/>
      <w:bookmarkStart w:id="122" w:name="OLE_LINK532"/>
      <w:bookmarkStart w:id="123" w:name="OLE_LINK572"/>
      <w:bookmarkStart w:id="124" w:name="OLE_LINK574"/>
      <w:bookmarkStart w:id="125" w:name="OLE_LINK480"/>
      <w:bookmarkStart w:id="126" w:name="OLE_LINK567"/>
      <w:bookmarkStart w:id="127" w:name="OLE_LINK2700"/>
      <w:bookmarkStart w:id="128" w:name="OLE_LINK581"/>
      <w:bookmarkStart w:id="129" w:name="OLE_LINK639"/>
      <w:bookmarkStart w:id="130" w:name="OLE_LINK688"/>
      <w:bookmarkStart w:id="131" w:name="OLE_LINK722"/>
      <w:bookmarkStart w:id="132" w:name="OLE_LINK542"/>
      <w:bookmarkStart w:id="133" w:name="OLE_LINK589"/>
      <w:bookmarkStart w:id="134" w:name="OLE_LINK582"/>
      <w:bookmarkStart w:id="135" w:name="OLE_LINK640"/>
      <w:bookmarkStart w:id="136" w:name="OLE_LINK714"/>
      <w:bookmarkStart w:id="137" w:name="OLE_LINK593"/>
      <w:bookmarkStart w:id="138" w:name="OLE_LINK716"/>
      <w:bookmarkStart w:id="139" w:name="OLE_LINK770"/>
      <w:bookmarkStart w:id="140" w:name="OLE_LINK801"/>
      <w:bookmarkStart w:id="141" w:name="OLE_LINK660"/>
      <w:bookmarkStart w:id="142" w:name="OLE_LINK781"/>
      <w:bookmarkStart w:id="143" w:name="OLE_LINK833"/>
      <w:bookmarkStart w:id="144" w:name="OLE_LINK642"/>
      <w:bookmarkStart w:id="145" w:name="OLE_LINK700"/>
      <w:bookmarkStart w:id="146" w:name="OLE_LINK792"/>
      <w:bookmarkStart w:id="147" w:name="OLE_LINK2882"/>
      <w:bookmarkStart w:id="148" w:name="OLE_LINK836"/>
      <w:bookmarkStart w:id="149" w:name="OLE_LINK889"/>
      <w:bookmarkStart w:id="150" w:name="OLE_LINK782"/>
      <w:bookmarkStart w:id="151" w:name="OLE_LINK826"/>
      <w:bookmarkStart w:id="152" w:name="OLE_LINK865"/>
      <w:bookmarkStart w:id="153" w:name="OLE_LINK856"/>
      <w:bookmarkStart w:id="154" w:name="OLE_LINK908"/>
      <w:bookmarkStart w:id="155" w:name="OLE_LINK980"/>
      <w:bookmarkStart w:id="156" w:name="OLE_LINK1018"/>
      <w:bookmarkStart w:id="157" w:name="OLE_LINK1049"/>
      <w:bookmarkStart w:id="158" w:name="OLE_LINK1076"/>
      <w:bookmarkStart w:id="159" w:name="OLE_LINK1106"/>
      <w:bookmarkStart w:id="160" w:name="OLE_LINK891"/>
      <w:bookmarkStart w:id="161" w:name="OLE_LINK943"/>
      <w:bookmarkStart w:id="162" w:name="OLE_LINK981"/>
      <w:bookmarkStart w:id="163" w:name="OLE_LINK1030"/>
      <w:bookmarkStart w:id="164" w:name="OLE_LINK847"/>
      <w:bookmarkStart w:id="165" w:name="OLE_LINK909"/>
      <w:bookmarkStart w:id="166" w:name="OLE_LINK906"/>
      <w:bookmarkStart w:id="167" w:name="OLE_LINK992"/>
      <w:bookmarkStart w:id="168" w:name="OLE_LINK993"/>
      <w:bookmarkStart w:id="169" w:name="OLE_LINK1052"/>
      <w:bookmarkStart w:id="170" w:name="OLE_LINK946"/>
      <w:bookmarkStart w:id="171" w:name="OLE_LINK911"/>
      <w:bookmarkStart w:id="172" w:name="OLE_LINK930"/>
      <w:bookmarkStart w:id="173" w:name="OLE_LINK1059"/>
      <w:bookmarkStart w:id="174" w:name="OLE_LINK1174"/>
      <w:bookmarkStart w:id="175" w:name="OLE_LINK1137"/>
      <w:bookmarkStart w:id="176" w:name="OLE_LINK1167"/>
      <w:bookmarkStart w:id="177" w:name="OLE_LINK1200"/>
      <w:bookmarkStart w:id="178" w:name="OLE_LINK1241"/>
      <w:bookmarkStart w:id="179" w:name="OLE_LINK1288"/>
      <w:bookmarkStart w:id="180" w:name="OLE_LINK1056"/>
      <w:bookmarkStart w:id="181" w:name="OLE_LINK1158"/>
      <w:bookmarkStart w:id="182" w:name="OLE_LINK1175"/>
      <w:bookmarkStart w:id="183" w:name="OLE_LINK1074"/>
      <w:bookmarkStart w:id="184" w:name="OLE_LINK1169"/>
      <w:bookmarkStart w:id="185" w:name="OLE_LINK386"/>
      <w:bookmarkStart w:id="186" w:name="OLE_LINK33"/>
      <w:bookmarkStart w:id="187" w:name="OLE_LINK34"/>
      <w:r w:rsidR="00BB0923" w:rsidRPr="00BB0923">
        <w:rPr>
          <w:rFonts w:ascii="Book Antiqua" w:eastAsia="SimSun" w:hAnsi="Book Antiqua" w:cs="Times New Roman"/>
          <w:b/>
          <w:bCs/>
          <w:sz w:val="24"/>
          <w:szCs w:val="24"/>
          <w:lang w:eastAsia="zh-CN"/>
        </w:rPr>
        <w:t xml:space="preserve"> P-Reviewer:</w:t>
      </w:r>
      <w:r w:rsidR="00BB0923" w:rsidRPr="00BB0923">
        <w:rPr>
          <w:rFonts w:ascii="Book Antiqua" w:eastAsia="SimSun" w:hAnsi="Book Antiqua" w:cs="Times New Roman" w:hint="eastAsia"/>
          <w:b/>
          <w:bCs/>
          <w:sz w:val="24"/>
          <w:szCs w:val="24"/>
          <w:lang w:eastAsia="zh-CN"/>
        </w:rPr>
        <w:t xml:space="preserve"> </w:t>
      </w:r>
      <w:proofErr w:type="spellStart"/>
      <w:r w:rsidR="006F0F07" w:rsidRPr="006F0F07">
        <w:rPr>
          <w:rFonts w:ascii="Book Antiqua" w:eastAsia="SimSun" w:hAnsi="Book Antiqua" w:cs="Times New Roman"/>
          <w:bCs/>
          <w:sz w:val="24"/>
          <w:szCs w:val="24"/>
          <w:lang w:eastAsia="zh-CN"/>
        </w:rPr>
        <w:t>Garbuzenko</w:t>
      </w:r>
      <w:proofErr w:type="spellEnd"/>
      <w:r w:rsidR="006F0F07">
        <w:rPr>
          <w:rFonts w:ascii="Book Antiqua" w:eastAsia="SimSun" w:hAnsi="Book Antiqua" w:cs="Times New Roman"/>
          <w:bCs/>
          <w:sz w:val="24"/>
          <w:szCs w:val="24"/>
          <w:lang w:eastAsia="zh-CN"/>
        </w:rPr>
        <w:t xml:space="preserve"> DV, </w:t>
      </w:r>
      <w:proofErr w:type="spellStart"/>
      <w:r w:rsidR="006F0F07" w:rsidRPr="006F0F07">
        <w:rPr>
          <w:rFonts w:ascii="Book Antiqua" w:eastAsia="SimSun" w:hAnsi="Book Antiqua" w:cs="Times New Roman"/>
          <w:bCs/>
          <w:sz w:val="24"/>
          <w:szCs w:val="24"/>
          <w:lang w:eastAsia="zh-CN"/>
        </w:rPr>
        <w:t>Gencdal</w:t>
      </w:r>
      <w:proofErr w:type="spellEnd"/>
      <w:r w:rsidR="006F0F07">
        <w:rPr>
          <w:rFonts w:ascii="Book Antiqua" w:eastAsia="SimSun" w:hAnsi="Book Antiqua" w:cs="Times New Roman"/>
          <w:bCs/>
          <w:sz w:val="24"/>
          <w:szCs w:val="24"/>
          <w:lang w:eastAsia="zh-CN"/>
        </w:rPr>
        <w:t xml:space="preserve"> G, </w:t>
      </w:r>
      <w:proofErr w:type="spellStart"/>
      <w:r w:rsidR="006F0F07" w:rsidRPr="006F0F07">
        <w:rPr>
          <w:rFonts w:ascii="Book Antiqua" w:eastAsia="SimSun" w:hAnsi="Book Antiqua" w:cs="Times New Roman"/>
          <w:bCs/>
          <w:sz w:val="24"/>
          <w:szCs w:val="24"/>
          <w:lang w:eastAsia="zh-CN"/>
        </w:rPr>
        <w:t>Swierczynski</w:t>
      </w:r>
      <w:proofErr w:type="spellEnd"/>
      <w:r w:rsidR="006F0F07">
        <w:rPr>
          <w:rFonts w:ascii="Book Antiqua" w:eastAsia="SimSun" w:hAnsi="Book Antiqua" w:cs="Times New Roman"/>
          <w:bCs/>
          <w:sz w:val="24"/>
          <w:szCs w:val="24"/>
          <w:lang w:eastAsia="zh-CN"/>
        </w:rPr>
        <w:t xml:space="preserve"> JT, </w:t>
      </w:r>
      <w:r w:rsidR="006F0F07" w:rsidRPr="006F0F07">
        <w:rPr>
          <w:rFonts w:ascii="Book Antiqua" w:eastAsia="SimSun" w:hAnsi="Book Antiqua" w:cs="Times New Roman"/>
          <w:bCs/>
          <w:sz w:val="24"/>
          <w:szCs w:val="24"/>
          <w:lang w:eastAsia="zh-CN"/>
        </w:rPr>
        <w:t>Yoshioka</w:t>
      </w:r>
      <w:r w:rsidR="006F0F07">
        <w:rPr>
          <w:rFonts w:ascii="Book Antiqua" w:eastAsia="SimSun" w:hAnsi="Book Antiqua" w:cs="Times New Roman"/>
          <w:bCs/>
          <w:sz w:val="24"/>
          <w:szCs w:val="24"/>
          <w:lang w:eastAsia="zh-CN"/>
        </w:rPr>
        <w:t xml:space="preserve"> K</w:t>
      </w:r>
    </w:p>
    <w:p w:rsidR="00BB0923" w:rsidRPr="00BB0923" w:rsidRDefault="00BB0923" w:rsidP="00BB0923">
      <w:pPr>
        <w:snapToGrid w:val="0"/>
        <w:spacing w:after="0" w:line="360" w:lineRule="auto"/>
        <w:jc w:val="right"/>
        <w:rPr>
          <w:rFonts w:ascii="Book Antiqua" w:eastAsia="SimSun" w:hAnsi="Book Antiqua" w:cs="Times New Roman"/>
          <w:sz w:val="24"/>
          <w:szCs w:val="24"/>
          <w:lang w:eastAsia="zh-CN"/>
        </w:rPr>
      </w:pPr>
      <w:r w:rsidRPr="00BB0923">
        <w:rPr>
          <w:rFonts w:ascii="Book Antiqua" w:eastAsia="SimSun" w:hAnsi="Book Antiqua" w:cs="Times New Roman"/>
          <w:b/>
          <w:bCs/>
          <w:sz w:val="24"/>
          <w:szCs w:val="24"/>
          <w:lang w:eastAsia="zh-CN"/>
        </w:rPr>
        <w:t>S-Editor:</w:t>
      </w:r>
      <w:r w:rsidRPr="00BB0923">
        <w:rPr>
          <w:rFonts w:ascii="Book Antiqua" w:eastAsia="SimSun" w:hAnsi="Book Antiqua" w:cs="Times New Roman" w:hint="eastAsia"/>
          <w:sz w:val="24"/>
          <w:szCs w:val="24"/>
          <w:lang w:eastAsia="zh-CN"/>
        </w:rPr>
        <w:t xml:space="preserve"> </w:t>
      </w:r>
      <w:r w:rsidRPr="00BB0923">
        <w:rPr>
          <w:rFonts w:ascii="Book Antiqua" w:eastAsia="SimSun" w:hAnsi="Book Antiqua" w:cs="Times New Roman"/>
          <w:sz w:val="24"/>
          <w:szCs w:val="24"/>
          <w:lang w:eastAsia="zh-CN"/>
        </w:rPr>
        <w:t>Ma</w:t>
      </w:r>
      <w:r w:rsidRPr="00BB0923">
        <w:rPr>
          <w:rFonts w:ascii="Book Antiqua" w:eastAsia="SimSun" w:hAnsi="Book Antiqua" w:cs="Times New Roman" w:hint="eastAsia"/>
          <w:sz w:val="24"/>
          <w:szCs w:val="24"/>
          <w:lang w:eastAsia="zh-CN"/>
        </w:rPr>
        <w:t xml:space="preserve"> </w:t>
      </w:r>
      <w:r w:rsidRPr="00BB0923">
        <w:rPr>
          <w:rFonts w:ascii="Book Antiqua" w:eastAsia="SimSun" w:hAnsi="Book Antiqua" w:cs="Times New Roman"/>
          <w:sz w:val="24"/>
          <w:szCs w:val="24"/>
          <w:lang w:eastAsia="zh-CN"/>
        </w:rPr>
        <w:t>RY</w:t>
      </w:r>
      <w:r w:rsidRPr="00BB0923">
        <w:rPr>
          <w:rFonts w:ascii="Book Antiqua" w:eastAsia="SimSun" w:hAnsi="Book Antiqua" w:cs="Times New Roman" w:hint="eastAsia"/>
          <w:sz w:val="24"/>
          <w:szCs w:val="24"/>
          <w:lang w:eastAsia="zh-CN"/>
        </w:rPr>
        <w:t xml:space="preserve"> </w:t>
      </w:r>
      <w:r w:rsidRPr="00BB0923">
        <w:rPr>
          <w:rFonts w:ascii="Book Antiqua" w:eastAsia="SimSun" w:hAnsi="Book Antiqua" w:cs="Times New Roman"/>
          <w:b/>
          <w:bCs/>
          <w:sz w:val="24"/>
          <w:szCs w:val="24"/>
          <w:lang w:eastAsia="zh-CN"/>
        </w:rPr>
        <w:t>L-Editor:</w:t>
      </w:r>
      <w:r w:rsidRPr="00BB0923">
        <w:rPr>
          <w:rFonts w:ascii="Book Antiqua" w:eastAsia="SimSun" w:hAnsi="Book Antiqua" w:cs="Times New Roman"/>
          <w:sz w:val="24"/>
          <w:szCs w:val="24"/>
          <w:lang w:eastAsia="zh-CN"/>
        </w:rPr>
        <w:t xml:space="preserve"> </w:t>
      </w:r>
      <w:r w:rsidRPr="00BB0923">
        <w:rPr>
          <w:rFonts w:ascii="Book Antiqua" w:eastAsia="SimSun" w:hAnsi="Book Antiqua" w:cs="Times New Roman"/>
          <w:b/>
          <w:bCs/>
          <w:sz w:val="24"/>
          <w:szCs w:val="24"/>
          <w:lang w:eastAsia="zh-CN"/>
        </w:rPr>
        <w:t>E-Editor:</w:t>
      </w:r>
    </w:p>
    <w:p w:rsidR="00BB0923" w:rsidRPr="00BB0923" w:rsidRDefault="00BB0923" w:rsidP="00BB0923">
      <w:pPr>
        <w:shd w:val="clear" w:color="auto" w:fill="FFFFFF"/>
        <w:snapToGrid w:val="0"/>
        <w:spacing w:after="0" w:line="360" w:lineRule="auto"/>
        <w:jc w:val="both"/>
        <w:rPr>
          <w:rFonts w:ascii="Book Antiqua" w:eastAsia="SimSun" w:hAnsi="Book Antiqua" w:cs="Helvetica"/>
          <w:b/>
          <w:sz w:val="24"/>
          <w:szCs w:val="24"/>
          <w:lang w:eastAsia="zh-CN"/>
        </w:rPr>
      </w:pPr>
      <w:bookmarkStart w:id="188" w:name="OLE_LINK880"/>
      <w:bookmarkStart w:id="189" w:name="OLE_LINK88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BB0923">
        <w:rPr>
          <w:rFonts w:ascii="Book Antiqua" w:eastAsia="SimSun" w:hAnsi="Book Antiqua" w:cs="Helvetica"/>
          <w:b/>
          <w:sz w:val="24"/>
          <w:szCs w:val="24"/>
          <w:lang w:eastAsia="zh-CN"/>
        </w:rPr>
        <w:t xml:space="preserve">Specialty type: </w:t>
      </w:r>
      <w:r w:rsidRPr="00BB0923">
        <w:rPr>
          <w:rFonts w:ascii="Book Antiqua" w:eastAsia="SimSun" w:hAnsi="Book Antiqua" w:cs="Helvetica"/>
          <w:sz w:val="24"/>
          <w:szCs w:val="24"/>
          <w:lang w:eastAsia="zh-CN"/>
        </w:rPr>
        <w:t>Gastroenterology and</w:t>
      </w:r>
      <w:r w:rsidRPr="00BB0923">
        <w:rPr>
          <w:rFonts w:ascii="Book Antiqua" w:eastAsia="SimSun" w:hAnsi="Book Antiqua" w:cs="Helvetica" w:hint="eastAsia"/>
          <w:sz w:val="24"/>
          <w:szCs w:val="24"/>
          <w:lang w:eastAsia="zh-CN"/>
        </w:rPr>
        <w:t xml:space="preserve"> </w:t>
      </w:r>
      <w:r w:rsidRPr="00BB0923">
        <w:rPr>
          <w:rFonts w:ascii="Book Antiqua" w:eastAsia="SimSun" w:hAnsi="Book Antiqua" w:cs="Helvetica"/>
          <w:sz w:val="24"/>
          <w:szCs w:val="24"/>
          <w:lang w:eastAsia="zh-CN"/>
        </w:rPr>
        <w:t>hepatology</w:t>
      </w:r>
    </w:p>
    <w:p w:rsidR="00BB0923" w:rsidRPr="00BB0923" w:rsidRDefault="00BB0923" w:rsidP="00BB0923">
      <w:pPr>
        <w:shd w:val="clear" w:color="auto" w:fill="FFFFFF"/>
        <w:snapToGrid w:val="0"/>
        <w:spacing w:after="0" w:line="360" w:lineRule="auto"/>
        <w:jc w:val="both"/>
        <w:rPr>
          <w:rFonts w:ascii="Book Antiqua" w:eastAsia="SimSun" w:hAnsi="Book Antiqua" w:cs="Helvetica"/>
          <w:b/>
          <w:sz w:val="24"/>
          <w:szCs w:val="24"/>
          <w:lang w:eastAsia="zh-CN"/>
        </w:rPr>
      </w:pPr>
      <w:r w:rsidRPr="00BB0923">
        <w:rPr>
          <w:rFonts w:ascii="Book Antiqua" w:eastAsia="SimSun" w:hAnsi="Book Antiqua" w:cs="Helvetica"/>
          <w:b/>
          <w:sz w:val="24"/>
          <w:szCs w:val="24"/>
          <w:lang w:eastAsia="zh-CN"/>
        </w:rPr>
        <w:t xml:space="preserve">Country of origin: </w:t>
      </w:r>
      <w:r w:rsidRPr="00BB0923">
        <w:rPr>
          <w:rFonts w:ascii="Book Antiqua" w:eastAsia="SimSun" w:hAnsi="Book Antiqua" w:cs="Helvetica"/>
          <w:sz w:val="24"/>
          <w:szCs w:val="24"/>
          <w:lang w:eastAsia="zh-CN"/>
        </w:rPr>
        <w:t>Lithuania</w:t>
      </w:r>
    </w:p>
    <w:p w:rsidR="00BB0923" w:rsidRPr="00BB0923" w:rsidRDefault="00BB0923" w:rsidP="00BB0923">
      <w:pPr>
        <w:shd w:val="clear" w:color="auto" w:fill="FFFFFF"/>
        <w:snapToGrid w:val="0"/>
        <w:spacing w:after="0" w:line="360" w:lineRule="auto"/>
        <w:jc w:val="both"/>
        <w:rPr>
          <w:rFonts w:ascii="Book Antiqua" w:eastAsia="SimSun" w:hAnsi="Book Antiqua" w:cs="Helvetica"/>
          <w:b/>
          <w:sz w:val="24"/>
          <w:szCs w:val="24"/>
          <w:lang w:eastAsia="zh-CN"/>
        </w:rPr>
      </w:pPr>
      <w:r w:rsidRPr="00BB0923">
        <w:rPr>
          <w:rFonts w:ascii="Book Antiqua" w:eastAsia="SimSun" w:hAnsi="Book Antiqua" w:cs="Helvetica"/>
          <w:b/>
          <w:sz w:val="24"/>
          <w:szCs w:val="24"/>
          <w:lang w:eastAsia="zh-CN"/>
        </w:rPr>
        <w:t>Peer-review report classification</w:t>
      </w:r>
    </w:p>
    <w:p w:rsidR="00BB0923" w:rsidRPr="00BB0923" w:rsidRDefault="00BB0923" w:rsidP="00BB0923">
      <w:pPr>
        <w:shd w:val="clear" w:color="auto" w:fill="FFFFFF"/>
        <w:snapToGrid w:val="0"/>
        <w:spacing w:after="0" w:line="360" w:lineRule="auto"/>
        <w:jc w:val="both"/>
        <w:rPr>
          <w:rFonts w:ascii="Book Antiqua" w:eastAsia="SimSun" w:hAnsi="Book Antiqua" w:cs="Helvetica"/>
          <w:sz w:val="24"/>
          <w:szCs w:val="24"/>
          <w:lang w:eastAsia="zh-CN"/>
        </w:rPr>
      </w:pPr>
      <w:r w:rsidRPr="00BB0923">
        <w:rPr>
          <w:rFonts w:ascii="Book Antiqua" w:eastAsia="SimSun" w:hAnsi="Book Antiqua" w:cs="Helvetica"/>
          <w:sz w:val="24"/>
          <w:szCs w:val="24"/>
          <w:lang w:eastAsia="zh-CN"/>
        </w:rPr>
        <w:t xml:space="preserve">Grade A (Excellent): </w:t>
      </w:r>
      <w:r w:rsidRPr="00BB0923">
        <w:rPr>
          <w:rFonts w:ascii="Book Antiqua" w:eastAsia="SimSun" w:hAnsi="Book Antiqua" w:cs="Helvetica" w:hint="eastAsia"/>
          <w:sz w:val="24"/>
          <w:szCs w:val="24"/>
          <w:lang w:eastAsia="zh-CN"/>
        </w:rPr>
        <w:t>0</w:t>
      </w:r>
    </w:p>
    <w:p w:rsidR="00BB0923" w:rsidRPr="00BB0923" w:rsidRDefault="00BB0923" w:rsidP="00BB0923">
      <w:pPr>
        <w:shd w:val="clear" w:color="auto" w:fill="FFFFFF"/>
        <w:snapToGrid w:val="0"/>
        <w:spacing w:after="0" w:line="360" w:lineRule="auto"/>
        <w:jc w:val="both"/>
        <w:rPr>
          <w:rFonts w:ascii="Book Antiqua" w:eastAsia="SimSun" w:hAnsi="Book Antiqua" w:cs="Helvetica"/>
          <w:sz w:val="24"/>
          <w:szCs w:val="24"/>
          <w:lang w:eastAsia="zh-CN"/>
        </w:rPr>
      </w:pPr>
      <w:r w:rsidRPr="00BB0923">
        <w:rPr>
          <w:rFonts w:ascii="Book Antiqua" w:eastAsia="SimSun" w:hAnsi="Book Antiqua" w:cs="Helvetica"/>
          <w:sz w:val="24"/>
          <w:szCs w:val="24"/>
          <w:lang w:eastAsia="zh-CN"/>
        </w:rPr>
        <w:t xml:space="preserve">Grade B (Very good): </w:t>
      </w:r>
      <w:r w:rsidRPr="00BB0923">
        <w:rPr>
          <w:rFonts w:ascii="Book Antiqua" w:eastAsia="SimSun" w:hAnsi="Book Antiqua" w:cs="Helvetica" w:hint="eastAsia"/>
          <w:sz w:val="24"/>
          <w:szCs w:val="24"/>
          <w:lang w:eastAsia="zh-CN"/>
        </w:rPr>
        <w:t>B</w:t>
      </w:r>
      <w:r>
        <w:rPr>
          <w:rFonts w:ascii="Book Antiqua" w:eastAsia="SimSun" w:hAnsi="Book Antiqua" w:cs="Helvetica"/>
          <w:sz w:val="24"/>
          <w:szCs w:val="24"/>
          <w:lang w:eastAsia="zh-CN"/>
        </w:rPr>
        <w:t>, B</w:t>
      </w:r>
    </w:p>
    <w:p w:rsidR="00BB0923" w:rsidRPr="00BB0923" w:rsidRDefault="00BB0923" w:rsidP="00BB0923">
      <w:pPr>
        <w:shd w:val="clear" w:color="auto" w:fill="FFFFFF"/>
        <w:snapToGrid w:val="0"/>
        <w:spacing w:after="0" w:line="360" w:lineRule="auto"/>
        <w:jc w:val="both"/>
        <w:rPr>
          <w:rFonts w:ascii="Book Antiqua" w:eastAsia="SimSun" w:hAnsi="Book Antiqua" w:cs="Helvetica"/>
          <w:sz w:val="24"/>
          <w:szCs w:val="24"/>
          <w:lang w:eastAsia="zh-CN"/>
        </w:rPr>
      </w:pPr>
      <w:r w:rsidRPr="00BB0923">
        <w:rPr>
          <w:rFonts w:ascii="Book Antiqua" w:eastAsia="SimSun" w:hAnsi="Book Antiqua" w:cs="Helvetica"/>
          <w:sz w:val="24"/>
          <w:szCs w:val="24"/>
          <w:lang w:eastAsia="zh-CN"/>
        </w:rPr>
        <w:t xml:space="preserve">Grade C (Good): </w:t>
      </w:r>
      <w:r w:rsidRPr="00BB0923">
        <w:rPr>
          <w:rFonts w:ascii="Book Antiqua" w:eastAsia="SimSun" w:hAnsi="Book Antiqua" w:cs="Helvetica" w:hint="eastAsia"/>
          <w:sz w:val="24"/>
          <w:szCs w:val="24"/>
          <w:lang w:eastAsia="zh-CN"/>
        </w:rPr>
        <w:t>C, C</w:t>
      </w:r>
    </w:p>
    <w:p w:rsidR="00BB0923" w:rsidRPr="00BB0923" w:rsidRDefault="00BB0923" w:rsidP="00BB0923">
      <w:pPr>
        <w:shd w:val="clear" w:color="auto" w:fill="FFFFFF"/>
        <w:snapToGrid w:val="0"/>
        <w:spacing w:after="0" w:line="360" w:lineRule="auto"/>
        <w:jc w:val="both"/>
        <w:rPr>
          <w:rFonts w:ascii="Book Antiqua" w:eastAsia="SimSun" w:hAnsi="Book Antiqua" w:cs="Helvetica"/>
          <w:sz w:val="24"/>
          <w:szCs w:val="24"/>
          <w:lang w:eastAsia="zh-CN"/>
        </w:rPr>
      </w:pPr>
      <w:r w:rsidRPr="00BB0923">
        <w:rPr>
          <w:rFonts w:ascii="Book Antiqua" w:eastAsia="SimSun" w:hAnsi="Book Antiqua" w:cs="Helvetica"/>
          <w:sz w:val="24"/>
          <w:szCs w:val="24"/>
          <w:lang w:eastAsia="zh-CN"/>
        </w:rPr>
        <w:t xml:space="preserve">Grade D (Fair): </w:t>
      </w:r>
      <w:r w:rsidRPr="00BB0923">
        <w:rPr>
          <w:rFonts w:ascii="Book Antiqua" w:eastAsia="SimSun" w:hAnsi="Book Antiqua" w:cs="Helvetica" w:hint="eastAsia"/>
          <w:sz w:val="24"/>
          <w:szCs w:val="24"/>
          <w:lang w:eastAsia="zh-CN"/>
        </w:rPr>
        <w:t>0</w:t>
      </w:r>
    </w:p>
    <w:p w:rsidR="00BB0923" w:rsidRPr="00BB0923" w:rsidRDefault="00BB0923" w:rsidP="00BB0923">
      <w:pPr>
        <w:snapToGrid w:val="0"/>
        <w:spacing w:after="0" w:line="360" w:lineRule="auto"/>
        <w:jc w:val="both"/>
        <w:rPr>
          <w:rFonts w:ascii="Book Antiqua" w:eastAsia="SimSun" w:hAnsi="Book Antiqua" w:cs="Times New Roman"/>
          <w:b/>
          <w:iCs/>
          <w:sz w:val="24"/>
          <w:szCs w:val="24"/>
          <w:lang w:eastAsia="zh-CN"/>
        </w:rPr>
      </w:pPr>
      <w:r w:rsidRPr="00BB0923">
        <w:rPr>
          <w:rFonts w:ascii="Book Antiqua" w:eastAsia="SimSun" w:hAnsi="Book Antiqua" w:cs="Helvetica"/>
          <w:sz w:val="24"/>
          <w:szCs w:val="24"/>
          <w:lang w:eastAsia="zh-CN"/>
        </w:rPr>
        <w:t xml:space="preserve">Grade E (Poor): </w:t>
      </w:r>
      <w:r w:rsidRPr="00BB0923">
        <w:rPr>
          <w:rFonts w:ascii="Book Antiqua" w:eastAsia="SimSun" w:hAnsi="Book Antiqua" w:cs="Helvetica" w:hint="eastAsia"/>
          <w:sz w:val="24"/>
          <w:szCs w:val="24"/>
          <w:lang w:eastAsia="zh-CN"/>
        </w:rPr>
        <w:t>0</w:t>
      </w:r>
      <w:bookmarkEnd w:id="185"/>
      <w:bookmarkEnd w:id="188"/>
      <w:bookmarkEnd w:id="189"/>
    </w:p>
    <w:bookmarkEnd w:id="186"/>
    <w:bookmarkEnd w:id="187"/>
    <w:p w:rsidR="00DA0E9F" w:rsidRPr="006410B4" w:rsidRDefault="00DA0E9F"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p>
    <w:p w:rsidR="00DA0E9F" w:rsidRPr="006410B4" w:rsidRDefault="00DA0E9F"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color w:val="000000" w:themeColor="text1"/>
          <w:sz w:val="24"/>
          <w:szCs w:val="24"/>
        </w:rPr>
        <w:br w:type="page"/>
      </w:r>
    </w:p>
    <w:p w:rsidR="00131E78" w:rsidRPr="006410B4" w:rsidRDefault="004C4D6B" w:rsidP="006410B4">
      <w:pPr>
        <w:widowControl w:val="0"/>
        <w:autoSpaceDE w:val="0"/>
        <w:autoSpaceDN w:val="0"/>
        <w:adjustRightInd w:val="0"/>
        <w:snapToGrid w:val="0"/>
        <w:spacing w:after="0" w:line="360" w:lineRule="auto"/>
        <w:jc w:val="both"/>
        <w:rPr>
          <w:rFonts w:ascii="Book Antiqua" w:eastAsia="Times New Roman" w:hAnsi="Book Antiqua" w:cs="Times New Roman"/>
          <w:color w:val="000000" w:themeColor="text1"/>
          <w:sz w:val="24"/>
          <w:szCs w:val="24"/>
        </w:rPr>
      </w:pPr>
      <w:r>
        <w:rPr>
          <w:noProof/>
        </w:rPr>
        <w:lastRenderedPageBreak/>
        <w:drawing>
          <wp:inline distT="0" distB="0" distL="0" distR="0" wp14:anchorId="477F8AFB" wp14:editId="7DDA2C3D">
            <wp:extent cx="4715123" cy="3179182"/>
            <wp:effectExtent l="0" t="0" r="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53296" cy="3204920"/>
                    </a:xfrm>
                    <a:prstGeom prst="rect">
                      <a:avLst/>
                    </a:prstGeom>
                  </pic:spPr>
                </pic:pic>
              </a:graphicData>
            </a:graphic>
          </wp:inline>
        </w:drawing>
      </w:r>
    </w:p>
    <w:p w:rsidR="00643599" w:rsidRPr="006410B4" w:rsidRDefault="00344AF4" w:rsidP="00344AF4">
      <w:pPr>
        <w:widowControl w:val="0"/>
        <w:autoSpaceDE w:val="0"/>
        <w:autoSpaceDN w:val="0"/>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b/>
          <w:color w:val="000000" w:themeColor="text1"/>
          <w:sz w:val="24"/>
          <w:szCs w:val="24"/>
        </w:rPr>
        <w:t>Figure 1</w:t>
      </w:r>
      <w:r>
        <w:rPr>
          <w:rFonts w:ascii="Book Antiqua" w:eastAsia="Times New Roman" w:hAnsi="Book Antiqua" w:cs="Times New Roman"/>
          <w:b/>
          <w:color w:val="000000" w:themeColor="text1"/>
          <w:sz w:val="24"/>
          <w:szCs w:val="24"/>
        </w:rPr>
        <w:t xml:space="preserve"> </w:t>
      </w:r>
      <w:r w:rsidRPr="00344AF4">
        <w:rPr>
          <w:rFonts w:ascii="Book Antiqua" w:eastAsia="Times New Roman" w:hAnsi="Book Antiqua" w:cs="Times New Roman"/>
          <w:b/>
          <w:color w:val="000000" w:themeColor="text1"/>
          <w:sz w:val="24"/>
          <w:szCs w:val="24"/>
        </w:rPr>
        <w:t>Peripheral placental growth factor levels in liver cirrhosis and controls.</w:t>
      </w:r>
      <w:r w:rsidRPr="006410B4">
        <w:rPr>
          <w:rFonts w:ascii="Book Antiqua" w:eastAsia="Times New Roman" w:hAnsi="Book Antiqua" w:cs="Times New Roman"/>
          <w:color w:val="000000" w:themeColor="text1"/>
          <w:sz w:val="24"/>
          <w:szCs w:val="24"/>
        </w:rPr>
        <w:t xml:space="preserve"> Box plot graph; boxes correspond to the median value and interquartile range.</w:t>
      </w:r>
      <w:r>
        <w:rPr>
          <w:rFonts w:ascii="Book Antiqua" w:eastAsia="Times New Roman" w:hAnsi="Book Antiqua" w:cs="Times New Roman" w:hint="eastAsia"/>
          <w:color w:val="000000" w:themeColor="text1"/>
          <w:sz w:val="24"/>
          <w:szCs w:val="24"/>
        </w:rPr>
        <w:t xml:space="preserve"> </w:t>
      </w:r>
      <w:proofErr w:type="spellStart"/>
      <w:r w:rsidR="00B9151A" w:rsidRPr="006410B4">
        <w:rPr>
          <w:rFonts w:ascii="Book Antiqua" w:eastAsia="Times New Roman" w:hAnsi="Book Antiqua" w:cs="Times New Roman"/>
          <w:color w:val="000000" w:themeColor="text1"/>
          <w:sz w:val="24"/>
          <w:szCs w:val="24"/>
        </w:rPr>
        <w:t>PlGF</w:t>
      </w:r>
      <w:proofErr w:type="spellEnd"/>
      <w:r w:rsidR="00442B37">
        <w:rPr>
          <w:rFonts w:ascii="Book Antiqua" w:eastAsia="Times New Roman" w:hAnsi="Book Antiqua" w:cs="Times New Roman"/>
          <w:color w:val="000000" w:themeColor="text1"/>
          <w:sz w:val="24"/>
          <w:szCs w:val="24"/>
        </w:rPr>
        <w:t>: P</w:t>
      </w:r>
      <w:r w:rsidR="00B9151A" w:rsidRPr="006410B4">
        <w:rPr>
          <w:rFonts w:ascii="Book Antiqua" w:eastAsia="Times New Roman" w:hAnsi="Book Antiqua" w:cs="Times New Roman"/>
          <w:color w:val="000000" w:themeColor="text1"/>
          <w:sz w:val="24"/>
          <w:szCs w:val="24"/>
        </w:rPr>
        <w:t>lacental growth factor</w:t>
      </w:r>
      <w:r w:rsidR="00442B37">
        <w:rPr>
          <w:rFonts w:ascii="Book Antiqua" w:eastAsia="Times New Roman" w:hAnsi="Book Antiqua" w:cs="Times New Roman"/>
          <w:color w:val="000000" w:themeColor="text1"/>
          <w:sz w:val="24"/>
          <w:szCs w:val="24"/>
        </w:rPr>
        <w:t>.</w:t>
      </w:r>
    </w:p>
    <w:p w:rsidR="00131E78" w:rsidRPr="006410B4" w:rsidRDefault="00131E78"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color w:val="000000" w:themeColor="text1"/>
          <w:sz w:val="24"/>
          <w:szCs w:val="24"/>
        </w:rPr>
        <w:br w:type="page"/>
      </w:r>
    </w:p>
    <w:p w:rsidR="00131E78" w:rsidRPr="006410B4" w:rsidRDefault="004C4D6B"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Pr>
          <w:noProof/>
        </w:rPr>
        <w:lastRenderedPageBreak/>
        <w:drawing>
          <wp:inline distT="0" distB="0" distL="0" distR="0" wp14:anchorId="42E710AB" wp14:editId="3EC34100">
            <wp:extent cx="4033687" cy="2981739"/>
            <wp:effectExtent l="0" t="0" r="508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44673" cy="2989860"/>
                    </a:xfrm>
                    <a:prstGeom prst="rect">
                      <a:avLst/>
                    </a:prstGeom>
                  </pic:spPr>
                </pic:pic>
              </a:graphicData>
            </a:graphic>
          </wp:inline>
        </w:drawing>
      </w:r>
    </w:p>
    <w:p w:rsidR="00442B37" w:rsidRPr="006410B4" w:rsidRDefault="00442B37" w:rsidP="00442B37">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b/>
          <w:color w:val="000000" w:themeColor="text1"/>
          <w:sz w:val="24"/>
          <w:szCs w:val="24"/>
        </w:rPr>
        <w:t xml:space="preserve">Figure 2 </w:t>
      </w:r>
      <w:r w:rsidRPr="00442B37">
        <w:rPr>
          <w:rFonts w:ascii="Book Antiqua" w:eastAsia="Times New Roman" w:hAnsi="Book Antiqua" w:cs="Times New Roman"/>
          <w:b/>
          <w:color w:val="000000" w:themeColor="text1"/>
          <w:sz w:val="24"/>
          <w:szCs w:val="24"/>
        </w:rPr>
        <w:t xml:space="preserve">Peripheral </w:t>
      </w:r>
      <w:proofErr w:type="spellStart"/>
      <w:r w:rsidRPr="00442B37">
        <w:rPr>
          <w:rFonts w:ascii="Book Antiqua" w:eastAsia="Times New Roman" w:hAnsi="Book Antiqua" w:cs="Times New Roman"/>
          <w:b/>
          <w:color w:val="000000" w:themeColor="text1"/>
          <w:sz w:val="24"/>
          <w:szCs w:val="24"/>
        </w:rPr>
        <w:t>Nogo</w:t>
      </w:r>
      <w:proofErr w:type="spellEnd"/>
      <w:r w:rsidRPr="00442B37">
        <w:rPr>
          <w:rFonts w:ascii="Book Antiqua" w:eastAsia="Times New Roman" w:hAnsi="Book Antiqua" w:cs="Times New Roman"/>
          <w:b/>
          <w:color w:val="000000" w:themeColor="text1"/>
          <w:sz w:val="24"/>
          <w:szCs w:val="24"/>
        </w:rPr>
        <w:t>-A levels in liver cirrhosis and controls.</w:t>
      </w:r>
      <w:r w:rsidRPr="006410B4">
        <w:rPr>
          <w:rFonts w:ascii="Book Antiqua" w:eastAsia="Times New Roman" w:hAnsi="Book Antiqua" w:cs="Times New Roman"/>
          <w:color w:val="000000" w:themeColor="text1"/>
          <w:sz w:val="24"/>
          <w:szCs w:val="24"/>
        </w:rPr>
        <w:t xml:space="preserve"> Box plot graph; boxes correspond to the mean value and standard deviation.</w:t>
      </w:r>
    </w:p>
    <w:p w:rsidR="00442B37" w:rsidRDefault="00442B37">
      <w:pPr>
        <w:rPr>
          <w:rFonts w:ascii="Book Antiqua" w:eastAsia="Times New Roman" w:hAnsi="Book Antiqua" w:cs="Times New Roman"/>
          <w:b/>
          <w:color w:val="000000" w:themeColor="text1"/>
          <w:sz w:val="24"/>
          <w:szCs w:val="24"/>
        </w:rPr>
      </w:pPr>
      <w:r>
        <w:rPr>
          <w:rFonts w:ascii="Book Antiqua" w:eastAsia="Times New Roman" w:hAnsi="Book Antiqua" w:cs="Times New Roman"/>
          <w:b/>
          <w:color w:val="000000" w:themeColor="text1"/>
          <w:sz w:val="24"/>
          <w:szCs w:val="24"/>
        </w:rPr>
        <w:br w:type="page"/>
      </w:r>
    </w:p>
    <w:p w:rsidR="00131E78" w:rsidRPr="006410B4" w:rsidRDefault="00131E78"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noProof/>
          <w:color w:val="000000" w:themeColor="text1"/>
          <w:sz w:val="24"/>
          <w:szCs w:val="24"/>
          <w:lang w:eastAsia="lt-LT"/>
        </w:rPr>
        <w:lastRenderedPageBreak/>
        <w:drawing>
          <wp:inline distT="0" distB="0" distL="0" distR="0">
            <wp:extent cx="5127299" cy="3745064"/>
            <wp:effectExtent l="0" t="0" r="0" b="8255"/>
            <wp:docPr id="4" name="Picture 4" descr="C:\Users\Vartotojas\Downloads\Figure_3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rtotojas\Downloads\Figure_3 (1).tif"/>
                    <pic:cNvPicPr>
                      <a:picLocks noChangeAspect="1" noChangeArrowheads="1"/>
                    </pic:cNvPicPr>
                  </pic:nvPicPr>
                  <pic:blipFill>
                    <a:blip r:embed="rId19" cstate="print"/>
                    <a:srcRect/>
                    <a:stretch>
                      <a:fillRect/>
                    </a:stretch>
                  </pic:blipFill>
                  <pic:spPr bwMode="auto">
                    <a:xfrm>
                      <a:off x="0" y="0"/>
                      <a:ext cx="5140102" cy="3754415"/>
                    </a:xfrm>
                    <a:prstGeom prst="rect">
                      <a:avLst/>
                    </a:prstGeom>
                    <a:noFill/>
                    <a:ln w="9525">
                      <a:noFill/>
                      <a:miter lim="800000"/>
                      <a:headEnd/>
                      <a:tailEnd/>
                    </a:ln>
                  </pic:spPr>
                </pic:pic>
              </a:graphicData>
            </a:graphic>
          </wp:inline>
        </w:drawing>
      </w:r>
    </w:p>
    <w:p w:rsidR="00B9151A" w:rsidRPr="00442B37" w:rsidRDefault="00442B37"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b/>
          <w:color w:val="000000" w:themeColor="text1"/>
          <w:sz w:val="24"/>
          <w:szCs w:val="24"/>
        </w:rPr>
        <w:t xml:space="preserve">Figure 3 </w:t>
      </w:r>
      <w:r w:rsidRPr="00442B37">
        <w:rPr>
          <w:rFonts w:ascii="Book Antiqua" w:eastAsia="Times New Roman" w:hAnsi="Book Antiqua" w:cs="Times New Roman"/>
          <w:b/>
          <w:color w:val="000000" w:themeColor="text1"/>
          <w:sz w:val="24"/>
          <w:szCs w:val="24"/>
        </w:rPr>
        <w:t>Relationship between peripheral placental growth factor levels and hepatic venous pressure gradient.</w:t>
      </w:r>
      <w:r w:rsidR="00B9151A" w:rsidRPr="00442B37">
        <w:rPr>
          <w:rFonts w:ascii="Book Antiqua" w:eastAsia="Times New Roman" w:hAnsi="Book Antiqua" w:cs="Times New Roman"/>
          <w:b/>
          <w:color w:val="000000" w:themeColor="text1"/>
          <w:sz w:val="24"/>
          <w:szCs w:val="24"/>
        </w:rPr>
        <w:t xml:space="preserve"> </w:t>
      </w:r>
      <w:proofErr w:type="spellStart"/>
      <w:r w:rsidR="00B9151A" w:rsidRPr="00442B37">
        <w:rPr>
          <w:rFonts w:ascii="Book Antiqua" w:eastAsia="Times New Roman" w:hAnsi="Book Antiqua" w:cs="Times New Roman"/>
          <w:color w:val="000000" w:themeColor="text1"/>
          <w:sz w:val="24"/>
          <w:szCs w:val="24"/>
        </w:rPr>
        <w:t>PlGF</w:t>
      </w:r>
      <w:proofErr w:type="spellEnd"/>
      <w:r w:rsidRPr="00442B37">
        <w:rPr>
          <w:rFonts w:ascii="Book Antiqua" w:eastAsia="Times New Roman" w:hAnsi="Book Antiqua" w:cs="Times New Roman"/>
          <w:color w:val="000000" w:themeColor="text1"/>
          <w:sz w:val="24"/>
          <w:szCs w:val="24"/>
        </w:rPr>
        <w:t>: P</w:t>
      </w:r>
      <w:r w:rsidR="00B9151A" w:rsidRPr="00442B37">
        <w:rPr>
          <w:rFonts w:ascii="Book Antiqua" w:eastAsia="Times New Roman" w:hAnsi="Book Antiqua" w:cs="Times New Roman"/>
          <w:color w:val="000000" w:themeColor="text1"/>
          <w:sz w:val="24"/>
          <w:szCs w:val="24"/>
        </w:rPr>
        <w:t>lacental growth factor</w:t>
      </w:r>
      <w:r w:rsidRPr="00442B37">
        <w:rPr>
          <w:rFonts w:ascii="Book Antiqua" w:eastAsia="Times New Roman" w:hAnsi="Book Antiqua" w:cs="Times New Roman"/>
          <w:color w:val="000000" w:themeColor="text1"/>
          <w:sz w:val="24"/>
          <w:szCs w:val="24"/>
        </w:rPr>
        <w:t>.</w:t>
      </w:r>
    </w:p>
    <w:p w:rsidR="00131E78" w:rsidRPr="006410B4" w:rsidRDefault="00131E78"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color w:val="000000" w:themeColor="text1"/>
          <w:sz w:val="24"/>
          <w:szCs w:val="24"/>
        </w:rPr>
        <w:br w:type="page"/>
      </w:r>
    </w:p>
    <w:p w:rsidR="00131E78" w:rsidRPr="006410B4" w:rsidRDefault="0049354E" w:rsidP="006410B4">
      <w:pPr>
        <w:tabs>
          <w:tab w:val="left" w:pos="1044"/>
        </w:tabs>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noProof/>
          <w:color w:val="000000" w:themeColor="text1"/>
          <w:sz w:val="24"/>
          <w:szCs w:val="24"/>
          <w:lang w:eastAsia="lt-LT"/>
        </w:rPr>
        <w:lastRenderedPageBreak/>
        <w:drawing>
          <wp:inline distT="0" distB="0" distL="0" distR="0">
            <wp:extent cx="4693572" cy="3061252"/>
            <wp:effectExtent l="0" t="0" r="0" b="6350"/>
            <wp:docPr id="5" name="Picture 5" descr="C:\Users\Vartotojas\Downloads\Figure_4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rtotojas\Downloads\Figure_4A (1).tif"/>
                    <pic:cNvPicPr>
                      <a:picLocks noChangeAspect="1" noChangeArrowheads="1"/>
                    </pic:cNvPicPr>
                  </pic:nvPicPr>
                  <pic:blipFill>
                    <a:blip r:embed="rId20" cstate="print"/>
                    <a:srcRect/>
                    <a:stretch>
                      <a:fillRect/>
                    </a:stretch>
                  </pic:blipFill>
                  <pic:spPr bwMode="auto">
                    <a:xfrm>
                      <a:off x="0" y="0"/>
                      <a:ext cx="4708074" cy="3070711"/>
                    </a:xfrm>
                    <a:prstGeom prst="rect">
                      <a:avLst/>
                    </a:prstGeom>
                    <a:noFill/>
                    <a:ln w="9525">
                      <a:noFill/>
                      <a:miter lim="800000"/>
                      <a:headEnd/>
                      <a:tailEnd/>
                    </a:ln>
                  </pic:spPr>
                </pic:pic>
              </a:graphicData>
            </a:graphic>
          </wp:inline>
        </w:drawing>
      </w:r>
    </w:p>
    <w:p w:rsidR="0049354E" w:rsidRPr="006410B4" w:rsidRDefault="0049354E" w:rsidP="006410B4">
      <w:pPr>
        <w:tabs>
          <w:tab w:val="left" w:pos="1044"/>
        </w:tabs>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noProof/>
          <w:color w:val="000000" w:themeColor="text1"/>
          <w:sz w:val="24"/>
          <w:szCs w:val="24"/>
          <w:lang w:eastAsia="lt-LT"/>
        </w:rPr>
        <w:drawing>
          <wp:inline distT="0" distB="0" distL="0" distR="0">
            <wp:extent cx="4115628" cy="3082596"/>
            <wp:effectExtent l="19050" t="0" r="0" b="0"/>
            <wp:docPr id="7" name="Picture 6" descr="C:\Users\Vartotojas\Downloads\Figure_4B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rtotojas\Downloads\Figure_4B (1).tif"/>
                    <pic:cNvPicPr>
                      <a:picLocks noChangeAspect="1" noChangeArrowheads="1"/>
                    </pic:cNvPicPr>
                  </pic:nvPicPr>
                  <pic:blipFill>
                    <a:blip r:embed="rId21" cstate="print"/>
                    <a:srcRect/>
                    <a:stretch>
                      <a:fillRect/>
                    </a:stretch>
                  </pic:blipFill>
                  <pic:spPr bwMode="auto">
                    <a:xfrm>
                      <a:off x="0" y="0"/>
                      <a:ext cx="4118610" cy="3084830"/>
                    </a:xfrm>
                    <a:prstGeom prst="rect">
                      <a:avLst/>
                    </a:prstGeom>
                    <a:noFill/>
                    <a:ln w="9525">
                      <a:noFill/>
                      <a:miter lim="800000"/>
                      <a:headEnd/>
                      <a:tailEnd/>
                    </a:ln>
                  </pic:spPr>
                </pic:pic>
              </a:graphicData>
            </a:graphic>
          </wp:inline>
        </w:drawing>
      </w:r>
    </w:p>
    <w:p w:rsidR="0049354E" w:rsidRPr="006410B4" w:rsidRDefault="00442B37" w:rsidP="006410B4">
      <w:pPr>
        <w:tabs>
          <w:tab w:val="left" w:pos="1044"/>
        </w:tabs>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b/>
          <w:color w:val="000000" w:themeColor="text1"/>
          <w:sz w:val="24"/>
          <w:szCs w:val="24"/>
        </w:rPr>
        <w:t xml:space="preserve">Figure 4 </w:t>
      </w:r>
      <w:r w:rsidRPr="00442B37">
        <w:rPr>
          <w:rFonts w:ascii="Book Antiqua" w:eastAsia="Times New Roman" w:hAnsi="Book Antiqua" w:cs="Times New Roman"/>
          <w:b/>
          <w:color w:val="000000" w:themeColor="text1"/>
          <w:sz w:val="24"/>
          <w:szCs w:val="24"/>
        </w:rPr>
        <w:t>Receiver operating characteristic curves showing placental growth factor prediction of clinically significant portal hypertension (A) and severe portal hypertension (B)</w:t>
      </w:r>
      <w:r w:rsidRPr="00442B37">
        <w:rPr>
          <w:rFonts w:ascii="Book Antiqua" w:eastAsia="Times New Roman" w:hAnsi="Book Antiqua" w:cs="Times New Roman" w:hint="eastAsia"/>
          <w:b/>
          <w:color w:val="000000" w:themeColor="text1"/>
          <w:sz w:val="24"/>
          <w:szCs w:val="24"/>
        </w:rPr>
        <w:t>.</w:t>
      </w:r>
      <w:r w:rsidRPr="00442B37">
        <w:rPr>
          <w:rFonts w:ascii="Book Antiqua" w:eastAsia="Times New Roman" w:hAnsi="Book Antiqua" w:cs="Times New Roman"/>
          <w:b/>
          <w:color w:val="000000" w:themeColor="text1"/>
          <w:sz w:val="24"/>
          <w:szCs w:val="24"/>
        </w:rPr>
        <w:t xml:space="preserve"> </w:t>
      </w:r>
      <w:bookmarkStart w:id="190" w:name="OLE_LINK516"/>
      <w:bookmarkStart w:id="191" w:name="OLE_LINK517"/>
      <w:r>
        <w:rPr>
          <w:rFonts w:ascii="Book Antiqua" w:eastAsia="Times New Roman" w:hAnsi="Book Antiqua" w:cs="Times New Roman"/>
          <w:color w:val="000000" w:themeColor="text1"/>
          <w:sz w:val="24"/>
          <w:szCs w:val="24"/>
        </w:rPr>
        <w:t xml:space="preserve">ROC: </w:t>
      </w:r>
      <w:r w:rsidRPr="00442B37">
        <w:rPr>
          <w:rFonts w:ascii="Book Antiqua" w:eastAsia="Times New Roman" w:hAnsi="Book Antiqua" w:cs="Times New Roman"/>
          <w:color w:val="000000" w:themeColor="text1"/>
          <w:sz w:val="24"/>
          <w:szCs w:val="24"/>
        </w:rPr>
        <w:t>Receiver operating characteristic</w:t>
      </w:r>
      <w:r>
        <w:rPr>
          <w:rFonts w:ascii="Book Antiqua" w:eastAsia="Times New Roman" w:hAnsi="Book Antiqua" w:cs="Times New Roman"/>
          <w:color w:val="000000" w:themeColor="text1"/>
          <w:sz w:val="24"/>
          <w:szCs w:val="24"/>
        </w:rPr>
        <w:t>.</w:t>
      </w:r>
      <w:bookmarkEnd w:id="190"/>
      <w:bookmarkEnd w:id="191"/>
    </w:p>
    <w:p w:rsidR="00131E78" w:rsidRPr="006410B4" w:rsidRDefault="00131E78"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color w:val="000000" w:themeColor="text1"/>
          <w:sz w:val="24"/>
          <w:szCs w:val="24"/>
        </w:rPr>
        <w:br w:type="page"/>
      </w:r>
    </w:p>
    <w:p w:rsidR="0049354E" w:rsidRPr="006410B4" w:rsidRDefault="0049354E" w:rsidP="006410B4">
      <w:pPr>
        <w:tabs>
          <w:tab w:val="left" w:pos="1044"/>
        </w:tabs>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noProof/>
          <w:color w:val="000000" w:themeColor="text1"/>
          <w:sz w:val="24"/>
          <w:szCs w:val="24"/>
          <w:lang w:eastAsia="lt-LT"/>
        </w:rPr>
        <w:lastRenderedPageBreak/>
        <w:drawing>
          <wp:inline distT="0" distB="0" distL="0" distR="0">
            <wp:extent cx="4727879" cy="3545910"/>
            <wp:effectExtent l="19050" t="0" r="0" b="0"/>
            <wp:docPr id="8" name="Picture 7" descr="C:\Users\Vartotojas\Downloads\Figure_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rtotojas\Downloads\Figure_5 (1).tif"/>
                    <pic:cNvPicPr>
                      <a:picLocks noChangeAspect="1" noChangeArrowheads="1"/>
                    </pic:cNvPicPr>
                  </pic:nvPicPr>
                  <pic:blipFill>
                    <a:blip r:embed="rId22" cstate="print"/>
                    <a:srcRect/>
                    <a:stretch>
                      <a:fillRect/>
                    </a:stretch>
                  </pic:blipFill>
                  <pic:spPr bwMode="auto">
                    <a:xfrm>
                      <a:off x="0" y="0"/>
                      <a:ext cx="4731950" cy="3548964"/>
                    </a:xfrm>
                    <a:prstGeom prst="rect">
                      <a:avLst/>
                    </a:prstGeom>
                    <a:noFill/>
                    <a:ln w="9525">
                      <a:noFill/>
                      <a:miter lim="800000"/>
                      <a:headEnd/>
                      <a:tailEnd/>
                    </a:ln>
                  </pic:spPr>
                </pic:pic>
              </a:graphicData>
            </a:graphic>
          </wp:inline>
        </w:drawing>
      </w:r>
    </w:p>
    <w:p w:rsidR="00442B37" w:rsidRPr="006410B4" w:rsidRDefault="00442B37" w:rsidP="00442B37">
      <w:pPr>
        <w:tabs>
          <w:tab w:val="left" w:pos="1044"/>
        </w:tabs>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color w:val="000000" w:themeColor="text1"/>
          <w:sz w:val="24"/>
          <w:szCs w:val="24"/>
        </w:rPr>
        <w:t xml:space="preserve">Figure 5 </w:t>
      </w:r>
      <w:r w:rsidRPr="006A5D54">
        <w:rPr>
          <w:rFonts w:ascii="Book Antiqua" w:eastAsia="Times New Roman" w:hAnsi="Book Antiqua" w:cs="Times New Roman"/>
          <w:b/>
          <w:color w:val="000000" w:themeColor="text1"/>
          <w:sz w:val="24"/>
          <w:szCs w:val="24"/>
        </w:rPr>
        <w:t xml:space="preserve">Relationship between peripheral </w:t>
      </w:r>
      <w:proofErr w:type="spellStart"/>
      <w:r w:rsidRPr="006A5D54">
        <w:rPr>
          <w:rFonts w:ascii="Book Antiqua" w:eastAsia="Times New Roman" w:hAnsi="Book Antiqua" w:cs="Times New Roman"/>
          <w:b/>
          <w:color w:val="000000" w:themeColor="text1"/>
          <w:sz w:val="24"/>
          <w:szCs w:val="24"/>
        </w:rPr>
        <w:t>Nogo</w:t>
      </w:r>
      <w:proofErr w:type="spellEnd"/>
      <w:r w:rsidRPr="006A5D54">
        <w:rPr>
          <w:rFonts w:ascii="Book Antiqua" w:eastAsia="Times New Roman" w:hAnsi="Book Antiqua" w:cs="Times New Roman"/>
          <w:b/>
          <w:color w:val="000000" w:themeColor="text1"/>
          <w:sz w:val="24"/>
          <w:szCs w:val="24"/>
        </w:rPr>
        <w:t>-A levels and hepatic venous pressure gradient.</w:t>
      </w:r>
    </w:p>
    <w:p w:rsidR="006A5D54" w:rsidRDefault="006A5D54">
      <w:pPr>
        <w:rPr>
          <w:rFonts w:ascii="Book Antiqua" w:eastAsia="Times New Roman" w:hAnsi="Book Antiqua" w:cs="Times New Roman"/>
          <w:b/>
          <w:color w:val="000000" w:themeColor="text1"/>
          <w:sz w:val="24"/>
          <w:szCs w:val="24"/>
        </w:rPr>
      </w:pPr>
      <w:r>
        <w:rPr>
          <w:rFonts w:ascii="Book Antiqua" w:eastAsia="Times New Roman" w:hAnsi="Book Antiqua" w:cs="Times New Roman"/>
          <w:b/>
          <w:color w:val="000000" w:themeColor="text1"/>
          <w:sz w:val="24"/>
          <w:szCs w:val="24"/>
        </w:rPr>
        <w:br w:type="page"/>
      </w:r>
    </w:p>
    <w:p w:rsidR="0049354E" w:rsidRPr="006410B4" w:rsidRDefault="0049354E" w:rsidP="006410B4">
      <w:pPr>
        <w:tabs>
          <w:tab w:val="left" w:pos="1044"/>
        </w:tabs>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noProof/>
          <w:color w:val="000000" w:themeColor="text1"/>
          <w:sz w:val="24"/>
          <w:szCs w:val="24"/>
          <w:lang w:eastAsia="lt-LT"/>
        </w:rPr>
        <w:lastRenderedPageBreak/>
        <w:drawing>
          <wp:inline distT="0" distB="0" distL="0" distR="0">
            <wp:extent cx="3657600" cy="2743200"/>
            <wp:effectExtent l="19050" t="0" r="0" b="0"/>
            <wp:docPr id="9" name="Picture 8" descr="C:\Users\Vartotojas\Downloads\Figure_6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artotojas\Downloads\Figure_6A (1).tif"/>
                    <pic:cNvPicPr>
                      <a:picLocks noChangeAspect="1" noChangeArrowheads="1"/>
                    </pic:cNvPicPr>
                  </pic:nvPicPr>
                  <pic:blipFill>
                    <a:blip r:embed="rId23"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49354E" w:rsidRDefault="0049354E" w:rsidP="006410B4">
      <w:pPr>
        <w:tabs>
          <w:tab w:val="left" w:pos="1044"/>
        </w:tabs>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noProof/>
          <w:color w:val="000000" w:themeColor="text1"/>
          <w:sz w:val="24"/>
          <w:szCs w:val="24"/>
          <w:lang w:eastAsia="lt-LT"/>
        </w:rPr>
        <w:drawing>
          <wp:inline distT="0" distB="0" distL="0" distR="0">
            <wp:extent cx="3657600" cy="2743200"/>
            <wp:effectExtent l="19050" t="0" r="0" b="0"/>
            <wp:docPr id="10" name="Picture 9" descr="C:\Users\Vartotojas\Downloads\Figure_6B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artotojas\Downloads\Figure_6B (1).tif"/>
                    <pic:cNvPicPr>
                      <a:picLocks noChangeAspect="1" noChangeArrowheads="1"/>
                    </pic:cNvPicPr>
                  </pic:nvPicPr>
                  <pic:blipFill>
                    <a:blip r:embed="rId24"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6A5D54" w:rsidRPr="006410B4" w:rsidRDefault="006A5D54" w:rsidP="006410B4">
      <w:pPr>
        <w:tabs>
          <w:tab w:val="left" w:pos="1044"/>
        </w:tabs>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b/>
          <w:color w:val="000000" w:themeColor="text1"/>
          <w:sz w:val="24"/>
          <w:szCs w:val="24"/>
        </w:rPr>
        <w:t xml:space="preserve">Figure 6 </w:t>
      </w:r>
      <w:r w:rsidRPr="006A5D54">
        <w:rPr>
          <w:rFonts w:ascii="Book Antiqua" w:eastAsia="Times New Roman" w:hAnsi="Book Antiqua" w:cs="Times New Roman"/>
          <w:b/>
          <w:color w:val="000000" w:themeColor="text1"/>
          <w:sz w:val="24"/>
          <w:szCs w:val="24"/>
        </w:rPr>
        <w:t xml:space="preserve">Receiver operating characteristic curves showing </w:t>
      </w:r>
      <w:proofErr w:type="spellStart"/>
      <w:r w:rsidRPr="006A5D54">
        <w:rPr>
          <w:rFonts w:ascii="Book Antiqua" w:eastAsia="Times New Roman" w:hAnsi="Book Antiqua" w:cs="Times New Roman"/>
          <w:b/>
          <w:color w:val="000000" w:themeColor="text1"/>
          <w:sz w:val="24"/>
          <w:szCs w:val="24"/>
        </w:rPr>
        <w:t>Nogo</w:t>
      </w:r>
      <w:proofErr w:type="spellEnd"/>
      <w:r w:rsidRPr="006A5D54">
        <w:rPr>
          <w:rFonts w:ascii="Book Antiqua" w:eastAsia="Times New Roman" w:hAnsi="Book Antiqua" w:cs="Times New Roman"/>
          <w:b/>
          <w:color w:val="000000" w:themeColor="text1"/>
          <w:sz w:val="24"/>
          <w:szCs w:val="24"/>
        </w:rPr>
        <w:t xml:space="preserve">-A protein prediction of clinically significant portal hypertension (A) and severe portal hypertension (B). </w:t>
      </w:r>
      <w:r>
        <w:rPr>
          <w:rFonts w:ascii="Book Antiqua" w:eastAsia="Times New Roman" w:hAnsi="Book Antiqua" w:cs="Times New Roman"/>
          <w:color w:val="000000" w:themeColor="text1"/>
          <w:sz w:val="24"/>
          <w:szCs w:val="24"/>
        </w:rPr>
        <w:t xml:space="preserve">ROC: </w:t>
      </w:r>
      <w:r w:rsidRPr="00442B37">
        <w:rPr>
          <w:rFonts w:ascii="Book Antiqua" w:eastAsia="Times New Roman" w:hAnsi="Book Antiqua" w:cs="Times New Roman"/>
          <w:color w:val="000000" w:themeColor="text1"/>
          <w:sz w:val="24"/>
          <w:szCs w:val="24"/>
        </w:rPr>
        <w:t>Receiver operating characteristic</w:t>
      </w:r>
      <w:r>
        <w:rPr>
          <w:rFonts w:ascii="Book Antiqua" w:eastAsia="Times New Roman" w:hAnsi="Book Antiqua" w:cs="Times New Roman"/>
          <w:color w:val="000000" w:themeColor="text1"/>
          <w:sz w:val="24"/>
          <w:szCs w:val="24"/>
        </w:rPr>
        <w:t>.</w:t>
      </w:r>
    </w:p>
    <w:p w:rsidR="00D53AEE" w:rsidRPr="006410B4" w:rsidRDefault="00D53AEE"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color w:val="000000" w:themeColor="text1"/>
          <w:sz w:val="24"/>
          <w:szCs w:val="24"/>
        </w:rPr>
        <w:br w:type="page"/>
      </w:r>
      <w:r w:rsidRPr="006410B4">
        <w:rPr>
          <w:rFonts w:ascii="Book Antiqua" w:eastAsia="Times New Roman" w:hAnsi="Book Antiqua" w:cs="Times New Roman"/>
          <w:b/>
          <w:color w:val="000000" w:themeColor="text1"/>
          <w:sz w:val="24"/>
          <w:szCs w:val="24"/>
        </w:rPr>
        <w:lastRenderedPageBreak/>
        <w:t>Table 1 Demographic, clinical and endoscopic characteristics of the patients and controls</w:t>
      </w:r>
    </w:p>
    <w:tbl>
      <w:tblPr>
        <w:tblStyle w:val="TableGrid"/>
        <w:tblW w:w="5312" w:type="pct"/>
        <w:tblLook w:val="04A0" w:firstRow="1" w:lastRow="0" w:firstColumn="1" w:lastColumn="0" w:noHBand="0" w:noVBand="1"/>
      </w:tblPr>
      <w:tblGrid>
        <w:gridCol w:w="5509"/>
        <w:gridCol w:w="2355"/>
        <w:gridCol w:w="2080"/>
      </w:tblGrid>
      <w:tr w:rsidR="006410B4" w:rsidRPr="006410B4" w:rsidTr="00EA2307">
        <w:trPr>
          <w:trHeight w:val="1"/>
        </w:trPr>
        <w:tc>
          <w:tcPr>
            <w:tcW w:w="2770" w:type="pct"/>
            <w:tcBorders>
              <w:left w:val="nil"/>
              <w:bottom w:val="single" w:sz="4" w:space="0" w:color="auto"/>
              <w:right w:val="nil"/>
            </w:tcBorders>
          </w:tcPr>
          <w:p w:rsidR="00D53AEE" w:rsidRPr="006410B4" w:rsidRDefault="00D53AEE" w:rsidP="006410B4">
            <w:pPr>
              <w:adjustRightInd w:val="0"/>
              <w:snapToGrid w:val="0"/>
              <w:spacing w:line="360" w:lineRule="auto"/>
              <w:jc w:val="both"/>
              <w:rPr>
                <w:rFonts w:ascii="Book Antiqua" w:hAnsi="Book Antiqua"/>
                <w:b/>
                <w:color w:val="000000" w:themeColor="text1"/>
                <w:sz w:val="24"/>
                <w:szCs w:val="24"/>
              </w:rPr>
            </w:pPr>
            <w:r w:rsidRPr="006410B4">
              <w:rPr>
                <w:rFonts w:ascii="Book Antiqua" w:eastAsia="Times New Roman" w:hAnsi="Book Antiqua" w:cs="Times New Roman"/>
                <w:b/>
                <w:color w:val="000000" w:themeColor="text1"/>
                <w:sz w:val="24"/>
                <w:szCs w:val="24"/>
              </w:rPr>
              <w:t>Variable</w:t>
            </w:r>
          </w:p>
        </w:tc>
        <w:tc>
          <w:tcPr>
            <w:tcW w:w="1184" w:type="pct"/>
            <w:tcBorders>
              <w:left w:val="nil"/>
              <w:bottom w:val="single" w:sz="4" w:space="0" w:color="auto"/>
              <w:right w:val="nil"/>
            </w:tcBorders>
          </w:tcPr>
          <w:p w:rsidR="00D53AEE" w:rsidRPr="006410B4" w:rsidRDefault="00D53AEE" w:rsidP="000437A6">
            <w:pPr>
              <w:adjustRightInd w:val="0"/>
              <w:snapToGrid w:val="0"/>
              <w:spacing w:line="360" w:lineRule="auto"/>
              <w:jc w:val="center"/>
              <w:rPr>
                <w:rFonts w:ascii="Book Antiqua" w:hAnsi="Book Antiqua" w:cs="Times New Roman"/>
                <w:b/>
                <w:color w:val="000000" w:themeColor="text1"/>
                <w:sz w:val="24"/>
                <w:szCs w:val="24"/>
              </w:rPr>
            </w:pPr>
            <w:r w:rsidRPr="006410B4">
              <w:rPr>
                <w:rFonts w:ascii="Book Antiqua" w:hAnsi="Book Antiqua" w:cs="Times New Roman"/>
                <w:b/>
                <w:color w:val="000000" w:themeColor="text1"/>
                <w:sz w:val="24"/>
                <w:szCs w:val="24"/>
              </w:rPr>
              <w:t>Patients (</w:t>
            </w:r>
            <w:r w:rsidR="00EA2307">
              <w:rPr>
                <w:rFonts w:ascii="Book Antiqua" w:hAnsi="Book Antiqua" w:cs="Times New Roman"/>
                <w:b/>
                <w:i/>
                <w:color w:val="000000" w:themeColor="text1"/>
                <w:sz w:val="24"/>
                <w:szCs w:val="24"/>
              </w:rPr>
              <w:t>n</w:t>
            </w:r>
            <w:r w:rsidR="00EA2307">
              <w:rPr>
                <w:rFonts w:ascii="Book Antiqua" w:hAnsi="Book Antiqua" w:cs="Times New Roman"/>
                <w:b/>
                <w:color w:val="000000" w:themeColor="text1"/>
                <w:sz w:val="24"/>
                <w:szCs w:val="24"/>
              </w:rPr>
              <w:t xml:space="preserve"> </w:t>
            </w:r>
            <w:r w:rsidRPr="006410B4">
              <w:rPr>
                <w:rFonts w:ascii="Book Antiqua" w:hAnsi="Book Antiqua" w:cs="Times New Roman"/>
                <w:b/>
                <w:color w:val="000000" w:themeColor="text1"/>
                <w:sz w:val="24"/>
                <w:szCs w:val="24"/>
              </w:rPr>
              <w:t>=</w:t>
            </w:r>
            <w:r w:rsidR="00EA2307">
              <w:rPr>
                <w:rFonts w:ascii="Book Antiqua" w:hAnsi="Book Antiqua" w:cs="Times New Roman"/>
                <w:b/>
                <w:color w:val="000000" w:themeColor="text1"/>
                <w:sz w:val="24"/>
                <w:szCs w:val="24"/>
              </w:rPr>
              <w:t xml:space="preserve"> </w:t>
            </w:r>
            <w:r w:rsidRPr="006410B4">
              <w:rPr>
                <w:rFonts w:ascii="Book Antiqua" w:hAnsi="Book Antiqua" w:cs="Times New Roman"/>
                <w:b/>
                <w:color w:val="000000" w:themeColor="text1"/>
                <w:sz w:val="24"/>
                <w:szCs w:val="24"/>
              </w:rPr>
              <w:t>122)</w:t>
            </w:r>
          </w:p>
        </w:tc>
        <w:tc>
          <w:tcPr>
            <w:tcW w:w="1046" w:type="pct"/>
            <w:tcBorders>
              <w:left w:val="nil"/>
              <w:bottom w:val="single" w:sz="4" w:space="0" w:color="auto"/>
              <w:right w:val="nil"/>
            </w:tcBorders>
          </w:tcPr>
          <w:p w:rsidR="00D53AEE" w:rsidRPr="006410B4" w:rsidRDefault="00D53AEE" w:rsidP="000437A6">
            <w:pPr>
              <w:adjustRightInd w:val="0"/>
              <w:snapToGrid w:val="0"/>
              <w:spacing w:line="360" w:lineRule="auto"/>
              <w:jc w:val="center"/>
              <w:rPr>
                <w:rFonts w:ascii="Book Antiqua" w:hAnsi="Book Antiqua" w:cs="Times New Roman"/>
                <w:b/>
                <w:color w:val="000000" w:themeColor="text1"/>
                <w:sz w:val="24"/>
                <w:szCs w:val="24"/>
              </w:rPr>
            </w:pPr>
            <w:r w:rsidRPr="006410B4">
              <w:rPr>
                <w:rFonts w:ascii="Book Antiqua" w:hAnsi="Book Antiqua" w:cs="Times New Roman"/>
                <w:b/>
                <w:color w:val="000000" w:themeColor="text1"/>
                <w:sz w:val="24"/>
                <w:szCs w:val="24"/>
              </w:rPr>
              <w:t>Controls (</w:t>
            </w:r>
            <w:r w:rsidR="00EA2307">
              <w:rPr>
                <w:rFonts w:ascii="Book Antiqua" w:hAnsi="Book Antiqua" w:cs="Times New Roman"/>
                <w:b/>
                <w:i/>
                <w:color w:val="000000" w:themeColor="text1"/>
                <w:sz w:val="24"/>
                <w:szCs w:val="24"/>
              </w:rPr>
              <w:t>n</w:t>
            </w:r>
            <w:r w:rsidR="00EA2307">
              <w:rPr>
                <w:rFonts w:ascii="Book Antiqua" w:hAnsi="Book Antiqua" w:cs="Times New Roman"/>
                <w:b/>
                <w:color w:val="000000" w:themeColor="text1"/>
                <w:sz w:val="24"/>
                <w:szCs w:val="24"/>
              </w:rPr>
              <w:t xml:space="preserve"> </w:t>
            </w:r>
            <w:r w:rsidRPr="006410B4">
              <w:rPr>
                <w:rFonts w:ascii="Book Antiqua" w:hAnsi="Book Antiqua" w:cs="Times New Roman"/>
                <w:b/>
                <w:color w:val="000000" w:themeColor="text1"/>
                <w:sz w:val="24"/>
                <w:szCs w:val="24"/>
              </w:rPr>
              <w:t>=</w:t>
            </w:r>
            <w:r w:rsidR="00EA2307">
              <w:rPr>
                <w:rFonts w:ascii="Book Antiqua" w:hAnsi="Book Antiqua" w:cs="Times New Roman"/>
                <w:b/>
                <w:color w:val="000000" w:themeColor="text1"/>
                <w:sz w:val="24"/>
                <w:szCs w:val="24"/>
              </w:rPr>
              <w:t xml:space="preserve"> </w:t>
            </w:r>
            <w:r w:rsidRPr="006410B4">
              <w:rPr>
                <w:rFonts w:ascii="Book Antiqua" w:hAnsi="Book Antiqua" w:cs="Times New Roman"/>
                <w:b/>
                <w:color w:val="000000" w:themeColor="text1"/>
                <w:sz w:val="24"/>
                <w:szCs w:val="24"/>
              </w:rPr>
              <w:t>30)</w:t>
            </w:r>
          </w:p>
        </w:tc>
      </w:tr>
      <w:tr w:rsidR="006410B4" w:rsidRPr="006410B4" w:rsidTr="00EA2307">
        <w:trPr>
          <w:trHeight w:val="410"/>
        </w:trPr>
        <w:tc>
          <w:tcPr>
            <w:tcW w:w="2770" w:type="pct"/>
            <w:tcBorders>
              <w:top w:val="single" w:sz="4" w:space="0" w:color="auto"/>
              <w:left w:val="nil"/>
              <w:bottom w:val="nil"/>
              <w:right w:val="nil"/>
            </w:tcBorders>
          </w:tcPr>
          <w:p w:rsidR="00D53AEE" w:rsidRPr="00EA2307" w:rsidRDefault="00D53AEE" w:rsidP="00EA2307">
            <w:pPr>
              <w:adjustRightInd w:val="0"/>
              <w:snapToGrid w:val="0"/>
              <w:spacing w:line="360" w:lineRule="auto"/>
              <w:jc w:val="both"/>
              <w:rPr>
                <w:rFonts w:ascii="Book Antiqua" w:hAnsi="Book Antiqua"/>
                <w:color w:val="000000" w:themeColor="text1"/>
                <w:sz w:val="24"/>
                <w:szCs w:val="24"/>
              </w:rPr>
            </w:pPr>
            <w:r w:rsidRPr="00EA2307">
              <w:rPr>
                <w:rFonts w:ascii="Book Antiqua" w:eastAsia="Times New Roman" w:hAnsi="Book Antiqua" w:cs="Times New Roman"/>
                <w:color w:val="000000" w:themeColor="text1"/>
                <w:sz w:val="24"/>
                <w:szCs w:val="24"/>
              </w:rPr>
              <w:t>Sex (male/female; %)</w:t>
            </w:r>
          </w:p>
        </w:tc>
        <w:tc>
          <w:tcPr>
            <w:tcW w:w="1184" w:type="pct"/>
            <w:tcBorders>
              <w:top w:val="single" w:sz="4" w:space="0" w:color="auto"/>
              <w:left w:val="nil"/>
              <w:bottom w:val="nil"/>
              <w:right w:val="nil"/>
            </w:tcBorders>
          </w:tcPr>
          <w:p w:rsidR="00D53AEE" w:rsidRPr="006410B4" w:rsidRDefault="00D53AEE" w:rsidP="000437A6">
            <w:pPr>
              <w:adjustRightInd w:val="0"/>
              <w:snapToGrid w:val="0"/>
              <w:spacing w:line="360" w:lineRule="auto"/>
              <w:jc w:val="center"/>
              <w:rPr>
                <w:rFonts w:ascii="Book Antiqua" w:hAnsi="Book Antiqua"/>
                <w:color w:val="000000" w:themeColor="text1"/>
                <w:sz w:val="24"/>
                <w:szCs w:val="24"/>
              </w:rPr>
            </w:pPr>
            <w:r w:rsidRPr="006410B4">
              <w:rPr>
                <w:rFonts w:ascii="Book Antiqua" w:eastAsia="Times New Roman" w:hAnsi="Book Antiqua" w:cs="Times New Roman"/>
                <w:color w:val="000000" w:themeColor="text1"/>
                <w:sz w:val="24"/>
                <w:szCs w:val="24"/>
              </w:rPr>
              <w:t>55/45</w:t>
            </w:r>
          </w:p>
        </w:tc>
        <w:tc>
          <w:tcPr>
            <w:tcW w:w="1046" w:type="pct"/>
            <w:tcBorders>
              <w:top w:val="single" w:sz="4" w:space="0" w:color="auto"/>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50/50</w:t>
            </w:r>
          </w:p>
        </w:tc>
      </w:tr>
      <w:tr w:rsidR="006410B4" w:rsidRPr="006410B4" w:rsidTr="00EA2307">
        <w:trPr>
          <w:trHeight w:val="387"/>
        </w:trPr>
        <w:tc>
          <w:tcPr>
            <w:tcW w:w="2770" w:type="pct"/>
            <w:tcBorders>
              <w:top w:val="nil"/>
              <w:left w:val="nil"/>
              <w:bottom w:val="nil"/>
              <w:right w:val="nil"/>
            </w:tcBorders>
          </w:tcPr>
          <w:p w:rsidR="00D53AEE" w:rsidRPr="00EA2307"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Age (</w:t>
            </w:r>
            <w:proofErr w:type="spellStart"/>
            <w:r w:rsidRPr="00EA2307">
              <w:rPr>
                <w:rFonts w:ascii="Book Antiqua" w:eastAsia="Times New Roman" w:hAnsi="Book Antiqua" w:cs="Times New Roman"/>
                <w:color w:val="000000" w:themeColor="text1"/>
                <w:sz w:val="24"/>
                <w:szCs w:val="24"/>
              </w:rPr>
              <w:t>y</w:t>
            </w:r>
            <w:r w:rsidR="00EA2307">
              <w:rPr>
                <w:rFonts w:ascii="Book Antiqua" w:eastAsia="Times New Roman" w:hAnsi="Book Antiqua" w:cs="Times New Roman"/>
                <w:color w:val="000000" w:themeColor="text1"/>
                <w:sz w:val="24"/>
                <w:szCs w:val="24"/>
              </w:rPr>
              <w:t>r</w:t>
            </w:r>
            <w:proofErr w:type="spellEnd"/>
            <w:r w:rsidRPr="00EA2307">
              <w:rPr>
                <w:rFonts w:ascii="Book Antiqua" w:eastAsia="Times New Roman" w:hAnsi="Book Antiqua" w:cs="Times New Roman"/>
                <w:color w:val="000000" w:themeColor="text1"/>
                <w:sz w:val="24"/>
                <w:szCs w:val="24"/>
              </w:rPr>
              <w:t>; SD)</w:t>
            </w:r>
          </w:p>
        </w:tc>
        <w:tc>
          <w:tcPr>
            <w:tcW w:w="1184"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51.14 (±</w:t>
            </w:r>
            <w:r w:rsidR="000437A6">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9.73)</w:t>
            </w:r>
          </w:p>
        </w:tc>
        <w:tc>
          <w:tcPr>
            <w:tcW w:w="1046"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48.92 (±</w:t>
            </w:r>
            <w:r w:rsidR="000437A6">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15.46)</w:t>
            </w:r>
          </w:p>
        </w:tc>
      </w:tr>
      <w:tr w:rsidR="006410B4" w:rsidRPr="006410B4" w:rsidTr="00EA2307">
        <w:trPr>
          <w:trHeight w:val="375"/>
        </w:trPr>
        <w:tc>
          <w:tcPr>
            <w:tcW w:w="2770" w:type="pct"/>
            <w:tcBorders>
              <w:top w:val="nil"/>
              <w:left w:val="nil"/>
              <w:bottom w:val="nil"/>
              <w:right w:val="nil"/>
            </w:tcBorders>
          </w:tcPr>
          <w:p w:rsidR="00D53AEE" w:rsidRPr="00EA2307"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BMI (kg/m</w:t>
            </w:r>
            <w:r w:rsidRPr="00EA2307">
              <w:rPr>
                <w:rFonts w:ascii="Book Antiqua" w:eastAsia="Times New Roman" w:hAnsi="Book Antiqua" w:cs="Times New Roman"/>
                <w:color w:val="000000" w:themeColor="text1"/>
                <w:sz w:val="24"/>
                <w:szCs w:val="24"/>
                <w:vertAlign w:val="superscript"/>
              </w:rPr>
              <w:t>2</w:t>
            </w:r>
            <w:r w:rsidRPr="00EA2307">
              <w:rPr>
                <w:rFonts w:ascii="Book Antiqua" w:eastAsia="Times New Roman" w:hAnsi="Book Antiqua" w:cs="Times New Roman"/>
                <w:color w:val="000000" w:themeColor="text1"/>
                <w:sz w:val="24"/>
                <w:szCs w:val="24"/>
              </w:rPr>
              <w:t>; SD)</w:t>
            </w:r>
          </w:p>
        </w:tc>
        <w:tc>
          <w:tcPr>
            <w:tcW w:w="1184"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26.04 (±</w:t>
            </w:r>
            <w:r w:rsidR="000437A6">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4.63)</w:t>
            </w:r>
          </w:p>
        </w:tc>
        <w:tc>
          <w:tcPr>
            <w:tcW w:w="1046"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25.30 (±</w:t>
            </w:r>
            <w:r w:rsidR="000437A6">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3.51)</w:t>
            </w:r>
          </w:p>
        </w:tc>
      </w:tr>
      <w:tr w:rsidR="006410B4" w:rsidRPr="006410B4" w:rsidTr="00EA2307">
        <w:trPr>
          <w:trHeight w:val="416"/>
        </w:trPr>
        <w:tc>
          <w:tcPr>
            <w:tcW w:w="2770" w:type="pct"/>
            <w:tcBorders>
              <w:top w:val="nil"/>
              <w:left w:val="nil"/>
              <w:bottom w:val="nil"/>
              <w:right w:val="nil"/>
            </w:tcBorders>
          </w:tcPr>
          <w:p w:rsidR="00D53AEE" w:rsidRPr="00EA2307"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Etiology (N (%) of patients)</w:t>
            </w:r>
          </w:p>
        </w:tc>
        <w:tc>
          <w:tcPr>
            <w:tcW w:w="1184"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c>
          <w:tcPr>
            <w:tcW w:w="1046"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6410B4" w:rsidTr="00EA2307">
        <w:trPr>
          <w:trHeight w:val="1227"/>
        </w:trPr>
        <w:tc>
          <w:tcPr>
            <w:tcW w:w="2770" w:type="pct"/>
            <w:tcBorders>
              <w:top w:val="nil"/>
              <w:left w:val="nil"/>
              <w:bottom w:val="nil"/>
              <w:right w:val="nil"/>
            </w:tcBorders>
          </w:tcPr>
          <w:p w:rsidR="00D53AEE" w:rsidRPr="00EA2307"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Alcohol induced cirrhosis</w:t>
            </w:r>
          </w:p>
          <w:p w:rsidR="00D53AEE" w:rsidRPr="00EA2307"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HCV cirrhosis</w:t>
            </w:r>
          </w:p>
        </w:tc>
        <w:tc>
          <w:tcPr>
            <w:tcW w:w="1184"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61 (50)</w:t>
            </w:r>
          </w:p>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61 (50)</w:t>
            </w:r>
          </w:p>
        </w:tc>
        <w:tc>
          <w:tcPr>
            <w:tcW w:w="1046"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6410B4" w:rsidTr="00EA2307">
        <w:trPr>
          <w:trHeight w:val="453"/>
        </w:trPr>
        <w:tc>
          <w:tcPr>
            <w:tcW w:w="2770" w:type="pct"/>
            <w:tcBorders>
              <w:top w:val="nil"/>
              <w:left w:val="nil"/>
              <w:bottom w:val="nil"/>
              <w:right w:val="nil"/>
            </w:tcBorders>
          </w:tcPr>
          <w:p w:rsidR="00D53AEE" w:rsidRPr="00EA2307"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Child-Pugh class (A/B/C; %)</w:t>
            </w:r>
          </w:p>
        </w:tc>
        <w:tc>
          <w:tcPr>
            <w:tcW w:w="1184"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61.5/24.6/13.9</w:t>
            </w:r>
          </w:p>
        </w:tc>
        <w:tc>
          <w:tcPr>
            <w:tcW w:w="1046"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6410B4" w:rsidTr="00EA2307">
        <w:trPr>
          <w:trHeight w:val="413"/>
        </w:trPr>
        <w:tc>
          <w:tcPr>
            <w:tcW w:w="2770" w:type="pct"/>
            <w:tcBorders>
              <w:top w:val="nil"/>
              <w:left w:val="nil"/>
              <w:bottom w:val="nil"/>
              <w:right w:val="nil"/>
            </w:tcBorders>
          </w:tcPr>
          <w:p w:rsidR="00D53AEE" w:rsidRPr="00EA2307"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MELD score (SD)</w:t>
            </w:r>
          </w:p>
        </w:tc>
        <w:tc>
          <w:tcPr>
            <w:tcW w:w="1184"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11.15 (±</w:t>
            </w:r>
            <w:r w:rsidR="000437A6">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4.32)</w:t>
            </w:r>
          </w:p>
        </w:tc>
        <w:tc>
          <w:tcPr>
            <w:tcW w:w="1046"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6410B4" w:rsidTr="00EA2307">
        <w:trPr>
          <w:trHeight w:val="463"/>
        </w:trPr>
        <w:tc>
          <w:tcPr>
            <w:tcW w:w="2770" w:type="pct"/>
            <w:tcBorders>
              <w:top w:val="nil"/>
              <w:left w:val="nil"/>
              <w:bottom w:val="nil"/>
              <w:right w:val="nil"/>
            </w:tcBorders>
          </w:tcPr>
          <w:p w:rsidR="00D53AEE" w:rsidRPr="00EA2307"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TE (kPa; SD)</w:t>
            </w:r>
          </w:p>
        </w:tc>
        <w:tc>
          <w:tcPr>
            <w:tcW w:w="1184"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31.37 (±</w:t>
            </w:r>
            <w:r w:rsidR="000437A6">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19.79)</w:t>
            </w:r>
          </w:p>
        </w:tc>
        <w:tc>
          <w:tcPr>
            <w:tcW w:w="1046"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6410B4" w:rsidTr="00EA2307">
        <w:trPr>
          <w:trHeight w:val="438"/>
        </w:trPr>
        <w:tc>
          <w:tcPr>
            <w:tcW w:w="2770" w:type="pct"/>
            <w:tcBorders>
              <w:top w:val="nil"/>
              <w:left w:val="nil"/>
              <w:bottom w:val="nil"/>
              <w:right w:val="nil"/>
            </w:tcBorders>
          </w:tcPr>
          <w:p w:rsidR="00D53AEE" w:rsidRPr="00EA2307"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Ascites (% of patients)</w:t>
            </w:r>
          </w:p>
        </w:tc>
        <w:tc>
          <w:tcPr>
            <w:tcW w:w="1184"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38.5</w:t>
            </w:r>
          </w:p>
        </w:tc>
        <w:tc>
          <w:tcPr>
            <w:tcW w:w="1046"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6410B4" w:rsidTr="00EA2307">
        <w:trPr>
          <w:trHeight w:val="450"/>
        </w:trPr>
        <w:tc>
          <w:tcPr>
            <w:tcW w:w="2770" w:type="pct"/>
            <w:tcBorders>
              <w:top w:val="nil"/>
              <w:left w:val="nil"/>
              <w:bottom w:val="nil"/>
              <w:right w:val="nil"/>
            </w:tcBorders>
          </w:tcPr>
          <w:p w:rsidR="00D53AEE" w:rsidRPr="00EA2307"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Varices (% of patients)</w:t>
            </w:r>
          </w:p>
        </w:tc>
        <w:tc>
          <w:tcPr>
            <w:tcW w:w="1184"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c>
          <w:tcPr>
            <w:tcW w:w="1046"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6410B4" w:rsidTr="00EA2307">
        <w:trPr>
          <w:trHeight w:val="2078"/>
        </w:trPr>
        <w:tc>
          <w:tcPr>
            <w:tcW w:w="2770" w:type="pct"/>
            <w:tcBorders>
              <w:top w:val="nil"/>
              <w:left w:val="nil"/>
              <w:bottom w:val="nil"/>
              <w:right w:val="nil"/>
            </w:tcBorders>
          </w:tcPr>
          <w:p w:rsidR="00D53AEE" w:rsidRPr="00EA2307"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Absent</w:t>
            </w:r>
          </w:p>
          <w:p w:rsidR="00D53AEE" w:rsidRPr="00EA2307"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 xml:space="preserve">F1 </w:t>
            </w:r>
          </w:p>
          <w:p w:rsidR="00D53AEE" w:rsidRPr="00EA2307"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 xml:space="preserve">F2 </w:t>
            </w:r>
          </w:p>
          <w:p w:rsidR="00D53AEE" w:rsidRPr="00EA2307"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 xml:space="preserve">F3 </w:t>
            </w:r>
          </w:p>
        </w:tc>
        <w:tc>
          <w:tcPr>
            <w:tcW w:w="1184"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45.1</w:t>
            </w:r>
          </w:p>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27</w:t>
            </w:r>
          </w:p>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18.9</w:t>
            </w:r>
          </w:p>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9</w:t>
            </w:r>
          </w:p>
        </w:tc>
        <w:tc>
          <w:tcPr>
            <w:tcW w:w="1046"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6410B4" w:rsidTr="00EA2307">
        <w:trPr>
          <w:trHeight w:val="764"/>
        </w:trPr>
        <w:tc>
          <w:tcPr>
            <w:tcW w:w="2770" w:type="pct"/>
            <w:tcBorders>
              <w:top w:val="nil"/>
              <w:left w:val="nil"/>
              <w:bottom w:val="nil"/>
              <w:right w:val="nil"/>
            </w:tcBorders>
          </w:tcPr>
          <w:p w:rsidR="00D53AEE" w:rsidRPr="00EA2307"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Risk signs of bleeding (N of patients)</w:t>
            </w:r>
          </w:p>
        </w:tc>
        <w:tc>
          <w:tcPr>
            <w:tcW w:w="1184"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24</w:t>
            </w:r>
          </w:p>
        </w:tc>
        <w:tc>
          <w:tcPr>
            <w:tcW w:w="1046" w:type="pct"/>
            <w:tcBorders>
              <w:top w:val="nil"/>
              <w:left w:val="nil"/>
              <w:bottom w:val="nil"/>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6410B4" w:rsidTr="00EA2307">
        <w:trPr>
          <w:trHeight w:val="2305"/>
        </w:trPr>
        <w:tc>
          <w:tcPr>
            <w:tcW w:w="2770" w:type="pct"/>
            <w:tcBorders>
              <w:top w:val="nil"/>
              <w:left w:val="nil"/>
              <w:bottom w:val="single" w:sz="4" w:space="0" w:color="auto"/>
              <w:right w:val="nil"/>
            </w:tcBorders>
          </w:tcPr>
          <w:p w:rsidR="00D53AEE" w:rsidRPr="00EA2307"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HVPG (mmHg; SD)</w:t>
            </w:r>
          </w:p>
          <w:p w:rsidR="00D53AEE" w:rsidRPr="00EA2307"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HVPG 1-5 mmHg (% of patients)</w:t>
            </w:r>
          </w:p>
          <w:p w:rsidR="00D53AEE" w:rsidRPr="00EA2307"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HVPG 5-9 mmHg (% of patients)</w:t>
            </w:r>
          </w:p>
          <w:p w:rsidR="00D53AEE" w:rsidRPr="00EA2307"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 xml:space="preserve">CSPH; HVPG </w:t>
            </w:r>
            <w:r w:rsidRPr="00EA2307">
              <w:rPr>
                <w:rFonts w:ascii="Book Antiqua" w:eastAsia="Cambria Math" w:hAnsi="Book Antiqua" w:cs="Cambria Math"/>
                <w:color w:val="000000" w:themeColor="text1"/>
                <w:sz w:val="24"/>
                <w:szCs w:val="24"/>
              </w:rPr>
              <w:t>≥</w:t>
            </w:r>
            <w:r w:rsidRPr="00EA2307">
              <w:rPr>
                <w:rFonts w:ascii="Book Antiqua" w:eastAsia="Times New Roman" w:hAnsi="Book Antiqua" w:cs="Times New Roman"/>
                <w:color w:val="000000" w:themeColor="text1"/>
                <w:sz w:val="24"/>
                <w:szCs w:val="24"/>
              </w:rPr>
              <w:t xml:space="preserve"> 10 mmHg (% of patients)</w:t>
            </w:r>
          </w:p>
          <w:p w:rsidR="00D53AEE" w:rsidRPr="00EA2307"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A2307">
              <w:rPr>
                <w:rFonts w:ascii="Book Antiqua" w:eastAsia="Times New Roman" w:hAnsi="Book Antiqua" w:cs="Times New Roman"/>
                <w:color w:val="000000" w:themeColor="text1"/>
                <w:sz w:val="24"/>
                <w:szCs w:val="24"/>
              </w:rPr>
              <w:t xml:space="preserve">SPH; HVPG </w:t>
            </w:r>
            <w:r w:rsidRPr="00EA2307">
              <w:rPr>
                <w:rFonts w:ascii="Book Antiqua" w:eastAsia="Cambria Math" w:hAnsi="Book Antiqua" w:cs="Cambria Math"/>
                <w:color w:val="000000" w:themeColor="text1"/>
                <w:sz w:val="24"/>
                <w:szCs w:val="24"/>
              </w:rPr>
              <w:t>≥</w:t>
            </w:r>
            <w:r w:rsidRPr="00EA2307">
              <w:rPr>
                <w:rFonts w:ascii="Book Antiqua" w:eastAsia="Times New Roman" w:hAnsi="Book Antiqua" w:cs="Times New Roman"/>
                <w:color w:val="000000" w:themeColor="text1"/>
                <w:sz w:val="24"/>
                <w:szCs w:val="24"/>
              </w:rPr>
              <w:t xml:space="preserve"> 12 mmHg (% of patients)</w:t>
            </w:r>
          </w:p>
        </w:tc>
        <w:tc>
          <w:tcPr>
            <w:tcW w:w="1184" w:type="pct"/>
            <w:tcBorders>
              <w:top w:val="nil"/>
              <w:left w:val="nil"/>
              <w:bottom w:val="single" w:sz="4" w:space="0" w:color="auto"/>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13.70 (±</w:t>
            </w:r>
            <w:r w:rsidR="000437A6">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6.52)</w:t>
            </w:r>
          </w:p>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11.5</w:t>
            </w:r>
          </w:p>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19.7</w:t>
            </w:r>
          </w:p>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70.5</w:t>
            </w:r>
          </w:p>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6410B4">
              <w:rPr>
                <w:rFonts w:ascii="Book Antiqua" w:hAnsi="Book Antiqua" w:cs="Times New Roman"/>
                <w:color w:val="000000" w:themeColor="text1"/>
                <w:sz w:val="24"/>
                <w:szCs w:val="24"/>
              </w:rPr>
              <w:t>57.4</w:t>
            </w:r>
          </w:p>
        </w:tc>
        <w:tc>
          <w:tcPr>
            <w:tcW w:w="1046" w:type="pct"/>
            <w:tcBorders>
              <w:top w:val="nil"/>
              <w:left w:val="nil"/>
              <w:bottom w:val="single" w:sz="4" w:space="0" w:color="auto"/>
              <w:right w:val="nil"/>
            </w:tcBorders>
          </w:tcPr>
          <w:p w:rsidR="00D53AEE" w:rsidRPr="006410B4"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bl>
    <w:p w:rsidR="00D53AEE" w:rsidRPr="006410B4" w:rsidRDefault="00D53AE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SD</w:t>
      </w:r>
      <w:r w:rsidR="000437A6">
        <w:rPr>
          <w:rFonts w:ascii="Book Antiqua" w:eastAsia="Times New Roman" w:hAnsi="Book Antiqua" w:cs="Times New Roman"/>
          <w:color w:val="000000" w:themeColor="text1"/>
          <w:sz w:val="24"/>
          <w:szCs w:val="24"/>
        </w:rPr>
        <w:t>: S</w:t>
      </w:r>
      <w:r w:rsidRPr="006410B4">
        <w:rPr>
          <w:rFonts w:ascii="Book Antiqua" w:eastAsia="Times New Roman" w:hAnsi="Book Antiqua" w:cs="Times New Roman"/>
          <w:color w:val="000000" w:themeColor="text1"/>
          <w:sz w:val="24"/>
          <w:szCs w:val="24"/>
        </w:rPr>
        <w:t>tandard deviation; BMI</w:t>
      </w:r>
      <w:r w:rsidR="000437A6">
        <w:rPr>
          <w:rFonts w:ascii="Book Antiqua" w:eastAsia="Times New Roman" w:hAnsi="Book Antiqua" w:cs="Times New Roman"/>
          <w:color w:val="000000" w:themeColor="text1"/>
          <w:sz w:val="24"/>
          <w:szCs w:val="24"/>
        </w:rPr>
        <w:t>: B</w:t>
      </w:r>
      <w:r w:rsidRPr="006410B4">
        <w:rPr>
          <w:rFonts w:ascii="Book Antiqua" w:eastAsia="Times New Roman" w:hAnsi="Book Antiqua" w:cs="Times New Roman"/>
          <w:color w:val="000000" w:themeColor="text1"/>
          <w:sz w:val="24"/>
          <w:szCs w:val="24"/>
        </w:rPr>
        <w:t>ody mass index; HCV</w:t>
      </w:r>
      <w:r w:rsidR="000437A6">
        <w:rPr>
          <w:rFonts w:ascii="Book Antiqua" w:eastAsia="Times New Roman" w:hAnsi="Book Antiqua" w:cs="Times New Roman"/>
          <w:color w:val="000000" w:themeColor="text1"/>
          <w:sz w:val="24"/>
          <w:szCs w:val="24"/>
        </w:rPr>
        <w:t>: H</w:t>
      </w:r>
      <w:r w:rsidRPr="006410B4">
        <w:rPr>
          <w:rFonts w:ascii="Book Antiqua" w:eastAsia="Times New Roman" w:hAnsi="Book Antiqua" w:cs="Times New Roman"/>
          <w:color w:val="000000" w:themeColor="text1"/>
          <w:sz w:val="24"/>
          <w:szCs w:val="24"/>
        </w:rPr>
        <w:t>epatitis C virus; MELD</w:t>
      </w:r>
      <w:r w:rsidR="000437A6">
        <w:rPr>
          <w:rFonts w:ascii="Book Antiqua" w:eastAsia="Times New Roman" w:hAnsi="Book Antiqua" w:cs="Times New Roman"/>
          <w:color w:val="000000" w:themeColor="text1"/>
          <w:sz w:val="24"/>
          <w:szCs w:val="24"/>
        </w:rPr>
        <w:t xml:space="preserve">: </w:t>
      </w:r>
      <w:r w:rsidRPr="006410B4">
        <w:rPr>
          <w:rFonts w:ascii="Book Antiqua" w:eastAsia="Times New Roman" w:hAnsi="Book Antiqua" w:cs="Times New Roman"/>
          <w:color w:val="000000" w:themeColor="text1"/>
          <w:sz w:val="24"/>
          <w:szCs w:val="24"/>
        </w:rPr>
        <w:t>Model of End Stage Liver Disease; HVPG</w:t>
      </w:r>
      <w:r w:rsidR="000437A6">
        <w:rPr>
          <w:rFonts w:ascii="Book Antiqua" w:eastAsia="Times New Roman" w:hAnsi="Book Antiqua" w:cs="Times New Roman"/>
          <w:color w:val="000000" w:themeColor="text1"/>
          <w:sz w:val="24"/>
          <w:szCs w:val="24"/>
        </w:rPr>
        <w:t>: H</w:t>
      </w:r>
      <w:r w:rsidRPr="006410B4">
        <w:rPr>
          <w:rFonts w:ascii="Book Antiqua" w:eastAsia="Times New Roman" w:hAnsi="Book Antiqua" w:cs="Times New Roman"/>
          <w:color w:val="000000" w:themeColor="text1"/>
          <w:sz w:val="24"/>
          <w:szCs w:val="24"/>
        </w:rPr>
        <w:t>epatic venous pressure gradient; CSPH</w:t>
      </w:r>
      <w:r w:rsidR="000437A6">
        <w:rPr>
          <w:rFonts w:ascii="Book Antiqua" w:eastAsia="Times New Roman" w:hAnsi="Book Antiqua" w:cs="Times New Roman"/>
          <w:color w:val="000000" w:themeColor="text1"/>
          <w:sz w:val="24"/>
          <w:szCs w:val="24"/>
        </w:rPr>
        <w:t>: C</w:t>
      </w:r>
      <w:r w:rsidRPr="006410B4">
        <w:rPr>
          <w:rFonts w:ascii="Book Antiqua" w:eastAsia="Times New Roman" w:hAnsi="Book Antiqua" w:cs="Times New Roman"/>
          <w:color w:val="000000" w:themeColor="text1"/>
          <w:sz w:val="24"/>
          <w:szCs w:val="24"/>
        </w:rPr>
        <w:t xml:space="preserve">linically </w:t>
      </w:r>
      <w:r w:rsidRPr="006410B4">
        <w:rPr>
          <w:rFonts w:ascii="Book Antiqua" w:eastAsia="Times New Roman" w:hAnsi="Book Antiqua" w:cs="Times New Roman"/>
          <w:color w:val="000000" w:themeColor="text1"/>
          <w:sz w:val="24"/>
          <w:szCs w:val="24"/>
        </w:rPr>
        <w:lastRenderedPageBreak/>
        <w:t>significant portal hypertension; SPH</w:t>
      </w:r>
      <w:r w:rsidR="000437A6">
        <w:rPr>
          <w:rFonts w:ascii="Book Antiqua" w:eastAsia="Times New Roman" w:hAnsi="Book Antiqua" w:cs="Times New Roman"/>
          <w:color w:val="000000" w:themeColor="text1"/>
          <w:sz w:val="24"/>
          <w:szCs w:val="24"/>
        </w:rPr>
        <w:t>: S</w:t>
      </w:r>
      <w:r w:rsidRPr="006410B4">
        <w:rPr>
          <w:rFonts w:ascii="Book Antiqua" w:eastAsia="Times New Roman" w:hAnsi="Book Antiqua" w:cs="Times New Roman"/>
          <w:color w:val="000000" w:themeColor="text1"/>
          <w:sz w:val="24"/>
          <w:szCs w:val="24"/>
        </w:rPr>
        <w:t>evere portal hypertension</w:t>
      </w:r>
      <w:r w:rsidR="000437A6">
        <w:rPr>
          <w:rFonts w:ascii="Book Antiqua" w:eastAsia="Times New Roman" w:hAnsi="Book Antiqua" w:cs="Times New Roman"/>
          <w:color w:val="000000" w:themeColor="text1"/>
          <w:sz w:val="24"/>
          <w:szCs w:val="24"/>
        </w:rPr>
        <w:t>;</w:t>
      </w:r>
      <w:r w:rsidRPr="006410B4">
        <w:rPr>
          <w:rFonts w:ascii="Book Antiqua" w:eastAsia="Times New Roman" w:hAnsi="Book Antiqua" w:cs="Times New Roman"/>
          <w:color w:val="000000" w:themeColor="text1"/>
          <w:sz w:val="24"/>
          <w:szCs w:val="24"/>
        </w:rPr>
        <w:t xml:space="preserve"> TE</w:t>
      </w:r>
      <w:r w:rsidR="000437A6">
        <w:rPr>
          <w:rFonts w:ascii="Book Antiqua" w:eastAsia="Times New Roman" w:hAnsi="Book Antiqua" w:cs="Times New Roman"/>
          <w:color w:val="000000" w:themeColor="text1"/>
          <w:sz w:val="24"/>
          <w:szCs w:val="24"/>
        </w:rPr>
        <w:t>: T</w:t>
      </w:r>
      <w:r w:rsidRPr="006410B4">
        <w:rPr>
          <w:rFonts w:ascii="Book Antiqua" w:eastAsia="Times New Roman" w:hAnsi="Book Antiqua" w:cs="Times New Roman"/>
          <w:color w:val="000000" w:themeColor="text1"/>
          <w:sz w:val="24"/>
          <w:szCs w:val="24"/>
        </w:rPr>
        <w:t>ransient elastography</w:t>
      </w:r>
      <w:r w:rsidR="000437A6">
        <w:rPr>
          <w:rFonts w:ascii="Book Antiqua" w:eastAsia="Times New Roman" w:hAnsi="Book Antiqua" w:cs="Times New Roman"/>
          <w:color w:val="000000" w:themeColor="text1"/>
          <w:sz w:val="24"/>
          <w:szCs w:val="24"/>
        </w:rPr>
        <w:t>.</w:t>
      </w:r>
    </w:p>
    <w:p w:rsidR="000437A6" w:rsidRDefault="000437A6">
      <w:pPr>
        <w:rPr>
          <w:rFonts w:ascii="Book Antiqua" w:eastAsia="Times New Roman" w:hAnsi="Book Antiqua" w:cs="Times New Roman"/>
          <w:b/>
          <w:color w:val="000000" w:themeColor="text1"/>
          <w:sz w:val="24"/>
          <w:szCs w:val="24"/>
        </w:rPr>
      </w:pPr>
      <w:r>
        <w:rPr>
          <w:rFonts w:ascii="Book Antiqua" w:eastAsia="Times New Roman" w:hAnsi="Book Antiqua" w:cs="Times New Roman"/>
          <w:b/>
          <w:color w:val="000000" w:themeColor="text1"/>
          <w:sz w:val="24"/>
          <w:szCs w:val="24"/>
        </w:rPr>
        <w:br w:type="page"/>
      </w:r>
    </w:p>
    <w:p w:rsidR="00846B22" w:rsidRPr="006410B4" w:rsidRDefault="00846B22"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6410B4">
        <w:rPr>
          <w:rFonts w:ascii="Book Antiqua" w:eastAsia="Times New Roman" w:hAnsi="Book Antiqua" w:cs="Times New Roman"/>
          <w:b/>
          <w:color w:val="000000" w:themeColor="text1"/>
          <w:sz w:val="24"/>
          <w:szCs w:val="24"/>
        </w:rPr>
        <w:lastRenderedPageBreak/>
        <w:t xml:space="preserve">Table 2 Diagnostic performance of </w:t>
      </w:r>
      <w:r w:rsidR="00B9151A" w:rsidRPr="006410B4">
        <w:rPr>
          <w:rFonts w:ascii="Book Antiqua" w:eastAsia="Times New Roman" w:hAnsi="Book Antiqua" w:cs="Times New Roman"/>
          <w:b/>
          <w:color w:val="000000" w:themeColor="text1"/>
          <w:sz w:val="24"/>
          <w:szCs w:val="24"/>
        </w:rPr>
        <w:t xml:space="preserve">placental growth factor </w:t>
      </w:r>
      <w:r w:rsidRPr="006410B4">
        <w:rPr>
          <w:rFonts w:ascii="Book Antiqua" w:eastAsia="Times New Roman" w:hAnsi="Book Antiqua" w:cs="Times New Roman"/>
          <w:b/>
          <w:color w:val="000000" w:themeColor="text1"/>
          <w:sz w:val="24"/>
          <w:szCs w:val="24"/>
        </w:rPr>
        <w:t xml:space="preserve">and </w:t>
      </w:r>
      <w:proofErr w:type="spellStart"/>
      <w:r w:rsidRPr="006410B4">
        <w:rPr>
          <w:rFonts w:ascii="Book Antiqua" w:eastAsia="Times New Roman" w:hAnsi="Book Antiqua" w:cs="Times New Roman"/>
          <w:b/>
          <w:color w:val="000000" w:themeColor="text1"/>
          <w:sz w:val="24"/>
          <w:szCs w:val="24"/>
        </w:rPr>
        <w:t>Nogo</w:t>
      </w:r>
      <w:proofErr w:type="spellEnd"/>
      <w:r w:rsidRPr="006410B4">
        <w:rPr>
          <w:rFonts w:ascii="Book Antiqua" w:eastAsia="Times New Roman" w:hAnsi="Book Antiqua" w:cs="Times New Roman"/>
          <w:b/>
          <w:color w:val="000000" w:themeColor="text1"/>
          <w:sz w:val="24"/>
          <w:szCs w:val="24"/>
        </w:rPr>
        <w:t>-A for clinically significant, severe portal hypertension and high-risk varicose veins</w:t>
      </w:r>
    </w:p>
    <w:tbl>
      <w:tblPr>
        <w:tblStyle w:val="2paprastojilentel1"/>
        <w:tblW w:w="10598" w:type="dxa"/>
        <w:tblInd w:w="-567" w:type="dxa"/>
        <w:tblLook w:val="04A0" w:firstRow="1" w:lastRow="0" w:firstColumn="1" w:lastColumn="0" w:noHBand="0" w:noVBand="1"/>
      </w:tblPr>
      <w:tblGrid>
        <w:gridCol w:w="2967"/>
        <w:gridCol w:w="1641"/>
        <w:gridCol w:w="1403"/>
        <w:gridCol w:w="1389"/>
        <w:gridCol w:w="1105"/>
        <w:gridCol w:w="976"/>
        <w:gridCol w:w="1117"/>
      </w:tblGrid>
      <w:tr w:rsidR="006410B4" w:rsidRPr="006410B4" w:rsidTr="00F944A1">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nil"/>
              <w:bottom w:val="single" w:sz="4" w:space="0" w:color="auto"/>
              <w:right w:val="nil"/>
            </w:tcBorders>
          </w:tcPr>
          <w:p w:rsidR="00846B22" w:rsidRPr="006410B4" w:rsidRDefault="00846B22" w:rsidP="0058611A">
            <w:pPr>
              <w:adjustRightInd w:val="0"/>
              <w:snapToGrid w:val="0"/>
              <w:spacing w:line="360" w:lineRule="auto"/>
              <w:jc w:val="both"/>
              <w:rPr>
                <w:rFonts w:ascii="Book Antiqua" w:eastAsia="Calibri" w:hAnsi="Book Antiqua" w:cs="Calibri"/>
                <w:color w:val="000000" w:themeColor="text1"/>
                <w:sz w:val="24"/>
                <w:szCs w:val="24"/>
              </w:rPr>
            </w:pPr>
          </w:p>
        </w:tc>
        <w:tc>
          <w:tcPr>
            <w:tcW w:w="1641" w:type="dxa"/>
            <w:tcBorders>
              <w:top w:val="single" w:sz="4" w:space="0" w:color="auto"/>
              <w:left w:val="nil"/>
              <w:bottom w:val="single" w:sz="4" w:space="0" w:color="auto"/>
              <w:right w:val="nil"/>
            </w:tcBorders>
          </w:tcPr>
          <w:p w:rsidR="00846B22" w:rsidRPr="006410B4" w:rsidRDefault="00846B22" w:rsidP="0092580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rPr>
            </w:pPr>
            <w:r w:rsidRPr="006410B4">
              <w:rPr>
                <w:rFonts w:ascii="Book Antiqua" w:eastAsia="Times New Roman" w:hAnsi="Book Antiqua" w:cs="Times New Roman"/>
                <w:color w:val="000000" w:themeColor="text1"/>
                <w:sz w:val="24"/>
                <w:szCs w:val="24"/>
              </w:rPr>
              <w:t>Cut-off value</w:t>
            </w:r>
            <w:r w:rsidR="0092580C">
              <w:rPr>
                <w:rFonts w:ascii="Book Antiqua" w:eastAsia="Times New Roman" w:hAnsi="Book Antiqua" w:cs="Times New Roman"/>
                <w:color w:val="000000" w:themeColor="text1"/>
                <w:sz w:val="24"/>
                <w:szCs w:val="24"/>
                <w:vertAlign w:val="superscript"/>
              </w:rPr>
              <w:t>1</w:t>
            </w:r>
          </w:p>
        </w:tc>
        <w:tc>
          <w:tcPr>
            <w:tcW w:w="1403" w:type="dxa"/>
            <w:tcBorders>
              <w:top w:val="single" w:sz="4" w:space="0" w:color="auto"/>
              <w:left w:val="nil"/>
              <w:bottom w:val="single" w:sz="4" w:space="0" w:color="auto"/>
              <w:right w:val="nil"/>
            </w:tcBorders>
          </w:tcPr>
          <w:p w:rsidR="00846B22" w:rsidRPr="006410B4" w:rsidRDefault="00846B22" w:rsidP="0092580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410B4">
              <w:rPr>
                <w:rFonts w:ascii="Book Antiqua" w:eastAsia="Times New Roman" w:hAnsi="Book Antiqua" w:cs="Times New Roman"/>
                <w:color w:val="000000" w:themeColor="text1"/>
                <w:sz w:val="24"/>
                <w:szCs w:val="24"/>
              </w:rPr>
              <w:t>Sensitivity (%)</w:t>
            </w:r>
          </w:p>
        </w:tc>
        <w:tc>
          <w:tcPr>
            <w:tcW w:w="1389" w:type="dxa"/>
            <w:tcBorders>
              <w:top w:val="single" w:sz="4" w:space="0" w:color="auto"/>
              <w:left w:val="nil"/>
              <w:bottom w:val="single" w:sz="4" w:space="0" w:color="auto"/>
              <w:right w:val="nil"/>
            </w:tcBorders>
          </w:tcPr>
          <w:p w:rsidR="00846B22" w:rsidRPr="006410B4" w:rsidRDefault="00846B22" w:rsidP="0092580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410B4">
              <w:rPr>
                <w:rFonts w:ascii="Book Antiqua" w:eastAsia="Times New Roman" w:hAnsi="Book Antiqua" w:cs="Times New Roman"/>
                <w:color w:val="000000" w:themeColor="text1"/>
                <w:sz w:val="24"/>
                <w:szCs w:val="24"/>
              </w:rPr>
              <w:t>Specificity (%)</w:t>
            </w:r>
          </w:p>
        </w:tc>
        <w:tc>
          <w:tcPr>
            <w:tcW w:w="1105" w:type="dxa"/>
            <w:tcBorders>
              <w:top w:val="single" w:sz="4" w:space="0" w:color="auto"/>
              <w:left w:val="nil"/>
              <w:bottom w:val="single" w:sz="4" w:space="0" w:color="auto"/>
              <w:right w:val="nil"/>
            </w:tcBorders>
          </w:tcPr>
          <w:p w:rsidR="00846B22" w:rsidRPr="00021D49" w:rsidRDefault="00846B22" w:rsidP="00021D4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PPV</w:t>
            </w:r>
            <w:r w:rsidR="00021D49">
              <w:rPr>
                <w:rFonts w:ascii="Book Antiqua" w:hAnsi="Book Antiqua" w:cs="Times New Roman" w:hint="eastAsia"/>
                <w:color w:val="000000" w:themeColor="text1"/>
                <w:sz w:val="24"/>
                <w:szCs w:val="24"/>
                <w:lang w:eastAsia="zh-CN"/>
              </w:rPr>
              <w:t xml:space="preserve"> </w:t>
            </w:r>
            <w:r w:rsidRPr="006410B4">
              <w:rPr>
                <w:rFonts w:ascii="Book Antiqua" w:eastAsia="Times New Roman" w:hAnsi="Book Antiqua" w:cs="Times New Roman"/>
                <w:color w:val="000000" w:themeColor="text1"/>
                <w:sz w:val="24"/>
                <w:szCs w:val="24"/>
              </w:rPr>
              <w:t>(%)</w:t>
            </w:r>
          </w:p>
        </w:tc>
        <w:tc>
          <w:tcPr>
            <w:tcW w:w="976" w:type="dxa"/>
            <w:tcBorders>
              <w:top w:val="single" w:sz="4" w:space="0" w:color="auto"/>
              <w:left w:val="nil"/>
              <w:bottom w:val="single" w:sz="4" w:space="0" w:color="auto"/>
              <w:right w:val="nil"/>
            </w:tcBorders>
          </w:tcPr>
          <w:p w:rsidR="00846B22" w:rsidRPr="00021D49" w:rsidRDefault="00846B22" w:rsidP="00021D4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NPV</w:t>
            </w:r>
            <w:r w:rsidR="00021D49">
              <w:rPr>
                <w:rFonts w:ascii="Book Antiqua" w:hAnsi="Book Antiqua" w:cs="Times New Roman" w:hint="eastAsia"/>
                <w:color w:val="000000" w:themeColor="text1"/>
                <w:sz w:val="24"/>
                <w:szCs w:val="24"/>
                <w:lang w:eastAsia="zh-CN"/>
              </w:rPr>
              <w:t xml:space="preserve"> </w:t>
            </w:r>
            <w:r w:rsidRPr="006410B4">
              <w:rPr>
                <w:rFonts w:ascii="Book Antiqua" w:eastAsia="Times New Roman" w:hAnsi="Book Antiqua" w:cs="Times New Roman"/>
                <w:color w:val="000000" w:themeColor="text1"/>
                <w:sz w:val="24"/>
                <w:szCs w:val="24"/>
              </w:rPr>
              <w:t>(%)</w:t>
            </w:r>
          </w:p>
        </w:tc>
        <w:tc>
          <w:tcPr>
            <w:tcW w:w="1117" w:type="dxa"/>
            <w:tcBorders>
              <w:top w:val="single" w:sz="4" w:space="0" w:color="auto"/>
              <w:left w:val="nil"/>
              <w:bottom w:val="single" w:sz="4" w:space="0" w:color="auto"/>
              <w:right w:val="nil"/>
            </w:tcBorders>
          </w:tcPr>
          <w:p w:rsidR="00846B22" w:rsidRPr="006410B4" w:rsidRDefault="00846B22" w:rsidP="0092580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58611A">
              <w:rPr>
                <w:rFonts w:ascii="Book Antiqua" w:eastAsia="Times New Roman" w:hAnsi="Book Antiqua" w:cs="Times New Roman"/>
                <w:i/>
                <w:color w:val="000000" w:themeColor="text1"/>
                <w:sz w:val="24"/>
                <w:szCs w:val="24"/>
              </w:rPr>
              <w:t>P</w:t>
            </w:r>
            <w:r w:rsidRPr="006410B4">
              <w:rPr>
                <w:rFonts w:ascii="Book Antiqua" w:eastAsia="Times New Roman" w:hAnsi="Book Antiqua" w:cs="Times New Roman"/>
                <w:color w:val="000000" w:themeColor="text1"/>
                <w:sz w:val="24"/>
                <w:szCs w:val="24"/>
              </w:rPr>
              <w:t xml:space="preserve"> value</w:t>
            </w:r>
          </w:p>
        </w:tc>
      </w:tr>
      <w:tr w:rsidR="006410B4" w:rsidRPr="006410B4" w:rsidTr="00F944A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nil"/>
              <w:bottom w:val="nil"/>
              <w:right w:val="nil"/>
            </w:tcBorders>
          </w:tcPr>
          <w:p w:rsidR="00846B22" w:rsidRPr="0092580C" w:rsidRDefault="00846B22" w:rsidP="00D74AE0">
            <w:pPr>
              <w:adjustRightInd w:val="0"/>
              <w:snapToGrid w:val="0"/>
              <w:spacing w:line="360" w:lineRule="auto"/>
              <w:rPr>
                <w:rFonts w:ascii="Book Antiqua" w:hAnsi="Book Antiqua"/>
                <w:b w:val="0"/>
                <w:color w:val="000000" w:themeColor="text1"/>
                <w:sz w:val="24"/>
                <w:szCs w:val="24"/>
              </w:rPr>
            </w:pPr>
            <w:r w:rsidRPr="0092580C">
              <w:rPr>
                <w:rFonts w:ascii="Book Antiqua" w:eastAsia="Times New Roman" w:hAnsi="Book Antiqua" w:cs="Times New Roman"/>
                <w:b w:val="0"/>
                <w:color w:val="000000" w:themeColor="text1"/>
                <w:sz w:val="24"/>
                <w:szCs w:val="24"/>
              </w:rPr>
              <w:t>CSPH</w:t>
            </w:r>
          </w:p>
        </w:tc>
        <w:tc>
          <w:tcPr>
            <w:tcW w:w="1641" w:type="dxa"/>
            <w:tcBorders>
              <w:top w:val="single" w:sz="4" w:space="0" w:color="auto"/>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403" w:type="dxa"/>
            <w:tcBorders>
              <w:top w:val="single" w:sz="4" w:space="0" w:color="auto"/>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389" w:type="dxa"/>
            <w:tcBorders>
              <w:top w:val="single" w:sz="4" w:space="0" w:color="auto"/>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105" w:type="dxa"/>
            <w:tcBorders>
              <w:top w:val="single" w:sz="4" w:space="0" w:color="auto"/>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976" w:type="dxa"/>
            <w:tcBorders>
              <w:top w:val="single" w:sz="4" w:space="0" w:color="auto"/>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117" w:type="dxa"/>
            <w:tcBorders>
              <w:top w:val="single" w:sz="4" w:space="0" w:color="auto"/>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6410B4" w:rsidRPr="006410B4" w:rsidTr="00F944A1">
        <w:trPr>
          <w:trHeight w:val="654"/>
        </w:trPr>
        <w:tc>
          <w:tcPr>
            <w:cnfStyle w:val="001000000000" w:firstRow="0" w:lastRow="0" w:firstColumn="1" w:lastColumn="0" w:oddVBand="0" w:evenVBand="0" w:oddHBand="0" w:evenHBand="0" w:firstRowFirstColumn="0" w:firstRowLastColumn="0" w:lastRowFirstColumn="0" w:lastRowLastColumn="0"/>
            <w:tcW w:w="2967" w:type="dxa"/>
            <w:tcBorders>
              <w:top w:val="nil"/>
              <w:left w:val="nil"/>
              <w:bottom w:val="nil"/>
              <w:right w:val="nil"/>
            </w:tcBorders>
          </w:tcPr>
          <w:p w:rsidR="00846B22" w:rsidRPr="0092580C" w:rsidRDefault="00846B22" w:rsidP="00D74AE0">
            <w:pPr>
              <w:adjustRightInd w:val="0"/>
              <w:snapToGrid w:val="0"/>
              <w:spacing w:line="360" w:lineRule="auto"/>
              <w:rPr>
                <w:rFonts w:ascii="Book Antiqua" w:eastAsia="Times New Roman" w:hAnsi="Book Antiqua" w:cs="Times New Roman"/>
                <w:b w:val="0"/>
                <w:color w:val="000000" w:themeColor="text1"/>
                <w:sz w:val="24"/>
                <w:szCs w:val="24"/>
              </w:rPr>
            </w:pPr>
            <w:r w:rsidRPr="0092580C">
              <w:rPr>
                <w:rFonts w:ascii="Book Antiqua" w:eastAsia="Times New Roman" w:hAnsi="Book Antiqua" w:cs="Times New Roman"/>
                <w:b w:val="0"/>
                <w:color w:val="000000" w:themeColor="text1"/>
                <w:sz w:val="24"/>
                <w:szCs w:val="24"/>
              </w:rPr>
              <w:t>PLGF</w:t>
            </w:r>
          </w:p>
          <w:p w:rsidR="00846B22" w:rsidRPr="0092580C" w:rsidRDefault="00846B22" w:rsidP="00D74AE0">
            <w:pPr>
              <w:adjustRightInd w:val="0"/>
              <w:snapToGrid w:val="0"/>
              <w:spacing w:line="360" w:lineRule="auto"/>
              <w:rPr>
                <w:rFonts w:ascii="Book Antiqua" w:eastAsia="Times New Roman" w:hAnsi="Book Antiqua" w:cs="Times New Roman"/>
                <w:b w:val="0"/>
                <w:color w:val="000000" w:themeColor="text1"/>
                <w:sz w:val="24"/>
                <w:szCs w:val="24"/>
              </w:rPr>
            </w:pPr>
            <w:proofErr w:type="spellStart"/>
            <w:r w:rsidRPr="0092580C">
              <w:rPr>
                <w:rFonts w:ascii="Book Antiqua" w:eastAsia="Times New Roman" w:hAnsi="Book Antiqua" w:cs="Times New Roman"/>
                <w:b w:val="0"/>
                <w:color w:val="000000" w:themeColor="text1"/>
                <w:sz w:val="24"/>
                <w:szCs w:val="24"/>
              </w:rPr>
              <w:t>Nogo</w:t>
            </w:r>
            <w:proofErr w:type="spellEnd"/>
            <w:r w:rsidRPr="0092580C">
              <w:rPr>
                <w:rFonts w:ascii="Book Antiqua" w:eastAsia="Times New Roman" w:hAnsi="Book Antiqua" w:cs="Times New Roman"/>
                <w:b w:val="0"/>
                <w:color w:val="000000" w:themeColor="text1"/>
                <w:sz w:val="24"/>
                <w:szCs w:val="24"/>
              </w:rPr>
              <w:t>-A</w:t>
            </w:r>
          </w:p>
        </w:tc>
        <w:tc>
          <w:tcPr>
            <w:tcW w:w="1641"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25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p>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1.12 </w:t>
            </w:r>
            <w:r w:rsidR="005702DC">
              <w:rPr>
                <w:rFonts w:ascii="Book Antiqua" w:eastAsia="Times New Roman" w:hAnsi="Book Antiqua" w:cs="Times New Roman"/>
                <w:color w:val="000000" w:themeColor="text1"/>
                <w:sz w:val="24"/>
                <w:szCs w:val="24"/>
              </w:rPr>
              <w:t>ng/mL</w:t>
            </w:r>
          </w:p>
        </w:tc>
        <w:tc>
          <w:tcPr>
            <w:tcW w:w="1403"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55.7</w:t>
            </w:r>
          </w:p>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36.6</w:t>
            </w:r>
          </w:p>
        </w:tc>
        <w:tc>
          <w:tcPr>
            <w:tcW w:w="1389"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76.7</w:t>
            </w:r>
          </w:p>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93.1</w:t>
            </w:r>
          </w:p>
        </w:tc>
        <w:tc>
          <w:tcPr>
            <w:tcW w:w="1105"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84.8</w:t>
            </w:r>
          </w:p>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92.9</w:t>
            </w:r>
          </w:p>
        </w:tc>
        <w:tc>
          <w:tcPr>
            <w:tcW w:w="976"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42.6</w:t>
            </w:r>
          </w:p>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37.5</w:t>
            </w:r>
          </w:p>
        </w:tc>
        <w:tc>
          <w:tcPr>
            <w:tcW w:w="1117"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0.003</w:t>
            </w:r>
          </w:p>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0.01</w:t>
            </w:r>
          </w:p>
        </w:tc>
      </w:tr>
      <w:tr w:rsidR="006410B4" w:rsidRPr="006410B4" w:rsidTr="00F944A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967" w:type="dxa"/>
            <w:tcBorders>
              <w:top w:val="nil"/>
              <w:left w:val="nil"/>
              <w:bottom w:val="nil"/>
              <w:right w:val="nil"/>
            </w:tcBorders>
          </w:tcPr>
          <w:p w:rsidR="00846B22" w:rsidRPr="0092580C" w:rsidRDefault="00846B22" w:rsidP="00D74AE0">
            <w:pPr>
              <w:adjustRightInd w:val="0"/>
              <w:snapToGrid w:val="0"/>
              <w:spacing w:line="360" w:lineRule="auto"/>
              <w:rPr>
                <w:rFonts w:ascii="Book Antiqua" w:eastAsia="Times New Roman" w:hAnsi="Book Antiqua" w:cs="Times New Roman"/>
                <w:b w:val="0"/>
                <w:color w:val="000000" w:themeColor="text1"/>
                <w:sz w:val="24"/>
                <w:szCs w:val="24"/>
              </w:rPr>
            </w:pPr>
            <w:r w:rsidRPr="0092580C">
              <w:rPr>
                <w:rFonts w:ascii="Book Antiqua" w:eastAsia="Times New Roman" w:hAnsi="Book Antiqua" w:cs="Times New Roman"/>
                <w:b w:val="0"/>
                <w:color w:val="000000" w:themeColor="text1"/>
                <w:sz w:val="24"/>
                <w:szCs w:val="24"/>
              </w:rPr>
              <w:t>SPH</w:t>
            </w:r>
          </w:p>
        </w:tc>
        <w:tc>
          <w:tcPr>
            <w:tcW w:w="1641"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1403"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1389"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1105"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976"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1117"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r>
      <w:tr w:rsidR="006410B4" w:rsidRPr="006410B4" w:rsidTr="00F944A1">
        <w:trPr>
          <w:trHeight w:val="730"/>
        </w:trPr>
        <w:tc>
          <w:tcPr>
            <w:cnfStyle w:val="001000000000" w:firstRow="0" w:lastRow="0" w:firstColumn="1" w:lastColumn="0" w:oddVBand="0" w:evenVBand="0" w:oddHBand="0" w:evenHBand="0" w:firstRowFirstColumn="0" w:firstRowLastColumn="0" w:lastRowFirstColumn="0" w:lastRowLastColumn="0"/>
            <w:tcW w:w="2967" w:type="dxa"/>
            <w:tcBorders>
              <w:top w:val="nil"/>
              <w:left w:val="nil"/>
              <w:bottom w:val="nil"/>
              <w:right w:val="nil"/>
            </w:tcBorders>
          </w:tcPr>
          <w:p w:rsidR="00846B22" w:rsidRPr="0092580C" w:rsidRDefault="00846B22" w:rsidP="00D74AE0">
            <w:pPr>
              <w:adjustRightInd w:val="0"/>
              <w:snapToGrid w:val="0"/>
              <w:spacing w:line="360" w:lineRule="auto"/>
              <w:rPr>
                <w:rFonts w:ascii="Book Antiqua" w:eastAsia="Times New Roman" w:hAnsi="Book Antiqua" w:cs="Times New Roman"/>
                <w:b w:val="0"/>
                <w:color w:val="000000" w:themeColor="text1"/>
                <w:sz w:val="24"/>
                <w:szCs w:val="24"/>
              </w:rPr>
            </w:pPr>
            <w:proofErr w:type="spellStart"/>
            <w:r w:rsidRPr="0092580C">
              <w:rPr>
                <w:rFonts w:ascii="Book Antiqua" w:eastAsia="Times New Roman" w:hAnsi="Book Antiqua" w:cs="Times New Roman"/>
                <w:b w:val="0"/>
                <w:color w:val="000000" w:themeColor="text1"/>
                <w:sz w:val="24"/>
                <w:szCs w:val="24"/>
              </w:rPr>
              <w:t>PlGF</w:t>
            </w:r>
            <w:proofErr w:type="spellEnd"/>
          </w:p>
          <w:p w:rsidR="00846B22" w:rsidRPr="0092580C" w:rsidRDefault="00846B22" w:rsidP="00D74AE0">
            <w:pPr>
              <w:adjustRightInd w:val="0"/>
              <w:snapToGrid w:val="0"/>
              <w:spacing w:line="360" w:lineRule="auto"/>
              <w:rPr>
                <w:rFonts w:ascii="Book Antiqua" w:eastAsia="Times New Roman" w:hAnsi="Book Antiqua" w:cs="Times New Roman"/>
                <w:b w:val="0"/>
                <w:color w:val="000000" w:themeColor="text1"/>
                <w:sz w:val="24"/>
                <w:szCs w:val="24"/>
              </w:rPr>
            </w:pPr>
            <w:proofErr w:type="spellStart"/>
            <w:r w:rsidRPr="0092580C">
              <w:rPr>
                <w:rFonts w:ascii="Book Antiqua" w:eastAsia="Times New Roman" w:hAnsi="Book Antiqua" w:cs="Times New Roman"/>
                <w:b w:val="0"/>
                <w:color w:val="000000" w:themeColor="text1"/>
                <w:sz w:val="24"/>
                <w:szCs w:val="24"/>
              </w:rPr>
              <w:t>Nogo</w:t>
            </w:r>
            <w:proofErr w:type="spellEnd"/>
            <w:r w:rsidRPr="0092580C">
              <w:rPr>
                <w:rFonts w:ascii="Book Antiqua" w:eastAsia="Times New Roman" w:hAnsi="Book Antiqua" w:cs="Times New Roman"/>
                <w:b w:val="0"/>
                <w:color w:val="000000" w:themeColor="text1"/>
                <w:sz w:val="24"/>
                <w:szCs w:val="24"/>
              </w:rPr>
              <w:t>-A</w:t>
            </w:r>
          </w:p>
        </w:tc>
        <w:tc>
          <w:tcPr>
            <w:tcW w:w="1641"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26.8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p>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1 </w:t>
            </w:r>
            <w:r w:rsidR="005702DC">
              <w:rPr>
                <w:rFonts w:ascii="Book Antiqua" w:eastAsia="Times New Roman" w:hAnsi="Book Antiqua" w:cs="Times New Roman"/>
                <w:color w:val="000000" w:themeColor="text1"/>
                <w:sz w:val="24"/>
                <w:szCs w:val="24"/>
              </w:rPr>
              <w:t>ng/mL</w:t>
            </w:r>
          </w:p>
        </w:tc>
        <w:tc>
          <w:tcPr>
            <w:tcW w:w="1403"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59.0</w:t>
            </w:r>
          </w:p>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33.3</w:t>
            </w:r>
          </w:p>
        </w:tc>
        <w:tc>
          <w:tcPr>
            <w:tcW w:w="1389"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79.5</w:t>
            </w:r>
          </w:p>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92.5</w:t>
            </w:r>
          </w:p>
        </w:tc>
        <w:tc>
          <w:tcPr>
            <w:tcW w:w="1105"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81.8</w:t>
            </w:r>
          </w:p>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87</w:t>
            </w:r>
          </w:p>
        </w:tc>
        <w:tc>
          <w:tcPr>
            <w:tcW w:w="976"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55.4</w:t>
            </w:r>
          </w:p>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48</w:t>
            </w:r>
          </w:p>
        </w:tc>
        <w:tc>
          <w:tcPr>
            <w:tcW w:w="1117"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0.0001</w:t>
            </w:r>
          </w:p>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0.014</w:t>
            </w:r>
          </w:p>
        </w:tc>
      </w:tr>
      <w:tr w:rsidR="006410B4" w:rsidRPr="006410B4" w:rsidTr="00F944A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967" w:type="dxa"/>
            <w:tcBorders>
              <w:top w:val="nil"/>
              <w:left w:val="nil"/>
              <w:bottom w:val="nil"/>
              <w:right w:val="nil"/>
            </w:tcBorders>
          </w:tcPr>
          <w:p w:rsidR="00846B22" w:rsidRPr="0092580C" w:rsidRDefault="00846B22" w:rsidP="00D74AE0">
            <w:pPr>
              <w:adjustRightInd w:val="0"/>
              <w:snapToGrid w:val="0"/>
              <w:spacing w:line="360" w:lineRule="auto"/>
              <w:rPr>
                <w:rFonts w:ascii="Book Antiqua" w:eastAsia="Times New Roman" w:hAnsi="Book Antiqua" w:cs="Times New Roman"/>
                <w:b w:val="0"/>
                <w:color w:val="000000" w:themeColor="text1"/>
                <w:sz w:val="24"/>
                <w:szCs w:val="24"/>
              </w:rPr>
            </w:pPr>
            <w:r w:rsidRPr="0092580C">
              <w:rPr>
                <w:rFonts w:ascii="Book Antiqua" w:eastAsia="Times New Roman" w:hAnsi="Book Antiqua" w:cs="Times New Roman"/>
                <w:b w:val="0"/>
                <w:color w:val="000000" w:themeColor="text1"/>
                <w:sz w:val="24"/>
                <w:szCs w:val="24"/>
              </w:rPr>
              <w:t>High-risk varicose veins</w:t>
            </w:r>
          </w:p>
        </w:tc>
        <w:tc>
          <w:tcPr>
            <w:tcW w:w="1641"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1403"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1389"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1105"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976"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1117" w:type="dxa"/>
            <w:tcBorders>
              <w:top w:val="nil"/>
              <w:left w:val="nil"/>
              <w:bottom w:val="nil"/>
              <w:right w:val="nil"/>
            </w:tcBorders>
          </w:tcPr>
          <w:p w:rsidR="00846B22" w:rsidRPr="006410B4"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r>
      <w:tr w:rsidR="006410B4" w:rsidRPr="006410B4" w:rsidTr="00F944A1">
        <w:trPr>
          <w:trHeight w:val="369"/>
        </w:trPr>
        <w:tc>
          <w:tcPr>
            <w:cnfStyle w:val="001000000000" w:firstRow="0" w:lastRow="0" w:firstColumn="1" w:lastColumn="0" w:oddVBand="0" w:evenVBand="0" w:oddHBand="0" w:evenHBand="0" w:firstRowFirstColumn="0" w:firstRowLastColumn="0" w:lastRowFirstColumn="0" w:lastRowLastColumn="0"/>
            <w:tcW w:w="2967" w:type="dxa"/>
            <w:tcBorders>
              <w:top w:val="nil"/>
              <w:left w:val="nil"/>
              <w:bottom w:val="single" w:sz="4" w:space="0" w:color="auto"/>
              <w:right w:val="nil"/>
            </w:tcBorders>
          </w:tcPr>
          <w:p w:rsidR="00846B22" w:rsidRPr="0092580C" w:rsidRDefault="00846B22" w:rsidP="00D74AE0">
            <w:pPr>
              <w:adjustRightInd w:val="0"/>
              <w:snapToGrid w:val="0"/>
              <w:spacing w:line="360" w:lineRule="auto"/>
              <w:rPr>
                <w:rFonts w:ascii="Book Antiqua" w:eastAsia="Times New Roman" w:hAnsi="Book Antiqua" w:cs="Times New Roman"/>
                <w:b w:val="0"/>
                <w:color w:val="000000" w:themeColor="text1"/>
                <w:sz w:val="24"/>
                <w:szCs w:val="24"/>
              </w:rPr>
            </w:pPr>
            <w:proofErr w:type="spellStart"/>
            <w:r w:rsidRPr="0092580C">
              <w:rPr>
                <w:rFonts w:ascii="Book Antiqua" w:eastAsia="Times New Roman" w:hAnsi="Book Antiqua" w:cs="Times New Roman"/>
                <w:b w:val="0"/>
                <w:color w:val="000000" w:themeColor="text1"/>
                <w:sz w:val="24"/>
                <w:szCs w:val="24"/>
              </w:rPr>
              <w:t>PlGF</w:t>
            </w:r>
            <w:proofErr w:type="spellEnd"/>
          </w:p>
        </w:tc>
        <w:tc>
          <w:tcPr>
            <w:tcW w:w="1641" w:type="dxa"/>
            <w:tcBorders>
              <w:top w:val="nil"/>
              <w:left w:val="nil"/>
              <w:bottom w:val="single" w:sz="4" w:space="0" w:color="auto"/>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 xml:space="preserve">19.83 </w:t>
            </w:r>
            <w:proofErr w:type="spellStart"/>
            <w:r w:rsidR="005702DC">
              <w:rPr>
                <w:rFonts w:ascii="Book Antiqua" w:eastAsia="Times New Roman" w:hAnsi="Book Antiqua" w:cs="Times New Roman"/>
                <w:color w:val="000000" w:themeColor="text1"/>
                <w:sz w:val="24"/>
                <w:szCs w:val="24"/>
              </w:rPr>
              <w:t>pg</w:t>
            </w:r>
            <w:proofErr w:type="spellEnd"/>
            <w:r w:rsidR="005702DC">
              <w:rPr>
                <w:rFonts w:ascii="Book Antiqua" w:eastAsia="Times New Roman" w:hAnsi="Book Antiqua" w:cs="Times New Roman"/>
                <w:color w:val="000000" w:themeColor="text1"/>
                <w:sz w:val="24"/>
                <w:szCs w:val="24"/>
              </w:rPr>
              <w:t>/mL</w:t>
            </w:r>
          </w:p>
        </w:tc>
        <w:tc>
          <w:tcPr>
            <w:tcW w:w="1403" w:type="dxa"/>
            <w:tcBorders>
              <w:top w:val="nil"/>
              <w:left w:val="nil"/>
              <w:bottom w:val="single" w:sz="4" w:space="0" w:color="auto"/>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90.5</w:t>
            </w:r>
          </w:p>
        </w:tc>
        <w:tc>
          <w:tcPr>
            <w:tcW w:w="1389" w:type="dxa"/>
            <w:tcBorders>
              <w:top w:val="nil"/>
              <w:left w:val="nil"/>
              <w:bottom w:val="single" w:sz="4" w:space="0" w:color="auto"/>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44.2</w:t>
            </w:r>
          </w:p>
        </w:tc>
        <w:tc>
          <w:tcPr>
            <w:tcW w:w="1105" w:type="dxa"/>
            <w:tcBorders>
              <w:top w:val="nil"/>
              <w:left w:val="nil"/>
              <w:bottom w:val="single" w:sz="4" w:space="0" w:color="auto"/>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30.6</w:t>
            </w:r>
          </w:p>
        </w:tc>
        <w:tc>
          <w:tcPr>
            <w:tcW w:w="976" w:type="dxa"/>
            <w:tcBorders>
              <w:top w:val="nil"/>
              <w:left w:val="nil"/>
              <w:bottom w:val="single" w:sz="4" w:space="0" w:color="auto"/>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94.4</w:t>
            </w:r>
          </w:p>
        </w:tc>
        <w:tc>
          <w:tcPr>
            <w:tcW w:w="1117" w:type="dxa"/>
            <w:tcBorders>
              <w:top w:val="nil"/>
              <w:left w:val="nil"/>
              <w:bottom w:val="single" w:sz="4" w:space="0" w:color="auto"/>
              <w:right w:val="nil"/>
            </w:tcBorders>
          </w:tcPr>
          <w:p w:rsidR="00846B22" w:rsidRPr="006410B4"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6410B4">
              <w:rPr>
                <w:rFonts w:ascii="Book Antiqua" w:eastAsia="Times New Roman" w:hAnsi="Book Antiqua" w:cs="Times New Roman"/>
                <w:color w:val="000000" w:themeColor="text1"/>
                <w:sz w:val="24"/>
                <w:szCs w:val="24"/>
              </w:rPr>
              <w:t>0.034</w:t>
            </w:r>
          </w:p>
        </w:tc>
      </w:tr>
    </w:tbl>
    <w:p w:rsidR="00D24FFE" w:rsidRPr="0092580C" w:rsidRDefault="0092580C" w:rsidP="0092580C">
      <w:pPr>
        <w:tabs>
          <w:tab w:val="left" w:pos="1044"/>
        </w:tabs>
        <w:adjustRightInd w:val="0"/>
        <w:snapToGrid w:val="0"/>
        <w:spacing w:after="0" w:line="360" w:lineRule="auto"/>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vertAlign w:val="superscript"/>
        </w:rPr>
        <w:t>1</w:t>
      </w:r>
      <w:r w:rsidR="00846B22" w:rsidRPr="006410B4">
        <w:rPr>
          <w:rFonts w:ascii="Book Antiqua" w:eastAsia="Times New Roman" w:hAnsi="Book Antiqua" w:cs="Times New Roman"/>
          <w:color w:val="000000" w:themeColor="text1"/>
          <w:sz w:val="24"/>
          <w:szCs w:val="24"/>
        </w:rPr>
        <w:t xml:space="preserve">Cut-off values with most accurate sensitivity and specificity to differentiate patients with the condition from patients without the condition. </w:t>
      </w:r>
      <w:proofErr w:type="spellStart"/>
      <w:r w:rsidR="00846B22" w:rsidRPr="006410B4">
        <w:rPr>
          <w:rFonts w:ascii="Book Antiqua" w:eastAsia="Times New Roman" w:hAnsi="Book Antiqua" w:cs="Times New Roman"/>
          <w:color w:val="000000" w:themeColor="text1"/>
          <w:sz w:val="24"/>
          <w:szCs w:val="24"/>
        </w:rPr>
        <w:t>PlGF</w:t>
      </w:r>
      <w:proofErr w:type="spellEnd"/>
      <w:r>
        <w:rPr>
          <w:rFonts w:ascii="Book Antiqua" w:eastAsia="Times New Roman" w:hAnsi="Book Antiqua" w:cs="Times New Roman"/>
          <w:color w:val="000000" w:themeColor="text1"/>
          <w:sz w:val="24"/>
          <w:szCs w:val="24"/>
        </w:rPr>
        <w:t xml:space="preserve">: </w:t>
      </w:r>
      <w:r w:rsidR="00846B22" w:rsidRPr="006410B4">
        <w:rPr>
          <w:rFonts w:ascii="Book Antiqua" w:eastAsia="Times New Roman" w:hAnsi="Book Antiqua" w:cs="Times New Roman"/>
          <w:color w:val="000000" w:themeColor="text1"/>
          <w:sz w:val="24"/>
          <w:szCs w:val="24"/>
        </w:rPr>
        <w:t>Place</w:t>
      </w:r>
      <w:r w:rsidRPr="006410B4">
        <w:rPr>
          <w:rFonts w:ascii="Book Antiqua" w:eastAsia="Times New Roman" w:hAnsi="Book Antiqua" w:cs="Times New Roman"/>
          <w:color w:val="000000" w:themeColor="text1"/>
          <w:sz w:val="24"/>
          <w:szCs w:val="24"/>
        </w:rPr>
        <w:t>ntal growth factor</w:t>
      </w:r>
      <w:r w:rsidR="00846B22" w:rsidRPr="006410B4">
        <w:rPr>
          <w:rFonts w:ascii="Book Antiqua" w:eastAsia="Times New Roman" w:hAnsi="Book Antiqua" w:cs="Times New Roman"/>
          <w:color w:val="000000" w:themeColor="text1"/>
          <w:sz w:val="24"/>
          <w:szCs w:val="24"/>
        </w:rPr>
        <w:t>; SPH</w:t>
      </w:r>
      <w:r>
        <w:rPr>
          <w:rFonts w:ascii="Book Antiqua" w:eastAsia="Times New Roman" w:hAnsi="Book Antiqua" w:cs="Times New Roman"/>
          <w:color w:val="000000" w:themeColor="text1"/>
          <w:sz w:val="24"/>
          <w:szCs w:val="24"/>
        </w:rPr>
        <w:t>: S</w:t>
      </w:r>
      <w:r w:rsidR="00846B22" w:rsidRPr="006410B4">
        <w:rPr>
          <w:rFonts w:ascii="Book Antiqua" w:eastAsia="Times New Roman" w:hAnsi="Book Antiqua" w:cs="Times New Roman"/>
          <w:color w:val="000000" w:themeColor="text1"/>
          <w:sz w:val="24"/>
          <w:szCs w:val="24"/>
        </w:rPr>
        <w:t>evere portal hypertension; CSPH</w:t>
      </w:r>
      <w:r>
        <w:rPr>
          <w:rFonts w:ascii="Book Antiqua" w:eastAsia="Times New Roman" w:hAnsi="Book Antiqua" w:cs="Times New Roman"/>
          <w:color w:val="000000" w:themeColor="text1"/>
          <w:sz w:val="24"/>
          <w:szCs w:val="24"/>
        </w:rPr>
        <w:t>: C</w:t>
      </w:r>
      <w:r w:rsidR="00846B22" w:rsidRPr="006410B4">
        <w:rPr>
          <w:rFonts w:ascii="Book Antiqua" w:eastAsia="Times New Roman" w:hAnsi="Book Antiqua" w:cs="Times New Roman"/>
          <w:color w:val="000000" w:themeColor="text1"/>
          <w:sz w:val="24"/>
          <w:szCs w:val="24"/>
        </w:rPr>
        <w:t>linically significant portal hypertension; PPV</w:t>
      </w:r>
      <w:r>
        <w:rPr>
          <w:rFonts w:ascii="Book Antiqua" w:eastAsia="Times New Roman" w:hAnsi="Book Antiqua" w:cs="Times New Roman"/>
          <w:color w:val="000000" w:themeColor="text1"/>
          <w:sz w:val="24"/>
          <w:szCs w:val="24"/>
        </w:rPr>
        <w:t>: P</w:t>
      </w:r>
      <w:r w:rsidR="00846B22" w:rsidRPr="006410B4">
        <w:rPr>
          <w:rFonts w:ascii="Book Antiqua" w:eastAsia="Times New Roman" w:hAnsi="Book Antiqua" w:cs="Times New Roman"/>
          <w:color w:val="000000" w:themeColor="text1"/>
          <w:sz w:val="24"/>
          <w:szCs w:val="24"/>
        </w:rPr>
        <w:t>ositive predictive value; NPV</w:t>
      </w:r>
      <w:r>
        <w:rPr>
          <w:rFonts w:ascii="Book Antiqua" w:eastAsia="Times New Roman" w:hAnsi="Book Antiqua" w:cs="Times New Roman"/>
          <w:color w:val="000000" w:themeColor="text1"/>
          <w:sz w:val="24"/>
          <w:szCs w:val="24"/>
        </w:rPr>
        <w:t>: N</w:t>
      </w:r>
      <w:r w:rsidR="00846B22" w:rsidRPr="006410B4">
        <w:rPr>
          <w:rFonts w:ascii="Book Antiqua" w:eastAsia="Times New Roman" w:hAnsi="Book Antiqua" w:cs="Times New Roman"/>
          <w:color w:val="000000" w:themeColor="text1"/>
          <w:sz w:val="24"/>
          <w:szCs w:val="24"/>
        </w:rPr>
        <w:t xml:space="preserve">egative predictive value. </w:t>
      </w:r>
    </w:p>
    <w:sectPr w:rsidR="00D24FFE" w:rsidRPr="0092580C" w:rsidSect="000957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377" w:rsidRDefault="00304377">
      <w:pPr>
        <w:spacing w:after="0" w:line="240" w:lineRule="auto"/>
      </w:pPr>
      <w:r>
        <w:separator/>
      </w:r>
    </w:p>
  </w:endnote>
  <w:endnote w:type="continuationSeparator" w:id="0">
    <w:p w:rsidR="00304377" w:rsidRDefault="0030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auto"/>
    <w:notTrueType/>
    <w:pitch w:val="variable"/>
    <w:sig w:usb0="E00002FF" w:usb1="5000785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dvOTbf7bbda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377" w:rsidRDefault="00304377">
      <w:pPr>
        <w:spacing w:after="0" w:line="240" w:lineRule="auto"/>
      </w:pPr>
      <w:r>
        <w:separator/>
      </w:r>
    </w:p>
  </w:footnote>
  <w:footnote w:type="continuationSeparator" w:id="0">
    <w:p w:rsidR="00304377" w:rsidRDefault="00304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00D9"/>
    <w:multiLevelType w:val="multilevel"/>
    <w:tmpl w:val="73667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1A7765"/>
    <w:multiLevelType w:val="multilevel"/>
    <w:tmpl w:val="57A6E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DE79DB"/>
    <w:multiLevelType w:val="multilevel"/>
    <w:tmpl w:val="17928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C92F64"/>
    <w:multiLevelType w:val="hybridMultilevel"/>
    <w:tmpl w:val="2872237C"/>
    <w:lvl w:ilvl="0" w:tplc="F462F94A">
      <w:start w:val="3"/>
      <w:numFmt w:val="bullet"/>
      <w:lvlText w:val=""/>
      <w:lvlJc w:val="left"/>
      <w:pPr>
        <w:ind w:left="720" w:hanging="360"/>
      </w:pPr>
      <w:rPr>
        <w:rFonts w:ascii="Symbol" w:eastAsia="Times New Roman" w:hAnsi="Symbol"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33756B4"/>
    <w:multiLevelType w:val="multilevel"/>
    <w:tmpl w:val="0D608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5F0531"/>
    <w:multiLevelType w:val="multilevel"/>
    <w:tmpl w:val="B9E04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3136A1"/>
    <w:multiLevelType w:val="multilevel"/>
    <w:tmpl w:val="5A6A07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630514"/>
    <w:multiLevelType w:val="multilevel"/>
    <w:tmpl w:val="049C4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2"/>
  </w:num>
  <w:num w:numId="4">
    <w:abstractNumId w:val="1"/>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E6"/>
    <w:rsid w:val="00003947"/>
    <w:rsid w:val="00006BF9"/>
    <w:rsid w:val="00007F31"/>
    <w:rsid w:val="0001726C"/>
    <w:rsid w:val="000177C2"/>
    <w:rsid w:val="00021D49"/>
    <w:rsid w:val="00024F0C"/>
    <w:rsid w:val="00034363"/>
    <w:rsid w:val="000437A6"/>
    <w:rsid w:val="0004631A"/>
    <w:rsid w:val="000509C5"/>
    <w:rsid w:val="00095755"/>
    <w:rsid w:val="000957D8"/>
    <w:rsid w:val="000A3608"/>
    <w:rsid w:val="000B2258"/>
    <w:rsid w:val="000B2615"/>
    <w:rsid w:val="000B2AD5"/>
    <w:rsid w:val="000D1658"/>
    <w:rsid w:val="000D49D2"/>
    <w:rsid w:val="00115568"/>
    <w:rsid w:val="00123ED7"/>
    <w:rsid w:val="00130DB3"/>
    <w:rsid w:val="00131E78"/>
    <w:rsid w:val="001346FA"/>
    <w:rsid w:val="001418DB"/>
    <w:rsid w:val="00153687"/>
    <w:rsid w:val="00154A54"/>
    <w:rsid w:val="00161408"/>
    <w:rsid w:val="00162F3C"/>
    <w:rsid w:val="00164A5C"/>
    <w:rsid w:val="00183E79"/>
    <w:rsid w:val="00196099"/>
    <w:rsid w:val="001A428D"/>
    <w:rsid w:val="001A4FED"/>
    <w:rsid w:val="001A6DA3"/>
    <w:rsid w:val="001B6083"/>
    <w:rsid w:val="001B76D4"/>
    <w:rsid w:val="001C2886"/>
    <w:rsid w:val="001C7C92"/>
    <w:rsid w:val="001D33A6"/>
    <w:rsid w:val="001D601B"/>
    <w:rsid w:val="001E3998"/>
    <w:rsid w:val="001E448D"/>
    <w:rsid w:val="001E5FD1"/>
    <w:rsid w:val="001F785E"/>
    <w:rsid w:val="002009C7"/>
    <w:rsid w:val="00223D19"/>
    <w:rsid w:val="002248FB"/>
    <w:rsid w:val="00231CA6"/>
    <w:rsid w:val="00233D02"/>
    <w:rsid w:val="0025310D"/>
    <w:rsid w:val="002633C6"/>
    <w:rsid w:val="00286FAE"/>
    <w:rsid w:val="002A1F15"/>
    <w:rsid w:val="002C030A"/>
    <w:rsid w:val="002C15B7"/>
    <w:rsid w:val="002C22A3"/>
    <w:rsid w:val="002C2477"/>
    <w:rsid w:val="002C63D6"/>
    <w:rsid w:val="002D18D4"/>
    <w:rsid w:val="002D2335"/>
    <w:rsid w:val="002E60DA"/>
    <w:rsid w:val="002F520F"/>
    <w:rsid w:val="002F5339"/>
    <w:rsid w:val="003034A5"/>
    <w:rsid w:val="00304377"/>
    <w:rsid w:val="003103C6"/>
    <w:rsid w:val="00334908"/>
    <w:rsid w:val="00337B5A"/>
    <w:rsid w:val="00344AF4"/>
    <w:rsid w:val="00357F5F"/>
    <w:rsid w:val="00370328"/>
    <w:rsid w:val="003824CF"/>
    <w:rsid w:val="0038268F"/>
    <w:rsid w:val="00385476"/>
    <w:rsid w:val="003904AA"/>
    <w:rsid w:val="00394D9F"/>
    <w:rsid w:val="003A70DD"/>
    <w:rsid w:val="003B159A"/>
    <w:rsid w:val="003B2FAA"/>
    <w:rsid w:val="003B6844"/>
    <w:rsid w:val="003E43EA"/>
    <w:rsid w:val="00402E2E"/>
    <w:rsid w:val="004116A6"/>
    <w:rsid w:val="00411861"/>
    <w:rsid w:val="00420C54"/>
    <w:rsid w:val="004215E1"/>
    <w:rsid w:val="00437F54"/>
    <w:rsid w:val="00442B37"/>
    <w:rsid w:val="0044573A"/>
    <w:rsid w:val="00445D1D"/>
    <w:rsid w:val="004534B2"/>
    <w:rsid w:val="00454E3B"/>
    <w:rsid w:val="00461A87"/>
    <w:rsid w:val="0048559A"/>
    <w:rsid w:val="0049354E"/>
    <w:rsid w:val="00496519"/>
    <w:rsid w:val="004B59C8"/>
    <w:rsid w:val="004B59F5"/>
    <w:rsid w:val="004B716E"/>
    <w:rsid w:val="004C4D6B"/>
    <w:rsid w:val="004D3DB2"/>
    <w:rsid w:val="004F7134"/>
    <w:rsid w:val="005148DD"/>
    <w:rsid w:val="00523AD4"/>
    <w:rsid w:val="00530708"/>
    <w:rsid w:val="00532E79"/>
    <w:rsid w:val="0054316A"/>
    <w:rsid w:val="0054410A"/>
    <w:rsid w:val="0055047F"/>
    <w:rsid w:val="00555910"/>
    <w:rsid w:val="00561509"/>
    <w:rsid w:val="00561DDD"/>
    <w:rsid w:val="00561F40"/>
    <w:rsid w:val="005651ED"/>
    <w:rsid w:val="005702DC"/>
    <w:rsid w:val="0058161E"/>
    <w:rsid w:val="00584363"/>
    <w:rsid w:val="0058611A"/>
    <w:rsid w:val="005942DC"/>
    <w:rsid w:val="0059795C"/>
    <w:rsid w:val="005A4AF5"/>
    <w:rsid w:val="005A4FE5"/>
    <w:rsid w:val="005A62DD"/>
    <w:rsid w:val="005D01DF"/>
    <w:rsid w:val="005D0551"/>
    <w:rsid w:val="005D258C"/>
    <w:rsid w:val="005D5311"/>
    <w:rsid w:val="005E5433"/>
    <w:rsid w:val="005F133F"/>
    <w:rsid w:val="005F1932"/>
    <w:rsid w:val="005F2673"/>
    <w:rsid w:val="005F490D"/>
    <w:rsid w:val="0060118E"/>
    <w:rsid w:val="00602316"/>
    <w:rsid w:val="006115E3"/>
    <w:rsid w:val="00621145"/>
    <w:rsid w:val="00624FD4"/>
    <w:rsid w:val="00635F3F"/>
    <w:rsid w:val="006410B4"/>
    <w:rsid w:val="00643599"/>
    <w:rsid w:val="00644116"/>
    <w:rsid w:val="006706A7"/>
    <w:rsid w:val="0067339D"/>
    <w:rsid w:val="0067536F"/>
    <w:rsid w:val="00675ED8"/>
    <w:rsid w:val="00681899"/>
    <w:rsid w:val="006A5D54"/>
    <w:rsid w:val="006F0F07"/>
    <w:rsid w:val="006F0F39"/>
    <w:rsid w:val="00712F92"/>
    <w:rsid w:val="0071693B"/>
    <w:rsid w:val="00721653"/>
    <w:rsid w:val="007274B9"/>
    <w:rsid w:val="007377F7"/>
    <w:rsid w:val="00741164"/>
    <w:rsid w:val="00742DE2"/>
    <w:rsid w:val="007446D5"/>
    <w:rsid w:val="00750314"/>
    <w:rsid w:val="007512FC"/>
    <w:rsid w:val="00752ECF"/>
    <w:rsid w:val="00763FA7"/>
    <w:rsid w:val="007644F6"/>
    <w:rsid w:val="007B1BC9"/>
    <w:rsid w:val="007B4FB3"/>
    <w:rsid w:val="007C7B89"/>
    <w:rsid w:val="007D4B3C"/>
    <w:rsid w:val="007D4D29"/>
    <w:rsid w:val="007E1342"/>
    <w:rsid w:val="007E7686"/>
    <w:rsid w:val="007F4121"/>
    <w:rsid w:val="00816BB9"/>
    <w:rsid w:val="00817813"/>
    <w:rsid w:val="00834EFE"/>
    <w:rsid w:val="008359C8"/>
    <w:rsid w:val="0084474C"/>
    <w:rsid w:val="00846B22"/>
    <w:rsid w:val="00857345"/>
    <w:rsid w:val="00873DCC"/>
    <w:rsid w:val="00890ED7"/>
    <w:rsid w:val="008A4728"/>
    <w:rsid w:val="008C5493"/>
    <w:rsid w:val="008E58C6"/>
    <w:rsid w:val="008E65F6"/>
    <w:rsid w:val="009049AF"/>
    <w:rsid w:val="009242AC"/>
    <w:rsid w:val="0092580C"/>
    <w:rsid w:val="00927701"/>
    <w:rsid w:val="009360E2"/>
    <w:rsid w:val="009373A0"/>
    <w:rsid w:val="00962C09"/>
    <w:rsid w:val="00971ADE"/>
    <w:rsid w:val="00973BAB"/>
    <w:rsid w:val="009747BE"/>
    <w:rsid w:val="0097603A"/>
    <w:rsid w:val="00991869"/>
    <w:rsid w:val="009A1AE6"/>
    <w:rsid w:val="009C4DF9"/>
    <w:rsid w:val="009D07AD"/>
    <w:rsid w:val="009D5C5B"/>
    <w:rsid w:val="009D61D4"/>
    <w:rsid w:val="009D7221"/>
    <w:rsid w:val="009E2032"/>
    <w:rsid w:val="009E52E4"/>
    <w:rsid w:val="009E5C59"/>
    <w:rsid w:val="009F4578"/>
    <w:rsid w:val="00A00CCE"/>
    <w:rsid w:val="00A01892"/>
    <w:rsid w:val="00A03E57"/>
    <w:rsid w:val="00A12B51"/>
    <w:rsid w:val="00A2384D"/>
    <w:rsid w:val="00A40F84"/>
    <w:rsid w:val="00A45B2C"/>
    <w:rsid w:val="00A573A5"/>
    <w:rsid w:val="00A62679"/>
    <w:rsid w:val="00A673C4"/>
    <w:rsid w:val="00A80F5F"/>
    <w:rsid w:val="00A8181A"/>
    <w:rsid w:val="00A921F1"/>
    <w:rsid w:val="00A9679F"/>
    <w:rsid w:val="00AA087F"/>
    <w:rsid w:val="00AA4CCB"/>
    <w:rsid w:val="00AA660D"/>
    <w:rsid w:val="00AB0E1B"/>
    <w:rsid w:val="00AB263D"/>
    <w:rsid w:val="00AB4099"/>
    <w:rsid w:val="00AB6A7F"/>
    <w:rsid w:val="00AC0AB8"/>
    <w:rsid w:val="00AC2306"/>
    <w:rsid w:val="00AF0968"/>
    <w:rsid w:val="00B104C4"/>
    <w:rsid w:val="00B14AA8"/>
    <w:rsid w:val="00B420F2"/>
    <w:rsid w:val="00B9151A"/>
    <w:rsid w:val="00B93B9B"/>
    <w:rsid w:val="00BB0212"/>
    <w:rsid w:val="00BB0923"/>
    <w:rsid w:val="00BB1B32"/>
    <w:rsid w:val="00BD0210"/>
    <w:rsid w:val="00BD6174"/>
    <w:rsid w:val="00BD6AD0"/>
    <w:rsid w:val="00BE07F0"/>
    <w:rsid w:val="00BE585D"/>
    <w:rsid w:val="00BF498E"/>
    <w:rsid w:val="00C060E4"/>
    <w:rsid w:val="00C129CA"/>
    <w:rsid w:val="00C15FF0"/>
    <w:rsid w:val="00C232BE"/>
    <w:rsid w:val="00C34780"/>
    <w:rsid w:val="00C42FE6"/>
    <w:rsid w:val="00C50B87"/>
    <w:rsid w:val="00C7413E"/>
    <w:rsid w:val="00C82565"/>
    <w:rsid w:val="00C841B0"/>
    <w:rsid w:val="00C96ECA"/>
    <w:rsid w:val="00CA4C25"/>
    <w:rsid w:val="00CB46AE"/>
    <w:rsid w:val="00CB7670"/>
    <w:rsid w:val="00CC6DB1"/>
    <w:rsid w:val="00CC7D25"/>
    <w:rsid w:val="00CE0322"/>
    <w:rsid w:val="00CE0E01"/>
    <w:rsid w:val="00CE1184"/>
    <w:rsid w:val="00CE2B86"/>
    <w:rsid w:val="00D234EC"/>
    <w:rsid w:val="00D24FFE"/>
    <w:rsid w:val="00D37379"/>
    <w:rsid w:val="00D41B3F"/>
    <w:rsid w:val="00D53AEE"/>
    <w:rsid w:val="00D62C8E"/>
    <w:rsid w:val="00D65BF2"/>
    <w:rsid w:val="00D669A2"/>
    <w:rsid w:val="00D67A33"/>
    <w:rsid w:val="00D72670"/>
    <w:rsid w:val="00D74AE0"/>
    <w:rsid w:val="00D7792E"/>
    <w:rsid w:val="00D81A36"/>
    <w:rsid w:val="00D81E8C"/>
    <w:rsid w:val="00D90B77"/>
    <w:rsid w:val="00D91120"/>
    <w:rsid w:val="00DA0CA6"/>
    <w:rsid w:val="00DA0E9F"/>
    <w:rsid w:val="00DA5DCD"/>
    <w:rsid w:val="00DB406D"/>
    <w:rsid w:val="00DE1AA8"/>
    <w:rsid w:val="00DE3CFF"/>
    <w:rsid w:val="00DF61F8"/>
    <w:rsid w:val="00E07DDF"/>
    <w:rsid w:val="00E17213"/>
    <w:rsid w:val="00E2586B"/>
    <w:rsid w:val="00E44555"/>
    <w:rsid w:val="00E55847"/>
    <w:rsid w:val="00E56083"/>
    <w:rsid w:val="00E60BE1"/>
    <w:rsid w:val="00E70789"/>
    <w:rsid w:val="00E709BC"/>
    <w:rsid w:val="00E92020"/>
    <w:rsid w:val="00EA2307"/>
    <w:rsid w:val="00EC0012"/>
    <w:rsid w:val="00ED55A1"/>
    <w:rsid w:val="00ED747E"/>
    <w:rsid w:val="00EE3ABE"/>
    <w:rsid w:val="00EE4B09"/>
    <w:rsid w:val="00F20289"/>
    <w:rsid w:val="00F21BBB"/>
    <w:rsid w:val="00F243DC"/>
    <w:rsid w:val="00F24B56"/>
    <w:rsid w:val="00F2624B"/>
    <w:rsid w:val="00F26CE0"/>
    <w:rsid w:val="00F34D96"/>
    <w:rsid w:val="00F37B93"/>
    <w:rsid w:val="00F454B8"/>
    <w:rsid w:val="00F51C3F"/>
    <w:rsid w:val="00F54781"/>
    <w:rsid w:val="00F57627"/>
    <w:rsid w:val="00F57FB0"/>
    <w:rsid w:val="00F65084"/>
    <w:rsid w:val="00F7632F"/>
    <w:rsid w:val="00F848C9"/>
    <w:rsid w:val="00F934F0"/>
    <w:rsid w:val="00F944A1"/>
    <w:rsid w:val="00FB65D0"/>
    <w:rsid w:val="00FB7C11"/>
    <w:rsid w:val="00FC4542"/>
    <w:rsid w:val="00FD0911"/>
    <w:rsid w:val="00FE42CD"/>
    <w:rsid w:val="00FF55AB"/>
    <w:rsid w:val="00FF60B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DF0B20-F63A-D04A-A174-33590FD9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DCC"/>
  </w:style>
  <w:style w:type="paragraph" w:styleId="Heading1">
    <w:name w:val="heading 1"/>
    <w:basedOn w:val="Normal"/>
    <w:next w:val="Normal"/>
    <w:link w:val="Heading1Char"/>
    <w:uiPriority w:val="9"/>
    <w:qFormat/>
    <w:rsid w:val="005D5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74"/>
    <w:rPr>
      <w:rFonts w:ascii="Tahoma" w:hAnsi="Tahoma" w:cs="Tahoma"/>
      <w:sz w:val="16"/>
      <w:szCs w:val="16"/>
    </w:rPr>
  </w:style>
  <w:style w:type="character" w:styleId="Hyperlink">
    <w:name w:val="Hyperlink"/>
    <w:basedOn w:val="DefaultParagraphFont"/>
    <w:uiPriority w:val="99"/>
    <w:unhideWhenUsed/>
    <w:rsid w:val="001C2886"/>
    <w:rPr>
      <w:color w:val="0563C1" w:themeColor="hyperlink"/>
      <w:u w:val="single"/>
    </w:rPr>
  </w:style>
  <w:style w:type="character" w:styleId="CommentReference">
    <w:name w:val="annotation reference"/>
    <w:basedOn w:val="DefaultParagraphFont"/>
    <w:uiPriority w:val="99"/>
    <w:semiHidden/>
    <w:unhideWhenUsed/>
    <w:rsid w:val="00DA5DCD"/>
    <w:rPr>
      <w:sz w:val="16"/>
      <w:szCs w:val="16"/>
    </w:rPr>
  </w:style>
  <w:style w:type="paragraph" w:styleId="CommentText">
    <w:name w:val="annotation text"/>
    <w:basedOn w:val="Normal"/>
    <w:link w:val="CommentTextChar"/>
    <w:uiPriority w:val="99"/>
    <w:unhideWhenUsed/>
    <w:rsid w:val="00DA5DCD"/>
    <w:pPr>
      <w:spacing w:line="240" w:lineRule="auto"/>
    </w:pPr>
    <w:rPr>
      <w:sz w:val="20"/>
      <w:szCs w:val="20"/>
    </w:rPr>
  </w:style>
  <w:style w:type="character" w:customStyle="1" w:styleId="CommentTextChar">
    <w:name w:val="Comment Text Char"/>
    <w:basedOn w:val="DefaultParagraphFont"/>
    <w:link w:val="CommentText"/>
    <w:uiPriority w:val="99"/>
    <w:rsid w:val="00DA5DCD"/>
    <w:rPr>
      <w:sz w:val="20"/>
      <w:szCs w:val="20"/>
    </w:rPr>
  </w:style>
  <w:style w:type="paragraph" w:styleId="CommentSubject">
    <w:name w:val="annotation subject"/>
    <w:basedOn w:val="CommentText"/>
    <w:next w:val="CommentText"/>
    <w:link w:val="CommentSubjectChar"/>
    <w:uiPriority w:val="99"/>
    <w:semiHidden/>
    <w:unhideWhenUsed/>
    <w:rsid w:val="00DA5DCD"/>
    <w:rPr>
      <w:b/>
      <w:bCs/>
    </w:rPr>
  </w:style>
  <w:style w:type="character" w:customStyle="1" w:styleId="CommentSubjectChar">
    <w:name w:val="Comment Subject Char"/>
    <w:basedOn w:val="CommentTextChar"/>
    <w:link w:val="CommentSubject"/>
    <w:uiPriority w:val="99"/>
    <w:semiHidden/>
    <w:rsid w:val="00DA5DCD"/>
    <w:rPr>
      <w:b/>
      <w:bCs/>
      <w:sz w:val="20"/>
      <w:szCs w:val="20"/>
    </w:rPr>
  </w:style>
  <w:style w:type="character" w:customStyle="1" w:styleId="Heading1Char">
    <w:name w:val="Heading 1 Char"/>
    <w:basedOn w:val="DefaultParagraphFont"/>
    <w:link w:val="Heading1"/>
    <w:uiPriority w:val="9"/>
    <w:rsid w:val="005D531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D5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11"/>
  </w:style>
  <w:style w:type="paragraph" w:styleId="Footer">
    <w:name w:val="footer"/>
    <w:basedOn w:val="Normal"/>
    <w:link w:val="FooterChar"/>
    <w:uiPriority w:val="99"/>
    <w:unhideWhenUsed/>
    <w:rsid w:val="005D5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11"/>
  </w:style>
  <w:style w:type="paragraph" w:styleId="Revision">
    <w:name w:val="Revision"/>
    <w:hidden/>
    <w:uiPriority w:val="99"/>
    <w:semiHidden/>
    <w:rsid w:val="00DF61F8"/>
    <w:pPr>
      <w:spacing w:after="0" w:line="240" w:lineRule="auto"/>
    </w:pPr>
  </w:style>
  <w:style w:type="table" w:customStyle="1" w:styleId="2paprastojilentel1">
    <w:name w:val="2 paprastoji lentelė1"/>
    <w:basedOn w:val="TableNormal"/>
    <w:uiPriority w:val="42"/>
    <w:rsid w:val="000D49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AA660D"/>
  </w:style>
  <w:style w:type="paragraph" w:styleId="ListParagraph">
    <w:name w:val="List Paragraph"/>
    <w:basedOn w:val="Normal"/>
    <w:uiPriority w:val="34"/>
    <w:qFormat/>
    <w:rsid w:val="00E60BE1"/>
    <w:pPr>
      <w:ind w:left="720"/>
      <w:contextualSpacing/>
    </w:pPr>
  </w:style>
  <w:style w:type="table" w:styleId="TableGrid">
    <w:name w:val="Table Grid"/>
    <w:basedOn w:val="TableNormal"/>
    <w:uiPriority w:val="39"/>
    <w:rsid w:val="00BB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中等深浅列表 11"/>
    <w:basedOn w:val="TableNormal"/>
    <w:uiPriority w:val="65"/>
    <w:rsid w:val="00BB1B3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FootnoteText">
    <w:name w:val="footnote text"/>
    <w:basedOn w:val="Normal"/>
    <w:link w:val="FootnoteTextChar"/>
    <w:uiPriority w:val="99"/>
    <w:semiHidden/>
    <w:unhideWhenUsed/>
    <w:rsid w:val="00134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6FA"/>
    <w:rPr>
      <w:sz w:val="20"/>
      <w:szCs w:val="20"/>
    </w:rPr>
  </w:style>
  <w:style w:type="character" w:styleId="FootnoteReference">
    <w:name w:val="footnote reference"/>
    <w:basedOn w:val="DefaultParagraphFont"/>
    <w:uiPriority w:val="99"/>
    <w:semiHidden/>
    <w:unhideWhenUsed/>
    <w:rsid w:val="001346FA"/>
    <w:rPr>
      <w:vertAlign w:val="superscript"/>
    </w:rPr>
  </w:style>
  <w:style w:type="paragraph" w:customStyle="1" w:styleId="1">
    <w:name w:val="正文1"/>
    <w:uiPriority w:val="99"/>
    <w:rsid w:val="00F934F0"/>
    <w:pPr>
      <w:spacing w:after="0" w:line="276" w:lineRule="auto"/>
    </w:pPr>
    <w:rPr>
      <w:rFonts w:ascii="Arial" w:eastAsia="SimSun" w:hAnsi="Arial" w:cs="Arial"/>
      <w:color w:val="000000"/>
      <w:szCs w:val="20"/>
      <w:lang w:val="pl-PL" w:eastAsia="pl-PL"/>
    </w:rPr>
  </w:style>
  <w:style w:type="paragraph" w:customStyle="1" w:styleId="p1">
    <w:name w:val="p1"/>
    <w:basedOn w:val="Normal"/>
    <w:rsid w:val="00F934F0"/>
    <w:pPr>
      <w:spacing w:after="0" w:line="240" w:lineRule="auto"/>
    </w:pPr>
    <w:rPr>
      <w:rFonts w:ascii="Helvetica"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6433">
      <w:bodyDiv w:val="1"/>
      <w:marLeft w:val="0"/>
      <w:marRight w:val="0"/>
      <w:marTop w:val="0"/>
      <w:marBottom w:val="0"/>
      <w:divBdr>
        <w:top w:val="none" w:sz="0" w:space="0" w:color="auto"/>
        <w:left w:val="none" w:sz="0" w:space="0" w:color="auto"/>
        <w:bottom w:val="none" w:sz="0" w:space="0" w:color="auto"/>
        <w:right w:val="none" w:sz="0" w:space="0" w:color="auto"/>
      </w:divBdr>
    </w:div>
    <w:div w:id="34275549">
      <w:bodyDiv w:val="1"/>
      <w:marLeft w:val="0"/>
      <w:marRight w:val="0"/>
      <w:marTop w:val="0"/>
      <w:marBottom w:val="0"/>
      <w:divBdr>
        <w:top w:val="none" w:sz="0" w:space="0" w:color="auto"/>
        <w:left w:val="none" w:sz="0" w:space="0" w:color="auto"/>
        <w:bottom w:val="none" w:sz="0" w:space="0" w:color="auto"/>
        <w:right w:val="none" w:sz="0" w:space="0" w:color="auto"/>
      </w:divBdr>
    </w:div>
    <w:div w:id="97525955">
      <w:bodyDiv w:val="1"/>
      <w:marLeft w:val="0"/>
      <w:marRight w:val="0"/>
      <w:marTop w:val="0"/>
      <w:marBottom w:val="0"/>
      <w:divBdr>
        <w:top w:val="none" w:sz="0" w:space="0" w:color="auto"/>
        <w:left w:val="none" w:sz="0" w:space="0" w:color="auto"/>
        <w:bottom w:val="none" w:sz="0" w:space="0" w:color="auto"/>
        <w:right w:val="none" w:sz="0" w:space="0" w:color="auto"/>
      </w:divBdr>
    </w:div>
    <w:div w:id="224607154">
      <w:bodyDiv w:val="1"/>
      <w:marLeft w:val="0"/>
      <w:marRight w:val="0"/>
      <w:marTop w:val="0"/>
      <w:marBottom w:val="0"/>
      <w:divBdr>
        <w:top w:val="none" w:sz="0" w:space="0" w:color="auto"/>
        <w:left w:val="none" w:sz="0" w:space="0" w:color="auto"/>
        <w:bottom w:val="none" w:sz="0" w:space="0" w:color="auto"/>
        <w:right w:val="none" w:sz="0" w:space="0" w:color="auto"/>
      </w:divBdr>
    </w:div>
    <w:div w:id="298724462">
      <w:bodyDiv w:val="1"/>
      <w:marLeft w:val="0"/>
      <w:marRight w:val="0"/>
      <w:marTop w:val="0"/>
      <w:marBottom w:val="0"/>
      <w:divBdr>
        <w:top w:val="none" w:sz="0" w:space="0" w:color="auto"/>
        <w:left w:val="none" w:sz="0" w:space="0" w:color="auto"/>
        <w:bottom w:val="none" w:sz="0" w:space="0" w:color="auto"/>
        <w:right w:val="none" w:sz="0" w:space="0" w:color="auto"/>
      </w:divBdr>
    </w:div>
    <w:div w:id="302083148">
      <w:bodyDiv w:val="1"/>
      <w:marLeft w:val="0"/>
      <w:marRight w:val="0"/>
      <w:marTop w:val="0"/>
      <w:marBottom w:val="0"/>
      <w:divBdr>
        <w:top w:val="none" w:sz="0" w:space="0" w:color="auto"/>
        <w:left w:val="none" w:sz="0" w:space="0" w:color="auto"/>
        <w:bottom w:val="none" w:sz="0" w:space="0" w:color="auto"/>
        <w:right w:val="none" w:sz="0" w:space="0" w:color="auto"/>
      </w:divBdr>
    </w:div>
    <w:div w:id="466314077">
      <w:bodyDiv w:val="1"/>
      <w:marLeft w:val="0"/>
      <w:marRight w:val="0"/>
      <w:marTop w:val="0"/>
      <w:marBottom w:val="0"/>
      <w:divBdr>
        <w:top w:val="none" w:sz="0" w:space="0" w:color="auto"/>
        <w:left w:val="none" w:sz="0" w:space="0" w:color="auto"/>
        <w:bottom w:val="none" w:sz="0" w:space="0" w:color="auto"/>
        <w:right w:val="none" w:sz="0" w:space="0" w:color="auto"/>
      </w:divBdr>
    </w:div>
    <w:div w:id="488712884">
      <w:bodyDiv w:val="1"/>
      <w:marLeft w:val="0"/>
      <w:marRight w:val="0"/>
      <w:marTop w:val="0"/>
      <w:marBottom w:val="0"/>
      <w:divBdr>
        <w:top w:val="none" w:sz="0" w:space="0" w:color="auto"/>
        <w:left w:val="none" w:sz="0" w:space="0" w:color="auto"/>
        <w:bottom w:val="none" w:sz="0" w:space="0" w:color="auto"/>
        <w:right w:val="none" w:sz="0" w:space="0" w:color="auto"/>
      </w:divBdr>
    </w:div>
    <w:div w:id="498540387">
      <w:bodyDiv w:val="1"/>
      <w:marLeft w:val="0"/>
      <w:marRight w:val="0"/>
      <w:marTop w:val="0"/>
      <w:marBottom w:val="0"/>
      <w:divBdr>
        <w:top w:val="none" w:sz="0" w:space="0" w:color="auto"/>
        <w:left w:val="none" w:sz="0" w:space="0" w:color="auto"/>
        <w:bottom w:val="none" w:sz="0" w:space="0" w:color="auto"/>
        <w:right w:val="none" w:sz="0" w:space="0" w:color="auto"/>
      </w:divBdr>
    </w:div>
    <w:div w:id="518086222">
      <w:bodyDiv w:val="1"/>
      <w:marLeft w:val="0"/>
      <w:marRight w:val="0"/>
      <w:marTop w:val="0"/>
      <w:marBottom w:val="0"/>
      <w:divBdr>
        <w:top w:val="none" w:sz="0" w:space="0" w:color="auto"/>
        <w:left w:val="none" w:sz="0" w:space="0" w:color="auto"/>
        <w:bottom w:val="none" w:sz="0" w:space="0" w:color="auto"/>
        <w:right w:val="none" w:sz="0" w:space="0" w:color="auto"/>
      </w:divBdr>
    </w:div>
    <w:div w:id="552548567">
      <w:bodyDiv w:val="1"/>
      <w:marLeft w:val="0"/>
      <w:marRight w:val="0"/>
      <w:marTop w:val="0"/>
      <w:marBottom w:val="0"/>
      <w:divBdr>
        <w:top w:val="none" w:sz="0" w:space="0" w:color="auto"/>
        <w:left w:val="none" w:sz="0" w:space="0" w:color="auto"/>
        <w:bottom w:val="none" w:sz="0" w:space="0" w:color="auto"/>
        <w:right w:val="none" w:sz="0" w:space="0" w:color="auto"/>
      </w:divBdr>
    </w:div>
    <w:div w:id="573395993">
      <w:bodyDiv w:val="1"/>
      <w:marLeft w:val="0"/>
      <w:marRight w:val="0"/>
      <w:marTop w:val="0"/>
      <w:marBottom w:val="0"/>
      <w:divBdr>
        <w:top w:val="none" w:sz="0" w:space="0" w:color="auto"/>
        <w:left w:val="none" w:sz="0" w:space="0" w:color="auto"/>
        <w:bottom w:val="none" w:sz="0" w:space="0" w:color="auto"/>
        <w:right w:val="none" w:sz="0" w:space="0" w:color="auto"/>
      </w:divBdr>
    </w:div>
    <w:div w:id="737747543">
      <w:bodyDiv w:val="1"/>
      <w:marLeft w:val="0"/>
      <w:marRight w:val="0"/>
      <w:marTop w:val="0"/>
      <w:marBottom w:val="0"/>
      <w:divBdr>
        <w:top w:val="none" w:sz="0" w:space="0" w:color="auto"/>
        <w:left w:val="none" w:sz="0" w:space="0" w:color="auto"/>
        <w:bottom w:val="none" w:sz="0" w:space="0" w:color="auto"/>
        <w:right w:val="none" w:sz="0" w:space="0" w:color="auto"/>
      </w:divBdr>
    </w:div>
    <w:div w:id="747071263">
      <w:bodyDiv w:val="1"/>
      <w:marLeft w:val="0"/>
      <w:marRight w:val="0"/>
      <w:marTop w:val="0"/>
      <w:marBottom w:val="0"/>
      <w:divBdr>
        <w:top w:val="none" w:sz="0" w:space="0" w:color="auto"/>
        <w:left w:val="none" w:sz="0" w:space="0" w:color="auto"/>
        <w:bottom w:val="none" w:sz="0" w:space="0" w:color="auto"/>
        <w:right w:val="none" w:sz="0" w:space="0" w:color="auto"/>
      </w:divBdr>
    </w:div>
    <w:div w:id="914245645">
      <w:bodyDiv w:val="1"/>
      <w:marLeft w:val="0"/>
      <w:marRight w:val="0"/>
      <w:marTop w:val="0"/>
      <w:marBottom w:val="0"/>
      <w:divBdr>
        <w:top w:val="none" w:sz="0" w:space="0" w:color="auto"/>
        <w:left w:val="none" w:sz="0" w:space="0" w:color="auto"/>
        <w:bottom w:val="none" w:sz="0" w:space="0" w:color="auto"/>
        <w:right w:val="none" w:sz="0" w:space="0" w:color="auto"/>
      </w:divBdr>
    </w:div>
    <w:div w:id="948004364">
      <w:bodyDiv w:val="1"/>
      <w:marLeft w:val="0"/>
      <w:marRight w:val="0"/>
      <w:marTop w:val="0"/>
      <w:marBottom w:val="0"/>
      <w:divBdr>
        <w:top w:val="none" w:sz="0" w:space="0" w:color="auto"/>
        <w:left w:val="none" w:sz="0" w:space="0" w:color="auto"/>
        <w:bottom w:val="none" w:sz="0" w:space="0" w:color="auto"/>
        <w:right w:val="none" w:sz="0" w:space="0" w:color="auto"/>
      </w:divBdr>
    </w:div>
    <w:div w:id="1007052092">
      <w:bodyDiv w:val="1"/>
      <w:marLeft w:val="0"/>
      <w:marRight w:val="0"/>
      <w:marTop w:val="0"/>
      <w:marBottom w:val="0"/>
      <w:divBdr>
        <w:top w:val="none" w:sz="0" w:space="0" w:color="auto"/>
        <w:left w:val="none" w:sz="0" w:space="0" w:color="auto"/>
        <w:bottom w:val="none" w:sz="0" w:space="0" w:color="auto"/>
        <w:right w:val="none" w:sz="0" w:space="0" w:color="auto"/>
      </w:divBdr>
    </w:div>
    <w:div w:id="1015349742">
      <w:bodyDiv w:val="1"/>
      <w:marLeft w:val="0"/>
      <w:marRight w:val="0"/>
      <w:marTop w:val="0"/>
      <w:marBottom w:val="0"/>
      <w:divBdr>
        <w:top w:val="none" w:sz="0" w:space="0" w:color="auto"/>
        <w:left w:val="none" w:sz="0" w:space="0" w:color="auto"/>
        <w:bottom w:val="none" w:sz="0" w:space="0" w:color="auto"/>
        <w:right w:val="none" w:sz="0" w:space="0" w:color="auto"/>
      </w:divBdr>
    </w:div>
    <w:div w:id="1131099250">
      <w:bodyDiv w:val="1"/>
      <w:marLeft w:val="0"/>
      <w:marRight w:val="0"/>
      <w:marTop w:val="0"/>
      <w:marBottom w:val="0"/>
      <w:divBdr>
        <w:top w:val="none" w:sz="0" w:space="0" w:color="auto"/>
        <w:left w:val="none" w:sz="0" w:space="0" w:color="auto"/>
        <w:bottom w:val="none" w:sz="0" w:space="0" w:color="auto"/>
        <w:right w:val="none" w:sz="0" w:space="0" w:color="auto"/>
      </w:divBdr>
    </w:div>
    <w:div w:id="1154570109">
      <w:bodyDiv w:val="1"/>
      <w:marLeft w:val="0"/>
      <w:marRight w:val="0"/>
      <w:marTop w:val="0"/>
      <w:marBottom w:val="0"/>
      <w:divBdr>
        <w:top w:val="none" w:sz="0" w:space="0" w:color="auto"/>
        <w:left w:val="none" w:sz="0" w:space="0" w:color="auto"/>
        <w:bottom w:val="none" w:sz="0" w:space="0" w:color="auto"/>
        <w:right w:val="none" w:sz="0" w:space="0" w:color="auto"/>
      </w:divBdr>
    </w:div>
    <w:div w:id="1192377146">
      <w:bodyDiv w:val="1"/>
      <w:marLeft w:val="0"/>
      <w:marRight w:val="0"/>
      <w:marTop w:val="0"/>
      <w:marBottom w:val="0"/>
      <w:divBdr>
        <w:top w:val="none" w:sz="0" w:space="0" w:color="auto"/>
        <w:left w:val="none" w:sz="0" w:space="0" w:color="auto"/>
        <w:bottom w:val="none" w:sz="0" w:space="0" w:color="auto"/>
        <w:right w:val="none" w:sz="0" w:space="0" w:color="auto"/>
      </w:divBdr>
    </w:div>
    <w:div w:id="1280139105">
      <w:bodyDiv w:val="1"/>
      <w:marLeft w:val="0"/>
      <w:marRight w:val="0"/>
      <w:marTop w:val="0"/>
      <w:marBottom w:val="0"/>
      <w:divBdr>
        <w:top w:val="none" w:sz="0" w:space="0" w:color="auto"/>
        <w:left w:val="none" w:sz="0" w:space="0" w:color="auto"/>
        <w:bottom w:val="none" w:sz="0" w:space="0" w:color="auto"/>
        <w:right w:val="none" w:sz="0" w:space="0" w:color="auto"/>
      </w:divBdr>
    </w:div>
    <w:div w:id="1285841782">
      <w:bodyDiv w:val="1"/>
      <w:marLeft w:val="0"/>
      <w:marRight w:val="0"/>
      <w:marTop w:val="0"/>
      <w:marBottom w:val="0"/>
      <w:divBdr>
        <w:top w:val="none" w:sz="0" w:space="0" w:color="auto"/>
        <w:left w:val="none" w:sz="0" w:space="0" w:color="auto"/>
        <w:bottom w:val="none" w:sz="0" w:space="0" w:color="auto"/>
        <w:right w:val="none" w:sz="0" w:space="0" w:color="auto"/>
      </w:divBdr>
    </w:div>
    <w:div w:id="1470705132">
      <w:bodyDiv w:val="1"/>
      <w:marLeft w:val="0"/>
      <w:marRight w:val="0"/>
      <w:marTop w:val="0"/>
      <w:marBottom w:val="0"/>
      <w:divBdr>
        <w:top w:val="none" w:sz="0" w:space="0" w:color="auto"/>
        <w:left w:val="none" w:sz="0" w:space="0" w:color="auto"/>
        <w:bottom w:val="none" w:sz="0" w:space="0" w:color="auto"/>
        <w:right w:val="none" w:sz="0" w:space="0" w:color="auto"/>
      </w:divBdr>
    </w:div>
    <w:div w:id="1685013050">
      <w:bodyDiv w:val="1"/>
      <w:marLeft w:val="0"/>
      <w:marRight w:val="0"/>
      <w:marTop w:val="0"/>
      <w:marBottom w:val="0"/>
      <w:divBdr>
        <w:top w:val="none" w:sz="0" w:space="0" w:color="auto"/>
        <w:left w:val="none" w:sz="0" w:space="0" w:color="auto"/>
        <w:bottom w:val="none" w:sz="0" w:space="0" w:color="auto"/>
        <w:right w:val="none" w:sz="0" w:space="0" w:color="auto"/>
      </w:divBdr>
    </w:div>
    <w:div w:id="1734159346">
      <w:bodyDiv w:val="1"/>
      <w:marLeft w:val="0"/>
      <w:marRight w:val="0"/>
      <w:marTop w:val="0"/>
      <w:marBottom w:val="0"/>
      <w:divBdr>
        <w:top w:val="none" w:sz="0" w:space="0" w:color="auto"/>
        <w:left w:val="none" w:sz="0" w:space="0" w:color="auto"/>
        <w:bottom w:val="none" w:sz="0" w:space="0" w:color="auto"/>
        <w:right w:val="none" w:sz="0" w:space="0" w:color="auto"/>
      </w:divBdr>
    </w:div>
    <w:div w:id="1772431146">
      <w:bodyDiv w:val="1"/>
      <w:marLeft w:val="0"/>
      <w:marRight w:val="0"/>
      <w:marTop w:val="0"/>
      <w:marBottom w:val="0"/>
      <w:divBdr>
        <w:top w:val="none" w:sz="0" w:space="0" w:color="auto"/>
        <w:left w:val="none" w:sz="0" w:space="0" w:color="auto"/>
        <w:bottom w:val="none" w:sz="0" w:space="0" w:color="auto"/>
        <w:right w:val="none" w:sz="0" w:space="0" w:color="auto"/>
      </w:divBdr>
    </w:div>
    <w:div w:id="1877892744">
      <w:bodyDiv w:val="1"/>
      <w:marLeft w:val="0"/>
      <w:marRight w:val="0"/>
      <w:marTop w:val="0"/>
      <w:marBottom w:val="0"/>
      <w:divBdr>
        <w:top w:val="none" w:sz="0" w:space="0" w:color="auto"/>
        <w:left w:val="none" w:sz="0" w:space="0" w:color="auto"/>
        <w:bottom w:val="none" w:sz="0" w:space="0" w:color="auto"/>
        <w:right w:val="none" w:sz="0" w:space="0" w:color="auto"/>
      </w:divBdr>
    </w:div>
    <w:div w:id="1945965448">
      <w:bodyDiv w:val="1"/>
      <w:marLeft w:val="0"/>
      <w:marRight w:val="0"/>
      <w:marTop w:val="0"/>
      <w:marBottom w:val="0"/>
      <w:divBdr>
        <w:top w:val="none" w:sz="0" w:space="0" w:color="auto"/>
        <w:left w:val="none" w:sz="0" w:space="0" w:color="auto"/>
        <w:bottom w:val="none" w:sz="0" w:space="0" w:color="auto"/>
        <w:right w:val="none" w:sz="0" w:space="0" w:color="auto"/>
      </w:divBdr>
    </w:div>
    <w:div w:id="1948192920">
      <w:bodyDiv w:val="1"/>
      <w:marLeft w:val="0"/>
      <w:marRight w:val="0"/>
      <w:marTop w:val="0"/>
      <w:marBottom w:val="0"/>
      <w:divBdr>
        <w:top w:val="none" w:sz="0" w:space="0" w:color="auto"/>
        <w:left w:val="none" w:sz="0" w:space="0" w:color="auto"/>
        <w:bottom w:val="none" w:sz="0" w:space="0" w:color="auto"/>
        <w:right w:val="none" w:sz="0" w:space="0" w:color="auto"/>
      </w:divBdr>
    </w:div>
    <w:div w:id="1972976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rtotojas\Desktop\Sigitos\0000-0002-7324-1425" TargetMode="External"/><Relationship Id="rId13" Type="http://schemas.openxmlformats.org/officeDocument/2006/relationships/hyperlink" Target="file:///C:\Users\Vartotojas\Desktop\Sigitos\0000-0002-9514-4562"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tiff"/><Relationship Id="rId7" Type="http://schemas.openxmlformats.org/officeDocument/2006/relationships/endnotes" Target="endnotes.xml"/><Relationship Id="rId12" Type="http://schemas.openxmlformats.org/officeDocument/2006/relationships/hyperlink" Target="file:///C:\Users\Vartotojas\Desktop\Sigitos\0000-0001-6069-7899"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 TargetMode="External"/><Relationship Id="rId20"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artotojas\Desktop\Sigitos\0000-0002-8689-9023" TargetMode="External"/><Relationship Id="rId24" Type="http://schemas.openxmlformats.org/officeDocument/2006/relationships/image" Target="media/image8.tiff"/><Relationship Id="rId5" Type="http://schemas.openxmlformats.org/officeDocument/2006/relationships/webSettings" Target="webSettings.xml"/><Relationship Id="rId15" Type="http://schemas.openxmlformats.org/officeDocument/2006/relationships/hyperlink" Target="http://creativecommons.org/licenses/by-nc/4.0/" TargetMode="External"/><Relationship Id="rId23" Type="http://schemas.openxmlformats.org/officeDocument/2006/relationships/image" Target="media/image7.tiff"/><Relationship Id="rId10" Type="http://schemas.openxmlformats.org/officeDocument/2006/relationships/hyperlink" Target="file:///C:\Users\Vartotojas\Desktop\Sigitos\0000-0001-7204-0106" TargetMode="External"/><Relationship Id="rId19"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hyperlink" Target="file:///C:\Users\Vartotojas\Desktop\Sigitos\0000-0002-4893-6612" TargetMode="External"/><Relationship Id="rId14" Type="http://schemas.openxmlformats.org/officeDocument/2006/relationships/hyperlink" Target="https://orcid.org/0000-0002-8760-7416" TargetMode="External"/><Relationship Id="rId22"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EE53A-238C-4CF9-BBC1-BCBFC184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31232</Words>
  <Characters>178029</Characters>
  <Application>Microsoft Office Word</Application>
  <DocSecurity>0</DocSecurity>
  <Lines>1483</Lines>
  <Paragraphs>417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Gelman</dc:creator>
  <cp:lastModifiedBy>Lian-Sheng Ma</cp:lastModifiedBy>
  <cp:revision>2</cp:revision>
  <dcterms:created xsi:type="dcterms:W3CDTF">2019-04-29T10:01:00Z</dcterms:created>
  <dcterms:modified xsi:type="dcterms:W3CDTF">2019-04-29T10:01:00Z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a42f32e6-5428-374f-a616-c3ec555cdca7</vt:lpwstr>
  </property>
  <property fmtid="{D5CDD505-2E9C-101B-9397-08002B2CF9AE}" pid="24" name="Mendeley Citation Style_1">
    <vt:lpwstr>http://www.zotero.org/styles/american-medical-association</vt:lpwstr>
  </property>
</Properties>
</file>