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38F3" w14:textId="77777777" w:rsidR="009D6628" w:rsidRPr="00E901BF" w:rsidRDefault="009D6628" w:rsidP="00E901BF">
      <w:pPr>
        <w:spacing w:after="0" w:line="360" w:lineRule="auto"/>
        <w:jc w:val="both"/>
        <w:rPr>
          <w:rFonts w:ascii="Book Antiqua" w:eastAsia="BookAntiqua" w:hAnsi="Book Antiqua" w:cs="Calibri"/>
          <w:bCs/>
          <w:sz w:val="24"/>
          <w:szCs w:val="24"/>
          <w:lang w:bidi="ar"/>
        </w:rPr>
      </w:pPr>
      <w:r w:rsidRPr="00E901BF">
        <w:rPr>
          <w:rFonts w:ascii="Book Antiqua" w:eastAsia="BookAntiqua" w:hAnsi="Book Antiqua" w:cs="Calibri"/>
          <w:b/>
          <w:sz w:val="24"/>
          <w:szCs w:val="24"/>
          <w:lang w:bidi="ar"/>
        </w:rPr>
        <w:t xml:space="preserve">Name of Journal: </w:t>
      </w:r>
      <w:r w:rsidRPr="00E901BF">
        <w:rPr>
          <w:rFonts w:ascii="Book Antiqua" w:eastAsia="BookAntiqua" w:hAnsi="Book Antiqua" w:cs="Calibri"/>
          <w:bCs/>
          <w:i/>
          <w:sz w:val="24"/>
          <w:szCs w:val="24"/>
          <w:lang w:bidi="ar"/>
        </w:rPr>
        <w:t>World Journal of Gastrointestinal Oncology</w:t>
      </w:r>
    </w:p>
    <w:p w14:paraId="512D9EE3" w14:textId="41436A43" w:rsidR="009D6628" w:rsidRPr="00E901BF" w:rsidRDefault="009D6628" w:rsidP="00E901BF">
      <w:pPr>
        <w:pStyle w:val="NormalWeb"/>
        <w:widowControl/>
        <w:spacing w:before="0" w:beforeAutospacing="0" w:after="0" w:afterAutospacing="0" w:line="360" w:lineRule="auto"/>
        <w:jc w:val="both"/>
        <w:rPr>
          <w:rFonts w:ascii="Book Antiqua" w:eastAsia="BookAntiqua" w:hAnsi="Book Antiqua" w:cs="Calibri"/>
          <w:bCs/>
          <w:szCs w:val="24"/>
          <w:lang w:bidi="ar"/>
        </w:rPr>
      </w:pPr>
      <w:r w:rsidRPr="00E901BF">
        <w:rPr>
          <w:rFonts w:ascii="Book Antiqua" w:eastAsia="BookAntiqua" w:hAnsi="Book Antiqua" w:cs="Calibri"/>
          <w:b/>
          <w:szCs w:val="24"/>
          <w:lang w:bidi="ar"/>
        </w:rPr>
        <w:t>Manuscript NO:</w:t>
      </w:r>
      <w:r w:rsidRPr="00E901BF">
        <w:rPr>
          <w:rFonts w:ascii="Book Antiqua" w:eastAsia="BookAntiqua" w:hAnsi="Book Antiqua" w:cs="Calibri"/>
          <w:bCs/>
          <w:szCs w:val="24"/>
          <w:lang w:bidi="ar"/>
        </w:rPr>
        <w:t xml:space="preserve"> 47888</w:t>
      </w:r>
    </w:p>
    <w:p w14:paraId="5E50F8F6" w14:textId="41CEFBBF" w:rsidR="00D71225" w:rsidRPr="00E901BF" w:rsidRDefault="009D6628" w:rsidP="00E901BF">
      <w:pPr>
        <w:spacing w:after="0" w:line="360" w:lineRule="auto"/>
        <w:jc w:val="both"/>
        <w:rPr>
          <w:rFonts w:ascii="Book Antiqua" w:eastAsia="BookAntiqua" w:hAnsi="Book Antiqua" w:cs="Calibri"/>
          <w:bCs/>
          <w:sz w:val="24"/>
          <w:szCs w:val="24"/>
          <w:lang w:bidi="ar"/>
        </w:rPr>
      </w:pPr>
      <w:r w:rsidRPr="00E901BF">
        <w:rPr>
          <w:rFonts w:ascii="Book Antiqua" w:eastAsia="BookAntiqua" w:hAnsi="Book Antiqua" w:cs="Calibri"/>
          <w:b/>
          <w:sz w:val="24"/>
          <w:szCs w:val="24"/>
          <w:lang w:bidi="ar"/>
        </w:rPr>
        <w:t xml:space="preserve">Manuscript Type: </w:t>
      </w:r>
      <w:r w:rsidRPr="00E901BF">
        <w:rPr>
          <w:rFonts w:ascii="Book Antiqua" w:eastAsia="BookAntiqua" w:hAnsi="Book Antiqua" w:cs="Calibri"/>
          <w:bCs/>
          <w:sz w:val="24"/>
          <w:szCs w:val="24"/>
          <w:lang w:bidi="ar"/>
        </w:rPr>
        <w:t>MINIREVIEWS</w:t>
      </w:r>
    </w:p>
    <w:p w14:paraId="4145BD6D" w14:textId="77777777" w:rsidR="009D6628" w:rsidRPr="00E901BF" w:rsidRDefault="009D6628" w:rsidP="00E901BF">
      <w:pPr>
        <w:spacing w:after="0" w:line="360" w:lineRule="auto"/>
        <w:jc w:val="both"/>
        <w:rPr>
          <w:rFonts w:ascii="Book Antiqua" w:hAnsi="Book Antiqua" w:cs="Arial"/>
          <w:sz w:val="24"/>
          <w:szCs w:val="24"/>
        </w:rPr>
      </w:pPr>
    </w:p>
    <w:p w14:paraId="636BDABE" w14:textId="72D13458" w:rsidR="00D71225" w:rsidRPr="00E901BF" w:rsidRDefault="00F04A7C" w:rsidP="00E901BF">
      <w:pPr>
        <w:spacing w:after="0" w:line="360" w:lineRule="auto"/>
        <w:jc w:val="both"/>
        <w:rPr>
          <w:rFonts w:ascii="Book Antiqua" w:hAnsi="Book Antiqua" w:cs="Times New Roman"/>
          <w:b/>
          <w:sz w:val="24"/>
          <w:szCs w:val="24"/>
          <w:lang w:val="en-US"/>
        </w:rPr>
      </w:pPr>
      <w:bookmarkStart w:id="0" w:name="OLE_LINK2"/>
      <w:r w:rsidRPr="00E901BF">
        <w:rPr>
          <w:rFonts w:ascii="Book Antiqua" w:hAnsi="Book Antiqua" w:cs="Times New Roman"/>
          <w:b/>
          <w:sz w:val="24"/>
          <w:szCs w:val="24"/>
          <w:lang w:val="en-US"/>
        </w:rPr>
        <w:t xml:space="preserve">Pancreatic ductal adenocarcinoma: </w:t>
      </w:r>
      <w:r w:rsidR="009D6628" w:rsidRPr="00E901BF">
        <w:rPr>
          <w:rFonts w:ascii="Book Antiqua" w:hAnsi="Book Antiqua" w:cs="Times New Roman"/>
          <w:b/>
          <w:sz w:val="24"/>
          <w:szCs w:val="24"/>
          <w:lang w:val="en-US"/>
        </w:rPr>
        <w:t xml:space="preserve">Treatment </w:t>
      </w:r>
      <w:r w:rsidRPr="00E901BF">
        <w:rPr>
          <w:rFonts w:ascii="Book Antiqua" w:hAnsi="Book Antiqua" w:cs="Times New Roman"/>
          <w:b/>
          <w:sz w:val="24"/>
          <w:szCs w:val="24"/>
          <w:lang w:val="en-US"/>
        </w:rPr>
        <w:t>hurdles, tumor microenvironment and immunotherapy</w:t>
      </w:r>
    </w:p>
    <w:bookmarkEnd w:id="0"/>
    <w:p w14:paraId="3BB3A203" w14:textId="77777777" w:rsidR="00D71225" w:rsidRPr="00E901BF" w:rsidRDefault="00D71225" w:rsidP="00E901BF">
      <w:pPr>
        <w:pStyle w:val="PlainText"/>
        <w:spacing w:line="360" w:lineRule="auto"/>
        <w:jc w:val="both"/>
        <w:rPr>
          <w:rFonts w:ascii="Book Antiqua" w:hAnsi="Book Antiqua" w:cs="Times New Roman"/>
          <w:b/>
          <w:sz w:val="24"/>
          <w:szCs w:val="24"/>
          <w:lang w:val="en-US"/>
        </w:rPr>
      </w:pPr>
    </w:p>
    <w:p w14:paraId="50A61867" w14:textId="28C6B7B8" w:rsidR="009D6628" w:rsidRPr="00E901BF" w:rsidRDefault="009D6628" w:rsidP="00E901BF">
      <w:pPr>
        <w:pStyle w:val="PlainText"/>
        <w:spacing w:line="360" w:lineRule="auto"/>
        <w:jc w:val="both"/>
        <w:rPr>
          <w:rFonts w:ascii="Book Antiqua" w:hAnsi="Book Antiqua" w:cs="Times New Roman"/>
          <w:bCs/>
          <w:sz w:val="24"/>
          <w:szCs w:val="24"/>
          <w:lang w:val="en-US"/>
        </w:rPr>
      </w:pPr>
      <w:proofErr w:type="spellStart"/>
      <w:r w:rsidRPr="00E901BF">
        <w:rPr>
          <w:rFonts w:ascii="Book Antiqua" w:hAnsi="Book Antiqua" w:cs="Times New Roman"/>
          <w:bCs/>
          <w:sz w:val="24"/>
          <w:szCs w:val="24"/>
          <w:lang w:val="en-US"/>
        </w:rPr>
        <w:t>Sarantis</w:t>
      </w:r>
      <w:proofErr w:type="spellEnd"/>
      <w:r w:rsidRPr="00E901BF">
        <w:rPr>
          <w:rFonts w:ascii="Book Antiqua" w:hAnsi="Book Antiqua" w:cs="Times New Roman"/>
          <w:bCs/>
          <w:sz w:val="24"/>
          <w:szCs w:val="24"/>
          <w:lang w:val="en-US"/>
        </w:rPr>
        <w:t xml:space="preserve"> P </w:t>
      </w:r>
      <w:r w:rsidRPr="00E901BF">
        <w:rPr>
          <w:rFonts w:ascii="Book Antiqua" w:hAnsi="Book Antiqua" w:cs="Times New Roman"/>
          <w:bCs/>
          <w:i/>
          <w:iCs/>
          <w:sz w:val="24"/>
          <w:szCs w:val="24"/>
          <w:lang w:val="en-US"/>
        </w:rPr>
        <w:t>et al</w:t>
      </w:r>
      <w:r w:rsidRPr="00E901BF">
        <w:rPr>
          <w:rFonts w:ascii="Book Antiqua" w:hAnsi="Book Antiqua" w:cs="Times New Roman"/>
          <w:bCs/>
          <w:sz w:val="24"/>
          <w:szCs w:val="24"/>
          <w:lang w:val="en-US"/>
        </w:rPr>
        <w:t>. Immunotherapy and pancreatic cancer</w:t>
      </w:r>
    </w:p>
    <w:p w14:paraId="016551E0" w14:textId="77777777" w:rsidR="009D6628" w:rsidRPr="00E901BF" w:rsidRDefault="009D6628" w:rsidP="00E901BF">
      <w:pPr>
        <w:pStyle w:val="PlainText"/>
        <w:spacing w:line="360" w:lineRule="auto"/>
        <w:jc w:val="both"/>
        <w:rPr>
          <w:rFonts w:ascii="Book Antiqua" w:hAnsi="Book Antiqua" w:cs="Times New Roman"/>
          <w:bCs/>
          <w:sz w:val="24"/>
          <w:szCs w:val="24"/>
          <w:lang w:val="en-US"/>
        </w:rPr>
      </w:pPr>
    </w:p>
    <w:p w14:paraId="787F6AB2" w14:textId="0F0301B6" w:rsidR="009D6628" w:rsidRPr="00E901BF" w:rsidRDefault="009D6628" w:rsidP="00E901BF">
      <w:pPr>
        <w:pStyle w:val="PlainText"/>
        <w:spacing w:line="360" w:lineRule="auto"/>
        <w:jc w:val="both"/>
        <w:rPr>
          <w:rFonts w:ascii="Book Antiqua" w:hAnsi="Book Antiqua" w:cs="Times New Roman"/>
          <w:bCs/>
          <w:sz w:val="24"/>
          <w:szCs w:val="24"/>
          <w:vertAlign w:val="superscript"/>
          <w:lang w:val="en-US"/>
        </w:rPr>
      </w:pPr>
      <w:r w:rsidRPr="00E901BF">
        <w:rPr>
          <w:rFonts w:ascii="Book Antiqua" w:hAnsi="Book Antiqua" w:cs="Times New Roman"/>
          <w:bCs/>
          <w:sz w:val="24"/>
          <w:szCs w:val="24"/>
          <w:lang w:val="en-US"/>
        </w:rPr>
        <w:t xml:space="preserve">Panagiotis </w:t>
      </w:r>
      <w:bookmarkStart w:id="1" w:name="OLE_LINK1"/>
      <w:proofErr w:type="spellStart"/>
      <w:r w:rsidRPr="00E901BF">
        <w:rPr>
          <w:rFonts w:ascii="Book Antiqua" w:hAnsi="Book Antiqua" w:cs="Times New Roman"/>
          <w:bCs/>
          <w:sz w:val="24"/>
          <w:szCs w:val="24"/>
          <w:lang w:val="en-US"/>
        </w:rPr>
        <w:t>Sarantis</w:t>
      </w:r>
      <w:bookmarkEnd w:id="1"/>
      <w:proofErr w:type="spellEnd"/>
      <w:r w:rsidRPr="00E901BF">
        <w:rPr>
          <w:rFonts w:ascii="Book Antiqua" w:hAnsi="Book Antiqua" w:cs="Times New Roman"/>
          <w:bCs/>
          <w:sz w:val="24"/>
          <w:szCs w:val="24"/>
          <w:lang w:val="en-US"/>
        </w:rPr>
        <w:t xml:space="preserve">, </w:t>
      </w:r>
      <w:proofErr w:type="spellStart"/>
      <w:r w:rsidRPr="00E901BF">
        <w:rPr>
          <w:rFonts w:ascii="Book Antiqua" w:hAnsi="Book Antiqua" w:cs="Times New Roman"/>
          <w:bCs/>
          <w:sz w:val="24"/>
          <w:szCs w:val="24"/>
          <w:lang w:val="en-US"/>
        </w:rPr>
        <w:t>Evangelos</w:t>
      </w:r>
      <w:proofErr w:type="spellEnd"/>
      <w:r w:rsidRPr="00E901BF">
        <w:rPr>
          <w:rFonts w:ascii="Book Antiqua" w:hAnsi="Book Antiqua" w:cs="Times New Roman"/>
          <w:bCs/>
          <w:sz w:val="24"/>
          <w:szCs w:val="24"/>
          <w:lang w:val="en-US"/>
        </w:rPr>
        <w:t xml:space="preserve"> </w:t>
      </w:r>
      <w:proofErr w:type="spellStart"/>
      <w:r w:rsidRPr="00E901BF">
        <w:rPr>
          <w:rFonts w:ascii="Book Antiqua" w:hAnsi="Book Antiqua" w:cs="Times New Roman"/>
          <w:bCs/>
          <w:sz w:val="24"/>
          <w:szCs w:val="24"/>
          <w:lang w:val="en-US"/>
        </w:rPr>
        <w:t>Koustas</w:t>
      </w:r>
      <w:proofErr w:type="spellEnd"/>
      <w:r w:rsidRPr="00E901BF">
        <w:rPr>
          <w:rFonts w:ascii="Book Antiqua" w:hAnsi="Book Antiqua" w:cs="Times New Roman"/>
          <w:bCs/>
          <w:sz w:val="24"/>
          <w:szCs w:val="24"/>
          <w:lang w:val="en-US"/>
        </w:rPr>
        <w:t xml:space="preserve">, Adriana </w:t>
      </w:r>
      <w:proofErr w:type="spellStart"/>
      <w:r w:rsidRPr="00E901BF">
        <w:rPr>
          <w:rFonts w:ascii="Book Antiqua" w:hAnsi="Book Antiqua" w:cs="Times New Roman"/>
          <w:bCs/>
          <w:sz w:val="24"/>
          <w:szCs w:val="24"/>
          <w:lang w:val="en-US"/>
        </w:rPr>
        <w:t>Papadimitropoulou</w:t>
      </w:r>
      <w:proofErr w:type="spellEnd"/>
      <w:r w:rsidRPr="00E901BF">
        <w:rPr>
          <w:rFonts w:ascii="Book Antiqua" w:hAnsi="Book Antiqua" w:cs="Times New Roman"/>
          <w:bCs/>
          <w:sz w:val="24"/>
          <w:szCs w:val="24"/>
          <w:lang w:val="en-US"/>
        </w:rPr>
        <w:t xml:space="preserve">, Athanasios G </w:t>
      </w:r>
      <w:proofErr w:type="spellStart"/>
      <w:r w:rsidRPr="00E901BF">
        <w:rPr>
          <w:rFonts w:ascii="Book Antiqua" w:hAnsi="Book Antiqua" w:cs="Times New Roman"/>
          <w:bCs/>
          <w:sz w:val="24"/>
          <w:szCs w:val="24"/>
          <w:lang w:val="en-US"/>
        </w:rPr>
        <w:t>Papavassiliou</w:t>
      </w:r>
      <w:proofErr w:type="spellEnd"/>
      <w:r w:rsidRPr="00E901BF">
        <w:rPr>
          <w:rFonts w:ascii="Book Antiqua" w:hAnsi="Book Antiqua" w:cs="Times New Roman"/>
          <w:bCs/>
          <w:sz w:val="24"/>
          <w:szCs w:val="24"/>
          <w:lang w:val="en-US"/>
        </w:rPr>
        <w:t xml:space="preserve">, Michalis V </w:t>
      </w:r>
      <w:proofErr w:type="spellStart"/>
      <w:r w:rsidRPr="00E901BF">
        <w:rPr>
          <w:rFonts w:ascii="Book Antiqua" w:hAnsi="Book Antiqua" w:cs="Times New Roman"/>
          <w:bCs/>
          <w:sz w:val="24"/>
          <w:szCs w:val="24"/>
          <w:lang w:val="en-US"/>
        </w:rPr>
        <w:t>Karamouzis</w:t>
      </w:r>
      <w:proofErr w:type="spellEnd"/>
    </w:p>
    <w:p w14:paraId="4B2D27D3" w14:textId="77777777" w:rsidR="009D6628" w:rsidRPr="00E901BF" w:rsidRDefault="009D6628" w:rsidP="00E901BF">
      <w:pPr>
        <w:pStyle w:val="PlainText"/>
        <w:spacing w:line="360" w:lineRule="auto"/>
        <w:jc w:val="both"/>
        <w:rPr>
          <w:rFonts w:ascii="Book Antiqua" w:hAnsi="Book Antiqua" w:cs="Times New Roman"/>
          <w:b/>
          <w:sz w:val="24"/>
          <w:szCs w:val="24"/>
          <w:lang w:val="en-US"/>
        </w:rPr>
      </w:pPr>
    </w:p>
    <w:p w14:paraId="1E5D988E" w14:textId="53832CCA" w:rsidR="009D6628" w:rsidRPr="00E901BF" w:rsidRDefault="009D6628"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b/>
          <w:sz w:val="24"/>
          <w:szCs w:val="24"/>
          <w:lang w:val="en-US"/>
        </w:rPr>
        <w:t xml:space="preserve">Panagiotis </w:t>
      </w:r>
      <w:proofErr w:type="spellStart"/>
      <w:r w:rsidRPr="00E901BF">
        <w:rPr>
          <w:rFonts w:ascii="Book Antiqua" w:hAnsi="Book Antiqua" w:cs="Times New Roman"/>
          <w:b/>
          <w:sz w:val="24"/>
          <w:szCs w:val="24"/>
          <w:lang w:val="en-US"/>
        </w:rPr>
        <w:t>Sarantis</w:t>
      </w:r>
      <w:proofErr w:type="spellEnd"/>
      <w:r w:rsidRPr="00E901BF">
        <w:rPr>
          <w:rFonts w:ascii="Book Antiqua" w:hAnsi="Book Antiqua" w:cs="Times New Roman"/>
          <w:b/>
          <w:sz w:val="24"/>
          <w:szCs w:val="24"/>
          <w:lang w:val="en-US"/>
        </w:rPr>
        <w:t xml:space="preserve">, </w:t>
      </w:r>
      <w:proofErr w:type="spellStart"/>
      <w:r w:rsidRPr="00E901BF">
        <w:rPr>
          <w:rFonts w:ascii="Book Antiqua" w:hAnsi="Book Antiqua" w:cs="Times New Roman"/>
          <w:b/>
          <w:sz w:val="24"/>
          <w:szCs w:val="24"/>
          <w:lang w:val="en-US"/>
        </w:rPr>
        <w:t>Evangelos</w:t>
      </w:r>
      <w:proofErr w:type="spellEnd"/>
      <w:r w:rsidRPr="00E901BF">
        <w:rPr>
          <w:rFonts w:ascii="Book Antiqua" w:hAnsi="Book Antiqua" w:cs="Times New Roman"/>
          <w:b/>
          <w:sz w:val="24"/>
          <w:szCs w:val="24"/>
          <w:lang w:val="en-US"/>
        </w:rPr>
        <w:t xml:space="preserve"> </w:t>
      </w:r>
      <w:proofErr w:type="spellStart"/>
      <w:r w:rsidRPr="00E901BF">
        <w:rPr>
          <w:rFonts w:ascii="Book Antiqua" w:hAnsi="Book Antiqua" w:cs="Times New Roman"/>
          <w:b/>
          <w:sz w:val="24"/>
          <w:szCs w:val="24"/>
          <w:lang w:val="en-US"/>
        </w:rPr>
        <w:t>Koustas</w:t>
      </w:r>
      <w:proofErr w:type="spellEnd"/>
      <w:r w:rsidRPr="00E901BF">
        <w:rPr>
          <w:rFonts w:ascii="Book Antiqua" w:hAnsi="Book Antiqua" w:cs="Times New Roman"/>
          <w:b/>
          <w:sz w:val="24"/>
          <w:szCs w:val="24"/>
          <w:lang w:val="en-US"/>
        </w:rPr>
        <w:t xml:space="preserve">, Athanasios G </w:t>
      </w:r>
      <w:proofErr w:type="spellStart"/>
      <w:r w:rsidRPr="00E901BF">
        <w:rPr>
          <w:rFonts w:ascii="Book Antiqua" w:hAnsi="Book Antiqua" w:cs="Times New Roman"/>
          <w:b/>
          <w:sz w:val="24"/>
          <w:szCs w:val="24"/>
          <w:lang w:val="en-US"/>
        </w:rPr>
        <w:t>Papavassiliou</w:t>
      </w:r>
      <w:proofErr w:type="spellEnd"/>
      <w:r w:rsidRPr="00E901BF">
        <w:rPr>
          <w:rFonts w:ascii="Book Antiqua" w:hAnsi="Book Antiqua" w:cs="Times New Roman"/>
          <w:b/>
          <w:sz w:val="24"/>
          <w:szCs w:val="24"/>
          <w:lang w:val="en-US"/>
        </w:rPr>
        <w:t xml:space="preserve">, Michalis V </w:t>
      </w:r>
      <w:proofErr w:type="spellStart"/>
      <w:r w:rsidRPr="00E901BF">
        <w:rPr>
          <w:rFonts w:ascii="Book Antiqua" w:hAnsi="Book Antiqua" w:cs="Times New Roman"/>
          <w:b/>
          <w:sz w:val="24"/>
          <w:szCs w:val="24"/>
          <w:lang w:val="en-US"/>
        </w:rPr>
        <w:t>Karamouzis</w:t>
      </w:r>
      <w:proofErr w:type="spellEnd"/>
      <w:r w:rsidRPr="00E901BF">
        <w:rPr>
          <w:rFonts w:ascii="Book Antiqua" w:hAnsi="Book Antiqua" w:cs="Times New Roman"/>
          <w:b/>
          <w:sz w:val="24"/>
          <w:szCs w:val="24"/>
          <w:lang w:val="en-US"/>
        </w:rPr>
        <w:t>,</w:t>
      </w:r>
      <w:r w:rsidRPr="00E901BF">
        <w:rPr>
          <w:rFonts w:ascii="Book Antiqua" w:hAnsi="Book Antiqua" w:cs="Times New Roman"/>
          <w:sz w:val="24"/>
          <w:szCs w:val="24"/>
          <w:lang w:val="en-US"/>
        </w:rPr>
        <w:t xml:space="preserve"> Molecular Oncology Unit, Department of Biological Chemistry, Medical School, National and </w:t>
      </w:r>
      <w:proofErr w:type="spellStart"/>
      <w:r w:rsidRPr="00E901BF">
        <w:rPr>
          <w:rFonts w:ascii="Book Antiqua" w:hAnsi="Book Antiqua" w:cs="Times New Roman"/>
          <w:sz w:val="24"/>
          <w:szCs w:val="24"/>
          <w:lang w:val="en-US"/>
        </w:rPr>
        <w:t>Kapodistrian</w:t>
      </w:r>
      <w:proofErr w:type="spellEnd"/>
      <w:r w:rsidRPr="00E901BF">
        <w:rPr>
          <w:rFonts w:ascii="Book Antiqua" w:hAnsi="Book Antiqua" w:cs="Times New Roman"/>
          <w:sz w:val="24"/>
          <w:szCs w:val="24"/>
          <w:lang w:val="en-US"/>
        </w:rPr>
        <w:t xml:space="preserve"> University of Athens, Athens 11527, Greece</w:t>
      </w:r>
    </w:p>
    <w:p w14:paraId="2312A073" w14:textId="77777777" w:rsidR="009D6628" w:rsidRPr="00E901BF" w:rsidRDefault="009D6628" w:rsidP="00E901BF">
      <w:pPr>
        <w:spacing w:after="0" w:line="360" w:lineRule="auto"/>
        <w:jc w:val="both"/>
        <w:rPr>
          <w:rFonts w:ascii="Book Antiqua" w:hAnsi="Book Antiqua" w:cs="Times New Roman"/>
          <w:sz w:val="24"/>
          <w:szCs w:val="24"/>
          <w:lang w:val="en-US"/>
        </w:rPr>
      </w:pPr>
    </w:p>
    <w:p w14:paraId="07B23D55" w14:textId="3680F05F" w:rsidR="009D6628" w:rsidRPr="00E901BF" w:rsidRDefault="009D6628"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b/>
          <w:sz w:val="24"/>
          <w:szCs w:val="24"/>
          <w:lang w:val="en-US"/>
        </w:rPr>
        <w:t xml:space="preserve">Adriana </w:t>
      </w:r>
      <w:proofErr w:type="spellStart"/>
      <w:r w:rsidRPr="00E901BF">
        <w:rPr>
          <w:rFonts w:ascii="Book Antiqua" w:hAnsi="Book Antiqua" w:cs="Times New Roman"/>
          <w:b/>
          <w:sz w:val="24"/>
          <w:szCs w:val="24"/>
          <w:lang w:val="en-US"/>
        </w:rPr>
        <w:t>Papadimitropoulou</w:t>
      </w:r>
      <w:proofErr w:type="spellEnd"/>
      <w:r w:rsidRPr="00E901BF">
        <w:rPr>
          <w:rFonts w:ascii="Book Antiqua" w:hAnsi="Book Antiqua" w:cs="Times New Roman"/>
          <w:b/>
          <w:sz w:val="24"/>
          <w:szCs w:val="24"/>
          <w:lang w:val="en-US" w:eastAsia="zh-CN"/>
        </w:rPr>
        <w:t>,</w:t>
      </w:r>
      <w:r w:rsidRPr="00E901BF">
        <w:rPr>
          <w:rFonts w:ascii="Book Antiqua" w:hAnsi="Book Antiqua" w:cs="Times New Roman"/>
          <w:sz w:val="24"/>
          <w:szCs w:val="24"/>
          <w:lang w:val="en-US"/>
        </w:rPr>
        <w:t xml:space="preserve"> Center of Basic Research, Biomedical Research Foundation of the Academy of Athens, Athens 11527, Greece</w:t>
      </w:r>
    </w:p>
    <w:p w14:paraId="00D04E2A" w14:textId="77777777" w:rsidR="009D6628" w:rsidRPr="00E901BF" w:rsidRDefault="009D6628" w:rsidP="00E901BF">
      <w:pPr>
        <w:spacing w:after="0" w:line="360" w:lineRule="auto"/>
        <w:jc w:val="both"/>
        <w:rPr>
          <w:rFonts w:ascii="Book Antiqua" w:hAnsi="Book Antiqua" w:cs="Times New Roman"/>
          <w:sz w:val="24"/>
          <w:szCs w:val="24"/>
          <w:vertAlign w:val="superscript"/>
          <w:lang w:val="en-US"/>
        </w:rPr>
      </w:pPr>
    </w:p>
    <w:p w14:paraId="5BE78CC4" w14:textId="3B07A9B3" w:rsidR="009D6628" w:rsidRPr="00E901BF" w:rsidRDefault="009D6628"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b/>
          <w:sz w:val="24"/>
          <w:szCs w:val="24"/>
          <w:lang w:val="en-US"/>
        </w:rPr>
        <w:t xml:space="preserve">Michalis V </w:t>
      </w:r>
      <w:proofErr w:type="spellStart"/>
      <w:r w:rsidRPr="00E901BF">
        <w:rPr>
          <w:rFonts w:ascii="Book Antiqua" w:hAnsi="Book Antiqua" w:cs="Times New Roman"/>
          <w:b/>
          <w:sz w:val="24"/>
          <w:szCs w:val="24"/>
          <w:lang w:val="en-US"/>
        </w:rPr>
        <w:t>Karamouzis</w:t>
      </w:r>
      <w:proofErr w:type="spellEnd"/>
      <w:r w:rsidRPr="00E901BF">
        <w:rPr>
          <w:rFonts w:ascii="Book Antiqua" w:hAnsi="Book Antiqua" w:cs="Times New Roman"/>
          <w:b/>
          <w:sz w:val="24"/>
          <w:szCs w:val="24"/>
          <w:lang w:val="en-US"/>
        </w:rPr>
        <w:t>,</w:t>
      </w:r>
      <w:r w:rsidRPr="00E901BF">
        <w:rPr>
          <w:rFonts w:ascii="Book Antiqua" w:hAnsi="Book Antiqua" w:cs="Times New Roman"/>
          <w:sz w:val="24"/>
          <w:szCs w:val="24"/>
          <w:lang w:val="en-US"/>
        </w:rPr>
        <w:t xml:space="preserve"> First Department of Internal Medicine, “</w:t>
      </w:r>
      <w:proofErr w:type="spellStart"/>
      <w:r w:rsidRPr="00E901BF">
        <w:rPr>
          <w:rFonts w:ascii="Book Antiqua" w:hAnsi="Book Antiqua" w:cs="Times New Roman"/>
          <w:sz w:val="24"/>
          <w:szCs w:val="24"/>
          <w:lang w:val="en-US"/>
        </w:rPr>
        <w:t>Laiko</w:t>
      </w:r>
      <w:proofErr w:type="spellEnd"/>
      <w:r w:rsidRPr="00E901BF">
        <w:rPr>
          <w:rFonts w:ascii="Book Antiqua" w:hAnsi="Book Antiqua" w:cs="Times New Roman"/>
          <w:sz w:val="24"/>
          <w:szCs w:val="24"/>
          <w:lang w:val="en-US"/>
        </w:rPr>
        <w:t xml:space="preserve">” General Hospital, Medical School, National and </w:t>
      </w:r>
      <w:proofErr w:type="spellStart"/>
      <w:r w:rsidRPr="00E901BF">
        <w:rPr>
          <w:rFonts w:ascii="Book Antiqua" w:hAnsi="Book Antiqua" w:cs="Times New Roman"/>
          <w:sz w:val="24"/>
          <w:szCs w:val="24"/>
          <w:lang w:val="en-US"/>
        </w:rPr>
        <w:t>Kapodistrian</w:t>
      </w:r>
      <w:proofErr w:type="spellEnd"/>
      <w:r w:rsidRPr="00E901BF">
        <w:rPr>
          <w:rFonts w:ascii="Book Antiqua" w:hAnsi="Book Antiqua" w:cs="Times New Roman"/>
          <w:sz w:val="24"/>
          <w:szCs w:val="24"/>
          <w:lang w:val="en-US"/>
        </w:rPr>
        <w:t xml:space="preserve"> University of Athens, Athens 11527, Greece</w:t>
      </w:r>
    </w:p>
    <w:p w14:paraId="5B21D9F8" w14:textId="77777777" w:rsidR="009D6628" w:rsidRPr="00E901BF" w:rsidRDefault="009D6628" w:rsidP="00E901BF">
      <w:pPr>
        <w:spacing w:after="0" w:line="360" w:lineRule="auto"/>
        <w:jc w:val="both"/>
        <w:rPr>
          <w:rFonts w:ascii="Book Antiqua" w:hAnsi="Book Antiqua" w:cs="Times New Roman"/>
          <w:sz w:val="24"/>
          <w:szCs w:val="24"/>
        </w:rPr>
      </w:pPr>
    </w:p>
    <w:p w14:paraId="7FF4E234" w14:textId="7B160BC6" w:rsidR="009D6628" w:rsidRPr="00E901BF" w:rsidRDefault="009D6628" w:rsidP="00E901BF">
      <w:pPr>
        <w:spacing w:after="0" w:line="360" w:lineRule="auto"/>
        <w:jc w:val="both"/>
        <w:rPr>
          <w:rFonts w:ascii="Book Antiqua" w:hAnsi="Book Antiqua" w:cs="Times New Roman"/>
          <w:color w:val="333333"/>
          <w:sz w:val="24"/>
          <w:szCs w:val="24"/>
          <w:lang w:val="en-US"/>
        </w:rPr>
      </w:pPr>
      <w:proofErr w:type="spellStart"/>
      <w:r w:rsidRPr="00E901BF">
        <w:rPr>
          <w:rFonts w:ascii="Book Antiqua" w:eastAsia="SimHei" w:hAnsi="Book Antiqua"/>
          <w:b/>
          <w:sz w:val="24"/>
          <w:szCs w:val="24"/>
        </w:rPr>
        <w:t>Author</w:t>
      </w:r>
      <w:proofErr w:type="spellEnd"/>
      <w:r w:rsidRPr="00E901BF">
        <w:rPr>
          <w:rFonts w:ascii="Book Antiqua" w:eastAsia="SimHei" w:hAnsi="Book Antiqua"/>
          <w:b/>
          <w:sz w:val="24"/>
          <w:szCs w:val="24"/>
        </w:rPr>
        <w:t xml:space="preserve"> </w:t>
      </w:r>
      <w:proofErr w:type="spellStart"/>
      <w:r w:rsidRPr="00E901BF">
        <w:rPr>
          <w:rFonts w:ascii="Book Antiqua" w:eastAsia="SimHei" w:hAnsi="Book Antiqua"/>
          <w:b/>
          <w:sz w:val="24"/>
          <w:szCs w:val="24"/>
        </w:rPr>
        <w:t>contributions</w:t>
      </w:r>
      <w:proofErr w:type="spellEnd"/>
      <w:r w:rsidRPr="00E901BF">
        <w:rPr>
          <w:rFonts w:ascii="Book Antiqua" w:eastAsia="SimHei" w:hAnsi="Book Antiqua"/>
          <w:b/>
          <w:sz w:val="24"/>
          <w:szCs w:val="24"/>
        </w:rPr>
        <w:t>:</w:t>
      </w:r>
      <w:r w:rsidRPr="00E901BF">
        <w:rPr>
          <w:rFonts w:ascii="Book Antiqua" w:hAnsi="Book Antiqua" w:cs="Arial"/>
          <w:b/>
          <w:sz w:val="24"/>
          <w:szCs w:val="24"/>
        </w:rPr>
        <w:t xml:space="preserve"> </w:t>
      </w:r>
      <w:proofErr w:type="spellStart"/>
      <w:r w:rsidR="002A33B1" w:rsidRPr="00E901BF">
        <w:rPr>
          <w:rFonts w:ascii="Book Antiqua" w:hAnsi="Book Antiqua" w:cs="Times New Roman"/>
          <w:color w:val="333333"/>
          <w:sz w:val="24"/>
          <w:szCs w:val="24"/>
          <w:lang w:val="en-US"/>
        </w:rPr>
        <w:t>Sarantis</w:t>
      </w:r>
      <w:proofErr w:type="spellEnd"/>
      <w:r w:rsidR="002A33B1" w:rsidRPr="00E901BF">
        <w:rPr>
          <w:rFonts w:ascii="Book Antiqua" w:hAnsi="Book Antiqua" w:cs="Times New Roman"/>
          <w:color w:val="333333"/>
          <w:sz w:val="24"/>
          <w:szCs w:val="24"/>
          <w:lang w:val="en-US"/>
        </w:rPr>
        <w:t xml:space="preserve"> P, </w:t>
      </w:r>
      <w:proofErr w:type="spellStart"/>
      <w:r w:rsidR="002A33B1" w:rsidRPr="00E901BF">
        <w:rPr>
          <w:rFonts w:ascii="Book Antiqua" w:hAnsi="Book Antiqua" w:cs="Times New Roman"/>
          <w:color w:val="333333"/>
          <w:sz w:val="24"/>
          <w:szCs w:val="24"/>
          <w:lang w:val="en-US"/>
        </w:rPr>
        <w:t>Koustas</w:t>
      </w:r>
      <w:proofErr w:type="spellEnd"/>
      <w:r w:rsidR="002A33B1" w:rsidRPr="00E901BF">
        <w:rPr>
          <w:rFonts w:ascii="Book Antiqua" w:hAnsi="Book Antiqua" w:cs="Times New Roman"/>
          <w:color w:val="333333"/>
          <w:sz w:val="24"/>
          <w:szCs w:val="24"/>
          <w:lang w:val="en-US"/>
        </w:rPr>
        <w:t xml:space="preserve"> E and </w:t>
      </w:r>
      <w:proofErr w:type="spellStart"/>
      <w:r w:rsidR="002A33B1" w:rsidRPr="00E901BF">
        <w:rPr>
          <w:rFonts w:ascii="Book Antiqua" w:hAnsi="Book Antiqua" w:cs="Times New Roman"/>
          <w:color w:val="333333"/>
          <w:sz w:val="24"/>
          <w:szCs w:val="24"/>
          <w:lang w:val="en-US"/>
        </w:rPr>
        <w:t>Papadimitropoulou</w:t>
      </w:r>
      <w:proofErr w:type="spellEnd"/>
      <w:r w:rsidR="002A33B1" w:rsidRPr="00E901BF">
        <w:rPr>
          <w:rFonts w:ascii="Book Antiqua" w:hAnsi="Book Antiqua" w:cs="Times New Roman"/>
          <w:color w:val="333333"/>
          <w:sz w:val="24"/>
          <w:szCs w:val="24"/>
          <w:lang w:val="en-US"/>
        </w:rPr>
        <w:t xml:space="preserve"> A </w:t>
      </w:r>
      <w:r w:rsidR="002A33B1" w:rsidRPr="00E901BF">
        <w:rPr>
          <w:rFonts w:ascii="Book Antiqua" w:hAnsi="Book Antiqua" w:cs="Times New Roman"/>
          <w:sz w:val="24"/>
          <w:szCs w:val="24"/>
          <w:lang w:val="en-US"/>
        </w:rPr>
        <w:t>have equal contribution;</w:t>
      </w:r>
      <w:r w:rsidR="002A33B1" w:rsidRPr="00E901BF">
        <w:rPr>
          <w:rFonts w:ascii="Book Antiqua" w:hAnsi="Book Antiqua" w:cs="Times New Roman"/>
          <w:color w:val="333333"/>
          <w:sz w:val="24"/>
          <w:szCs w:val="24"/>
          <w:lang w:val="en-US"/>
        </w:rPr>
        <w:t xml:space="preserve"> </w:t>
      </w:r>
      <w:proofErr w:type="spellStart"/>
      <w:r w:rsidRPr="00E901BF">
        <w:rPr>
          <w:rFonts w:ascii="Book Antiqua" w:hAnsi="Book Antiqua" w:cs="Times New Roman"/>
          <w:color w:val="333333"/>
          <w:sz w:val="24"/>
          <w:szCs w:val="24"/>
          <w:lang w:val="en-US"/>
        </w:rPr>
        <w:t>Sarantis</w:t>
      </w:r>
      <w:proofErr w:type="spellEnd"/>
      <w:r w:rsidRPr="00E901BF">
        <w:rPr>
          <w:rFonts w:ascii="Book Antiqua" w:hAnsi="Book Antiqua" w:cs="Times New Roman"/>
          <w:color w:val="333333"/>
          <w:sz w:val="24"/>
          <w:szCs w:val="24"/>
          <w:lang w:val="en-US"/>
        </w:rPr>
        <w:t xml:space="preserve"> P, </w:t>
      </w:r>
      <w:proofErr w:type="spellStart"/>
      <w:r w:rsidRPr="00E901BF">
        <w:rPr>
          <w:rFonts w:ascii="Book Antiqua" w:hAnsi="Book Antiqua" w:cs="Times New Roman"/>
          <w:color w:val="333333"/>
          <w:sz w:val="24"/>
          <w:szCs w:val="24"/>
          <w:lang w:val="en-US"/>
        </w:rPr>
        <w:t>Koustas</w:t>
      </w:r>
      <w:proofErr w:type="spellEnd"/>
      <w:r w:rsidRPr="00E901BF">
        <w:rPr>
          <w:rFonts w:ascii="Book Antiqua" w:hAnsi="Book Antiqua" w:cs="Times New Roman"/>
          <w:color w:val="333333"/>
          <w:sz w:val="24"/>
          <w:szCs w:val="24"/>
          <w:lang w:val="en-US"/>
        </w:rPr>
        <w:t xml:space="preserve"> E and </w:t>
      </w:r>
      <w:proofErr w:type="spellStart"/>
      <w:r w:rsidRPr="00E901BF">
        <w:rPr>
          <w:rFonts w:ascii="Book Antiqua" w:hAnsi="Book Antiqua" w:cs="Times New Roman"/>
          <w:color w:val="333333"/>
          <w:sz w:val="24"/>
          <w:szCs w:val="24"/>
          <w:lang w:val="en-US"/>
        </w:rPr>
        <w:t>Papadimitropoulou</w:t>
      </w:r>
      <w:proofErr w:type="spellEnd"/>
      <w:r w:rsidRPr="00E901BF">
        <w:rPr>
          <w:rFonts w:ascii="Book Antiqua" w:hAnsi="Book Antiqua" w:cs="Times New Roman"/>
          <w:color w:val="333333"/>
          <w:sz w:val="24"/>
          <w:szCs w:val="24"/>
          <w:lang w:val="en-US"/>
        </w:rPr>
        <w:t xml:space="preserve"> A made substantial contributions to acquisition, analysis and interpretation of data; </w:t>
      </w:r>
      <w:proofErr w:type="spellStart"/>
      <w:r w:rsidRPr="00E901BF">
        <w:rPr>
          <w:rFonts w:ascii="Book Antiqua" w:hAnsi="Book Antiqua" w:cs="Times New Roman"/>
          <w:color w:val="333333"/>
          <w:sz w:val="24"/>
          <w:szCs w:val="24"/>
          <w:lang w:val="en-US"/>
        </w:rPr>
        <w:t>Sarantis</w:t>
      </w:r>
      <w:proofErr w:type="spellEnd"/>
      <w:r w:rsidRPr="00E901BF">
        <w:rPr>
          <w:rFonts w:ascii="Book Antiqua" w:hAnsi="Book Antiqua" w:cs="Times New Roman"/>
          <w:color w:val="333333"/>
          <w:sz w:val="24"/>
          <w:szCs w:val="24"/>
          <w:lang w:val="en-US"/>
        </w:rPr>
        <w:t xml:space="preserve"> P, </w:t>
      </w:r>
      <w:proofErr w:type="spellStart"/>
      <w:r w:rsidRPr="00E901BF">
        <w:rPr>
          <w:rFonts w:ascii="Book Antiqua" w:hAnsi="Book Antiqua" w:cs="Times New Roman"/>
          <w:color w:val="333333"/>
          <w:sz w:val="24"/>
          <w:szCs w:val="24"/>
          <w:lang w:val="en-US"/>
        </w:rPr>
        <w:t>Koustas</w:t>
      </w:r>
      <w:proofErr w:type="spellEnd"/>
      <w:r w:rsidRPr="00E901BF">
        <w:rPr>
          <w:rFonts w:ascii="Book Antiqua" w:hAnsi="Book Antiqua" w:cs="Times New Roman"/>
          <w:color w:val="333333"/>
          <w:sz w:val="24"/>
          <w:szCs w:val="24"/>
          <w:lang w:val="en-US"/>
        </w:rPr>
        <w:t xml:space="preserve"> E, </w:t>
      </w:r>
      <w:proofErr w:type="spellStart"/>
      <w:r w:rsidRPr="00E901BF">
        <w:rPr>
          <w:rFonts w:ascii="Book Antiqua" w:hAnsi="Book Antiqua" w:cs="Times New Roman"/>
          <w:color w:val="333333"/>
          <w:sz w:val="24"/>
          <w:szCs w:val="24"/>
          <w:lang w:val="en-US"/>
        </w:rPr>
        <w:t>Papadimitropoulou</w:t>
      </w:r>
      <w:proofErr w:type="spellEnd"/>
      <w:r w:rsidRPr="00E901BF">
        <w:rPr>
          <w:rFonts w:ascii="Book Antiqua" w:hAnsi="Book Antiqua" w:cs="Times New Roman"/>
          <w:color w:val="333333"/>
          <w:sz w:val="24"/>
          <w:szCs w:val="24"/>
          <w:lang w:val="en-US"/>
        </w:rPr>
        <w:t xml:space="preserve"> A, </w:t>
      </w:r>
      <w:proofErr w:type="spellStart"/>
      <w:r w:rsidRPr="00E901BF">
        <w:rPr>
          <w:rFonts w:ascii="Book Antiqua" w:hAnsi="Book Antiqua" w:cs="Times New Roman"/>
          <w:color w:val="333333"/>
          <w:sz w:val="24"/>
          <w:szCs w:val="24"/>
          <w:lang w:val="en-US"/>
        </w:rPr>
        <w:t>Papavassiliou</w:t>
      </w:r>
      <w:proofErr w:type="spellEnd"/>
      <w:r w:rsidRPr="00E901BF">
        <w:rPr>
          <w:rFonts w:ascii="Book Antiqua" w:hAnsi="Book Antiqua" w:cs="Times New Roman"/>
          <w:color w:val="333333"/>
          <w:sz w:val="24"/>
          <w:szCs w:val="24"/>
          <w:lang w:val="en-US"/>
        </w:rPr>
        <w:t xml:space="preserve"> AG and </w:t>
      </w:r>
      <w:proofErr w:type="spellStart"/>
      <w:r w:rsidRPr="00E901BF">
        <w:rPr>
          <w:rFonts w:ascii="Book Antiqua" w:hAnsi="Book Antiqua" w:cs="Times New Roman"/>
          <w:color w:val="333333"/>
          <w:sz w:val="24"/>
          <w:szCs w:val="24"/>
          <w:lang w:val="en-US"/>
        </w:rPr>
        <w:t>Karamouzis</w:t>
      </w:r>
      <w:proofErr w:type="spellEnd"/>
      <w:r w:rsidRPr="00E901BF">
        <w:rPr>
          <w:rFonts w:ascii="Book Antiqua" w:hAnsi="Book Antiqua" w:cs="Times New Roman"/>
          <w:color w:val="333333"/>
          <w:sz w:val="24"/>
          <w:szCs w:val="24"/>
          <w:lang w:val="en-US"/>
        </w:rPr>
        <w:t xml:space="preserve"> MV made substantial contributions in the conception, design and interpretation of the data; </w:t>
      </w:r>
      <w:proofErr w:type="spellStart"/>
      <w:r w:rsidRPr="00E901BF">
        <w:rPr>
          <w:rFonts w:ascii="Book Antiqua" w:hAnsi="Book Antiqua" w:cs="Times New Roman"/>
          <w:color w:val="333333"/>
          <w:sz w:val="24"/>
          <w:szCs w:val="24"/>
          <w:lang w:val="en-US"/>
        </w:rPr>
        <w:t>Papavassiliou</w:t>
      </w:r>
      <w:proofErr w:type="spellEnd"/>
      <w:r w:rsidRPr="00E901BF">
        <w:rPr>
          <w:rFonts w:ascii="Book Antiqua" w:hAnsi="Book Antiqua" w:cs="Times New Roman"/>
          <w:color w:val="333333"/>
          <w:sz w:val="24"/>
          <w:szCs w:val="24"/>
          <w:lang w:val="en-US"/>
        </w:rPr>
        <w:t xml:space="preserve"> AG and </w:t>
      </w:r>
      <w:proofErr w:type="spellStart"/>
      <w:r w:rsidRPr="00E901BF">
        <w:rPr>
          <w:rFonts w:ascii="Book Antiqua" w:hAnsi="Book Antiqua" w:cs="Times New Roman"/>
          <w:color w:val="333333"/>
          <w:sz w:val="24"/>
          <w:szCs w:val="24"/>
          <w:lang w:val="en-US"/>
        </w:rPr>
        <w:t>Karamouzis</w:t>
      </w:r>
      <w:proofErr w:type="spellEnd"/>
      <w:r w:rsidRPr="00E901BF">
        <w:rPr>
          <w:rFonts w:ascii="Book Antiqua" w:hAnsi="Book Antiqua" w:cs="Times New Roman"/>
          <w:color w:val="333333"/>
          <w:sz w:val="24"/>
          <w:szCs w:val="24"/>
          <w:lang w:val="en-US"/>
        </w:rPr>
        <w:t xml:space="preserve"> MV made substantial contributions in drafting the manuscript and revising it critically for important intellectual content. </w:t>
      </w:r>
    </w:p>
    <w:p w14:paraId="12CF11A4" w14:textId="77777777" w:rsidR="009D6628" w:rsidRPr="00E901BF" w:rsidRDefault="009D6628" w:rsidP="00E901BF">
      <w:pPr>
        <w:spacing w:after="0" w:line="360" w:lineRule="auto"/>
        <w:jc w:val="both"/>
        <w:rPr>
          <w:rFonts w:ascii="Book Antiqua" w:hAnsi="Book Antiqua" w:cs="Times New Roman"/>
          <w:sz w:val="24"/>
          <w:szCs w:val="24"/>
          <w:lang w:val="en-US"/>
        </w:rPr>
      </w:pPr>
    </w:p>
    <w:p w14:paraId="471CFB2D" w14:textId="77777777" w:rsidR="002A33B1" w:rsidRPr="00E901BF" w:rsidRDefault="002A33B1" w:rsidP="00E901BF">
      <w:pPr>
        <w:autoSpaceDE w:val="0"/>
        <w:autoSpaceDN w:val="0"/>
        <w:adjustRightInd w:val="0"/>
        <w:spacing w:after="0" w:line="360" w:lineRule="auto"/>
        <w:jc w:val="both"/>
        <w:rPr>
          <w:rFonts w:ascii="Book Antiqua" w:hAnsi="Book Antiqua" w:cs="Times New Roman"/>
          <w:sz w:val="24"/>
          <w:szCs w:val="24"/>
          <w:lang w:val="en-US"/>
        </w:rPr>
      </w:pPr>
      <w:r w:rsidRPr="00E901BF">
        <w:rPr>
          <w:rFonts w:ascii="Book Antiqua" w:eastAsia="SimHei" w:hAnsi="Book Antiqua"/>
          <w:b/>
          <w:sz w:val="24"/>
          <w:szCs w:val="24"/>
        </w:rPr>
        <w:t xml:space="preserve">Corresponding author: </w:t>
      </w:r>
      <w:r w:rsidRPr="00E901BF">
        <w:rPr>
          <w:rFonts w:ascii="Book Antiqua" w:hAnsi="Book Antiqua" w:cs="Times New Roman"/>
          <w:b/>
          <w:bCs/>
          <w:sz w:val="24"/>
          <w:szCs w:val="24"/>
          <w:lang w:val="en-US"/>
        </w:rPr>
        <w:t xml:space="preserve">Michalis V </w:t>
      </w:r>
      <w:proofErr w:type="spellStart"/>
      <w:r w:rsidRPr="00E901BF">
        <w:rPr>
          <w:rFonts w:ascii="Book Antiqua" w:hAnsi="Book Antiqua" w:cs="Times New Roman"/>
          <w:b/>
          <w:bCs/>
          <w:sz w:val="24"/>
          <w:szCs w:val="24"/>
          <w:lang w:val="en-US"/>
        </w:rPr>
        <w:t>Karamouzis</w:t>
      </w:r>
      <w:proofErr w:type="spellEnd"/>
      <w:r w:rsidRPr="00E901BF">
        <w:rPr>
          <w:rFonts w:ascii="Book Antiqua" w:hAnsi="Book Antiqua" w:cs="Times New Roman"/>
          <w:b/>
          <w:bCs/>
          <w:sz w:val="24"/>
          <w:szCs w:val="24"/>
          <w:lang w:val="en-US"/>
        </w:rPr>
        <w:t xml:space="preserve">, MD, PhD, Associate Professor, </w:t>
      </w:r>
      <w:r w:rsidRPr="00E901BF">
        <w:rPr>
          <w:rFonts w:ascii="Book Antiqua" w:hAnsi="Book Antiqua" w:cs="Times New Roman"/>
          <w:sz w:val="24"/>
          <w:szCs w:val="24"/>
          <w:lang w:val="en-US"/>
        </w:rPr>
        <w:t>Molecular Oncology Unit, Department of Biological Chemistry</w:t>
      </w:r>
      <w:r w:rsidRPr="00E901BF">
        <w:rPr>
          <w:rFonts w:ascii="Book Antiqua" w:hAnsi="Book Antiqua" w:cs="Times New Roman"/>
          <w:bCs/>
          <w:sz w:val="24"/>
          <w:szCs w:val="24"/>
          <w:lang w:val="en-US"/>
        </w:rPr>
        <w:t xml:space="preserve">, </w:t>
      </w:r>
      <w:r w:rsidRPr="00E901BF">
        <w:rPr>
          <w:rFonts w:ascii="Book Antiqua" w:hAnsi="Book Antiqua" w:cs="Times New Roman"/>
          <w:sz w:val="24"/>
          <w:szCs w:val="24"/>
          <w:lang w:val="en-US"/>
        </w:rPr>
        <w:t>Medical School</w:t>
      </w:r>
      <w:r w:rsidRPr="00E901BF">
        <w:rPr>
          <w:rFonts w:ascii="Book Antiqua" w:hAnsi="Book Antiqua" w:cs="Times New Roman"/>
          <w:bCs/>
          <w:sz w:val="24"/>
          <w:szCs w:val="24"/>
          <w:lang w:val="en-US"/>
        </w:rPr>
        <w:t xml:space="preserve">, National and </w:t>
      </w:r>
      <w:proofErr w:type="spellStart"/>
      <w:r w:rsidRPr="00E901BF">
        <w:rPr>
          <w:rFonts w:ascii="Book Antiqua" w:hAnsi="Book Antiqua" w:cs="Times New Roman"/>
          <w:bCs/>
          <w:sz w:val="24"/>
          <w:szCs w:val="24"/>
          <w:lang w:val="en-US"/>
        </w:rPr>
        <w:t>Kapodistrian</w:t>
      </w:r>
      <w:proofErr w:type="spellEnd"/>
      <w:r w:rsidRPr="00E901BF">
        <w:rPr>
          <w:rFonts w:ascii="Book Antiqua" w:hAnsi="Book Antiqua" w:cs="Times New Roman"/>
          <w:bCs/>
          <w:sz w:val="24"/>
          <w:szCs w:val="24"/>
          <w:lang w:val="en-US"/>
        </w:rPr>
        <w:t xml:space="preserve"> </w:t>
      </w:r>
      <w:r w:rsidRPr="00E901BF">
        <w:rPr>
          <w:rFonts w:ascii="Book Antiqua" w:hAnsi="Book Antiqua" w:cs="Times New Roman"/>
          <w:sz w:val="24"/>
          <w:szCs w:val="24"/>
          <w:lang w:val="en-US"/>
        </w:rPr>
        <w:t xml:space="preserve">University of Athens, 75, M. </w:t>
      </w:r>
      <w:proofErr w:type="spellStart"/>
      <w:r w:rsidRPr="00E901BF">
        <w:rPr>
          <w:rFonts w:ascii="Book Antiqua" w:hAnsi="Book Antiqua" w:cs="Times New Roman"/>
          <w:sz w:val="24"/>
          <w:szCs w:val="24"/>
          <w:lang w:val="en-US"/>
        </w:rPr>
        <w:t>Asias</w:t>
      </w:r>
      <w:proofErr w:type="spellEnd"/>
      <w:r w:rsidRPr="00E901BF">
        <w:rPr>
          <w:rFonts w:ascii="Book Antiqua" w:hAnsi="Book Antiqua" w:cs="Times New Roman"/>
          <w:sz w:val="24"/>
          <w:szCs w:val="24"/>
          <w:lang w:val="en-US"/>
        </w:rPr>
        <w:t xml:space="preserve"> Street, Athens 11527, Greece. mkaramouz@med.uoa.gr</w:t>
      </w:r>
    </w:p>
    <w:p w14:paraId="5CA99BC6" w14:textId="77777777" w:rsidR="002A33B1" w:rsidRPr="00E901BF" w:rsidRDefault="002A33B1" w:rsidP="00E901BF">
      <w:pPr>
        <w:spacing w:after="0" w:line="360" w:lineRule="auto"/>
        <w:jc w:val="both"/>
        <w:rPr>
          <w:rFonts w:ascii="Book Antiqua" w:hAnsi="Book Antiqua" w:cstheme="minorHAnsi"/>
          <w:b/>
          <w:sz w:val="24"/>
          <w:szCs w:val="24"/>
          <w:lang w:val="en-US"/>
        </w:rPr>
      </w:pPr>
    </w:p>
    <w:p w14:paraId="0AD0456F" w14:textId="71D5147A" w:rsidR="00E901BF" w:rsidRPr="00E901BF" w:rsidRDefault="00E901BF" w:rsidP="00E901BF">
      <w:pPr>
        <w:spacing w:after="0" w:line="360" w:lineRule="auto"/>
        <w:jc w:val="both"/>
        <w:rPr>
          <w:rFonts w:ascii="Book Antiqua" w:hAnsi="Book Antiqua"/>
          <w:b/>
          <w:sz w:val="24"/>
          <w:szCs w:val="24"/>
          <w:lang w:eastAsia="zh-CN"/>
        </w:rPr>
      </w:pPr>
      <w:proofErr w:type="spellStart"/>
      <w:r w:rsidRPr="00E901BF">
        <w:rPr>
          <w:rFonts w:ascii="Book Antiqua" w:hAnsi="Book Antiqua"/>
          <w:b/>
          <w:sz w:val="24"/>
          <w:szCs w:val="24"/>
        </w:rPr>
        <w:t>Received</w:t>
      </w:r>
      <w:proofErr w:type="spellEnd"/>
      <w:r w:rsidRPr="00E901BF">
        <w:rPr>
          <w:rFonts w:ascii="Book Antiqua" w:hAnsi="Book Antiqua"/>
          <w:b/>
          <w:sz w:val="24"/>
          <w:szCs w:val="24"/>
        </w:rPr>
        <w:t xml:space="preserve">: </w:t>
      </w:r>
      <w:proofErr w:type="spellStart"/>
      <w:r w:rsidRPr="00E901BF">
        <w:rPr>
          <w:rFonts w:ascii="Book Antiqua" w:hAnsi="Book Antiqua"/>
          <w:sz w:val="24"/>
          <w:szCs w:val="24"/>
          <w:lang w:eastAsia="zh-CN"/>
        </w:rPr>
        <w:t>March</w:t>
      </w:r>
      <w:proofErr w:type="spellEnd"/>
      <w:r w:rsidRPr="00E901BF">
        <w:rPr>
          <w:rFonts w:ascii="Book Antiqua" w:hAnsi="Book Antiqua"/>
          <w:sz w:val="24"/>
          <w:szCs w:val="24"/>
          <w:lang w:eastAsia="zh-CN"/>
        </w:rPr>
        <w:t xml:space="preserve"> 29, 201</w:t>
      </w:r>
      <w:r w:rsidR="00CE34D8">
        <w:rPr>
          <w:rFonts w:ascii="Book Antiqua" w:hAnsi="Book Antiqua"/>
          <w:sz w:val="24"/>
          <w:szCs w:val="24"/>
          <w:lang w:val="en-US" w:eastAsia="zh-CN"/>
        </w:rPr>
        <w:t>9</w:t>
      </w:r>
    </w:p>
    <w:p w14:paraId="73046A52" w14:textId="167F8FD3" w:rsidR="00E901BF" w:rsidRPr="00E901BF" w:rsidRDefault="00E901BF" w:rsidP="00E901BF">
      <w:pPr>
        <w:spacing w:after="0" w:line="360" w:lineRule="auto"/>
        <w:jc w:val="both"/>
        <w:rPr>
          <w:rFonts w:ascii="Book Antiqua" w:hAnsi="Book Antiqua"/>
          <w:b/>
          <w:sz w:val="24"/>
          <w:szCs w:val="24"/>
          <w:lang w:eastAsia="zh-CN"/>
        </w:rPr>
      </w:pPr>
      <w:proofErr w:type="spellStart"/>
      <w:r w:rsidRPr="00E901BF">
        <w:rPr>
          <w:rFonts w:ascii="Book Antiqua" w:hAnsi="Book Antiqua"/>
          <w:b/>
          <w:sz w:val="24"/>
          <w:szCs w:val="24"/>
        </w:rPr>
        <w:t>Revised</w:t>
      </w:r>
      <w:proofErr w:type="spellEnd"/>
      <w:r w:rsidRPr="00E901BF">
        <w:rPr>
          <w:rFonts w:ascii="Book Antiqua" w:hAnsi="Book Antiqua"/>
          <w:b/>
          <w:sz w:val="24"/>
          <w:szCs w:val="24"/>
        </w:rPr>
        <w:t xml:space="preserve">: </w:t>
      </w:r>
      <w:proofErr w:type="spellStart"/>
      <w:r w:rsidRPr="00E901BF">
        <w:rPr>
          <w:rFonts w:ascii="Book Antiqua" w:hAnsi="Book Antiqua"/>
          <w:sz w:val="24"/>
          <w:szCs w:val="24"/>
          <w:lang w:eastAsia="zh-CN"/>
        </w:rPr>
        <w:t>November</w:t>
      </w:r>
      <w:proofErr w:type="spellEnd"/>
      <w:r w:rsidRPr="00E901BF">
        <w:rPr>
          <w:rFonts w:ascii="Book Antiqua" w:hAnsi="Book Antiqua"/>
          <w:sz w:val="24"/>
          <w:szCs w:val="24"/>
          <w:lang w:eastAsia="zh-CN"/>
        </w:rPr>
        <w:t xml:space="preserve"> 28, 201</w:t>
      </w:r>
      <w:r w:rsidR="00CE34D8">
        <w:rPr>
          <w:rFonts w:ascii="Book Antiqua" w:hAnsi="Book Antiqua"/>
          <w:sz w:val="24"/>
          <w:szCs w:val="24"/>
          <w:lang w:val="en-US" w:eastAsia="zh-CN"/>
        </w:rPr>
        <w:t>9</w:t>
      </w:r>
    </w:p>
    <w:p w14:paraId="0B6FB212" w14:textId="36759C78" w:rsidR="00E901BF" w:rsidRPr="00CE34D8" w:rsidRDefault="00E901BF" w:rsidP="00E901BF">
      <w:pPr>
        <w:spacing w:after="0" w:line="360" w:lineRule="auto"/>
        <w:jc w:val="both"/>
        <w:rPr>
          <w:rFonts w:ascii="Book Antiqua" w:hAnsi="Book Antiqua"/>
          <w:color w:val="000000"/>
          <w:sz w:val="24"/>
          <w:szCs w:val="24"/>
          <w:lang w:val="en-US"/>
        </w:rPr>
      </w:pPr>
      <w:proofErr w:type="spellStart"/>
      <w:r w:rsidRPr="00E901BF">
        <w:rPr>
          <w:rFonts w:ascii="Book Antiqua" w:hAnsi="Book Antiqua"/>
          <w:b/>
          <w:sz w:val="24"/>
          <w:szCs w:val="24"/>
        </w:rPr>
        <w:t>Accepted</w:t>
      </w:r>
      <w:proofErr w:type="spellEnd"/>
      <w:r w:rsidRPr="00E901BF">
        <w:rPr>
          <w:rFonts w:ascii="Book Antiqua" w:hAnsi="Book Antiqua"/>
          <w:b/>
          <w:sz w:val="24"/>
          <w:szCs w:val="24"/>
        </w:rPr>
        <w:t xml:space="preserve">: </w:t>
      </w:r>
      <w:r w:rsidR="00CE34D8" w:rsidRPr="00CE34D8">
        <w:rPr>
          <w:rFonts w:ascii="Book Antiqua" w:hAnsi="Book Antiqua"/>
          <w:bCs/>
          <w:sz w:val="24"/>
          <w:szCs w:val="24"/>
          <w:lang w:val="en-US"/>
        </w:rPr>
        <w:t>December 13, 2019</w:t>
      </w:r>
    </w:p>
    <w:p w14:paraId="570F0DC4" w14:textId="77777777" w:rsidR="00E901BF" w:rsidRPr="00E901BF" w:rsidRDefault="00E901BF" w:rsidP="00E901BF">
      <w:pPr>
        <w:spacing w:after="0" w:line="360" w:lineRule="auto"/>
        <w:jc w:val="both"/>
        <w:rPr>
          <w:rFonts w:ascii="Book Antiqua" w:hAnsi="Book Antiqua"/>
          <w:b/>
          <w:sz w:val="24"/>
          <w:szCs w:val="24"/>
          <w:lang w:eastAsia="zh-CN"/>
        </w:rPr>
      </w:pPr>
      <w:proofErr w:type="spellStart"/>
      <w:r w:rsidRPr="00E901BF">
        <w:rPr>
          <w:rFonts w:ascii="Book Antiqua" w:hAnsi="Book Antiqua"/>
          <w:b/>
          <w:sz w:val="24"/>
          <w:szCs w:val="24"/>
        </w:rPr>
        <w:t>Published</w:t>
      </w:r>
      <w:proofErr w:type="spellEnd"/>
      <w:r w:rsidRPr="00E901BF">
        <w:rPr>
          <w:rFonts w:ascii="Book Antiqua" w:hAnsi="Book Antiqua"/>
          <w:b/>
          <w:sz w:val="24"/>
          <w:szCs w:val="24"/>
        </w:rPr>
        <w:t xml:space="preserve"> </w:t>
      </w:r>
      <w:proofErr w:type="spellStart"/>
      <w:r w:rsidRPr="00E901BF">
        <w:rPr>
          <w:rFonts w:ascii="Book Antiqua" w:hAnsi="Book Antiqua"/>
          <w:b/>
          <w:sz w:val="24"/>
          <w:szCs w:val="24"/>
        </w:rPr>
        <w:t>online</w:t>
      </w:r>
      <w:proofErr w:type="spellEnd"/>
      <w:r w:rsidRPr="00E901BF">
        <w:rPr>
          <w:rFonts w:ascii="Book Antiqua" w:hAnsi="Book Antiqua"/>
          <w:b/>
          <w:sz w:val="24"/>
          <w:szCs w:val="24"/>
        </w:rPr>
        <w:t xml:space="preserve">: </w:t>
      </w:r>
    </w:p>
    <w:p w14:paraId="309D25E4" w14:textId="3DDCDA25" w:rsidR="009D6628" w:rsidRPr="00E901BF" w:rsidRDefault="009D6628" w:rsidP="00E901BF">
      <w:pPr>
        <w:spacing w:after="0" w:line="360" w:lineRule="auto"/>
        <w:jc w:val="both"/>
        <w:rPr>
          <w:rFonts w:ascii="Book Antiqua" w:hAnsi="Book Antiqua" w:cstheme="minorHAnsi"/>
          <w:b/>
          <w:sz w:val="24"/>
          <w:szCs w:val="24"/>
          <w:lang w:val="en-US"/>
        </w:rPr>
      </w:pPr>
      <w:r w:rsidRPr="00E901BF">
        <w:rPr>
          <w:rFonts w:ascii="Book Antiqua" w:hAnsi="Book Antiqua" w:cstheme="minorHAnsi"/>
          <w:b/>
          <w:sz w:val="24"/>
          <w:szCs w:val="24"/>
          <w:lang w:val="en-US"/>
        </w:rPr>
        <w:br w:type="page"/>
      </w:r>
    </w:p>
    <w:p w14:paraId="755B11A5" w14:textId="77777777" w:rsidR="003B6A96" w:rsidRPr="00E901BF" w:rsidRDefault="00F04A7C" w:rsidP="00E901BF">
      <w:pPr>
        <w:spacing w:after="0" w:line="360" w:lineRule="auto"/>
        <w:jc w:val="both"/>
        <w:rPr>
          <w:rFonts w:ascii="Book Antiqua" w:hAnsi="Book Antiqua" w:cs="Times New Roman"/>
          <w:b/>
          <w:sz w:val="24"/>
          <w:szCs w:val="24"/>
          <w:lang w:val="en-US"/>
        </w:rPr>
      </w:pPr>
      <w:r w:rsidRPr="00E901BF">
        <w:rPr>
          <w:rFonts w:ascii="Book Antiqua" w:hAnsi="Book Antiqua" w:cs="Times New Roman"/>
          <w:b/>
          <w:sz w:val="24"/>
          <w:szCs w:val="24"/>
          <w:lang w:val="en-US"/>
        </w:rPr>
        <w:lastRenderedPageBreak/>
        <w:t>Abstract</w:t>
      </w:r>
    </w:p>
    <w:p w14:paraId="41C0EEDD" w14:textId="1B16F669" w:rsidR="004D790B" w:rsidRPr="00E901BF" w:rsidRDefault="00F04A7C"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sz w:val="24"/>
          <w:szCs w:val="24"/>
          <w:lang w:val="en-US"/>
        </w:rPr>
        <w:t>Pancreatic ductal adenocarcinoma (</w:t>
      </w:r>
      <w:bookmarkStart w:id="2" w:name="_GoBack"/>
      <w:r w:rsidRPr="00E901BF">
        <w:rPr>
          <w:rFonts w:ascii="Book Antiqua" w:hAnsi="Book Antiqua" w:cs="Times New Roman"/>
          <w:sz w:val="24"/>
          <w:szCs w:val="24"/>
          <w:lang w:val="en-US"/>
        </w:rPr>
        <w:t>PDAC</w:t>
      </w:r>
      <w:bookmarkEnd w:id="2"/>
      <w:r w:rsidRPr="00E901BF">
        <w:rPr>
          <w:rFonts w:ascii="Book Antiqua" w:hAnsi="Book Antiqua" w:cs="Times New Roman"/>
          <w:sz w:val="24"/>
          <w:szCs w:val="24"/>
          <w:lang w:val="en-US"/>
        </w:rPr>
        <w:t xml:space="preserve">) </w:t>
      </w:r>
      <w:r w:rsidR="00FF4189" w:rsidRPr="00E901BF">
        <w:rPr>
          <w:rFonts w:ascii="Book Antiqua" w:hAnsi="Book Antiqua" w:cs="Times New Roman"/>
          <w:sz w:val="24"/>
          <w:szCs w:val="24"/>
          <w:lang w:val="en-US"/>
        </w:rPr>
        <w:t xml:space="preserve">is </w:t>
      </w:r>
      <w:r w:rsidRPr="00E901BF">
        <w:rPr>
          <w:rFonts w:ascii="Book Antiqua" w:hAnsi="Book Antiqua" w:cs="Times New Roman"/>
          <w:sz w:val="24"/>
          <w:szCs w:val="24"/>
          <w:lang w:val="en-US"/>
        </w:rPr>
        <w:t>one of the most lethal diseases</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with an average 5-year survival rate of less than 10%. </w:t>
      </w:r>
      <w:r w:rsidRPr="00E901BF">
        <w:rPr>
          <w:rFonts w:ascii="Book Antiqua" w:hAnsi="Book Antiqua" w:cs="Times New Roman"/>
          <w:color w:val="000000"/>
          <w:sz w:val="24"/>
          <w:szCs w:val="24"/>
          <w:lang w:val="en-US"/>
        </w:rPr>
        <w:t xml:space="preserve">Unfortunately, the majority of patients have unresectable, locally advanced, or metastatic disease at the time of diagnosis. Moreover, </w:t>
      </w:r>
      <w:r w:rsidRPr="00E901BF">
        <w:rPr>
          <w:rFonts w:ascii="Book Antiqua" w:hAnsi="Book Antiqua" w:cs="Times New Roman"/>
          <w:sz w:val="24"/>
          <w:szCs w:val="24"/>
          <w:lang w:val="en-US"/>
        </w:rPr>
        <w:t xml:space="preserve">traditional treatments such as chemotherapy, surgery, </w:t>
      </w:r>
      <w:r w:rsidRPr="00E901BF">
        <w:rPr>
          <w:rFonts w:ascii="Book Antiqua" w:eastAsia="Times New Roman" w:hAnsi="Book Antiqua" w:cs="Times New Roman"/>
          <w:sz w:val="24"/>
          <w:szCs w:val="24"/>
          <w:lang w:val="en-US"/>
        </w:rPr>
        <w:t xml:space="preserve">and </w:t>
      </w:r>
      <w:r w:rsidRPr="00E901BF">
        <w:rPr>
          <w:rFonts w:ascii="Book Antiqua" w:hAnsi="Book Antiqua" w:cs="Times New Roman"/>
          <w:sz w:val="24"/>
          <w:szCs w:val="24"/>
          <w:lang w:val="en-US"/>
        </w:rPr>
        <w:t xml:space="preserve">radiation have not </w:t>
      </w:r>
      <w:r w:rsidR="00912E50" w:rsidRPr="00E901BF">
        <w:rPr>
          <w:rFonts w:ascii="Book Antiqua" w:hAnsi="Book Antiqua" w:cs="Times New Roman"/>
          <w:sz w:val="24"/>
          <w:szCs w:val="24"/>
          <w:lang w:val="en-US"/>
        </w:rPr>
        <w:t xml:space="preserve">been </w:t>
      </w:r>
      <w:r w:rsidRPr="00E901BF">
        <w:rPr>
          <w:rFonts w:ascii="Book Antiqua" w:hAnsi="Book Antiqua" w:cs="Times New Roman"/>
          <w:sz w:val="24"/>
          <w:szCs w:val="24"/>
          <w:lang w:val="en-US"/>
        </w:rPr>
        <w:t xml:space="preserve">shown </w:t>
      </w:r>
      <w:r w:rsidR="00912E50" w:rsidRPr="00E901BF">
        <w:rPr>
          <w:rFonts w:ascii="Book Antiqua" w:hAnsi="Book Antiqua" w:cs="Times New Roman"/>
          <w:sz w:val="24"/>
          <w:szCs w:val="24"/>
          <w:lang w:val="en-US"/>
        </w:rPr>
        <w:t>to significantly improve</w:t>
      </w:r>
      <w:r w:rsidRPr="00E901BF">
        <w:rPr>
          <w:rFonts w:ascii="Book Antiqua" w:hAnsi="Book Antiqua" w:cs="Times New Roman"/>
          <w:sz w:val="24"/>
          <w:szCs w:val="24"/>
          <w:lang w:val="en-US"/>
        </w:rPr>
        <w:t xml:space="preserve"> survival. </w:t>
      </w:r>
      <w:r w:rsidR="00143AD8" w:rsidRPr="00E901BF">
        <w:rPr>
          <w:rFonts w:ascii="Book Antiqua" w:eastAsia="Times New Roman" w:hAnsi="Book Antiqua" w:cs="Times New Roman"/>
          <w:sz w:val="24"/>
          <w:szCs w:val="24"/>
          <w:lang w:val="en-US"/>
        </w:rPr>
        <w:t>Recently,</w:t>
      </w:r>
      <w:r w:rsidRPr="00E901BF">
        <w:rPr>
          <w:rFonts w:ascii="Book Antiqua" w:hAnsi="Book Antiqua" w:cs="Times New Roman"/>
          <w:sz w:val="24"/>
          <w:szCs w:val="24"/>
          <w:lang w:val="en-US"/>
        </w:rPr>
        <w:t xml:space="preserve"> there </w:t>
      </w:r>
      <w:r w:rsidR="00143AD8" w:rsidRPr="00E901BF">
        <w:rPr>
          <w:rFonts w:ascii="Book Antiqua" w:hAnsi="Book Antiqua" w:cs="Times New Roman"/>
          <w:sz w:val="24"/>
          <w:szCs w:val="24"/>
          <w:lang w:val="en-US"/>
        </w:rPr>
        <w:t>has been</w:t>
      </w:r>
      <w:r w:rsidRPr="00E901BF">
        <w:rPr>
          <w:rFonts w:ascii="Book Antiqua" w:hAnsi="Book Antiqua" w:cs="Times New Roman"/>
          <w:sz w:val="24"/>
          <w:szCs w:val="24"/>
          <w:lang w:val="en-US"/>
        </w:rPr>
        <w:t xml:space="preserve"> a swift </w:t>
      </w:r>
      <w:r w:rsidR="00143AD8" w:rsidRPr="00E901BF">
        <w:rPr>
          <w:rFonts w:ascii="Book Antiqua" w:hAnsi="Book Antiqua" w:cs="Times New Roman"/>
          <w:sz w:val="24"/>
          <w:szCs w:val="24"/>
          <w:lang w:val="en-US"/>
        </w:rPr>
        <w:t xml:space="preserve">increase </w:t>
      </w:r>
      <w:r w:rsidRPr="00E901BF">
        <w:rPr>
          <w:rFonts w:ascii="Book Antiqua" w:hAnsi="Book Antiqua" w:cs="Times New Roman"/>
          <w:sz w:val="24"/>
          <w:szCs w:val="24"/>
          <w:lang w:val="en-US"/>
        </w:rPr>
        <w:t>in cancer treatments that incorporate immunotherapy-based strategies to target all the stepwise events required for tumor initiation and progression.</w:t>
      </w:r>
      <w:r w:rsidRPr="00E901BF">
        <w:rPr>
          <w:rFonts w:ascii="Book Antiqua" w:eastAsia="Times New Roman" w:hAnsi="Book Antiqua" w:cs="Times New Roman"/>
          <w:sz w:val="24"/>
          <w:szCs w:val="24"/>
          <w:lang w:val="en-US"/>
        </w:rPr>
        <w:t xml:space="preserve"> The results</w:t>
      </w:r>
      <w:r w:rsidRPr="00E901BF">
        <w:rPr>
          <w:rFonts w:ascii="Book Antiqua" w:hAnsi="Book Antiqua" w:cs="Times New Roman"/>
          <w:sz w:val="24"/>
          <w:szCs w:val="24"/>
          <w:lang w:val="en-US"/>
        </w:rPr>
        <w:t xml:space="preserve"> in melanoma, </w:t>
      </w:r>
      <w:r w:rsidRPr="00E901BF">
        <w:rPr>
          <w:rStyle w:val="Emphasis"/>
          <w:rFonts w:ascii="Book Antiqua" w:hAnsi="Book Antiqua" w:cs="Times New Roman"/>
          <w:bCs/>
          <w:i w:val="0"/>
          <w:iCs w:val="0"/>
          <w:sz w:val="24"/>
          <w:szCs w:val="24"/>
          <w:lang w:val="en-US"/>
        </w:rPr>
        <w:t>non</w:t>
      </w:r>
      <w:r w:rsidRPr="00E901BF">
        <w:rPr>
          <w:rFonts w:ascii="Book Antiqua" w:hAnsi="Book Antiqua" w:cs="Times New Roman"/>
          <w:sz w:val="24"/>
          <w:szCs w:val="24"/>
          <w:lang w:val="en-US"/>
        </w:rPr>
        <w:t>-small</w:t>
      </w:r>
      <w:r w:rsidR="00143AD8" w:rsidRPr="00E901BF">
        <w:rPr>
          <w:rFonts w:ascii="Book Antiqua" w:hAnsi="Book Antiqua" w:cs="Times New Roman"/>
          <w:sz w:val="24"/>
          <w:szCs w:val="24"/>
          <w:lang w:val="en-US"/>
        </w:rPr>
        <w:t>-</w:t>
      </w:r>
      <w:r w:rsidRPr="00E901BF">
        <w:rPr>
          <w:rFonts w:ascii="Book Antiqua" w:hAnsi="Book Antiqua" w:cs="Times New Roman"/>
          <w:sz w:val="24"/>
          <w:szCs w:val="24"/>
          <w:lang w:val="en-US"/>
        </w:rPr>
        <w:t xml:space="preserve">cell </w:t>
      </w:r>
      <w:r w:rsidRPr="00E901BF">
        <w:rPr>
          <w:rStyle w:val="Emphasis"/>
          <w:rFonts w:ascii="Book Antiqua" w:hAnsi="Book Antiqua" w:cs="Times New Roman"/>
          <w:bCs/>
          <w:i w:val="0"/>
          <w:iCs w:val="0"/>
          <w:sz w:val="24"/>
          <w:szCs w:val="24"/>
          <w:lang w:val="en-US"/>
        </w:rPr>
        <w:t>lung cancer</w:t>
      </w:r>
      <w:r w:rsidRPr="00E901BF">
        <w:rPr>
          <w:rFonts w:ascii="Book Antiqua" w:hAnsi="Book Antiqua" w:cs="Times New Roman"/>
          <w:sz w:val="24"/>
          <w:szCs w:val="24"/>
          <w:lang w:val="en-US"/>
        </w:rPr>
        <w:t xml:space="preserve"> and renal cell carcinoma are very encouraging. Unfortunately, the application of checkpoint inhibitors</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including anti-</w:t>
      </w:r>
      <w:bookmarkStart w:id="3" w:name="OLE_LINK9"/>
      <w:r w:rsidRPr="00E901BF">
        <w:rPr>
          <w:rFonts w:ascii="Book Antiqua" w:hAnsi="Book Antiqua" w:cs="Times New Roman"/>
          <w:sz w:val="24"/>
          <w:szCs w:val="24"/>
          <w:lang w:val="en-US"/>
        </w:rPr>
        <w:t>CTLA</w:t>
      </w:r>
      <w:bookmarkEnd w:id="3"/>
      <w:r w:rsidRPr="00E901BF">
        <w:rPr>
          <w:rFonts w:ascii="Book Antiqua" w:hAnsi="Book Antiqua" w:cs="Times New Roman"/>
          <w:sz w:val="24"/>
          <w:szCs w:val="24"/>
          <w:lang w:val="en-US"/>
        </w:rPr>
        <w:t>4, anti-PD-1, and anti-PD-L1 antibodies</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in pancreatic cancer has been disappointing. </w:t>
      </w:r>
      <w:r w:rsidRPr="00E901BF">
        <w:rPr>
          <w:rFonts w:ascii="Book Antiqua" w:hAnsi="Book Antiqua" w:cs="Times New Roman"/>
          <w:color w:val="000000"/>
          <w:sz w:val="24"/>
          <w:szCs w:val="24"/>
          <w:lang w:val="en-US"/>
        </w:rPr>
        <w:t xml:space="preserve">Many studies have revealed that </w:t>
      </w:r>
      <w:r w:rsidRPr="00E901BF">
        <w:rPr>
          <w:rFonts w:ascii="Book Antiqua" w:eastAsia="Times New Roman" w:hAnsi="Book Antiqua" w:cs="Times New Roman"/>
          <w:color w:val="000000"/>
          <w:sz w:val="24"/>
          <w:szCs w:val="24"/>
          <w:lang w:val="en-US"/>
        </w:rPr>
        <w:t xml:space="preserve">the </w:t>
      </w:r>
      <w:r w:rsidRPr="00E901BF">
        <w:rPr>
          <w:rFonts w:ascii="Book Antiqua" w:hAnsi="Book Antiqua" w:cs="Times New Roman"/>
          <w:color w:val="000000"/>
          <w:sz w:val="24"/>
          <w:szCs w:val="24"/>
          <w:lang w:val="en-US"/>
        </w:rPr>
        <w:t xml:space="preserve">PDAC microenvironment supports tumor growth, promotes metastasis and consists of a physical barrier to drug delivery. </w:t>
      </w:r>
      <w:r w:rsidR="00380CAD" w:rsidRPr="00E901BF">
        <w:rPr>
          <w:rFonts w:ascii="Book Antiqua" w:hAnsi="Book Antiqua" w:cs="Times New Roman"/>
          <w:sz w:val="24"/>
          <w:szCs w:val="24"/>
          <w:lang w:val="en-US"/>
        </w:rPr>
        <w:t>C</w:t>
      </w:r>
      <w:r w:rsidRPr="00E901BF">
        <w:rPr>
          <w:rFonts w:ascii="Book Antiqua" w:hAnsi="Book Antiqua" w:cs="Times New Roman"/>
          <w:sz w:val="24"/>
          <w:szCs w:val="24"/>
          <w:lang w:val="en-US"/>
        </w:rPr>
        <w:t xml:space="preserve">ombination therapies hold great promise for enhancing immune responses to achieve a better therapeutic effect. In this review, we </w:t>
      </w:r>
      <w:r w:rsidRPr="00E901BF">
        <w:rPr>
          <w:rFonts w:ascii="Book Antiqua" w:eastAsia="Times New Roman" w:hAnsi="Book Antiqua" w:cs="Times New Roman"/>
          <w:sz w:val="24"/>
          <w:szCs w:val="24"/>
          <w:lang w:val="en-US"/>
        </w:rPr>
        <w:t>provide</w:t>
      </w:r>
      <w:r w:rsidRPr="00E901BF">
        <w:rPr>
          <w:rFonts w:ascii="Book Antiqua" w:hAnsi="Book Antiqua" w:cs="Times New Roman"/>
          <w:sz w:val="24"/>
          <w:szCs w:val="24"/>
          <w:lang w:val="en-US"/>
        </w:rPr>
        <w:t xml:space="preserve"> an outline of why pancreatic cancer is so lethal and </w:t>
      </w:r>
      <w:r w:rsidR="001249DB" w:rsidRPr="00E901BF">
        <w:rPr>
          <w:rFonts w:ascii="Book Antiqua" w:hAnsi="Book Antiqua" w:cs="Times New Roman"/>
          <w:sz w:val="24"/>
          <w:szCs w:val="24"/>
          <w:lang w:val="en-US"/>
        </w:rPr>
        <w:t xml:space="preserve">of </w:t>
      </w:r>
      <w:r w:rsidRPr="00E901BF">
        <w:rPr>
          <w:rFonts w:ascii="Book Antiqua" w:hAnsi="Book Antiqua" w:cs="Times New Roman"/>
          <w:sz w:val="24"/>
          <w:szCs w:val="24"/>
          <w:lang w:val="en-US"/>
        </w:rPr>
        <w:t>the treatment hurdles that exist. Particular emphasis is given to the role of the tumor microenvironment</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and some of the latest and</w:t>
      </w:r>
      <w:r w:rsidR="00917526" w:rsidRPr="00E901BF">
        <w:rPr>
          <w:rFonts w:ascii="Book Antiqua" w:hAnsi="Book Antiqua" w:cs="Times New Roman"/>
          <w:sz w:val="24"/>
          <w:szCs w:val="24"/>
          <w:lang w:val="en-US"/>
        </w:rPr>
        <w:t xml:space="preserve"> most</w:t>
      </w:r>
      <w:r w:rsidRPr="00E901BF">
        <w:rPr>
          <w:rFonts w:ascii="Book Antiqua" w:hAnsi="Book Antiqua" w:cs="Times New Roman"/>
          <w:sz w:val="24"/>
          <w:szCs w:val="24"/>
          <w:lang w:val="en-US"/>
        </w:rPr>
        <w:t xml:space="preserve"> promising studies on immunotherapy in PDAC are also presented.</w:t>
      </w:r>
    </w:p>
    <w:p w14:paraId="5AF7E692" w14:textId="77777777" w:rsidR="002A33B1" w:rsidRPr="00E901BF" w:rsidRDefault="002A33B1" w:rsidP="00E901BF">
      <w:pPr>
        <w:spacing w:after="0" w:line="360" w:lineRule="auto"/>
        <w:jc w:val="both"/>
        <w:rPr>
          <w:rFonts w:ascii="Book Antiqua" w:hAnsi="Book Antiqua" w:cs="Times New Roman"/>
          <w:sz w:val="24"/>
          <w:szCs w:val="24"/>
          <w:lang w:val="en-US"/>
        </w:rPr>
      </w:pPr>
    </w:p>
    <w:p w14:paraId="21985AF2" w14:textId="13C273DD" w:rsidR="003B6A96" w:rsidRPr="00E901BF" w:rsidRDefault="00F04A7C" w:rsidP="00E901BF">
      <w:pPr>
        <w:spacing w:after="0" w:line="360" w:lineRule="auto"/>
        <w:jc w:val="both"/>
        <w:rPr>
          <w:rFonts w:ascii="Book Antiqua" w:hAnsi="Book Antiqua" w:cs="Times New Roman"/>
          <w:color w:val="000000"/>
          <w:sz w:val="24"/>
          <w:szCs w:val="24"/>
          <w:shd w:val="clear" w:color="auto" w:fill="FFFFFF"/>
          <w:lang w:val="en-US" w:eastAsia="zh-CN"/>
        </w:rPr>
      </w:pPr>
      <w:r w:rsidRPr="00E901BF">
        <w:rPr>
          <w:rFonts w:ascii="Book Antiqua" w:hAnsi="Book Antiqua" w:cs="Times New Roman"/>
          <w:b/>
          <w:sz w:val="24"/>
          <w:szCs w:val="24"/>
          <w:lang w:val="en-US"/>
        </w:rPr>
        <w:t>Key</w:t>
      </w:r>
      <w:r w:rsidR="002A33B1" w:rsidRPr="00E901BF">
        <w:rPr>
          <w:rFonts w:ascii="Book Antiqua" w:hAnsi="Book Antiqua" w:cs="Times New Roman"/>
          <w:b/>
          <w:sz w:val="24"/>
          <w:szCs w:val="24"/>
          <w:lang w:val="en-US"/>
        </w:rPr>
        <w:t xml:space="preserve"> </w:t>
      </w:r>
      <w:r w:rsidRPr="00E901BF">
        <w:rPr>
          <w:rFonts w:ascii="Book Antiqua" w:hAnsi="Book Antiqua" w:cs="Times New Roman"/>
          <w:b/>
          <w:sz w:val="24"/>
          <w:szCs w:val="24"/>
          <w:lang w:val="en-US"/>
        </w:rPr>
        <w:t xml:space="preserve">words: </w:t>
      </w:r>
      <w:bookmarkStart w:id="4" w:name="OLE_LINK3"/>
      <w:r w:rsidR="002A33B1" w:rsidRPr="00E901BF">
        <w:rPr>
          <w:rFonts w:ascii="Book Antiqua" w:hAnsi="Book Antiqua" w:cs="Times New Roman"/>
          <w:sz w:val="24"/>
          <w:szCs w:val="24"/>
          <w:lang w:val="en-US"/>
        </w:rPr>
        <w:t>Pancreatic ductal adenocarcinoma</w:t>
      </w:r>
      <w:bookmarkEnd w:id="4"/>
      <w:r w:rsidR="002A33B1" w:rsidRPr="00E901BF">
        <w:rPr>
          <w:rFonts w:ascii="Book Antiqua" w:hAnsi="Book Antiqua" w:cs="Times New Roman"/>
          <w:sz w:val="24"/>
          <w:szCs w:val="24"/>
          <w:lang w:val="en-US"/>
        </w:rPr>
        <w:t>;</w:t>
      </w:r>
      <w:r w:rsidRPr="00E901BF">
        <w:rPr>
          <w:rFonts w:ascii="Book Antiqua" w:hAnsi="Book Antiqua" w:cs="Times New Roman"/>
          <w:sz w:val="24"/>
          <w:szCs w:val="24"/>
          <w:lang w:val="en-US"/>
        </w:rPr>
        <w:t xml:space="preserve"> Tumor microenvironment</w:t>
      </w:r>
      <w:r w:rsidR="002A33B1" w:rsidRPr="00E901BF">
        <w:rPr>
          <w:rFonts w:ascii="Book Antiqua" w:hAnsi="Book Antiqua" w:cs="Times New Roman"/>
          <w:sz w:val="24"/>
          <w:szCs w:val="24"/>
          <w:lang w:val="en-US"/>
        </w:rPr>
        <w:t>;</w:t>
      </w:r>
      <w:r w:rsidRPr="00E901BF">
        <w:rPr>
          <w:rFonts w:ascii="Book Antiqua" w:hAnsi="Book Antiqua" w:cs="Times New Roman"/>
          <w:sz w:val="24"/>
          <w:szCs w:val="24"/>
          <w:lang w:val="en-US"/>
        </w:rPr>
        <w:t xml:space="preserve"> Immunotherapy</w:t>
      </w:r>
      <w:r w:rsidR="002A33B1" w:rsidRPr="00E901BF">
        <w:rPr>
          <w:rFonts w:ascii="Book Antiqua" w:hAnsi="Book Antiqua" w:cs="Times New Roman"/>
          <w:sz w:val="24"/>
          <w:szCs w:val="24"/>
          <w:lang w:val="en-US"/>
        </w:rPr>
        <w:t>;</w:t>
      </w:r>
      <w:r w:rsidRPr="00E901BF">
        <w:rPr>
          <w:rFonts w:ascii="Book Antiqua" w:hAnsi="Book Antiqua" w:cs="Times New Roman"/>
          <w:color w:val="000000"/>
          <w:sz w:val="24"/>
          <w:szCs w:val="24"/>
          <w:shd w:val="clear" w:color="auto" w:fill="FFFFFF"/>
          <w:lang w:val="en-US"/>
        </w:rPr>
        <w:t xml:space="preserve"> Gemcitabine</w:t>
      </w:r>
      <w:r w:rsidR="000125E6">
        <w:rPr>
          <w:rFonts w:ascii="Book Antiqua" w:hAnsi="Book Antiqua" w:cs="Times New Roman" w:hint="eastAsia"/>
          <w:color w:val="000000"/>
          <w:sz w:val="24"/>
          <w:szCs w:val="24"/>
          <w:shd w:val="clear" w:color="auto" w:fill="FFFFFF"/>
          <w:lang w:val="en-US" w:eastAsia="zh-CN"/>
        </w:rPr>
        <w:t xml:space="preserve">; Treatment; </w:t>
      </w:r>
      <w:r w:rsidR="000125E6" w:rsidRPr="00E901BF">
        <w:rPr>
          <w:rFonts w:ascii="Book Antiqua" w:hAnsi="Book Antiqua" w:cs="Times New Roman"/>
          <w:shd w:val="clear" w:color="auto" w:fill="FFFFFF"/>
          <w:lang w:val="en-US"/>
        </w:rPr>
        <w:t>Cancer stem cells</w:t>
      </w:r>
    </w:p>
    <w:p w14:paraId="5F297235" w14:textId="77777777" w:rsidR="002A33B1" w:rsidRPr="00E901BF" w:rsidRDefault="002A33B1" w:rsidP="00E901BF">
      <w:pPr>
        <w:spacing w:after="0" w:line="360" w:lineRule="auto"/>
        <w:jc w:val="both"/>
        <w:rPr>
          <w:rFonts w:ascii="Book Antiqua" w:hAnsi="Book Antiqua" w:cs="Times New Roman"/>
          <w:sz w:val="24"/>
          <w:szCs w:val="24"/>
          <w:lang w:val="en-US"/>
        </w:rPr>
      </w:pPr>
    </w:p>
    <w:p w14:paraId="336D6538" w14:textId="5CD34335" w:rsidR="00E901BF" w:rsidRPr="00E901BF" w:rsidRDefault="00E901BF" w:rsidP="003E59B6">
      <w:pPr>
        <w:adjustRightInd w:val="0"/>
        <w:snapToGrid w:val="0"/>
        <w:spacing w:after="0" w:line="360" w:lineRule="auto"/>
        <w:jc w:val="both"/>
        <w:rPr>
          <w:rFonts w:ascii="Book Antiqua" w:hAnsi="Book Antiqua"/>
          <w:b/>
          <w:sz w:val="24"/>
          <w:szCs w:val="24"/>
          <w:lang w:eastAsia="zh-CN"/>
        </w:rPr>
      </w:pPr>
      <w:proofErr w:type="spellStart"/>
      <w:r w:rsidRPr="00E901BF">
        <w:rPr>
          <w:rFonts w:ascii="Book Antiqua" w:hAnsi="Book Antiqua" w:cs="Times New Roman"/>
          <w:bCs/>
          <w:sz w:val="24"/>
          <w:szCs w:val="24"/>
          <w:lang w:val="en-US"/>
        </w:rPr>
        <w:t>Sarantis</w:t>
      </w:r>
      <w:proofErr w:type="spellEnd"/>
      <w:r w:rsidRPr="00E901BF">
        <w:rPr>
          <w:rFonts w:ascii="Book Antiqua" w:hAnsi="Book Antiqua" w:cs="Times New Roman"/>
          <w:bCs/>
          <w:sz w:val="24"/>
          <w:szCs w:val="24"/>
          <w:lang w:val="en-US"/>
        </w:rPr>
        <w:t xml:space="preserve"> P, </w:t>
      </w:r>
      <w:proofErr w:type="spellStart"/>
      <w:r w:rsidRPr="00E901BF">
        <w:rPr>
          <w:rFonts w:ascii="Book Antiqua" w:hAnsi="Book Antiqua" w:cs="Times New Roman"/>
          <w:bCs/>
          <w:sz w:val="24"/>
          <w:szCs w:val="24"/>
          <w:lang w:val="en-US"/>
        </w:rPr>
        <w:t>Koustas</w:t>
      </w:r>
      <w:proofErr w:type="spellEnd"/>
      <w:r w:rsidRPr="00E901BF">
        <w:rPr>
          <w:rFonts w:ascii="Book Antiqua" w:hAnsi="Book Antiqua" w:cs="Times New Roman"/>
          <w:bCs/>
          <w:sz w:val="24"/>
          <w:szCs w:val="24"/>
          <w:lang w:val="en-US"/>
        </w:rPr>
        <w:t xml:space="preserve"> E, </w:t>
      </w:r>
      <w:proofErr w:type="spellStart"/>
      <w:r w:rsidRPr="00E901BF">
        <w:rPr>
          <w:rFonts w:ascii="Book Antiqua" w:hAnsi="Book Antiqua" w:cs="Times New Roman"/>
          <w:bCs/>
          <w:sz w:val="24"/>
          <w:szCs w:val="24"/>
          <w:lang w:val="en-US"/>
        </w:rPr>
        <w:t>Papadimitropoulou</w:t>
      </w:r>
      <w:proofErr w:type="spellEnd"/>
      <w:r w:rsidRPr="00E901BF">
        <w:rPr>
          <w:rFonts w:ascii="Book Antiqua" w:hAnsi="Book Antiqua" w:cs="Times New Roman"/>
          <w:bCs/>
          <w:sz w:val="24"/>
          <w:szCs w:val="24"/>
          <w:lang w:val="en-US"/>
        </w:rPr>
        <w:t xml:space="preserve"> A, </w:t>
      </w:r>
      <w:proofErr w:type="spellStart"/>
      <w:r w:rsidRPr="00E901BF">
        <w:rPr>
          <w:rFonts w:ascii="Book Antiqua" w:hAnsi="Book Antiqua" w:cs="Times New Roman"/>
          <w:bCs/>
          <w:sz w:val="24"/>
          <w:szCs w:val="24"/>
          <w:lang w:val="en-US"/>
        </w:rPr>
        <w:t>Papavassiliou</w:t>
      </w:r>
      <w:proofErr w:type="spellEnd"/>
      <w:r w:rsidRPr="00E901BF">
        <w:rPr>
          <w:rFonts w:ascii="Book Antiqua" w:hAnsi="Book Antiqua" w:cs="Times New Roman"/>
          <w:bCs/>
          <w:sz w:val="24"/>
          <w:szCs w:val="24"/>
          <w:lang w:val="en-US"/>
        </w:rPr>
        <w:t xml:space="preserve"> AG, </w:t>
      </w:r>
      <w:proofErr w:type="spellStart"/>
      <w:r w:rsidRPr="00E901BF">
        <w:rPr>
          <w:rFonts w:ascii="Book Antiqua" w:hAnsi="Book Antiqua" w:cs="Times New Roman"/>
          <w:bCs/>
          <w:sz w:val="24"/>
          <w:szCs w:val="24"/>
          <w:lang w:val="en-US"/>
        </w:rPr>
        <w:t>Karamouzis</w:t>
      </w:r>
      <w:proofErr w:type="spellEnd"/>
      <w:r w:rsidRPr="00E901BF">
        <w:rPr>
          <w:rFonts w:ascii="Book Antiqua" w:hAnsi="Book Antiqua" w:cs="Times New Roman"/>
          <w:bCs/>
          <w:sz w:val="24"/>
          <w:szCs w:val="24"/>
          <w:lang w:val="en-US"/>
        </w:rPr>
        <w:t xml:space="preserve"> MV. Pancreatic ductal adenocarcinoma: Treatment hurdles, tumor microenvironment and immunotherapy. </w:t>
      </w:r>
      <w:r w:rsidRPr="00E901BF">
        <w:rPr>
          <w:rFonts w:ascii="Book Antiqua" w:hAnsi="Book Antiqua"/>
          <w:bCs/>
          <w:i/>
          <w:sz w:val="24"/>
          <w:szCs w:val="24"/>
        </w:rPr>
        <w:t xml:space="preserve">World J Gastrointest Oncol </w:t>
      </w:r>
      <w:r w:rsidRPr="00E901BF">
        <w:rPr>
          <w:rFonts w:ascii="Book Antiqua" w:eastAsia="Book Antiqua" w:hAnsi="Book Antiqua" w:cs="Book Antiqua"/>
          <w:bCs/>
          <w:sz w:val="24"/>
          <w:szCs w:val="24"/>
        </w:rPr>
        <w:t xml:space="preserve">2019; </w:t>
      </w:r>
      <w:r w:rsidR="003E59B6">
        <w:rPr>
          <w:rFonts w:ascii="Book Antiqua" w:hAnsi="Book Antiqua" w:hint="eastAsia"/>
          <w:bCs/>
          <w:sz w:val="24"/>
          <w:szCs w:val="24"/>
          <w:lang w:eastAsia="zh-CN"/>
        </w:rPr>
        <w:t>In press</w:t>
      </w:r>
    </w:p>
    <w:p w14:paraId="07269627" w14:textId="06D0E6DF" w:rsidR="00E901BF" w:rsidRPr="00E901BF" w:rsidRDefault="00E901BF" w:rsidP="00E901BF">
      <w:pPr>
        <w:spacing w:after="0" w:line="360" w:lineRule="auto"/>
        <w:jc w:val="both"/>
        <w:rPr>
          <w:rFonts w:ascii="Book Antiqua" w:hAnsi="Book Antiqua" w:cs="Times New Roman"/>
          <w:b/>
          <w:sz w:val="24"/>
          <w:szCs w:val="24"/>
        </w:rPr>
      </w:pPr>
    </w:p>
    <w:p w14:paraId="6CE5B467" w14:textId="2A43D3F1" w:rsidR="003B6A96" w:rsidRPr="00E901BF" w:rsidRDefault="00F04A7C" w:rsidP="00E901BF">
      <w:pPr>
        <w:spacing w:after="0" w:line="360" w:lineRule="auto"/>
        <w:jc w:val="both"/>
        <w:rPr>
          <w:rFonts w:ascii="Book Antiqua" w:hAnsi="Book Antiqua" w:cs="Times New Roman"/>
          <w:b/>
          <w:sz w:val="24"/>
          <w:szCs w:val="24"/>
          <w:lang w:val="en-US"/>
        </w:rPr>
      </w:pPr>
      <w:r w:rsidRPr="00E901BF">
        <w:rPr>
          <w:rFonts w:ascii="Book Antiqua" w:hAnsi="Book Antiqua" w:cs="Times New Roman"/>
          <w:b/>
          <w:sz w:val="24"/>
          <w:szCs w:val="24"/>
          <w:lang w:val="en-US"/>
        </w:rPr>
        <w:t xml:space="preserve">Core tip: </w:t>
      </w:r>
      <w:bookmarkStart w:id="5" w:name="OLE_LINK4"/>
      <w:r w:rsidR="004C6027" w:rsidRPr="00E901BF">
        <w:rPr>
          <w:rFonts w:ascii="Book Antiqua" w:hAnsi="Book Antiqua" w:cs="Times New Roman"/>
          <w:sz w:val="24"/>
          <w:szCs w:val="24"/>
          <w:lang w:val="en-US"/>
        </w:rPr>
        <w:t xml:space="preserve">Pancreatic ductal adenocarcinoma (PDAC) </w:t>
      </w:r>
      <w:r w:rsidR="00A81FFA" w:rsidRPr="00E901BF">
        <w:rPr>
          <w:rFonts w:ascii="Book Antiqua" w:hAnsi="Book Antiqua" w:cs="Times New Roman"/>
          <w:color w:val="000000"/>
          <w:sz w:val="24"/>
          <w:szCs w:val="24"/>
          <w:lang w:val="en-US"/>
        </w:rPr>
        <w:t xml:space="preserve">is one of the most aggressive and lethal malignancies. Treatments such as surgery, radiation, </w:t>
      </w:r>
      <w:r w:rsidRPr="00E901BF">
        <w:rPr>
          <w:rFonts w:ascii="Book Antiqua" w:eastAsia="Times New Roman" w:hAnsi="Book Antiqua" w:cs="Times New Roman"/>
          <w:color w:val="000000"/>
          <w:sz w:val="24"/>
          <w:szCs w:val="24"/>
          <w:lang w:val="en-US"/>
        </w:rPr>
        <w:t xml:space="preserve">and </w:t>
      </w:r>
      <w:r w:rsidR="00A81FFA" w:rsidRPr="00E901BF">
        <w:rPr>
          <w:rFonts w:ascii="Book Antiqua" w:hAnsi="Book Antiqua" w:cs="Times New Roman"/>
          <w:color w:val="000000"/>
          <w:sz w:val="24"/>
          <w:szCs w:val="24"/>
          <w:lang w:val="en-US"/>
        </w:rPr>
        <w:t xml:space="preserve">chemotherapy have limited </w:t>
      </w:r>
      <w:r w:rsidR="00470C6F" w:rsidRPr="00E901BF">
        <w:rPr>
          <w:rFonts w:ascii="Book Antiqua" w:hAnsi="Book Antiqua" w:cs="Times New Roman"/>
          <w:color w:val="000000"/>
          <w:sz w:val="24"/>
          <w:szCs w:val="24"/>
          <w:lang w:val="en-US"/>
        </w:rPr>
        <w:t>efficacy</w:t>
      </w:r>
      <w:r w:rsidR="00762EB3" w:rsidRPr="00E901BF">
        <w:rPr>
          <w:rFonts w:ascii="Book Antiqua" w:hAnsi="Book Antiqua" w:cs="Times New Roman"/>
          <w:color w:val="000000"/>
          <w:sz w:val="24"/>
          <w:szCs w:val="24"/>
          <w:lang w:val="en-US"/>
        </w:rPr>
        <w:t xml:space="preserve"> </w:t>
      </w:r>
      <w:r w:rsidR="00A81FFA" w:rsidRPr="00E901BF">
        <w:rPr>
          <w:rFonts w:ascii="Book Antiqua" w:hAnsi="Book Antiqua" w:cs="Times New Roman"/>
          <w:color w:val="000000"/>
          <w:sz w:val="24"/>
          <w:szCs w:val="24"/>
          <w:lang w:val="en-US"/>
        </w:rPr>
        <w:t xml:space="preserve">due to the extensive heterogeneity of </w:t>
      </w:r>
      <w:r w:rsidR="00A81FFA" w:rsidRPr="00E901BF">
        <w:rPr>
          <w:rFonts w:ascii="Book Antiqua" w:hAnsi="Book Antiqua" w:cs="Times New Roman"/>
          <w:color w:val="000000"/>
          <w:sz w:val="24"/>
          <w:szCs w:val="24"/>
          <w:lang w:val="en-US"/>
        </w:rPr>
        <w:lastRenderedPageBreak/>
        <w:t xml:space="preserve">genetic mutations and </w:t>
      </w:r>
      <w:r w:rsidR="00021C58" w:rsidRPr="00E901BF">
        <w:rPr>
          <w:rFonts w:ascii="Book Antiqua" w:hAnsi="Book Antiqua" w:cs="Times New Roman"/>
          <w:color w:val="000000"/>
          <w:sz w:val="24"/>
          <w:szCs w:val="24"/>
          <w:lang w:val="en-US"/>
        </w:rPr>
        <w:t xml:space="preserve">the </w:t>
      </w:r>
      <w:r w:rsidR="00A81FFA" w:rsidRPr="00E901BF">
        <w:rPr>
          <w:rFonts w:ascii="Book Antiqua" w:hAnsi="Book Antiqua" w:cs="Times New Roman"/>
          <w:color w:val="000000"/>
          <w:sz w:val="24"/>
          <w:szCs w:val="24"/>
          <w:lang w:val="en-US"/>
        </w:rPr>
        <w:t>dense stromal environment</w:t>
      </w:r>
      <w:r w:rsidRPr="00E901BF">
        <w:rPr>
          <w:rFonts w:ascii="Book Antiqua" w:eastAsia="Times New Roman" w:hAnsi="Book Antiqua" w:cs="Times New Roman"/>
          <w:color w:val="000000"/>
          <w:sz w:val="24"/>
          <w:szCs w:val="24"/>
          <w:lang w:val="en-US"/>
        </w:rPr>
        <w:t>,</w:t>
      </w:r>
      <w:r w:rsidR="00A81FFA" w:rsidRPr="00E901BF">
        <w:rPr>
          <w:rFonts w:ascii="Book Antiqua" w:hAnsi="Book Antiqua" w:cs="Times New Roman"/>
          <w:color w:val="000000"/>
          <w:sz w:val="24"/>
          <w:szCs w:val="24"/>
          <w:lang w:val="en-US"/>
        </w:rPr>
        <w:t xml:space="preserve"> among other causes. </w:t>
      </w:r>
      <w:r w:rsidR="00F009B2" w:rsidRPr="00E901BF">
        <w:rPr>
          <w:rFonts w:ascii="Book Antiqua" w:hAnsi="Book Antiqua" w:cs="Times New Roman"/>
          <w:sz w:val="24"/>
          <w:szCs w:val="24"/>
          <w:lang w:val="en-US"/>
        </w:rPr>
        <w:t>In recent years, immunotherapy has been successfully applied in the treatment of various types of cancers</w:t>
      </w:r>
      <w:r w:rsidRPr="00E901BF">
        <w:rPr>
          <w:rFonts w:ascii="Book Antiqua" w:eastAsia="Times New Roman" w:hAnsi="Book Antiqua" w:cs="Times New Roman"/>
          <w:sz w:val="24"/>
          <w:szCs w:val="24"/>
          <w:lang w:val="en-US"/>
        </w:rPr>
        <w:t>,</w:t>
      </w:r>
      <w:r w:rsidR="00F009B2" w:rsidRPr="00E901BF">
        <w:rPr>
          <w:rFonts w:ascii="Book Antiqua" w:hAnsi="Book Antiqua" w:cs="Times New Roman"/>
          <w:sz w:val="24"/>
          <w:szCs w:val="24"/>
          <w:lang w:val="en-US"/>
        </w:rPr>
        <w:t xml:space="preserve"> and </w:t>
      </w:r>
      <w:r w:rsidR="00226101" w:rsidRPr="00E901BF">
        <w:rPr>
          <w:rFonts w:ascii="Book Antiqua" w:hAnsi="Book Antiqua" w:cs="Times New Roman"/>
          <w:sz w:val="24"/>
          <w:szCs w:val="24"/>
          <w:lang w:val="en-US"/>
        </w:rPr>
        <w:t xml:space="preserve">immunotherapy </w:t>
      </w:r>
      <w:r w:rsidR="00F009B2" w:rsidRPr="00E901BF">
        <w:rPr>
          <w:rFonts w:ascii="Book Antiqua" w:hAnsi="Book Antiqua" w:cs="Times New Roman"/>
          <w:sz w:val="24"/>
          <w:szCs w:val="24"/>
          <w:lang w:val="en-US"/>
        </w:rPr>
        <w:t xml:space="preserve">combined with the above treatments </w:t>
      </w:r>
      <w:r w:rsidR="00EC6E22" w:rsidRPr="00E901BF">
        <w:rPr>
          <w:rFonts w:ascii="Book Antiqua" w:hAnsi="Book Antiqua" w:cs="Times New Roman"/>
          <w:sz w:val="24"/>
          <w:szCs w:val="24"/>
          <w:lang w:val="en-US"/>
        </w:rPr>
        <w:t xml:space="preserve">could </w:t>
      </w:r>
      <w:r w:rsidR="00F009B2" w:rsidRPr="00E901BF">
        <w:rPr>
          <w:rFonts w:ascii="Book Antiqua" w:hAnsi="Book Antiqua" w:cs="Times New Roman"/>
          <w:sz w:val="24"/>
          <w:szCs w:val="24"/>
          <w:lang w:val="en-US"/>
        </w:rPr>
        <w:t>create more favorable conditions for the fight against PDAC.</w:t>
      </w:r>
    </w:p>
    <w:bookmarkEnd w:id="5"/>
    <w:p w14:paraId="6C7CA35A" w14:textId="77777777" w:rsidR="002A33B1" w:rsidRPr="00E901BF" w:rsidRDefault="002A33B1" w:rsidP="00E901BF">
      <w:pPr>
        <w:spacing w:after="0" w:line="360" w:lineRule="auto"/>
        <w:jc w:val="both"/>
        <w:rPr>
          <w:rFonts w:ascii="Book Antiqua" w:hAnsi="Book Antiqua" w:cs="Times New Roman"/>
          <w:b/>
          <w:sz w:val="24"/>
          <w:szCs w:val="24"/>
        </w:rPr>
      </w:pPr>
    </w:p>
    <w:p w14:paraId="4346BFFD" w14:textId="030185F4" w:rsidR="0072365D" w:rsidRPr="00E901BF" w:rsidRDefault="00F04A7C" w:rsidP="00E901BF">
      <w:pPr>
        <w:spacing w:after="0" w:line="360" w:lineRule="auto"/>
        <w:jc w:val="both"/>
        <w:rPr>
          <w:rFonts w:ascii="Book Antiqua" w:hAnsi="Book Antiqua" w:cs="Times New Roman"/>
          <w:b/>
          <w:sz w:val="24"/>
          <w:szCs w:val="24"/>
          <w:lang w:val="en-US"/>
        </w:rPr>
      </w:pPr>
      <w:r w:rsidRPr="00E901BF">
        <w:rPr>
          <w:rFonts w:ascii="Book Antiqua" w:hAnsi="Book Antiqua" w:cs="Times New Roman"/>
          <w:b/>
          <w:sz w:val="24"/>
          <w:szCs w:val="24"/>
          <w:lang w:val="en-US"/>
        </w:rPr>
        <w:br w:type="page"/>
      </w:r>
    </w:p>
    <w:p w14:paraId="0C402E65" w14:textId="74A1342B" w:rsidR="004C6027" w:rsidRPr="00E901BF" w:rsidRDefault="002A33B1" w:rsidP="00E901BF">
      <w:pPr>
        <w:spacing w:after="0" w:line="360" w:lineRule="auto"/>
        <w:jc w:val="both"/>
        <w:rPr>
          <w:rFonts w:ascii="Book Antiqua" w:hAnsi="Book Antiqua" w:cs="Times New Roman"/>
          <w:b/>
          <w:sz w:val="24"/>
          <w:szCs w:val="24"/>
          <w:u w:val="single"/>
          <w:lang w:val="en-US"/>
        </w:rPr>
      </w:pPr>
      <w:r w:rsidRPr="00E901BF">
        <w:rPr>
          <w:rFonts w:ascii="Book Antiqua" w:hAnsi="Book Antiqua" w:cs="Times New Roman"/>
          <w:b/>
          <w:sz w:val="24"/>
          <w:szCs w:val="24"/>
          <w:u w:val="single"/>
          <w:lang w:val="en-US"/>
        </w:rPr>
        <w:lastRenderedPageBreak/>
        <w:t>INTRODUCTION</w:t>
      </w:r>
    </w:p>
    <w:p w14:paraId="1540983C" w14:textId="6D3575CC" w:rsidR="004D790B" w:rsidRPr="00E901BF" w:rsidRDefault="00F04A7C"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sz w:val="24"/>
          <w:szCs w:val="24"/>
          <w:lang w:val="en-US"/>
        </w:rPr>
        <w:t xml:space="preserve">Pancreatic ductal adenocarcinoma (PDAC) is a highly aggressive lethal malignancy due to </w:t>
      </w:r>
      <w:r w:rsidRPr="00E901BF">
        <w:rPr>
          <w:rFonts w:ascii="Book Antiqua" w:eastAsia="Times New Roman" w:hAnsi="Book Antiqua" w:cs="Times New Roman"/>
          <w:sz w:val="24"/>
          <w:szCs w:val="24"/>
          <w:lang w:val="en-US"/>
        </w:rPr>
        <w:t xml:space="preserve">the </w:t>
      </w:r>
      <w:r w:rsidR="00B3739A" w:rsidRPr="00E901BF">
        <w:rPr>
          <w:rFonts w:ascii="Book Antiqua" w:hAnsi="Book Antiqua" w:cs="Times New Roman"/>
          <w:sz w:val="24"/>
          <w:szCs w:val="24"/>
          <w:lang w:val="en-US"/>
        </w:rPr>
        <w:t xml:space="preserve">lack </w:t>
      </w:r>
      <w:r w:rsidRPr="00E901BF">
        <w:rPr>
          <w:rFonts w:ascii="Book Antiqua" w:hAnsi="Book Antiqua" w:cs="Times New Roman"/>
          <w:sz w:val="24"/>
          <w:szCs w:val="24"/>
          <w:lang w:val="en-US"/>
        </w:rPr>
        <w:t>of early diagnosis and limited response to treatments. It is the most prevalent type of pancreatic neoplasm,</w:t>
      </w:r>
      <w:r w:rsidRPr="00E901BF">
        <w:rPr>
          <w:rFonts w:ascii="Book Antiqua" w:eastAsia="Times New Roman" w:hAnsi="Book Antiqua" w:cs="Times New Roman"/>
          <w:sz w:val="24"/>
          <w:szCs w:val="24"/>
          <w:lang w:val="en-US"/>
        </w:rPr>
        <w:t xml:space="preserve"> and</w:t>
      </w:r>
      <w:r w:rsidRPr="00E901BF">
        <w:rPr>
          <w:rFonts w:ascii="Book Antiqua" w:hAnsi="Book Antiqua" w:cs="Times New Roman"/>
          <w:sz w:val="24"/>
          <w:szCs w:val="24"/>
          <w:lang w:val="en-US"/>
        </w:rPr>
        <w:t xml:space="preserve"> it is developed in the exocrine compartment and accounts for more than 90% of pancreatic cancer cases. Despite scientific progress on the elucidation of PDAC tumor biology and the development of novel therapeutic regimes, it has an average 5-year survival rate of less than 10%</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{"citationItems":[{"id":"ITEM-1","itemData":{"DOI":"10.3322/caac.21349","ISBN":"1542-4863 (Electronic)\r0007-9235 (Linking)","ISSN":"0007-9235","PMID":"27253694","abstract":"The number of cancer survivors continues to increase because of both advances in early detection and treatment and the aging and growth of the population. For the public health community to better serve these survivors, the American Cancer Society and the National Cancer Institute collaborate to estimate the number of current and future cancer survivors using data from the Surveillance, Epidemiology, and End Results cancer registries. In addition, current treatment patterns for the most prevalent cancer types are presented based on information in the National Cancer Data Base and treatment-related side effects are briefly described. More than 15.5 million Americans with a history of cancer were alive on January 1, 2016, and this number is projected to reach more than 20 million by January 1, 2026. The 3 most prevalent cancers are prostate (3,306,760), colon and rectum (724,690), and melanoma (614,460) among males and breast (3,560,570), uterine corpus (757,190), and colon and rectum (727,350) among females. More than one-half (56%) of survivors were diagnosed within the past 10 years, and almost one-half (47%) are aged 70 years or older. People with a history of cancer have unique medical and psychosocial needs that require proactive assessment and management by primary care providers. Although there are a growing number of tools that can assist patients, caregivers, and clinicians in navigating the various phases of cancer survivorship, further evidence-based resources are needed to optimize care. CA Cancer J Clin 2016;66:271-289. © 2016 American Cancer Society.","author":[{"dropping-particle":"","family":"Miller","given":"Kimberly D.","non-dropping-particle":"","parse-names":false,"suffix":""},{"dropping-particle":"","family":"Siegel","given":"Rebecca L.","non-dropping-particle":"","parse-names":false,"suffix":""},{"dropping-particle":"","family":"Lin","given":"Chun Chieh","non-dropping-particle":"","parse-names":false,"suffix":""},{"dropping-particle":"","family":"Mariotto","given":"Angela B.","non-dropping-particle":"","parse-names":false,"suffix":""},{"dropping-particle":"","family":"Kramer","given":"Joan L.","non-dropping-particle":"","parse-names":false,"suffix":""},{"dropping-particle":"","family":"Rowland","given":"Julia H.","non-dropping-particle":"","parse-names":false,"suffix":""},{"dropping-particle":"","family":"Stein","given":"Kevin D.","non-dropping-particle":"","parse-names":false,"suffix":""},{"dropping-particle":"","family":"Alteri","given":"Rick","non-dropping-particle":"","parse-names":false,"suffix":""},{"dropping-particle":"","family":"Jemal","given":"Ahmedin","non-dropping-particle":"","parse-names":false,"suffix":""}],"container-title":"CA: A Cancer Journal for Clinicians","id":"ITEM-1","issued":{"date-parts":[["2016"]]},"title":"Cancer treatment and survivorship statistics, 2016","type":"article-journal"},"uris":["http://www.mendeley.com/documents/?uuid=a8eefea1-a426-4f5e-bc14-5d76ca1ae7e2"]}],"mendeley":{"formattedCitation":"[1]","plainTextFormattedCitation":"[1]","previouslyFormattedCitation":"[1]"},"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[1]</w:t>
      </w:r>
      <w:r w:rsidR="00441495" w:rsidRPr="00E901BF">
        <w:rPr>
          <w:rFonts w:ascii="Book Antiqua" w:hAnsi="Book Antiqua" w:cs="Times New Roman"/>
          <w:sz w:val="24"/>
          <w:szCs w:val="24"/>
          <w:vertAlign w:val="superscript"/>
          <w:lang w:val="en-US"/>
        </w:rPr>
        <w:fldChar w:fldCharType="end"/>
      </w:r>
      <w:r w:rsidR="006C04C4" w:rsidRPr="00E901BF">
        <w:rPr>
          <w:rFonts w:ascii="Book Antiqua" w:hAnsi="Book Antiqua" w:cs="Times New Roman"/>
          <w:sz w:val="24"/>
          <w:szCs w:val="24"/>
          <w:lang w:val="en-US"/>
        </w:rPr>
        <w:t xml:space="preserve"> and is anticipated to become the second leading cause of cancer–related mortality by 2020. </w:t>
      </w:r>
      <w:r w:rsidR="00B90A96" w:rsidRPr="00E901BF">
        <w:rPr>
          <w:rFonts w:ascii="Book Antiqua" w:hAnsi="Book Antiqua" w:cs="Times New Roman"/>
          <w:sz w:val="24"/>
          <w:szCs w:val="24"/>
          <w:shd w:val="clear" w:color="auto" w:fill="FFFFFF"/>
          <w:lang w:val="en-US"/>
        </w:rPr>
        <w:t>Almost 60</w:t>
      </w:r>
      <w:r w:rsidR="002A33B1" w:rsidRPr="00E901BF">
        <w:rPr>
          <w:rFonts w:ascii="Book Antiqua" w:hAnsi="Book Antiqua" w:cs="Times New Roman"/>
          <w:sz w:val="24"/>
          <w:szCs w:val="24"/>
          <w:shd w:val="clear" w:color="auto" w:fill="FFFFFF"/>
          <w:lang w:val="en-US"/>
        </w:rPr>
        <w:t>%</w:t>
      </w:r>
      <w:r w:rsidR="00B90A96" w:rsidRPr="00E901BF">
        <w:rPr>
          <w:rFonts w:ascii="Book Antiqua" w:hAnsi="Book Antiqua" w:cs="Times New Roman"/>
          <w:sz w:val="24"/>
          <w:szCs w:val="24"/>
          <w:shd w:val="clear" w:color="auto" w:fill="FFFFFF"/>
          <w:lang w:val="en-US"/>
        </w:rPr>
        <w:t>-70% of PDAC cases arise from the head of the pancreas</w:t>
      </w:r>
      <w:r w:rsidR="00083BBB" w:rsidRPr="00E901BF">
        <w:rPr>
          <w:rFonts w:ascii="Book Antiqua" w:hAnsi="Book Antiqua" w:cs="Times New Roman"/>
          <w:sz w:val="24"/>
          <w:szCs w:val="24"/>
          <w:shd w:val="clear" w:color="auto" w:fill="FFFFFF"/>
          <w:lang w:val="en-US"/>
        </w:rPr>
        <w:t>,</w:t>
      </w:r>
      <w:r w:rsidR="00B90A96" w:rsidRPr="00E901BF">
        <w:rPr>
          <w:rFonts w:ascii="Book Antiqua" w:hAnsi="Book Antiqua" w:cs="Times New Roman"/>
          <w:sz w:val="24"/>
          <w:szCs w:val="24"/>
          <w:shd w:val="clear" w:color="auto" w:fill="FFFFFF"/>
          <w:lang w:val="en-US"/>
        </w:rPr>
        <w:t xml:space="preserve"> and </w:t>
      </w:r>
      <w:r w:rsidR="00083BBB" w:rsidRPr="00E901BF">
        <w:rPr>
          <w:rFonts w:ascii="Book Antiqua" w:hAnsi="Book Antiqua" w:cs="Times New Roman"/>
          <w:sz w:val="24"/>
          <w:szCs w:val="24"/>
          <w:shd w:val="clear" w:color="auto" w:fill="FFFFFF"/>
          <w:lang w:val="en-US"/>
        </w:rPr>
        <w:t xml:space="preserve">these cases </w:t>
      </w:r>
      <w:r w:rsidR="00B90A96" w:rsidRPr="00E901BF">
        <w:rPr>
          <w:rFonts w:ascii="Book Antiqua" w:hAnsi="Book Antiqua" w:cs="Times New Roman"/>
          <w:sz w:val="24"/>
          <w:szCs w:val="24"/>
          <w:shd w:val="clear" w:color="auto" w:fill="FFFFFF"/>
          <w:lang w:val="en-US"/>
        </w:rPr>
        <w:t>are usually diagnosed earlier than tumors arising from the body and tail, as the head of the pancreas contains the common bile duct</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{"citationItems":[{"id":"ITEM-1","itemData":{"DOI":"10.2174/138945012800564103","ISSN":"13894501","abstract":"Pancreatic ductal adenocarcinoma (referred here as pancreatic cancer) is a lethal disease with the worst prognosis among all solid tumors. Surgical resection represents the only hope for cure but it is possible only in patients that present with local disease (about 20% of cases). Whether dismal prognosis of pancreatic cancer is a result of late diagnosis or early dissemination to distant organ is still a debate. Moreover, this disease shows an intrinsic chemotherapeutic resistance that has been mainly ascribed to the presence of a dense stromal reaction that significantly impairs drugs delivery. Clinical management of pancreatic cancer patients relies on few molecular markers (e.g., the diagnostic marker CA19-9) that, however, present several limitations to their use. The clinical usefulness of somatic alterations in well-characterized genes (such as KRAS and TP53), whose detection is technically feasible in different biological samples, has been extensively investigated leading to inconsistent results. Furthermore, none of the candidate molecular markers identified in recent years has shown an appropriate clinical performance and therefore none is routinely used. This depicts a scenario where the identification of novel and effective clinical biomarkers is mandatory. Very recent genome-wide comprehensive studies have shed light on the high degree of genetic complexity and heterogeneity of the pancreatic cancers. Although far from being introduced into the clinical settings, results from those studies are expected to change definitively the perspective through which we look at the clinical management of pancreatic cancer patients towards a personalized cancer medicine.","author":[{"dropping-particle":"","family":"Corbo","given":"Vincenzo","non-dropping-particle":"","parse-names":false,"suffix":""},{"dropping-particle":"","family":"Tortora","given":"Giampaolo","non-dropping-particle":"","parse-names":false,"suffix":""},{"dropping-particle":"","family":"Scarpa","given":"Aldo","non-dropping-particle":"","parse-names":false,"suffix":""}],"container-title":"Current Drug Targets","id":"ITEM-1","issue":"6","issued":{"date-parts":[["2012"]]},"page":"744-752","title":"Molecular Pathology of Pancreatic Cancer: From Bench-to-Bedside Translation","type":"article-journal","volume":"13"},"uris":["http://www.mendeley.com/documents/?uuid=dd1c91de-3a12-41cb-82a3-56f6830de9e8"]}],"mendeley":{"formattedCitation":"[2]","plainTextFormattedCitation":"[2]","previouslyFormattedCitation":"[2]"},"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[2]</w:t>
      </w:r>
      <w:r w:rsidR="00441495" w:rsidRPr="00E901BF">
        <w:rPr>
          <w:rFonts w:ascii="Book Antiqua" w:hAnsi="Book Antiqua" w:cs="Times New Roman"/>
          <w:sz w:val="24"/>
          <w:szCs w:val="24"/>
          <w:vertAlign w:val="superscript"/>
          <w:lang w:val="en-US"/>
        </w:rPr>
        <w:fldChar w:fldCharType="end"/>
      </w:r>
      <w:r w:rsidR="007777EB" w:rsidRPr="00E901BF">
        <w:rPr>
          <w:rFonts w:ascii="Book Antiqua" w:hAnsi="Book Antiqua" w:cs="Times New Roman"/>
          <w:sz w:val="24"/>
          <w:szCs w:val="24"/>
          <w:lang w:val="en-US"/>
        </w:rPr>
        <w:t>. Tumors of the body and tail are associated with a worse prognosis</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{"citationItems":[{"id":"ITEM-1","itemData":{"DOI":"10.1136/gut.2006.103333","ISSN":"00325473","abstract":"continues to pose an enormous challenge to clinicians and scientists. With a more affluent world the global incidence of  is rising. For the first time significant advances are now being made into the  of the disease. ","author":[{"dropping-particle":"","family":"Ghaneh","given":"P.","non-dropping-particle":"","parse-names":false,"suffix":""},{"dropping-particle":"","family":"Costello","given":"E.","non-dropping-particle":"","parse-names":false,"suffix":""},{"dropping-particle":"","family":"Neoptolemos","given":"J. P.","non-dropping-particle":"","parse-names":false,"suffix":""}],"container-title":"Postgraduate Medical Journal","id":"ITEM-1","issue":"995","issued":{"date-parts":[["2008"]]},"page":"478-497","title":"Biology and management of pancreatic cancer","type":"article-journal","volume":"84"},"uris":["http://www.mendeley.com/documents/?uuid=0dfc73a4-949d-43d3-aa0e-1555c9aaef95"]}],"mendeley":{"formattedCitation":"[3]","plainTextFormattedCitation":"[3]","previouslyFormattedCitation":"[3]"},"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[3]</w:t>
      </w:r>
      <w:r w:rsidR="00441495" w:rsidRPr="00E901BF">
        <w:rPr>
          <w:rFonts w:ascii="Book Antiqua" w:hAnsi="Book Antiqua" w:cs="Times New Roman"/>
          <w:sz w:val="24"/>
          <w:szCs w:val="24"/>
          <w:vertAlign w:val="superscript"/>
          <w:lang w:val="en-US"/>
        </w:rPr>
        <w:fldChar w:fldCharType="end"/>
      </w:r>
      <w:r w:rsidR="004F1F78" w:rsidRPr="00E901BF">
        <w:rPr>
          <w:rFonts w:ascii="Book Antiqua" w:hAnsi="Book Antiqua" w:cs="Times New Roman"/>
          <w:sz w:val="24"/>
          <w:szCs w:val="24"/>
          <w:lang w:val="en-US"/>
        </w:rPr>
        <w:t xml:space="preserve">. Weight loss, abdominal pain, </w:t>
      </w:r>
      <w:r w:rsidR="00142968" w:rsidRPr="00E901BF">
        <w:rPr>
          <w:rFonts w:ascii="Book Antiqua" w:hAnsi="Book Antiqua" w:cs="Times New Roman"/>
          <w:sz w:val="24"/>
          <w:szCs w:val="24"/>
          <w:lang w:val="en-US"/>
        </w:rPr>
        <w:t xml:space="preserve">and </w:t>
      </w:r>
      <w:r w:rsidR="004F1F78" w:rsidRPr="00E901BF">
        <w:rPr>
          <w:rFonts w:ascii="Book Antiqua" w:hAnsi="Book Antiqua" w:cs="Times New Roman"/>
          <w:sz w:val="24"/>
          <w:szCs w:val="24"/>
          <w:lang w:val="en-US"/>
        </w:rPr>
        <w:t>jaundice</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{"citationItems":[{"id":"ITEM-1","itemData":{"DOI":"10.1007/BF02712816","ISSN":"1699048X","PMID":"15960930","abstract":"INTRODUCTION: The need to detect pancreatic cancer at earlier stages is undisputed. We recorded the signs and symptoms of patients presenting with exocrine pancreatic cancer and evaluated their association with clinical characteristics such as tumour site and disease stage.\\n\\nPATIENTS AND METHODS: All patients (n = 185) with exocrine pancreatic cancer newly diagnosed at five general hospitals in Eastern Spain were prospectively recruited over 5 years. Symptoms were elicited through personal interviews and signs were recorded by the attending physician on admission.\\n\\nRESULTS: At diagnosis, one third of tumours of the pancreas head were in stage I and another third in stage IV. None of the tumours of the body and tail were in stage I, and over 80% were in stage IV (p &lt; 0.001) . At presentation, the most frequent symptoms were asthenia (86%), anorexia (85%), weight-loss (85%), abdominal pain (79%), and choluria (59%). Cholestatic symptoms were more common in tumours affecting only the pancreatic head (p &lt; 0.001) . There was a clear trend toward more localized tumours with increasing numbers of cholestatic signs (p &lt; 0.001) . Asthenia, anorexia and weight-loss were unrelated to stage. An increased symptom-to-diagnosis interval was associated with more advanced stage (p = 0.048).\\n\\nCONCLUSIONS: Proper attention to signs and symptoms, especially cholestasis, may help identify patients with pancreatic cancer at an earlier stage. Results also provide a current picture of the semiology of pancreatic cancer which could be of use in studies on the potential of proteomic tests in the early detection of this neoplasm.","author":[{"dropping-particle":"","family":"Porta","given":"Miquel","non-dropping-particle":"","parse-names":false,"suffix":""},{"dropping-particle":"","family":"Fabregat","given":"Xavier","non-dropping-particle":"","parse-names":false,"suffix":""},{"dropping-particle":"","family":"Malats","given":"Núria","non-dropping-particle":"","parse-names":false,"suffix":""},{"dropping-particle":"","family":"Guarner","given":"Luisa","non-dropping-particle":"","parse-names":false,"suffix":""},{"dropping-particle":"","family":"Carrato","given":"Alfredo","non-dropping-particle":"","parse-names":false,"suffix":""},{"dropping-particle":"","family":"Miguel","given":"Ana","non-dropping-particle":"De","parse-names":false,"suffix":""},{"dropping-particle":"","family":"Ruiz","given":"Laura","non-dropping-particle":"","parse-names":false,"suffix":""},{"dropping-particle":"","family":"Jariod","given":"Manuel","non-dropping-particle":"","parse-names":false,"suffix":""},{"dropping-particle":"","family":"Costafreda","given":"Sergi","non-dropping-particle":"","parse-names":false,"suffix":""},{"dropping-particle":"","family":"Coll","given":"Susana","non-dropping-particle":"","parse-names":false,"suffix":""},{"dropping-particle":"","family":"Alguacil","given":"Juan","non-dropping-particle":"","parse-names":false,"suffix":""},{"dropping-particle":"","family":"Corominas","given":"Josep M.","non-dropping-particle":"","parse-names":false,"suffix":""},{"dropping-particle":"","family":"Solà","given":"Ricard","non-dropping-particle":"","parse-names":false,"suffix":""},{"dropping-particle":"","family":"Salas","given":"Antonio","non-dropping-particle":"","parse-names":false,"suffix":""},{"dropping-particle":"","family":"Real","given":"Francisco X.","non-dropping-particle":"","parse-names":false,"suffix":""}],"container-title":"Clinical and Translational Oncology","id":"ITEM-1","issued":{"date-parts":[["2005"]]},"title":"Exocrine pancreatic cancer: Symptoms at presentation and their relation to tumour site and stage","type":"article-journal"},"uris":["http://www.mendeley.com/documents/?uuid=71f79ec4-83ae-46e9-8966-2436732aa359"]}],"mendeley":{"formattedCitation":"[4]","plainTextFormattedCitation":"[4]","previouslyFormattedCitation":"[4]"},"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[4]</w:t>
      </w:r>
      <w:r w:rsidR="00441495" w:rsidRPr="00E901BF">
        <w:rPr>
          <w:rFonts w:ascii="Book Antiqua" w:hAnsi="Book Antiqua" w:cs="Times New Roman"/>
          <w:sz w:val="24"/>
          <w:szCs w:val="24"/>
          <w:vertAlign w:val="superscript"/>
          <w:lang w:val="en-US"/>
        </w:rPr>
        <w:fldChar w:fldCharType="end"/>
      </w:r>
      <w:r w:rsidRPr="00E901BF">
        <w:rPr>
          <w:rFonts w:ascii="Book Antiqua" w:eastAsia="Times New Roman" w:hAnsi="Book Antiqua" w:cs="Times New Roman"/>
          <w:sz w:val="24"/>
          <w:szCs w:val="24"/>
          <w:lang w:val="en-US"/>
        </w:rPr>
        <w:t xml:space="preserve"> </w:t>
      </w:r>
      <w:r w:rsidR="00984268" w:rsidRPr="00E901BF">
        <w:rPr>
          <w:rFonts w:ascii="Book Antiqua" w:hAnsi="Book Antiqua" w:cs="Times New Roman"/>
          <w:sz w:val="24"/>
          <w:szCs w:val="24"/>
          <w:lang w:val="en-US"/>
        </w:rPr>
        <w:t xml:space="preserve">are the most common symptoms observed in </w:t>
      </w:r>
      <w:r w:rsidR="00477710" w:rsidRPr="00E901BF">
        <w:rPr>
          <w:rFonts w:ascii="Book Antiqua" w:hAnsi="Book Antiqua" w:cs="Times New Roman"/>
          <w:sz w:val="24"/>
          <w:szCs w:val="24"/>
          <w:lang w:val="en-US"/>
        </w:rPr>
        <w:t xml:space="preserve">patients with </w:t>
      </w:r>
      <w:r w:rsidR="00984268" w:rsidRPr="00E901BF">
        <w:rPr>
          <w:rFonts w:ascii="Book Antiqua" w:hAnsi="Book Antiqua" w:cs="Times New Roman"/>
          <w:sz w:val="24"/>
          <w:szCs w:val="24"/>
          <w:lang w:val="en-US"/>
        </w:rPr>
        <w:t>PDAC</w:t>
      </w:r>
      <w:r w:rsidRPr="00E901BF">
        <w:rPr>
          <w:rFonts w:ascii="Book Antiqua" w:eastAsia="Times New Roman" w:hAnsi="Book Antiqua" w:cs="Times New Roman"/>
          <w:sz w:val="24"/>
          <w:szCs w:val="24"/>
          <w:lang w:val="en-US"/>
        </w:rPr>
        <w:t>,</w:t>
      </w:r>
      <w:r w:rsidR="00984268" w:rsidRPr="00E901BF">
        <w:rPr>
          <w:rFonts w:ascii="Book Antiqua" w:hAnsi="Book Antiqua" w:cs="Times New Roman"/>
          <w:sz w:val="24"/>
          <w:szCs w:val="24"/>
          <w:lang w:val="en-US"/>
        </w:rPr>
        <w:t xml:space="preserve"> while less common symptoms include new-onset type 2 diabetes</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{"citationItems":[{"id":"ITEM-1","itemData":{"DOI":"10.1007/s00280-015-2948-8","ISSN":"14320843","abstract":"Pancreatic cancer is the fourth leading cause of cancer-related deaths in the USA, with a 5-year survival rate of 6 %. Anti-hyperglycemic treatments for type 2 diabetes mellitus that induce hyperinsulinemia (i.e., sulfonylureas) are thought to increase cancer risk, whereas treatments that lower insulin resistance and hyperinsulinemia (i.e., metformin) are considered cancer prevention strategies. Metformin is a cornerstone in the treatment of diabetes mellitus type 2. Retrospective studies have shown a survival benefit in diabetic patients with many solid tumors including pancreatic cancer that have been treated with metformin compared with patients treated with insulin or sulfonylureas. Metformin influences various cellular pathways, including activation of the LKB1/AMPK pathway, inhibition of cell division, promotion of apoptosis and autophagy, down-regulation of circulating insulin, and activation of the immune system. Ongoing research is redefining our understanding about how metformin modulates the molecular pathways implicated in pancreatic cancer. The authors review the topic critically and also give their opinion. Further studies investigating the effect of metformin in combination with chemotherapy, targeted agents, or radiation therapy are undergoing. In addition, the role of metabolic and other biomarkers is needed.","author":[{"dropping-particle":"","family":"Souza","given":"Andre","non-dropping-particle":"De","parse-names":false,"suffix":""},{"dropping-particle":"","family":"Khawaja","given":"Khadija Irfan","non-dropping-particle":"","parse-names":false,"suffix":""},{"dropping-particle":"","family":"Masud","given":"Faisal","non-dropping-particle":"","parse-names":false,"suffix":""},{"dropping-particle":"","family":"Saif","given":"Muhammad Wasif","non-dropping-particle":"","parse-names":false,"suffix":""}],"container-title":"Cancer Chemotherapy and Pharmacology","id":"ITEM-1","issued":{"date-parts":[["2016"]]},"title":"Metformin and pancreatic cancer: Is there a role?","type":"article"},"uris":["http://www.mendeley.com/documents/?uuid=3e804e5c-e045-425f-b10b-254387efd495"]}],"mendeley":{"formattedCitation":"[5]","plainTextFormattedCitation":"[5]","previouslyFormattedCitation":"[5]"},"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[5]</w:t>
      </w:r>
      <w:r w:rsidR="00441495" w:rsidRPr="00E901BF">
        <w:rPr>
          <w:rFonts w:ascii="Book Antiqua" w:hAnsi="Book Antiqua" w:cs="Times New Roman"/>
          <w:sz w:val="24"/>
          <w:szCs w:val="24"/>
          <w:vertAlign w:val="superscript"/>
          <w:lang w:val="en-US"/>
        </w:rPr>
        <w:fldChar w:fldCharType="end"/>
      </w:r>
      <w:r w:rsidR="004F1F78" w:rsidRPr="00E901BF">
        <w:rPr>
          <w:rFonts w:ascii="Book Antiqua" w:hAnsi="Book Antiqua" w:cs="Times New Roman"/>
          <w:sz w:val="24"/>
          <w:szCs w:val="24"/>
          <w:lang w:val="en-US"/>
        </w:rPr>
        <w:t xml:space="preserve"> and thromboembolic disease</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{"citationItems":[{"id":"ITEM-1","itemData":{"DOI":"10.1002/ajh.23143","ISBN":"1096-8652 (Electronic) 0361-8609 (Linking)","ISSN":"03618609","PMID":"10631688","abstract":"Thromboembolic disease affects about 15% of cancer patients and presents a challenge to the oncologist for both prophylaxis and treatment. Although long known to be associated with malignancy, the underlying biochemical mechanisms are poorly understood. Both low-dose warfarin and low molecular weight heparin are effective strategies for prophylaxis of venous thromboembolism, including those involving venous access devices. Current treatment options for venous thromboembolism include heparin (unfractionated and low molecular weight), warfarin, and internal vena cava filters. The appropriate use of these therapeutic options in cancer patients is reviewed herein. There is suggestive evidence that heparin may be superior to warfarin in the long-term treatment of venous thromboembolism. Whether anticoagulants might also improve cancer survival rates independent of their effect on thromboembolism deserves further investigation.","author":[{"dropping-particle":"","family":"Khorana","given":"Alok A.","non-dropping-particle":"","parse-names":false,"suffix":""}],"container-title":"American Journal of Hematology","id":"ITEM-1","issued":{"date-parts":[["2012"]]},"title":"Cancer and coagulation","type":"article-journal"},"uris":["http://www.mendeley.com/documents/?uuid=e84902d3-a365-4008-b2f4-ea2798f6dba3"]}],"mendeley":{"formattedCitation":"[6]","plainTextFormattedCitation":"[6]","previouslyFormattedCitation":"[6]"},"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[6]</w:t>
      </w:r>
      <w:r w:rsidR="00441495" w:rsidRPr="00E901BF">
        <w:rPr>
          <w:rFonts w:ascii="Book Antiqua" w:hAnsi="Book Antiqua" w:cs="Times New Roman"/>
          <w:sz w:val="24"/>
          <w:szCs w:val="24"/>
          <w:vertAlign w:val="superscript"/>
          <w:lang w:val="en-US"/>
        </w:rPr>
        <w:fldChar w:fldCharType="end"/>
      </w:r>
      <w:r w:rsidR="00A0020D" w:rsidRPr="00E901BF">
        <w:rPr>
          <w:rFonts w:ascii="Book Antiqua" w:hAnsi="Book Antiqua" w:cs="Times New Roman"/>
          <w:sz w:val="24"/>
          <w:szCs w:val="24"/>
          <w:lang w:val="en-US"/>
        </w:rPr>
        <w:t>. Classical treatments such as chemotherapy, surgery and radiation have been widely used</w:t>
      </w:r>
      <w:r w:rsidRPr="00E901BF">
        <w:rPr>
          <w:rFonts w:ascii="Book Antiqua" w:eastAsia="Times New Roman" w:hAnsi="Book Antiqua" w:cs="Times New Roman"/>
          <w:sz w:val="24"/>
          <w:szCs w:val="24"/>
          <w:lang w:val="en-US"/>
        </w:rPr>
        <w:t>,</w:t>
      </w:r>
      <w:r w:rsidR="00A0020D" w:rsidRPr="00E901BF">
        <w:rPr>
          <w:rFonts w:ascii="Book Antiqua" w:hAnsi="Book Antiqua" w:cs="Times New Roman"/>
          <w:sz w:val="24"/>
          <w:szCs w:val="24"/>
          <w:lang w:val="en-US"/>
        </w:rPr>
        <w:t xml:space="preserve"> but they have not exhibited any significant improvements in clinical outcomes</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{"citationItems":[{"id":"ITEM-1","itemData":{"DOI":"10.3748/wjg.v21.i11.3157","ISSN":"22192840","abstract":"Pancreatic ductal adenocarcinoma (PDAC) represents the fourth cause of death in cancer and has a 5-year survival of &lt; 5%. Only about 15% of the patients present with a resectable PDAC with potential to undergo \"curative\" surgery. After surgery, local and systemic recurrence, is though very common. The median survival of resected patients with adjuvant chemotherapy after surgery is only 20-23 mo. This underscores the significant need to improve PDAC management strategies. Increased survival rate is dependent on new breakthroughs in our understanding of not at least tumor biology. The aim of this review is to update and comment on recent knowledge concerning PDAC biology and new diagnostics and treatment modalities. One fundamental approach to improve survival rates is by earlier and improved diagnosis of the disease. In recent years, novel blood-based biomarkers have emerged based on genetic, epigenetic and protein changes in PDAC with very promising results. For biomarkers to enter clinical practice they need to have been developed using adequate control groups and provide high sensitivity and specificity and by this identify patients at risk already in a pre-symptomatic stage. Another way to improve outcomes, is by employing neoadjuvant treatments thereby increasing the number of resectable cases. Novel systemic treatment regimes like FOLFIRINOX and nab-paclitaxel have demonstrated improvements in prolonging survival in advanced cases, but long-term survival is still scarce. The future improved understanding of PDAC biology will inevitably render new treatment options directed against both the cancer cells and the surrounding microenvironment.","author":[{"dropping-particle":"","family":"Ansari","given":"Daniel","non-dropping-particle":"","parse-names":false,"suffix":""},{"dropping-particle":"","family":"Gustafsson","given":"Adam","non-dropping-particle":"","parse-names":false,"suffix":""},{"dropping-particle":"","family":"Andersson","given":"Roland","non-dropping-particle":"","parse-names":false,"suffix":""}],"container-title":"World Journal of Gastroenterology","id":"ITEM-1","issued":{"date-parts":[["2015"]]},"title":"Update on the management of pancreatic cancer: Surgery is not enough","type":"article"},"uris":["http://www.mendeley.com/documents/?uuid=4ba7ba69-04e9-4298-bcc3-c4ee4fbd6d9d"]}],"mendeley":{"formattedCitation":"[7]","plainTextFormattedCitation":"[7]","previouslyFormattedCitation":"[7]"},"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[7</w:t>
      </w:r>
      <w:r w:rsidR="002A33B1" w:rsidRPr="00E901BF">
        <w:rPr>
          <w:rFonts w:ascii="Book Antiqua" w:hAnsi="Book Antiqua" w:cs="Times New Roman"/>
          <w:sz w:val="24"/>
          <w:szCs w:val="24"/>
          <w:vertAlign w:val="superscript"/>
          <w:lang w:val="en-US"/>
        </w:rPr>
        <w:t>,</w:t>
      </w:r>
      <w:r w:rsidR="00441495" w:rsidRPr="00E901BF">
        <w:rPr>
          <w:rFonts w:ascii="Book Antiqua" w:hAnsi="Book Antiqua" w:cs="Times New Roman"/>
          <w:sz w:val="24"/>
          <w:szCs w:val="24"/>
          <w:vertAlign w:val="superscript"/>
          <w:lang w:val="en-US"/>
        </w:rPr>
        <w:fldChar w:fldCharType="end"/>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{"citationItems":[{"id":"ITEM-1","itemData":{"DOI":"10.3390/ijms18071338","ISBN":"9780123858597","ISSN":"14220067","PMID":"28640192","abstract":"Pancreatic ductal adenocarcinoma (PDAC), which constitutes 90% of pancreatic cancers, is the fourth leading cause of cancer-related deaths in the world. Due to the broad heterogeneity of genetic mutations and dense stromal environment, PDAC belongs to one of the most chemoresistant cancers. Most of the available treatments are palliative, with the objective of relieving disease-related symptoms and prolonging survival. Currently, available therapeutic options are surgery, radiation, chemotherapy, immunotherapy, and use of targeted drugs. However, thus far, therapies targeting cancer-associated molecular pathways have not given satisfactory results; this is due in part to the rapid upregulation of compensatory alternative pathways as well as dense desmoplastic reaction. In this review, we summarize currently available therapies and clinical trials, directed towards a plethora of pathways and components dysregulated during PDAC carcinogenesis. Emerging trends towards targeted therapies as the most promising approach will also be discussed.","author":[{"dropping-particle":"","family":"Adamska","given":"Aleksandra","non-dropping-particle":"","parse-names":false,"suffix":""},{"dropping-particle":"","family":"Domenichini","given":"Alice","non-dropping-particle":"","parse-names":false,"suffix":""},{"dropping-particle":"","family":"Falasca","given":"Marco","non-dropping-particle":"","parse-names":false,"suffix":""}],"container-title":"International Journal of Molecular Sciences","id":"ITEM-1","issue":"7","issued":{"date-parts":[["2017"]]},"title":"Pancreatic ductal adenocarcinoma: Current and evolving therapies","type":"article-journal","volume":"18"},"uris":["http://www.mendeley.com/documents/?uuid=c9381890-e05c-4236-9cb3-4eeb165a33bd"]}],"mendeley":{"formattedCitation":"[8]","plainTextFormattedCitation":"[8]","previouslyFormattedCitation":"[8]"},"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8]</w:t>
      </w:r>
      <w:r w:rsidR="00441495" w:rsidRPr="00E901BF">
        <w:rPr>
          <w:rFonts w:ascii="Book Antiqua" w:hAnsi="Book Antiqua" w:cs="Times New Roman"/>
          <w:sz w:val="24"/>
          <w:szCs w:val="24"/>
          <w:vertAlign w:val="superscript"/>
          <w:lang w:val="en-US"/>
        </w:rPr>
        <w:fldChar w:fldCharType="end"/>
      </w:r>
      <w:r w:rsidR="00A0020D" w:rsidRPr="00E901BF">
        <w:rPr>
          <w:rFonts w:ascii="Book Antiqua" w:hAnsi="Book Antiqua" w:cs="Times New Roman"/>
          <w:sz w:val="24"/>
          <w:szCs w:val="24"/>
          <w:lang w:val="en-US"/>
        </w:rPr>
        <w:t>. The overall survival for metastatic pancreatic cancer remains poor</w:t>
      </w:r>
      <w:r w:rsidRPr="00E901BF">
        <w:rPr>
          <w:rFonts w:ascii="Book Antiqua" w:eastAsia="Times New Roman" w:hAnsi="Book Antiqua" w:cs="Times New Roman"/>
          <w:sz w:val="24"/>
          <w:szCs w:val="24"/>
          <w:lang w:val="en-US"/>
        </w:rPr>
        <w:t>,</w:t>
      </w:r>
      <w:r w:rsidR="00A0020D" w:rsidRPr="00E901BF">
        <w:rPr>
          <w:rFonts w:ascii="Book Antiqua" w:hAnsi="Book Antiqua" w:cs="Times New Roman"/>
          <w:sz w:val="24"/>
          <w:szCs w:val="24"/>
          <w:lang w:val="en-US"/>
        </w:rPr>
        <w:t xml:space="preserve"> and less than 20% </w:t>
      </w:r>
      <w:r w:rsidR="00592EA4" w:rsidRPr="00E901BF">
        <w:rPr>
          <w:rFonts w:ascii="Book Antiqua" w:hAnsi="Book Antiqua" w:cs="Times New Roman"/>
          <w:sz w:val="24"/>
          <w:szCs w:val="24"/>
          <w:lang w:val="en-US"/>
        </w:rPr>
        <w:t xml:space="preserve">of patients </w:t>
      </w:r>
      <w:r w:rsidR="00A0020D" w:rsidRPr="00E901BF">
        <w:rPr>
          <w:rFonts w:ascii="Book Antiqua" w:hAnsi="Book Antiqua" w:cs="Times New Roman"/>
          <w:sz w:val="24"/>
          <w:szCs w:val="24"/>
          <w:lang w:val="en-US"/>
        </w:rPr>
        <w:t xml:space="preserve">survive </w:t>
      </w:r>
      <w:r w:rsidR="000E5748" w:rsidRPr="00E901BF">
        <w:rPr>
          <w:rFonts w:ascii="Book Antiqua" w:hAnsi="Book Antiqua" w:cs="Times New Roman"/>
          <w:sz w:val="24"/>
          <w:szCs w:val="24"/>
          <w:lang w:val="en-US"/>
        </w:rPr>
        <w:t xml:space="preserve">past </w:t>
      </w:r>
      <w:r w:rsidR="00A0020D" w:rsidRPr="00E901BF">
        <w:rPr>
          <w:rFonts w:ascii="Book Antiqua" w:hAnsi="Book Antiqua" w:cs="Times New Roman"/>
          <w:sz w:val="24"/>
          <w:szCs w:val="24"/>
          <w:lang w:val="en-US"/>
        </w:rPr>
        <w:t>the end of the first year</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{"citationItems":[{"id":"ITEM-1","itemData":{"DOI":"10.1002/cncr.26553","ISSN":"0008543X","abstract":"BACKGROUND: Prognosis after surgery for pancreatic ductal adenocarcinoma (PDAC) is typically reported from the date of surgery. Survival estimates, however, are dynamic and may change based on the time already survived. The authors sought to assess conditional survival among a large cohort of patients who underwent resection of PDAC.\\n\\nMETHODS: Between 1970 and 2008, 1822 patients who underwent resection for PDAC with curative intent were identified. Kaplan-Meier and Cox regression analyses were performed to validate established predictors of survival, and results were compared with 2-year conditional survival.\\n\\nRESULTS: Actuarial survival was 18% at 5 years, with a median survival of 18 months. Multivariate analysis revealed that tumor size, lymph node ratio, and positive margins were associated with worse survival (all P &lt; .001). Differences in actuarial versus conditional survival estimates were greater the more years already survived by the patient. The 2-year conditional survival at 3 years-the probability of surviving to postoperative year 5 given that the patient had already survived 3 years-was 66% versus a 5-year actuarial survival calculated from the time of surgery of 18%. Stratification of 2-year conditional survival by lymph node ratio and margin status revealed that patients with high lymph node ratio or positive margins saw the greatest increase in 2-year conditional survival as more time elapsed (both P ≤ .01).\\n\\nCONCLUSIONS: Differences in actuarial versus conditional survival estimates were more pronounced based on the additional years already survived by the patient. Conditional survival may be a helpful tool in counseling patients with PDAC, as it is a more accurate assessment of future survival for those patients who have already survived a certain amount of time.","author":[{"dropping-particle":"","family":"Mayo","given":"Skye C.","non-dropping-particle":"","parse-names":false,"suffix":""},{"dropping-particle":"","family":"Nathan","given":"Hari","non-dropping-particle":"","parse-names":false,"suffix":""},{"dropping-particle":"","family":"Cameron","given":"John L.","non-dropping-particle":"","parse-names":false,"suffix":""},{"dropping-particle":"","family":"Olino","given":"Kelly","non-dropping-particle":"","parse-names":false,"suffix":""},{"dropping-particle":"","family":"Edil","given":"Barish H.","non-dropping-particle":"","parse-names":false,"suffix":""},{"dropping-particle":"","family":"Herman","given":"Joseph M.","non-dropping-particle":"","parse-names":false,"suffix":""},{"dropping-particle":"","family":"Hirose","given":"Kenzo","non-dropping-particle":"","parse-names":false,"suffix":""},{"dropping-particle":"","family":"Schulick","given":"Richard D.","non-dropping-particle":"","parse-names":false,"suffix":""},{"dropping-particle":"","family":"Choti","given":"Michael A.","non-dropping-particle":"","parse-names":false,"suffix":""},{"dropping-particle":"","family":"Wolfgang","given":"Christopher L.","non-dropping-particle":"","parse-names":false,"suffix":""},{"dropping-particle":"","family":"Pawlik","given":"Timothy M.","non-dropping-particle":"","parse-names":false,"suffix":""}],"container-title":"Cancer","id":"ITEM-1","issue":"10","issued":{"date-parts":[["2012"]]},"page":"2674-2681","title":"Conditional survival in patients with pancreatic ductal adenocarcinoma resected with curative intent","type":"article-journal","volume":"118"},"uris":["http://www.mendeley.com/documents/?uuid=90661b64-7a7c-451e-8253-ab5ef2c45606"]}],"mendeley":{"formattedCitation":"[9]","plainTextFormattedCitation":"[9]","previouslyFormattedCitation":"[9]"},"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[9]</w:t>
      </w:r>
      <w:r w:rsidR="00441495" w:rsidRPr="00E901BF">
        <w:rPr>
          <w:rFonts w:ascii="Book Antiqua" w:hAnsi="Book Antiqua" w:cs="Times New Roman"/>
          <w:sz w:val="24"/>
          <w:szCs w:val="24"/>
          <w:vertAlign w:val="superscript"/>
          <w:lang w:val="en-US"/>
        </w:rPr>
        <w:fldChar w:fldCharType="end"/>
      </w:r>
      <w:r w:rsidR="00D038DE" w:rsidRPr="00E901BF">
        <w:rPr>
          <w:rFonts w:ascii="Book Antiqua" w:hAnsi="Book Antiqua" w:cs="Times New Roman"/>
          <w:sz w:val="24"/>
          <w:szCs w:val="24"/>
          <w:lang w:val="en-US"/>
        </w:rPr>
        <w:t xml:space="preserve">. Surgical resection and chemotherapy (gemcitabine and FOLFIRINOX, a combination of oxaliplatin, irinotecan, fluorouracil, and leucovorin) have managed to improve survival </w:t>
      </w:r>
      <w:r w:rsidR="00D13632" w:rsidRPr="00E901BF">
        <w:rPr>
          <w:rFonts w:ascii="Book Antiqua" w:hAnsi="Book Antiqua" w:cs="Times New Roman"/>
          <w:sz w:val="24"/>
          <w:szCs w:val="24"/>
          <w:lang w:val="en-US"/>
        </w:rPr>
        <w:t xml:space="preserve">of patients with </w:t>
      </w:r>
      <w:r w:rsidR="00E436A7" w:rsidRPr="00E901BF">
        <w:rPr>
          <w:rFonts w:ascii="Book Antiqua" w:hAnsi="Book Antiqua" w:cs="Times New Roman"/>
          <w:sz w:val="24"/>
          <w:szCs w:val="24"/>
          <w:lang w:val="en-US"/>
        </w:rPr>
        <w:t>early-</w:t>
      </w:r>
      <w:r w:rsidR="00D038DE" w:rsidRPr="00E901BF">
        <w:rPr>
          <w:rFonts w:ascii="Book Antiqua" w:hAnsi="Book Antiqua" w:cs="Times New Roman"/>
          <w:sz w:val="24"/>
          <w:szCs w:val="24"/>
          <w:lang w:val="en-US"/>
        </w:rPr>
        <w:t xml:space="preserve">stage pancreatic cancer, but </w:t>
      </w:r>
      <w:r w:rsidR="002B37D3" w:rsidRPr="00E901BF">
        <w:rPr>
          <w:rFonts w:ascii="Book Antiqua" w:hAnsi="Book Antiqua" w:cs="Times New Roman"/>
          <w:sz w:val="24"/>
          <w:szCs w:val="24"/>
          <w:lang w:val="en-US"/>
        </w:rPr>
        <w:t xml:space="preserve">these treatments </w:t>
      </w:r>
      <w:r w:rsidR="00D038DE" w:rsidRPr="00E901BF">
        <w:rPr>
          <w:rFonts w:ascii="Book Antiqua" w:hAnsi="Book Antiqua" w:cs="Times New Roman"/>
          <w:sz w:val="24"/>
          <w:szCs w:val="24"/>
          <w:lang w:val="en-US"/>
        </w:rPr>
        <w:t xml:space="preserve">are not sufficient for </w:t>
      </w:r>
      <w:r w:rsidR="00F7416D" w:rsidRPr="00E901BF">
        <w:rPr>
          <w:rFonts w:ascii="Book Antiqua" w:hAnsi="Book Antiqua" w:cs="Times New Roman"/>
          <w:sz w:val="24"/>
          <w:szCs w:val="24"/>
          <w:lang w:val="en-US"/>
        </w:rPr>
        <w:t xml:space="preserve">patients with </w:t>
      </w:r>
      <w:r w:rsidR="00D038DE" w:rsidRPr="00E901BF">
        <w:rPr>
          <w:rFonts w:ascii="Book Antiqua" w:hAnsi="Book Antiqua" w:cs="Times New Roman"/>
          <w:sz w:val="24"/>
          <w:szCs w:val="24"/>
          <w:lang w:val="en-US"/>
        </w:rPr>
        <w:t>late stages of the disease</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{"citationItems":[{"id":"ITEM-1","itemData":{"DOI":"10.1056/NEJMoa1011923","ISBN":"1533-4406 (Electronic)\\n0028-4793 (Linking)","ISSN":"0028-4793","PMID":"21561347","abstract":"Pancreatic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author":[{"dropping-particle":"","family":"Conroy","given":"Thierry","non-dropping-particle":"","parse-names":false,"suffix":""},{"dropping-particle":"","family":"Desseigne","given":"Françoise","non-dropping-particle":"","parse-names":false,"suffix":""},{"dropping-particle":"","family":"Ychou","given":"Marc","non-dropping-particle":"","parse-names":false,"suffix":""},{"dropping-particle":"","family":"Bouché","given":"Olivier","non-dropping-particle":"","parse-names":false,"suffix":""},{"dropping-particle":"","family":"Guimbaud","given":"Rosine","non-dropping-particle":"","parse-names":false,"suffix":""},{"dropping-particle":"","family":"Bécouarn","given":"Yves","non-dropping-particle":"","parse-names":false,"suffix":""},{"dropping-particle":"","family":"Adenis","given":"Antoine","non-dropping-particle":"","parse-names":false,"suffix":""},{"dropping-particle":"","family":"Raoul","given":"Jean-Luc","non-dropping-particle":"","parse-names":false,"suffix":""},{"dropping-particle":"","family":"Gourgou-Bourgade","given":"Sophie","non-dropping-particle":"","parse-names":false,"suffix":""},{"dropping-particle":"","family":"la Fouchardière","given":"Christelle","non-dropping-particle":"de","parse-names":false,"suffix":""},{"dropping-particle":"","family":"Bennouna","given":"Jaafar","non-dropping-particle":"","parse-names":false,"suffix":""},{"dropping-particle":"","family":"Bachet","given":"Jean-Baptiste","non-dropping-particle":"","parse-names":false,"suffix":""},{"dropping-particle":"","family":"Khemissa-Akouz","given":"Faiza","non-dropping-particle":"","parse-names":false,"suffix":""},{"dropping-particle":"","family":"Péré-Vergé","given":"Denis","non-dropping-particle":"","parse-names":false,"suffix":""},{"dropping-particle":"","family":"Delbaldo","given":"Catherine","non-dropping-particle":"","parse-names":false,"suffix":""},{"dropping-particle":"","family":"Assenat","given":"Eric","non-dropping-particle":"","parse-names":false,"suffix":""},{"dropping-particle":"","family":"Chauffert","given":"Bruno","non-dropping-particle":"","parse-names":false,"suffix":""},{"dropping-particle":"","family":"Michel","given":"Pierre","non-dropping-particle":"","parse-names":false,"suffix":""},{"dropping-particle":"","family":"Montoto-Grillot","given":"Christine","non-dropping-particle":"","parse-names":false,"suffix":""},{"dropping-particle":"","family":"Ducreux","given":"Michel","non-dropping-particle":"","parse-names":false,"suffix":""}],"container-title":"New England Journal of Medicine","id":"ITEM-1","issued":{"date-parts":[["2011"]]},"title":"FOLFIRINOX versus gemcitabine for metastatic pancreatic cancer.","type":"article-journal"},"uris":["http://www.mendeley.com/documents/?uuid=2f8f376b-306b-4de4-83d3-13b98d0aafdc","http://www.mendeley.com/documents/?uuid=cf321313-d06b-4ebb-8c22-ea58c77f2090"]}],"mendeley":{"formattedCitation":"[10]","plainTextFormattedCitation":"[10]","previouslyFormattedCitation":"[10]"},"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[10]</w:t>
      </w:r>
      <w:r w:rsidR="00441495" w:rsidRPr="00E901BF">
        <w:rPr>
          <w:rFonts w:ascii="Book Antiqua" w:hAnsi="Book Antiqua" w:cs="Times New Roman"/>
          <w:sz w:val="24"/>
          <w:szCs w:val="24"/>
          <w:vertAlign w:val="superscript"/>
          <w:lang w:val="en-US"/>
        </w:rPr>
        <w:fldChar w:fldCharType="end"/>
      </w:r>
      <w:r w:rsidR="00C55280" w:rsidRPr="00E901BF">
        <w:rPr>
          <w:rFonts w:ascii="Book Antiqua" w:hAnsi="Book Antiqua" w:cs="Times New Roman"/>
          <w:sz w:val="24"/>
          <w:szCs w:val="24"/>
          <w:lang w:val="en-US"/>
        </w:rPr>
        <w:t>. Novel immunotherapies have provided promising results in various solid tumors</w:t>
      </w:r>
      <w:r w:rsidRPr="00E901BF">
        <w:rPr>
          <w:rFonts w:ascii="Book Antiqua" w:eastAsia="Times New Roman" w:hAnsi="Book Antiqua" w:cs="Times New Roman"/>
          <w:sz w:val="24"/>
          <w:szCs w:val="24"/>
          <w:lang w:val="en-US"/>
        </w:rPr>
        <w:t>,</w:t>
      </w:r>
      <w:r w:rsidR="00C55280" w:rsidRPr="00E901BF">
        <w:rPr>
          <w:rFonts w:ascii="Book Antiqua" w:hAnsi="Book Antiqua" w:cs="Times New Roman"/>
          <w:sz w:val="24"/>
          <w:szCs w:val="24"/>
          <w:lang w:val="en-US"/>
        </w:rPr>
        <w:t xml:space="preserve"> such as melanoma or renal cell carcinoma, in a number of cases surpassing chemotherapy as a first-line therapeutic selection</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{"citationItems":[{"id":"ITEM-1","itemData":{"DOI":"10.7573/dic.212528","ISSN":"17404398","abstract":"Advances in understanding the mechanisms of tumour-induced immunosuppression have led to the development of immune-checkpoint inhibitors in cancer patients, including those with renal cell carcinoma (RCC). The optimal combination between immunotherapy and targeted agents (as well as the possible favourable sequential therapy of these two classes of drugs) remains an open question at this moment. Several trials are currently underway to assess the combination of anti-programmed-death 1 (PD-1) or anti-PD-ligand(L)1 agents with other immunotherapies or with anti-vascular endothelial growth factor receptor (VEGFR) tyrosine kinase inhibitors (TKIs). In this editorial, we described the results of the most recent clinical trials on the use of immunotherapies in RCC and the emerging data on the research for reliable biomarkers of tumour response in this setting. In addition, we have focused on the role of the gut microbiome and tumour microenvironment in the development of future therapeutic strategies for RCC patients.","author":[{"dropping-particle":"","family":"Santoni","given":"Matteo","non-dropping-particle":"","parse-names":false,"suffix":""},{"dropping-particle":"","family":"Massari","given":"Francesco","non-dropping-particle":"","parse-names":false,"suffix":""},{"dropping-particle":"","family":"Nunno","given":"Vincenzo","non-dropping-particle":"Di","parse-names":false,"suffix":""},{"dropping-particle":"","family":"Conti","given":"Alessandro","non-dropping-particle":"","parse-names":false,"suffix":""},{"dropping-particle":"","family":"Cimadamore","given":"Alessia","non-dropping-particle":"","parse-names":false,"suffix":""},{"dropping-particle":"","family":"Scarpelli","given":"Marina","non-dropping-particle":"","parse-names":false,"suffix":""},{"dropping-particle":"","family":"Montironi","given":"Rodolfo","non-dropping-particle":"","parse-names":false,"suffix":""},{"dropping-particle":"","family":"Cheng","given":"Liang","non-dropping-particle":"","parse-names":false,"suffix":""},{"dropping-particle":"","family":"Battelli","given":"Nicola","non-dropping-particle":"","parse-names":false,"suffix":""},{"dropping-particle":"","family":"Lopez-Beltran","given":"Antonio","non-dropping-particle":"","parse-names":false,"suffix":""}],"container-title":"Drugs in Context","id":"ITEM-1","issued":{"date-parts":[["2018"]]},"page":"1-8","title":"Immunotherapy in renal cell carcinoma: latest evidence and clinical implications","type":"article-journal","volume":"7"},"uris":["http://www.mendeley.com/documents/?uuid=4c7aea76-ce4a-4eed-b288-b5ddf0e7840c"]}],"mendeley":{"formattedCitation":"[11]","plainTextFormattedCitation":"[11]","previouslyFormattedCitation":"[11]"},"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[11]</w:t>
      </w:r>
      <w:r w:rsidR="00441495" w:rsidRPr="00E901BF">
        <w:rPr>
          <w:rFonts w:ascii="Book Antiqua" w:hAnsi="Book Antiqua" w:cs="Times New Roman"/>
          <w:sz w:val="24"/>
          <w:szCs w:val="24"/>
          <w:vertAlign w:val="superscript"/>
          <w:lang w:val="en-US"/>
        </w:rPr>
        <w:fldChar w:fldCharType="end"/>
      </w:r>
      <w:r w:rsidR="00004AAF" w:rsidRPr="00E901BF">
        <w:rPr>
          <w:rFonts w:ascii="Book Antiqua" w:hAnsi="Book Antiqua" w:cs="Times New Roman"/>
          <w:sz w:val="24"/>
          <w:szCs w:val="24"/>
          <w:lang w:val="en-US"/>
        </w:rPr>
        <w:t xml:space="preserve">. Although immunotherapy </w:t>
      </w:r>
      <w:r w:rsidR="00CD6874" w:rsidRPr="00E901BF">
        <w:rPr>
          <w:rFonts w:ascii="Book Antiqua" w:hAnsi="Book Antiqua" w:cs="Times New Roman"/>
          <w:sz w:val="24"/>
          <w:szCs w:val="24"/>
          <w:lang w:val="en-US"/>
        </w:rPr>
        <w:t xml:space="preserve">began </w:t>
      </w:r>
      <w:r w:rsidR="00004AAF" w:rsidRPr="00E901BF">
        <w:rPr>
          <w:rFonts w:ascii="Book Antiqua" w:hAnsi="Book Antiqua" w:cs="Times New Roman"/>
          <w:sz w:val="24"/>
          <w:szCs w:val="24"/>
          <w:lang w:val="en-US"/>
        </w:rPr>
        <w:t xml:space="preserve">a new era in the field of cancer treatment, it is challenging in the context of PDAC as this type of cancer </w:t>
      </w:r>
      <w:r w:rsidR="007E58E7" w:rsidRPr="00E901BF">
        <w:rPr>
          <w:rFonts w:ascii="Book Antiqua" w:hAnsi="Book Antiqua" w:cs="Times New Roman"/>
          <w:sz w:val="24"/>
          <w:szCs w:val="24"/>
          <w:lang w:val="en-US"/>
        </w:rPr>
        <w:t xml:space="preserve">has </w:t>
      </w:r>
      <w:r w:rsidR="00004AAF" w:rsidRPr="00E901BF">
        <w:rPr>
          <w:rFonts w:ascii="Book Antiqua" w:hAnsi="Book Antiqua" w:cs="Times New Roman"/>
          <w:sz w:val="24"/>
          <w:szCs w:val="24"/>
          <w:lang w:val="en-US"/>
        </w:rPr>
        <w:t xml:space="preserve">a </w:t>
      </w:r>
      <w:r w:rsidR="00E436A7" w:rsidRPr="00E901BF">
        <w:rPr>
          <w:rFonts w:ascii="Book Antiqua" w:hAnsi="Book Antiqua" w:cs="Times New Roman"/>
          <w:sz w:val="24"/>
          <w:szCs w:val="24"/>
          <w:lang w:val="en-US"/>
        </w:rPr>
        <w:t>noni</w:t>
      </w:r>
      <w:r w:rsidR="00004AAF" w:rsidRPr="00E901BF">
        <w:rPr>
          <w:rFonts w:ascii="Book Antiqua" w:hAnsi="Book Antiqua" w:cs="Times New Roman"/>
          <w:sz w:val="24"/>
          <w:szCs w:val="24"/>
          <w:lang w:val="en-US"/>
        </w:rPr>
        <w:t>mmunogenic, immune-suppressive and therapy-resistant microenvironment.</w:t>
      </w:r>
    </w:p>
    <w:p w14:paraId="36F51184" w14:textId="77777777" w:rsidR="002A33B1" w:rsidRPr="00E901BF" w:rsidRDefault="002A33B1" w:rsidP="00E901BF">
      <w:pPr>
        <w:spacing w:after="0" w:line="360" w:lineRule="auto"/>
        <w:jc w:val="both"/>
        <w:rPr>
          <w:rFonts w:ascii="Book Antiqua" w:hAnsi="Book Antiqua" w:cs="Times New Roman"/>
          <w:sz w:val="24"/>
          <w:szCs w:val="24"/>
          <w:lang w:val="en-US"/>
        </w:rPr>
      </w:pPr>
    </w:p>
    <w:p w14:paraId="6A1CEA78" w14:textId="0D9BB92F" w:rsidR="006C04C4" w:rsidRPr="00E901BF" w:rsidRDefault="002A33B1" w:rsidP="00E901BF">
      <w:pPr>
        <w:pStyle w:val="Default"/>
        <w:spacing w:line="360" w:lineRule="auto"/>
        <w:jc w:val="both"/>
        <w:rPr>
          <w:rFonts w:ascii="Book Antiqua" w:hAnsi="Book Antiqua" w:cs="Times New Roman"/>
          <w:b/>
          <w:color w:val="auto"/>
          <w:u w:val="single"/>
          <w:lang w:val="en-US"/>
        </w:rPr>
      </w:pPr>
      <w:r w:rsidRPr="00E901BF">
        <w:rPr>
          <w:rFonts w:ascii="Book Antiqua" w:hAnsi="Book Antiqua" w:cs="Times New Roman"/>
          <w:b/>
          <w:color w:val="auto"/>
          <w:u w:val="single"/>
          <w:lang w:val="en-US"/>
        </w:rPr>
        <w:t>TREATMENT HURDLES</w:t>
      </w:r>
    </w:p>
    <w:p w14:paraId="725BF208" w14:textId="0F6C221A" w:rsidR="00F166B9" w:rsidRPr="00E901BF" w:rsidRDefault="00641D75" w:rsidP="00E901BF">
      <w:pPr>
        <w:pStyle w:val="Default"/>
        <w:spacing w:line="360" w:lineRule="auto"/>
        <w:jc w:val="both"/>
        <w:rPr>
          <w:rFonts w:ascii="Book Antiqua" w:hAnsi="Book Antiqua" w:cs="Times New Roman"/>
          <w:color w:val="auto"/>
          <w:lang w:val="en-US"/>
        </w:rPr>
      </w:pPr>
      <w:r w:rsidRPr="00E901BF">
        <w:rPr>
          <w:rFonts w:ascii="Book Antiqua" w:hAnsi="Book Antiqua" w:cs="Times New Roman"/>
          <w:color w:val="auto"/>
          <w:lang w:val="en-US"/>
        </w:rPr>
        <w:lastRenderedPageBreak/>
        <w:t xml:space="preserve">PDAC development is associated with </w:t>
      </w:r>
      <w:r w:rsidR="00F04A7C" w:rsidRPr="00E901BF">
        <w:rPr>
          <w:rFonts w:ascii="Book Antiqua" w:eastAsia="Times New Roman" w:hAnsi="Book Antiqua" w:cs="Times New Roman"/>
          <w:color w:val="auto"/>
          <w:lang w:val="en-US"/>
        </w:rPr>
        <w:t>a</w:t>
      </w:r>
      <w:r w:rsidR="002A77C1" w:rsidRPr="00E901BF">
        <w:rPr>
          <w:rFonts w:ascii="Book Antiqua" w:eastAsia="Times New Roman" w:hAnsi="Book Antiqua" w:cs="Times New Roman"/>
          <w:color w:val="auto"/>
          <w:lang w:val="en-US"/>
        </w:rPr>
        <w:t xml:space="preserve"> </w:t>
      </w:r>
      <w:r w:rsidR="002A77C1" w:rsidRPr="00E901BF">
        <w:rPr>
          <w:rFonts w:ascii="Book Antiqua" w:hAnsi="Book Antiqua" w:cs="Times New Roman"/>
          <w:color w:val="auto"/>
          <w:lang w:val="en-US"/>
        </w:rPr>
        <w:t xml:space="preserve">poor </w:t>
      </w:r>
      <w:r w:rsidRPr="00E901BF">
        <w:rPr>
          <w:rFonts w:ascii="Book Antiqua" w:hAnsi="Book Antiqua" w:cs="Times New Roman"/>
          <w:color w:val="auto"/>
          <w:lang w:val="en-US"/>
        </w:rPr>
        <w:t xml:space="preserve">prognosis due to its complicated and multifactorial nature. There is a lack </w:t>
      </w:r>
      <w:r w:rsidR="00F04A7C" w:rsidRPr="00E901BF">
        <w:rPr>
          <w:rFonts w:ascii="Book Antiqua" w:eastAsia="Times New Roman" w:hAnsi="Book Antiqua" w:cs="Times New Roman"/>
          <w:color w:val="auto"/>
          <w:lang w:val="en-US"/>
        </w:rPr>
        <w:t>of</w:t>
      </w:r>
      <w:r w:rsidRPr="00E901BF">
        <w:rPr>
          <w:rFonts w:ascii="Book Antiqua" w:hAnsi="Book Antiqua" w:cs="Times New Roman"/>
          <w:color w:val="auto"/>
          <w:lang w:val="en-US"/>
        </w:rPr>
        <w:t xml:space="preserve"> simple, early detection methods and is typically diagnosed at a late stage because symptoms do not appear until the disease has progressed and metastasized to distinct sites</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{"citationItems":[{"id":"ITEM-1","itemData":{"DOI":"10.1177/1756283X13478680","ISSN":"17562648","abstract":"No common malignancy is as rapidly and inevitably fatal as pancreatic ductal adenocarcinoma (PDA). This grim fact has driven substantial research efforts into this disease in recent decades. Unfortunately, the investment has yet to result in a meaningful increase in 5-year survival. This has prompted many pancreatic cancer researchers and advocates to redouble their efforts, but also requires one to step back and ask why the previous efforts were lacking and to consider why pancreatic cancer is so difficult to treat. The difficulties are legion. PDA is characterized by an insidious clinical syndrome, but is rarely diagnosed at a time when surgical resection is feasible. We lack markers of early detection and screening programs remain unproven even in high risk populations. The location of the tumor in the retroperitoneum, the advanced age of patients, and the systemic effects of disease limit the options for local therapy. Chemotherapy may provide a small benefit, but most efforts to improve on the current regimens consistently and stubbornly fail in advanced clinical trials. The molecular and cellular features of ductal pancreatic tumors are aggressive and underlay multiple levels of therapeutic resistance. Non-cell-autonomous features including stromal proliferation, reduced vascular density and immune suppression also contribute to therapeutic resistance. Growing awareness of these the fundamental features of PDA has begun to guide ongoing research efforts. Clinical trials are now specifically targeting these tumor properties and actively focusing on the therapeutic implications of tumor stroma. As reviewed here, reflecting on the fundamental question of why pancreatic cancer is so difficult to treat is a necessary and informative exercise that will aid our efforts to improve patient outcomes. These efforts will lead to improvements in clinical trial design, expand our focus to include the molecular and histologic implications of novel treatment paradigms, and ultimately change the lives of our patients.","author":[{"dropping-particle":"","family":"Oberstein","given":"Paul E.","non-dropping-particle":"","parse-names":false,"suffix":""},{"dropping-particle":"","family":"Olive","given":"Kenneth P.","non-dropping-particle":"","parse-names":false,"suffix":""}],"container-title":"Therapeutic Advances in Gastroenterology","id":"ITEM-1","issued":{"date-parts":[["2013"]]},"title":"Pancreatic cancer: Why is it so hard to treat?","type":"article-journal"},"uris":["http://www.mendeley.com/documents/?uuid=c88e28fd-c556-428c-9859-ce4b75367d04"]}],"mendeley":{"formattedCitation":"[12]","plainTextFormattedCitation":"[12]","previouslyFormattedCitation":"[12]"},"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[12]</w:t>
      </w:r>
      <w:r w:rsidR="00441495" w:rsidRPr="00E901BF">
        <w:rPr>
          <w:rFonts w:ascii="Book Antiqua" w:hAnsi="Book Antiqua" w:cs="Times New Roman"/>
          <w:color w:val="auto"/>
          <w:vertAlign w:val="superscript"/>
          <w:lang w:val="en-US"/>
        </w:rPr>
        <w:fldChar w:fldCharType="end"/>
      </w:r>
      <w:r w:rsidR="0014446F" w:rsidRPr="00E901BF">
        <w:rPr>
          <w:rFonts w:ascii="Book Antiqua" w:hAnsi="Book Antiqua" w:cs="Times New Roman"/>
          <w:color w:val="auto"/>
          <w:lang w:val="en-US"/>
        </w:rPr>
        <w:t xml:space="preserve">. As </w:t>
      </w:r>
      <w:r w:rsidR="00F04A7C" w:rsidRPr="00E901BF">
        <w:rPr>
          <w:rFonts w:ascii="Book Antiqua" w:eastAsia="Times New Roman" w:hAnsi="Book Antiqua" w:cs="Times New Roman"/>
          <w:color w:val="auto"/>
          <w:lang w:val="en-US"/>
        </w:rPr>
        <w:t>mentioned above</w:t>
      </w:r>
      <w:r w:rsidR="0014446F" w:rsidRPr="00E901BF">
        <w:rPr>
          <w:rFonts w:ascii="Book Antiqua" w:hAnsi="Book Antiqua" w:cs="Times New Roman"/>
          <w:color w:val="auto"/>
          <w:lang w:val="en-US"/>
        </w:rPr>
        <w:t xml:space="preserve">, surgical resection with chemotherapy </w:t>
      </w:r>
      <w:r w:rsidR="00F04A7C" w:rsidRPr="00E901BF">
        <w:rPr>
          <w:rFonts w:ascii="Book Antiqua" w:eastAsia="Times New Roman" w:hAnsi="Book Antiqua" w:cs="Times New Roman"/>
          <w:color w:val="auto"/>
          <w:lang w:val="en-US"/>
        </w:rPr>
        <w:t>provides</w:t>
      </w:r>
      <w:r w:rsidR="0014446F" w:rsidRPr="00E901BF">
        <w:rPr>
          <w:rFonts w:ascii="Book Antiqua" w:hAnsi="Book Antiqua" w:cs="Times New Roman"/>
          <w:color w:val="auto"/>
          <w:lang w:val="en-US"/>
        </w:rPr>
        <w:t xml:space="preserve"> the best treatment option for PDAC and is beneficial in patients </w:t>
      </w:r>
      <w:r w:rsidR="001A4E05" w:rsidRPr="00E901BF">
        <w:rPr>
          <w:rFonts w:ascii="Book Antiqua" w:hAnsi="Book Antiqua" w:cs="Times New Roman"/>
          <w:color w:val="auto"/>
          <w:lang w:val="en-US"/>
        </w:rPr>
        <w:t xml:space="preserve">whose </w:t>
      </w:r>
      <w:r w:rsidR="0014446F" w:rsidRPr="00E901BF">
        <w:rPr>
          <w:rFonts w:ascii="Book Antiqua" w:hAnsi="Book Antiqua" w:cs="Times New Roman"/>
          <w:color w:val="auto"/>
          <w:lang w:val="en-US"/>
        </w:rPr>
        <w:t>cancer cells have not spread to critical abdominal vessels and adjacent organs</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{"citationItems":[{"id":"ITEM-1","itemData":{"ISSN":"11087471","abstract":"AIM: To investigate the effect of surgery on overall survival (measured from the time of diagnosis) in pancreatic cancer without vascular invasion (stage 1, 2A and 2B). We also sought to investigate factors that predict survival in patients who elected to undergo surgery and factors that affect the decision to undergo surgery.\\n\\nMETHODS: The Surveillance Epidemiology and End Results (SEER) database was queried for microscopically confirmed cases of stage 1,2A and 2B pancreatic ductal adenocarcinoma diagnosed between 1973-2009. Survival analysis was carried out by univariate and multivariate analysis. Logistic regression was employed to identify factors that predict decision to undergo surgery.\\n\\nRESULTS: 1,759 patients with microscopically confirmed pancreatic cancer with stage 1-2B at the time of diagnosis were recorded in the SEER database. 92.6% patients underwent pancreatic cancer-directed surgery. Patients undergoing surgery had a significantly lower mean age at the time of diagnosis (65.8 vs. 69.9 years, P=0.002) and a longer median survival (18 vs. 7 months) compared to those who did not undergo surgery. Surgical resection was a significant predictor of overall survival upon both univariate and multivariate analysis. Younger age at the time of diagnosis, non-white, non-black race, tumor size &lt;40 mm and tumor located in the tail of the pancreas were factors significantly associated with a chance of pancreatic cancer-directed surgery.\\n\\nCONCLUSION: Surgery improves survival in pancreatic cancer patients where the tumor has not involved the vasculature. Younger patients, those with smaller tumors located in the tail of the pancreas were most likely to undergo surgical resection.","author":[{"dropping-particle":"","family":"Chakraborty","given":"Subhankar","non-dropping-particle":"","parse-names":false,"suffix":""},{"dropping-particle":"","family":"Singh","given":"Shailender","non-dropping-particle":"","parse-names":false,"suffix":""}],"container-title":"Annals of Gastroenterology","id":"ITEM-1","issued":{"date-parts":[["2013"]]},"title":"Surgical resection improves survival in pancreatic cancer patients without vascular invasion- a population based study","type":"article-journal"},"uris":["http://www.mendeley.com/documents/?uuid=7e169da6-0885-4340-8bb0-0cace4a98241"]}],"mendeley":{"formattedCitation":"[13]","plainTextFormattedCitation":"[13]","previouslyFormattedCitation":"[13]"},"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[13]</w:t>
      </w:r>
      <w:r w:rsidR="00441495" w:rsidRPr="00E901BF">
        <w:rPr>
          <w:rFonts w:ascii="Book Antiqua" w:hAnsi="Book Antiqua" w:cs="Times New Roman"/>
          <w:color w:val="auto"/>
          <w:vertAlign w:val="superscript"/>
          <w:lang w:val="en-US"/>
        </w:rPr>
        <w:fldChar w:fldCharType="end"/>
      </w:r>
      <w:r w:rsidR="00513DB0" w:rsidRPr="00E901BF">
        <w:rPr>
          <w:rFonts w:ascii="Book Antiqua" w:hAnsi="Book Antiqua" w:cs="Times New Roman"/>
          <w:color w:val="auto"/>
          <w:lang w:val="en-US"/>
        </w:rPr>
        <w:t>.</w:t>
      </w:r>
    </w:p>
    <w:p w14:paraId="4C610116" w14:textId="73DEABB4" w:rsidR="00F166B9" w:rsidRPr="00E901BF" w:rsidRDefault="00DD3C2C" w:rsidP="00E901BF">
      <w:pPr>
        <w:pStyle w:val="Default"/>
        <w:spacing w:line="360" w:lineRule="auto"/>
        <w:ind w:firstLineChars="100" w:firstLine="240"/>
        <w:jc w:val="both"/>
        <w:rPr>
          <w:rFonts w:ascii="Book Antiqua" w:hAnsi="Book Antiqua" w:cs="Times New Roman"/>
          <w:color w:val="auto"/>
          <w:lang w:val="en-US"/>
        </w:rPr>
      </w:pPr>
      <w:r w:rsidRPr="00E901BF">
        <w:rPr>
          <w:rFonts w:ascii="Book Antiqua" w:hAnsi="Book Antiqua" w:cs="Times New Roman"/>
          <w:color w:val="auto"/>
          <w:lang w:val="en-US"/>
        </w:rPr>
        <w:t xml:space="preserve">The major </w:t>
      </w:r>
      <w:r w:rsidR="0086645E" w:rsidRPr="00E901BF">
        <w:rPr>
          <w:rFonts w:ascii="Book Antiqua" w:hAnsi="Book Antiqua" w:cs="Times New Roman"/>
          <w:color w:val="auto"/>
          <w:lang w:val="en-US"/>
        </w:rPr>
        <w:t xml:space="preserve">difficulties </w:t>
      </w:r>
      <w:r w:rsidRPr="00E901BF">
        <w:rPr>
          <w:rFonts w:ascii="Book Antiqua" w:hAnsi="Book Antiqua" w:cs="Times New Roman"/>
          <w:color w:val="auto"/>
          <w:lang w:val="en-US"/>
        </w:rPr>
        <w:t xml:space="preserve">in treating pancreatic cancer lie at both the genetic and cellular </w:t>
      </w:r>
      <w:r w:rsidR="00F04A7C" w:rsidRPr="00E901BF">
        <w:rPr>
          <w:rFonts w:ascii="Book Antiqua" w:eastAsia="Times New Roman" w:hAnsi="Book Antiqua" w:cs="Times New Roman"/>
          <w:color w:val="auto"/>
          <w:lang w:val="en-US"/>
        </w:rPr>
        <w:t>levels</w:t>
      </w:r>
      <w:r w:rsidRPr="00E901BF">
        <w:rPr>
          <w:rFonts w:ascii="Book Antiqua" w:hAnsi="Book Antiqua" w:cs="Times New Roman"/>
          <w:color w:val="auto"/>
          <w:lang w:val="en-US"/>
        </w:rPr>
        <w:t>. The extent of mutational changes in pancreatic tumors generates gene instability that appears to play an essential role in PDAC tumor growth and resistance to treatments.</w:t>
      </w:r>
      <w:r w:rsidR="00F04A7C" w:rsidRPr="00E901BF">
        <w:rPr>
          <w:rFonts w:ascii="Book Antiqua" w:eastAsia="Times New Roman" w:hAnsi="Book Antiqua" w:cs="Times New Roman"/>
          <w:color w:val="auto"/>
          <w:lang w:val="en-US"/>
        </w:rPr>
        <w:t xml:space="preserve"> </w:t>
      </w:r>
      <w:r w:rsidR="00CA0160" w:rsidRPr="00E901BF">
        <w:rPr>
          <w:rFonts w:ascii="Book Antiqua" w:hAnsi="Book Antiqua" w:cs="Times New Roman"/>
          <w:color w:val="auto"/>
          <w:shd w:val="clear" w:color="auto" w:fill="FFFFFF"/>
          <w:lang w:val="en-US"/>
        </w:rPr>
        <w:t xml:space="preserve">PDAC is characterized by considerable genetic heterogeneity not only among patients but </w:t>
      </w:r>
      <w:r w:rsidR="00F04A7C" w:rsidRPr="00E901BF">
        <w:rPr>
          <w:rFonts w:ascii="Book Antiqua" w:eastAsia="Times New Roman" w:hAnsi="Book Antiqua" w:cs="Times New Roman"/>
          <w:color w:val="auto"/>
          <w:lang w:val="en-US"/>
        </w:rPr>
        <w:t xml:space="preserve">also </w:t>
      </w:r>
      <w:r w:rsidR="00485D8F" w:rsidRPr="00E901BF">
        <w:rPr>
          <w:rFonts w:ascii="Book Antiqua" w:eastAsia="Times New Roman" w:hAnsi="Book Antiqua" w:cs="Times New Roman"/>
          <w:color w:val="auto"/>
          <w:lang w:val="en-US"/>
        </w:rPr>
        <w:t>with</w:t>
      </w:r>
      <w:r w:rsidR="00CA0160" w:rsidRPr="00E901BF">
        <w:rPr>
          <w:rFonts w:ascii="Book Antiqua" w:hAnsi="Book Antiqua" w:cs="Times New Roman"/>
          <w:color w:val="auto"/>
          <w:shd w:val="clear" w:color="auto" w:fill="FFFFFF"/>
          <w:lang w:val="en-US"/>
        </w:rPr>
        <w:t xml:space="preserve">in </w:t>
      </w:r>
      <w:r w:rsidR="00097A97" w:rsidRPr="00E901BF">
        <w:rPr>
          <w:rFonts w:ascii="Book Antiqua" w:hAnsi="Book Antiqua" w:cs="Times New Roman"/>
          <w:color w:val="auto"/>
          <w:shd w:val="clear" w:color="auto" w:fill="FFFFFF"/>
          <w:lang w:val="en-US"/>
        </w:rPr>
        <w:t>a single</w:t>
      </w:r>
      <w:r w:rsidR="00CA0160" w:rsidRPr="00E901BF">
        <w:rPr>
          <w:rFonts w:ascii="Book Antiqua" w:hAnsi="Book Antiqua" w:cs="Times New Roman"/>
          <w:color w:val="auto"/>
          <w:shd w:val="clear" w:color="auto" w:fill="FFFFFF"/>
          <w:lang w:val="en-US"/>
        </w:rPr>
        <w:t xml:space="preserve"> primary tumor. </w:t>
      </w:r>
      <w:r w:rsidR="00874E39" w:rsidRPr="00E901BF">
        <w:rPr>
          <w:rFonts w:ascii="Book Antiqua" w:hAnsi="Book Antiqua" w:cs="Times New Roman"/>
          <w:color w:val="auto"/>
          <w:lang w:val="en-US"/>
        </w:rPr>
        <w:t xml:space="preserve">Targeted treatments are effective in cancers that have a relatively high percentage of patients with the same cancer-causing mutation, such as </w:t>
      </w:r>
      <w:r w:rsidR="00874E39" w:rsidRPr="00E901BF">
        <w:rPr>
          <w:rFonts w:ascii="Book Antiqua" w:hAnsi="Book Antiqua" w:cs="Times New Roman"/>
          <w:i/>
          <w:iCs/>
          <w:color w:val="auto"/>
          <w:lang w:val="en-US"/>
        </w:rPr>
        <w:t>EGFR</w:t>
      </w:r>
      <w:r w:rsidR="00874E39" w:rsidRPr="00E901BF">
        <w:rPr>
          <w:rFonts w:ascii="Book Antiqua" w:hAnsi="Book Antiqua" w:cs="Times New Roman"/>
          <w:color w:val="auto"/>
          <w:lang w:val="en-US"/>
        </w:rPr>
        <w:t xml:space="preserve"> in lung cancer</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{"citationItems":[{"id":"ITEM-1","itemData":{"ISBN":"2072-1439\\r2077-6624","ISSN":"20721439","PMID":"22263017","abstract":"Epidermal growth factor receptor is a trans-membrane glycoprotein with an extracellular epidermal growth factor binding domain and an intracellular tyrosine kinase domain that regulates signaling pathways to control cellular proliferation. Epidermal growth factor receptor binding to its ligand results in autophosphorylation by intrinsic tyrosine/kinase activity, triggering several signal transduction cascades. Constitutive or sustained activation of these sequences of downstream targets is thought to yield more aggressive tumor phenotypes. Mutations in epidermal growth factor receptor have been discovered in association with some lung cancers. Lung adenocarcinomas with mutated epidermal growth factor receptor have significant responses to tyrosine kinase inhibitors, although for unselected patients it does not appear to have a survival benefit. However, in a subset of patients (non-smoking Asian women with adenocarcinoma, particularly with a bronchioloalveolar carcinoma), there appears to be a significant survival advantage. Both EGFR mutation and gene amplification status may be important in determining which tumors will respond to tyrosine kinase inhibitors.","author":[{"dropping-particle":"","family":"Bethune","given":"Gillian","non-dropping-particle":"","parse-names":false,"suffix":""},{"dropping-particle":"","family":"Bethune","given":"Drew","non-dropping-particle":"","parse-names":false,"suffix":""},{"dropping-particle":"","family":"Ridgway","given":"Neale","non-dropping-particle":"","parse-names":false,"suffix":""},{"dropping-particle":"","family":"Xu","given":"Zhaolin","non-dropping-particle":"","parse-names":false,"suffix":""}],"container-title":"Journal of Thoracic Disease","id":"ITEM-1","issued":{"date-parts":[["2010"]]},"title":"Epidermal growth factor receptor (EGFR) in lung cancer: An overview and update","type":"article"},"uris":["http://www.mendeley.com/documents/?uuid=7878003c-11c0-4865-a882-ab2115088073"]}],"mendeley":{"formattedCitation":"[14]","plainTextFormattedCitation":"[14]","previouslyFormattedCitation":"[14]"},"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[14]</w:t>
      </w:r>
      <w:r w:rsidR="00441495" w:rsidRPr="00E901BF">
        <w:rPr>
          <w:rFonts w:ascii="Book Antiqua" w:hAnsi="Book Antiqua" w:cs="Times New Roman"/>
          <w:color w:val="auto"/>
          <w:vertAlign w:val="superscript"/>
          <w:lang w:val="en-US"/>
        </w:rPr>
        <w:fldChar w:fldCharType="end"/>
      </w:r>
      <w:r w:rsidR="00874E39" w:rsidRPr="00E901BF">
        <w:rPr>
          <w:rFonts w:ascii="Book Antiqua" w:hAnsi="Book Antiqua" w:cs="Times New Roman"/>
          <w:color w:val="auto"/>
          <w:lang w:val="en-US"/>
        </w:rPr>
        <w:t xml:space="preserve"> or </w:t>
      </w:r>
      <w:r w:rsidR="00874E39" w:rsidRPr="00E901BF">
        <w:rPr>
          <w:rFonts w:ascii="Book Antiqua" w:hAnsi="Book Antiqua" w:cs="Times New Roman"/>
          <w:i/>
          <w:iCs/>
          <w:color w:val="auto"/>
          <w:lang w:val="en-US"/>
        </w:rPr>
        <w:t>BRAF</w:t>
      </w:r>
      <w:r w:rsidR="00874E39" w:rsidRPr="00E901BF">
        <w:rPr>
          <w:rFonts w:ascii="Book Antiqua" w:hAnsi="Book Antiqua" w:cs="Times New Roman"/>
          <w:color w:val="auto"/>
          <w:lang w:val="en-US"/>
        </w:rPr>
        <w:t xml:space="preserve"> in melanoma</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DOI":"10.1038/modpathol.2017.104","ISSN":"0893-3952","author":[{"dropping-particle":"","family":"Cheng","given":"Liang","non-dropping-particle":"","parse-names":false,"suffix":""},{"dropping-particle":"","family":"Montironi","given":"Rodolfo","non-dropping-particle":"","parse-names":false,"suffix":""},{"dropping-particle":"","family":"Lopez-Beltran","given":"Antonio","non-dropping-particle":"","parse-names":false,"suffix":""},{"dropping-particle":"","family":"Massari","given":"Francesco","non-dropping-particle":"","parse-names":false,"suffix":""},{"dropping-particle":"","family":"MacLennan","given":"Gregory T","non-dropping-particle":"","parse-names":false,"suffix":""}],"container-title":"Modern Pathology","id":"ITEM-1","issue":"1","issued":{"date-parts":[["2017"]]},"page":"24-38","publisher":"Nature Publishing Group","title":"Molecular testing for BRAF mutations to inform melanoma treatment decisions: a move toward precision medicine","type":"article-journal","volume":"31"},"uris":["http://www.mendeley.com/documents/?uuid=0a8501f9-24fd-4195-bdcd-317b7d3ace57"]}],"mendeley":{"formattedCitation":"[15]","plainTextFormattedCitation":"[15]","previouslyFormattedCitation":"[15]"},"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[15]</w:t>
      </w:r>
      <w:r w:rsidR="00441495" w:rsidRPr="00E901BF">
        <w:rPr>
          <w:rFonts w:ascii="Book Antiqua" w:hAnsi="Book Antiqua" w:cs="Times New Roman"/>
          <w:color w:val="auto"/>
          <w:vertAlign w:val="superscript"/>
          <w:lang w:val="en-US"/>
        </w:rPr>
        <w:fldChar w:fldCharType="end"/>
      </w:r>
      <w:r w:rsidR="00CA0160" w:rsidRPr="00E901BF">
        <w:rPr>
          <w:rFonts w:ascii="Book Antiqua" w:hAnsi="Book Antiqua" w:cs="Times New Roman"/>
          <w:color w:val="auto"/>
          <w:lang w:val="en-US"/>
        </w:rPr>
        <w:t>. Pancreatic cancer, on the contrary, presents a variety of mutations that lead to cancer</w:t>
      </w:r>
      <w:r w:rsidR="00F04A7C" w:rsidRPr="00E901BF">
        <w:rPr>
          <w:rFonts w:ascii="Book Antiqua" w:eastAsia="Times New Roman" w:hAnsi="Book Antiqua" w:cs="Times New Roman"/>
          <w:color w:val="auto"/>
          <w:lang w:val="en-US"/>
        </w:rPr>
        <w:t>,</w:t>
      </w:r>
      <w:r w:rsidR="00CA0160" w:rsidRPr="00E901BF">
        <w:rPr>
          <w:rFonts w:ascii="Book Antiqua" w:hAnsi="Book Antiqua" w:cs="Times New Roman"/>
          <w:color w:val="auto"/>
          <w:lang w:val="en-US"/>
        </w:rPr>
        <w:t xml:space="preserve"> and each </w:t>
      </w:r>
      <w:r w:rsidR="003311AE" w:rsidRPr="00E901BF">
        <w:rPr>
          <w:rFonts w:ascii="Book Antiqua" w:hAnsi="Book Antiqua" w:cs="Times New Roman"/>
          <w:color w:val="auto"/>
          <w:lang w:val="en-US"/>
        </w:rPr>
        <w:t xml:space="preserve">mutation </w:t>
      </w:r>
      <w:r w:rsidR="00B76971" w:rsidRPr="00E901BF">
        <w:rPr>
          <w:rFonts w:ascii="Book Antiqua" w:hAnsi="Book Antiqua" w:cs="Times New Roman"/>
          <w:color w:val="auto"/>
          <w:lang w:val="en-US"/>
        </w:rPr>
        <w:t xml:space="preserve">is present in </w:t>
      </w:r>
      <w:r w:rsidR="00CA0160" w:rsidRPr="00E901BF">
        <w:rPr>
          <w:rFonts w:ascii="Book Antiqua" w:hAnsi="Book Antiqua" w:cs="Times New Roman"/>
          <w:color w:val="auto"/>
          <w:lang w:val="en-US"/>
        </w:rPr>
        <w:t>a small percentage of patients</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{"citationItems":[{"id":"ITEM-1","itemData":{"DOI":"10.1016/bs.pmbts.2016.09.008","ISBN":"9780128093283","ISSN":"18780814","abstract":"Pancreatic cancers arise predominantly from ductal epithelial cells of the exocrine pancreas and are of the ductal adenocarcinoma histological subtype (PDAC). PDAC is an aggressive disease associated with a poor clinical prognosis, weakly effective therapeutic options, and a lack of early detection methods. Furthermore, the genetic and phenotypic heterogeneity of PDAC complicates efforts to identify universally efficacious therapies. PDACs commonly harbor activating mutations in the KRAS oncogene, which is a potent driver of tumor initiation and maintenance. Inactivating mutations in tumor suppressor genes such as CDKN2A/p16, TP53, and SMAD4 cooperate with KRAS mutations to cause aggressive PDAC tumor growth. PDAC can be classified into 3–4 molecular subtypes by global gene expression profiling. These subtypes can be distinguished by distinct molecular and phenotypic characteristics. This chapter will provide an overview of the current knowledge of PDAC pathogenesis at the genetic and molecular level as well as novel therapeutic opportunities to treat this highly aggressive disease.","author":[{"dropping-particle":"","family":"Grant","given":"T. J.","non-dropping-particle":"","parse-names":false,"suffix":""},{"dropping-particle":"","family":"Hua","given":"K.","non-dropping-particle":"","parse-names":false,"suffix":""},{"dropping-particle":"","family":"Singh","given":"A.","non-dropping-particle":"","parse-names":false,"suffix":""}],"container-title":"Progress in Molecular Biology and Translational Science","id":"ITEM-1","issued":{"date-parts":[["2016"]]},"title":"Molecular Pathogenesis of Pancreatic Cancer","type":"chapter"},"uris":["http://www.mendeley.com/documents/?uuid=046949b7-d3e3-4778-aea0-547c8cc8dd49"]}],"mendeley":{"formattedCitation":"[16]","plainTextFormattedCitation":"[16]","previouslyFormattedCitation":"[16]"},"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[16]</w:t>
      </w:r>
      <w:r w:rsidR="00441495" w:rsidRPr="00E901BF">
        <w:rPr>
          <w:rFonts w:ascii="Book Antiqua" w:hAnsi="Book Antiqua" w:cs="Times New Roman"/>
          <w:color w:val="auto"/>
          <w:vertAlign w:val="superscript"/>
          <w:lang w:val="en-US"/>
        </w:rPr>
        <w:fldChar w:fldCharType="end"/>
      </w:r>
      <w:r w:rsidR="00CA0160" w:rsidRPr="00E901BF">
        <w:rPr>
          <w:rFonts w:ascii="Book Antiqua" w:hAnsi="Book Antiqua" w:cs="Times New Roman"/>
          <w:color w:val="auto"/>
          <w:lang w:val="en-US"/>
        </w:rPr>
        <w:t>.</w:t>
      </w:r>
    </w:p>
    <w:p w14:paraId="40737D49" w14:textId="0C19F505" w:rsidR="00BB48AB" w:rsidRPr="00E901BF" w:rsidRDefault="00CC2B5E" w:rsidP="00E901BF">
      <w:pPr>
        <w:pStyle w:val="Default"/>
        <w:spacing w:line="360" w:lineRule="auto"/>
        <w:ind w:firstLineChars="100" w:firstLine="240"/>
        <w:jc w:val="both"/>
        <w:rPr>
          <w:rFonts w:ascii="Book Antiqua" w:hAnsi="Book Antiqua" w:cs="Times New Roman"/>
          <w:color w:val="auto"/>
          <w:lang w:val="en-US"/>
        </w:rPr>
      </w:pPr>
      <w:r w:rsidRPr="00E901BF">
        <w:rPr>
          <w:rFonts w:ascii="Book Antiqua" w:hAnsi="Book Antiqua" w:cs="Times New Roman"/>
          <w:color w:val="auto"/>
          <w:shd w:val="clear" w:color="auto" w:fill="FFFFFF"/>
          <w:lang w:val="en-US"/>
        </w:rPr>
        <w:t>The presence of multiple signaling pathway alterations could partially explain the presence of multiple resistance mechanisms. Although the underlying biology</w:t>
      </w:r>
      <w:r w:rsidR="009271D1" w:rsidRPr="00E901BF">
        <w:rPr>
          <w:rFonts w:ascii="Book Antiqua" w:hAnsi="Book Antiqua" w:cs="Times New Roman"/>
          <w:color w:val="auto"/>
          <w:shd w:val="clear" w:color="auto" w:fill="FFFFFF"/>
          <w:lang w:val="en-US"/>
        </w:rPr>
        <w:t xml:space="preserve"> of </w:t>
      </w:r>
      <w:r w:rsidRPr="00E901BF">
        <w:rPr>
          <w:rFonts w:ascii="Book Antiqua" w:hAnsi="Book Antiqua" w:cs="Times New Roman"/>
          <w:color w:val="auto"/>
          <w:shd w:val="clear" w:color="auto" w:fill="FFFFFF"/>
          <w:lang w:val="en-US"/>
        </w:rPr>
        <w:t xml:space="preserve">PDAC </w:t>
      </w:r>
      <w:r w:rsidR="00EC237F" w:rsidRPr="00E901BF">
        <w:rPr>
          <w:rFonts w:ascii="Book Antiqua" w:hAnsi="Book Antiqua" w:cs="Times New Roman"/>
          <w:color w:val="auto"/>
          <w:shd w:val="clear" w:color="auto" w:fill="FFFFFF"/>
          <w:lang w:val="en-US"/>
        </w:rPr>
        <w:t>has not been</w:t>
      </w:r>
      <w:r w:rsidRPr="00E901BF">
        <w:rPr>
          <w:rFonts w:ascii="Book Antiqua" w:hAnsi="Book Antiqua" w:cs="Times New Roman"/>
          <w:color w:val="auto"/>
          <w:shd w:val="clear" w:color="auto" w:fill="FFFFFF"/>
          <w:lang w:val="en-US"/>
        </w:rPr>
        <w:t xml:space="preserve"> fully elucidated, key</w:t>
      </w:r>
      <w:r w:rsidR="00F04A7C" w:rsidRPr="00E901BF">
        <w:rPr>
          <w:rFonts w:ascii="Book Antiqua" w:eastAsia="Times New Roman" w:hAnsi="Book Antiqua" w:cs="Times New Roman"/>
          <w:color w:val="auto"/>
          <w:lang w:val="en-US"/>
        </w:rPr>
        <w:t xml:space="preserve"> </w:t>
      </w:r>
      <w:r w:rsidRPr="00E901BF">
        <w:rPr>
          <w:rFonts w:ascii="Book Antiqua" w:hAnsi="Book Antiqua" w:cs="Times New Roman"/>
          <w:color w:val="auto"/>
          <w:shd w:val="clear" w:color="auto" w:fill="FFFFFF"/>
          <w:lang w:val="en-US"/>
        </w:rPr>
        <w:t xml:space="preserve">mutations of specific genes such as </w:t>
      </w:r>
      <w:proofErr w:type="spellStart"/>
      <w:r w:rsidRPr="00E901BF">
        <w:rPr>
          <w:rFonts w:ascii="Book Antiqua" w:hAnsi="Book Antiqua" w:cs="Times New Roman"/>
          <w:i/>
          <w:iCs/>
          <w:color w:val="auto"/>
          <w:shd w:val="clear" w:color="auto" w:fill="FFFFFF"/>
          <w:lang w:val="en-US"/>
        </w:rPr>
        <w:t>Kras</w:t>
      </w:r>
      <w:proofErr w:type="spellEnd"/>
      <w:r w:rsidRPr="00E901BF">
        <w:rPr>
          <w:rFonts w:ascii="Book Antiqua" w:hAnsi="Book Antiqua" w:cs="Times New Roman"/>
          <w:color w:val="auto"/>
          <w:shd w:val="clear" w:color="auto" w:fill="FFFFFF"/>
          <w:lang w:val="en-US"/>
        </w:rPr>
        <w:t xml:space="preserve">, </w:t>
      </w:r>
      <w:r w:rsidRPr="00E901BF">
        <w:rPr>
          <w:rFonts w:ascii="Book Antiqua" w:hAnsi="Book Antiqua" w:cs="Times New Roman"/>
          <w:i/>
          <w:iCs/>
          <w:color w:val="auto"/>
          <w:shd w:val="clear" w:color="auto" w:fill="FFFFFF"/>
          <w:lang w:val="en-US"/>
        </w:rPr>
        <w:t>CDKN2A/p16</w:t>
      </w:r>
      <w:r w:rsidRPr="00E901BF">
        <w:rPr>
          <w:rFonts w:ascii="Book Antiqua" w:hAnsi="Book Antiqua" w:cs="Times New Roman"/>
          <w:color w:val="auto"/>
          <w:shd w:val="clear" w:color="auto" w:fill="FFFFFF"/>
          <w:lang w:val="en-US"/>
        </w:rPr>
        <w:t xml:space="preserve">, </w:t>
      </w:r>
      <w:r w:rsidRPr="00E901BF">
        <w:rPr>
          <w:rFonts w:ascii="Book Antiqua" w:hAnsi="Book Antiqua" w:cs="Times New Roman"/>
          <w:i/>
          <w:iCs/>
          <w:color w:val="auto"/>
          <w:shd w:val="clear" w:color="auto" w:fill="FFFFFF"/>
          <w:lang w:val="en-US"/>
        </w:rPr>
        <w:t>TP53</w:t>
      </w:r>
      <w:r w:rsidRPr="00E901BF">
        <w:rPr>
          <w:rFonts w:ascii="Book Antiqua" w:hAnsi="Book Antiqua" w:cs="Times New Roman"/>
          <w:color w:val="auto"/>
          <w:shd w:val="clear" w:color="auto" w:fill="FFFFFF"/>
          <w:lang w:val="en-US"/>
        </w:rPr>
        <w:t xml:space="preserve"> and </w:t>
      </w:r>
      <w:r w:rsidRPr="00E901BF">
        <w:rPr>
          <w:rFonts w:ascii="Book Antiqua" w:hAnsi="Book Antiqua" w:cs="Times New Roman"/>
          <w:i/>
          <w:iCs/>
          <w:color w:val="auto"/>
          <w:shd w:val="clear" w:color="auto" w:fill="FFFFFF"/>
          <w:lang w:val="en-US"/>
        </w:rPr>
        <w:t>SMAD4</w:t>
      </w:r>
      <w:r w:rsidRPr="00E901BF">
        <w:rPr>
          <w:rFonts w:ascii="Book Antiqua" w:hAnsi="Book Antiqua" w:cs="Times New Roman"/>
          <w:color w:val="auto"/>
          <w:shd w:val="clear" w:color="auto" w:fill="FFFFFF"/>
          <w:lang w:val="en-US"/>
        </w:rPr>
        <w:t xml:space="preserve"> and the concomitant activation of downstream signaling pathways appear to play an essential role in the resistance to treatments</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{"citationItems":[{"id":"ITEM-1","itemData":{"DOI":"10.1038/nrgastro.2011.215","ISSN":"17595045","abstract":"Current standard therapies for pancreatic ductal adenocarcinoma have failed to attenuate the aggressiveness of this disease or confer notable improvements in survival. Previous molecular research into pancreatic cancers, along with advances in sequencing technologies, have identified many altered genes in patients with pancreatic cancer and revealed the marked genetic heterogeneity of individual tumors. Thus, the lack of success of conventional empiric therapy can be partly attributed to the underlying heterogeneity of pancreatic tumors. The genetic alterations that have been detected in pancreatic cancer range from simple mutations at the level of base pairs to complex chromosomal structural changes and rearrangements. The identification of molecular changes that are unique to an individual patient's tumors, and the subsequent development of strategies to target the tumors in a personalized approach to therapeutics, is a necessary advance to improve therapy for patients with this disease.","author":[{"dropping-particle":"","family":"Samuel","given":"Nardin","non-dropping-particle":"","parse-names":false,"suffix":""},{"dropping-particle":"","family":"Hudson","given":"Thomas J.","non-dropping-particle":"","parse-names":false,"suffix":""}],"container-title":"Nature Reviews Gastroenterology and Hepatology","id":"ITEM-1","issued":{"date-parts":[["2012"]]},"title":"The molecular and cellular heterogeneity of pancreatic ductal adenocarcinoma","type":"article"},"uris":["http://www.mendeley.com/documents/?uuid=daa10170-2cf4-446a-842e-439ab0f2ccc0"]}],"mendeley":{"formattedCitation":"[17]","plainTextFormattedCitation":"[17]","previouslyFormattedCitation":"[17]"},"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[17]</w:t>
      </w:r>
      <w:r w:rsidR="00441495" w:rsidRPr="00E901BF">
        <w:rPr>
          <w:rFonts w:ascii="Book Antiqua" w:hAnsi="Book Antiqua" w:cs="Times New Roman"/>
          <w:color w:val="auto"/>
          <w:shd w:val="clear" w:color="auto" w:fill="FFFFFF"/>
          <w:vertAlign w:val="superscript"/>
          <w:lang w:val="en-US"/>
        </w:rPr>
        <w:fldChar w:fldCharType="end"/>
      </w:r>
      <w:r w:rsidR="000B5AF2" w:rsidRPr="00E901BF">
        <w:rPr>
          <w:rFonts w:ascii="Book Antiqua" w:hAnsi="Book Antiqua" w:cs="Times New Roman"/>
          <w:color w:val="auto"/>
          <w:shd w:val="clear" w:color="auto" w:fill="FFFFFF"/>
          <w:lang w:val="en-US"/>
        </w:rPr>
        <w:t xml:space="preserve">. </w:t>
      </w:r>
      <w:r w:rsidR="00F04A7C" w:rsidRPr="00E901BF">
        <w:rPr>
          <w:rFonts w:ascii="Book Antiqua" w:eastAsia="Times New Roman" w:hAnsi="Book Antiqua" w:cs="Times New Roman"/>
          <w:color w:val="auto"/>
          <w:lang w:val="en-US"/>
        </w:rPr>
        <w:t>Additionally</w:t>
      </w:r>
      <w:r w:rsidR="000B5AF2" w:rsidRPr="00E901BF">
        <w:rPr>
          <w:rFonts w:ascii="Book Antiqua" w:hAnsi="Book Antiqua" w:cs="Times New Roman"/>
          <w:color w:val="auto"/>
          <w:shd w:val="clear" w:color="auto" w:fill="FFFFFF"/>
          <w:lang w:val="en-US"/>
        </w:rPr>
        <w:t>, the existence of cancer stem cells (CSCs) contributes to the acquisition of a more resistant tumor state. Pancreatic CSCs account for 0.5%-1.0% of all pancreatic cancer cells</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{"citationItems":[{"id":"ITEM-1","itemData":{"DOI":"10.1593/tlo.08013","ISSN":"19365233","abstract":"Pancreatic cancer has the worst prognosis of any major malignancy, with an annual death rate that approximates the annual incidence rate. Delayed diagnosis, relative chemotherapy and radiation resistance and an intrinsic biologic aggressiveness all contribute to the abysmal prognosis associated with pancreatic cancer. Answers to the frustrating effort to find effective therapies for pancreatic cancer may be gained through a renewed perspective on tumorigenesis as a process governed by a select population of cells, termed cancer stem cells (CSCs). Cancer stem cells, like their normal counterparts, have the properties of self-renewal and multilineage differentiation and possess inherently heightened DNA damage response and repair mechanisms that make them difficult to eradicate. Initially discovered in leukemias, researchers have identified CSCs in several solid-organ malignancies including breast, brain, prostate, and colon cancers. We have recently identified a CSC population in human pancreatic cancers. These pancreatic CSC represent 0.5% to 1.0% of all pancreatic cancer cells and express the cell surface markers CD44, CD24, and epithelial-specific antigen. Pancreatic CSCs have been shown to be resistant to standard chemotherapy and radiation, and devising specific therapies to target this distinct cell population is likely needed to identify effective therapies to treat this dismal disease. © 2008 Neoplasia Press, Inc. All rights reserved.","author":[{"dropping-particle":"","family":"Lee","given":"Cheong J.","non-dropping-particle":"","parse-names":false,"suffix":""},{"dropping-particle":"","family":"Li","given":"Chenwei","non-dropping-particle":"","parse-names":false,"suffix":""},{"dropping-particle":"","family":"Simeone","given":"Diane M.","non-dropping-particle":"","parse-names":false,"suffix":""}],"container-title":"Translational Oncology","id":"ITEM-1","issued":{"date-parts":[["2008"]]},"title":"Human pancreatic cancer stem cells: Implications for how we treat pancreatic cancer","type":"article-journal"},"uris":["http://www.mendeley.com/documents/?uuid=3271420a-4cce-429f-bca4-2d6eae379476"]}],"mendeley":{"formattedCitation":"[18]","plainTextFormattedCitation":"[18]","previouslyFormattedCitation":"[18]"},"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[18]</w:t>
      </w:r>
      <w:r w:rsidR="00441495" w:rsidRPr="00E901BF">
        <w:rPr>
          <w:rFonts w:ascii="Book Antiqua" w:hAnsi="Book Antiqua" w:cs="Times New Roman"/>
          <w:color w:val="auto"/>
          <w:shd w:val="clear" w:color="auto" w:fill="FFFFFF"/>
          <w:vertAlign w:val="superscript"/>
          <w:lang w:val="en-US"/>
        </w:rPr>
        <w:fldChar w:fldCharType="end"/>
      </w:r>
      <w:r w:rsidR="00A92C83" w:rsidRPr="00E901BF">
        <w:rPr>
          <w:rFonts w:ascii="Book Antiqua" w:hAnsi="Book Antiqua" w:cs="Times New Roman"/>
          <w:color w:val="auto"/>
          <w:shd w:val="clear" w:color="auto" w:fill="FFFFFF"/>
          <w:lang w:val="en-US"/>
        </w:rPr>
        <w:t>; CSCs</w:t>
      </w:r>
      <w:r w:rsidR="00DD3C2C" w:rsidRPr="00E901BF">
        <w:rPr>
          <w:rFonts w:ascii="Book Antiqua" w:hAnsi="Book Antiqua" w:cs="Times New Roman"/>
          <w:color w:val="auto"/>
          <w:shd w:val="clear" w:color="auto" w:fill="FFFFFF"/>
          <w:lang w:val="en-US"/>
        </w:rPr>
        <w:t xml:space="preserve"> have </w:t>
      </w:r>
      <w:r w:rsidR="00E80922" w:rsidRPr="00E901BF">
        <w:rPr>
          <w:rFonts w:ascii="Book Antiqua" w:hAnsi="Book Antiqua" w:cs="Times New Roman"/>
          <w:color w:val="auto"/>
          <w:shd w:val="clear" w:color="auto" w:fill="FFFFFF"/>
          <w:lang w:val="en-US"/>
        </w:rPr>
        <w:t xml:space="preserve">an </w:t>
      </w:r>
      <w:r w:rsidR="00DD3C2C" w:rsidRPr="00E901BF">
        <w:rPr>
          <w:rFonts w:ascii="Book Antiqua" w:hAnsi="Book Antiqua" w:cs="Times New Roman"/>
          <w:color w:val="auto"/>
          <w:shd w:val="clear" w:color="auto" w:fill="FFFFFF"/>
          <w:lang w:val="en-US"/>
        </w:rPr>
        <w:t>increased capacity for self-renewal and exhibit unique metabolic, autophagic and chemoresistance properties that allow them to escape any therapeutic interventions</w:t>
      </w:r>
      <w:r w:rsidR="00F04A7C" w:rsidRPr="00E901BF">
        <w:rPr>
          <w:rFonts w:ascii="Book Antiqua" w:hAnsi="Book Antiqua" w:cs="Times New Roman"/>
          <w:color w:val="auto"/>
          <w:lang w:val="en-US"/>
        </w:rPr>
        <w:t>. CSCs are considered tumor-initiating cells</w:t>
      </w:r>
      <w:r w:rsidR="00F04A7C" w:rsidRPr="00E901BF">
        <w:rPr>
          <w:rFonts w:ascii="Book Antiqua" w:eastAsia="Times New Roman" w:hAnsi="Book Antiqua" w:cs="Times New Roman"/>
          <w:color w:val="auto"/>
          <w:lang w:val="en-US"/>
        </w:rPr>
        <w:t xml:space="preserve"> that are</w:t>
      </w:r>
      <w:r w:rsidR="00F04A7C" w:rsidRPr="00E901BF">
        <w:rPr>
          <w:rFonts w:ascii="Book Antiqua" w:hAnsi="Book Antiqua" w:cs="Times New Roman"/>
          <w:color w:val="auto"/>
          <w:lang w:val="en-US"/>
        </w:rPr>
        <w:t xml:space="preserve"> able to promote tumor development and therapy resistance, leading to disease progression and relapse. One more reason </w:t>
      </w:r>
      <w:r w:rsidR="00F04A7C" w:rsidRPr="00E901BF">
        <w:rPr>
          <w:rFonts w:ascii="Book Antiqua" w:eastAsia="Times New Roman" w:hAnsi="Book Antiqua" w:cs="Times New Roman"/>
          <w:color w:val="auto"/>
          <w:lang w:val="en-US"/>
        </w:rPr>
        <w:t>why</w:t>
      </w:r>
      <w:r w:rsidR="00F04A7C" w:rsidRPr="00E901BF">
        <w:rPr>
          <w:rFonts w:ascii="Book Antiqua" w:hAnsi="Book Antiqua" w:cs="Times New Roman"/>
          <w:color w:val="auto"/>
          <w:lang w:val="en-US"/>
        </w:rPr>
        <w:t xml:space="preserve"> current </w:t>
      </w:r>
      <w:r w:rsidR="00B422F5" w:rsidRPr="00E901BF">
        <w:rPr>
          <w:rFonts w:ascii="Book Antiqua" w:hAnsi="Book Antiqua" w:cs="Times New Roman"/>
          <w:color w:val="auto"/>
          <w:lang w:val="en-US"/>
        </w:rPr>
        <w:t>treatment</w:t>
      </w:r>
      <w:r w:rsidR="00F04A7C" w:rsidRPr="00E901BF">
        <w:rPr>
          <w:rFonts w:ascii="Book Antiqua" w:hAnsi="Book Antiqua" w:cs="Times New Roman"/>
          <w:color w:val="auto"/>
          <w:lang w:val="en-US"/>
        </w:rPr>
        <w:t xml:space="preserve"> </w:t>
      </w:r>
      <w:r w:rsidR="00B422F5" w:rsidRPr="00E901BF">
        <w:rPr>
          <w:rFonts w:ascii="Book Antiqua" w:hAnsi="Book Antiqua" w:cs="Times New Roman"/>
          <w:color w:val="auto"/>
          <w:lang w:val="en-US"/>
        </w:rPr>
        <w:t>fails</w:t>
      </w:r>
      <w:r w:rsidR="00F04A7C" w:rsidRPr="00E901BF">
        <w:rPr>
          <w:rFonts w:ascii="Book Antiqua" w:hAnsi="Book Antiqua" w:cs="Times New Roman"/>
          <w:color w:val="auto"/>
          <w:lang w:val="en-US"/>
        </w:rPr>
        <w:t xml:space="preserve"> to exhibit </w:t>
      </w:r>
      <w:r w:rsidR="00281E60" w:rsidRPr="00E901BF">
        <w:rPr>
          <w:rFonts w:ascii="Book Antiqua" w:hAnsi="Book Antiqua" w:cs="Times New Roman"/>
          <w:color w:val="auto"/>
          <w:lang w:val="en-US"/>
        </w:rPr>
        <w:t xml:space="preserve">considerable </w:t>
      </w:r>
      <w:r w:rsidR="00F04A7C" w:rsidRPr="00E901BF">
        <w:rPr>
          <w:rFonts w:ascii="Book Antiqua" w:hAnsi="Book Antiqua" w:cs="Times New Roman"/>
          <w:color w:val="auto"/>
          <w:lang w:val="en-US"/>
        </w:rPr>
        <w:t xml:space="preserve">efficacy and </w:t>
      </w:r>
      <w:r w:rsidR="00EC7858" w:rsidRPr="00E901BF">
        <w:rPr>
          <w:rFonts w:ascii="Book Antiqua" w:hAnsi="Book Antiqua" w:cs="Times New Roman"/>
          <w:color w:val="auto"/>
          <w:lang w:val="en-US"/>
        </w:rPr>
        <w:t>beneficial</w:t>
      </w:r>
      <w:r w:rsidR="00F04A7C" w:rsidRPr="00E901BF">
        <w:rPr>
          <w:rFonts w:ascii="Book Antiqua" w:hAnsi="Book Antiqua" w:cs="Times New Roman"/>
          <w:color w:val="auto"/>
          <w:lang w:val="en-US"/>
        </w:rPr>
        <w:t xml:space="preserve"> clinical outcome</w:t>
      </w:r>
      <w:r w:rsidR="00EC7858" w:rsidRPr="00E901BF">
        <w:rPr>
          <w:rFonts w:ascii="Book Antiqua" w:hAnsi="Book Antiqua" w:cs="Times New Roman"/>
          <w:color w:val="auto"/>
          <w:lang w:val="en-US"/>
        </w:rPr>
        <w:t>s</w:t>
      </w:r>
      <w:r w:rsidR="00F04A7C" w:rsidRPr="00E901BF">
        <w:rPr>
          <w:rFonts w:ascii="Book Antiqua" w:hAnsi="Book Antiqua" w:cs="Times New Roman"/>
          <w:color w:val="auto"/>
          <w:lang w:val="en-US"/>
        </w:rPr>
        <w:t xml:space="preserve"> is that they do not adequately target </w:t>
      </w:r>
      <w:proofErr w:type="gramStart"/>
      <w:r w:rsidR="00F04A7C" w:rsidRPr="00E901BF">
        <w:rPr>
          <w:rFonts w:ascii="Book Antiqua" w:hAnsi="Book Antiqua" w:cs="Times New Roman"/>
          <w:color w:val="auto"/>
          <w:lang w:val="en-US"/>
        </w:rPr>
        <w:t>CSCs</w:t>
      </w:r>
      <w:r w:rsidR="00F04A7C" w:rsidRPr="00E901BF">
        <w:rPr>
          <w:rFonts w:ascii="Book Antiqua" w:hAnsi="Book Antiqua" w:cs="Times New Roman"/>
          <w:color w:val="auto"/>
          <w:vertAlign w:val="superscript"/>
          <w:lang w:val="en-US"/>
        </w:rPr>
        <w:t>[</w:t>
      </w:r>
      <w:proofErr w:type="gramEnd"/>
      <w:r w:rsidR="00F04A7C" w:rsidRPr="00E901BF">
        <w:rPr>
          <w:rFonts w:ascii="Book Antiqua" w:hAnsi="Book Antiqua" w:cs="Times New Roman"/>
          <w:color w:val="auto"/>
          <w:vertAlign w:val="superscript"/>
          <w:lang w:val="en-US"/>
        </w:rPr>
        <w:t>19]</w:t>
      </w:r>
      <w:r w:rsidR="00F04A7C" w:rsidRPr="00E901BF">
        <w:rPr>
          <w:rFonts w:ascii="Book Antiqua" w:hAnsi="Book Antiqua" w:cs="Times New Roman"/>
          <w:color w:val="auto"/>
          <w:lang w:val="en-US"/>
        </w:rPr>
        <w:t>.</w:t>
      </w:r>
    </w:p>
    <w:p w14:paraId="299A409F" w14:textId="576EFE82" w:rsidR="005741EE" w:rsidRPr="00E901BF" w:rsidRDefault="00F04A7C" w:rsidP="00E901BF">
      <w:pPr>
        <w:pStyle w:val="Default"/>
        <w:spacing w:line="360" w:lineRule="auto"/>
        <w:ind w:firstLineChars="100" w:firstLine="240"/>
        <w:jc w:val="both"/>
        <w:rPr>
          <w:rFonts w:ascii="Book Antiqua" w:hAnsi="Book Antiqua" w:cs="Times New Roman"/>
          <w:color w:val="auto"/>
          <w:shd w:val="clear" w:color="auto" w:fill="FFFFFF"/>
          <w:lang w:val="en-US"/>
        </w:rPr>
      </w:pPr>
      <w:r w:rsidRPr="00E901BF">
        <w:rPr>
          <w:rFonts w:ascii="Book Antiqua" w:hAnsi="Book Antiqua" w:cs="Times New Roman"/>
          <w:color w:val="auto"/>
          <w:shd w:val="clear" w:color="auto" w:fill="FFFFFF"/>
          <w:lang w:val="en-US"/>
        </w:rPr>
        <w:lastRenderedPageBreak/>
        <w:t>Furthermore, the metastatic potential of PDAC is also responsible for the poor outcome and the lack of effective treatment modules.</w:t>
      </w:r>
      <w:r w:rsidRPr="00E901BF">
        <w:rPr>
          <w:rFonts w:ascii="Book Antiqua" w:eastAsia="Times New Roman" w:hAnsi="Book Antiqua" w:cs="Times New Roman"/>
          <w:color w:val="auto"/>
          <w:lang w:val="en-US"/>
        </w:rPr>
        <w:t xml:space="preserve"> </w:t>
      </w:r>
      <w:r w:rsidRPr="00E901BF">
        <w:rPr>
          <w:rFonts w:ascii="Book Antiqua" w:hAnsi="Book Antiqua" w:cs="Times New Roman"/>
          <w:color w:val="auto"/>
          <w:shd w:val="clear" w:color="auto" w:fill="FFFFFF"/>
          <w:lang w:val="en-US"/>
        </w:rPr>
        <w:t>Recently, genomic and proteomic analyses in the primary PDAC tumor have revealed subclones with different metastatic potential</w:t>
      </w:r>
      <w:r w:rsidR="008D2840" w:rsidRPr="00E901BF">
        <w:rPr>
          <w:rFonts w:ascii="Book Antiqua" w:hAnsi="Book Antiqua" w:cs="Times New Roman"/>
          <w:color w:val="auto"/>
          <w:shd w:val="clear" w:color="auto" w:fill="FFFFFF"/>
          <w:lang w:val="en-US"/>
        </w:rPr>
        <w:t>s</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{"citationItems":[{"id":"ITEM-1","itemData":{"DOI":"10.1016/j.semcancer.2017.03.008","ISBN":"3120444464","ISSN":"10963650","PMID":"28366542","abstract":"Pancreatic ductal adenocarcinoma (PDAC) is an extremely aggressive malignancy, characterized by a high metastatic burden, already at the time of diagnosis. The metastatic potential of PDAC is one of the main reasons for the poor outcome next to lack of significant improvement in effective treatments in the last decade. Key mutated driver genes, such as activating KRAS mutations, are concordantly expressed in primary and metastatic tumors. However, the biology behind the metastatic potential of PDAC is not fully understood. Recently, large-scale omic approaches have revealed new mechanisms by which PDAC cells gain their metastatic potency. In particular, genomic studies have shown that multiple heterogeneous subclones reside in the primary tumor with different metastatic potential. The development of metastases may be correlated to a more mesenchymal transcriptomic subtype. However, for cancer cells to survive in a distant organ, metastatic sites need to be modulated into pre-metastatic niches. Proteomic studies identified the influence of exosomes on the Kuppfer cells in the liver, which could function to prepare this tissue for metastatic colonization. Phosphoproteomics adds an extra layer to the established omic techniques by unravelling key functional signaling. Future studies integrating results from these large-scale omic approaches will hopefully improve PDAC prognosis through identification of new therapeutic targets and patient selection tools. In this article, we will review the current knowledge on the biology of PDAC metastasis unravelled by large scale multi-omic approaches.","author":[{"dropping-particle":"","family":"Large","given":"T. Y.S.","non-dropping-particle":"Le","parse-names":false,"suffix":""},{"dropping-particle":"","family":"Bijlsma","given":"M. F.","non-dropping-particle":"","parse-names":false,"suffix":""},{"dropping-particle":"","family":"Kazemier","given":"G.","non-dropping-particle":"","parse-names":false,"suffix":""},{"dropping-particle":"","family":"Laarhoven","given":"H. W.M.","non-dropping-particle":"van","parse-names":false,"suffix":""},{"dropping-particle":"","family":"Giovannetti","given":"E.","non-dropping-particle":"","parse-names":false,"suffix":""},{"dropping-particle":"","family":"Jimenez","given":"C. R.","non-dropping-particle":"","parse-names":false,"suffix":""}],"container-title":"Seminars in Cancer Biology","id":"ITEM-1","issued":{"date-parts":[["2017"]]},"title":"Key biological processes driving metastatic spread of pancreatic cancer as identified by multi-omics studies","type":"article"},"uris":["http://www.mendeley.com/documents/?uuid=80db6a5a-5f4b-4013-af15-6c00de354b8c"]}],"mendeley":{"formattedCitation":"[20]","plainTextFormattedCitation":"[20]","previouslyFormattedCitation":"[20]"},"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[20]</w:t>
      </w:r>
      <w:r w:rsidR="00441495" w:rsidRPr="00E901BF">
        <w:rPr>
          <w:rFonts w:ascii="Book Antiqua" w:hAnsi="Book Antiqua" w:cs="Times New Roman"/>
          <w:color w:val="auto"/>
          <w:shd w:val="clear" w:color="auto" w:fill="FFFFFF"/>
          <w:vertAlign w:val="superscript"/>
          <w:lang w:val="en-US"/>
        </w:rPr>
        <w:fldChar w:fldCharType="end"/>
      </w:r>
      <w:r w:rsidRPr="00E901BF">
        <w:rPr>
          <w:rFonts w:ascii="Book Antiqua" w:hAnsi="Book Antiqua" w:cs="Times New Roman"/>
          <w:color w:val="auto"/>
          <w:shd w:val="clear" w:color="auto" w:fill="FFFFFF"/>
          <w:lang w:val="en-US"/>
        </w:rPr>
        <w:t xml:space="preserve"> and probably different responses to specific therapeutic regimes. </w:t>
      </w:r>
      <w:r w:rsidRPr="00E901BF">
        <w:rPr>
          <w:rFonts w:ascii="Book Antiqua" w:eastAsia="Times New Roman" w:hAnsi="Book Antiqua" w:cs="Times New Roman"/>
          <w:color w:val="auto"/>
          <w:lang w:val="en-US"/>
        </w:rPr>
        <w:t>Additionally</w:t>
      </w:r>
      <w:r w:rsidRPr="00E901BF">
        <w:rPr>
          <w:rFonts w:ascii="Book Antiqua" w:hAnsi="Book Antiqua" w:cs="Times New Roman"/>
          <w:color w:val="auto"/>
          <w:shd w:val="clear" w:color="auto" w:fill="FFFFFF"/>
          <w:lang w:val="en-US"/>
        </w:rPr>
        <w:t xml:space="preserve">, </w:t>
      </w:r>
      <w:r w:rsidRPr="00E901BF">
        <w:rPr>
          <w:rFonts w:ascii="Book Antiqua" w:hAnsi="Book Antiqua" w:cs="Times New Roman"/>
          <w:color w:val="auto"/>
          <w:lang w:val="en-US"/>
        </w:rPr>
        <w:t>PDAC metastasizes microscopically early in the disease course, limiting the effectiveness of local therapies such as surgery and radiation</w:t>
      </w:r>
      <w:r w:rsidR="00441495" w:rsidRPr="00E901BF">
        <w:rPr>
          <w:rFonts w:ascii="Book Antiqua" w:hAnsi="Book Antiqua" w:cs="Times New Roman"/>
          <w:color w:val="auto"/>
          <w:vertAlign w:val="superscript"/>
          <w:lang w:val="en-US"/>
        </w:rPr>
        <w:fldChar w:fldCharType="begin" w:fldLock="1"/>
      </w:r>
      <w:r w:rsidR="002624F0" w:rsidRPr="00E901BF">
        <w:rPr>
          <w:rFonts w:ascii="Book Antiqua" w:hAnsi="Book Antiqua" w:cs="Times New Roman"/>
          <w:color w:val="auto"/>
          <w:vertAlign w:val="superscript"/>
          <w:lang w:val="en-US"/>
        </w:rPr>
        <w:instrText>ADDIN CSL_CITATION {"citationItems":[{"id":"ITEM-1","itemData":{"DOI":"10.1016/j.cell.2011.11.025","ISBN":"0092-8674","ISSN":"00928674","PMID":"22265420","abstract":"Metastasis is the leading cause of cancer-associated death but has been difficult to study because it involves a series of rare, stochastic events. To capture these events, we developed a sensitive method to tag and track pancreatic epithelial cells in a mouse model of pancreatic cancer. Tagged cells invaded and entered the bloodstream unexpectedly early, before frank malignancy could be detected by rigorous histologic analysis; this behavior was widely associated with epithelial-to-mesenchymal transition (EMT). Circulating pancreatic cells maintained a mesenchymal phenotype, exhibited stem cell properties, and seeded the liver. EMT and invasiveness were most abundant at inflammatory foci, and induction of pancreatitis increased the number of circulating pancreatic cells. Conversely, treatment with the immunosuppressive agent dexamethasone abolished dissemination. These results provide insight into the earliest events of cellular invasion in situ and suggest that inflammation enhances cancer progression in part by facilitating EMT and entry into the circulation. © 2012 Elsevier Inc.","author":[{"dropping-particle":"","family":"Rhim","given":"Andrew D.","non-dropping-particle":"","parse-names":false,"suffix":""},{"dropping-particle":"","family":"Mirek","given":"Emily T.","non-dropping-particle":"","parse-names":false,"suffix":""},{"dropping-particle":"","family":"Aiello","given":"Nicole M.","non-dropping-particle":"","parse-names":false,"suffix":""},{"dropping-particle":"","family":"Maitra","given":"Anirban","non-dropping-particle":"","parse-names":false,"suffix":""},{"dropping-particle":"","family":"Bailey","given":"Jennifer M.","non-dropping-particle":"","parse-names":false,"suffix":""},{"dropping-particle":"","family":"McAllister","given":"Florencia","non-dropping-particle":"","parse-names":false,"suffix":""},{"dropping-particle":"","family":"Reichert","given":"Maximilian","non-dropping-particle":"","parse-names":false,"suffix":""},{"dropping-particle":"","family":"Beatty","given":"Gregory L.","non-dropping-particle":"","parse-names":false,"suffix":""},{"dropping-particle":"","family":"Rustgi","given":"Anil K.","non-dropping-particle":"","parse-names":false,"suffix":""},{"dropping-particle":"","family":"Vonderheide","given":"Robert H.","non-dropping-particle":"","parse-names":false,"suffix":""},{"dropping-particle":"","family":"Leach","given":"Steven D.","non-dropping-particle":"","parse-names":false,"suffix":""},{"dropping-particle":"","family":"Stanger","given":"Ben Z.","non-dropping-particle":"","parse-names":false,"suffix":""}],"container-title":"Cell","id":"ITEM-1","issued":{"date-parts":[["2012"]]},"title":"EMT and dissemination precede pancreatic tumor formation","type":"article-journal"},"uris":["http://www.mendeley.com/documents/?uuid=2a4bfd37-2eab-4142-9587-c227da1c0cc1"]}],"mendeley":{"formattedCitation":"[21]","plainTextFormattedCitation":"[21]","previouslyFormattedCitation":"[21]"},"properties":{"noteIndex":0},"schema":"https://github.com/citation-style-language/schema/raw/master/csl-citation.json"}</w:instrText>
      </w:r>
      <w:r w:rsidR="00441495" w:rsidRPr="00E901BF">
        <w:rPr>
          <w:rFonts w:ascii="Book Antiqua" w:hAnsi="Book Antiqua" w:cs="Times New Roman"/>
          <w:color w:val="auto"/>
          <w:vertAlign w:val="superscript"/>
          <w:lang w:val="en-US"/>
        </w:rPr>
        <w:fldChar w:fldCharType="separate"/>
      </w:r>
      <w:r w:rsidR="002624F0" w:rsidRPr="00E901BF">
        <w:rPr>
          <w:rFonts w:ascii="Book Antiqua" w:hAnsi="Book Antiqua" w:cs="Times New Roman"/>
          <w:color w:val="auto"/>
          <w:vertAlign w:val="superscript"/>
          <w:lang w:val="en-US"/>
        </w:rPr>
        <w:t>[21]</w:t>
      </w:r>
      <w:r w:rsidR="00441495" w:rsidRPr="00E901BF">
        <w:rPr>
          <w:rFonts w:ascii="Book Antiqua" w:hAnsi="Book Antiqua" w:cs="Times New Roman"/>
          <w:color w:val="auto"/>
          <w:vertAlign w:val="superscript"/>
          <w:lang w:val="en-US"/>
        </w:rPr>
        <w:fldChar w:fldCharType="end"/>
      </w:r>
      <w:r w:rsidR="00685660" w:rsidRPr="00E901BF">
        <w:rPr>
          <w:rFonts w:ascii="Book Antiqua" w:hAnsi="Book Antiqua" w:cs="Times New Roman"/>
          <w:color w:val="auto"/>
          <w:lang w:val="en-US"/>
        </w:rPr>
        <w:t>.</w:t>
      </w:r>
    </w:p>
    <w:p w14:paraId="1DADEB35" w14:textId="38EDE6BA" w:rsidR="000B067D" w:rsidRPr="00E901BF" w:rsidRDefault="00297207" w:rsidP="00E901BF">
      <w:pPr>
        <w:pStyle w:val="Default"/>
        <w:spacing w:line="360" w:lineRule="auto"/>
        <w:ind w:firstLineChars="100" w:firstLine="240"/>
        <w:contextualSpacing/>
        <w:jc w:val="both"/>
        <w:rPr>
          <w:rFonts w:ascii="Book Antiqua" w:hAnsi="Book Antiqua" w:cs="Times New Roman"/>
          <w:color w:val="auto"/>
          <w:shd w:val="clear" w:color="auto" w:fill="FFFFFF"/>
          <w:lang w:val="en-US"/>
        </w:rPr>
      </w:pPr>
      <w:r w:rsidRPr="00E901BF">
        <w:rPr>
          <w:rFonts w:ascii="Book Antiqua" w:hAnsi="Book Antiqua" w:cs="Times New Roman"/>
          <w:color w:val="auto"/>
          <w:shd w:val="clear" w:color="auto" w:fill="FFFFFF"/>
          <w:lang w:val="en-US"/>
        </w:rPr>
        <w:t xml:space="preserve">Finally, multiple studies have demonstrated that components within </w:t>
      </w:r>
      <w:r w:rsidR="00F04A7C" w:rsidRPr="00E901BF">
        <w:rPr>
          <w:rFonts w:ascii="Book Antiqua" w:eastAsia="Times New Roman" w:hAnsi="Book Antiqua" w:cs="Times New Roman"/>
          <w:color w:val="auto"/>
          <w:lang w:val="en-US"/>
        </w:rPr>
        <w:t xml:space="preserve">the </w:t>
      </w:r>
      <w:r w:rsidRPr="00E901BF">
        <w:rPr>
          <w:rFonts w:ascii="Book Antiqua" w:hAnsi="Book Antiqua" w:cs="Times New Roman"/>
          <w:color w:val="auto"/>
          <w:shd w:val="clear" w:color="auto" w:fill="FFFFFF"/>
          <w:lang w:val="en-US"/>
        </w:rPr>
        <w:t xml:space="preserve">PDAC microenvironment are responsible for poor prognosis and the difficulty </w:t>
      </w:r>
      <w:r w:rsidR="00F04A7C" w:rsidRPr="00E901BF">
        <w:rPr>
          <w:rFonts w:ascii="Book Antiqua" w:eastAsia="Times New Roman" w:hAnsi="Book Antiqua" w:cs="Times New Roman"/>
          <w:color w:val="auto"/>
          <w:lang w:val="en-US"/>
        </w:rPr>
        <w:t>in establishing</w:t>
      </w:r>
      <w:r w:rsidRPr="00E901BF">
        <w:rPr>
          <w:rFonts w:ascii="Book Antiqua" w:hAnsi="Book Antiqua" w:cs="Times New Roman"/>
          <w:color w:val="auto"/>
          <w:shd w:val="clear" w:color="auto" w:fill="FFFFFF"/>
          <w:lang w:val="en-US"/>
        </w:rPr>
        <w:t xml:space="preserve"> efficacious therapeutic strategies</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{"citationItems":[{"id":"ITEM-1","itemData":{"DOI":"10.1155/2018/7530619","ISSN":"1687-6121","abstract":"Pancreatic ductal adenocarcinoma is a lethal disease for which radical surgery and chemotherapy represent the only curative options for a small proportion of patients. Recently, FOLFIRINOX and nab-paclitaxel plus gemcitabine have improved the survival of metastatic patients but prognosis remains poor. A pancreatic tumor microenvironment is a dynamic milieu of cellular and acellular elements, and it represents one of the major limitations to chemotherapy efficacy. The continued crosstalk between cancer cells and the surrounding microenvironment causes immunosuppression within pancreatic immune infiltrate increasing tumor aggressiveness. Several potential targets have been identified among tumor microenvironment components, and different therapeutic approaches are under investigation. In this article, we provide a qualitative literature review about the crosstalk between the tumor microenvironment components and immune system in pancreatic cancer. Finally, we discuss potential therapeutic strategies targeting the tumor microenvironment and we show the ongoing trials.","author":[{"dropping-particle":"","family":"Parente","given":"Paola","non-dropping-particle":"","parse-names":false,"suffix":""},{"dropping-particle":"","family":"Parcesepe","given":"Pietro","non-dropping-particle":"","parse-names":false,"suffix":""},{"dropping-particle":"","family":"Covelli","given":"Claudia","non-dropping-particle":"","parse-names":false,"suffix":""},{"dropping-particle":"","family":"Olivieri","given":"Nunzio","non-dropping-particle":"","parse-names":false,"suffix":""},{"dropping-particle":"","family":"Remo","given":"Andrea","non-dropping-particle":"","parse-names":false,"suffix":""},{"dropping-particle":"","family":"Pancione","given":"Massimo","non-dropping-particle":"","parse-names":false,"suffix":""},{"dropping-particle":"","family":"Latiano","given":"Tiziana Pia","non-dropping-particle":"","parse-names":false,"suffix":""},{"dropping-particle":"","family":"Graziano","given":"Paolo","non-dropping-particle":"","parse-names":false,"suffix":""},{"dropping-particle":"","family":"Maiello","given":"Evaristo","non-dropping-particle":"","parse-names":false,"suffix":""},{"dropping-particle":"","family":"Giordano","given":"Guido","non-dropping-particle":"","parse-names":false,"suffix":""}],"container-title":"Gastroenterology Research and Practice","id":"ITEM-1","issued":{"date-parts":[["2018"]]},"title":"Crosstalk between the Tumor Microenvironment and Immune System in Pancreatic Ductal Adenocarcinoma: Potential Targets for New Therapeutic Approaches","type":"article-journal"},"uris":["http://www.mendeley.com/documents/?uuid=6ec84f88-66f2-4aab-951f-653ddeb077cf"]}],"mendeley":{"formattedCitation":"[22]","plainTextFormattedCitation":"[22]","previouslyFormattedCitation":"[22]"},"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[22</w:t>
      </w:r>
      <w:r w:rsidR="00441495" w:rsidRPr="00E901BF">
        <w:rPr>
          <w:rFonts w:ascii="Book Antiqua" w:hAnsi="Book Antiqua" w:cs="Times New Roman"/>
          <w:color w:val="auto"/>
          <w:shd w:val="clear" w:color="auto" w:fill="FFFFFF"/>
          <w:vertAlign w:val="superscript"/>
          <w:lang w:val="en-US"/>
        </w:rPr>
        <w:fldChar w:fldCharType="end"/>
      </w:r>
      <w:r w:rsidR="00B422F5" w:rsidRPr="00E901BF">
        <w:rPr>
          <w:rFonts w:ascii="Book Antiqua" w:hAnsi="Book Antiqua" w:cs="Times New Roman"/>
          <w:color w:val="auto"/>
          <w:shd w:val="clear" w:color="auto" w:fill="FFFFFF"/>
          <w:vertAlign w:val="superscript"/>
          <w:lang w:val="en-US"/>
        </w:rPr>
        <w:t>-</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{"citationItems":[{"id":"ITEM-1","itemData":{"DOI":"10.1186/s12943-018-0858-1","ISBN":"1294301808581","ISSN":"14764598","PMID":"30060755","abstract":"Pancreatic cancer is a deadly disease with high mortality due to difficulties in its early diagnosis and metastasis. The tumor microenvironment induced by interactions between pancreatic epithelial/cancer cells and stromal cells is critical for pancreatic cancer progression and has been implicated in the failure of chemotherapy, radiation therapy and immunotherapy. Microenvironment formation requires interactions between pancreatic cancer cells and stromal cells. Components of the pancreatic cancer microenvironment that contribute to desmoplasia and immunosuppression are associated with poor patient prognosis. These components can facilitate desmoplasia and immunosuppression in primary and metastatic sites or can promote metastasis by stimulating angiogenesis/lymphangiogenesis, epithelial-mesenchymal transition, invasion/migration, and pre-metastatic niche formation. Some molecules participate in both microenvironment formation and metastasis. In this review, we focus on the mechanisms of pancreatic cancer microenvironment formation and discuss how the pancreatic cancer microenvironment participates in metastasis, representing a potential target for combination therapy to enhance overall survival.","author":[{"dropping-particle":"","family":"Ren","given":"Bo","non-dropping-particle":"","parse-names":false,"suffix":""},{"dropping-particle":"","family":"Cui","given":"Ming","non-dropping-particle":"","parse-names":false,"suffix":""},{"dropping-particle":"","family":"Yang","given":"Gang","non-dropping-particle":"","parse-names":false,"suffix":""},{"dropping-particle":"","family":"Wang","given":"Huanyu","non-dropping-particle":"","parse-names":false,"suffix":""},{"dropping-particle":"","family":"Feng","given":"Mengyu","non-dropping-particle":"","parse-names":false,"suffix":""},{"dropping-particle":"","family":"You","given":"Lei","non-dropping-particle":"","parse-names":false,"suffix":""},{"dropping-particle":"","family":"Zhao","given":"Yupei","non-dropping-particle":"","parse-names":false,"suffix":""}],"container-title":"Molecular Cancer","id":"ITEM-1","issued":{"date-parts":[["2018"]]},"title":"Tumor microenvironment participates in metastasis of pancreatic cancer","type":"article"},"uris":["http://www.mendeley.com/documents/?uuid=36253287-5938-420c-9183-516d15e661f2"]}],"mendeley":{"formattedCitation":"[24]","plainTextFormattedCitation":"[24]","previouslyFormattedCitation":"[24]"},"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24]</w:t>
      </w:r>
      <w:r w:rsidR="00441495" w:rsidRPr="00E901BF">
        <w:rPr>
          <w:rFonts w:ascii="Book Antiqua" w:hAnsi="Book Antiqua" w:cs="Times New Roman"/>
          <w:color w:val="auto"/>
          <w:shd w:val="clear" w:color="auto" w:fill="FFFFFF"/>
          <w:vertAlign w:val="superscript"/>
          <w:lang w:val="en-US"/>
        </w:rPr>
        <w:fldChar w:fldCharType="end"/>
      </w:r>
      <w:r w:rsidR="00685660" w:rsidRPr="00E901BF">
        <w:rPr>
          <w:rFonts w:ascii="Book Antiqua" w:hAnsi="Book Antiqua" w:cs="Times New Roman"/>
          <w:color w:val="auto"/>
          <w:shd w:val="clear" w:color="auto" w:fill="FFFFFF"/>
          <w:lang w:val="en-US"/>
        </w:rPr>
        <w:t>. The tumor microenvironment</w:t>
      </w:r>
      <w:r w:rsidR="00B422F5" w:rsidRPr="00E901BF">
        <w:rPr>
          <w:rFonts w:ascii="Book Antiqua" w:hAnsi="Book Antiqua" w:cs="Times New Roman"/>
          <w:color w:val="auto"/>
          <w:shd w:val="clear" w:color="auto" w:fill="FFFFFF"/>
          <w:lang w:val="en-US"/>
        </w:rPr>
        <w:t xml:space="preserve"> (TME)</w:t>
      </w:r>
      <w:r w:rsidR="00685660" w:rsidRPr="00E901BF">
        <w:rPr>
          <w:rFonts w:ascii="Book Antiqua" w:hAnsi="Book Antiqua" w:cs="Times New Roman"/>
          <w:color w:val="auto"/>
          <w:shd w:val="clear" w:color="auto" w:fill="FFFFFF"/>
          <w:lang w:val="en-US"/>
        </w:rPr>
        <w:t xml:space="preserve"> is characterized by dense desmoplasia and extensive immunosuppression. </w:t>
      </w:r>
      <w:r w:rsidR="00F04A7C" w:rsidRPr="00E901BF">
        <w:rPr>
          <w:rFonts w:ascii="Book Antiqua" w:eastAsia="Times New Roman" w:hAnsi="Book Antiqua" w:cs="Times New Roman"/>
          <w:color w:val="auto"/>
          <w:lang w:val="en-US"/>
        </w:rPr>
        <w:t xml:space="preserve">Extensive </w:t>
      </w:r>
      <w:r w:rsidR="00685660" w:rsidRPr="00E901BF">
        <w:rPr>
          <w:rFonts w:ascii="Book Antiqua" w:hAnsi="Book Antiqua" w:cs="Times New Roman"/>
          <w:color w:val="auto"/>
          <w:shd w:val="clear" w:color="auto" w:fill="FFFFFF"/>
          <w:lang w:val="en-US"/>
        </w:rPr>
        <w:t>desmoplasia results in</w:t>
      </w:r>
      <w:r w:rsidR="00F04A7C" w:rsidRPr="00E901BF">
        <w:rPr>
          <w:rFonts w:ascii="Book Antiqua" w:eastAsia="Times New Roman" w:hAnsi="Book Antiqua" w:cs="Times New Roman"/>
          <w:color w:val="auto"/>
          <w:lang w:val="en-US"/>
        </w:rPr>
        <w:t xml:space="preserve"> decreased</w:t>
      </w:r>
      <w:r w:rsidR="00685660" w:rsidRPr="00E901BF">
        <w:rPr>
          <w:rFonts w:ascii="Book Antiqua" w:hAnsi="Book Antiqua" w:cs="Times New Roman"/>
          <w:color w:val="auto"/>
          <w:shd w:val="clear" w:color="auto" w:fill="FFFFFF"/>
          <w:lang w:val="en-US"/>
        </w:rPr>
        <w:t xml:space="preserve"> stromal vascularization, altered immune cell infiltration and </w:t>
      </w:r>
      <w:r w:rsidR="00AF0A7A" w:rsidRPr="00E901BF">
        <w:rPr>
          <w:rFonts w:ascii="Book Antiqua" w:hAnsi="Book Antiqua" w:cs="Times New Roman"/>
          <w:color w:val="auto"/>
          <w:shd w:val="clear" w:color="auto" w:fill="FFFFFF"/>
          <w:lang w:val="en-US"/>
        </w:rPr>
        <w:t>hypoxia</w:t>
      </w:r>
      <w:r w:rsidR="00685660" w:rsidRPr="00E901BF">
        <w:rPr>
          <w:rFonts w:ascii="Book Antiqua" w:hAnsi="Book Antiqua" w:cs="Times New Roman"/>
          <w:color w:val="auto"/>
          <w:shd w:val="clear" w:color="auto" w:fill="FFFFFF"/>
          <w:lang w:val="en-US"/>
        </w:rPr>
        <w:t>, inducing tumor growth and hindering drug activity</w:t>
      </w:r>
      <w:r w:rsidR="00441495" w:rsidRPr="00E901BF">
        <w:rPr>
          <w:rFonts w:ascii="Book Antiqua" w:hAnsi="Book Antiqua" w:cs="Times New Roman"/>
          <w:color w:val="auto"/>
          <w:shd w:val="clear" w:color="auto" w:fill="FFFFFF"/>
          <w:vertAlign w:val="superscript"/>
          <w:lang w:val="en-US"/>
        </w:rPr>
        <w:fldChar w:fldCharType="begin" w:fldLock="1"/>
      </w:r>
      <w:r w:rsidR="002624F0" w:rsidRPr="00E901BF">
        <w:rPr>
          <w:rFonts w:ascii="Book Antiqua" w:hAnsi="Book Antiqua" w:cs="Times New Roman"/>
          <w:color w:val="auto"/>
          <w:shd w:val="clear" w:color="auto" w:fill="FFFFFF"/>
          <w:vertAlign w:val="superscript"/>
          <w:lang w:val="en-US"/>
        </w:rPr>
        <w:instrText>ADDIN CSL_CITATION {"citationItems":[{"id":"ITEM-1","itemData":{"DOI":"10.1186/s40169-019-0221-1","ISBN":"2001-1326","ISSN":"2001-1326","PMID":"30645701","abstract":"Pancreatic cancer is one of the leading causes of cancer-related death in the United States and survival outcomes remain dismal despite significant advances in molecular diagnostics and therapeutics in clinical practice. The microenvironment of pancreatic cancer carries unique features with increased desmoplastic reaction and is infiltrated by regulatory T cells and myeloid-derived suppressor cells which negatively impact the effector immune cells. Current evidence suggests that stellate cell-induced hypovascular stroma may have direct effects on aggressive behavior of pancreatic cancer. Preclinical studies suggested improvement in drug delivery to cancer cells with stroma modifying agents. However these findings so far have not been confirmed in clinical trials. In this article, we elaborate current-state-of-the science of the pancreatic cancer microenvironment and its impact on molecular behavior of cancer cells, chemotherapy resistance and druggability of stroma elements in combination with other agents to enhance the efficacy of therapeutic approaches.","author":[{"dropping-particle":"","family":"Uzunparmak","given":"Burak","non-dropping-particle":"","parse-names":false,"suffix":""},{"dropping-particle":"","family":"Sahin","given":"Ibrahim Halil","non-dropping-particle":"","parse-names":false,"suffix":""}],"container-title":"Clinical and Translational Medicine","id":"ITEM-1","issued":{"date-parts":[["2019"]]},"title":"Pancreatic cancer microenvironment: a current dilemma","type":"article-journal"},"uris":["http://www.mendeley.com/documents/?uuid=37d3cb08-cdc2-4521-9895-999a3839c0d8"]}],"mendeley":{"formattedCitation":"[25]","plainTextFormattedCitation":"[25]","previouslyFormattedCitation":"[25]"},"properties":{"noteIndex":0},"schema":"https://github.com/citation-style-language/schema/raw/master/csl-citation.json"}</w:instrText>
      </w:r>
      <w:r w:rsidR="00441495" w:rsidRPr="00E901BF">
        <w:rPr>
          <w:rFonts w:ascii="Book Antiqua" w:hAnsi="Book Antiqua" w:cs="Times New Roman"/>
          <w:color w:val="auto"/>
          <w:shd w:val="clear" w:color="auto" w:fill="FFFFFF"/>
          <w:vertAlign w:val="superscript"/>
          <w:lang w:val="en-US"/>
        </w:rPr>
        <w:fldChar w:fldCharType="separate"/>
      </w:r>
      <w:r w:rsidR="002624F0" w:rsidRPr="00E901BF">
        <w:rPr>
          <w:rFonts w:ascii="Book Antiqua" w:hAnsi="Book Antiqua" w:cs="Times New Roman"/>
          <w:color w:val="auto"/>
          <w:shd w:val="clear" w:color="auto" w:fill="FFFFFF"/>
          <w:vertAlign w:val="superscript"/>
          <w:lang w:val="en-US"/>
        </w:rPr>
        <w:t>[25]</w:t>
      </w:r>
      <w:r w:rsidR="00441495" w:rsidRPr="00E901BF">
        <w:rPr>
          <w:rFonts w:ascii="Book Antiqua" w:hAnsi="Book Antiqua" w:cs="Times New Roman"/>
          <w:color w:val="auto"/>
          <w:shd w:val="clear" w:color="auto" w:fill="FFFFFF"/>
          <w:vertAlign w:val="superscript"/>
          <w:lang w:val="en-US"/>
        </w:rPr>
        <w:fldChar w:fldCharType="end"/>
      </w:r>
      <w:r w:rsidR="006C04C4" w:rsidRPr="00E901BF">
        <w:rPr>
          <w:rFonts w:ascii="Book Antiqua" w:hAnsi="Book Antiqua" w:cs="Times New Roman"/>
          <w:color w:val="auto"/>
          <w:shd w:val="clear" w:color="auto" w:fill="FFFFFF"/>
          <w:lang w:val="en-US"/>
        </w:rPr>
        <w:t>.</w:t>
      </w:r>
    </w:p>
    <w:p w14:paraId="342502C2" w14:textId="77777777" w:rsidR="000B067D" w:rsidRPr="00E901BF" w:rsidRDefault="000B067D" w:rsidP="00E901BF">
      <w:pPr>
        <w:autoSpaceDE w:val="0"/>
        <w:autoSpaceDN w:val="0"/>
        <w:adjustRightInd w:val="0"/>
        <w:spacing w:after="0" w:line="360" w:lineRule="auto"/>
        <w:jc w:val="both"/>
        <w:rPr>
          <w:rFonts w:ascii="Book Antiqua" w:hAnsi="Book Antiqua" w:cs="Times New Roman"/>
          <w:b/>
          <w:color w:val="231F20"/>
          <w:sz w:val="24"/>
          <w:szCs w:val="24"/>
          <w:lang w:val="en-US"/>
        </w:rPr>
      </w:pPr>
    </w:p>
    <w:p w14:paraId="0AE7904A" w14:textId="51E61113" w:rsidR="00843159" w:rsidRPr="00E901BF" w:rsidRDefault="00B422F5" w:rsidP="00E901BF">
      <w:pPr>
        <w:autoSpaceDE w:val="0"/>
        <w:autoSpaceDN w:val="0"/>
        <w:adjustRightInd w:val="0"/>
        <w:spacing w:after="0" w:line="360" w:lineRule="auto"/>
        <w:jc w:val="both"/>
        <w:rPr>
          <w:rFonts w:ascii="Book Antiqua" w:hAnsi="Book Antiqua" w:cs="Times New Roman"/>
          <w:b/>
          <w:color w:val="231F20"/>
          <w:sz w:val="24"/>
          <w:szCs w:val="24"/>
          <w:u w:val="single"/>
          <w:lang w:val="en-US"/>
        </w:rPr>
      </w:pPr>
      <w:r w:rsidRPr="00E901BF">
        <w:rPr>
          <w:rFonts w:ascii="Book Antiqua" w:hAnsi="Book Antiqua" w:cs="Times New Roman"/>
          <w:b/>
          <w:color w:val="231F20"/>
          <w:sz w:val="24"/>
          <w:szCs w:val="24"/>
          <w:u w:val="single"/>
          <w:lang w:val="en-US"/>
        </w:rPr>
        <w:t>TUMOR MICROENVIRONMENT</w:t>
      </w:r>
    </w:p>
    <w:p w14:paraId="7097291E" w14:textId="746926D7" w:rsidR="0072365D" w:rsidRPr="00E901BF" w:rsidRDefault="00F04A7C" w:rsidP="00E901BF">
      <w:pPr>
        <w:spacing w:after="0" w:line="360" w:lineRule="auto"/>
        <w:contextualSpacing/>
        <w:jc w:val="both"/>
        <w:rPr>
          <w:rFonts w:ascii="Book Antiqua" w:hAnsi="Book Antiqua" w:cs="Times New Roman"/>
          <w:color w:val="000000"/>
          <w:sz w:val="24"/>
          <w:szCs w:val="24"/>
          <w:shd w:val="clear" w:color="auto" w:fill="FFFFFF"/>
          <w:lang w:val="en-US"/>
        </w:rPr>
      </w:pPr>
      <w:r w:rsidRPr="00E901BF">
        <w:rPr>
          <w:rFonts w:ascii="Book Antiqua" w:hAnsi="Book Antiqua" w:cs="Times New Roman"/>
          <w:sz w:val="24"/>
          <w:szCs w:val="24"/>
          <w:lang w:val="en-US"/>
        </w:rPr>
        <w:t xml:space="preserve">As mentioned above, </w:t>
      </w:r>
      <w:r w:rsidRPr="00E901BF">
        <w:rPr>
          <w:rFonts w:ascii="Book Antiqua" w:eastAsia="Times New Roman" w:hAnsi="Book Antiqua" w:cs="Times New Roman"/>
          <w:sz w:val="24"/>
          <w:szCs w:val="24"/>
          <w:lang w:val="en-US"/>
        </w:rPr>
        <w:t xml:space="preserve">the </w:t>
      </w:r>
      <w:r w:rsidRPr="00E901BF">
        <w:rPr>
          <w:rFonts w:ascii="Book Antiqua" w:hAnsi="Book Antiqua" w:cs="Times New Roman"/>
          <w:sz w:val="24"/>
          <w:szCs w:val="24"/>
          <w:lang w:val="en-US"/>
        </w:rPr>
        <w:t xml:space="preserve">PDAC microenvironment is characterized by increased desmoplasia and the presence of several </w:t>
      </w:r>
      <w:r w:rsidR="00E436A7" w:rsidRPr="00E901BF">
        <w:rPr>
          <w:rFonts w:ascii="Book Antiqua" w:hAnsi="Book Antiqua" w:cs="Times New Roman"/>
          <w:sz w:val="24"/>
          <w:szCs w:val="24"/>
          <w:lang w:val="en-US"/>
        </w:rPr>
        <w:t>nonc</w:t>
      </w:r>
      <w:r w:rsidRPr="00E901BF">
        <w:rPr>
          <w:rFonts w:ascii="Book Antiqua" w:hAnsi="Book Antiqua" w:cs="Times New Roman"/>
          <w:sz w:val="24"/>
          <w:szCs w:val="24"/>
          <w:lang w:val="en-US"/>
        </w:rPr>
        <w:t>ellular components</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such as hyaluronic acid</w:t>
      </w:r>
      <w:r w:rsidR="001611E3" w:rsidRPr="00E901BF">
        <w:rPr>
          <w:rFonts w:ascii="Book Antiqua" w:hAnsi="Book Antiqua" w:cs="Times New Roman"/>
          <w:sz w:val="24"/>
          <w:szCs w:val="24"/>
          <w:lang w:val="en-US"/>
        </w:rPr>
        <w:t>,</w:t>
      </w:r>
      <w:r w:rsidRPr="00E901BF">
        <w:rPr>
          <w:rFonts w:ascii="Book Antiqua" w:hAnsi="Book Antiqua" w:cs="Times New Roman"/>
          <w:sz w:val="24"/>
          <w:szCs w:val="24"/>
          <w:lang w:val="en-US"/>
        </w:rPr>
        <w:t xml:space="preserve"> and various </w:t>
      </w:r>
      <w:r w:rsidRPr="00E901BF">
        <w:rPr>
          <w:rFonts w:ascii="Book Antiqua" w:eastAsia="Times New Roman" w:hAnsi="Book Antiqua" w:cs="Times New Roman"/>
          <w:sz w:val="24"/>
          <w:szCs w:val="24"/>
          <w:lang w:val="en-US"/>
        </w:rPr>
        <w:t>cell</w:t>
      </w:r>
      <w:r w:rsidRPr="00E901BF">
        <w:rPr>
          <w:rFonts w:ascii="Book Antiqua" w:hAnsi="Book Antiqua" w:cs="Times New Roman"/>
          <w:sz w:val="24"/>
          <w:szCs w:val="24"/>
          <w:lang w:val="en-US"/>
        </w:rPr>
        <w:t xml:space="preserve"> types</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lang w:val="en-US"/>
        </w:rPr>
        <w:t xml:space="preserve"> such as </w:t>
      </w:r>
      <w:r w:rsidRPr="00E901BF">
        <w:rPr>
          <w:rFonts w:ascii="Book Antiqua" w:hAnsi="Book Antiqua" w:cs="Times New Roman"/>
          <w:color w:val="231F20"/>
          <w:sz w:val="24"/>
          <w:szCs w:val="24"/>
          <w:lang w:val="en-US"/>
        </w:rPr>
        <w:t xml:space="preserve">cancer-associated fibroblasts (CAFs), pancreatic stellate cells (PSCs), muscle fibroblasts and immune cells. </w:t>
      </w:r>
      <w:r w:rsidRPr="00E901BF">
        <w:rPr>
          <w:rFonts w:ascii="Book Antiqua" w:hAnsi="Book Antiqua" w:cs="Times New Roman"/>
          <w:sz w:val="24"/>
          <w:szCs w:val="24"/>
          <w:shd w:val="clear" w:color="auto" w:fill="FFFFFF"/>
          <w:lang w:val="en-US"/>
        </w:rPr>
        <w:t>Cellular components account for 10</w:t>
      </w:r>
      <w:r w:rsidR="00B422F5" w:rsidRPr="00E901BF">
        <w:rPr>
          <w:rFonts w:ascii="Book Antiqua" w:hAnsi="Book Antiqua" w:cs="Times New Roman"/>
          <w:sz w:val="24"/>
          <w:szCs w:val="24"/>
          <w:shd w:val="clear" w:color="auto" w:fill="FFFFFF"/>
          <w:lang w:val="en-US"/>
        </w:rPr>
        <w:t>%</w:t>
      </w:r>
      <w:r w:rsidRPr="00E901BF">
        <w:rPr>
          <w:rFonts w:ascii="Book Antiqua" w:hAnsi="Book Antiqua" w:cs="Times New Roman"/>
          <w:sz w:val="24"/>
          <w:szCs w:val="24"/>
          <w:shd w:val="clear" w:color="auto" w:fill="FFFFFF"/>
          <w:lang w:val="en-US"/>
        </w:rPr>
        <w:t>-30%</w:t>
      </w:r>
      <w:r w:rsidRPr="00E901BF">
        <w:rPr>
          <w:rFonts w:ascii="Book Antiqua" w:eastAsia="Times New Roman" w:hAnsi="Book Antiqua" w:cs="Times New Roman"/>
          <w:sz w:val="24"/>
          <w:szCs w:val="24"/>
          <w:lang w:val="en-US"/>
        </w:rPr>
        <w:t>,</w:t>
      </w:r>
      <w:r w:rsidRPr="00E901BF">
        <w:rPr>
          <w:rFonts w:ascii="Book Antiqua" w:hAnsi="Book Antiqua" w:cs="Times New Roman"/>
          <w:sz w:val="24"/>
          <w:szCs w:val="24"/>
          <w:shd w:val="clear" w:color="auto" w:fill="FFFFFF"/>
          <w:lang w:val="en-US"/>
        </w:rPr>
        <w:t xml:space="preserve"> </w:t>
      </w:r>
      <w:r w:rsidR="00B81A9F" w:rsidRPr="00E901BF">
        <w:rPr>
          <w:rFonts w:ascii="Book Antiqua" w:hAnsi="Book Antiqua" w:cs="Times New Roman"/>
          <w:sz w:val="24"/>
          <w:szCs w:val="24"/>
          <w:shd w:val="clear" w:color="auto" w:fill="FFFFFF"/>
          <w:lang w:val="en-US"/>
        </w:rPr>
        <w:t xml:space="preserve">but </w:t>
      </w:r>
      <w:r w:rsidRPr="00E901BF">
        <w:rPr>
          <w:rFonts w:ascii="Book Antiqua" w:hAnsi="Book Antiqua" w:cs="Times New Roman"/>
          <w:sz w:val="24"/>
          <w:szCs w:val="24"/>
          <w:shd w:val="clear" w:color="auto" w:fill="FFFFFF"/>
          <w:lang w:val="en-US"/>
        </w:rPr>
        <w:t>the stroma generates most of the tumor mass</w:t>
      </w:r>
      <w:r w:rsidR="00441495" w:rsidRPr="00E901BF">
        <w:rPr>
          <w:rFonts w:ascii="Book Antiqua" w:hAnsi="Book Antiqua" w:cs="Times New Roman"/>
          <w:sz w:val="24"/>
          <w:szCs w:val="24"/>
          <w:shd w:val="clear" w:color="auto" w:fill="FFFFFF"/>
          <w:vertAlign w:val="superscript"/>
          <w:lang w:val="en-US"/>
        </w:rPr>
        <w:fldChar w:fldCharType="begin" w:fldLock="1"/>
      </w:r>
      <w:r w:rsidR="002624F0" w:rsidRPr="00E901BF">
        <w:rPr>
          <w:rFonts w:ascii="Book Antiqua" w:hAnsi="Book Antiqua" w:cs="Times New Roman"/>
          <w:sz w:val="24"/>
          <w:szCs w:val="24"/>
          <w:shd w:val="clear" w:color="auto" w:fill="FFFFFF"/>
          <w:vertAlign w:val="superscript"/>
          <w:lang w:val="en-US"/>
        </w:rPr>
        <w:instrText>ADDIN CSL_CITATION {"citationItems":[{"id":"ITEM-1","itemData":{"DOI":"10.1038/nrgastro.2012.115","ISSN":"17595045","abstract":"Pancreatic ductal adenocarcinoma (PDAC) is one of the five most lethal malignancies worldwide and survival has not improved substantially in the past 30 years. Desmoplasia (abundant fibrotic stroma) is a typical feature of PDAC in humans, and stromal activation commonly starts around precancerous lesions. It is becoming clear that this stromal tissue is not a bystander in disease progression. Cancer-stroma interactions effect tumorigenesis, angiogenesis, therapy resistance and possibly the metastatic spread of tumour cells. Therefore, targeting the tumour stroma, in combination with chemotherapy, is a promising new option for the treatment of PDAC. In this Review, we focus on four issues. First, how can stromal activity be used to detect early steps of pancreatic carcinogenesis? Second, what is the effect of perpetual pancreatic stellate cell activity on angiogenesis and tissue perfusion? Third, what are the (experimental) antifibrotic therapy options in PDAC? Fourth, what lessons can be learned from Langton's Ant (a simple mathematical model) regarding the unpredictability of genetically engineered mouse models?","author":[{"dropping-particle":"","family":"Erkan","given":"Mert","non-dropping-particle":"","parse-names":false,"suffix":""},{"dropping-particle":"","family":"Hausmann","given":"Simone","non-dropping-particle":"","parse-names":false,"suffix":""},{"dropping-particle":"","family":"Michalski","given":"Christoph W.","non-dropping-particle":"","parse-names":false,"suffix":""},{"dropping-particle":"","family":"Fingerle","given":"Alexander A.","non-dropping-particle":"","parse-names":false,"suffix":""},{"dropping-particle":"","family":"Dobritz","given":"Martin","non-dropping-particle":"","parse-names":false,"suffix":""},{"dropping-particle":"","family":"Kleeff","given":"Jãrg","non-dropping-particle":"","parse-names":false,"suffix":""},{"dropping-particle":"","family":"Friess","given":"Helmut","non-dropping-particle":"","parse-names":false,"suffix":""}],"container-title":"Nature Reviews Gastroenterology and Hepatology","id":"ITEM-1","issued":{"date-parts":[["2012"]]},"title":"The role of stroma in pancreatic cancer: Diagnostic and therapeutic implications","type":"article"},"uris":["http://www.mendeley.com/documents/?uuid=05eff4bf-97c1-4678-8c01-d827ab7045e6"]}],"mendeley":{"formattedCitation":"[26]","plainTextFormattedCitation":"[26]","previouslyFormattedCitation":"[26]"},"properties":{"noteIndex":0},"schema":"https://github.com/citation-style-language/schema/raw/master/csl-citation.json"}</w:instrText>
      </w:r>
      <w:r w:rsidR="00441495" w:rsidRPr="00E901BF">
        <w:rPr>
          <w:rFonts w:ascii="Book Antiqua" w:hAnsi="Book Antiqua" w:cs="Times New Roman"/>
          <w:sz w:val="24"/>
          <w:szCs w:val="24"/>
          <w:shd w:val="clear" w:color="auto" w:fill="FFFFFF"/>
          <w:vertAlign w:val="superscript"/>
          <w:lang w:val="en-US"/>
        </w:rPr>
        <w:fldChar w:fldCharType="separate"/>
      </w:r>
      <w:r w:rsidR="002624F0" w:rsidRPr="00E901BF">
        <w:rPr>
          <w:rFonts w:ascii="Book Antiqua" w:hAnsi="Book Antiqua" w:cs="Times New Roman"/>
          <w:sz w:val="24"/>
          <w:szCs w:val="24"/>
          <w:shd w:val="clear" w:color="auto" w:fill="FFFFFF"/>
          <w:vertAlign w:val="superscript"/>
          <w:lang w:val="en-US"/>
        </w:rPr>
        <w:t>[26]</w:t>
      </w:r>
      <w:r w:rsidR="00441495" w:rsidRPr="00E901BF">
        <w:rPr>
          <w:rFonts w:ascii="Book Antiqua" w:hAnsi="Book Antiqua" w:cs="Times New Roman"/>
          <w:sz w:val="24"/>
          <w:szCs w:val="24"/>
          <w:shd w:val="clear" w:color="auto" w:fill="FFFFFF"/>
          <w:vertAlign w:val="superscript"/>
          <w:lang w:val="en-US"/>
        </w:rPr>
        <w:fldChar w:fldCharType="end"/>
      </w:r>
      <w:r w:rsidRPr="00E901BF">
        <w:rPr>
          <w:rFonts w:ascii="Book Antiqua" w:hAnsi="Book Antiqua" w:cs="Times New Roman"/>
          <w:sz w:val="24"/>
          <w:szCs w:val="24"/>
          <w:shd w:val="clear" w:color="auto" w:fill="FFFFFF"/>
          <w:lang w:val="en-US"/>
        </w:rPr>
        <w:t>.</w:t>
      </w:r>
      <w:r w:rsidRPr="00E901BF">
        <w:rPr>
          <w:rFonts w:ascii="Book Antiqua" w:hAnsi="Book Antiqua" w:cs="Times New Roman"/>
          <w:color w:val="231F20"/>
          <w:sz w:val="24"/>
          <w:szCs w:val="24"/>
          <w:lang w:val="en-US"/>
        </w:rPr>
        <w:t xml:space="preserve"> </w:t>
      </w:r>
      <w:r w:rsidRPr="00E901BF">
        <w:rPr>
          <w:rFonts w:ascii="Book Antiqua" w:hAnsi="Book Antiqua" w:cs="Times New Roman"/>
          <w:sz w:val="24"/>
          <w:szCs w:val="24"/>
          <w:lang w:val="en-US"/>
        </w:rPr>
        <w:t xml:space="preserve">The </w:t>
      </w:r>
      <w:r w:rsidRPr="00E901BF">
        <w:rPr>
          <w:rFonts w:ascii="Book Antiqua" w:eastAsia="Times New Roman" w:hAnsi="Book Antiqua" w:cs="Times New Roman"/>
          <w:sz w:val="24"/>
          <w:szCs w:val="24"/>
          <w:lang w:val="en-US"/>
        </w:rPr>
        <w:t>PSC</w:t>
      </w:r>
      <w:r w:rsidRPr="00E901BF">
        <w:rPr>
          <w:rFonts w:ascii="Book Antiqua" w:hAnsi="Book Antiqua" w:cs="Times New Roman"/>
          <w:sz w:val="24"/>
          <w:szCs w:val="24"/>
          <w:lang w:val="en-US"/>
        </w:rPr>
        <w:t xml:space="preserve"> and </w:t>
      </w:r>
      <w:r w:rsidRPr="00E901BF">
        <w:rPr>
          <w:rFonts w:ascii="Book Antiqua" w:eastAsia="Times New Roman" w:hAnsi="Book Antiqua" w:cs="Times New Roman"/>
          <w:sz w:val="24"/>
          <w:szCs w:val="24"/>
          <w:lang w:val="en-US"/>
        </w:rPr>
        <w:t>CAF</w:t>
      </w:r>
      <w:r w:rsidRPr="00E901BF">
        <w:rPr>
          <w:rFonts w:ascii="Book Antiqua" w:hAnsi="Book Antiqua" w:cs="Times New Roman"/>
          <w:sz w:val="24"/>
          <w:szCs w:val="24"/>
          <w:lang w:val="en-US"/>
        </w:rPr>
        <w:t xml:space="preserve"> components</w:t>
      </w:r>
      <w:r w:rsidRPr="00E901BF">
        <w:rPr>
          <w:rFonts w:ascii="Book Antiqua" w:hAnsi="Book Antiqua" w:cs="Times New Roman"/>
          <w:color w:val="231F20"/>
          <w:sz w:val="24"/>
          <w:szCs w:val="24"/>
          <w:lang w:val="en-US"/>
        </w:rPr>
        <w:t xml:space="preserve"> are the dominant cells of pancreatic cancers that produce the extracellular matrix in the TME</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{"citationItems":[{"id":"ITEM-1","itemData":{"DOI":"10.1158/1541-7786.mcr-12-0307","ISSN":"1541-7786","PMID":"23024188","abstract":"Neoplastic cells recruit fibroblasts through various growth factors and cytokines. These \"cancer-associated fibroblasts\" (CAF) actively interact with neoplastic cells and form a myofibroblastic microenvironment that promotes cancer growth and survival and supports malignancy. Several products of their paracrine signaling repertoire have been recognized as tumor growth and metastasis regulators. However, tumor-promoting cell signaling is not the only reason that makes CAFs key components of the \"tumor microenvironment,\" as CAFs affect both the architecture and growth mechanics of the developing tumor. CAFs participate in the remodeling of peritumoral stroma, which is a prerequisite of neoplastic cell invasion, expansion, and metastasis. CAFs are not present peritumorally as individual cells but they act orchestrated to fully deploy a desmoplastic program, characterized by \"syncytial\" (or collective) configuration and altered cell adhesion properties. Such myofibroblastic cohorts are reminiscent of those encountered in wound-healing processes. The view of \"cancer as a wound that does not heal\" led to useful comparisons between wound healing and tumorigenesis and expanded our knowledge of the role of CAF cohorts in cancer. In this integrative model of cancer invasion and metastasis, we propose that the CAF-supported microenvironment has a dual tumor-promoting role. Not only does it provide essential signals for cancer cell dedifferentiation, proliferation, and survival but it also facilitates cancer cell local invasion and metastatic phenomena.","author":[{"dropping-particle":"","family":"Karagiannis","given":"G. S.","non-dropping-particle":"","parse-names":false,"suffix":""},{"dropping-particle":"","family":"Diamandis","given":"E. P.","non-dropping-particle":"","parse-names":false,"suffix":""},{"dropping-particle":"","family":"Kirsch","given":"R.","non-dropping-particle":"","parse-names":false,"suffix":""},{"dropping-particle":"","family":"Riddell","given":"R. H.","non-dropping-particle":"","parse-names":false,"suffix":""},{"dropping-particle":"","family":"Poutahidis","given":"T.","non-dropping-particle":"","parse-names":false,"suffix":""},{"dropping-particle":"","family":"Erdman","given":"S. E.","non-dropping-particle":"","parse-names":false,"suffix":""}],"container-title":"Molecular Cancer Research","id":"ITEM-1","issued":{"date-parts":[["2012"]]},"title":"Cancer-Associated Fibroblasts Drive the Progression of Metastasis through both Paracrine and Mechanical Pressure on Cancer Tissue","type":"article-journal"},"uris":["http://www.mendeley.com/documents/?uuid=d9ef7e84-abce-4b5d-8cd5-760ef36406da"]}],"mendeley":{"formattedCitation":"[27]","plainTextFormattedCitation":"[27]","previouslyFormattedCitation":"[27]"},"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[27]</w:t>
      </w:r>
      <w:r w:rsidR="00441495" w:rsidRPr="00E901BF">
        <w:rPr>
          <w:rFonts w:ascii="Book Antiqua" w:hAnsi="Book Antiqua" w:cs="Times New Roman"/>
          <w:color w:val="231F20"/>
          <w:sz w:val="24"/>
          <w:szCs w:val="24"/>
          <w:vertAlign w:val="superscript"/>
          <w:lang w:val="en-US"/>
        </w:rPr>
        <w:fldChar w:fldCharType="end"/>
      </w:r>
      <w:r w:rsidR="00E129DD" w:rsidRPr="00E901BF">
        <w:rPr>
          <w:rFonts w:ascii="Book Antiqua" w:hAnsi="Book Antiqua" w:cs="Times New Roman"/>
          <w:color w:val="231F20"/>
          <w:sz w:val="24"/>
          <w:szCs w:val="24"/>
          <w:lang w:val="en-US"/>
        </w:rPr>
        <w:t>.</w:t>
      </w:r>
      <w:r w:rsidRPr="00E901BF">
        <w:rPr>
          <w:rFonts w:ascii="Book Antiqua" w:hAnsi="Book Antiqua" w:cs="Times New Roman"/>
          <w:color w:val="231F20"/>
          <w:sz w:val="24"/>
          <w:szCs w:val="24"/>
          <w:lang w:val="en-US"/>
        </w:rPr>
        <w:t xml:space="preserve"> These components are responsible for the generation of a rigid barrier that results in elevated tumor pressure, diminished vascularization and attenuated drug delivery. Conventional drugs, such as gemcitabine, </w:t>
      </w:r>
      <w:r w:rsidR="004F6CA4" w:rsidRPr="00E901BF">
        <w:rPr>
          <w:rFonts w:ascii="Book Antiqua" w:hAnsi="Book Antiqua" w:cs="Times New Roman"/>
          <w:color w:val="231F20"/>
          <w:sz w:val="24"/>
          <w:szCs w:val="24"/>
          <w:lang w:val="en-US"/>
        </w:rPr>
        <w:t>can</w:t>
      </w:r>
      <w:r w:rsidRPr="00E901BF">
        <w:rPr>
          <w:rFonts w:ascii="Book Antiqua" w:hAnsi="Book Antiqua" w:cs="Times New Roman"/>
          <w:color w:val="231F20"/>
          <w:sz w:val="24"/>
          <w:szCs w:val="24"/>
          <w:lang w:val="en-US"/>
        </w:rPr>
        <w:t xml:space="preserve">not penetrate the rich and thick layer of the stoma in PDAC and </w:t>
      </w:r>
      <w:r w:rsidRPr="00E901BF">
        <w:rPr>
          <w:rFonts w:ascii="Book Antiqua" w:eastAsia="Times New Roman" w:hAnsi="Book Antiqua" w:cs="Times New Roman"/>
          <w:color w:val="231F20"/>
          <w:sz w:val="24"/>
          <w:szCs w:val="24"/>
          <w:lang w:val="en-US"/>
        </w:rPr>
        <w:t>result</w:t>
      </w:r>
      <w:r w:rsidRPr="00E901BF">
        <w:rPr>
          <w:rFonts w:ascii="Book Antiqua" w:hAnsi="Book Antiqua" w:cs="Times New Roman"/>
          <w:color w:val="231F20"/>
          <w:sz w:val="24"/>
          <w:szCs w:val="24"/>
          <w:lang w:val="en-US"/>
        </w:rPr>
        <w:t xml:space="preserve"> in drug resistance</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{"citationItems":[{"id":"ITEM-1","itemData":{"DOI":"10.1016/j.drup.2015.10.002","ISBN":"1368-7646","ISSN":"15322084","abstract":"Pancreatic ductal adenocarcinoma (PDA) ranks fourth among cancer related deaths. The disappointing 5-year survival rate of below 5% stems from drug resistance to all known therapies, as well as from disease presentation at a late stage when PDA is already metastatic. Gemcitabine has been the cornerstone of PDA treatment in all stages of the disease for the last two decades, but gemcitabine resistance develops within weeks of chemotherapy initiation. From a mechanistic perspective, gemcitabine resistance may result from alterations in drug metabolism until the point that the cytidine analog is incorporated into the DNA, or from mitigation of gemcitabine-induced apoptosis. Both of these drug resistance modalities can be either intrinsic to the cancer cell, or influenced by the cancer microenvironment. Mechanisms of intrinsic gemcitabine resistance are difficult to tackle, as many of the genes that drive the carcinogenic process itself also interfere with gemcitabine-induced apoptosis. In this regard, recent understanding of the involvement of microRNAs in gemcitabine resistance may offer new opportunities to overcome intrinsic gemcitabine resistance. The characteristically fibrotic and immune infiltrated stroma of PDA that accompanies tumor inception and expansion is a lush ground for treatments aimed at targeting tumor microenvironment-mediated drug resistance. In the last couple of years, drugs interfering with tumor microenvironment have matured to clinical trials. Although drugs inducing 'stromal depletion' have yet failed to improve survival, they have greatly increased our understanding of tumor microenvironment-mediated drug resistance. In this review we summarize the current knowledge on intrinsic and environment-mediated gemcitabine resistance, and discuss the impact of these pathways on patient screening, and on future treatments aimed to potentiate gemcitabine activity.","author":[{"dropping-particle":"","family":"Binenbaum","given":"Yoav","non-dropping-particle":"","parse-names":false,"suffix":""},{"dropping-particle":"","family":"Na'Ara","given":"Shorook","non-dropping-particle":"","parse-names":false,"suffix":""},{"dropping-particle":"","family":"Gil","given":"Ziv","non-dropping-particle":"","parse-names":false,"suffix":""}],"container-title":"Drug Resistance Updates","id":"ITEM-1","issued":{"date-parts":[["2015"]]},"title":"Gemcitabine resistance in pancreatic ductal adenocarcinoma","type":"article-journal"},"uris":["http://www.mendeley.com/documents/?uuid=86a68536-6cfc-4cac-926b-bdf1accdc4a0"]}],"mendeley":{"formattedCitation":"[28]","plainTextFormattedCitation":"[28]","previouslyFormattedCitation":"[28]"},"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[28]</w:t>
      </w:r>
      <w:r w:rsidR="00441495" w:rsidRPr="00E901BF">
        <w:rPr>
          <w:rFonts w:ascii="Book Antiqua" w:hAnsi="Book Antiqua" w:cs="Times New Roman"/>
          <w:color w:val="231F20"/>
          <w:sz w:val="24"/>
          <w:szCs w:val="24"/>
          <w:vertAlign w:val="superscript"/>
          <w:lang w:val="en-US"/>
        </w:rPr>
        <w:fldChar w:fldCharType="end"/>
      </w:r>
      <w:r w:rsidR="008C3A7F" w:rsidRPr="00E901BF">
        <w:rPr>
          <w:rFonts w:ascii="Book Antiqua" w:hAnsi="Book Antiqua" w:cs="Times New Roman"/>
          <w:color w:val="231F20"/>
          <w:sz w:val="24"/>
          <w:szCs w:val="24"/>
          <w:lang w:val="en-US"/>
        </w:rPr>
        <w:t xml:space="preserve">. Targeting stroma has demonstrated contradictory results among preclinical studies. A study by Olive </w:t>
      </w:r>
      <w:r w:rsidR="008C3A7F" w:rsidRPr="00E901BF">
        <w:rPr>
          <w:rFonts w:ascii="Book Antiqua" w:hAnsi="Book Antiqua" w:cs="Times New Roman"/>
          <w:i/>
          <w:iCs/>
          <w:color w:val="231F20"/>
          <w:sz w:val="24"/>
          <w:szCs w:val="24"/>
          <w:lang w:val="en-US"/>
        </w:rPr>
        <w:t>et al</w:t>
      </w:r>
      <w:r w:rsidR="00B422F5" w:rsidRPr="00E901BF">
        <w:rPr>
          <w:rFonts w:ascii="Book Antiqua" w:hAnsi="Book Antiqua" w:cs="Times New Roman"/>
          <w:color w:val="231F20"/>
          <w:sz w:val="24"/>
          <w:szCs w:val="24"/>
          <w:vertAlign w:val="superscript"/>
          <w:lang w:val="en-US"/>
        </w:rPr>
        <w:fldChar w:fldCharType="begin" w:fldLock="1"/>
      </w:r>
      <w:r w:rsidR="00B422F5" w:rsidRPr="00E901BF">
        <w:rPr>
          <w:rFonts w:ascii="Book Antiqua" w:hAnsi="Book Antiqua" w:cs="Times New Roman"/>
          <w:color w:val="231F20"/>
          <w:sz w:val="24"/>
          <w:szCs w:val="24"/>
          <w:vertAlign w:val="superscript"/>
          <w:lang w:val="en-US"/>
        </w:rPr>
        <w:instrText>ADDIN CSL_CITATION {"citationItems":[{"id":"ITEM-1","itemData":{"DOI":"10.1126/science.1171362","ISBN":"1095-9203 (Electronic)\\r0036-8075 (Linking)","ISSN":"00368075","PMID":"19460966","abstract":"Pancreatic ductal adenocarcinoma (PDA) is among the most lethal human cancers in part because it is insensitive to many chemotherapeutic drugs. Studying a mouse model of PDA that is refractory to the clinically used drug gemcitabine, we found that the tumors in this model were poorly perfused and poorly vascularized, properties that are shared with human PDA. We tested whether the delivery and efficacy of gemcitabine in the mice could be improved by coadministration of IPI-926, a drug that depletes tumor-associated stromal tissue by inhibition of the Hedgehog cellular signaling pathway. The combination therapy produced a transient increase in intratumoral vascular density and intratumoral concentration of gemcitabine, leading to transient stabilization of disease. Thus, inefficient drug delivery may be an important contributor to chemoresistance in pancreatic cancer.","author":[{"dropping-particle":"","family":"Olive","given":"Kenneth P.","non-dropping-particle":"","parse-names":false,"suffix":""},{"dropping-particle":"","family":"Jacobetz","given":"Michael A.","non-dropping-particle":"","parse-names":false,"suffix":""},{"dropping-particle":"","family":"Davidson","given":"Christian J.","non-dropping-particle":"","parse-names":false,"suffix":""},{"dropping-particle":"","family":"Gopinathan","given":"Aarthi","non-dropping-particle":"","parse-names":false,"suffix":""},{"dropping-particle":"","family":"McIntyre","given":"Dominick","non-dropping-particle":"","parse-names":false,"suffix":""},{"dropping-particle":"","family":"Honess","given":"Davina","non-dropping-particle":"","parse-names":false,"suffix":""},{"dropping-particle":"","family":"Madhu","given":"Basetti","non-dropping-particle":"","parse-names":false,"suffix":""},{"dropping-particle":"","family":"Goldgraben","given":"Mae A.","non-dropping-particle":"","parse-names":false,"suffix":""},{"dropping-particle":"","family":"Caldwell","given":"Meredith E.","non-dropping-particle":"","parse-names":false,"suffix":""},{"dropping-particle":"","family":"Allard","given":"David","non-dropping-particle":"","parse-names":false,"suffix":""},{"dropping-particle":"","family":"Frese","given":"Kristopher K.","non-dropping-particle":"","parse-names":false,"suffix":""},{"dropping-particle":"","family":"DeNicola","given":"Gina","non-dropping-particle":"","parse-names":false,"suffix":""},{"dropping-particle":"","family":"Feig","given":"Christine","non-dropping-particle":"","parse-names":false,"suffix":""},{"dropping-particle":"","family":"Combs","given":"Chelsea","non-dropping-particle":"","parse-names":false,"suffix":""},{"dropping-particle":"","family":"Winter","given":"Stephen P.","non-dropping-particle":"","parse-names":false,"suffix":""},{"dropping-particle":"","family":"Ireland-Zecchini","given":"Heather","non-dropping-particle":"","parse-names":false,"suffix":""},{"dropping-particle":"","family":"Reichelt","given":"Stefanie","non-dropping-particle":"","parse-names":false,"suffix":""},{"dropping-particle":"","family":"Howat","given":"William J.","non-dropping-particle":"","parse-names":false,"suffix":""},{"dropping-particle":"","family":"Chang","given":"Alex","non-dropping-particle":"","parse-names":false,"suffix":""},{"dropping-particle":"","family":"Dhara","given":"Mousumi","non-dropping-particle":"","parse-names":false,"suffix":""},{"dropping-particle":"","family":"Wang","given":"Lifu","non-dropping-particle":"","parse-names":false,"suffix":""},{"dropping-particle":"","family":"Rückert","given":"Felix","non-dropping-particle":"","parse-names":false,"suffix":""},{"dropping-particle":"","family":"Grützmann","given":"Robert","non-dropping-particle":"","parse-names":false,"suffix":""},{"dropping-particle":"","family":"Pilarsky","given":"Christian","non-dropping-particle":"","parse-names":false,"suffix":""},{"dropping-particle":"","family":"Izeradjene","given":"Kamel","non-dropping-particle":"","parse-names":false,"suffix":""},{"dropping-particle":"","family":"Hingorani","given":"Sunil R.","non-dropping-particle":"","parse-names":false,"suffix":""},{"dropping-particle":"","family":"Huang","given":"Pearl","non-dropping-particle":"","parse-names":false,"suffix":""},{"dropping-particle":"","family":"Davies","given":"Susan E.","non-dropping-particle":"","parse-names":false,"suffix":""},{"dropping-particle":"","family":"Plunkett","given":"William","non-dropping-particle":"","parse-names":false,"suffix":""},{"dropping-particle":"","family":"Egorin","given":"Merrill","non-dropping-particle":"","parse-names":false,"suffix":""},{"dropping-particle":"","family":"Hruban","given":"Ralph H.","non-dropping-particle":"","parse-names":false,"suffix":""},{"dropping-particle":"","family":"Whitebread","given":"Nigel","non-dropping-particle":"","parse-names":false,"suffix":""},{"dropping-particle":"","family":"McGovern","given":"Karen","non-dropping-particle":"","parse-names":false,"suffix":""},{"dropping-particle":"","family":"Adams","given":"Julian","non-dropping-particle":"","parse-names":false,"suffix":""},{"dropping-particle":"","family":"Iacobuzio-Donahue","given":"Christine","non-dropping-particle":"","parse-names":false,"suffix":""},{"dropping-particle":"","family":"Griffiths","given":"John","non-dropping-particle":"","parse-names":false,"suffix":""},{"dropping-particle":"","family":"Tuveson","given":"David A.","non-dropping-particle":"","parse-names":false,"suffix":""}],"container-title":"Science","id":"ITEM-1","issued":{"date-parts":[["2009"]]},"title":"Inhibition of Hedgehog signaling enhances delivery of chemotherapy in a mouse model of pancreatic cancer","type":"article-journal"},"uris":["http://www.mendeley.com/documents/?uuid=66ad0935-bb35-4ba8-9280-7007c09cf803"]}],"mendeley":{"formattedCitation":"[29]","plainTextFormattedCitation":"[29]","previouslyFormattedCitation":"[29]"},"properties":{"noteIndex":0},"schema":"https://github.com/citation-style-language/schema/raw/master/csl-citation.json"}</w:instrText>
      </w:r>
      <w:r w:rsidR="00B422F5" w:rsidRPr="00E901BF">
        <w:rPr>
          <w:rFonts w:ascii="Book Antiqua" w:hAnsi="Book Antiqua" w:cs="Times New Roman"/>
          <w:color w:val="231F20"/>
          <w:sz w:val="24"/>
          <w:szCs w:val="24"/>
          <w:vertAlign w:val="superscript"/>
          <w:lang w:val="en-US"/>
        </w:rPr>
        <w:fldChar w:fldCharType="separate"/>
      </w:r>
      <w:r w:rsidR="00B422F5" w:rsidRPr="00E901BF">
        <w:rPr>
          <w:rFonts w:ascii="Book Antiqua" w:hAnsi="Book Antiqua" w:cs="Times New Roman"/>
          <w:color w:val="231F20"/>
          <w:sz w:val="24"/>
          <w:szCs w:val="24"/>
          <w:vertAlign w:val="superscript"/>
          <w:lang w:val="en-US"/>
        </w:rPr>
        <w:t>[29]</w:t>
      </w:r>
      <w:r w:rsidR="00B422F5" w:rsidRPr="00E901BF">
        <w:rPr>
          <w:rFonts w:ascii="Book Antiqua" w:hAnsi="Book Antiqua" w:cs="Times New Roman"/>
          <w:color w:val="231F20"/>
          <w:sz w:val="24"/>
          <w:szCs w:val="24"/>
          <w:vertAlign w:val="superscript"/>
          <w:lang w:val="en-US"/>
        </w:rPr>
        <w:fldChar w:fldCharType="end"/>
      </w:r>
      <w:r w:rsidRPr="00E901BF">
        <w:rPr>
          <w:rFonts w:ascii="Book Antiqua" w:hAnsi="Book Antiqua" w:cs="Times New Roman"/>
          <w:color w:val="231F20"/>
          <w:sz w:val="24"/>
          <w:szCs w:val="24"/>
          <w:lang w:val="en-US"/>
        </w:rPr>
        <w:t xml:space="preserve"> in mouse models showed that inhibition of Sonic Hedgehog-dependent desmoplasia increased gemcitabine delivery and overall survival, while other studies exhibited </w:t>
      </w:r>
      <w:r w:rsidR="00092D1C" w:rsidRPr="00E901BF">
        <w:rPr>
          <w:rFonts w:ascii="Book Antiqua" w:hAnsi="Book Antiqua" w:cs="Times New Roman"/>
          <w:color w:val="231F20"/>
          <w:sz w:val="24"/>
          <w:szCs w:val="24"/>
          <w:lang w:val="en-US"/>
        </w:rPr>
        <w:t xml:space="preserve">results </w:t>
      </w:r>
      <w:r w:rsidRPr="00E901BF">
        <w:rPr>
          <w:rFonts w:ascii="Book Antiqua" w:hAnsi="Book Antiqua" w:cs="Times New Roman"/>
          <w:color w:val="231F20"/>
          <w:sz w:val="24"/>
          <w:szCs w:val="24"/>
          <w:lang w:val="en-US"/>
        </w:rPr>
        <w:t xml:space="preserve">contradictory </w:t>
      </w:r>
      <w:r w:rsidR="00092D1C" w:rsidRPr="00E901BF">
        <w:rPr>
          <w:rFonts w:ascii="Book Antiqua" w:hAnsi="Book Antiqua" w:cs="Times New Roman"/>
          <w:color w:val="231F20"/>
          <w:sz w:val="24"/>
          <w:szCs w:val="24"/>
          <w:lang w:val="en-US"/>
        </w:rPr>
        <w:t>to</w:t>
      </w:r>
      <w:r w:rsidR="00885C87" w:rsidRPr="00E901BF">
        <w:rPr>
          <w:rFonts w:ascii="Book Antiqua" w:hAnsi="Book Antiqua" w:cs="Times New Roman"/>
          <w:color w:val="231F20"/>
          <w:sz w:val="24"/>
          <w:szCs w:val="24"/>
          <w:lang w:val="en-US"/>
        </w:rPr>
        <w:t xml:space="preserve"> those of</w:t>
      </w:r>
      <w:r w:rsidR="00092D1C" w:rsidRPr="00E901BF">
        <w:rPr>
          <w:rFonts w:ascii="Book Antiqua" w:hAnsi="Book Antiqua" w:cs="Times New Roman"/>
          <w:color w:val="231F20"/>
          <w:sz w:val="24"/>
          <w:szCs w:val="24"/>
          <w:lang w:val="en-US"/>
        </w:rPr>
        <w:t xml:space="preserve"> </w:t>
      </w:r>
      <w:r w:rsidRPr="00E901BF">
        <w:rPr>
          <w:rFonts w:ascii="Book Antiqua" w:hAnsi="Book Antiqua" w:cs="Times New Roman"/>
          <w:color w:val="000000"/>
          <w:sz w:val="24"/>
          <w:szCs w:val="24"/>
          <w:shd w:val="clear" w:color="auto" w:fill="FFFFFF"/>
          <w:lang w:val="en-US"/>
        </w:rPr>
        <w:t>conditional Shh ablation</w:t>
      </w:r>
      <w:r w:rsidR="00B81D72" w:rsidRPr="00E901BF">
        <w:rPr>
          <w:rFonts w:ascii="Book Antiqua" w:hAnsi="Book Antiqua" w:cs="Times New Roman"/>
          <w:color w:val="000000"/>
          <w:sz w:val="24"/>
          <w:szCs w:val="24"/>
          <w:shd w:val="clear" w:color="auto" w:fill="FFFFFF"/>
          <w:lang w:val="en-US"/>
        </w:rPr>
        <w:t>;</w:t>
      </w:r>
      <w:r w:rsidRPr="00E901BF">
        <w:rPr>
          <w:rFonts w:ascii="Book Antiqua" w:hAnsi="Book Antiqua" w:cs="Times New Roman"/>
          <w:color w:val="000000"/>
          <w:sz w:val="24"/>
          <w:szCs w:val="24"/>
          <w:shd w:val="clear" w:color="auto" w:fill="FFFFFF"/>
          <w:lang w:val="en-US"/>
        </w:rPr>
        <w:t xml:space="preserve"> </w:t>
      </w:r>
      <w:r w:rsidR="00B81D72" w:rsidRPr="00E901BF">
        <w:rPr>
          <w:rFonts w:ascii="Book Antiqua" w:hAnsi="Book Antiqua" w:cs="Times New Roman"/>
          <w:color w:val="000000"/>
          <w:sz w:val="24"/>
          <w:szCs w:val="24"/>
          <w:shd w:val="clear" w:color="auto" w:fill="FFFFFF"/>
          <w:lang w:val="en-US"/>
        </w:rPr>
        <w:t>however, Shh inhibition</w:t>
      </w:r>
      <w:r w:rsidRPr="00E901BF">
        <w:rPr>
          <w:rFonts w:ascii="Book Antiqua" w:hAnsi="Book Antiqua" w:cs="Times New Roman"/>
          <w:color w:val="000000"/>
          <w:sz w:val="24"/>
          <w:szCs w:val="24"/>
          <w:shd w:val="clear" w:color="auto" w:fill="FFFFFF"/>
          <w:lang w:val="en-US"/>
        </w:rPr>
        <w:t xml:space="preserve"> </w:t>
      </w:r>
      <w:r w:rsidRPr="00E901BF">
        <w:rPr>
          <w:rFonts w:ascii="Book Antiqua" w:hAnsi="Book Antiqua" w:cs="Times New Roman"/>
          <w:color w:val="000000"/>
          <w:sz w:val="24"/>
          <w:szCs w:val="24"/>
          <w:shd w:val="clear" w:color="auto" w:fill="FFFFFF"/>
          <w:lang w:val="en-US"/>
        </w:rPr>
        <w:lastRenderedPageBreak/>
        <w:t>diminished stroma formation, induced a more aggressive phenotype and decreased survival</w:t>
      </w:r>
      <w:r w:rsidR="00441495" w:rsidRPr="00E901BF">
        <w:rPr>
          <w:rFonts w:ascii="Book Antiqua" w:hAnsi="Book Antiqua" w:cs="Times New Roman"/>
          <w:sz w:val="24"/>
          <w:szCs w:val="24"/>
          <w:shd w:val="clear" w:color="auto" w:fill="FFFFFF"/>
          <w:vertAlign w:val="superscript"/>
          <w:lang w:val="en-US"/>
        </w:rPr>
        <w:fldChar w:fldCharType="begin" w:fldLock="1"/>
      </w:r>
      <w:r w:rsidR="002624F0" w:rsidRPr="00E901BF">
        <w:rPr>
          <w:rFonts w:ascii="Book Antiqua" w:hAnsi="Book Antiqua" w:cs="Times New Roman"/>
          <w:sz w:val="24"/>
          <w:szCs w:val="24"/>
          <w:shd w:val="clear" w:color="auto" w:fill="FFFFFF"/>
          <w:vertAlign w:val="superscript"/>
          <w:lang w:val="en-US"/>
        </w:rPr>
        <w:instrText>ADDIN CSL_CITATION {"citationItems":[{"id":"ITEM-1","itemData":{"DOI":"10.1016/j.ccr.2014.04.021","ISBN":"1878-3686 (Electronic)$\\$n1535-6108 (Linking)","ISSN":"18783686","PMID":"24856585","abstract":"Sonic hedgehog (Shh), a soluble ligand overexpressed by neoplastic cells in pancreatic ductal adenocarcinoma (PDAC), drives formation of a fibroblast-rich desmoplastic stroma. To better understand its role in malignant progression, we deleted Shh in a well-defined mouse model of PDAC. As predicted, Shh-deficient tumors had reduced stromal content. Surprisingly, such tumors were more aggressive and exhibited undifferentiated histology, increased vascularity, and heightened proliferation-features that were fully recapitulated in control mice treated with a Smoothened inhibitor. Furthermore, administration of VEGFR blocking antibody selectively improved survival of Shh-deficient tumors, indicating that Hedgehog-driven stroma suppresses tumor growth in part by restraining tumor angiogenesis. Together, these data demonstrate that some components of the tumor stroma can act to restrain tumor growth. © 2014 Elsevier Inc.","author":[{"dropping-particle":"","family":"Rhim","given":"Andrew D.","non-dropping-particle":"","parse-names":false,"suffix":""},{"dropping-particle":"","family":"Oberstein","given":"Paul E.","non-dropping-particle":"","parse-names":false,"suffix":""},{"dropping-particle":"","family":"Thomas","given":"Dafydd H.","non-dropping-particle":"","parse-names":false,"suffix":""},{"dropping-particle":"","family":"Mirek","given":"Emily T.","non-dropping-particle":"","parse-names":false,"suffix":""},{"dropping-particle":"","family":"Palermo","given":"Carmine F.","non-dropping-particle":"","parse-names":false,"suffix":""},{"dropping-particle":"","family":"Sastra","given":"Stephen A.","non-dropping-particle":"","parse-names":false,"suffix":""},{"dropping-particle":"","family":"Dekleva","given":"Erin N.","non-dropping-particle":"","parse-names":false,"suffix":""},{"dropping-particle":"","family":"Saunders","given":"Tyler","non-dropping-particle":"","parse-names":false,"suffix":""},{"dropping-particle":"","family":"Becerra","given":"Claudia P.","non-dropping-particle":"","parse-names":false,"suffix":""},{"dropping-particle":"","family":"Tattersall","given":"Ian W.","non-dropping-particle":"","parse-names":false,"suffix":""},{"dropping-particle":"","family":"Westphalen","given":"C. Benedikt","non-dropping-particle":"","parse-names":false,"suffix":""},{"dropping-particle":"","family":"Kitajewski","given":"Jan","non-dropping-particle":"","parse-names":false,"suffix":""},{"dropping-particle":"","family":"Fernandez-Barrena","given":"Maite G.","non-dropping-particle":"","parse-names":false,"suffix":""},{"dropping-particle":"","family":"Fernandez-Zapico","given":"Martin E.","non-dropping-particle":"","parse-names":false,"suffix":""},{"dropping-particle":"","family":"Iacobuzio-Donahue","given":"Christine","non-dropping-particle":"","parse-names":false,"suffix":""},{"dropping-particle":"","family":"Olive","given":"Kenneth P.","non-dropping-particle":"","parse-names":false,"suffix":""},{"dropping-particle":"","family":"Stanger","given":"Ben Z.","non-dropping-particle":"","parse-names":false,"suffix":""}],"container-title":"Cancer Cell","id":"ITEM-1","issued":{"date-parts":[["2014"]]},"title":"Stromal elements act to restrain, rather than support, pancreatic ductal adenocarcinoma","type":"article-journal"},"uris":["http://www.mendeley.com/documents/?uuid=85f144a3-7568-4450-bf8e-78bf95ede436"]}],"mendeley":{"formattedCitation":"[30]","plainTextFormattedCitation":"[30]","previouslyFormattedCitation":"[30]"},"properties":{"noteIndex":0},"schema":"https://github.com/citation-style-language/schema/raw/master/csl-citation.json"}</w:instrText>
      </w:r>
      <w:r w:rsidR="00441495" w:rsidRPr="00E901BF">
        <w:rPr>
          <w:rFonts w:ascii="Book Antiqua" w:hAnsi="Book Antiqua" w:cs="Times New Roman"/>
          <w:sz w:val="24"/>
          <w:szCs w:val="24"/>
          <w:shd w:val="clear" w:color="auto" w:fill="FFFFFF"/>
          <w:vertAlign w:val="superscript"/>
          <w:lang w:val="en-US"/>
        </w:rPr>
        <w:fldChar w:fldCharType="separate"/>
      </w:r>
      <w:r w:rsidR="002624F0" w:rsidRPr="00E901BF">
        <w:rPr>
          <w:rFonts w:ascii="Book Antiqua" w:hAnsi="Book Antiqua" w:cs="Times New Roman"/>
          <w:sz w:val="24"/>
          <w:szCs w:val="24"/>
          <w:shd w:val="clear" w:color="auto" w:fill="FFFFFF"/>
          <w:vertAlign w:val="superscript"/>
          <w:lang w:val="en-US"/>
        </w:rPr>
        <w:t>[30</w:t>
      </w:r>
      <w:r w:rsidR="00441495" w:rsidRPr="00E901BF">
        <w:rPr>
          <w:rFonts w:ascii="Book Antiqua" w:hAnsi="Book Antiqua" w:cs="Times New Roman"/>
          <w:sz w:val="24"/>
          <w:szCs w:val="24"/>
          <w:shd w:val="clear" w:color="auto" w:fill="FFFFFF"/>
          <w:vertAlign w:val="superscript"/>
          <w:lang w:val="en-US"/>
        </w:rPr>
        <w:fldChar w:fldCharType="end"/>
      </w:r>
      <w:r w:rsidR="00B422F5" w:rsidRPr="00E901BF">
        <w:rPr>
          <w:rFonts w:ascii="Book Antiqua" w:hAnsi="Book Antiqua" w:cs="Times New Roman"/>
          <w:sz w:val="24"/>
          <w:szCs w:val="24"/>
          <w:shd w:val="clear" w:color="auto" w:fill="FFFFFF"/>
          <w:vertAlign w:val="superscript"/>
          <w:lang w:val="en-US"/>
        </w:rPr>
        <w:t>,</w:t>
      </w:r>
      <w:r w:rsidR="00441495" w:rsidRPr="00E901BF">
        <w:rPr>
          <w:rFonts w:ascii="Book Antiqua" w:hAnsi="Book Antiqua" w:cs="Times New Roman"/>
          <w:sz w:val="24"/>
          <w:szCs w:val="24"/>
          <w:shd w:val="clear" w:color="auto" w:fill="FFFFFF"/>
          <w:vertAlign w:val="superscript"/>
          <w:lang w:val="en-US"/>
        </w:rPr>
        <w:fldChar w:fldCharType="begin" w:fldLock="1"/>
      </w:r>
      <w:r w:rsidR="002624F0" w:rsidRPr="00E901BF">
        <w:rPr>
          <w:rFonts w:ascii="Book Antiqua" w:hAnsi="Book Antiqua" w:cs="Times New Roman"/>
          <w:sz w:val="24"/>
          <w:szCs w:val="24"/>
          <w:shd w:val="clear" w:color="auto" w:fill="FFFFFF"/>
          <w:vertAlign w:val="superscript"/>
          <w:lang w:val="en-US"/>
        </w:rPr>
        <w:instrText>ADDIN CSL_CITATION {"citationItems":[{"id":"ITEM-1","itemData":{"DOI":"10.1016/j.ccr.2014.04.005","ISBN":"1878-3686 (Electronic)\\r1535-6108 (Linking)","ISSN":"18783686","PMID":"24856586","abstract":"Pancreatic ductal adenocarcinoma (PDAC) is associated with marked fibrosis and stromal myofibroblasts, but their functional contribution remains unknown. Transgenic mice with the ability to delete αSMA+ myofibroblasts in pancreatic cancer were generated. Depletion starting at either noninvasive precursor (pancreatic intraepithelial neoplasia) or the PDAC stage led to invasive, undifferentiated tumors with enhanced hypoxia, epithelial-to-mesenchymal transition, and cancer stem cells, with diminished animal survival. In PDAC patients, fewer myofibroblasts in their tumors also correlated with reduced survival. Suppressed immune surveillance with increased CD4+Foxp3+ Tregs was observed in myofibroblast-depleted mouse tumors. Although myofibroblast-depleted tumors did not respond to gemcitabine, anti-CTLA4 immunotherapy reversed disease acceleration and prolonged animal survival. This study underscores the need for caution in targeting carcinoma-associated fibroblasts in PDAC. © 2014 Elsevier Inc.","author":[{"dropping-particle":"","family":"Özdemir","given":"Berna C.","non-dropping-particle":"","parse-names":false,"suffix":""},{"dropping-particle":"","family":"Pentcheva-Hoang","given":"Tsvetelina","non-dropping-particle":"","parse-names":false,"suffix":""},{"dropping-particle":"","family":"Carstens","given":"Julienne L.","non-dropping-particle":"","parse-names":false,"suffix":""},{"dropping-particle":"","family":"Zheng","given":"Xiaofeng","non-dropping-particle":"","parse-names":false,"suffix":""},{"dropping-particle":"","family":"Wu","given":"Chia Chin","non-dropping-particle":"","parse-names":false,"suffix":""},{"dropping-particle":"","family":"Simpson","given":"Tyler R.","non-dropping-particle":"","parse-names":false,"suffix":""},{"dropping-particle":"","family":"Laklai","given":"Hanane","non-dropping-particle":"","parse-names":false,"suffix":""},{"dropping-particle":"","family":"Sugimoto","given":"Hikaru","non-dropping-particle":"","parse-names":false,"suffix":""},{"dropping-particle":"","family":"Kahlert","given":"Christoph","non-dropping-particle":"","parse-names":false,"suffix":""},{"dropping-particle":"V.","family":"Novitskiy","given":"Sergey","non-dropping-particle":"","parse-names":false,"suffix":""},{"dropping-particle":"","family":"DeJesus-Acosta","given":"Ana","non-dropping-particle":"","parse-names":false,"suffix":""},{"dropping-particle":"","family":"Sharma","given":"Padmanee","non-dropping-particle":"","parse-names":false,"suffix":""},{"dropping-particle":"","family":"Heidari","given":"Pedram","non-dropping-particle":"","parse-names":false,"suffix":""},{"dropping-particle":"","family":"Mahmood","given":"Umar","non-dropping-particle":"","parse-names":false,"suffix":""},{"dropping-particle":"","family":"Chin","given":"Lynda","non-dropping-particle":"","parse-names":false,"suffix":""},{"dropping-particle":"","family":"Moses","given":"Harold L.","non-dropping-particle":"","parse-names":false,"suffix":""},{"dropping-particle":"","family":"Weaver","given":"Valerie M.","non-dropping-particle":"","parse-names":false,"suffix":""},{"dropping-particle":"","family":"Maitra","given":"Anirban","non-dropping-particle":"","parse-names":false,"suffix":""},{"dropping-particle":"","family":"Allison","given":"James P.","non-dropping-particle":"","parse-names":false,"suffix":""},{"dropping-particle":"","family":"LeBleu","given":"Valerie S.","non-dropping-particle":"","parse-names":false,"suffix":""},{"dropping-particle":"","family":"Kalluri","given":"Raghu","non-dropping-particle":"","parse-names":false,"suffix":""}],"container-title":"Cancer Cell","id":"ITEM-1","issued":{"date-parts":[["2014"]]},"title":"Depletion of carcinoma-associated fibroblasts and fibrosis induces immunosuppression and accelerates pancreas cancer with reduced survival","type":"article-journal"},"uris":["http://www.mendeley.com/documents/?uuid=b59743fd-8144-45c5-bca8-c51aa31cfee3"]}],"mendeley":{"formattedCitation":"[31]","plainTextFormattedCitation":"[31]","previouslyFormattedCitation":"[31]"},"properties":{"noteIndex":0},"schema":"https://github.com/citation-style-language/schema/raw/master/csl-citation.json"}</w:instrText>
      </w:r>
      <w:r w:rsidR="00441495" w:rsidRPr="00E901BF">
        <w:rPr>
          <w:rFonts w:ascii="Book Antiqua" w:hAnsi="Book Antiqua" w:cs="Times New Roman"/>
          <w:sz w:val="24"/>
          <w:szCs w:val="24"/>
          <w:shd w:val="clear" w:color="auto" w:fill="FFFFFF"/>
          <w:vertAlign w:val="superscript"/>
          <w:lang w:val="en-US"/>
        </w:rPr>
        <w:fldChar w:fldCharType="separate"/>
      </w:r>
      <w:r w:rsidR="002624F0" w:rsidRPr="00E901BF">
        <w:rPr>
          <w:rFonts w:ascii="Book Antiqua" w:hAnsi="Book Antiqua" w:cs="Times New Roman"/>
          <w:sz w:val="24"/>
          <w:szCs w:val="24"/>
          <w:shd w:val="clear" w:color="auto" w:fill="FFFFFF"/>
          <w:vertAlign w:val="superscript"/>
          <w:lang w:val="en-US"/>
        </w:rPr>
        <w:t>31]</w:t>
      </w:r>
      <w:r w:rsidR="00441495" w:rsidRPr="00E901BF">
        <w:rPr>
          <w:rFonts w:ascii="Book Antiqua" w:hAnsi="Book Antiqua" w:cs="Times New Roman"/>
          <w:sz w:val="24"/>
          <w:szCs w:val="24"/>
          <w:shd w:val="clear" w:color="auto" w:fill="FFFFFF"/>
          <w:vertAlign w:val="superscript"/>
          <w:lang w:val="en-US"/>
        </w:rPr>
        <w:fldChar w:fldCharType="end"/>
      </w:r>
      <w:r w:rsidRPr="00E901BF">
        <w:rPr>
          <w:rFonts w:ascii="Book Antiqua" w:hAnsi="Book Antiqua" w:cs="Times New Roman"/>
          <w:sz w:val="24"/>
          <w:szCs w:val="24"/>
          <w:shd w:val="clear" w:color="auto" w:fill="FFFFFF"/>
          <w:lang w:val="en-US"/>
        </w:rPr>
        <w:t xml:space="preserve">. </w:t>
      </w:r>
      <w:r w:rsidRPr="00E901BF">
        <w:rPr>
          <w:rFonts w:ascii="Book Antiqua" w:eastAsia="Times New Roman" w:hAnsi="Book Antiqua" w:cs="Times New Roman"/>
          <w:sz w:val="24"/>
          <w:szCs w:val="24"/>
          <w:lang w:val="en-US"/>
        </w:rPr>
        <w:t>Additionally</w:t>
      </w:r>
      <w:r w:rsidRPr="00E901BF">
        <w:rPr>
          <w:rFonts w:ascii="Book Antiqua" w:hAnsi="Book Antiqua" w:cs="Times New Roman"/>
          <w:sz w:val="24"/>
          <w:szCs w:val="24"/>
          <w:shd w:val="clear" w:color="auto" w:fill="FFFFFF"/>
          <w:lang w:val="en-US"/>
        </w:rPr>
        <w:t xml:space="preserve">, the limited availability of oxygen in </w:t>
      </w:r>
      <w:r w:rsidRPr="00E901BF">
        <w:rPr>
          <w:rFonts w:ascii="Book Antiqua" w:eastAsia="Times New Roman" w:hAnsi="Book Antiqua" w:cs="Times New Roman"/>
          <w:sz w:val="24"/>
          <w:szCs w:val="24"/>
          <w:lang w:val="en-US"/>
        </w:rPr>
        <w:t xml:space="preserve">the </w:t>
      </w:r>
      <w:r w:rsidRPr="00E901BF">
        <w:rPr>
          <w:rFonts w:ascii="Book Antiqua" w:hAnsi="Book Antiqua" w:cs="Times New Roman"/>
          <w:sz w:val="24"/>
          <w:szCs w:val="24"/>
          <w:shd w:val="clear" w:color="auto" w:fill="FFFFFF"/>
          <w:lang w:val="en-US"/>
        </w:rPr>
        <w:t xml:space="preserve">PDAC microenvironment and the minimal vascularization detected were identified as promising targets for therapy. However, clinical trials focused on VEGF-A inhibition combined with chemotherapy did not have the anticipated results. The dense ECM provoked elevated </w:t>
      </w:r>
      <w:proofErr w:type="spellStart"/>
      <w:r w:rsidRPr="00E901BF">
        <w:rPr>
          <w:rFonts w:ascii="Book Antiqua" w:hAnsi="Book Antiqua" w:cs="Times New Roman"/>
          <w:sz w:val="24"/>
          <w:szCs w:val="24"/>
          <w:shd w:val="clear" w:color="auto" w:fill="FFFFFF"/>
          <w:lang w:val="en-US"/>
        </w:rPr>
        <w:t>intratumoral</w:t>
      </w:r>
      <w:proofErr w:type="spellEnd"/>
      <w:r w:rsidRPr="00E901BF">
        <w:rPr>
          <w:rFonts w:ascii="Book Antiqua" w:hAnsi="Book Antiqua" w:cs="Times New Roman"/>
          <w:sz w:val="24"/>
          <w:szCs w:val="24"/>
          <w:shd w:val="clear" w:color="auto" w:fill="FFFFFF"/>
          <w:lang w:val="en-US"/>
        </w:rPr>
        <w:t xml:space="preserve"> pressure that negatively regulated vasculature and diffusion. This phenomenon was reversed with the use of hyaluronidase, but it had </w:t>
      </w:r>
      <w:r w:rsidRPr="00E901BF">
        <w:rPr>
          <w:rFonts w:ascii="Book Antiqua" w:eastAsia="Times New Roman" w:hAnsi="Book Antiqua" w:cs="Times New Roman"/>
          <w:sz w:val="24"/>
          <w:szCs w:val="24"/>
          <w:lang w:val="en-US"/>
        </w:rPr>
        <w:t xml:space="preserve">a </w:t>
      </w:r>
      <w:r w:rsidRPr="00E901BF">
        <w:rPr>
          <w:rFonts w:ascii="Book Antiqua" w:hAnsi="Book Antiqua" w:cs="Times New Roman"/>
          <w:sz w:val="24"/>
          <w:szCs w:val="24"/>
          <w:shd w:val="clear" w:color="auto" w:fill="FFFFFF"/>
          <w:lang w:val="en-US"/>
        </w:rPr>
        <w:t xml:space="preserve">limited beneficial effect because of </w:t>
      </w:r>
      <w:r w:rsidRPr="00E901BF">
        <w:rPr>
          <w:rFonts w:ascii="Book Antiqua" w:eastAsia="Times New Roman" w:hAnsi="Book Antiqua" w:cs="Times New Roman"/>
          <w:sz w:val="24"/>
          <w:szCs w:val="24"/>
          <w:lang w:val="en-US"/>
        </w:rPr>
        <w:t xml:space="preserve">the </w:t>
      </w:r>
      <w:r w:rsidRPr="00E901BF">
        <w:rPr>
          <w:rFonts w:ascii="Book Antiqua" w:hAnsi="Book Antiqua" w:cs="Times New Roman"/>
          <w:sz w:val="24"/>
          <w:szCs w:val="24"/>
          <w:shd w:val="clear" w:color="auto" w:fill="FFFFFF"/>
          <w:lang w:val="en-US"/>
        </w:rPr>
        <w:t>increased risk for thrombus</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{"citationItems":[{"id":"ITEM-1","itemData":{"DOI":"10.1016/j.ccr.2012.01.007","ISBN":"1878-3686 (Electronic)\\n1535-6108 (Linking)","ISSN":"15356108","PMID":"22439937","abstract":"Pancreatic ductal adenocarcinomas (PDAs) are characterized by a robust fibroinflammatory response. We show here that this desmoplastic reaction generates inordinately high interstitial fluid pressures (IFPs), exceeding those previously measured or theorized for solid tumors, and induces vascular collapse, while presenting substantial barriers to perfusion, diffusion, and convection of small molecule therapeutics. We identify hyaluronan, or hyaluronic acid (HA), as the primary matrix determinant of these barriers and show that systemic administration of an enzymatic agent can ablate stromal HA from autochthonous murine PDA, normalize IFP, and re-expand the microvasculature. In combination with the standard chemotherapeutic, gemcitabine, the treatment permanently remodels the tumor microenvironment and consistently achieves objective tumor responses, resulting in a near doubling of overall survival. © 2012 Elsevier Inc.","author":[{"dropping-particle":"","family":"Provenzano","given":"Paolo P.","non-dropping-particle":"","parse-names":false,"suffix":""},{"dropping-particle":"","family":"Cuevas","given":"Carlos","non-dropping-particle":"","parse-names":false,"suffix":""},{"dropping-particle":"","family":"Chang","given":"Amy E.","non-dropping-particle":"","parse-names":false,"suffix":""},{"dropping-particle":"","family":"Goel","given":"Vikas K.","non-dropping-particle":"","parse-names":false,"suffix":""},{"dropping-particle":"","family":"Hoff","given":"Daniel D.","non-dropping-particle":"Von","parse-names":false,"suffix":""},{"dropping-particle":"","family":"Hingorani","given":"Sunil R.","non-dropping-particle":"","parse-names":false,"suffix":""}],"container-title":"Cancer Cell","id":"ITEM-1","issued":{"date-parts":[["2012"]]},"title":"Enzymatic Targeting of the Stroma Ablates Physical Barriers to Treatment of Pancreatic Ductal Adenocarcinoma","type":"article-journal"},"uris":["http://www.mendeley.com/documents/?uuid=c655f5ff-d25f-40c5-b366-15a5d0817736"]}],"mendeley":{"formattedCitation":"[32]","plainTextFormattedCitation":"[32]","previouslyFormattedCitation":"[32]"},"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[32]</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w:t>
      </w:r>
      <w:r w:rsidR="00B62ADF" w:rsidRPr="00E901BF">
        <w:rPr>
          <w:rFonts w:ascii="Book Antiqua" w:hAnsi="Book Antiqua" w:cs="Times New Roman"/>
          <w:color w:val="000000"/>
          <w:sz w:val="24"/>
          <w:szCs w:val="24"/>
          <w:shd w:val="clear" w:color="auto" w:fill="FFFFFF"/>
          <w:lang w:val="en-US"/>
        </w:rPr>
        <w:t>In addition</w:t>
      </w:r>
      <w:r w:rsidRPr="00E901BF">
        <w:rPr>
          <w:rFonts w:ascii="Book Antiqua" w:hAnsi="Book Antiqua" w:cs="Times New Roman"/>
          <w:color w:val="000000"/>
          <w:sz w:val="24"/>
          <w:szCs w:val="24"/>
          <w:shd w:val="clear" w:color="auto" w:fill="FFFFFF"/>
          <w:lang w:val="en-US"/>
        </w:rPr>
        <w:t xml:space="preserve">, the extensive immune suppression observed in PDAC comes as a result of the coordinated action of </w:t>
      </w:r>
      <w:r w:rsidR="00B422F5" w:rsidRPr="00E901BF">
        <w:rPr>
          <w:rFonts w:ascii="Book Antiqua" w:hAnsi="Book Antiqua" w:cs="Times New Roman"/>
          <w:color w:val="231F20"/>
          <w:sz w:val="24"/>
          <w:szCs w:val="24"/>
          <w:lang w:val="en-US"/>
        </w:rPr>
        <w:t>regulatory T cells</w:t>
      </w:r>
      <w:r w:rsidR="00B422F5" w:rsidRPr="00E901BF">
        <w:rPr>
          <w:rFonts w:ascii="Book Antiqua" w:hAnsi="Book Antiqua" w:cs="Times New Roman"/>
          <w:color w:val="000000"/>
          <w:sz w:val="24"/>
          <w:szCs w:val="24"/>
          <w:shd w:val="clear" w:color="auto" w:fill="FFFFFF"/>
          <w:lang w:val="en-US"/>
        </w:rPr>
        <w:t xml:space="preserve"> (</w:t>
      </w:r>
      <w:proofErr w:type="spellStart"/>
      <w:r w:rsidRPr="00E901BF">
        <w:rPr>
          <w:rFonts w:ascii="Book Antiqua" w:hAnsi="Book Antiqua" w:cs="Times New Roman"/>
          <w:color w:val="000000"/>
          <w:sz w:val="24"/>
          <w:szCs w:val="24"/>
          <w:shd w:val="clear" w:color="auto" w:fill="FFFFFF"/>
          <w:lang w:val="en-US"/>
        </w:rPr>
        <w:t>Treg</w:t>
      </w:r>
      <w:proofErr w:type="spellEnd"/>
      <w:r w:rsidR="00B422F5" w:rsidRPr="00E901BF">
        <w:rPr>
          <w:rFonts w:ascii="Book Antiqua" w:hAnsi="Book Antiqua" w:cs="Times New Roman"/>
          <w:color w:val="000000"/>
          <w:sz w:val="24"/>
          <w:szCs w:val="24"/>
          <w:shd w:val="clear" w:color="auto" w:fill="FFFFFF"/>
          <w:lang w:val="en-US"/>
        </w:rPr>
        <w:t>)</w:t>
      </w:r>
      <w:r w:rsidRPr="00E901BF">
        <w:rPr>
          <w:rFonts w:ascii="Book Antiqua" w:hAnsi="Book Antiqua" w:cs="Times New Roman"/>
          <w:color w:val="000000"/>
          <w:sz w:val="24"/>
          <w:szCs w:val="24"/>
          <w:shd w:val="clear" w:color="auto" w:fill="FFFFFF"/>
          <w:lang w:val="en-US"/>
        </w:rPr>
        <w:t xml:space="preserve">, </w:t>
      </w:r>
      <w:r w:rsidR="00B422F5" w:rsidRPr="00E901BF">
        <w:rPr>
          <w:rFonts w:ascii="Book Antiqua" w:hAnsi="Book Antiqua" w:cs="Times New Roman"/>
          <w:color w:val="231F20"/>
          <w:sz w:val="24"/>
          <w:szCs w:val="24"/>
          <w:lang w:val="en-US"/>
        </w:rPr>
        <w:t>myeloid-derived suppressor cells (</w:t>
      </w:r>
      <w:r w:rsidRPr="00E901BF">
        <w:rPr>
          <w:rFonts w:ascii="Book Antiqua" w:hAnsi="Book Antiqua" w:cs="Times New Roman"/>
          <w:color w:val="000000"/>
          <w:sz w:val="24"/>
          <w:szCs w:val="24"/>
          <w:shd w:val="clear" w:color="auto" w:fill="FFFFFF"/>
          <w:lang w:val="en-US"/>
        </w:rPr>
        <w:t>MDSCs</w:t>
      </w:r>
      <w:r w:rsidR="00B422F5" w:rsidRPr="00E901BF">
        <w:rPr>
          <w:rFonts w:ascii="Book Antiqua" w:hAnsi="Book Antiqua" w:cs="Times New Roman"/>
          <w:color w:val="000000"/>
          <w:sz w:val="24"/>
          <w:szCs w:val="24"/>
          <w:shd w:val="clear" w:color="auto" w:fill="FFFFFF"/>
          <w:lang w:val="en-US"/>
        </w:rPr>
        <w:t>)</w:t>
      </w:r>
      <w:r w:rsidRPr="00E901BF">
        <w:rPr>
          <w:rFonts w:ascii="Book Antiqua" w:hAnsi="Book Antiqua" w:cs="Times New Roman"/>
          <w:color w:val="000000"/>
          <w:sz w:val="24"/>
          <w:szCs w:val="24"/>
          <w:shd w:val="clear" w:color="auto" w:fill="FFFFFF"/>
          <w:lang w:val="en-US"/>
        </w:rPr>
        <w:t xml:space="preserve"> and macrophages, which block CD8</w:t>
      </w:r>
      <w:r w:rsidRPr="00E901BF">
        <w:rPr>
          <w:rFonts w:ascii="Book Antiqua" w:hAnsi="Book Antiqua" w:cs="Times New Roman"/>
          <w:color w:val="000000"/>
          <w:sz w:val="24"/>
          <w:szCs w:val="24"/>
          <w:shd w:val="clear" w:color="auto" w:fill="FFFFFF"/>
          <w:vertAlign w:val="superscript"/>
          <w:lang w:val="en-US"/>
        </w:rPr>
        <w:t xml:space="preserve">+ </w:t>
      </w:r>
      <w:r w:rsidRPr="00E901BF">
        <w:rPr>
          <w:rFonts w:ascii="Book Antiqua" w:hAnsi="Book Antiqua" w:cs="Times New Roman"/>
          <w:color w:val="000000"/>
          <w:sz w:val="24"/>
          <w:szCs w:val="24"/>
          <w:shd w:val="clear" w:color="auto" w:fill="FFFFFF"/>
          <w:lang w:val="en-US"/>
        </w:rPr>
        <w:t>T</w:t>
      </w:r>
      <w:r w:rsidR="00431C52" w:rsidRPr="00E901BF">
        <w:rPr>
          <w:rFonts w:ascii="Book Antiqua" w:hAnsi="Book Antiqua" w:cs="Times New Roman"/>
          <w:color w:val="000000"/>
          <w:sz w:val="24"/>
          <w:szCs w:val="24"/>
          <w:shd w:val="clear" w:color="auto" w:fill="FFFFFF"/>
          <w:lang w:val="en-US"/>
        </w:rPr>
        <w:t xml:space="preserve"> </w:t>
      </w:r>
      <w:r w:rsidRPr="00E901BF">
        <w:rPr>
          <w:rFonts w:ascii="Book Antiqua" w:hAnsi="Book Antiqua" w:cs="Times New Roman"/>
          <w:color w:val="000000"/>
          <w:sz w:val="24"/>
          <w:szCs w:val="24"/>
          <w:shd w:val="clear" w:color="auto" w:fill="FFFFFF"/>
          <w:lang w:val="en-US"/>
        </w:rPr>
        <w:t>cell duties in tumor recognition and clearance.</w:t>
      </w:r>
    </w:p>
    <w:p w14:paraId="7211539D" w14:textId="50F88FBA" w:rsidR="0072365D" w:rsidRPr="00E901BF" w:rsidRDefault="00F04A7C"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E901BF">
        <w:rPr>
          <w:rFonts w:ascii="Book Antiqua" w:eastAsia="Times New Roman" w:hAnsi="Book Antiqua" w:cs="Times New Roman"/>
          <w:color w:val="231F20"/>
          <w:sz w:val="24"/>
          <w:szCs w:val="24"/>
          <w:lang w:val="en-US"/>
        </w:rPr>
        <w:t>In recent</w:t>
      </w:r>
      <w:r w:rsidR="001470C8" w:rsidRPr="00E901BF">
        <w:rPr>
          <w:rFonts w:ascii="Book Antiqua" w:hAnsi="Book Antiqua" w:cs="Times New Roman"/>
          <w:color w:val="231F20"/>
          <w:sz w:val="24"/>
          <w:szCs w:val="24"/>
          <w:lang w:val="en-US"/>
        </w:rPr>
        <w:t xml:space="preserve"> years</w:t>
      </w:r>
      <w:r w:rsidRPr="00E901BF">
        <w:rPr>
          <w:rFonts w:ascii="Book Antiqua" w:eastAsia="Times New Roman" w:hAnsi="Book Antiqua" w:cs="Times New Roman"/>
          <w:color w:val="231F20"/>
          <w:sz w:val="24"/>
          <w:szCs w:val="24"/>
          <w:lang w:val="en-US"/>
        </w:rPr>
        <w:t>,</w:t>
      </w:r>
      <w:r w:rsidR="001470C8" w:rsidRPr="00E901BF">
        <w:rPr>
          <w:rFonts w:ascii="Book Antiqua" w:hAnsi="Book Antiqua" w:cs="Times New Roman"/>
          <w:color w:val="231F20"/>
          <w:sz w:val="24"/>
          <w:szCs w:val="24"/>
          <w:lang w:val="en-US"/>
        </w:rPr>
        <w:t xml:space="preserve"> the impact of the </w:t>
      </w:r>
      <w:r w:rsidR="00B422F5" w:rsidRPr="00E901BF">
        <w:rPr>
          <w:rFonts w:ascii="Book Antiqua" w:hAnsi="Book Antiqua" w:cs="Times New Roman"/>
          <w:color w:val="231F20"/>
          <w:sz w:val="24"/>
          <w:szCs w:val="24"/>
          <w:lang w:val="en-US"/>
        </w:rPr>
        <w:t>TME</w:t>
      </w:r>
      <w:r w:rsidR="001470C8" w:rsidRPr="00E901BF">
        <w:rPr>
          <w:rFonts w:ascii="Book Antiqua" w:hAnsi="Book Antiqua" w:cs="Times New Roman"/>
          <w:color w:val="231F20"/>
          <w:sz w:val="24"/>
          <w:szCs w:val="24"/>
          <w:lang w:val="en-US"/>
        </w:rPr>
        <w:t xml:space="preserve"> on chemotherapy has become the target of many studies. Chemotherapy can induce immunogenic cell death in certain tumors, which could activate the immune system. Gemcitabine can affect </w:t>
      </w:r>
      <w:r w:rsidRPr="00E901BF">
        <w:rPr>
          <w:rFonts w:ascii="Book Antiqua" w:eastAsia="Times New Roman" w:hAnsi="Book Antiqua" w:cs="Times New Roman"/>
          <w:color w:val="231F20"/>
          <w:sz w:val="24"/>
          <w:szCs w:val="24"/>
          <w:lang w:val="en-US"/>
        </w:rPr>
        <w:t xml:space="preserve">the </w:t>
      </w:r>
      <w:r w:rsidR="00B422F5" w:rsidRPr="00E901BF">
        <w:rPr>
          <w:rFonts w:ascii="Book Antiqua" w:hAnsi="Book Antiqua" w:cs="Times New Roman"/>
          <w:color w:val="231F20"/>
          <w:sz w:val="24"/>
          <w:szCs w:val="24"/>
          <w:lang w:val="en-US"/>
        </w:rPr>
        <w:t>TME</w:t>
      </w:r>
      <w:r w:rsidR="001470C8" w:rsidRPr="00E901BF">
        <w:rPr>
          <w:rFonts w:ascii="Book Antiqua" w:hAnsi="Book Antiqua" w:cs="Times New Roman"/>
          <w:color w:val="231F20"/>
          <w:sz w:val="24"/>
          <w:szCs w:val="24"/>
          <w:lang w:val="en-US"/>
        </w:rPr>
        <w:t xml:space="preserve"> through the inhibition of</w:t>
      </w:r>
      <w:r w:rsidRPr="00E901BF">
        <w:rPr>
          <w:rFonts w:ascii="Book Antiqua" w:eastAsia="Times New Roman" w:hAnsi="Book Antiqua" w:cs="Times New Roman"/>
          <w:color w:val="231F20"/>
          <w:sz w:val="24"/>
          <w:szCs w:val="24"/>
          <w:lang w:val="en-US"/>
        </w:rPr>
        <w:t xml:space="preserve"> the</w:t>
      </w:r>
      <w:r w:rsidR="001470C8" w:rsidRPr="00E901BF">
        <w:rPr>
          <w:rFonts w:ascii="Book Antiqua" w:hAnsi="Book Antiqua" w:cs="Times New Roman"/>
          <w:color w:val="231F20"/>
          <w:sz w:val="24"/>
          <w:szCs w:val="24"/>
          <w:lang w:val="en-US"/>
        </w:rPr>
        <w:t xml:space="preserve"> expansion of MDSCs and </w:t>
      </w:r>
      <w:r w:rsidRPr="00E901BF">
        <w:rPr>
          <w:rFonts w:ascii="Book Antiqua" w:eastAsia="Times New Roman" w:hAnsi="Book Antiqua" w:cs="Times New Roman"/>
          <w:color w:val="231F20"/>
          <w:sz w:val="24"/>
          <w:szCs w:val="24"/>
          <w:lang w:val="en-US"/>
        </w:rPr>
        <w:t xml:space="preserve">the </w:t>
      </w:r>
      <w:r w:rsidR="001470C8" w:rsidRPr="00E901BF">
        <w:rPr>
          <w:rFonts w:ascii="Book Antiqua" w:hAnsi="Book Antiqua" w:cs="Times New Roman"/>
          <w:color w:val="231F20"/>
          <w:sz w:val="24"/>
          <w:szCs w:val="24"/>
          <w:lang w:val="en-US"/>
        </w:rPr>
        <w:t>induction of T2</w:t>
      </w:r>
      <w:r w:rsidR="00C37625" w:rsidRPr="00E901BF">
        <w:rPr>
          <w:rFonts w:ascii="Book Antiqua" w:hAnsi="Book Antiqua" w:cs="Times New Roman"/>
          <w:color w:val="231F20"/>
          <w:sz w:val="24"/>
          <w:szCs w:val="24"/>
          <w:lang w:val="en-US"/>
        </w:rPr>
        <w:t xml:space="preserve">H </w:t>
      </w:r>
      <w:r w:rsidR="001470C8" w:rsidRPr="00E901BF">
        <w:rPr>
          <w:rFonts w:ascii="Book Antiqua" w:hAnsi="Book Antiqua" w:cs="Times New Roman"/>
          <w:color w:val="231F20"/>
          <w:sz w:val="24"/>
          <w:szCs w:val="24"/>
          <w:lang w:val="en-US"/>
        </w:rPr>
        <w:t>cells</w:t>
      </w:r>
      <w:r w:rsidRPr="00E901BF">
        <w:rPr>
          <w:rFonts w:ascii="Book Antiqua" w:eastAsia="Times New Roman" w:hAnsi="Book Antiqua" w:cs="Times New Roman"/>
          <w:color w:val="231F20"/>
          <w:sz w:val="24"/>
          <w:szCs w:val="24"/>
          <w:lang w:val="en-US"/>
        </w:rPr>
        <w:t>,</w:t>
      </w:r>
      <w:r w:rsidR="001470C8" w:rsidRPr="00E901BF">
        <w:rPr>
          <w:rFonts w:ascii="Book Antiqua" w:hAnsi="Book Antiqua" w:cs="Times New Roman"/>
          <w:color w:val="231F20"/>
          <w:sz w:val="24"/>
          <w:szCs w:val="24"/>
          <w:lang w:val="en-US"/>
        </w:rPr>
        <w:t xml:space="preserve"> which </w:t>
      </w:r>
      <w:r w:rsidRPr="00E901BF">
        <w:rPr>
          <w:rFonts w:ascii="Book Antiqua" w:eastAsia="Times New Roman" w:hAnsi="Book Antiqua" w:cs="Times New Roman"/>
          <w:color w:val="231F20"/>
          <w:sz w:val="24"/>
          <w:szCs w:val="24"/>
          <w:lang w:val="en-US"/>
        </w:rPr>
        <w:t>leads</w:t>
      </w:r>
      <w:r w:rsidR="001470C8" w:rsidRPr="00E901BF">
        <w:rPr>
          <w:rFonts w:ascii="Book Antiqua" w:hAnsi="Book Antiqua" w:cs="Times New Roman"/>
          <w:color w:val="231F20"/>
          <w:sz w:val="24"/>
          <w:szCs w:val="24"/>
          <w:lang w:val="en-US"/>
        </w:rPr>
        <w:t xml:space="preserve"> to the polarization of M2 polarized TAMs</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{"citationItems":[{"id":"ITEM-1","itemData":{"DOI":"10.1186/s13046-016-0304-4","ISSN":"17569966","PMID":"26879926","abstract":"Background: Interactions of inflammatory cells with pancreatic cancer cells play crucial roles in pancreatic cancer, however the dynamic changes of inflammatory cell populations in pancreatic cancerogensis and after chemotherapy have not been well eclucidated. The combinational use of aspirin and atrovastatin (Lipitor) have been widely prescribled for cardio-cerebral vascular diseases mainly by regulation of inflammations, and they have been also reported to have plausible anti-tumor effects, however their potential roles in pancreatic cancerogenesis and chemotherapeutic effects have been seldom investigated. We scanned the dynamic changes of pan-inflammatory cell populations in pancreatic cancerogensis and after chemotherapy and found the potential target cell populations. Then we tested the roles of aspirin and Lipitor to regulate these inflammatory cell populations and their effects on pancreatic cancerogenesis and chemotherapeutic effects. Methods: Cancerogen, dimethylbenzanthracene (DMBA), was used to induce pancreatic cancerogenesis and subcatunous implantation of syngenic murine Panc02 pancreatic cancer cells was adopted as well. Gemcitabine was used for chemotherapy. The peripheral blood, pancreatic lesions and tumor samples were harvested and analyzed to search for the potential target cell populations. The roles of aspirin and Lipitor to regulate these cell populations and their potential effects on pancreatic cancerogenesis and chemotherapeutic efficacy were investigated both in vitro and in vivo. Results: We found progressive accumulations of myeloid-derived suppressor cells (MDSC) and M2-polarzied tumor associated macrophages(M2) in pancreatic lesions accompanied with dynamic reducations of cytotoxic T cells(CTL) and helper T cells(Th) in the progression of pancreatic cancerogenesis. After gemcitabine treatment, the MDSC significantly reduced, however M2 soared up unexpectedly. Aspirin could significantly inhibit the MDSC and M2 to prevent pancreatic cancerogenesis and improve chemotherapeutic effects of gemcitabine, however Lipitor did not significantly affect MDSC, instead it could promote M2 to attenuate the postive effects of aspirin and gemcitabine Conclusions: MDSC and M2 accumulate in progression of pancreatic cancerogenesis and gemcitabine can induce M2. Aspirin could prevent pancreatic cancerogenesis and improve efficacy of gemcitabine partially by inhibiting MDSC and M2, however when used in combination, Lipitor could weaken the e…","author":[{"dropping-particle":"","family":"Liu","given":"Qiaofei","non-dropping-particle":"","parse-names":false,"suffix":""},{"dropping-particle":"","family":"Li","given":"Yuan","non-dropping-particle":"","parse-names":false,"suffix":""},{"dropping-particle":"","family":"Niu","given":"Zheyu","non-dropping-particle":"","parse-names":false,"suffix":""},{"dropping-particle":"","family":"Zong","given":"Yi","non-dropping-particle":"","parse-names":false,"suffix":""},{"dropping-particle":"","family":"Wang","given":"Mengyi","non-dropping-particle":"","parse-names":false,"suffix":""},{"dropping-particle":"","family":"Yao","given":"Lutian","non-dropping-particle":"","parse-names":false,"suffix":""},{"dropping-particle":"","family":"Lu","given":"Zhaohui","non-dropping-particle":"","parse-names":false,"suffix":""},{"dropping-particle":"","family":"Liao","given":"Quan","non-dropping-particle":"","parse-names":false,"suffix":""},{"dropping-particle":"","family":"Zhao","given":"Yupei","non-dropping-particle":"","parse-names":false,"suffix":""}],"container-title":"Journal of Experimental and Clinical Cancer Research","id":"ITEM-1","issued":{"date-parts":[["2016"]]},"title":"Atorvastatin (Lipitor) attenuates the effects of aspirin on pancreatic cancerogenesis and the chemotherapeutic efficacy of gemcitabine on pancreatic cancer by promoting M2 polarized tumor associated macrophages","type":"article-journal"},"uris":["http://www.mendeley.com/documents/?uuid=97e316d3-5781-4144-9397-6e8a9a9a363b"]}],"mendeley":{"formattedCitation":"[33]","plainTextFormattedCitation":"[33]","previouslyFormattedCitation":"[33]"},"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[33]</w:t>
      </w:r>
      <w:r w:rsidR="00441495" w:rsidRPr="00E901BF">
        <w:rPr>
          <w:rFonts w:ascii="Book Antiqua" w:hAnsi="Book Antiqua" w:cs="Times New Roman"/>
          <w:color w:val="231F20"/>
          <w:sz w:val="24"/>
          <w:szCs w:val="24"/>
          <w:vertAlign w:val="superscript"/>
          <w:lang w:val="en-US"/>
        </w:rPr>
        <w:fldChar w:fldCharType="end"/>
      </w:r>
      <w:r w:rsidR="001470C8" w:rsidRPr="00E901BF">
        <w:rPr>
          <w:rFonts w:ascii="Book Antiqua" w:hAnsi="Book Antiqua" w:cs="Times New Roman"/>
          <w:color w:val="231F20"/>
          <w:sz w:val="24"/>
          <w:szCs w:val="24"/>
          <w:lang w:val="en-US"/>
        </w:rPr>
        <w:t>. Furthermore, other chemotherapeutic drugs</w:t>
      </w:r>
      <w:r w:rsidRPr="00E901BF">
        <w:rPr>
          <w:rFonts w:ascii="Book Antiqua" w:eastAsia="Times New Roman" w:hAnsi="Book Antiqua" w:cs="Times New Roman"/>
          <w:color w:val="231F20"/>
          <w:sz w:val="24"/>
          <w:szCs w:val="24"/>
          <w:lang w:val="en-US"/>
        </w:rPr>
        <w:t>,</w:t>
      </w:r>
      <w:r w:rsidR="001470C8" w:rsidRPr="00E901BF">
        <w:rPr>
          <w:rFonts w:ascii="Book Antiqua" w:hAnsi="Book Antiqua" w:cs="Times New Roman"/>
          <w:color w:val="231F20"/>
          <w:sz w:val="24"/>
          <w:szCs w:val="24"/>
          <w:lang w:val="en-US"/>
        </w:rPr>
        <w:t xml:space="preserve"> such as cisplatin or carboplatin</w:t>
      </w:r>
      <w:r w:rsidRPr="00E901BF">
        <w:rPr>
          <w:rFonts w:ascii="Book Antiqua" w:eastAsia="Times New Roman" w:hAnsi="Book Antiqua" w:cs="Times New Roman"/>
          <w:color w:val="231F20"/>
          <w:sz w:val="24"/>
          <w:szCs w:val="24"/>
          <w:lang w:val="en-US"/>
        </w:rPr>
        <w:t>,</w:t>
      </w:r>
      <w:r w:rsidR="001470C8" w:rsidRPr="00E901BF">
        <w:rPr>
          <w:rFonts w:ascii="Book Antiqua" w:hAnsi="Book Antiqua" w:cs="Times New Roman"/>
          <w:color w:val="231F20"/>
          <w:sz w:val="24"/>
          <w:szCs w:val="24"/>
          <w:lang w:val="en-US"/>
        </w:rPr>
        <w:t xml:space="preserve"> have been identified as inducers of IL-6 and prostaglandin E2 and IL-10-producing M2 polarized TAMs</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{"citationItems":[{"id":"ITEM-1","itemData":{"DOI":"10.1158/0008-5472.CAN-12-3542","ISSN":"00085472","PMID":"23436796","abstract":"Current therapy of gynecologic malignancies consists of platinum-containing chemotherapy. Resistance to therapy is associated with increased levels of interleukin (IL)-6 and prostaglandin E2 (PGE(2)), 2 inflammatory mediators known to skew differentiation of monocytes to tumor-promoting M2 macrophages. We investigated the impact of cisplatin and carboplatin on 10 different cervical and ovarian cancer cell lines as well as on the ability of the tumor cells to affect the differentiation and function of cocultured monocytes in vitro. Treatment with cisplatin or carboplatin increased the potency of tumor cell lines to induce IL-10-producing M2 macrophages, which displayed increased levels of activated STAT3 due to tumor-produced IL-6 as well as decreased levels of activated STAT1 and STAT6 related to the PGE(2) production of tumor cells. Blockade of canonical NF-κB signaling showed that the effect of the chemotherapy was abrogated, preventing the subsequent increased production of PGE(2) and/or IL-6 by the tumor cell lines. Treatment with the COX-inhibitor indomethacin and/or the clinical monoclonal antibody against interleukin-6 receptor (IL-6R), tocilizumab, prevented M2-differentiation. Importantly, no correlation existed between the production of PGE(2) or IL-6 by cancer cells and their resistance to chemotherapy-induced cell death, indicating that other mechanisms underlie the reported chemoresistance of tumors producing these factors. Our data suggest that a chemotherapy-mediated increase in tumor-promoting M2 macrophages may form an indirect mechanism for chemoresistance. Hence, concomitant therapy with COX inhibitors and/or IL-6R antibodies might increase the clinical effect of platinum-based chemotherapy in otherwise resistant tumors.","author":[{"dropping-particle":"","family":"Dijkgraaf","given":"Eveline M.","non-dropping-particle":"","parse-names":false,"suffix":""},{"dropping-particle":"","family":"Heusinkveld","given":"Moniek","non-dropping-particle":"","parse-names":false,"suffix":""},{"dropping-particle":"","family":"Tummers","given":"Bart","non-dropping-particle":"","parse-names":false,"suffix":""},{"dropping-particle":"","family":"Vogelpoel","given":"Lisa T C","non-dropping-particle":"","parse-names":false,"suffix":""},{"dropping-particle":"","family":"Goedemans","given":"Renske","non-dropping-particle":"","parse-names":false,"suffix":""},{"dropping-particle":"","family":"Jha","given":"Veena","non-dropping-particle":"","parse-names":false,"suffix":""},{"dropping-particle":"","family":"Nortier","given":"Johan W R","non-dropping-particle":"","parse-names":false,"suffix":""},{"dropping-particle":"","family":"Welters","given":"Marij J P","non-dropping-particle":"","parse-names":false,"suffix":""},{"dropping-particle":"","family":"Kroep","given":"Judith R.","non-dropping-particle":"","parse-names":false,"suffix":""},{"dropping-particle":"","family":"Burg","given":"Sjoerd H.","non-dropping-particle":"Van Der","parse-names":false,"suffix":""}],"container-title":"Cancer Research","id":"ITEM-1","issued":{"date-parts":[["2013"]]},"title":"Chemotherapy alters monocyte differentiation to favor generation of cancer-supporting m2 macrophages in the tumor microenvironment","type":"article-journal"},"uris":["http://www.mendeley.com/documents/?uuid=bf6fe655-2319-47e0-9037-4ac64cbfe153"]}],"mendeley":{"formattedCitation":"[34]","plainTextFormattedCitation":"[34]","previouslyFormattedCitation":"[34]"},"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[34]</w:t>
      </w:r>
      <w:r w:rsidR="00441495" w:rsidRPr="00E901BF">
        <w:rPr>
          <w:rFonts w:ascii="Book Antiqua" w:hAnsi="Book Antiqua" w:cs="Times New Roman"/>
          <w:color w:val="231F20"/>
          <w:sz w:val="24"/>
          <w:szCs w:val="24"/>
          <w:vertAlign w:val="superscript"/>
          <w:lang w:val="en-US"/>
        </w:rPr>
        <w:fldChar w:fldCharType="end"/>
      </w:r>
      <w:r w:rsidRPr="00E901BF">
        <w:rPr>
          <w:rFonts w:ascii="Book Antiqua" w:hAnsi="Book Antiqua" w:cs="Times New Roman"/>
          <w:color w:val="231F20"/>
          <w:sz w:val="24"/>
          <w:szCs w:val="24"/>
          <w:lang w:val="en-US"/>
        </w:rPr>
        <w:t>.</w:t>
      </w:r>
    </w:p>
    <w:p w14:paraId="1DC1A7A5" w14:textId="1261973A" w:rsidR="0072365D" w:rsidRPr="00E901BF" w:rsidRDefault="001470C8"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E901BF">
        <w:rPr>
          <w:rFonts w:ascii="Book Antiqua" w:hAnsi="Book Antiqua" w:cs="Times New Roman"/>
          <w:color w:val="231F20"/>
          <w:sz w:val="24"/>
          <w:szCs w:val="24"/>
          <w:lang w:val="en-US"/>
        </w:rPr>
        <w:t xml:space="preserve">A </w:t>
      </w:r>
      <w:r w:rsidR="00F04A7C" w:rsidRPr="00E901BF">
        <w:rPr>
          <w:rFonts w:ascii="Book Antiqua" w:eastAsia="Times New Roman" w:hAnsi="Book Antiqua" w:cs="Times New Roman"/>
          <w:color w:val="231F20"/>
          <w:sz w:val="24"/>
          <w:szCs w:val="24"/>
          <w:lang w:val="en-US"/>
        </w:rPr>
        <w:t>highly</w:t>
      </w:r>
      <w:r w:rsidRPr="00E901BF">
        <w:rPr>
          <w:rFonts w:ascii="Book Antiqua" w:hAnsi="Book Antiqua" w:cs="Times New Roman"/>
          <w:color w:val="231F20"/>
          <w:sz w:val="24"/>
          <w:szCs w:val="24"/>
          <w:lang w:val="en-US"/>
        </w:rPr>
        <w:t xml:space="preserve"> heterogeneous subpopulation of cells </w:t>
      </w:r>
      <w:r w:rsidR="00633453" w:rsidRPr="00E901BF">
        <w:rPr>
          <w:rFonts w:ascii="Book Antiqua" w:hAnsi="Book Antiqua" w:cs="Times New Roman"/>
          <w:color w:val="231F20"/>
          <w:sz w:val="24"/>
          <w:szCs w:val="24"/>
          <w:lang w:val="en-US"/>
        </w:rPr>
        <w:t xml:space="preserve">is a characteristic of </w:t>
      </w:r>
      <w:r w:rsidRPr="00E901BF">
        <w:rPr>
          <w:rFonts w:ascii="Book Antiqua" w:hAnsi="Book Antiqua" w:cs="Times New Roman"/>
          <w:color w:val="231F20"/>
          <w:sz w:val="24"/>
          <w:szCs w:val="24"/>
          <w:lang w:val="en-US"/>
        </w:rPr>
        <w:t>pancreatic cancer. This complex structure of cancer cells</w:t>
      </w:r>
      <w:r w:rsidR="00E1254B" w:rsidRPr="00E901BF">
        <w:rPr>
          <w:rFonts w:ascii="Book Antiqua" w:hAnsi="Book Antiqua" w:cs="Times New Roman"/>
          <w:color w:val="231F20"/>
          <w:sz w:val="24"/>
          <w:szCs w:val="24"/>
          <w:lang w:val="en-US"/>
        </w:rPr>
        <w:t xml:space="preserve"> and </w:t>
      </w:r>
      <w:r w:rsidRPr="00E901BF">
        <w:rPr>
          <w:rFonts w:ascii="Book Antiqua" w:hAnsi="Book Antiqua" w:cs="Times New Roman"/>
          <w:color w:val="231F20"/>
          <w:sz w:val="24"/>
          <w:szCs w:val="24"/>
          <w:lang w:val="en-US"/>
        </w:rPr>
        <w:t xml:space="preserve">stromal and immunosuppressive cells consequently </w:t>
      </w:r>
      <w:r w:rsidR="00F04A7C" w:rsidRPr="00E901BF">
        <w:rPr>
          <w:rFonts w:ascii="Book Antiqua" w:eastAsia="Times New Roman" w:hAnsi="Book Antiqua" w:cs="Times New Roman"/>
          <w:color w:val="231F20"/>
          <w:sz w:val="24"/>
          <w:szCs w:val="24"/>
          <w:lang w:val="en-US"/>
        </w:rPr>
        <w:t>alters</w:t>
      </w:r>
      <w:r w:rsidRPr="00E901BF">
        <w:rPr>
          <w:rFonts w:ascii="Book Antiqua" w:hAnsi="Book Antiqua" w:cs="Times New Roman"/>
          <w:color w:val="231F20"/>
          <w:sz w:val="24"/>
          <w:szCs w:val="24"/>
          <w:lang w:val="en-US"/>
        </w:rPr>
        <w:t xml:space="preserve"> the effect of immunotherapy.</w:t>
      </w:r>
      <w:r w:rsidR="00F04A7C" w:rsidRPr="00E901BF">
        <w:rPr>
          <w:rFonts w:ascii="Book Antiqua" w:eastAsia="Times New Roman" w:hAnsi="Book Antiqua" w:cs="Times New Roman"/>
          <w:color w:val="231F20"/>
          <w:sz w:val="24"/>
          <w:szCs w:val="24"/>
          <w:lang w:val="en-US"/>
        </w:rPr>
        <w:t xml:space="preserve"> </w:t>
      </w:r>
      <w:r w:rsidRPr="00E901BF">
        <w:rPr>
          <w:rFonts w:ascii="Book Antiqua" w:hAnsi="Book Antiqua" w:cs="Times New Roman"/>
          <w:color w:val="231F20"/>
          <w:sz w:val="24"/>
          <w:szCs w:val="24"/>
          <w:lang w:val="en-US"/>
        </w:rPr>
        <w:t>The predominant cell</w:t>
      </w:r>
      <w:r w:rsidR="00AB1249" w:rsidRPr="00E901BF">
        <w:rPr>
          <w:rFonts w:ascii="Book Antiqua" w:hAnsi="Book Antiqua" w:cs="Times New Roman"/>
          <w:color w:val="231F20"/>
          <w:sz w:val="24"/>
          <w:szCs w:val="24"/>
          <w:lang w:val="en-US"/>
        </w:rPr>
        <w:t xml:space="preserve"> type</w:t>
      </w:r>
      <w:r w:rsidRPr="00E901BF">
        <w:rPr>
          <w:rFonts w:ascii="Book Antiqua" w:hAnsi="Book Antiqua" w:cs="Times New Roman"/>
          <w:color w:val="231F20"/>
          <w:sz w:val="24"/>
          <w:szCs w:val="24"/>
          <w:lang w:val="en-US"/>
        </w:rPr>
        <w:t xml:space="preserve">s in </w:t>
      </w:r>
      <w:r w:rsidR="00F04A7C" w:rsidRPr="00E901BF">
        <w:rPr>
          <w:rFonts w:ascii="Book Antiqua" w:eastAsia="Times New Roman" w:hAnsi="Book Antiqua" w:cs="Times New Roman"/>
          <w:color w:val="231F20"/>
          <w:sz w:val="24"/>
          <w:szCs w:val="24"/>
          <w:lang w:val="en-US"/>
        </w:rPr>
        <w:t xml:space="preserve">the </w:t>
      </w:r>
      <w:r w:rsidRPr="00E901BF">
        <w:rPr>
          <w:rFonts w:ascii="Book Antiqua" w:hAnsi="Book Antiqua" w:cs="Times New Roman"/>
          <w:color w:val="231F20"/>
          <w:sz w:val="24"/>
          <w:szCs w:val="24"/>
          <w:lang w:val="en-US"/>
        </w:rPr>
        <w:t xml:space="preserve">PDAC </w:t>
      </w:r>
      <w:r w:rsidR="00B422F5" w:rsidRPr="00E901BF">
        <w:rPr>
          <w:rFonts w:ascii="Book Antiqua" w:hAnsi="Book Antiqua" w:cs="Times New Roman"/>
          <w:color w:val="231F20"/>
          <w:sz w:val="24"/>
          <w:szCs w:val="24"/>
          <w:lang w:val="en-US"/>
        </w:rPr>
        <w:t>TME</w:t>
      </w:r>
      <w:r w:rsidRPr="00E901BF">
        <w:rPr>
          <w:rFonts w:ascii="Book Antiqua" w:hAnsi="Book Antiqua" w:cs="Times New Roman"/>
          <w:color w:val="231F20"/>
          <w:sz w:val="24"/>
          <w:szCs w:val="24"/>
          <w:lang w:val="en-US"/>
        </w:rPr>
        <w:t xml:space="preserve"> are MDSCs, </w:t>
      </w:r>
      <w:proofErr w:type="spellStart"/>
      <w:r w:rsidRPr="00E901BF">
        <w:rPr>
          <w:rFonts w:ascii="Book Antiqua" w:hAnsi="Book Antiqua" w:cs="Times New Roman"/>
          <w:color w:val="231F20"/>
          <w:sz w:val="24"/>
          <w:szCs w:val="24"/>
          <w:lang w:val="en-US"/>
        </w:rPr>
        <w:t>Tregs</w:t>
      </w:r>
      <w:proofErr w:type="spellEnd"/>
      <w:r w:rsidRPr="00E901BF">
        <w:rPr>
          <w:rFonts w:ascii="Book Antiqua" w:hAnsi="Book Antiqua" w:cs="Times New Roman"/>
          <w:color w:val="231F20"/>
          <w:sz w:val="24"/>
          <w:szCs w:val="24"/>
          <w:lang w:val="en-US"/>
        </w:rPr>
        <w:t xml:space="preserve"> and macrophages</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{"citationItems":[{"id":"ITEM-1","itemData":{"DOI":"10.2217/imt-2017-0082","ISSN":"17507448","abstract":"Radiotherapy is a component of the standard of care for many patients with locally advanced nonmetastatic tumors and increasingly those with oligometastatic tumors. Despite encouraging advances in local control and progression-free and overall survival outcomes, continued manifestation of tumor progression or recurrence leaves room for improvement in therapeutic efficacy. Novel combinations of radiation with immunotherapy have shown promise in improving outcomes and reducing recurrences by overcoming tumor immune tolerance and evasion mechanisms via boosting the immune system's ability to recognize and eradicate tumor cells. In this review, we discuss preclinical and early clinical evidence that radiotherapy and immunotherapy can improve treatment outcomes for locally advanced and metastatic tumors, elucidate underlying molecular mechanisms and address strategies to optimize timing and sequencing of combination therapy for maximal synergy.","author":[{"dropping-particle":"","family":"Aliru","given":"Maureen L.","non-dropping-particle":"","parse-names":false,"suffix":""},{"dropping-particle":"","family":"Schoenhals","given":"Jonathan E.","non-dropping-particle":"","parse-names":false,"suffix":""},{"dropping-particle":"","family":"Venkatesulu","given":"Bhanu P.","non-dropping-particle":"","parse-names":false,"suffix":""},{"dropping-particle":"","family":"Anderson","given":"Clark C.","non-dropping-particle":"","parse-names":false,"suffix":""},{"dropping-particle":"","family":"Barsoumian","given":"Hampartsoum B.","non-dropping-particle":"","parse-names":false,"suffix":""},{"dropping-particle":"","family":"Younes","given":"Ahmed I.","non-dropping-particle":"","parse-names":false,"suffix":""},{"dropping-particle":"","family":"K Mahadevan","given":"Lakshmi S.","non-dropping-particle":"","parse-names":false,"suffix":""},{"dropping-particle":"","family":"Soeung","given":"Melinda","non-dropping-particle":"","parse-names":false,"suffix":""},{"dropping-particle":"","family":"Aziz","given":"Kathryn E.","non-dropping-particle":"","parse-names":false,"suffix":""},{"dropping-particle":"","family":"Welsh","given":"James W.","non-dropping-particle":"","parse-names":false,"suffix":""},{"dropping-particle":"","family":"Krishnan","given":"Sunil","non-dropping-particle":"","parse-names":false,"suffix":""}],"container-title":"Immunotherapy","id":"ITEM-1","issued":{"date-parts":[["2018"]]},"title":"Radiation therapy and immunotherapy: What is the optimal timing or sequencing?","type":"article"},"uris":["http://www.mendeley.com/documents/?uuid=706a211a-9e99-4cd6-b51a-b5b6d09a43cf"]}],"mendeley":{"formattedCitation":"[35]","plainTextFormattedCitation":"[35]","previouslyFormattedCitation":"[35]"},"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[35]</w:t>
      </w:r>
      <w:r w:rsidR="00441495" w:rsidRPr="00E901BF">
        <w:rPr>
          <w:rFonts w:ascii="Book Antiqua" w:hAnsi="Book Antiqua" w:cs="Times New Roman"/>
          <w:color w:val="231F20"/>
          <w:sz w:val="24"/>
          <w:szCs w:val="24"/>
          <w:vertAlign w:val="superscript"/>
          <w:lang w:val="en-US"/>
        </w:rPr>
        <w:fldChar w:fldCharType="end"/>
      </w:r>
      <w:r w:rsidR="004F1C3C" w:rsidRPr="00E901BF">
        <w:rPr>
          <w:rFonts w:ascii="Book Antiqua" w:hAnsi="Book Antiqua" w:cs="Times New Roman"/>
          <w:color w:val="231F20"/>
          <w:sz w:val="24"/>
          <w:szCs w:val="24"/>
          <w:lang w:val="en-US"/>
        </w:rPr>
        <w:t xml:space="preserve">. Furthermore, several other cell types </w:t>
      </w:r>
      <w:r w:rsidR="00F04A7C" w:rsidRPr="00E901BF">
        <w:rPr>
          <w:rFonts w:ascii="Book Antiqua" w:eastAsia="Times New Roman" w:hAnsi="Book Antiqua" w:cs="Times New Roman"/>
          <w:color w:val="231F20"/>
          <w:sz w:val="24"/>
          <w:szCs w:val="24"/>
          <w:lang w:val="en-US"/>
        </w:rPr>
        <w:t>have</w:t>
      </w:r>
      <w:r w:rsidR="004F1C3C" w:rsidRPr="00E901BF">
        <w:rPr>
          <w:rFonts w:ascii="Book Antiqua" w:hAnsi="Book Antiqua" w:cs="Times New Roman"/>
          <w:color w:val="231F20"/>
          <w:sz w:val="24"/>
          <w:szCs w:val="24"/>
          <w:lang w:val="en-US"/>
        </w:rPr>
        <w:t xml:space="preserve"> also</w:t>
      </w:r>
      <w:r w:rsidR="00F04A7C" w:rsidRPr="00E901BF">
        <w:rPr>
          <w:rFonts w:ascii="Book Antiqua" w:eastAsia="Times New Roman" w:hAnsi="Book Antiqua" w:cs="Times New Roman"/>
          <w:color w:val="231F20"/>
          <w:sz w:val="24"/>
          <w:szCs w:val="24"/>
          <w:lang w:val="en-US"/>
        </w:rPr>
        <w:t xml:space="preserve"> been</w:t>
      </w:r>
      <w:r w:rsidR="004F1C3C" w:rsidRPr="00E901BF">
        <w:rPr>
          <w:rFonts w:ascii="Book Antiqua" w:hAnsi="Book Antiqua" w:cs="Times New Roman"/>
          <w:color w:val="231F20"/>
          <w:sz w:val="24"/>
          <w:szCs w:val="24"/>
          <w:lang w:val="en-US"/>
        </w:rPr>
        <w:t xml:space="preserve"> identified in </w:t>
      </w:r>
      <w:r w:rsidR="000978CF" w:rsidRPr="00E901BF">
        <w:rPr>
          <w:rFonts w:ascii="Book Antiqua" w:hAnsi="Book Antiqua" w:cs="Times New Roman"/>
          <w:color w:val="231F20"/>
          <w:sz w:val="24"/>
          <w:szCs w:val="24"/>
          <w:lang w:val="en-US"/>
        </w:rPr>
        <w:t xml:space="preserve">the </w:t>
      </w:r>
      <w:r w:rsidR="004F1C3C" w:rsidRPr="00E901BF">
        <w:rPr>
          <w:rFonts w:ascii="Book Antiqua" w:hAnsi="Book Antiqua" w:cs="Times New Roman"/>
          <w:color w:val="231F20"/>
          <w:sz w:val="24"/>
          <w:szCs w:val="24"/>
          <w:lang w:val="en-US"/>
        </w:rPr>
        <w:t>PDAC TME</w:t>
      </w:r>
      <w:r w:rsidR="00F04A7C" w:rsidRPr="00E901BF">
        <w:rPr>
          <w:rFonts w:ascii="Book Antiqua" w:eastAsia="Times New Roman" w:hAnsi="Book Antiqua" w:cs="Times New Roman"/>
          <w:color w:val="231F20"/>
          <w:sz w:val="24"/>
          <w:szCs w:val="24"/>
          <w:lang w:val="en-US"/>
        </w:rPr>
        <w:t>,</w:t>
      </w:r>
      <w:r w:rsidR="004F1C3C" w:rsidRPr="00E901BF">
        <w:rPr>
          <w:rFonts w:ascii="Book Antiqua" w:hAnsi="Book Antiqua" w:cs="Times New Roman"/>
          <w:color w:val="231F20"/>
          <w:sz w:val="24"/>
          <w:szCs w:val="24"/>
          <w:lang w:val="en-US"/>
        </w:rPr>
        <w:t xml:space="preserve"> such as fibroblasts, ECM, </w:t>
      </w:r>
      <w:r w:rsidR="005D343B" w:rsidRPr="00E901BF">
        <w:rPr>
          <w:rFonts w:ascii="Book Antiqua" w:hAnsi="Book Antiqua" w:cs="Times New Roman"/>
          <w:color w:val="231F20"/>
          <w:sz w:val="24"/>
          <w:szCs w:val="24"/>
          <w:lang w:val="en-US"/>
        </w:rPr>
        <w:t xml:space="preserve">and </w:t>
      </w:r>
      <w:r w:rsidR="00B422F5" w:rsidRPr="00E901BF">
        <w:rPr>
          <w:rFonts w:ascii="Book Antiqua" w:hAnsi="Book Antiqua" w:cs="Times New Roman"/>
          <w:color w:val="231F20"/>
          <w:sz w:val="24"/>
          <w:szCs w:val="24"/>
          <w:lang w:val="en-US"/>
        </w:rPr>
        <w:t>PSC</w:t>
      </w:r>
      <w:r w:rsidR="004F1C3C" w:rsidRPr="00E901BF">
        <w:rPr>
          <w:rFonts w:ascii="Book Antiqua" w:hAnsi="Book Antiqua" w:cs="Times New Roman"/>
          <w:color w:val="231F20"/>
          <w:sz w:val="24"/>
          <w:szCs w:val="24"/>
          <w:lang w:val="en-US"/>
        </w:rPr>
        <w:t>s</w:t>
      </w:r>
      <w:r w:rsidR="005D343B" w:rsidRPr="00E901BF">
        <w:rPr>
          <w:rFonts w:ascii="Book Antiqua" w:hAnsi="Book Antiqua" w:cs="Times New Roman"/>
          <w:color w:val="231F20"/>
          <w:sz w:val="24"/>
          <w:szCs w:val="24"/>
          <w:lang w:val="en-US"/>
        </w:rPr>
        <w:t>; there is also</w:t>
      </w:r>
      <w:r w:rsidR="004F1C3C" w:rsidRPr="00E901BF">
        <w:rPr>
          <w:rFonts w:ascii="Book Antiqua" w:hAnsi="Book Antiqua" w:cs="Times New Roman"/>
          <w:color w:val="231F20"/>
          <w:sz w:val="24"/>
          <w:szCs w:val="24"/>
          <w:lang w:val="en-US"/>
        </w:rPr>
        <w:t xml:space="preserve"> a high ratio of </w:t>
      </w:r>
      <w:proofErr w:type="spellStart"/>
      <w:r w:rsidR="004F1C3C" w:rsidRPr="00E901BF">
        <w:rPr>
          <w:rFonts w:ascii="Book Antiqua" w:hAnsi="Book Antiqua" w:cs="Times New Roman"/>
          <w:color w:val="231F20"/>
          <w:sz w:val="24"/>
          <w:szCs w:val="24"/>
          <w:lang w:val="en-US"/>
        </w:rPr>
        <w:t>Treg</w:t>
      </w:r>
      <w:proofErr w:type="spellEnd"/>
      <w:r w:rsidR="004F1C3C" w:rsidRPr="00E901BF">
        <w:rPr>
          <w:rFonts w:ascii="Book Antiqua" w:hAnsi="Book Antiqua" w:cs="Times New Roman"/>
          <w:color w:val="231F20"/>
          <w:sz w:val="24"/>
          <w:szCs w:val="24"/>
          <w:lang w:val="en-US"/>
        </w:rPr>
        <w:t>/</w:t>
      </w:r>
      <w:proofErr w:type="spellStart"/>
      <w:r w:rsidR="004F1C3C" w:rsidRPr="00E901BF">
        <w:rPr>
          <w:rFonts w:ascii="Book Antiqua" w:hAnsi="Book Antiqua" w:cs="Times New Roman"/>
          <w:color w:val="231F20"/>
          <w:sz w:val="24"/>
          <w:szCs w:val="24"/>
          <w:lang w:val="en-US"/>
        </w:rPr>
        <w:t>Teffs</w:t>
      </w:r>
      <w:proofErr w:type="spellEnd"/>
      <w:r w:rsidR="004F1C3C" w:rsidRPr="00E901BF">
        <w:rPr>
          <w:rFonts w:ascii="Book Antiqua" w:hAnsi="Book Antiqua" w:cs="Times New Roman"/>
          <w:color w:val="231F20"/>
          <w:sz w:val="24"/>
          <w:szCs w:val="24"/>
          <w:lang w:val="en-US"/>
        </w:rPr>
        <w:t xml:space="preserve">. The accumulated population of T cells in </w:t>
      </w:r>
      <w:r w:rsidR="00F04A7C" w:rsidRPr="00E901BF">
        <w:rPr>
          <w:rFonts w:ascii="Book Antiqua" w:eastAsia="Times New Roman" w:hAnsi="Book Antiqua" w:cs="Times New Roman"/>
          <w:color w:val="231F20"/>
          <w:sz w:val="24"/>
          <w:szCs w:val="24"/>
          <w:lang w:val="en-US"/>
        </w:rPr>
        <w:t xml:space="preserve">the </w:t>
      </w:r>
      <w:r w:rsidR="00B422F5" w:rsidRPr="00E901BF">
        <w:rPr>
          <w:rFonts w:ascii="Book Antiqua" w:hAnsi="Book Antiqua" w:cs="Times New Roman"/>
          <w:color w:val="231F20"/>
          <w:sz w:val="24"/>
          <w:szCs w:val="24"/>
          <w:lang w:val="en-US"/>
        </w:rPr>
        <w:t>TME</w:t>
      </w:r>
      <w:r w:rsidR="004F1C3C" w:rsidRPr="00E901BF">
        <w:rPr>
          <w:rFonts w:ascii="Book Antiqua" w:hAnsi="Book Antiqua" w:cs="Times New Roman"/>
          <w:color w:val="231F20"/>
          <w:sz w:val="24"/>
          <w:szCs w:val="24"/>
          <w:lang w:val="en-US"/>
        </w:rPr>
        <w:t xml:space="preserve"> leads T cells to exhaustion during an immune response.</w:t>
      </w:r>
    </w:p>
    <w:p w14:paraId="2949374A" w14:textId="5EE03811" w:rsidR="0072365D" w:rsidRPr="00E901BF" w:rsidRDefault="004F1C3C"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E901BF">
        <w:rPr>
          <w:rFonts w:ascii="Book Antiqua" w:hAnsi="Book Antiqua" w:cs="Times New Roman"/>
          <w:color w:val="231F20"/>
          <w:sz w:val="24"/>
          <w:szCs w:val="24"/>
          <w:lang w:val="en-US"/>
        </w:rPr>
        <w:t xml:space="preserve">Moreover, approximately 50% of PDAC tumors are characterized by the invasion of </w:t>
      </w:r>
      <w:r w:rsidR="00F04A7C" w:rsidRPr="00E901BF">
        <w:rPr>
          <w:rFonts w:ascii="Book Antiqua" w:eastAsia="Times New Roman" w:hAnsi="Book Antiqua" w:cs="Times New Roman"/>
          <w:color w:val="231F20"/>
          <w:sz w:val="24"/>
          <w:szCs w:val="24"/>
          <w:lang w:val="en-US"/>
        </w:rPr>
        <w:t>MDSCs</w:t>
      </w:r>
      <w:r w:rsidRPr="00E901BF">
        <w:rPr>
          <w:rFonts w:ascii="Book Antiqua" w:hAnsi="Book Antiqua" w:cs="Times New Roman"/>
          <w:color w:val="231F20"/>
          <w:sz w:val="24"/>
          <w:szCs w:val="24"/>
          <w:lang w:val="en-US"/>
        </w:rPr>
        <w:t xml:space="preserve"> and the upregulation of PD-L1 through IFN-γ</w:t>
      </w:r>
      <w:r w:rsidR="00441495" w:rsidRPr="00E901BF">
        <w:rPr>
          <w:rFonts w:ascii="Book Antiqua" w:hAnsi="Book Antiqua" w:cs="Times New Roman"/>
          <w:color w:val="303030"/>
          <w:sz w:val="24"/>
          <w:szCs w:val="24"/>
          <w:shd w:val="clear" w:color="auto" w:fill="FFFFFF"/>
          <w:vertAlign w:val="superscript"/>
          <w:lang w:val="en-US"/>
        </w:rPr>
        <w:fldChar w:fldCharType="begin" w:fldLock="1"/>
      </w:r>
      <w:r w:rsidR="002624F0" w:rsidRPr="00E901BF">
        <w:rPr>
          <w:rFonts w:ascii="Book Antiqua" w:hAnsi="Book Antiqua" w:cs="Times New Roman"/>
          <w:color w:val="303030"/>
          <w:sz w:val="24"/>
          <w:szCs w:val="24"/>
          <w:shd w:val="clear" w:color="auto" w:fill="FFFFFF"/>
          <w:vertAlign w:val="superscript"/>
          <w:lang w:val="en-US"/>
        </w:rPr>
        <w:instrText>ADDIN CSL_CITATION {"citationItems":[{"id":"ITEM-1","itemData":{"DOI":"10.1080/2162402X.2014.998519","ISSN":"2162402X","abstract":"Pancreatic ductal adenocarcinoma (PDAC) represents one of the deadliest cancers in the world. PDAC cells activate tumor-specific immune responses but simultaneously trigger a strong immunosuppression. We showed that PDAC cells produce high amount of chronic inflammatory mediators and PDAC tumors build an immunosuppressive cytokine milieu, which correlates with tumor progression. We observed a low frequency of dendritic cells (DC) and a pronounced accumulation of macrophages and myeloid-derived suppressor cells (MDSC) in murine PDAC tumors. A strong accumulation of MDSC has also been demonstrated in the peripheral blood of resected PDAC patients. While DC and macrophages seem not to play a significant role in this PDAC model in the context of immunosuppression, MDSC are highly suppressive, and their accumulation is associated with an increase in intratumoral VEGF concentration during the PDAC progression. Application of the phosphodiesterase-5 inhibitor sildenafil led to a prolonged survival of PDAC-bearing female mice, which was due to the decrease in MDSC frequencies and in the systemic VEGF level. This led to a restoration of anticancer immune responses, manifested in the recovery of T lymphocyte functions and in an increase in the frequency of conventional CD4+ T cells in tumors and IFNγ level in serum of PDAC-bearing mice. Thus, MDSC are strongly involved in the PDAC-associated immunosuppression and that their depletion could create new approaches for therapy of PDAC.","author":[{"dropping-particle":"","family":"Karakhanova","given":"Svetlana","non-dropping-particle":"","parse-names":false,"suffix":""},{"dropping-particle":"","family":"Link","given":"Julia","non-dropping-particle":"","parse-names":false,"suffix":""},{"dropping-particle":"","family":"Heinrich","given":"Moritz","non-dropping-particle":"","parse-names":false,"suffix":""},{"dropping-particle":"","family":"Shevchenko","given":"Ivan","non-dropping-particle":"","parse-names":false,"suffix":""},{"dropping-particle":"","family":"Yang","given":"Yuhui","non-dropping-particle":"","parse-names":false,"suffix":""},{"dropping-particle":"","family":"Hassenpflug","given":"Matthias","non-dropping-particle":"","parse-names":false,"suffix":""},{"dropping-particle":"","family":"Bunge","given":"Henriette","non-dropping-particle":"","parse-names":false,"suffix":""},{"dropping-particle":"","family":"Ahn","given":"Katharina","non-dropping-particle":"Von","parse-names":false,"suffix":""},{"dropping-particle":"","family":"Brecht","given":"Ramona","non-dropping-particle":"","parse-names":false,"suffix":""},{"dropping-particle":"","family":"Mathes","given":"Andreas","non-dropping-particle":"","parse-names":false,"suffix":""},{"dropping-particle":"","family":"Maier","given":"Caroline","non-dropping-particle":"","parse-names":false,"suffix":""},{"dropping-particle":"","family":"Umansky","given":"Viktor","non-dropping-particle":"","parse-names":false,"suffix":""},{"dropping-particle":"","family":"Werner","given":"Jens","non-dropping-particle":"","parse-names":false,"suffix":""},{"dropping-particle":"V.","family":"Bazhin","given":"Alexandr","non-dropping-particle":"","parse-names":false,"suffix":""}],"container-title":"OncoImmunology","id":"ITEM-1","issued":{"date-parts":[["2015"]]},"title":"Characterization of myeloid leukocytes and soluble mediators in pancreatic cancer: Importance of myeloid-derived suppressor cells","type":"article-journal"},"uris":["http://www.mendeley.com/documents/?uuid=3d52943d-1872-423b-8ad1-2bc01971261f"]}],"mendeley":{"formattedCitation":"[36]","plainTextFormattedCitation":"[36]","previouslyFormattedCitation":"[36]"},"properties":{"noteIndex":0},"schema":"https://github.com/citation-style-language/schema/raw/master/csl-citation.json"}</w:instrText>
      </w:r>
      <w:r w:rsidR="00441495" w:rsidRPr="00E901BF">
        <w:rPr>
          <w:rFonts w:ascii="Book Antiqua" w:hAnsi="Book Antiqua" w:cs="Times New Roman"/>
          <w:color w:val="303030"/>
          <w:sz w:val="24"/>
          <w:szCs w:val="24"/>
          <w:shd w:val="clear" w:color="auto" w:fill="FFFFFF"/>
          <w:vertAlign w:val="superscript"/>
          <w:lang w:val="en-US"/>
        </w:rPr>
        <w:fldChar w:fldCharType="separate"/>
      </w:r>
      <w:r w:rsidR="002624F0" w:rsidRPr="00E901BF">
        <w:rPr>
          <w:rFonts w:ascii="Book Antiqua" w:hAnsi="Book Antiqua" w:cs="Times New Roman"/>
          <w:color w:val="303030"/>
          <w:sz w:val="24"/>
          <w:szCs w:val="24"/>
          <w:shd w:val="clear" w:color="auto" w:fill="FFFFFF"/>
          <w:vertAlign w:val="superscript"/>
          <w:lang w:val="en-US"/>
        </w:rPr>
        <w:t>[36]</w:t>
      </w:r>
      <w:r w:rsidR="00441495" w:rsidRPr="00E901BF">
        <w:rPr>
          <w:rFonts w:ascii="Book Antiqua" w:hAnsi="Book Antiqua" w:cs="Times New Roman"/>
          <w:color w:val="303030"/>
          <w:sz w:val="24"/>
          <w:szCs w:val="24"/>
          <w:shd w:val="clear" w:color="auto" w:fill="FFFFFF"/>
          <w:vertAlign w:val="superscript"/>
          <w:lang w:val="en-US"/>
        </w:rPr>
        <w:fldChar w:fldCharType="end"/>
      </w:r>
      <w:r w:rsidR="0057134A" w:rsidRPr="00E901BF">
        <w:rPr>
          <w:rFonts w:ascii="Book Antiqua" w:hAnsi="Book Antiqua" w:cs="Times New Roman"/>
          <w:color w:val="231F20"/>
          <w:sz w:val="24"/>
          <w:szCs w:val="24"/>
          <w:lang w:val="en-US"/>
        </w:rPr>
        <w:t>. Thus, PDAC tumors establish an immunosuppressive environment</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{"citationItems":[{"id":"ITEM-1","itemData":{"DOI":"10.3390/cancers10120469","ISSN":"2072-6694","PMID":"30486519","abstract":"Pancreatic cancer (PC) has the highest mortality rate amongst all other cancers in both men and women, with a one-year relative survival rate of 20%, and a five-year relative survival rate of 8% for all stages of PC combined. The Whipple procedure, or pancreaticoduodenectomy, can increase survival for patients with resectable PC, however, less than 20% of patients are candidates for surgery at time of presentation. Most of the patients are diagnosed with advanced PC, often with regional and distant metastasis. In these advanced cases, chemotherapy and radiation have shown limited tumor control, and PC continues to be refractory to treatment and results in a poor survival outcome. In recent years, there has been intensive research on checkpoint inhibitor immunotherapy for PC, however, PC is characterized with dense stromal tissue and a tumor microenvironment (TME) that is highly immunosuppressive, which makes immunotherapy less effective. Interestingly, when immunotherapy is combined with radiation therapy (RT) and loco-regional hyperthermia (HT), it has demonstrated enhanced tumor responses. HT improves tumor killing via a variety of mechanisms, targeting both the tumor and the TME. Targeted HT raises the temperature of the tumor and surrounding tissues to 42</w:instrText>
      </w:r>
      <w:r w:rsidR="002624F0" w:rsidRPr="00E901BF">
        <w:rPr>
          <w:rFonts w:ascii="MS Mincho" w:eastAsia="MS Mincho" w:hAnsi="MS Mincho" w:cs="MS Mincho" w:hint="eastAsia"/>
          <w:color w:val="231F20"/>
          <w:sz w:val="24"/>
          <w:szCs w:val="24"/>
          <w:vertAlign w:val="superscript"/>
          <w:lang w:val="en-US"/>
        </w:rPr>
        <w:instrText>⁻</w:instrText>
      </w:r>
      <w:r w:rsidR="002624F0" w:rsidRPr="00E901BF">
        <w:rPr>
          <w:rFonts w:ascii="Book Antiqua" w:hAnsi="Book Antiqua" w:cs="Times New Roman"/>
          <w:color w:val="231F20"/>
          <w:sz w:val="24"/>
          <w:szCs w:val="24"/>
          <w:vertAlign w:val="superscript"/>
          <w:lang w:val="en-US"/>
        </w:rPr>
        <w:instrText xml:space="preserve">43 </w:instrText>
      </w:r>
      <w:r w:rsidR="002624F0" w:rsidRPr="00E901BF">
        <w:rPr>
          <w:rFonts w:ascii="Book Antiqua" w:hAnsi="Book Antiqua" w:cs="Book Antiqua"/>
          <w:color w:val="231F20"/>
          <w:sz w:val="24"/>
          <w:szCs w:val="24"/>
          <w:vertAlign w:val="superscript"/>
          <w:lang w:val="en-US"/>
        </w:rPr>
        <w:instrText>°</w:instrText>
      </w:r>
      <w:r w:rsidR="002624F0" w:rsidRPr="00E901BF">
        <w:rPr>
          <w:rFonts w:ascii="Book Antiqua" w:hAnsi="Book Antiqua" w:cs="Times New Roman"/>
          <w:color w:val="231F20"/>
          <w:sz w:val="24"/>
          <w:szCs w:val="24"/>
          <w:vertAlign w:val="superscript"/>
          <w:lang w:val="en-US"/>
        </w:rPr>
        <w:instrText>C and makes the tumor more immunoresponsive. HT can also modulate the immune system of the TME by inducing and synthesizing heat shock proteins (HSP), which also activate an anti-tumor response. It is well known that HT can enhance RT-induced DNA damage in cancer cells and simultaneously help to oxygenate hypoxic regions. Thus, it is envisaged that combined HT and RT might have immunomodulatory effects in the PC-TME, making PC more responsive to immunotherapies. Moreover, the combined tripartite approach of immunotherapy, RT, and HT could reduce the overall toxicity associated with each individual therapy, while concomitantly enhancing the immunotherapeutic effect of overall individual therapies to treat local and metastatic PC. Thus, the use of a tripartite combinatorial approach could be promising and more efficacious than monotherapy or dual therapy to treat and increase the survival of the PC patients.","author":[{"dropping-particle":"","family":"Mahmood","given":"Javed","non-dropping-particle":"","parse-names":false,"suffix":""},{"dropping-particle":"","family":"Shukla","given":"Hem D","non-dropping-particle":"","parse-names":false,"suffix":""},{"dropping-particle":"","family":"Soman","given":"Sandrine","non-dropping-particle":"","parse-names":false,"suffix":""},{"dropping-particle":"","family":"Samanta","given":"Santanu","non-dropping-particle":"","parse-names":false,"suffix":""},{"dropping-particle":"","family":"Singh","given":"Prerna","non-dropping-particle":"","parse-names":false,"suffix":""},{"dropping-particle":"","family":"Kamlapurkar","given":"Shriya","non-dropping-particle":"","parse-names":false,"suffix":""},{"dropping-particle":"","family":"Saeed","given":"Ali","non-dropping-particle":"","parse-names":false,"suffix":""},{"dropping-particle":"","family":"Amin","given":"Neha P","non-dropping-particle":"","parse-names":false,"suffix":""},{"dropping-particle":"","family":"Vujaskovic","given":"Zeljko","non-dropping-particle":"","parse-names":false,"suffix":""}],"container-title":"Cancers","id":"ITEM-1","issued":{"date-parts":[["2018"]]},"title":"Immunotherapy, Radiotherapy, and Hyperthermia: A Combined Therapeutic Approach in Pancreatic Cancer Treatment.","type":"article-journal"},"uris":["http://www.mendeley.com/documents/?uuid=666df86a-9be8-41dc-a0a5-73bcdd25f0cd"]}],"mendeley":{"formattedCitation":"[37]","plainTextFormattedCitation":"[37]","previouslyFormattedCitation":"[37]"},"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[37</w:t>
      </w:r>
      <w:r w:rsidR="00441495" w:rsidRPr="00E901BF">
        <w:rPr>
          <w:rFonts w:ascii="Book Antiqua" w:hAnsi="Book Antiqua" w:cs="Times New Roman"/>
          <w:color w:val="231F20"/>
          <w:sz w:val="24"/>
          <w:szCs w:val="24"/>
          <w:vertAlign w:val="superscript"/>
          <w:lang w:val="en-US"/>
        </w:rPr>
        <w:fldChar w:fldCharType="end"/>
      </w:r>
      <w:r w:rsidR="00B422F5" w:rsidRPr="00E901BF">
        <w:rPr>
          <w:rFonts w:ascii="Book Antiqua" w:hAnsi="Book Antiqua" w:cs="Times New Roman"/>
          <w:color w:val="231F20"/>
          <w:sz w:val="24"/>
          <w:szCs w:val="24"/>
          <w:vertAlign w:val="superscript"/>
          <w:lang w:val="en-US"/>
        </w:rPr>
        <w:t>,</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{"citationItems":[{"id":"ITEM-1","itemData":{"DOI":"10.1177/1758835918816281","ISSN":"17588359","abstract":"Despite decades of research, pancreatic ductal adenocarcinoma (PDAC) continues to have the worst 5-year survival of any malignancy. With 338,000 new cases diagnosed and over 300,000 deaths per year globally there is an urgent unmet need to improve the therapeutic options available. Novel immunotherapies have shown promising results across multiple solid tumours, in a number of cases surpassing chemotherapy as a first-line therapeutic option. However, to date, trials of single-agent immunotherapies in PDAC have been disappointing and PDAC has been labelled as a nonimmunogenic cancer. This lack of response may in part be attributed to PDAC's unique tumour microenvironment (TME), consisting of a dense fibrotic stroma and a scarcity of tumour infiltrating lymphocytes. However, as our understanding of the PDAC TME evolves, it is becoming apparent that the problem is not simply the immune system failing to recognize the cancer. There is a highly complex interplay between stromal signals, the immune system and tumour cells, at times possibly restraining tumour growth and at others supporting growth and metastasis. Understanding this complexity will enable the development of rational combinations with immunotherapy, priming the TME to offer immunotherapy the best chance of success. This review seeks to describe the unique challenges of the PDAC TME, the potential opportunities it may afford and the trials in progress capitalizing on recent insights in this area.","author":[{"dropping-particle":"","family":"Young","given":"Kate","non-dropping-particle":"","parse-names":false,"suffix":""},{"dropping-particle":"","family":"Hughes","given":"Daniel J.","non-dropping-particle":"","parse-names":false,"suffix":""},{"dropping-particle":"","family":"Cunningham","given":"David","non-dropping-particle":"","parse-names":false,"suffix":""},{"dropping-particle":"","family":"Starling","given":"Naureen","non-dropping-particle":"","parse-names":false,"suffix":""}],"container-title":"Therapeutic Advances in Medical Oncology","id":"ITEM-1","issued":{"date-parts":[["2018"]]},"title":"Immunotherapy and pancreatic cancer: unique challenges and potential opportunities","type":"article"},"uris":["http://www.mendeley.com/documents/?uuid=f8b579c8-7ed7-44b4-883b-007df61d2d61"]}],"mendeley":{"formattedCitation":"[38]","plainTextFormattedCitation":"[38]","previouslyFormattedCitation":"[38]"},"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38]</w:t>
      </w:r>
      <w:r w:rsidR="00441495" w:rsidRPr="00E901BF">
        <w:rPr>
          <w:rFonts w:ascii="Book Antiqua" w:hAnsi="Book Antiqua" w:cs="Times New Roman"/>
          <w:color w:val="231F20"/>
          <w:sz w:val="24"/>
          <w:szCs w:val="24"/>
          <w:vertAlign w:val="superscript"/>
          <w:lang w:val="en-US"/>
        </w:rPr>
        <w:fldChar w:fldCharType="end"/>
      </w:r>
      <w:r w:rsidR="001470C8" w:rsidRPr="00E901BF">
        <w:rPr>
          <w:rFonts w:ascii="Book Antiqua" w:hAnsi="Book Antiqua" w:cs="Times New Roman"/>
          <w:color w:val="231F20"/>
          <w:sz w:val="24"/>
          <w:szCs w:val="24"/>
          <w:lang w:val="en-US"/>
        </w:rPr>
        <w:t xml:space="preserve">. In more </w:t>
      </w:r>
      <w:r w:rsidR="001470C8" w:rsidRPr="00E901BF">
        <w:rPr>
          <w:rFonts w:ascii="Book Antiqua" w:hAnsi="Book Antiqua" w:cs="Times New Roman"/>
          <w:color w:val="231F20"/>
          <w:sz w:val="24"/>
          <w:szCs w:val="24"/>
          <w:lang w:val="en-US"/>
        </w:rPr>
        <w:lastRenderedPageBreak/>
        <w:t xml:space="preserve">advanced tumors, several studies have identified that </w:t>
      </w:r>
      <w:proofErr w:type="spellStart"/>
      <w:r w:rsidR="001470C8" w:rsidRPr="00E901BF">
        <w:rPr>
          <w:rFonts w:ascii="Book Antiqua" w:hAnsi="Book Antiqua" w:cs="Times New Roman"/>
          <w:color w:val="231F20"/>
          <w:sz w:val="24"/>
          <w:szCs w:val="24"/>
          <w:lang w:val="en-US"/>
        </w:rPr>
        <w:t>Tregs</w:t>
      </w:r>
      <w:proofErr w:type="spellEnd"/>
      <w:r w:rsidR="001470C8" w:rsidRPr="00E901BF">
        <w:rPr>
          <w:rFonts w:ascii="Book Antiqua" w:hAnsi="Book Antiqua" w:cs="Times New Roman"/>
          <w:color w:val="231F20"/>
          <w:sz w:val="24"/>
          <w:szCs w:val="24"/>
          <w:lang w:val="en-US"/>
        </w:rPr>
        <w:t xml:space="preserve"> and </w:t>
      </w:r>
      <w:proofErr w:type="spellStart"/>
      <w:r w:rsidR="001470C8" w:rsidRPr="00E901BF">
        <w:rPr>
          <w:rFonts w:ascii="Book Antiqua" w:hAnsi="Book Antiqua" w:cs="Times New Roman"/>
          <w:color w:val="231F20"/>
          <w:sz w:val="24"/>
          <w:szCs w:val="24"/>
          <w:lang w:val="en-US"/>
        </w:rPr>
        <w:t>Teffs</w:t>
      </w:r>
      <w:proofErr w:type="spellEnd"/>
      <w:r w:rsidR="001470C8" w:rsidRPr="00E901BF">
        <w:rPr>
          <w:rFonts w:ascii="Book Antiqua" w:hAnsi="Book Antiqua" w:cs="Times New Roman"/>
          <w:color w:val="231F20"/>
          <w:sz w:val="24"/>
          <w:szCs w:val="24"/>
          <w:lang w:val="en-US"/>
        </w:rPr>
        <w:t xml:space="preserve"> inhibit the normal function of T cells and enhance the immunosuppressive environment of </w:t>
      </w:r>
      <w:r w:rsidR="003B6ED4" w:rsidRPr="00E901BF">
        <w:rPr>
          <w:rFonts w:ascii="Book Antiqua" w:hAnsi="Book Antiqua" w:cs="Times New Roman"/>
          <w:color w:val="231F20"/>
          <w:sz w:val="24"/>
          <w:szCs w:val="24"/>
          <w:lang w:val="en-US"/>
        </w:rPr>
        <w:t xml:space="preserve">the </w:t>
      </w:r>
      <w:r w:rsidR="001470C8" w:rsidRPr="00E901BF">
        <w:rPr>
          <w:rFonts w:ascii="Book Antiqua" w:hAnsi="Book Antiqua" w:cs="Times New Roman"/>
          <w:color w:val="231F20"/>
          <w:sz w:val="24"/>
          <w:szCs w:val="24"/>
          <w:lang w:val="en-US"/>
        </w:rPr>
        <w:t>TME</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{"citationItems":[{"id":"ITEM-1","itemData":{"DOI":"10.1158/1078-0432.CCR-13-0525","ISSN":"10780432","abstract":"PURPOSE: To determine the role of the CCL2/CCR2 axis and inflammatory monocytes (CCR2(+)/CD14(+)) as immunotherapeutic targets in the treatment of pancreatic cancer.\\n\\nEXPERIMENTAL DESIGN: Survival analysis was conducted to determine if the prevalence of preoperative blood monocytes correlates with survival in patients with pancreatic cancer following tumor resection. Inflammatory monocyte prevalence in the blood and bone marrow of patients with pancreatic cancer and controls was compared. The immunosuppressive properties of inflammatory monocytes and macrophages in the blood and tumors, respectively, of patients with pancreatic cancer were assessed. CCL2 expression by human pancreatic cancer tumors was compared with normal pancreas. A novel CCR2 inhibitor (PF-04136309) was tested in an orthotopic model of murine pancreatic cancer.\\n\\nRESULTS: Monocyte prevalence in the peripheral blood correlates inversely with survival, and low monocyte prevalence is an independent predictor of increased survival in patients with pancreatic cancer with resected tumors. Inflammatory monocytes are increased in the blood and decreased in the bone marrow of patients with pancreatic cancer compared with controls. An increased ratio of inflammatory monocytes in the blood versus the bone marrow is a novel predictor of decreased patient survival following tumor resection. Human pancreatic cancer produces CCL2, and immunosuppressive CCR2(+) macrophages infiltrate these tumors. Patients with tumors that exhibit high CCL2 expression/low CD8 T-cell infiltrate have significantly decreased survival. In mice, CCR2 blockade depletes inflammatory monocytes and macrophages from the primary tumor and premetastatic liver resulting in enhanced antitumor immunity, decreased tumor growth, and reduced metastasis.\\n\\nCONCLUSIONS: Inflammatory monocyte recruitment is critical to pancreatic cancer progression, and targeting CCR2 may be an effective immunotherapeutic strategy in this disease.","author":[{"dropping-particle":"","family":"Sanford","given":"Dominic E.","non-dropping-particle":"","parse-names":false,"suffix":""},{"dropping-particle":"","family":"Belt","given":"Brian A.","non-dropping-particle":"","parse-names":false,"suffix":""},{"dropping-particle":"","family":"Panni","given":"Roheena Z.","non-dropping-particle":"","parse-names":false,"suffix":""},{"dropping-particle":"","family":"Mayer","given":"Allese","non-dropping-particle":"","parse-names":false,"suffix":""},{"dropping-particle":"","family":"Deshpande","given":"Anjali D.","non-dropping-particle":"","parse-names":false,"suffix":""},{"dropping-particle":"","family":"Carpenter","given":"Danielle","non-dropping-particle":"","parse-names":false,"suffix":""},{"dropping-particle":"","family":"Mitchem","given":"Jonathan B.","non-dropping-particle":"","parse-names":false,"suffix":""},{"dropping-particle":"","family":"Plambeck-Suess","given":"Stacey M.","non-dropping-particle":"","parse-names":false,"suffix":""},{"dropping-particle":"","family":"Worley","given":"Lori A.","non-dropping-particle":"","parse-names":false,"suffix":""},{"dropping-particle":"","family":"Goetz","given":"Brian D.","non-dropping-particle":"","parse-names":false,"suffix":""},{"dropping-particle":"","family":"Wang-Gillam","given":"Andrea","non-dropping-particle":"","parse-names":false,"suffix":""},{"dropping-particle":"","family":"Eberlein","given":"Timothy J.","non-dropping-particle":"","parse-names":false,"suffix":""},{"dropping-particle":"","family":"Denardo","given":"David G.","non-dropping-particle":"","parse-names":false,"suffix":""},{"dropping-particle":"","family":"Goedegebuure","given":"Simon Peter","non-dropping-particle":"","parse-names":false,"suffix":""},{"dropping-particle":"","family":"Linehan","given":"David C.","non-dropping-particle":"","parse-names":false,"suffix":""}],"container-title":"Clinical Cancer Research","id":"ITEM-1","issued":{"date-parts":[["2013"]]},"title":"Inflammatory monocyte mobilization decreases patient survival in pancreatic cancer: A role for targeting the CCL2/CCR2 axis","type":"article-journal"},"uris":["http://www.mendeley.com/documents/?uuid=b6011484-4986-4d53-bf9c-58f9eb67c3a9"]}],"mendeley":{"formattedCitation":"[39]","plainTextFormattedCitation":"[39]","previouslyFormattedCitation":"[39]"},"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[39]</w:t>
      </w:r>
      <w:r w:rsidR="00441495" w:rsidRPr="00E901BF">
        <w:rPr>
          <w:rFonts w:ascii="Book Antiqua" w:hAnsi="Book Antiqua" w:cs="Times New Roman"/>
          <w:color w:val="231F20"/>
          <w:sz w:val="24"/>
          <w:szCs w:val="24"/>
          <w:vertAlign w:val="superscript"/>
          <w:lang w:val="en-US"/>
        </w:rPr>
        <w:fldChar w:fldCharType="end"/>
      </w:r>
      <w:r w:rsidRPr="00E901BF">
        <w:rPr>
          <w:rFonts w:ascii="Book Antiqua" w:hAnsi="Book Antiqua" w:cs="Times New Roman"/>
          <w:color w:val="231F20"/>
          <w:sz w:val="24"/>
          <w:szCs w:val="24"/>
          <w:lang w:val="en-US"/>
        </w:rPr>
        <w:t>.</w:t>
      </w:r>
    </w:p>
    <w:p w14:paraId="78DADD42" w14:textId="2791A886" w:rsidR="00843159" w:rsidRPr="00E901BF" w:rsidRDefault="0057134A" w:rsidP="00E901BF">
      <w:pPr>
        <w:spacing w:after="0" w:line="360" w:lineRule="auto"/>
        <w:ind w:firstLineChars="100" w:firstLine="240"/>
        <w:contextualSpacing/>
        <w:jc w:val="both"/>
        <w:rPr>
          <w:rFonts w:ascii="Book Antiqua" w:hAnsi="Book Antiqua" w:cs="Times New Roman"/>
          <w:color w:val="231F20"/>
          <w:sz w:val="24"/>
          <w:szCs w:val="24"/>
          <w:lang w:val="en-US"/>
        </w:rPr>
      </w:pPr>
      <w:r w:rsidRPr="00E901BF">
        <w:rPr>
          <w:rFonts w:ascii="Book Antiqua" w:hAnsi="Book Antiqua" w:cs="Times New Roman"/>
          <w:color w:val="231F20"/>
          <w:sz w:val="24"/>
          <w:szCs w:val="24"/>
          <w:lang w:val="en-US"/>
        </w:rPr>
        <w:t xml:space="preserve">Several studies also underline the lack of recognition by </w:t>
      </w:r>
      <w:r w:rsidR="000978CF" w:rsidRPr="00E901BF">
        <w:rPr>
          <w:rFonts w:ascii="Book Antiqua" w:hAnsi="Book Antiqua" w:cs="Times New Roman"/>
          <w:color w:val="231F20"/>
          <w:sz w:val="24"/>
          <w:szCs w:val="24"/>
          <w:lang w:val="en-US"/>
        </w:rPr>
        <w:t>T cell</w:t>
      </w:r>
      <w:r w:rsidRPr="00E901BF">
        <w:rPr>
          <w:rFonts w:ascii="Book Antiqua" w:hAnsi="Book Antiqua" w:cs="Times New Roman"/>
          <w:color w:val="231F20"/>
          <w:sz w:val="24"/>
          <w:szCs w:val="24"/>
          <w:lang w:val="en-US"/>
        </w:rPr>
        <w:t xml:space="preserve">s of cancer antigens through the degradation of downregulation of major histocompatibility complex I in cancer cells. Furthermore, a mutation in </w:t>
      </w:r>
      <w:r w:rsidR="00772F2E" w:rsidRPr="00E901BF">
        <w:rPr>
          <w:rFonts w:ascii="Book Antiqua" w:hAnsi="Book Antiqua" w:cs="Times New Roman"/>
          <w:color w:val="231F20"/>
          <w:sz w:val="24"/>
          <w:szCs w:val="24"/>
          <w:lang w:val="en-US"/>
        </w:rPr>
        <w:t xml:space="preserve">the </w:t>
      </w:r>
      <w:r w:rsidR="000E2079" w:rsidRPr="00E901BF">
        <w:rPr>
          <w:rFonts w:ascii="Book Antiqua" w:hAnsi="Book Antiqua" w:cs="Times New Roman"/>
          <w:color w:val="231F20"/>
          <w:sz w:val="24"/>
          <w:szCs w:val="24"/>
          <w:lang w:val="en-US"/>
        </w:rPr>
        <w:t>IFN</w:t>
      </w:r>
      <w:r w:rsidR="00F04A7C" w:rsidRPr="00E901BF">
        <w:rPr>
          <w:rFonts w:ascii="Book Antiqua" w:hAnsi="Book Antiqua" w:cs="Times New Roman"/>
          <w:color w:val="231F20"/>
          <w:sz w:val="24"/>
          <w:szCs w:val="24"/>
          <w:lang w:val="en-US"/>
        </w:rPr>
        <w:t xml:space="preserve">-receptor 1 </w:t>
      </w:r>
      <w:r w:rsidR="00EB44A1" w:rsidRPr="00E901BF">
        <w:rPr>
          <w:rFonts w:ascii="Book Antiqua" w:hAnsi="Book Antiqua" w:cs="Times New Roman"/>
          <w:color w:val="231F20"/>
          <w:sz w:val="24"/>
          <w:szCs w:val="24"/>
          <w:lang w:val="en-US"/>
        </w:rPr>
        <w:t xml:space="preserve">or </w:t>
      </w:r>
      <w:r w:rsidR="00F04A7C" w:rsidRPr="00E901BF">
        <w:rPr>
          <w:rFonts w:ascii="Book Antiqua" w:hAnsi="Book Antiqua" w:cs="Times New Roman"/>
          <w:color w:val="231F20"/>
          <w:sz w:val="24"/>
          <w:szCs w:val="24"/>
          <w:lang w:val="en-US"/>
        </w:rPr>
        <w:t>2 gene</w:t>
      </w:r>
      <w:r w:rsidR="00F04A7C" w:rsidRPr="00E901BF">
        <w:rPr>
          <w:rFonts w:ascii="Book Antiqua" w:eastAsia="Times New Roman" w:hAnsi="Book Antiqua" w:cs="Times New Roman"/>
          <w:color w:val="231F20"/>
          <w:sz w:val="24"/>
          <w:szCs w:val="24"/>
          <w:lang w:val="en-US"/>
        </w:rPr>
        <w:t xml:space="preserve"> increases</w:t>
      </w:r>
      <w:r w:rsidR="00F04A7C" w:rsidRPr="00E901BF">
        <w:rPr>
          <w:rFonts w:ascii="Book Antiqua" w:hAnsi="Book Antiqua" w:cs="Times New Roman"/>
          <w:color w:val="231F20"/>
          <w:sz w:val="24"/>
          <w:szCs w:val="24"/>
          <w:lang w:val="en-US"/>
        </w:rPr>
        <w:t xml:space="preserve"> immune suppression in TME and helps cancer cells escape </w:t>
      </w:r>
      <w:r w:rsidR="00F04A7C" w:rsidRPr="00E901BF">
        <w:rPr>
          <w:rFonts w:ascii="Book Antiqua" w:eastAsia="Times New Roman" w:hAnsi="Book Antiqua" w:cs="Times New Roman"/>
          <w:color w:val="231F20"/>
          <w:sz w:val="24"/>
          <w:szCs w:val="24"/>
          <w:lang w:val="en-US"/>
        </w:rPr>
        <w:t>the</w:t>
      </w:r>
      <w:r w:rsidR="00F04A7C" w:rsidRPr="00E901BF">
        <w:rPr>
          <w:rFonts w:ascii="Book Antiqua" w:hAnsi="Book Antiqua" w:cs="Times New Roman"/>
          <w:color w:val="231F20"/>
          <w:sz w:val="24"/>
          <w:szCs w:val="24"/>
          <w:lang w:val="en-US"/>
        </w:rPr>
        <w:t xml:space="preserve"> </w:t>
      </w:r>
      <w:r w:rsidR="000978CF" w:rsidRPr="00E901BF">
        <w:rPr>
          <w:rFonts w:ascii="Book Antiqua" w:eastAsia="Times New Roman" w:hAnsi="Book Antiqua" w:cs="Times New Roman"/>
          <w:color w:val="231F20"/>
          <w:sz w:val="24"/>
          <w:szCs w:val="24"/>
          <w:lang w:val="en-US"/>
        </w:rPr>
        <w:t>T cell</w:t>
      </w:r>
      <w:r w:rsidR="00F04A7C" w:rsidRPr="00E901BF">
        <w:rPr>
          <w:rFonts w:ascii="Book Antiqua" w:hAnsi="Book Antiqua" w:cs="Times New Roman"/>
          <w:color w:val="231F20"/>
          <w:sz w:val="24"/>
          <w:szCs w:val="24"/>
          <w:lang w:val="en-US"/>
        </w:rPr>
        <w:t xml:space="preserve"> antitumor</w:t>
      </w:r>
      <w:r w:rsidR="001470C8" w:rsidRPr="00E901BF">
        <w:rPr>
          <w:rFonts w:ascii="Book Antiqua" w:hAnsi="Book Antiqua" w:cs="Times New Roman"/>
          <w:color w:val="231F20"/>
          <w:sz w:val="24"/>
          <w:szCs w:val="24"/>
          <w:lang w:val="en-US"/>
        </w:rPr>
        <w:t xml:space="preserve"> response</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{"citationItems":[{"id":"ITEM-1","itemData":{"DOI":"10.1007/s00262-013-1429-3","ISSN":"03407004","PMID":"23640603","abstract":"Pancreatic cancer (PC) is an aggressive disease with dismal prognosis. Surgical resection is the recommended treatment for long-term survival, but patients with resectable PC are in the minority (with a 5-year survival rate of 20 %). Therefore, development of novel therapeutic strategies, such as anti-PC immunotherapy, is crucial. α-Enolase (ENO1) is an enzyme expressed on the surface of pancreatic cancer cells and is able to promote cell migration and cancer metastasis. The capacity of ENO1 to induce an immune response in PC patients renders it a true tumor-associated antigen. In this study, we characterized the effector functions of ENO1-specific T cells isolated from PC patients, and we specifically evaluated the successful role of intra-tumoral T helper 17 (Th17) cells and the inhibitory role of regulatory T (Tregs) cells in respectively promoting or reducing the cancer-specific immune response. In this ex vivo study, we have demonstrated, for the first time, that ENO1-specific Th17 cells have a specific anti-cancer effector function in PC patients, and that there are decreased levels of these cells in cancer compared to healthy mucosa. Conversely, there are elevated levels of ENO1-specific Tregs in PC patients which lead to inhibition of the antigen-specific effector T cells, thus highlighting a possible role in promoting PC progression. These results may be relevant for the design of novel immunotherapeutic strategies in pancreatic cancer.","author":[{"dropping-particle":"","family":"Amedei","given":"Amedeo","non-dropping-particle":"","parse-names":false,"suffix":""},{"dropping-particle":"","family":"Niccolai","given":"Elena","non-dropping-particle":"","parse-names":false,"suffix":""},{"dropping-particle":"","family":"Benagiano","given":"Marisa","non-dropping-particle":"","parse-names":false,"suffix":""},{"dropping-particle":"","family":"Bella","given":"Chiara","non-dropping-particle":"Della","parse-names":false,"suffix":""},{"dropping-particle":"","family":"Cianchi","given":"Fabio","non-dropping-particle":"","parse-names":false,"suffix":""},{"dropping-particle":"","family":"Bechi","given":"Paolo","non-dropping-particle":"","parse-names":false,"suffix":""},{"dropping-particle":"","family":"Taddei","given":"Antonio","non-dropping-particle":"","parse-names":false,"suffix":""},{"dropping-particle":"","family":"Bencini","given":"Lapo","non-dropping-particle":"","parse-names":false,"suffix":""},{"dropping-particle":"","family":"Farsi","given":"Marco","non-dropping-particle":"","parse-names":false,"suffix":""},{"dropping-particle":"","family":"Cappello","given":"Paola","non-dropping-particle":"","parse-names":false,"suffix":""},{"dropping-particle":"","family":"Prisco","given":"Domenico","non-dropping-particle":"","parse-names":false,"suffix":""},{"dropping-particle":"","family":"Novelli","given":"Francesco","non-dropping-particle":"","parse-names":false,"suffix":""},{"dropping-particle":"","family":"D'Elios","given":"Mario Milco","non-dropping-particle":"","parse-names":false,"suffix":""}],"container-title":"Cancer Immunology, Immunotherapy","id":"ITEM-1","issued":{"date-parts":[["2013"]]},"title":"Ex vivo analysis of pancreatic cancer-infiltrating T lymphocytes reveals that ENO-specific Tregs accumulate in tumor tissue and inhibit Th1/Th17 effector cell functions","type":"article-journal"},"uris":["http://www.mendeley.com/documents/?uuid=34a04f37-783f-4fe6-aa11-3d8b5355ba6a"]}],"mendeley":{"formattedCitation":"[40]","plainTextFormattedCitation":"[40]","previouslyFormattedCitation":"[40]"},"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[40]</w:t>
      </w:r>
      <w:r w:rsidR="00441495" w:rsidRPr="00E901BF">
        <w:rPr>
          <w:rFonts w:ascii="Book Antiqua" w:hAnsi="Book Antiqua" w:cs="Times New Roman"/>
          <w:color w:val="231F20"/>
          <w:sz w:val="24"/>
          <w:szCs w:val="24"/>
          <w:vertAlign w:val="superscript"/>
          <w:lang w:val="en-US"/>
        </w:rPr>
        <w:fldChar w:fldCharType="end"/>
      </w:r>
      <w:r w:rsidR="00F04A7C" w:rsidRPr="00E901BF">
        <w:rPr>
          <w:rFonts w:ascii="Book Antiqua" w:hAnsi="Book Antiqua" w:cs="Times New Roman"/>
          <w:color w:val="231F20"/>
          <w:sz w:val="24"/>
          <w:szCs w:val="24"/>
          <w:lang w:val="en-US"/>
        </w:rPr>
        <w:t>. Moreover, two phenotypes</w:t>
      </w:r>
      <w:r w:rsidR="003A0D48" w:rsidRPr="00E901BF">
        <w:rPr>
          <w:rFonts w:ascii="Book Antiqua" w:hAnsi="Book Antiqua" w:cs="Times New Roman"/>
          <w:color w:val="231F20"/>
          <w:sz w:val="24"/>
          <w:szCs w:val="24"/>
          <w:lang w:val="en-US"/>
        </w:rPr>
        <w:t>,</w:t>
      </w:r>
      <w:r w:rsidR="00F04A7C" w:rsidRPr="00E901BF">
        <w:rPr>
          <w:rFonts w:ascii="Book Antiqua" w:hAnsi="Book Antiqua" w:cs="Times New Roman"/>
          <w:color w:val="231F20"/>
          <w:sz w:val="24"/>
          <w:szCs w:val="24"/>
          <w:lang w:val="en-US"/>
        </w:rPr>
        <w:t xml:space="preserve"> </w:t>
      </w:r>
      <w:r w:rsidR="003A0D48" w:rsidRPr="00E901BF">
        <w:rPr>
          <w:rFonts w:ascii="Book Antiqua" w:hAnsi="Book Antiqua" w:cs="Times New Roman"/>
          <w:color w:val="231F20"/>
          <w:sz w:val="24"/>
          <w:szCs w:val="24"/>
          <w:lang w:val="en-US"/>
        </w:rPr>
        <w:t xml:space="preserve">often </w:t>
      </w:r>
      <w:r w:rsidR="00AE7A2C" w:rsidRPr="00E901BF">
        <w:rPr>
          <w:rFonts w:ascii="Book Antiqua" w:hAnsi="Book Antiqua" w:cs="Times New Roman"/>
          <w:color w:val="231F20"/>
          <w:sz w:val="24"/>
          <w:szCs w:val="24"/>
          <w:lang w:val="en-US"/>
        </w:rPr>
        <w:t>called</w:t>
      </w:r>
      <w:r w:rsidR="003A0D48" w:rsidRPr="00E901BF">
        <w:rPr>
          <w:rFonts w:ascii="Book Antiqua" w:hAnsi="Book Antiqua" w:cs="Times New Roman"/>
          <w:color w:val="231F20"/>
          <w:sz w:val="24"/>
          <w:szCs w:val="24"/>
          <w:lang w:val="en-US"/>
        </w:rPr>
        <w:t xml:space="preserve"> </w:t>
      </w:r>
      <w:r w:rsidR="00B422F5" w:rsidRPr="00E901BF">
        <w:rPr>
          <w:rFonts w:ascii="Book Antiqua" w:hAnsi="Book Antiqua" w:cs="Times New Roman"/>
          <w:color w:val="231F20"/>
          <w:sz w:val="24"/>
          <w:szCs w:val="24"/>
          <w:lang w:val="en-US"/>
        </w:rPr>
        <w:t>“</w:t>
      </w:r>
      <w:r w:rsidR="003A0D48" w:rsidRPr="00E901BF">
        <w:rPr>
          <w:rFonts w:ascii="Book Antiqua" w:hAnsi="Book Antiqua" w:cs="Times New Roman"/>
          <w:color w:val="231F20"/>
          <w:sz w:val="24"/>
          <w:szCs w:val="24"/>
          <w:lang w:val="en-US"/>
        </w:rPr>
        <w:t>cold</w:t>
      </w:r>
      <w:r w:rsidR="00B422F5" w:rsidRPr="00E901BF">
        <w:rPr>
          <w:rFonts w:ascii="Book Antiqua" w:hAnsi="Book Antiqua" w:cs="Times New Roman"/>
          <w:color w:val="231F20"/>
          <w:sz w:val="24"/>
          <w:szCs w:val="24"/>
          <w:lang w:val="en-US"/>
        </w:rPr>
        <w:t>”</w:t>
      </w:r>
      <w:r w:rsidR="003A0D48" w:rsidRPr="00E901BF">
        <w:rPr>
          <w:rFonts w:ascii="Book Antiqua" w:hAnsi="Book Antiqua" w:cs="Times New Roman"/>
          <w:color w:val="231F20"/>
          <w:sz w:val="24"/>
          <w:szCs w:val="24"/>
          <w:lang w:val="en-US"/>
        </w:rPr>
        <w:t xml:space="preserve"> and </w:t>
      </w:r>
      <w:r w:rsidR="00B422F5" w:rsidRPr="00E901BF">
        <w:rPr>
          <w:rFonts w:ascii="Book Antiqua" w:hAnsi="Book Antiqua" w:cs="Times New Roman"/>
          <w:color w:val="231F20"/>
          <w:sz w:val="24"/>
          <w:szCs w:val="24"/>
          <w:lang w:val="en-US"/>
        </w:rPr>
        <w:t>“</w:t>
      </w:r>
      <w:r w:rsidR="003A0D48" w:rsidRPr="00E901BF">
        <w:rPr>
          <w:rFonts w:ascii="Book Antiqua" w:hAnsi="Book Antiqua" w:cs="Times New Roman"/>
          <w:color w:val="231F20"/>
          <w:sz w:val="24"/>
          <w:szCs w:val="24"/>
          <w:lang w:val="en-US"/>
        </w:rPr>
        <w:t>hot</w:t>
      </w:r>
      <w:r w:rsidR="00B422F5" w:rsidRPr="00E901BF">
        <w:rPr>
          <w:rFonts w:ascii="Book Antiqua" w:hAnsi="Book Antiqua" w:cs="Times New Roman"/>
          <w:color w:val="231F20"/>
          <w:sz w:val="24"/>
          <w:szCs w:val="24"/>
          <w:lang w:val="en-US"/>
        </w:rPr>
        <w:t>”</w:t>
      </w:r>
      <w:r w:rsidR="003A0D48" w:rsidRPr="00E901BF">
        <w:rPr>
          <w:rFonts w:ascii="Book Antiqua" w:hAnsi="Book Antiqua" w:cs="Times New Roman"/>
          <w:color w:val="231F20"/>
          <w:sz w:val="24"/>
          <w:szCs w:val="24"/>
          <w:lang w:val="en-US"/>
        </w:rPr>
        <w:t xml:space="preserve"> tumor</w:t>
      </w:r>
      <w:r w:rsidR="00844D22" w:rsidRPr="00E901BF">
        <w:rPr>
          <w:rFonts w:ascii="Book Antiqua" w:hAnsi="Book Antiqua" w:cs="Times New Roman"/>
          <w:color w:val="231F20"/>
          <w:sz w:val="24"/>
          <w:szCs w:val="24"/>
          <w:lang w:val="en-US"/>
        </w:rPr>
        <w:t>s</w:t>
      </w:r>
      <w:r w:rsidR="003A0D48" w:rsidRPr="00E901BF">
        <w:rPr>
          <w:rFonts w:ascii="Book Antiqua" w:hAnsi="Book Antiqua" w:cs="Times New Roman"/>
          <w:color w:val="231F20"/>
          <w:sz w:val="24"/>
          <w:szCs w:val="24"/>
          <w:lang w:val="en-US"/>
        </w:rPr>
        <w:t xml:space="preserve">, </w:t>
      </w:r>
      <w:r w:rsidR="00F04A7C" w:rsidRPr="00E901BF">
        <w:rPr>
          <w:rFonts w:ascii="Book Antiqua" w:hAnsi="Book Antiqua" w:cs="Times New Roman"/>
          <w:color w:val="231F20"/>
          <w:sz w:val="24"/>
          <w:szCs w:val="24"/>
          <w:lang w:val="en-US"/>
        </w:rPr>
        <w:t>are categorized based on the degree of immune infiltration of T-lymphocytes</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{"citationItems":[{"id":"ITEM-1","itemData":{"DOI":"10.1016/j.cell.2016.08.069","ISBN":"1097-4172 (Electronic)\\r0092-8674 (Linking)","ISSN":"10974172","PMID":"27667683","abstract":"Antibody blockade of the inhibitory CTLA-4 pathway has led to clinical benefit in a subset of patients with metastatic melanoma. Anti-CTLA-4 enhances T cell responses, including production of IFN-γ, which is a critical cytokine for host immune responses. However, the role of IFN-γ signaling in tumor cells in the setting of anti-CTLA-4 therapy remains unknown. Here, we demonstrate that patients identified as non-responders to anti-CTLA-4 (ipilimumab) have tumors with genomic defects in IFN-γ pathway genes. Furthermore, mice bearing melanoma tumors with knockdown of IFN-γ receptor 1 (IFNGR1) have impaired tumor rejection upon anti-CTLA-4 therapy. These data highlight that loss of the IFN-γ signaling pathway is associated with primary resistance to anti-CTLA-4 therapy. Our findings demonstrate the importance of tumor genomic data, especially IFN-γ related genes, as prognostic information for patients selected to receive treatment with immune checkpoint therapy.","author":[{"dropping-particle":"","family":"Gao","given":"Jianjun","non-dropping-particle":"","parse-names":false,"suffix":""},{"dropping-particle":"","family":"Shi","given":"Lewis Zhichang","non-dropping-particle":"","parse-names":false,"suffix":""},{"dropping-particle":"","family":"Zhao","given":"Hao","non-dropping-particle":"","parse-names":false,"suffix":""},{"dropping-particle":"","family":"Chen","given":"Jianfeng","non-dropping-particle":"","parse-names":false,"suffix":""},{"dropping-particle":"","family":"Xiong","given":"Liangwen","non-dropping-particle":"","parse-names":false,"suffix":""},{"dropping-particle":"","family":"He","given":"Qiuming","non-dropping-particle":"","parse-names":false,"suffix":""},{"dropping-particle":"","family":"Chen","given":"Tenghui","non-dropping-particle":"","parse-names":false,"suffix":""},{"dropping-particle":"","family":"Roszik","given":"Jason","non-dropping-particle":"","parse-names":false,"suffix":""},{"dropping-particle":"","family":"Bernatchez","given":"Chantale","non-dropping-particle":"","parse-names":false,"suffix":""},{"dropping-particle":"","family":"Woodman","given":"Scott E.","non-dropping-particle":"","parse-names":false,"suffix":""},{"dropping-particle":"","family":"Chen","given":"Pei Ling","non-dropping-particle":"","parse-names":false,"suffix":""},{"dropping-particle":"","family":"Hwu","given":"Patrick","non-dropping-particle":"","parse-names":false,"suffix":""},{"dropping-particle":"","family":"Allison","given":"James P.","non-dropping-particle":"","parse-names":false,"suffix":""},{"dropping-particle":"","family":"Futreal","given":"Andrew","non-dropping-particle":"","parse-names":false,"suffix":""},{"dropping-particle":"","family":"Wargo","given":"Jennifer A.","non-dropping-particle":"","parse-names":false,"suffix":""},{"dropping-particle":"","family":"Sharma","given":"Padmanee","non-dropping-particle":"","parse-names":false,"suffix":""}],"container-title":"Cell","id":"ITEM-1","issued":{"date-parts":[["2016"]]},"title":"Loss of IFN-γ Pathway Genes in Tumor Cells as a Mechanism of Resistance to Anti-CTLA-4 Therapy","type":"article-journal"},"uris":["http://www.mendeley.com/documents/?uuid=d3d609db-5d3c-40d4-9b74-84b172d300f3"]}],"mendeley":{"formattedCitation":"[41]","plainTextFormattedCitation":"[41]","previouslyFormattedCitation":"[41]"},"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[41]</w:t>
      </w:r>
      <w:r w:rsidR="00441495" w:rsidRPr="00E901BF">
        <w:rPr>
          <w:rFonts w:ascii="Book Antiqua" w:hAnsi="Book Antiqua" w:cs="Times New Roman"/>
          <w:color w:val="231F20"/>
          <w:sz w:val="24"/>
          <w:szCs w:val="24"/>
          <w:vertAlign w:val="superscript"/>
          <w:lang w:val="en-US"/>
        </w:rPr>
        <w:fldChar w:fldCharType="end"/>
      </w:r>
      <w:r w:rsidR="00F04A7C" w:rsidRPr="00E901BF">
        <w:rPr>
          <w:rFonts w:ascii="Book Antiqua" w:hAnsi="Book Antiqua" w:cs="Times New Roman"/>
          <w:color w:val="231F20"/>
          <w:sz w:val="24"/>
          <w:szCs w:val="24"/>
          <w:lang w:val="en-US"/>
        </w:rPr>
        <w:t xml:space="preserve">. Hot tumors are characterized </w:t>
      </w:r>
      <w:r w:rsidR="00340ABD" w:rsidRPr="00E901BF">
        <w:rPr>
          <w:rFonts w:ascii="Book Antiqua" w:hAnsi="Book Antiqua" w:cs="Times New Roman"/>
          <w:color w:val="231F20"/>
          <w:sz w:val="24"/>
          <w:szCs w:val="24"/>
          <w:lang w:val="en-US"/>
        </w:rPr>
        <w:t xml:space="preserve">by </w:t>
      </w:r>
      <w:r w:rsidR="00F04A7C" w:rsidRPr="00E901BF">
        <w:rPr>
          <w:rFonts w:ascii="Book Antiqua" w:hAnsi="Book Antiqua" w:cs="Times New Roman"/>
          <w:color w:val="231F20"/>
          <w:sz w:val="24"/>
          <w:szCs w:val="24"/>
          <w:lang w:val="en-US"/>
        </w:rPr>
        <w:t xml:space="preserve">a variation </w:t>
      </w:r>
      <w:r w:rsidR="0098266A" w:rsidRPr="00E901BF">
        <w:rPr>
          <w:rFonts w:ascii="Book Antiqua" w:hAnsi="Book Antiqua" w:cs="Times New Roman"/>
          <w:color w:val="231F20"/>
          <w:sz w:val="24"/>
          <w:szCs w:val="24"/>
          <w:lang w:val="en-US"/>
        </w:rPr>
        <w:t xml:space="preserve">in </w:t>
      </w:r>
      <w:r w:rsidR="00F04A7C" w:rsidRPr="00E901BF">
        <w:rPr>
          <w:rFonts w:ascii="Book Antiqua" w:hAnsi="Book Antiqua" w:cs="Times New Roman"/>
          <w:color w:val="231F20"/>
          <w:sz w:val="24"/>
          <w:szCs w:val="24"/>
          <w:lang w:val="en-US"/>
        </w:rPr>
        <w:t xml:space="preserve">CD8+ and </w:t>
      </w:r>
      <w:proofErr w:type="spellStart"/>
      <w:r w:rsidR="00F04A7C" w:rsidRPr="00E901BF">
        <w:rPr>
          <w:rFonts w:ascii="Book Antiqua" w:hAnsi="Book Antiqua" w:cs="Times New Roman"/>
          <w:color w:val="231F20"/>
          <w:sz w:val="24"/>
          <w:szCs w:val="24"/>
          <w:lang w:val="en-US"/>
        </w:rPr>
        <w:t>Tregs</w:t>
      </w:r>
      <w:proofErr w:type="spellEnd"/>
      <w:r w:rsidR="00F04A7C" w:rsidRPr="00E901BF">
        <w:rPr>
          <w:rFonts w:ascii="Book Antiqua" w:hAnsi="Book Antiqua" w:cs="Times New Roman"/>
          <w:color w:val="231F20"/>
          <w:sz w:val="24"/>
          <w:szCs w:val="24"/>
          <w:lang w:val="en-US"/>
        </w:rPr>
        <w:t xml:space="preserve"> </w:t>
      </w:r>
      <w:r w:rsidR="00721639" w:rsidRPr="00E901BF">
        <w:rPr>
          <w:rFonts w:ascii="Book Antiqua" w:hAnsi="Book Antiqua" w:cs="Times New Roman"/>
          <w:color w:val="231F20"/>
          <w:sz w:val="24"/>
          <w:szCs w:val="24"/>
          <w:lang w:val="en-US"/>
        </w:rPr>
        <w:t xml:space="preserve">in </w:t>
      </w:r>
      <w:r w:rsidR="00F04A7C" w:rsidRPr="00E901BF">
        <w:rPr>
          <w:rFonts w:ascii="Book Antiqua" w:hAnsi="Book Antiqua" w:cs="Times New Roman"/>
          <w:color w:val="231F20"/>
          <w:sz w:val="24"/>
          <w:szCs w:val="24"/>
          <w:lang w:val="en-US"/>
        </w:rPr>
        <w:t>response to immunotherapeutic drugs</w:t>
      </w:r>
      <w:r w:rsidR="00FF68E6" w:rsidRPr="00E901BF">
        <w:rPr>
          <w:rFonts w:ascii="Book Antiqua" w:hAnsi="Book Antiqua" w:cs="Times New Roman"/>
          <w:color w:val="231F20"/>
          <w:sz w:val="24"/>
          <w:szCs w:val="24"/>
          <w:lang w:val="en-US"/>
        </w:rPr>
        <w:t>,</w:t>
      </w:r>
      <w:r w:rsidR="00F04A7C" w:rsidRPr="00E901BF">
        <w:rPr>
          <w:rFonts w:ascii="Book Antiqua" w:hAnsi="Book Antiqua" w:cs="Times New Roman"/>
          <w:color w:val="231F20"/>
          <w:sz w:val="24"/>
          <w:szCs w:val="24"/>
          <w:lang w:val="en-US"/>
        </w:rPr>
        <w:t xml:space="preserve"> and cold tumors</w:t>
      </w:r>
      <w:r w:rsidR="00F4762D" w:rsidRPr="00E901BF">
        <w:rPr>
          <w:rFonts w:ascii="Book Antiqua" w:hAnsi="Book Antiqua" w:cs="Times New Roman"/>
          <w:color w:val="231F20"/>
          <w:sz w:val="24"/>
          <w:szCs w:val="24"/>
          <w:lang w:val="en-US"/>
        </w:rPr>
        <w:t xml:space="preserve">, in the early stage of tumorigenesis, show </w:t>
      </w:r>
      <w:r w:rsidR="00F04A7C" w:rsidRPr="00E901BF">
        <w:rPr>
          <w:rFonts w:ascii="Book Antiqua" w:eastAsia="Times New Roman" w:hAnsi="Book Antiqua" w:cs="Times New Roman"/>
          <w:color w:val="231F20"/>
          <w:sz w:val="24"/>
          <w:szCs w:val="24"/>
          <w:lang w:val="en-US"/>
        </w:rPr>
        <w:t xml:space="preserve">a </w:t>
      </w:r>
      <w:r w:rsidR="00F4762D" w:rsidRPr="00E901BF">
        <w:rPr>
          <w:rFonts w:ascii="Book Antiqua" w:hAnsi="Book Antiqua" w:cs="Times New Roman"/>
          <w:color w:val="231F20"/>
          <w:sz w:val="24"/>
          <w:szCs w:val="24"/>
          <w:lang w:val="en-US"/>
        </w:rPr>
        <w:t>20</w:t>
      </w:r>
      <w:r w:rsidR="00B422F5" w:rsidRPr="00E901BF">
        <w:rPr>
          <w:rFonts w:ascii="Book Antiqua" w:hAnsi="Book Antiqua" w:cs="Times New Roman"/>
          <w:color w:val="231F20"/>
          <w:sz w:val="24"/>
          <w:szCs w:val="24"/>
          <w:lang w:val="en-US"/>
        </w:rPr>
        <w:t>%</w:t>
      </w:r>
      <w:r w:rsidR="00E901BF" w:rsidRPr="00E901BF">
        <w:rPr>
          <w:rFonts w:ascii="Book Antiqua" w:hAnsi="Book Antiqua" w:cs="Times New Roman"/>
          <w:color w:val="231F20"/>
          <w:sz w:val="24"/>
          <w:szCs w:val="24"/>
          <w:lang w:val="en-US"/>
        </w:rPr>
        <w:t>-</w:t>
      </w:r>
      <w:r w:rsidR="00F4762D" w:rsidRPr="00E901BF">
        <w:rPr>
          <w:rFonts w:ascii="Book Antiqua" w:hAnsi="Book Antiqua" w:cs="Times New Roman"/>
          <w:color w:val="231F20"/>
          <w:sz w:val="24"/>
          <w:szCs w:val="24"/>
          <w:lang w:val="en-US"/>
        </w:rPr>
        <w:t>40% response to immune checkpoint inhibitors</w:t>
      </w:r>
      <w:r w:rsidR="00441495" w:rsidRPr="00E901BF">
        <w:rPr>
          <w:rFonts w:ascii="Book Antiqua" w:hAnsi="Book Antiqua" w:cs="Times New Roman"/>
          <w:color w:val="231F20"/>
          <w:sz w:val="24"/>
          <w:szCs w:val="24"/>
          <w:vertAlign w:val="superscript"/>
          <w:lang w:val="en-US"/>
        </w:rPr>
        <w:fldChar w:fldCharType="begin" w:fldLock="1"/>
      </w:r>
      <w:r w:rsidR="002624F0" w:rsidRPr="00E901BF">
        <w:rPr>
          <w:rFonts w:ascii="Book Antiqua" w:hAnsi="Book Antiqua" w:cs="Times New Roman"/>
          <w:color w:val="231F20"/>
          <w:sz w:val="24"/>
          <w:szCs w:val="24"/>
          <w:vertAlign w:val="superscript"/>
          <w:lang w:val="en-US"/>
        </w:rPr>
        <w:instrText>ADDIN CSL_CITATION {"citationItems":[{"id":"ITEM-1","itemData":{"DOI":"10.3748/wjg.v24.i20.2137","ISBN":"0000000256","ISSN":"22192840","PMID":"29853732","abstract":"Pancreatic ductal adenocarcinoma (PDAC) is one of the deadliest cancers, mostly due to its resistance to treatment. Of these, checkpoint inhibitors (CPI) are inefficient when used as monotherapy, except in the case of a rare subset of tumors harboring microsatellite instability (&lt; 2%). This inefficacy mainly resides in the low immunogenicity and non-inflamed phenotype of PDAC. The abundant stroma generates a hypoxic microenvironment and drives the recruitment of immunosuppressive cells through cancer-associated-fibroblast activation and transforming growth factor β secretion. Several strategies have recently been developed to overcome this immunosuppressive microenvironment. Combination therapies involving CPI aim at increasing tumor immunogenicity and promoting the recruitment and activation of effector T cells. Ongoing studies are therefore exploring the association of CPI with vaccines, oncolytic viruses, MEK inhibitors, cytokine inhibitors, and hypoxia- and stroma-targeting agents. Adoptive T-cell transfer is also under investigation. Moreover, translational studies on tumor tissue and blood, prior to and during treatment may lead to the identification of biomarkers with predictive value for both clinical outcome and response to immunotherapy.","author":[{"dropping-particle":"","family":"Hilmi","given":"Marc","non-dropping-particle":"","parse-names":false,"suffix":""},{"dropping-particle":"","family":"Bartholin","given":"Laurent","non-dropping-particle":"","parse-names":false,"suffix":""},{"dropping-particle":"","family":"Neuzillet","given":"Cindy","non-dropping-particle":"","parse-names":false,"suffix":""}],"container-title":"World Journal of Gastroenterology","id":"ITEM-1","issued":{"date-parts":[["2018"]]},"title":"Immune therapies in pancreatic ductal adenocarcinoma: Where are we now?","type":"article"},"uris":["http://www.mendeley.com/documents/?uuid=23634925-629d-4125-8b11-f0fbcab0be02"]}],"mendeley":{"formattedCitation":"[42]","plainTextFormattedCitation":"[42]","previouslyFormattedCitation":"[42]"},"properties":{"noteIndex":0},"schema":"https://github.com/citation-style-language/schema/raw/master/csl-citation.json"}</w:instrText>
      </w:r>
      <w:r w:rsidR="00441495" w:rsidRPr="00E901BF">
        <w:rPr>
          <w:rFonts w:ascii="Book Antiqua" w:hAnsi="Book Antiqua" w:cs="Times New Roman"/>
          <w:color w:val="231F20"/>
          <w:sz w:val="24"/>
          <w:szCs w:val="24"/>
          <w:vertAlign w:val="superscript"/>
          <w:lang w:val="en-US"/>
        </w:rPr>
        <w:fldChar w:fldCharType="separate"/>
      </w:r>
      <w:r w:rsidR="002624F0" w:rsidRPr="00E901BF">
        <w:rPr>
          <w:rFonts w:ascii="Book Antiqua" w:hAnsi="Book Antiqua" w:cs="Times New Roman"/>
          <w:color w:val="231F20"/>
          <w:sz w:val="24"/>
          <w:szCs w:val="24"/>
          <w:vertAlign w:val="superscript"/>
          <w:lang w:val="en-US"/>
        </w:rPr>
        <w:t>[</w:t>
      </w:r>
      <w:r w:rsidR="00B422F5" w:rsidRPr="00E901BF">
        <w:rPr>
          <w:rFonts w:ascii="Book Antiqua" w:hAnsi="Book Antiqua" w:cs="Times New Roman"/>
          <w:color w:val="231F20"/>
          <w:sz w:val="24"/>
          <w:szCs w:val="24"/>
          <w:vertAlign w:val="superscript"/>
          <w:lang w:val="en-US"/>
        </w:rPr>
        <w:t>37,</w:t>
      </w:r>
      <w:r w:rsidR="002624F0" w:rsidRPr="00E901BF">
        <w:rPr>
          <w:rFonts w:ascii="Book Antiqua" w:hAnsi="Book Antiqua" w:cs="Times New Roman"/>
          <w:color w:val="231F20"/>
          <w:sz w:val="24"/>
          <w:szCs w:val="24"/>
          <w:vertAlign w:val="superscript"/>
          <w:lang w:val="en-US"/>
        </w:rPr>
        <w:t>42]</w:t>
      </w:r>
      <w:r w:rsidR="00441495" w:rsidRPr="00E901BF">
        <w:rPr>
          <w:rFonts w:ascii="Book Antiqua" w:hAnsi="Book Antiqua" w:cs="Times New Roman"/>
          <w:color w:val="231F20"/>
          <w:sz w:val="24"/>
          <w:szCs w:val="24"/>
          <w:vertAlign w:val="superscript"/>
          <w:lang w:val="en-US"/>
        </w:rPr>
        <w:fldChar w:fldCharType="end"/>
      </w:r>
      <w:r w:rsidR="00F04A7C" w:rsidRPr="00E901BF">
        <w:rPr>
          <w:rFonts w:ascii="Book Antiqua" w:hAnsi="Book Antiqua" w:cs="Times New Roman"/>
          <w:color w:val="231F20"/>
          <w:sz w:val="24"/>
          <w:szCs w:val="24"/>
          <w:lang w:val="en-US"/>
        </w:rPr>
        <w:t>.</w:t>
      </w:r>
    </w:p>
    <w:p w14:paraId="68B4AABB" w14:textId="77777777" w:rsidR="00B422F5" w:rsidRPr="00E901BF" w:rsidRDefault="00B422F5" w:rsidP="00E901BF">
      <w:pPr>
        <w:spacing w:after="0" w:line="360" w:lineRule="auto"/>
        <w:ind w:firstLineChars="100" w:firstLine="240"/>
        <w:contextualSpacing/>
        <w:jc w:val="both"/>
        <w:rPr>
          <w:rFonts w:ascii="Book Antiqua" w:hAnsi="Book Antiqua" w:cs="Times New Roman"/>
          <w:color w:val="231F20"/>
          <w:sz w:val="24"/>
          <w:szCs w:val="24"/>
          <w:lang w:val="en-US"/>
        </w:rPr>
      </w:pPr>
    </w:p>
    <w:p w14:paraId="7F6722D6" w14:textId="7C333B28" w:rsidR="00526AD2" w:rsidRPr="00E901BF" w:rsidRDefault="00B422F5" w:rsidP="00E901BF">
      <w:pPr>
        <w:autoSpaceDE w:val="0"/>
        <w:autoSpaceDN w:val="0"/>
        <w:adjustRightInd w:val="0"/>
        <w:spacing w:after="0" w:line="360" w:lineRule="auto"/>
        <w:jc w:val="both"/>
        <w:rPr>
          <w:rFonts w:ascii="Book Antiqua" w:hAnsi="Book Antiqua" w:cs="Times New Roman"/>
          <w:b/>
          <w:sz w:val="24"/>
          <w:szCs w:val="24"/>
          <w:u w:val="single"/>
          <w:lang w:val="en-US"/>
        </w:rPr>
      </w:pPr>
      <w:r w:rsidRPr="00E901BF">
        <w:rPr>
          <w:rFonts w:ascii="Book Antiqua" w:hAnsi="Book Antiqua" w:cs="Times New Roman"/>
          <w:b/>
          <w:sz w:val="24"/>
          <w:szCs w:val="24"/>
          <w:u w:val="single"/>
          <w:lang w:val="en-US"/>
        </w:rPr>
        <w:t>IMMUNOTHERAPY</w:t>
      </w:r>
    </w:p>
    <w:p w14:paraId="32B0614E" w14:textId="1690CD8C" w:rsidR="00843159" w:rsidRPr="00E901BF" w:rsidRDefault="004F1C3C" w:rsidP="00E901BF">
      <w:pPr>
        <w:autoSpaceDE w:val="0"/>
        <w:autoSpaceDN w:val="0"/>
        <w:adjustRightInd w:val="0"/>
        <w:spacing w:after="0" w:line="360" w:lineRule="auto"/>
        <w:jc w:val="both"/>
        <w:rPr>
          <w:rFonts w:ascii="Book Antiqua" w:hAnsi="Book Antiqua" w:cs="Times New Roman"/>
          <w:color w:val="000000"/>
          <w:sz w:val="24"/>
          <w:szCs w:val="24"/>
          <w:lang w:val="en-US"/>
        </w:rPr>
      </w:pPr>
      <w:r w:rsidRPr="00E901BF">
        <w:rPr>
          <w:rFonts w:ascii="Book Antiqua" w:hAnsi="Book Antiqua" w:cs="Times New Roman"/>
          <w:sz w:val="24"/>
          <w:szCs w:val="24"/>
          <w:lang w:val="en-US"/>
        </w:rPr>
        <w:t xml:space="preserve">PDAC is a disease with increased heterogeneity and exhibits unique immunologic hallmarks. </w:t>
      </w:r>
      <w:r w:rsidR="00BC1B28" w:rsidRPr="00E901BF">
        <w:rPr>
          <w:rFonts w:ascii="Book Antiqua" w:hAnsi="Book Antiqua" w:cs="Times New Roman"/>
          <w:color w:val="111111"/>
          <w:sz w:val="24"/>
          <w:szCs w:val="24"/>
          <w:lang w:val="en-US"/>
        </w:rPr>
        <w:t>The principal basis of cancer immunotherapy is to activate a patient</w:t>
      </w:r>
      <w:r w:rsidR="00B422F5" w:rsidRPr="00E901BF">
        <w:rPr>
          <w:rFonts w:ascii="Book Antiqua" w:hAnsi="Book Antiqua" w:cs="Times New Roman"/>
          <w:color w:val="111111"/>
          <w:sz w:val="24"/>
          <w:szCs w:val="24"/>
          <w:lang w:val="en-US"/>
        </w:rPr>
        <w:t>’</w:t>
      </w:r>
      <w:r w:rsidR="00BC1B28" w:rsidRPr="00E901BF">
        <w:rPr>
          <w:rFonts w:ascii="Book Antiqua" w:hAnsi="Book Antiqua" w:cs="Times New Roman"/>
          <w:color w:val="111111"/>
          <w:sz w:val="24"/>
          <w:szCs w:val="24"/>
          <w:lang w:val="en-US"/>
        </w:rPr>
        <w:t xml:space="preserve">s T cells so that they can kill their tumors. </w:t>
      </w:r>
      <w:r w:rsidR="003F2723" w:rsidRPr="00E901BF">
        <w:rPr>
          <w:rFonts w:ascii="Book Antiqua" w:hAnsi="Book Antiqua" w:cs="Times New Roman"/>
          <w:sz w:val="24"/>
          <w:szCs w:val="24"/>
          <w:lang w:val="en-US"/>
        </w:rPr>
        <w:t xml:space="preserve">The key steps are briefly described </w:t>
      </w:r>
      <w:r w:rsidR="00BE47AE" w:rsidRPr="00E901BF">
        <w:rPr>
          <w:rFonts w:ascii="Book Antiqua" w:hAnsi="Book Antiqua" w:cs="Times New Roman"/>
          <w:sz w:val="24"/>
          <w:szCs w:val="24"/>
          <w:lang w:val="en-US"/>
        </w:rPr>
        <w:t>as follows</w:t>
      </w:r>
      <w:r w:rsidR="003F2723" w:rsidRPr="00E901BF">
        <w:rPr>
          <w:rFonts w:ascii="Book Antiqua" w:hAnsi="Book Antiqua" w:cs="Times New Roman"/>
          <w:sz w:val="24"/>
          <w:szCs w:val="24"/>
          <w:lang w:val="en-US"/>
        </w:rPr>
        <w:t>:</w:t>
      </w:r>
      <w:r w:rsidR="00230F11" w:rsidRPr="00E901BF">
        <w:rPr>
          <w:rFonts w:ascii="Book Antiqua" w:hAnsi="Book Antiqua" w:cs="Times New Roman"/>
          <w:color w:val="000000"/>
          <w:sz w:val="24"/>
          <w:szCs w:val="24"/>
          <w:lang w:val="en-US"/>
        </w:rPr>
        <w:t xml:space="preserve"> (</w:t>
      </w:r>
      <w:r w:rsidR="00B422F5" w:rsidRPr="00E901BF">
        <w:rPr>
          <w:rFonts w:ascii="Book Antiqua" w:hAnsi="Book Antiqua" w:cs="Times New Roman"/>
          <w:color w:val="000000"/>
          <w:sz w:val="24"/>
          <w:szCs w:val="24"/>
          <w:lang w:val="en-US"/>
        </w:rPr>
        <w:t>1</w:t>
      </w:r>
      <w:r w:rsidR="00230F11" w:rsidRPr="00E901BF">
        <w:rPr>
          <w:rFonts w:ascii="Book Antiqua" w:hAnsi="Book Antiqua" w:cs="Times New Roman"/>
          <w:color w:val="000000"/>
          <w:sz w:val="24"/>
          <w:szCs w:val="24"/>
          <w:lang w:val="en-US"/>
        </w:rPr>
        <w:t xml:space="preserve">) </w:t>
      </w:r>
      <w:r w:rsidR="00A716A3" w:rsidRPr="00E901BF">
        <w:rPr>
          <w:rFonts w:ascii="Book Antiqua" w:hAnsi="Book Antiqua" w:cs="Times New Roman"/>
          <w:color w:val="000000"/>
          <w:sz w:val="24"/>
          <w:szCs w:val="24"/>
          <w:lang w:val="en-US"/>
        </w:rPr>
        <w:t xml:space="preserve">decrease </w:t>
      </w:r>
      <w:r w:rsidR="00230F11" w:rsidRPr="00E901BF">
        <w:rPr>
          <w:rFonts w:ascii="Book Antiqua" w:hAnsi="Book Antiqua" w:cs="Times New Roman"/>
          <w:color w:val="000000"/>
          <w:sz w:val="24"/>
          <w:szCs w:val="24"/>
          <w:lang w:val="en-US"/>
        </w:rPr>
        <w:t>of tumor-specific antigen presentation</w:t>
      </w:r>
      <w:r w:rsidR="00F04A7C" w:rsidRPr="00E901BF">
        <w:rPr>
          <w:rFonts w:ascii="Book Antiqua" w:eastAsia="Times New Roman" w:hAnsi="Book Antiqua" w:cs="Times New Roman"/>
          <w:color w:val="000000"/>
          <w:sz w:val="24"/>
          <w:szCs w:val="24"/>
          <w:lang w:val="en-US"/>
        </w:rPr>
        <w:t>;</w:t>
      </w:r>
      <w:r w:rsidR="00230F11" w:rsidRPr="00E901BF">
        <w:rPr>
          <w:rFonts w:ascii="Book Antiqua" w:hAnsi="Book Antiqua" w:cs="Times New Roman"/>
          <w:color w:val="000000"/>
          <w:sz w:val="24"/>
          <w:szCs w:val="24"/>
          <w:lang w:val="en-US"/>
        </w:rPr>
        <w:t xml:space="preserve"> (</w:t>
      </w:r>
      <w:r w:rsidR="00B422F5" w:rsidRPr="00E901BF">
        <w:rPr>
          <w:rFonts w:ascii="Book Antiqua" w:hAnsi="Book Antiqua" w:cs="Times New Roman"/>
          <w:color w:val="000000"/>
          <w:sz w:val="24"/>
          <w:szCs w:val="24"/>
          <w:lang w:val="en-US"/>
        </w:rPr>
        <w:t>2</w:t>
      </w:r>
      <w:r w:rsidR="00230F11" w:rsidRPr="00E901BF">
        <w:rPr>
          <w:rFonts w:ascii="Book Antiqua" w:hAnsi="Book Antiqua" w:cs="Times New Roman"/>
          <w:color w:val="000000"/>
          <w:sz w:val="24"/>
          <w:szCs w:val="24"/>
          <w:lang w:val="en-US"/>
        </w:rPr>
        <w:t>) activation of T cells</w:t>
      </w:r>
      <w:r w:rsidR="00F04A7C" w:rsidRPr="00E901BF">
        <w:rPr>
          <w:rFonts w:ascii="Book Antiqua" w:eastAsia="Times New Roman" w:hAnsi="Book Antiqua" w:cs="Times New Roman"/>
          <w:color w:val="000000"/>
          <w:sz w:val="24"/>
          <w:szCs w:val="24"/>
          <w:lang w:val="en-US"/>
        </w:rPr>
        <w:t>;</w:t>
      </w:r>
      <w:r w:rsidR="00230F11" w:rsidRPr="00E901BF">
        <w:rPr>
          <w:rFonts w:ascii="Book Antiqua" w:hAnsi="Book Antiqua" w:cs="Times New Roman"/>
          <w:color w:val="000000"/>
          <w:sz w:val="24"/>
          <w:szCs w:val="24"/>
          <w:lang w:val="en-US"/>
        </w:rPr>
        <w:t xml:space="preserve"> (</w:t>
      </w:r>
      <w:r w:rsidR="00B422F5" w:rsidRPr="00E901BF">
        <w:rPr>
          <w:rFonts w:ascii="Book Antiqua" w:hAnsi="Book Antiqua" w:cs="Times New Roman"/>
          <w:color w:val="000000"/>
          <w:sz w:val="24"/>
          <w:szCs w:val="24"/>
          <w:lang w:val="en-US"/>
        </w:rPr>
        <w:t>3</w:t>
      </w:r>
      <w:r w:rsidR="00230F11" w:rsidRPr="00E901BF">
        <w:rPr>
          <w:rFonts w:ascii="Book Antiqua" w:hAnsi="Book Antiqua" w:cs="Times New Roman"/>
          <w:color w:val="000000"/>
          <w:sz w:val="24"/>
          <w:szCs w:val="24"/>
          <w:lang w:val="en-US"/>
        </w:rPr>
        <w:t>) infiltration of T cells into tumors</w:t>
      </w:r>
      <w:r w:rsidR="00F04A7C" w:rsidRPr="00E901BF">
        <w:rPr>
          <w:rFonts w:ascii="Book Antiqua" w:eastAsia="Times New Roman" w:hAnsi="Book Antiqua" w:cs="Times New Roman"/>
          <w:color w:val="000000"/>
          <w:sz w:val="24"/>
          <w:szCs w:val="24"/>
          <w:lang w:val="en-US"/>
        </w:rPr>
        <w:t>;</w:t>
      </w:r>
      <w:r w:rsidR="00230F11" w:rsidRPr="00E901BF">
        <w:rPr>
          <w:rFonts w:ascii="Book Antiqua" w:hAnsi="Book Antiqua" w:cs="Times New Roman"/>
          <w:color w:val="000000"/>
          <w:sz w:val="24"/>
          <w:szCs w:val="24"/>
          <w:lang w:val="en-US"/>
        </w:rPr>
        <w:t xml:space="preserve"> (</w:t>
      </w:r>
      <w:r w:rsidR="00B422F5" w:rsidRPr="00E901BF">
        <w:rPr>
          <w:rFonts w:ascii="Book Antiqua" w:hAnsi="Book Antiqua" w:cs="Times New Roman"/>
          <w:color w:val="000000"/>
          <w:sz w:val="24"/>
          <w:szCs w:val="24"/>
          <w:lang w:val="en-US"/>
        </w:rPr>
        <w:t>4</w:t>
      </w:r>
      <w:r w:rsidR="00230F11" w:rsidRPr="00E901BF">
        <w:rPr>
          <w:rFonts w:ascii="Book Antiqua" w:hAnsi="Book Antiqua" w:cs="Times New Roman"/>
          <w:color w:val="000000"/>
          <w:sz w:val="24"/>
          <w:szCs w:val="24"/>
          <w:lang w:val="en-US"/>
        </w:rPr>
        <w:t>) recognition of cancer cells by T cells</w:t>
      </w:r>
      <w:r w:rsidR="00F04A7C" w:rsidRPr="00E901BF">
        <w:rPr>
          <w:rFonts w:ascii="Book Antiqua" w:eastAsia="Times New Roman" w:hAnsi="Book Antiqua" w:cs="Times New Roman"/>
          <w:color w:val="000000"/>
          <w:sz w:val="24"/>
          <w:szCs w:val="24"/>
          <w:lang w:val="en-US"/>
        </w:rPr>
        <w:t>;</w:t>
      </w:r>
      <w:r w:rsidR="00230F11" w:rsidRPr="00E901BF">
        <w:rPr>
          <w:rFonts w:ascii="Book Antiqua" w:hAnsi="Book Antiqua" w:cs="Times New Roman"/>
          <w:color w:val="000000"/>
          <w:sz w:val="24"/>
          <w:szCs w:val="24"/>
          <w:lang w:val="en-US"/>
        </w:rPr>
        <w:t xml:space="preserve"> </w:t>
      </w:r>
      <w:r w:rsidR="00A30960" w:rsidRPr="00E901BF">
        <w:rPr>
          <w:rFonts w:ascii="Book Antiqua" w:hAnsi="Book Antiqua" w:cs="Times New Roman"/>
          <w:color w:val="000000"/>
          <w:sz w:val="24"/>
          <w:szCs w:val="24"/>
          <w:lang w:val="en-US"/>
        </w:rPr>
        <w:t xml:space="preserve">and </w:t>
      </w:r>
      <w:r w:rsidR="00230F11" w:rsidRPr="00E901BF">
        <w:rPr>
          <w:rFonts w:ascii="Book Antiqua" w:hAnsi="Book Antiqua" w:cs="Times New Roman"/>
          <w:color w:val="000000"/>
          <w:sz w:val="24"/>
          <w:szCs w:val="24"/>
          <w:lang w:val="en-US"/>
        </w:rPr>
        <w:t>(</w:t>
      </w:r>
      <w:r w:rsidR="00B422F5" w:rsidRPr="00E901BF">
        <w:rPr>
          <w:rFonts w:ascii="Book Antiqua" w:hAnsi="Book Antiqua" w:cs="Times New Roman"/>
          <w:color w:val="000000"/>
          <w:sz w:val="24"/>
          <w:szCs w:val="24"/>
          <w:lang w:val="en-US"/>
        </w:rPr>
        <w:t>5</w:t>
      </w:r>
      <w:r w:rsidR="00230F11" w:rsidRPr="00E901BF">
        <w:rPr>
          <w:rFonts w:ascii="Book Antiqua" w:hAnsi="Book Antiqua" w:cs="Times New Roman"/>
          <w:color w:val="000000"/>
          <w:sz w:val="24"/>
          <w:szCs w:val="24"/>
          <w:lang w:val="en-US"/>
        </w:rPr>
        <w:t>) elimination of cancer cells</w:t>
      </w:r>
      <w:r w:rsidR="00441495" w:rsidRPr="00E901BF">
        <w:rPr>
          <w:rFonts w:ascii="Book Antiqua" w:hAnsi="Book Antiqua" w:cs="Times New Roman"/>
          <w:color w:val="000000"/>
          <w:sz w:val="24"/>
          <w:szCs w:val="24"/>
          <w:vertAlign w:val="superscript"/>
          <w:lang w:val="en-US"/>
        </w:rPr>
        <w:fldChar w:fldCharType="begin" w:fldLock="1"/>
      </w:r>
      <w:r w:rsidR="002624F0" w:rsidRPr="00E901BF">
        <w:rPr>
          <w:rFonts w:ascii="Book Antiqua" w:hAnsi="Book Antiqua" w:cs="Times New Roman"/>
          <w:color w:val="000000"/>
          <w:sz w:val="24"/>
          <w:szCs w:val="24"/>
          <w:vertAlign w:val="superscript"/>
          <w:lang w:val="en-US"/>
        </w:rPr>
        <w:instrText>ADDIN CSL_CITATION {"citationItems":[{"id":"ITEM-1","itemData":{"DOI":"10.3390/cancers10020039","ISBN":"2072-6694 (Print)\r2072-6694","ISSN":"20726694","PMID":"29125422","abstract":"Pancreatic cancer, most commonly referring to pancreatic ductal adenocarcinoma (PDAC), remains one of the most deadly diseases, with very few effective therapies available. Emerging as a new modality of modern cancer treatments, immunotherapy has shown promises for various cancer types. Over the past decades, the potential of immunotherapy in eliciting clinical benefits in pancreatic cancer have also been extensively explored. It has been demonstrated in preclinical studies and early phase clinical trials that cancer vaccines were effective in eliciting anti-tumor immune response, but few have led to a significant improvement in survival. Despite the fact that immunotherapy with checkpoint blockade (e.g., anti-cytotoxic T-lymphocyte antigen 4 [CTLA-4] and anti-programmed cell death 1 [PD-1]/PD-L1 antibodies) has shown remarkable and durable responses in various cancer types, the application of checkpoint inhibitors in pancreatic cancer has been disappointing so far. It may, in part, due to the unique tumor microenvironment (TME) of pancreatic cancer, such as existence of excessive stromal matrix and hypovascularity, creating a TME of strong inhibitory signaling circuits and tremendous physical barriers for immune agent infiltration. This informs on the need for combination therapy approaches to engender a potent immune response that can translate to clinical benefits. On the other hand, lack of effective and validated biomarkers to stratify subgroup of patients who can benefit from immunotherapy poses further challenges for the realization of precision immune-oncology. Future studies addressing issues such as TME modulation, biomarker identification and therapeutic combination are warranted. In this review, advances in immunotherapy for pancreatic cancer were discussed and opportunities as well as challenges for personalized immune-oncology were addressed.","author":[{"dropping-particle":"","family":"Zhang","given":"Jiajia","non-dropping-particle":"","parse-names":false,"suffix":""},{"dropping-particle":"","family":"Wolfgang","given":"Christopher L.","non-dropping-particle":"","parse-names":false,"suffix":""},{"dropping-particle":"","family":"Zheng","given":"Lei","non-dropping-particle":"","parse-names":false,"suffix":""}],"container-title":"Cancers","id":"ITEM-1","issued":{"date-parts":[["2018"]]},"title":"Precision immuno-oncology: Prospects of individualized immunotherapy for pancreatic cancer","type":"article"},"uris":["http://www.mendeley.com/documents/?uuid=c5994d1f-9091-48ca-aa4a-050bdc3a5a7f"]}],"mendeley":{"formattedCitation":"[43]","plainTextFormattedCitation":"[43]","previouslyFormattedCitation":"[43]"},"properties":{"noteIndex":0},"schema":"https://github.com/citation-style-language/schema/raw/master/csl-citation.json"}</w:instrText>
      </w:r>
      <w:r w:rsidR="00441495" w:rsidRPr="00E901BF">
        <w:rPr>
          <w:rFonts w:ascii="Book Antiqua" w:hAnsi="Book Antiqua" w:cs="Times New Roman"/>
          <w:color w:val="000000"/>
          <w:sz w:val="24"/>
          <w:szCs w:val="24"/>
          <w:vertAlign w:val="superscript"/>
          <w:lang w:val="en-US"/>
        </w:rPr>
        <w:fldChar w:fldCharType="separate"/>
      </w:r>
      <w:r w:rsidR="002624F0" w:rsidRPr="00E901BF">
        <w:rPr>
          <w:rFonts w:ascii="Book Antiqua" w:hAnsi="Book Antiqua" w:cs="Times New Roman"/>
          <w:color w:val="000000"/>
          <w:sz w:val="24"/>
          <w:szCs w:val="24"/>
          <w:vertAlign w:val="superscript"/>
          <w:lang w:val="en-US"/>
        </w:rPr>
        <w:t>[43]</w:t>
      </w:r>
      <w:r w:rsidR="00441495" w:rsidRPr="00E901BF">
        <w:rPr>
          <w:rFonts w:ascii="Book Antiqua" w:hAnsi="Book Antiqua" w:cs="Times New Roman"/>
          <w:color w:val="000000"/>
          <w:sz w:val="24"/>
          <w:szCs w:val="24"/>
          <w:vertAlign w:val="superscript"/>
          <w:lang w:val="en-US"/>
        </w:rPr>
        <w:fldChar w:fldCharType="end"/>
      </w:r>
      <w:r w:rsidRPr="00E901BF">
        <w:rPr>
          <w:rFonts w:ascii="Book Antiqua" w:hAnsi="Book Antiqua" w:cs="Times New Roman"/>
          <w:color w:val="000000"/>
          <w:sz w:val="24"/>
          <w:szCs w:val="24"/>
          <w:lang w:val="en-US"/>
        </w:rPr>
        <w:t>.</w:t>
      </w:r>
      <w:r w:rsidR="00122FEC" w:rsidRPr="00E901BF">
        <w:rPr>
          <w:rFonts w:ascii="Book Antiqua" w:hAnsi="Book Antiqua" w:cs="Times New Roman"/>
          <w:sz w:val="24"/>
          <w:szCs w:val="24"/>
          <w:lang w:val="en-US"/>
        </w:rPr>
        <w:t xml:space="preserve"> </w:t>
      </w:r>
      <w:r w:rsidR="006F6F8B" w:rsidRPr="00E901BF">
        <w:rPr>
          <w:rFonts w:ascii="Book Antiqua" w:hAnsi="Book Antiqua" w:cs="Times New Roman"/>
          <w:sz w:val="24"/>
          <w:szCs w:val="24"/>
          <w:lang w:val="en-US"/>
        </w:rPr>
        <w:t>There are several types of cancer immunotherapies</w:t>
      </w:r>
      <w:r w:rsidR="00F04A7C" w:rsidRPr="00E901BF">
        <w:rPr>
          <w:rFonts w:ascii="Book Antiqua" w:eastAsia="Times New Roman" w:hAnsi="Book Antiqua" w:cs="Times New Roman"/>
          <w:sz w:val="24"/>
          <w:szCs w:val="24"/>
          <w:lang w:val="en-US"/>
        </w:rPr>
        <w:t>,</w:t>
      </w:r>
      <w:r w:rsidR="00122FEC" w:rsidRPr="00E901BF">
        <w:rPr>
          <w:rFonts w:ascii="Book Antiqua" w:hAnsi="Book Antiqua" w:cs="Times New Roman"/>
          <w:sz w:val="24"/>
          <w:szCs w:val="24"/>
          <w:lang w:val="en-US"/>
        </w:rPr>
        <w:t xml:space="preserve"> such as monoclonal antibodies, adoptive cell transfer</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{"citationItems":[{"id":"ITEM-1","itemData":{"DOI":"10.1200/JCO.2011.38.0899","ISSN":"0732-183X","author":[{"dropping-particle":"","family":"Weiner","given":"George J","non-dropping-particle":"","parse-names":false,"suffix":""},{"dropping-particle":"","family":"Topalian","given":"Suzanne L","non-dropping-particle":"","parse-names":false,"suffix":""},{"dropping-particle":"","family":"Weiner","given":"George J","non-dropping-particle":"","parse-names":false,"suffix":""},{"dropping-particle":"","family":"Pardoll","given":"Drew M","non-dropping-particle":"","parse-names":false,"suffix":""}],"id":"ITEM-1","issue":"December 2011","issued":{"date-parts":[["2016"]]},"title":"Cancer Immunotherapy Comes of Age Cancer Immunotherapy Comes of Age","type":"article-journal","volume":"29"},"uris":["http://www.mendeley.com/documents/?uuid=df43e193-b69c-4130-8044-3100e79f4513"]}],"mendeley":{"formattedCitation":"[44]","plainTextFormattedCitation":"[44]","previouslyFormattedCitation":"[44]"},"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[44</w:t>
      </w:r>
      <w:r w:rsidR="00B422F5" w:rsidRPr="00E901BF">
        <w:rPr>
          <w:rFonts w:ascii="Book Antiqua" w:hAnsi="Book Antiqua" w:cs="Times New Roman"/>
          <w:sz w:val="24"/>
          <w:szCs w:val="24"/>
          <w:vertAlign w:val="superscript"/>
          <w:lang w:val="en-US"/>
        </w:rPr>
        <w:t>-46</w:t>
      </w:r>
      <w:r w:rsidR="002624F0" w:rsidRPr="00E901BF">
        <w:rPr>
          <w:rFonts w:ascii="Book Antiqua" w:hAnsi="Book Antiqua" w:cs="Times New Roman"/>
          <w:sz w:val="24"/>
          <w:szCs w:val="24"/>
          <w:vertAlign w:val="superscript"/>
          <w:lang w:val="en-US"/>
        </w:rPr>
        <w:t>]</w:t>
      </w:r>
      <w:r w:rsidR="00441495" w:rsidRPr="00E901BF">
        <w:rPr>
          <w:rFonts w:ascii="Book Antiqua" w:hAnsi="Book Antiqua" w:cs="Times New Roman"/>
          <w:sz w:val="24"/>
          <w:szCs w:val="24"/>
          <w:vertAlign w:val="superscript"/>
          <w:lang w:val="en-US"/>
        </w:rPr>
        <w:fldChar w:fldCharType="end"/>
      </w:r>
      <w:r w:rsidR="00CD708E" w:rsidRPr="00E901BF">
        <w:rPr>
          <w:rFonts w:ascii="Book Antiqua" w:hAnsi="Book Antiqua" w:cs="Times New Roman"/>
          <w:sz w:val="24"/>
          <w:szCs w:val="24"/>
          <w:lang w:val="en-US"/>
        </w:rPr>
        <w:t>, cancer vaccines</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{"citationItems":[{"id":"ITEM-1","itemData":{"DOI":"10.6004/jnccn.2013.0099","ISSN":"15401413","abstract":"With the recent approval of sipuleucel-T for metastatic castration-resistant prostate cancer and ipilimumab for metastatic melanoma, there is increasing excitement in the field of cancer immunotherapy. A large number of clinical trials are currently testing various vaccine vectors in a diverse array of cancer types. Which of these strategies will ultimately prove successful has yet to be determined. However, a better understanding of the complex interplay of tumor-specific T cells and the challenges faced at the tumor microenvironment, advances in biotechnology, and lessons learned from prior successes and failures will likely lead to approvals of other therapeutic cancer vaccines.","author":[{"dropping-particle":"","family":"Le","given":"Dung T.","non-dropping-particle":"","parse-names":false,"suffix":""},{"dropping-particle":"","family":"Jaffee","given":"Elizabeth M.","non-dropping-particle":"","parse-names":false,"suffix":""}],"container-title":"JNCCN Journal of the National Comprehensive Cancer Network","id":"ITEM-1","issued":{"date-parts":[["2013"]]},"title":"Next-generation cancer vaccine approaches: Integrating lessons learned from current successes with promising biotechnologic advances","type":"article-journal"},"uris":["http://www.mendeley.com/documents/?uuid=9a9ba26e-ab1a-4df6-b9b7-490ad1001005"]}],"mendeley":{"formattedCitation":"[47]","plainTextFormattedCitation":"[47]","previouslyFormattedCitation":"[47]"},"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[47</w:t>
      </w:r>
      <w:r w:rsidR="00441495" w:rsidRPr="00E901BF">
        <w:rPr>
          <w:rFonts w:ascii="Book Antiqua" w:hAnsi="Book Antiqua" w:cs="Times New Roman"/>
          <w:sz w:val="24"/>
          <w:szCs w:val="24"/>
          <w:vertAlign w:val="superscript"/>
          <w:lang w:val="en-US"/>
        </w:rPr>
        <w:fldChar w:fldCharType="end"/>
      </w:r>
      <w:r w:rsidR="00B422F5" w:rsidRPr="00E901BF">
        <w:rPr>
          <w:rFonts w:ascii="Book Antiqua" w:hAnsi="Book Antiqua" w:cs="Times New Roman"/>
          <w:sz w:val="24"/>
          <w:szCs w:val="24"/>
          <w:vertAlign w:val="superscript"/>
          <w:lang w:val="en-US"/>
        </w:rPr>
        <w:t>,</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{"citationItems":[{"id":"ITEM-1","itemData":{"DOI":"10.1016/s1535-6108(02)00093-4","ISBN":"1535-6108 (Print)\\r1535-6108 (Linking)","ISSN":"15356108","PMID":"12150822","abstract":"Epidemiology About 30,000 Americans develop pancreatic cancer each year and 30,000 die from it. A large number of case-control and cohort studies have shown that there is a clustering of pancre-atic cancer in some families and that this clustering occurs more frequently than one would expect by chance (Ghadirian et al., 2002; Tersmette et al., 2001; Coughlin et al., 2000). For exam-ple, Tersmette et al. followed over 340 kindreds enrolled in the National Familial Pancreas Tumor Registry (NFPTR) and found an 18-fold increased risk of pancreatic cancer in the kindreds in which at least a pair of first-degree relatives had been diag-nosed with pancreatic cancer at the time the kindred enrolled in the NFPTR. More recently, segregation analyses have suggest-ed that this clustering of pancreatic cancer has a genetic basis. In a complex segregation analysis on 287 families ascertained through an index case diagnosed with pancreatic cancer at the Johns Hopkins Medical Institutions between January 1, 1994, and December 31, 1999, nongenetic transmission models (p &lt; 0.0001) were rejected and the most parsimonious models included autosomal dominant inheritance of a rare allele.","author":[{"dropping-particle":"","family":"Jaffee","given":"Elizabeth M","non-dropping-particle":"","parse-names":false,"suffix":""},{"dropping-particle":"","family":"Hruban","given":"Ralph H","non-dropping-particle":"","parse-names":false,"suffix":""},{"dropping-particle":"","family":"Canto","given":"Marcia","non-dropping-particle":"","parse-names":false,"suffix":""},{"dropping-particle":"","family":"Kern","given":"Scott E","non-dropping-particle":"","parse-names":false,"suffix":""}],"container-title":"Cancer Cell","id":"ITEM-1","issued":{"date-parts":[["2002"]]},"title":"Focus on pancreas cancer","type":"article-journal"},"uris":["http://www.mendeley.com/documents/?uuid=b0dd9d65-12e9-49eb-911d-09f753c70326"]}],"mendeley":{"formattedCitation":"[48]","plainTextFormattedCitation":"[48]","previouslyFormattedCitation":"[48]"},"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48]</w:t>
      </w:r>
      <w:r w:rsidR="00441495" w:rsidRPr="00E901BF">
        <w:rPr>
          <w:rFonts w:ascii="Book Antiqua" w:hAnsi="Book Antiqua" w:cs="Times New Roman"/>
          <w:sz w:val="24"/>
          <w:szCs w:val="24"/>
          <w:vertAlign w:val="superscript"/>
          <w:lang w:val="en-US"/>
        </w:rPr>
        <w:fldChar w:fldCharType="end"/>
      </w:r>
      <w:r w:rsidR="00CD708E" w:rsidRPr="00E901BF">
        <w:rPr>
          <w:rFonts w:ascii="Book Antiqua" w:hAnsi="Book Antiqua" w:cs="Times New Roman"/>
          <w:sz w:val="24"/>
          <w:szCs w:val="24"/>
          <w:lang w:val="en-US"/>
        </w:rPr>
        <w:t xml:space="preserve">, immune checkpoint </w:t>
      </w:r>
      <w:r w:rsidR="006A7492" w:rsidRPr="00E901BF">
        <w:rPr>
          <w:rFonts w:ascii="Book Antiqua" w:hAnsi="Book Antiqua" w:cs="Times New Roman"/>
          <w:sz w:val="24"/>
          <w:szCs w:val="24"/>
          <w:lang w:val="en-US"/>
        </w:rPr>
        <w:t>inhibitors</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{"citationItems":[{"id":"ITEM-1","itemData":{"DOI":"10.1038/nrc3239","ISBN":"1474-1768 (Electronic)\\r1474-175X (Linking)","ISSN":"1474175X","PMID":"22437870","abstract":"Among the most promising approaches to activating therapeutic antitumour immunity is the blockade of immune checkpoints. Immune checkpoints refer to a plethora of inhibitory pathways hardwired into the immune system that are crucial for maintaining self-tolerance and modulating the duration and amplitude of physiological immune responses in peripheral tissues in order to minimize collateral tissue damage. It is now clear that tumours co-opt certain immune-checkpoint pathways as a major mechanism of immune resistance, particularly against T cells that are specific for tumour antigens. Because many of the immune checkpoints are initiated by ligand-receptor interactions, they can be readily blocked by antibodies or modulated by recombinant forms of ligands or receptors. Cytotoxic T-lymphocyte-associated antigen 4 (CTLA4) antibodies were the first of this class of immunotherapeutics to achieve US Food and Drug Administration (FDA) approval. Preliminary clinical findings with blockers of additional immune-checkpoint proteins, such as programmed cell death protein 1 (PD1), indicate broad and diverse opportunities to enhance antitumour immunity with the potential to produce durable clinical responses.","author":[{"dropping-particle":"","family":"Pardoll","given":"Drew M.","non-dropping-particle":"","parse-names":false,"suffix":""}],"container-title":"Nature Reviews Cancer","id":"ITEM-1","issued":{"date-parts":[["2012"]]},"title":"The blockade of immune checkpoints in cancer immunotherapy","type":"article"},"uris":["http://www.mendeley.com/documents/?uuid=850bbe4e-6273-4923-9204-3fcbb80f4e97"]}],"mendeley":{"formattedCitation":"[49]","plainTextFormattedCitation":"[49]","previouslyFormattedCitation":"[49]"},"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[49]</w:t>
      </w:r>
      <w:r w:rsidR="00441495" w:rsidRPr="00E901BF">
        <w:rPr>
          <w:rFonts w:ascii="Book Antiqua" w:hAnsi="Book Antiqua" w:cs="Times New Roman"/>
          <w:sz w:val="24"/>
          <w:szCs w:val="24"/>
          <w:vertAlign w:val="superscript"/>
          <w:lang w:val="en-US"/>
        </w:rPr>
        <w:fldChar w:fldCharType="end"/>
      </w:r>
      <w:r w:rsidRPr="00E901BF">
        <w:rPr>
          <w:rFonts w:ascii="Book Antiqua" w:hAnsi="Book Antiqua" w:cs="Times New Roman"/>
          <w:sz w:val="24"/>
          <w:szCs w:val="24"/>
          <w:lang w:val="en-US"/>
        </w:rPr>
        <w:t xml:space="preserve">, </w:t>
      </w:r>
      <w:r w:rsidR="00D85AE2" w:rsidRPr="00E901BF">
        <w:rPr>
          <w:rFonts w:ascii="Book Antiqua" w:hAnsi="Book Antiqua" w:cs="Times New Roman"/>
          <w:sz w:val="24"/>
          <w:szCs w:val="24"/>
          <w:lang w:val="en-US"/>
        </w:rPr>
        <w:t xml:space="preserve">and </w:t>
      </w:r>
      <w:r w:rsidRPr="00E901BF">
        <w:rPr>
          <w:rFonts w:ascii="Book Antiqua" w:hAnsi="Book Antiqua" w:cs="Times New Roman"/>
          <w:sz w:val="24"/>
          <w:szCs w:val="24"/>
          <w:lang w:val="en-US"/>
        </w:rPr>
        <w:t>immune modulators, all currently tested in clinical trials for the determination of their efficacy.</w:t>
      </w:r>
      <w:r w:rsidR="00F04A7C" w:rsidRPr="00E901BF">
        <w:rPr>
          <w:rFonts w:ascii="Book Antiqua" w:eastAsia="Times New Roman" w:hAnsi="Book Antiqua" w:cs="Times New Roman"/>
          <w:sz w:val="24"/>
          <w:szCs w:val="24"/>
          <w:lang w:val="en-US"/>
        </w:rPr>
        <w:t xml:space="preserve"> </w:t>
      </w:r>
      <w:r w:rsidRPr="00E901BF">
        <w:rPr>
          <w:rFonts w:ascii="Book Antiqua" w:hAnsi="Book Antiqua" w:cs="Times New Roman"/>
          <w:sz w:val="24"/>
          <w:szCs w:val="24"/>
          <w:lang w:val="en-US"/>
        </w:rPr>
        <w:t xml:space="preserve">Promising results have been demonstrated after </w:t>
      </w:r>
      <w:r w:rsidR="00F04A7C" w:rsidRPr="00E901BF">
        <w:rPr>
          <w:rFonts w:ascii="Book Antiqua" w:eastAsia="Times New Roman" w:hAnsi="Book Antiqua" w:cs="Times New Roman"/>
          <w:sz w:val="24"/>
          <w:szCs w:val="24"/>
          <w:lang w:val="en-US"/>
        </w:rPr>
        <w:t xml:space="preserve">the </w:t>
      </w:r>
      <w:r w:rsidRPr="00E901BF">
        <w:rPr>
          <w:rFonts w:ascii="Book Antiqua" w:hAnsi="Book Antiqua" w:cs="Times New Roman"/>
          <w:sz w:val="24"/>
          <w:szCs w:val="24"/>
          <w:lang w:val="en-US"/>
        </w:rPr>
        <w:t>administration of inhibitors against two major T cell response checkpoints</w:t>
      </w:r>
      <w:r w:rsidR="00112418" w:rsidRPr="00E901BF">
        <w:rPr>
          <w:rFonts w:ascii="Book Antiqua" w:hAnsi="Book Antiqua" w:cs="Times New Roman"/>
          <w:sz w:val="24"/>
          <w:szCs w:val="24"/>
          <w:lang w:val="en-US"/>
        </w:rPr>
        <w:t xml:space="preserve">, </w:t>
      </w:r>
      <w:r w:rsidR="009E78B7" w:rsidRPr="00E901BF">
        <w:rPr>
          <w:rFonts w:ascii="Book Antiqua" w:hAnsi="Book Antiqua" w:cs="Times New Roman"/>
          <w:sz w:val="24"/>
          <w:szCs w:val="24"/>
          <w:lang w:val="en-US"/>
        </w:rPr>
        <w:t>i</w:t>
      </w:r>
      <w:r w:rsidRPr="00E901BF">
        <w:rPr>
          <w:rFonts w:ascii="Book Antiqua" w:hAnsi="Book Antiqua" w:cs="Times New Roman"/>
          <w:sz w:val="24"/>
          <w:szCs w:val="24"/>
          <w:lang w:val="en-US"/>
        </w:rPr>
        <w:t>pilimumab (anti-CTLA-4 IgG1 humanized</w:t>
      </w:r>
      <w:r w:rsidR="00C85B2C" w:rsidRPr="00E901BF">
        <w:rPr>
          <w:rFonts w:ascii="Book Antiqua" w:hAnsi="Book Antiqua" w:cs="Times New Roman"/>
          <w:sz w:val="24"/>
          <w:szCs w:val="24"/>
          <w:lang w:val="en-US"/>
        </w:rPr>
        <w:t xml:space="preserve"> antibody) and Nivolumab/Pembrolizumab (anti-PD-1)</w:t>
      </w:r>
      <w:r w:rsidR="00F04A7C" w:rsidRPr="00E901BF">
        <w:rPr>
          <w:rFonts w:ascii="Book Antiqua" w:eastAsia="Times New Roman" w:hAnsi="Book Antiqua" w:cs="Times New Roman"/>
          <w:sz w:val="24"/>
          <w:szCs w:val="24"/>
          <w:lang w:val="en-US"/>
        </w:rPr>
        <w:t>,</w:t>
      </w:r>
      <w:r w:rsidR="00C85B2C" w:rsidRPr="00E901BF">
        <w:rPr>
          <w:rFonts w:ascii="Book Antiqua" w:hAnsi="Book Antiqua" w:cs="Times New Roman"/>
          <w:sz w:val="24"/>
          <w:szCs w:val="24"/>
          <w:lang w:val="en-US"/>
        </w:rPr>
        <w:t xml:space="preserve"> in various immunogenic cancers</w:t>
      </w:r>
      <w:r w:rsidR="00F04A7C" w:rsidRPr="00E901BF">
        <w:rPr>
          <w:rFonts w:ascii="Book Antiqua" w:eastAsia="Times New Roman" w:hAnsi="Book Antiqua" w:cs="Times New Roman"/>
          <w:sz w:val="24"/>
          <w:szCs w:val="24"/>
          <w:lang w:val="en-US"/>
        </w:rPr>
        <w:t>,</w:t>
      </w:r>
      <w:r w:rsidR="00C85B2C" w:rsidRPr="00E901BF">
        <w:rPr>
          <w:rFonts w:ascii="Book Antiqua" w:hAnsi="Book Antiqua" w:cs="Times New Roman"/>
          <w:sz w:val="24"/>
          <w:szCs w:val="24"/>
          <w:lang w:val="en-US"/>
        </w:rPr>
        <w:t xml:space="preserve"> such as melanoma and </w:t>
      </w:r>
      <w:r w:rsidR="002A33B1" w:rsidRPr="00E901BF">
        <w:rPr>
          <w:rStyle w:val="Emphasis"/>
          <w:rFonts w:ascii="Book Antiqua" w:hAnsi="Book Antiqua" w:cs="Times New Roman"/>
          <w:bCs/>
          <w:i w:val="0"/>
          <w:iCs w:val="0"/>
          <w:sz w:val="24"/>
          <w:szCs w:val="24"/>
          <w:lang w:val="en-US"/>
        </w:rPr>
        <w:t>non</w:t>
      </w:r>
      <w:r w:rsidR="002A33B1" w:rsidRPr="00E901BF">
        <w:rPr>
          <w:rFonts w:ascii="Book Antiqua" w:hAnsi="Book Antiqua" w:cs="Times New Roman"/>
          <w:sz w:val="24"/>
          <w:szCs w:val="24"/>
          <w:lang w:val="en-US"/>
        </w:rPr>
        <w:t xml:space="preserve">-small-cell </w:t>
      </w:r>
      <w:r w:rsidR="002A33B1" w:rsidRPr="00E901BF">
        <w:rPr>
          <w:rStyle w:val="Emphasis"/>
          <w:rFonts w:ascii="Book Antiqua" w:hAnsi="Book Antiqua" w:cs="Times New Roman"/>
          <w:bCs/>
          <w:i w:val="0"/>
          <w:iCs w:val="0"/>
          <w:sz w:val="24"/>
          <w:szCs w:val="24"/>
          <w:lang w:val="en-US"/>
        </w:rPr>
        <w:t>lung cancer</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{"citationItems":[{"id":"ITEM-1","itemData":{"DOI":"10.1056/nejmoa1104621","ISBN":"1533-4406 (Electronic)\\n0028-4793 (Linking)","ISSN":"0028-4793","PMID":"21639810","abstract":"Ipilimumab monotherapy (at a dose of 3 mg per kilogram of body weight), as compared with glycoprotein 100, improved overall survival in a phase 3 study involving patients with previously treated metastatic melanoma. We conducted a phase 3 study of ipilimumab (10 mg per kilogram) plus dacarbazine in patients with previously untreated metastatic melanoma.","author":[{"dropping-particle":"","family":"Robert","given":"Caroline","non-dropping-particle":"","parse-names":false,"suffix":""},{"dropping-particle":"","family":"Miller","given":"Wilson H.","non-dropping-particle":"","parse-names":false,"suffix":""},{"dropping-particle":"","family":"Francis","given":"Stephen","non-dropping-particle":"","parse-names":false,"suffix":""},{"dropping-particle":"","family":"Chen","given":"Tai-Tsang","non-dropping-particle":"","parse-names":false,"suffix":""},{"dropping-particle":"","family":"Ibrahim","given":"Ramy","non-dropping-particle":"","parse-names":false,"suffix":""},{"dropping-particle":"","family":"Hoos","given":"Axel","non-dropping-particle":"","parse-names":false,"suffix":""},{"dropping-particle":"","family":"O'Day","given":"Steven","non-dropping-particle":"","parse-names":false,"suffix":""},{"dropping-particle":"","family":"Wolchok","given":"Jedd D.","non-dropping-particle":"","parse-names":false,"suffix":""},{"dropping-particle":"","family":"Gascon","given":"Pere","non-dropping-particle":"","parse-names":false,"suffix":""},{"dropping-particle":"","family":"Thomas","given":"Luc","non-dropping-particle":"","parse-names":false,"suffix":""},{"dropping-particle":"","family":"Garbe","given":"Claus","non-dropping-particle":"","parse-names":false,"suffix":""},{"dropping-particle":"","family":"Grob","given":"Jean-Jacques","non-dropping-particle":"","parse-names":false,"suffix":""},{"dropping-particle":"","family":"Lebbe","given":"Celeste","non-dropping-particle":"","parse-names":false,"suffix":""},{"dropping-particle":"","family":"Richards","given":"Jon","non-dropping-particle":"","parse-names":false,"suffix":""},{"dropping-particle":"","family":"Maio","given":"Michele","non-dropping-particle":"","parse-names":false,"suffix":""},{"dropping-particle":"","family":"Hauschild","given":"Axel","non-dropping-particle":"","parse-names":false,"suffix":""},{"dropping-particle":"","family":"Baurain","given":"Jean-François","non-dropping-particle":"","parse-names":false,"suffix":""},{"dropping-particle":"","family":"Weber","given":"Jeffrey","non-dropping-particle":"","parse-names":false,"suffix":""},{"dropping-particle":"","family":"Bondarenko","given":"Igor","non-dropping-particle":"","parse-names":false,"suffix":""},{"dropping-particle":"","family":"Lotem","given":"Michal","non-dropping-particle":"","parse-names":false,"suffix":""},{"dropping-particle":"","family":"Testori","given":"Alessandro","non-dropping-particle":"","parse-names":false,"suffix":""},{"dropping-particle":"","family":"Harmankaya","given":"Kaan","non-dropping-particle":"","parse-names":false,"suffix":""},{"dropping-particle":"","family":"Davidson","given":"Neville","non-dropping-particle":"","parse-names":false,"suffix":""},{"dropping-particle":"","family":"Humphrey","given":"Rachel","non-dropping-particle":"","parse-names":false,"suffix":""}],"container-title":"New England Journal of Medicine","id":"ITEM-1","issued":{"date-parts":[["2011"]]},"title":"Ipilimumab plus Dacarbazine for Previously Untreated Metastatic Melanoma","type":"article-journal"},"uris":["http://www.mendeley.com/documents/?uuid=441bbb9a-2043-47a2-ba70-77c9de8a877a"]}],"mendeley":{"formattedCitation":"[50]","plainTextFormattedCitation":"[50]","previouslyFormattedCitation":"[50]"},"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[50</w:t>
      </w:r>
      <w:r w:rsidR="00B422F5" w:rsidRPr="00E901BF">
        <w:rPr>
          <w:rFonts w:ascii="Book Antiqua" w:hAnsi="Book Antiqua" w:cs="Times New Roman"/>
          <w:sz w:val="24"/>
          <w:szCs w:val="24"/>
          <w:vertAlign w:val="superscript"/>
          <w:lang w:val="en-US"/>
        </w:rPr>
        <w:t>-52</w:t>
      </w:r>
      <w:r w:rsidR="002624F0" w:rsidRPr="00E901BF">
        <w:rPr>
          <w:rFonts w:ascii="Book Antiqua" w:hAnsi="Book Antiqua" w:cs="Times New Roman"/>
          <w:sz w:val="24"/>
          <w:szCs w:val="24"/>
          <w:vertAlign w:val="superscript"/>
          <w:lang w:val="en-US"/>
        </w:rPr>
        <w:t>]</w:t>
      </w:r>
      <w:r w:rsidR="00441495" w:rsidRPr="00E901BF">
        <w:rPr>
          <w:rFonts w:ascii="Book Antiqua" w:hAnsi="Book Antiqua" w:cs="Times New Roman"/>
          <w:sz w:val="24"/>
          <w:szCs w:val="24"/>
          <w:vertAlign w:val="superscript"/>
          <w:lang w:val="en-US"/>
        </w:rPr>
        <w:fldChar w:fldCharType="end"/>
      </w:r>
      <w:r w:rsidR="00C85B2C" w:rsidRPr="00E901BF">
        <w:rPr>
          <w:rFonts w:ascii="Book Antiqua" w:hAnsi="Book Antiqua" w:cs="Times New Roman"/>
          <w:sz w:val="24"/>
          <w:szCs w:val="24"/>
          <w:lang w:val="en-US"/>
        </w:rPr>
        <w:t>.</w:t>
      </w:r>
      <w:r w:rsidR="00F04A7C" w:rsidRPr="00E901BF">
        <w:rPr>
          <w:rFonts w:ascii="Book Antiqua" w:eastAsia="Times New Roman" w:hAnsi="Book Antiqua" w:cs="Times New Roman"/>
          <w:sz w:val="24"/>
          <w:szCs w:val="24"/>
          <w:lang w:val="en-US"/>
        </w:rPr>
        <w:t xml:space="preserve"> </w:t>
      </w:r>
      <w:r w:rsidR="00C85B2C" w:rsidRPr="00E901BF">
        <w:rPr>
          <w:rFonts w:ascii="Book Antiqua" w:hAnsi="Book Antiqua" w:cs="Times New Roman"/>
          <w:sz w:val="24"/>
          <w:szCs w:val="24"/>
          <w:lang w:val="en-US"/>
        </w:rPr>
        <w:t xml:space="preserve">CTL-4 binds </w:t>
      </w:r>
      <w:r w:rsidR="00A563A0" w:rsidRPr="00E901BF">
        <w:rPr>
          <w:rFonts w:ascii="Book Antiqua" w:hAnsi="Book Antiqua" w:cs="Times New Roman"/>
          <w:sz w:val="24"/>
          <w:szCs w:val="24"/>
          <w:lang w:val="en-US"/>
        </w:rPr>
        <w:t xml:space="preserve">to </w:t>
      </w:r>
      <w:r w:rsidR="00C85B2C" w:rsidRPr="00E901BF">
        <w:rPr>
          <w:rFonts w:ascii="Book Antiqua" w:hAnsi="Book Antiqua" w:cs="Times New Roman"/>
          <w:sz w:val="24"/>
          <w:szCs w:val="24"/>
          <w:lang w:val="en-US"/>
        </w:rPr>
        <w:t>its ligands on antigen-presenting cells (APCs) and exerts its immunosuppressive role by reducing</w:t>
      </w:r>
      <w:r w:rsidR="00F04A7C" w:rsidRPr="00E901BF">
        <w:rPr>
          <w:rFonts w:ascii="Book Antiqua" w:eastAsia="Times New Roman" w:hAnsi="Book Antiqua" w:cs="Times New Roman"/>
          <w:sz w:val="24"/>
          <w:szCs w:val="24"/>
          <w:lang w:val="en-US"/>
        </w:rPr>
        <w:t xml:space="preserve"> </w:t>
      </w:r>
      <w:r w:rsidR="00C85B2C" w:rsidRPr="00E901BF">
        <w:rPr>
          <w:rFonts w:ascii="Book Antiqua" w:hAnsi="Book Antiqua" w:cs="Times New Roman"/>
          <w:sz w:val="24"/>
          <w:szCs w:val="24"/>
          <w:lang w:val="en-US"/>
        </w:rPr>
        <w:t xml:space="preserve">T effector cell activation while increasing </w:t>
      </w:r>
      <w:proofErr w:type="spellStart"/>
      <w:r w:rsidR="00C85B2C" w:rsidRPr="00E901BF">
        <w:rPr>
          <w:rFonts w:ascii="Book Antiqua" w:hAnsi="Book Antiqua" w:cs="Times New Roman"/>
          <w:sz w:val="24"/>
          <w:szCs w:val="24"/>
          <w:lang w:val="en-US"/>
        </w:rPr>
        <w:t>Treg</w:t>
      </w:r>
      <w:proofErr w:type="spellEnd"/>
      <w:r w:rsidR="00C85B2C" w:rsidRPr="00E901BF">
        <w:rPr>
          <w:rFonts w:ascii="Book Antiqua" w:hAnsi="Book Antiqua" w:cs="Times New Roman"/>
          <w:sz w:val="24"/>
          <w:szCs w:val="24"/>
          <w:lang w:val="en-US"/>
        </w:rPr>
        <w:t xml:space="preserve"> activity</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{"citationItems":[{"id":"ITEM-1","itemData":{"DOI":"10.1093/intimm/dxu076","ISSN":"14602377","abstract":"Targeting CTLA-4 represents a new type of immunotherapeutic approach, namely immune checkpoint inhibition. Blockade of CTLA-4 by ipilimumab was the first strategy to achieve a significant clinical benefit for late-stage melanoma patients in two phase 3 trials. These results fueled the notion of immunotherapy being the breakthrough strategy for oncology in 2013. Subsequently, many trials have been set up to test various immune checkpoint modulators in malignancies, not only in melanoma. In this review, recent new ideas about the mechanism of action of CTLA-4 blockade, its current and future therapeutic use, and the intensive search for biomarkers for response will be discussed. Immune checkpoint blockade, targeting CTLA-4 and/or PD-1/PD-L1, is currently the most promising systemic therapeutic approach to achieve long-lasting responses or even cure in many types of cancer, not just in patients with melanoma.","author":[{"dropping-particle":"","family":"Blank","given":"Christian U.","non-dropping-particle":"","parse-names":false,"suffix":""},{"dropping-particle":"","family":"Enk","given":"Alexander","non-dropping-particle":"","parse-names":false,"suffix":""}],"container-title":"International Immunology","id":"ITEM-1","issued":{"date-parts":[["2015"]]},"title":"Therapeutic use of anti-CTLA-4 antibodies","type":"article-journal"},"uris":["http://www.mendeley.com/documents/?uuid=0aa4fca6-39cf-4fd5-8124-a69598b3a930"]}],"mendeley":{"formattedCitation":"[53]","plainTextFormattedCitation":"[53]","previouslyFormattedCitation":"[53]"},"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2624F0" w:rsidRPr="00E901BF">
        <w:rPr>
          <w:rFonts w:ascii="Book Antiqua" w:hAnsi="Book Antiqua" w:cs="Times New Roman"/>
          <w:sz w:val="24"/>
          <w:szCs w:val="24"/>
          <w:vertAlign w:val="superscript"/>
          <w:lang w:val="en-US"/>
        </w:rPr>
        <w:t>[53]</w:t>
      </w:r>
      <w:r w:rsidR="00441495" w:rsidRPr="00E901BF">
        <w:rPr>
          <w:rFonts w:ascii="Book Antiqua" w:hAnsi="Book Antiqua" w:cs="Times New Roman"/>
          <w:sz w:val="24"/>
          <w:szCs w:val="24"/>
          <w:vertAlign w:val="superscript"/>
          <w:lang w:val="en-US"/>
        </w:rPr>
        <w:fldChar w:fldCharType="end"/>
      </w:r>
      <w:r w:rsidRPr="00E901BF">
        <w:rPr>
          <w:rFonts w:ascii="Book Antiqua" w:hAnsi="Book Antiqua" w:cs="Times New Roman"/>
          <w:sz w:val="24"/>
          <w:szCs w:val="24"/>
          <w:lang w:val="en-US"/>
        </w:rPr>
        <w:t>.</w:t>
      </w:r>
    </w:p>
    <w:p w14:paraId="54A649E4" w14:textId="46A2F99B" w:rsidR="00F4762D" w:rsidRPr="00E901BF" w:rsidRDefault="00F04A7C" w:rsidP="00E901BF">
      <w:pPr>
        <w:autoSpaceDE w:val="0"/>
        <w:autoSpaceDN w:val="0"/>
        <w:adjustRightInd w:val="0"/>
        <w:spacing w:after="0" w:line="360" w:lineRule="auto"/>
        <w:ind w:firstLineChars="100" w:firstLine="240"/>
        <w:jc w:val="both"/>
        <w:rPr>
          <w:rFonts w:ascii="Book Antiqua" w:hAnsi="Book Antiqua" w:cs="Times New Roman"/>
          <w:color w:val="000000"/>
          <w:sz w:val="24"/>
          <w:szCs w:val="24"/>
          <w:shd w:val="clear" w:color="auto" w:fill="FFFFFF"/>
          <w:lang w:val="en-US"/>
        </w:rPr>
      </w:pPr>
      <w:r w:rsidRPr="00E901BF">
        <w:rPr>
          <w:rFonts w:ascii="Book Antiqua" w:hAnsi="Book Antiqua" w:cs="Times New Roman"/>
          <w:sz w:val="24"/>
          <w:szCs w:val="24"/>
          <w:lang w:val="en-US"/>
        </w:rPr>
        <w:lastRenderedPageBreak/>
        <w:t xml:space="preserve">Similarly, binding of PD-1, which is predominantly expressed on T cells, with </w:t>
      </w:r>
      <w:r w:rsidR="006B2B71" w:rsidRPr="00E901BF">
        <w:rPr>
          <w:rFonts w:ascii="Book Antiqua" w:hAnsi="Book Antiqua" w:cs="Times New Roman"/>
          <w:sz w:val="24"/>
          <w:szCs w:val="24"/>
          <w:lang w:val="en-US"/>
        </w:rPr>
        <w:t xml:space="preserve">its </w:t>
      </w:r>
      <w:r w:rsidRPr="00E901BF">
        <w:rPr>
          <w:rFonts w:ascii="Book Antiqua" w:hAnsi="Book Antiqua" w:cs="Times New Roman"/>
          <w:sz w:val="24"/>
          <w:szCs w:val="24"/>
          <w:lang w:val="en-US"/>
        </w:rPr>
        <w:t>ligands PDL-1/PDL-2</w:t>
      </w:r>
      <w:r w:rsidR="006B2B71" w:rsidRPr="00E901BF">
        <w:rPr>
          <w:rFonts w:ascii="Book Antiqua" w:hAnsi="Book Antiqua" w:cs="Times New Roman"/>
          <w:sz w:val="24"/>
          <w:szCs w:val="24"/>
          <w:lang w:val="en-US"/>
        </w:rPr>
        <w:t>, which are</w:t>
      </w:r>
      <w:r w:rsidRPr="00E901BF">
        <w:rPr>
          <w:rFonts w:ascii="Book Antiqua" w:hAnsi="Book Antiqua" w:cs="Times New Roman"/>
          <w:sz w:val="24"/>
          <w:szCs w:val="24"/>
          <w:lang w:val="en-US"/>
        </w:rPr>
        <w:t xml:space="preserve"> found on tumor cells and tumor-infiltrating lymphocytes, results in diminished </w:t>
      </w:r>
      <w:r w:rsidR="000978CF" w:rsidRPr="00E901BF">
        <w:rPr>
          <w:rFonts w:ascii="Book Antiqua" w:hAnsi="Book Antiqua" w:cs="Times New Roman"/>
          <w:sz w:val="24"/>
          <w:szCs w:val="24"/>
          <w:lang w:val="en-US"/>
        </w:rPr>
        <w:t>T cell</w:t>
      </w:r>
      <w:r w:rsidRPr="00E901BF">
        <w:rPr>
          <w:rFonts w:ascii="Book Antiqua" w:hAnsi="Book Antiqua" w:cs="Times New Roman"/>
          <w:sz w:val="24"/>
          <w:szCs w:val="24"/>
          <w:lang w:val="en-US"/>
        </w:rPr>
        <w:t xml:space="preserve"> proliferation and </w:t>
      </w:r>
      <w:r w:rsidR="00936233" w:rsidRPr="00E901BF">
        <w:rPr>
          <w:rFonts w:ascii="Book Antiqua" w:hAnsi="Book Antiqua" w:cs="Times New Roman"/>
          <w:sz w:val="24"/>
          <w:szCs w:val="24"/>
          <w:lang w:val="en-US"/>
        </w:rPr>
        <w:t>antitumor</w:t>
      </w:r>
      <w:r w:rsidRPr="00E901BF">
        <w:rPr>
          <w:rFonts w:ascii="Book Antiqua" w:hAnsi="Book Antiqua" w:cs="Times New Roman"/>
          <w:sz w:val="24"/>
          <w:szCs w:val="24"/>
          <w:lang w:val="en-US"/>
        </w:rPr>
        <w:t xml:space="preserve"> cytokine release. Despite the encouraging evidence from the aforementioned cancer studies, these treatments exhibited poor efficacy to pancreatic cancer when </w:t>
      </w:r>
      <w:r w:rsidRPr="00E901BF">
        <w:rPr>
          <w:rFonts w:ascii="Book Antiqua" w:eastAsia="Times New Roman" w:hAnsi="Book Antiqua" w:cs="Times New Roman"/>
          <w:sz w:val="24"/>
          <w:szCs w:val="24"/>
          <w:lang w:val="en-US"/>
        </w:rPr>
        <w:t>administered</w:t>
      </w:r>
      <w:r w:rsidRPr="00E901BF">
        <w:rPr>
          <w:rFonts w:ascii="Book Antiqua" w:hAnsi="Book Antiqua" w:cs="Times New Roman"/>
          <w:sz w:val="24"/>
          <w:szCs w:val="24"/>
          <w:lang w:val="en-US"/>
        </w:rPr>
        <w:t xml:space="preserve"> alone. </w:t>
      </w:r>
      <w:r w:rsidRPr="00E901BF">
        <w:rPr>
          <w:rFonts w:ascii="Book Antiqua" w:hAnsi="Book Antiqua" w:cs="Times New Roman"/>
          <w:color w:val="000000"/>
          <w:sz w:val="24"/>
          <w:szCs w:val="24"/>
          <w:shd w:val="clear" w:color="auto" w:fill="FFFFFF"/>
          <w:lang w:val="en-US"/>
        </w:rPr>
        <w:t>In a phase II study, ipilimumab was not able to induce tumor response in patients with advanced pancreatic cancer</w:t>
      </w:r>
      <w:r w:rsidRPr="00E901BF">
        <w:rPr>
          <w:rFonts w:ascii="Book Antiqua" w:eastAsia="Times New Roman" w:hAnsi="Book Antiqua" w:cs="Times New Roman"/>
          <w:color w:val="000000"/>
          <w:sz w:val="24"/>
          <w:szCs w:val="24"/>
          <w:lang w:val="en-US"/>
        </w:rPr>
        <w:t>,</w:t>
      </w:r>
      <w:r w:rsidRPr="00E901BF">
        <w:rPr>
          <w:rFonts w:ascii="Book Antiqua" w:hAnsi="Book Antiqua" w:cs="Times New Roman"/>
          <w:color w:val="000000"/>
          <w:sz w:val="24"/>
          <w:szCs w:val="24"/>
          <w:shd w:val="clear" w:color="auto" w:fill="FFFFFF"/>
          <w:lang w:val="en-US"/>
        </w:rPr>
        <w:t xml:space="preserve"> and the anti-PD-L1 monoclonal antibody BMS-93655 had no efficacy in a phase I study</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{"citationItems":[{"id":"ITEM-1","itemData":{"DOI":"10.1016/j.canlet.2015.12.020","ISBN":"0304-3835","ISSN":"18727980","PMID":"26723878","abstract":"Pancreatic cancer remains one of the most lethal cancers with few treatment options. Immune-based strategies to treat pancreatic cancer, such as immune checkpoint inhibitors, therapeutic vaccines, and combination immunotherapies, are showing promise where other approaches have failed. Immune checkpoint inhibitors, including anti-CTLA4, anti-PD-1, and anti-PD-L1 antibodies, are effective as single agents in immune sensitive cancers like melanoma, but lack efficacy in immune insensitive cancers including pancreatic cancer. However, these inhibitors are showing clinical activity, even in traditionally non-immunogenic cancers, when combined with other interventions, including chemotherapy, radiation therapy, and therapeutic vaccines. Therapeutic vaccines given together with immune modulating agents are of particular interest because vaccines are the most efficient way to induce effective anti-tumor T cell responses, which is required for immunotherapies to be effective. In pancreatic cancer, early studies suggest that vaccines can induce T cells that have the potential to recognize and kill pancreatic cancer cells, but the tumor microenvironment inhibits effective T cell trafficking and function. While progress has been made in the development of immunotherapies for pancreatic cancer over the last several years, additional trials are needed to better understand the signals within the tumor microenvironment that are formidable barriers to T cell infiltration and function. Additionally, as more pancreatic specific antigens are identified, immunotherapies will continue to be refined to provide the most significant clinical benefit.","author":[{"dropping-particle":"","family":"Foley","given":"Kelly","non-dropping-particle":"","parse-names":false,"suffix":""},{"dropping-particle":"","family":"Kim","given":"Victoria","non-dropping-particle":"","parse-names":false,"suffix":""},{"dropping-particle":"","family":"Jaffee","given":"Elizabeth","non-dropping-particle":"","parse-names":false,"suffix":""},{"dropping-particle":"","family":"Zheng","given":"Lei","non-dropping-particle":"","parse-names":false,"suffix":""}],"container-title":"Cancer Letters","id":"ITEM-1","issued":{"date-parts":[["2016"]]},"title":"Current progress in immunotherapy for pancreatic cancer","type":"article"},"uris":["http://www.mendeley.com/documents/?uuid=fa4077e4-95b1-43bf-9247-fd49313c0df6"]}],"mendeley":{"formattedCitation":"[54]","plainTextFormattedCitation":"[54]","previouslyFormattedCitation":"[54]"},"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[54</w:t>
      </w:r>
      <w:r w:rsidR="00AA64E7" w:rsidRPr="00E901BF">
        <w:rPr>
          <w:rFonts w:ascii="Book Antiqua" w:hAnsi="Book Antiqua" w:cs="Times New Roman"/>
          <w:color w:val="000000"/>
          <w:sz w:val="24"/>
          <w:szCs w:val="24"/>
          <w:shd w:val="clear" w:color="auto" w:fill="FFFFFF"/>
          <w:vertAlign w:val="superscript"/>
          <w:lang w:val="en-US"/>
        </w:rPr>
        <w:t>-56</w:t>
      </w:r>
      <w:r w:rsidR="002624F0" w:rsidRPr="00E901BF">
        <w:rPr>
          <w:rFonts w:ascii="Book Antiqua" w:hAnsi="Book Antiqua" w:cs="Times New Roman"/>
          <w:color w:val="000000"/>
          <w:sz w:val="24"/>
          <w:szCs w:val="24"/>
          <w:shd w:val="clear" w:color="auto" w:fill="FFFFFF"/>
          <w:vertAlign w:val="superscript"/>
          <w:lang w:val="en-US"/>
        </w:rPr>
        <w:t>]</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sz w:val="24"/>
          <w:szCs w:val="24"/>
          <w:lang w:val="en-US"/>
        </w:rPr>
        <w:t>. The incompetence of these compounds to elicit pancreatic tumor</w:t>
      </w:r>
      <w:r w:rsidR="009840A8" w:rsidRPr="00E901BF">
        <w:rPr>
          <w:rFonts w:ascii="Book Antiqua" w:hAnsi="Book Antiqua" w:cs="Times New Roman"/>
          <w:sz w:val="24"/>
          <w:szCs w:val="24"/>
          <w:lang w:val="en-US"/>
        </w:rPr>
        <w:t xml:space="preserve"> growth inhibition was probably due to </w:t>
      </w:r>
      <w:r w:rsidR="00813FAD" w:rsidRPr="00E901BF">
        <w:rPr>
          <w:rFonts w:ascii="Book Antiqua" w:hAnsi="Book Antiqua" w:cs="Times New Roman"/>
          <w:sz w:val="24"/>
          <w:szCs w:val="24"/>
          <w:lang w:val="en-US"/>
        </w:rPr>
        <w:t xml:space="preserve">the </w:t>
      </w:r>
      <w:r w:rsidR="009840A8" w:rsidRPr="00E901BF">
        <w:rPr>
          <w:rFonts w:ascii="Book Antiqua" w:hAnsi="Book Antiqua" w:cs="Times New Roman"/>
          <w:sz w:val="24"/>
          <w:szCs w:val="24"/>
          <w:lang w:val="en-US"/>
        </w:rPr>
        <w:t>immune</w:t>
      </w:r>
      <w:r w:rsidR="00CF1C47" w:rsidRPr="00E901BF">
        <w:rPr>
          <w:rFonts w:ascii="Book Antiqua" w:hAnsi="Book Antiqua" w:cs="Times New Roman"/>
          <w:sz w:val="24"/>
          <w:szCs w:val="24"/>
          <w:lang w:val="en-US"/>
        </w:rPr>
        <w:t xml:space="preserve"> </w:t>
      </w:r>
      <w:r w:rsidR="009840A8" w:rsidRPr="00E901BF">
        <w:rPr>
          <w:rFonts w:ascii="Book Antiqua" w:hAnsi="Book Antiqua" w:cs="Times New Roman"/>
          <w:sz w:val="24"/>
          <w:szCs w:val="24"/>
          <w:lang w:val="en-US"/>
        </w:rPr>
        <w:t>quiescence, excessive desmoplasia and the lack of consensus expression of PD</w:t>
      </w:r>
      <w:r w:rsidR="00031A10" w:rsidRPr="00E901BF">
        <w:rPr>
          <w:rFonts w:ascii="Book Antiqua" w:hAnsi="Book Antiqua" w:cs="Times New Roman"/>
          <w:sz w:val="24"/>
          <w:szCs w:val="24"/>
          <w:lang w:val="en-US"/>
        </w:rPr>
        <w:t>-</w:t>
      </w:r>
      <w:r w:rsidR="009840A8" w:rsidRPr="00E901BF">
        <w:rPr>
          <w:rFonts w:ascii="Book Antiqua" w:hAnsi="Book Antiqua" w:cs="Times New Roman"/>
          <w:sz w:val="24"/>
          <w:szCs w:val="24"/>
          <w:lang w:val="en-US"/>
        </w:rPr>
        <w:t xml:space="preserve">L1 </w:t>
      </w:r>
      <w:r w:rsidR="00EB6D98" w:rsidRPr="00E901BF">
        <w:rPr>
          <w:rFonts w:ascii="Book Antiqua" w:hAnsi="Book Antiqua" w:cs="Times New Roman"/>
          <w:sz w:val="24"/>
          <w:szCs w:val="24"/>
          <w:lang w:val="en-US"/>
        </w:rPr>
        <w:t>in this type of cancer</w:t>
      </w:r>
      <w:r w:rsidR="00441495" w:rsidRPr="00E901BF">
        <w:rPr>
          <w:rFonts w:ascii="Book Antiqua" w:hAnsi="Book Antiqua" w:cs="Times New Roman"/>
          <w:sz w:val="24"/>
          <w:szCs w:val="24"/>
          <w:vertAlign w:val="superscript"/>
          <w:lang w:val="en-US"/>
        </w:rPr>
        <w:fldChar w:fldCharType="begin" w:fldLock="1"/>
      </w:r>
      <w:r w:rsidR="002624F0" w:rsidRPr="00E901BF">
        <w:rPr>
          <w:rFonts w:ascii="Book Antiqua" w:hAnsi="Book Antiqua" w:cs="Times New Roman"/>
          <w:sz w:val="24"/>
          <w:szCs w:val="24"/>
          <w:vertAlign w:val="superscript"/>
          <w:lang w:val="en-US"/>
        </w:rPr>
        <w:instrText>ADDIN CSL_CITATION {"citationItems":[{"id":"ITEM-1","itemData":{"author":[{"dropping-particle":"","family":"Zheng","given":"","non-dropping-particle":"","parse-names":false,"suffix":""}],"id":"ITEM-1","issued":{"date-parts":[["0"]]},"title":"PD-L1 Expression in Pancreatic Cancer. J Natl Cancer Inst. 2017;109(6):djw304. Published 2017 Jan 28. doi:10.1093/jnci/djw304","type":"article-journal"},"uris":["http://www.mendeley.com/documents/?uuid=86efe7ba-92a0-4535-8b1e-1ba2122a1e3d"]}],"mendeley":{"formattedCitation":"[57]","manualFormatting":"(Zheng 2017)","plainTextFormattedCitation":"[57]","previouslyFormattedCitation":"[57]"},"properties":{"noteIndex":0},"schema":"https://github.com/citation-style-language/schema/raw/master/csl-citation.json"}</w:instrText>
      </w:r>
      <w:r w:rsidR="00441495" w:rsidRPr="00E901BF">
        <w:rPr>
          <w:rFonts w:ascii="Book Antiqua" w:hAnsi="Book Antiqua" w:cs="Times New Roman"/>
          <w:sz w:val="24"/>
          <w:szCs w:val="24"/>
          <w:vertAlign w:val="superscript"/>
          <w:lang w:val="en-US"/>
        </w:rPr>
        <w:fldChar w:fldCharType="separate"/>
      </w:r>
      <w:r w:rsidR="00AA64E7" w:rsidRPr="00E901BF">
        <w:rPr>
          <w:rFonts w:ascii="Book Antiqua" w:hAnsi="Book Antiqua" w:cs="Times New Roman"/>
          <w:sz w:val="24"/>
          <w:szCs w:val="24"/>
          <w:vertAlign w:val="superscript"/>
          <w:lang w:val="en-US"/>
        </w:rPr>
        <w:t>[5</w:t>
      </w:r>
      <w:r w:rsidR="009840A8" w:rsidRPr="00E901BF">
        <w:rPr>
          <w:rFonts w:ascii="Book Antiqua" w:hAnsi="Book Antiqua" w:cs="Times New Roman"/>
          <w:sz w:val="24"/>
          <w:szCs w:val="24"/>
          <w:vertAlign w:val="superscript"/>
          <w:lang w:val="en-US"/>
        </w:rPr>
        <w:t>7</w:t>
      </w:r>
      <w:r w:rsidR="00AA64E7" w:rsidRPr="00E901BF">
        <w:rPr>
          <w:rFonts w:ascii="Book Antiqua" w:hAnsi="Book Antiqua" w:cs="Times New Roman"/>
          <w:sz w:val="24"/>
          <w:szCs w:val="24"/>
          <w:vertAlign w:val="superscript"/>
          <w:lang w:val="en-US"/>
        </w:rPr>
        <w:t>]</w:t>
      </w:r>
      <w:r w:rsidR="00441495" w:rsidRPr="00E901BF">
        <w:rPr>
          <w:rFonts w:ascii="Book Antiqua" w:hAnsi="Book Antiqua" w:cs="Times New Roman"/>
          <w:sz w:val="24"/>
          <w:szCs w:val="24"/>
          <w:vertAlign w:val="superscript"/>
          <w:lang w:val="en-US"/>
        </w:rPr>
        <w:fldChar w:fldCharType="end"/>
      </w:r>
      <w:r w:rsidRPr="00E901BF">
        <w:rPr>
          <w:rFonts w:ascii="Book Antiqua" w:hAnsi="Book Antiqua" w:cs="Times New Roman"/>
          <w:sz w:val="24"/>
          <w:szCs w:val="24"/>
          <w:lang w:val="en-US"/>
        </w:rPr>
        <w:t xml:space="preserve">. Therefore, the incorporation of additional therapies </w:t>
      </w:r>
      <w:r w:rsidR="00031A10" w:rsidRPr="00E901BF">
        <w:rPr>
          <w:rFonts w:ascii="Book Antiqua" w:hAnsi="Book Antiqua" w:cs="Times New Roman"/>
          <w:sz w:val="24"/>
          <w:szCs w:val="24"/>
          <w:lang w:val="en-US"/>
        </w:rPr>
        <w:t>for</w:t>
      </w:r>
      <w:r w:rsidRPr="00E901BF">
        <w:rPr>
          <w:rFonts w:ascii="Book Antiqua" w:hAnsi="Book Antiqua" w:cs="Times New Roman"/>
          <w:sz w:val="24"/>
          <w:szCs w:val="24"/>
          <w:lang w:val="en-US"/>
        </w:rPr>
        <w:t xml:space="preserve"> administration of combinatorial strategies appear</w:t>
      </w:r>
      <w:r w:rsidR="00E02B9B" w:rsidRPr="00E901BF">
        <w:rPr>
          <w:rFonts w:ascii="Book Antiqua" w:hAnsi="Book Antiqua" w:cs="Times New Roman"/>
          <w:sz w:val="24"/>
          <w:szCs w:val="24"/>
          <w:lang w:val="en-US"/>
        </w:rPr>
        <w:t>s</w:t>
      </w:r>
      <w:r w:rsidRPr="00E901BF">
        <w:rPr>
          <w:rFonts w:ascii="Book Antiqua" w:hAnsi="Book Antiqua" w:cs="Times New Roman"/>
          <w:sz w:val="24"/>
          <w:szCs w:val="24"/>
          <w:lang w:val="en-US"/>
        </w:rPr>
        <w:t xml:space="preserve"> </w:t>
      </w:r>
      <w:r w:rsidRPr="00E901BF">
        <w:rPr>
          <w:rFonts w:ascii="Book Antiqua" w:eastAsia="Times New Roman" w:hAnsi="Book Antiqua" w:cs="Times New Roman"/>
          <w:sz w:val="24"/>
          <w:szCs w:val="24"/>
          <w:lang w:val="en-US"/>
        </w:rPr>
        <w:t>to be</w:t>
      </w:r>
      <w:r w:rsidRPr="00E901BF">
        <w:rPr>
          <w:rFonts w:ascii="Book Antiqua" w:hAnsi="Book Antiqua" w:cs="Times New Roman"/>
          <w:sz w:val="24"/>
          <w:szCs w:val="24"/>
          <w:lang w:val="en-US"/>
        </w:rPr>
        <w:t xml:space="preserve"> the ideal approach to </w:t>
      </w:r>
      <w:r w:rsidR="00B63670" w:rsidRPr="00E901BF">
        <w:rPr>
          <w:rFonts w:ascii="Book Antiqua" w:hAnsi="Book Antiqua" w:cs="Times New Roman"/>
          <w:sz w:val="24"/>
          <w:szCs w:val="24"/>
          <w:lang w:val="en-US"/>
        </w:rPr>
        <w:t xml:space="preserve">achieving </w:t>
      </w:r>
      <w:r w:rsidRPr="00E901BF">
        <w:rPr>
          <w:rFonts w:ascii="Book Antiqua" w:hAnsi="Book Antiqua" w:cs="Times New Roman"/>
          <w:sz w:val="24"/>
          <w:szCs w:val="24"/>
          <w:lang w:val="en-US"/>
        </w:rPr>
        <w:t xml:space="preserve">the most efficient response. </w:t>
      </w:r>
      <w:r w:rsidRPr="00E901BF">
        <w:rPr>
          <w:rFonts w:ascii="Book Antiqua" w:hAnsi="Book Antiqua" w:cs="Times New Roman"/>
          <w:color w:val="000000"/>
          <w:sz w:val="24"/>
          <w:szCs w:val="24"/>
          <w:shd w:val="clear" w:color="auto" w:fill="FFFFFF"/>
          <w:lang w:val="en-US"/>
        </w:rPr>
        <w:t xml:space="preserve">A broad spectrum of clinical trials in pancreatic cancer have been completed or are currently ongoing using immune checkpoint monotherapies, dual checkpoint combination therapies and checkpoint </w:t>
      </w:r>
      <w:r w:rsidR="00CA0855" w:rsidRPr="00E901BF">
        <w:rPr>
          <w:rFonts w:ascii="Book Antiqua" w:hAnsi="Book Antiqua" w:cs="Times New Roman"/>
          <w:color w:val="000000"/>
          <w:sz w:val="24"/>
          <w:szCs w:val="24"/>
          <w:shd w:val="clear" w:color="auto" w:fill="FFFFFF"/>
          <w:lang w:val="en-US"/>
        </w:rPr>
        <w:t>inhibitors combined</w:t>
      </w:r>
      <w:r w:rsidRPr="00E901BF">
        <w:rPr>
          <w:rFonts w:ascii="Book Antiqua" w:hAnsi="Book Antiqua" w:cs="Times New Roman"/>
          <w:color w:val="000000"/>
          <w:sz w:val="24"/>
          <w:szCs w:val="24"/>
          <w:shd w:val="clear" w:color="auto" w:fill="FFFFFF"/>
          <w:lang w:val="en-US"/>
        </w:rPr>
        <w:t xml:space="preserve"> with vaccine</w:t>
      </w:r>
      <w:r w:rsidR="00CA0855" w:rsidRPr="00E901BF">
        <w:rPr>
          <w:rFonts w:ascii="Book Antiqua" w:hAnsi="Book Antiqua" w:cs="Times New Roman"/>
          <w:color w:val="000000"/>
          <w:sz w:val="24"/>
          <w:szCs w:val="24"/>
          <w:shd w:val="clear" w:color="auto" w:fill="FFFFFF"/>
          <w:lang w:val="en-US"/>
        </w:rPr>
        <w:t>s</w:t>
      </w:r>
      <w:r w:rsidRPr="00E901BF">
        <w:rPr>
          <w:rFonts w:ascii="Book Antiqua" w:hAnsi="Book Antiqua" w:cs="Times New Roman"/>
          <w:color w:val="000000"/>
          <w:sz w:val="24"/>
          <w:szCs w:val="24"/>
          <w:shd w:val="clear" w:color="auto" w:fill="FFFFFF"/>
          <w:lang w:val="en-US"/>
        </w:rPr>
        <w:t>, cytotoxic chemotherapy and other inhibitory agents. Below</w:t>
      </w:r>
      <w:r w:rsidRPr="00E901BF">
        <w:rPr>
          <w:rFonts w:ascii="Book Antiqua" w:eastAsia="Times New Roman" w:hAnsi="Book Antiqua" w:cs="Times New Roman"/>
          <w:color w:val="000000"/>
          <w:sz w:val="24"/>
          <w:szCs w:val="24"/>
          <w:lang w:val="en-US"/>
        </w:rPr>
        <w:t>,</w:t>
      </w:r>
      <w:r w:rsidRPr="00E901BF">
        <w:rPr>
          <w:rFonts w:ascii="Book Antiqua" w:hAnsi="Book Antiqua" w:cs="Times New Roman"/>
          <w:color w:val="000000"/>
          <w:sz w:val="24"/>
          <w:szCs w:val="24"/>
          <w:shd w:val="clear" w:color="auto" w:fill="FFFFFF"/>
          <w:lang w:val="en-US"/>
        </w:rPr>
        <w:t xml:space="preserve"> there are some examples of the therapeutic strategies followed in these clinical trials:</w:t>
      </w:r>
      <w:r w:rsidR="00AA64E7" w:rsidRPr="00E901BF">
        <w:rPr>
          <w:rFonts w:ascii="Book Antiqua" w:hAnsi="Book Antiqua" w:cs="Times New Roman"/>
          <w:color w:val="000000"/>
          <w:sz w:val="24"/>
          <w:szCs w:val="24"/>
          <w:shd w:val="clear" w:color="auto" w:fill="FFFFFF"/>
          <w:lang w:val="en-US"/>
        </w:rPr>
        <w:t xml:space="preserve"> (1) </w:t>
      </w:r>
      <w:r w:rsidRPr="00E901BF">
        <w:rPr>
          <w:rFonts w:ascii="Book Antiqua" w:hAnsi="Book Antiqua" w:cs="Times New Roman"/>
          <w:color w:val="000000"/>
          <w:sz w:val="24"/>
          <w:szCs w:val="24"/>
          <w:shd w:val="clear" w:color="auto" w:fill="FFFFFF"/>
          <w:lang w:val="en-US"/>
        </w:rPr>
        <w:t>Monotherapies include the administration of various inhibitors against CTL-4 (</w:t>
      </w:r>
      <w:r w:rsidR="00DE6BA8" w:rsidRPr="00E901BF">
        <w:rPr>
          <w:rFonts w:ascii="Book Antiqua" w:hAnsi="Book Antiqua" w:cs="Times New Roman"/>
          <w:color w:val="000000"/>
          <w:sz w:val="24"/>
          <w:szCs w:val="24"/>
          <w:shd w:val="clear" w:color="auto" w:fill="FFFFFF"/>
          <w:lang w:val="en-US"/>
        </w:rPr>
        <w:t>ipilimumab</w:t>
      </w:r>
      <w:r w:rsidR="005569E1" w:rsidRPr="00E901BF">
        <w:rPr>
          <w:rFonts w:ascii="Book Antiqua" w:hAnsi="Book Antiqua" w:cs="Times New Roman"/>
          <w:color w:val="000000"/>
          <w:sz w:val="24"/>
          <w:szCs w:val="24"/>
          <w:shd w:val="clear" w:color="auto" w:fill="FFFFFF"/>
          <w:lang w:val="en-US"/>
        </w:rPr>
        <w:t xml:space="preserve">, </w:t>
      </w:r>
      <w:proofErr w:type="spellStart"/>
      <w:r w:rsidR="005569E1" w:rsidRPr="00E901BF">
        <w:rPr>
          <w:rFonts w:ascii="Book Antiqua" w:hAnsi="Book Antiqua" w:cs="Times New Roman"/>
          <w:color w:val="000000"/>
          <w:sz w:val="24"/>
          <w:szCs w:val="24"/>
          <w:shd w:val="clear" w:color="auto" w:fill="FFFFFF"/>
          <w:lang w:val="en-US"/>
        </w:rPr>
        <w:t>tremelimumab</w:t>
      </w:r>
      <w:proofErr w:type="spellEnd"/>
      <w:r w:rsidR="002C2002" w:rsidRPr="00E901BF">
        <w:rPr>
          <w:rFonts w:ascii="Book Antiqua" w:hAnsi="Book Antiqua" w:cs="Times New Roman"/>
          <w:color w:val="000000"/>
          <w:sz w:val="24"/>
          <w:szCs w:val="24"/>
          <w:shd w:val="clear" w:color="auto" w:fill="FFFFFF"/>
          <w:lang w:val="en-US"/>
        </w:rPr>
        <w:t xml:space="preserve">) and </w:t>
      </w:r>
      <w:r w:rsidRPr="00E901BF">
        <w:rPr>
          <w:rFonts w:ascii="Book Antiqua" w:hAnsi="Book Antiqua" w:cs="Times New Roman"/>
          <w:color w:val="000000"/>
          <w:sz w:val="24"/>
          <w:szCs w:val="24"/>
          <w:shd w:val="clear" w:color="auto" w:fill="FFFFFF"/>
          <w:lang w:val="en-US"/>
        </w:rPr>
        <w:t>PD-1 (</w:t>
      </w:r>
      <w:r w:rsidR="005569E1" w:rsidRPr="00E901BF">
        <w:rPr>
          <w:rFonts w:ascii="Book Antiqua" w:hAnsi="Book Antiqua" w:cs="Times New Roman"/>
          <w:color w:val="000000"/>
          <w:sz w:val="24"/>
          <w:szCs w:val="24"/>
          <w:shd w:val="clear" w:color="auto" w:fill="FFFFFF"/>
          <w:lang w:val="en-US"/>
        </w:rPr>
        <w:t>pembrolizumab</w:t>
      </w:r>
      <w:r w:rsidRPr="00E901BF">
        <w:rPr>
          <w:rFonts w:ascii="Book Antiqua" w:hAnsi="Book Antiqua" w:cs="Times New Roman"/>
          <w:color w:val="000000"/>
          <w:sz w:val="24"/>
          <w:szCs w:val="24"/>
          <w:shd w:val="clear" w:color="auto" w:fill="FFFFFF"/>
          <w:lang w:val="en-US"/>
        </w:rPr>
        <w:t>, MPDL3280A, MEDI4736)</w:t>
      </w:r>
      <w:r w:rsidRPr="00E901BF">
        <w:rPr>
          <w:rFonts w:ascii="Book Antiqua" w:eastAsia="Times New Roman" w:hAnsi="Book Antiqua" w:cs="Times New Roman"/>
          <w:color w:val="000000"/>
          <w:sz w:val="24"/>
          <w:szCs w:val="24"/>
          <w:lang w:val="en-US"/>
        </w:rPr>
        <w:t>,</w:t>
      </w:r>
      <w:r w:rsidRPr="00E901BF">
        <w:rPr>
          <w:rFonts w:ascii="Book Antiqua" w:hAnsi="Book Antiqua" w:cs="Times New Roman"/>
          <w:color w:val="000000"/>
          <w:sz w:val="24"/>
          <w:szCs w:val="24"/>
          <w:shd w:val="clear" w:color="auto" w:fill="FFFFFF"/>
          <w:lang w:val="en-US"/>
        </w:rPr>
        <w:t xml:space="preserve"> and dual checkpoint inhibition </w:t>
      </w:r>
      <w:r w:rsidR="004B6E51" w:rsidRPr="00E901BF">
        <w:rPr>
          <w:rFonts w:ascii="Book Antiqua" w:hAnsi="Book Antiqua" w:cs="Times New Roman"/>
          <w:color w:val="000000"/>
          <w:sz w:val="24"/>
          <w:szCs w:val="24"/>
          <w:shd w:val="clear" w:color="auto" w:fill="FFFFFF"/>
          <w:lang w:val="en-US"/>
        </w:rPr>
        <w:t>includin</w:t>
      </w:r>
      <w:r w:rsidR="00501EFF" w:rsidRPr="00E901BF">
        <w:rPr>
          <w:rFonts w:ascii="Book Antiqua" w:hAnsi="Book Antiqua" w:cs="Times New Roman"/>
          <w:color w:val="000000"/>
          <w:sz w:val="24"/>
          <w:szCs w:val="24"/>
          <w:shd w:val="clear" w:color="auto" w:fill="FFFFFF"/>
          <w:lang w:val="en-US"/>
        </w:rPr>
        <w:t>g</w:t>
      </w:r>
      <w:r w:rsidR="004B6E51" w:rsidRPr="00E901BF">
        <w:rPr>
          <w:rFonts w:ascii="Book Antiqua" w:hAnsi="Book Antiqua" w:cs="Times New Roman"/>
          <w:color w:val="000000"/>
          <w:sz w:val="24"/>
          <w:szCs w:val="24"/>
          <w:shd w:val="clear" w:color="auto" w:fill="FFFFFF"/>
          <w:lang w:val="en-US"/>
        </w:rPr>
        <w:t xml:space="preserve"> </w:t>
      </w:r>
      <w:r w:rsidRPr="00E901BF">
        <w:rPr>
          <w:rFonts w:ascii="Book Antiqua" w:hAnsi="Book Antiqua" w:cs="Times New Roman"/>
          <w:color w:val="000000"/>
          <w:sz w:val="24"/>
          <w:szCs w:val="24"/>
          <w:shd w:val="clear" w:color="auto" w:fill="FFFFFF"/>
          <w:lang w:val="en-US"/>
        </w:rPr>
        <w:t>the combination</w:t>
      </w:r>
      <w:r w:rsidR="00C40B88" w:rsidRPr="00E901BF">
        <w:rPr>
          <w:rFonts w:ascii="Book Antiqua" w:hAnsi="Book Antiqua" w:cs="Times New Roman"/>
          <w:color w:val="000000"/>
          <w:sz w:val="24"/>
          <w:szCs w:val="24"/>
          <w:shd w:val="clear" w:color="auto" w:fill="FFFFFF"/>
          <w:lang w:val="en-US"/>
        </w:rPr>
        <w:t>s</w:t>
      </w:r>
      <w:r w:rsidRPr="00E901BF">
        <w:rPr>
          <w:rFonts w:ascii="Book Antiqua" w:hAnsi="Book Antiqua" w:cs="Times New Roman"/>
          <w:color w:val="000000"/>
          <w:sz w:val="24"/>
          <w:szCs w:val="24"/>
          <w:shd w:val="clear" w:color="auto" w:fill="FFFFFF"/>
          <w:lang w:val="en-US"/>
        </w:rPr>
        <w:t xml:space="preserve"> of these agents with</w:t>
      </w:r>
      <w:r w:rsidR="00FB22B8" w:rsidRPr="00E901BF">
        <w:rPr>
          <w:rFonts w:ascii="Book Antiqua" w:hAnsi="Book Antiqua" w:cs="Times New Roman"/>
          <w:color w:val="000000"/>
          <w:sz w:val="24"/>
          <w:szCs w:val="24"/>
          <w:shd w:val="clear" w:color="auto" w:fill="FFFFFF"/>
          <w:lang w:val="en-US"/>
        </w:rPr>
        <w:t xml:space="preserve"> each other or with</w:t>
      </w:r>
      <w:r w:rsidRPr="00E901BF">
        <w:rPr>
          <w:rFonts w:ascii="Book Antiqua" w:hAnsi="Book Antiqua" w:cs="Times New Roman"/>
          <w:color w:val="000000"/>
          <w:sz w:val="24"/>
          <w:szCs w:val="24"/>
          <w:shd w:val="clear" w:color="auto" w:fill="FFFFFF"/>
          <w:lang w:val="en-US"/>
        </w:rPr>
        <w:t xml:space="preserve"> other agents such as </w:t>
      </w:r>
      <w:r w:rsidR="00475C5E" w:rsidRPr="00E901BF">
        <w:rPr>
          <w:rFonts w:ascii="Book Antiqua" w:hAnsi="Book Antiqua" w:cs="Times New Roman"/>
          <w:color w:val="000000"/>
          <w:sz w:val="24"/>
          <w:szCs w:val="24"/>
          <w:shd w:val="clear" w:color="auto" w:fill="FFFFFF"/>
          <w:lang w:val="en-US"/>
        </w:rPr>
        <w:t xml:space="preserve">mogamulizumab </w:t>
      </w:r>
      <w:r w:rsidRPr="00E901BF">
        <w:rPr>
          <w:rFonts w:ascii="Book Antiqua" w:hAnsi="Book Antiqua" w:cs="Times New Roman"/>
          <w:color w:val="000000"/>
          <w:sz w:val="24"/>
          <w:szCs w:val="24"/>
          <w:shd w:val="clear" w:color="auto" w:fill="FFFFFF"/>
          <w:lang w:val="en-US"/>
        </w:rPr>
        <w:t>(anti-CCR-5)</w:t>
      </w:r>
      <w:r w:rsidR="00AA64E7" w:rsidRPr="00E901BF">
        <w:rPr>
          <w:rFonts w:ascii="Book Antiqua" w:hAnsi="Book Antiqua" w:cs="Times New Roman"/>
          <w:color w:val="000000"/>
          <w:sz w:val="24"/>
          <w:szCs w:val="24"/>
          <w:shd w:val="clear" w:color="auto" w:fill="FFFFFF"/>
          <w:lang w:val="en-US"/>
        </w:rPr>
        <w:t xml:space="preserve">; (2) </w:t>
      </w:r>
      <w:r w:rsidRPr="00E901BF">
        <w:rPr>
          <w:rFonts w:ascii="Book Antiqua" w:hAnsi="Book Antiqua" w:cs="Times New Roman"/>
          <w:color w:val="000000"/>
          <w:sz w:val="24"/>
          <w:szCs w:val="24"/>
          <w:shd w:val="clear" w:color="auto" w:fill="FFFFFF"/>
          <w:lang w:val="en-US"/>
        </w:rPr>
        <w:t>Immune checkpoint inhibitors in combination with chemotherapeutic agents consist of combinations of CTL4 and/or</w:t>
      </w:r>
      <w:r w:rsidR="00145125" w:rsidRPr="00E901BF">
        <w:rPr>
          <w:rFonts w:ascii="Book Antiqua" w:hAnsi="Book Antiqua" w:cs="Times New Roman"/>
          <w:color w:val="000000"/>
          <w:sz w:val="24"/>
          <w:szCs w:val="24"/>
          <w:shd w:val="clear" w:color="auto" w:fill="FFFFFF"/>
          <w:lang w:val="en-US"/>
        </w:rPr>
        <w:t xml:space="preserve"> PD-1 inhibitors with conventional chemotherapeutic agents such as gemcitabine, Nab-paclitaxel, </w:t>
      </w:r>
      <w:r w:rsidR="00D14B25" w:rsidRPr="00E901BF">
        <w:rPr>
          <w:rFonts w:ascii="Book Antiqua" w:hAnsi="Book Antiqua" w:cs="Times New Roman"/>
          <w:color w:val="000000"/>
          <w:sz w:val="24"/>
          <w:szCs w:val="24"/>
          <w:shd w:val="clear" w:color="auto" w:fill="FFFFFF"/>
          <w:lang w:val="en-US"/>
        </w:rPr>
        <w:t>FOLFOX</w:t>
      </w:r>
      <w:r w:rsidR="00145125" w:rsidRPr="00E901BF">
        <w:rPr>
          <w:rFonts w:ascii="Book Antiqua" w:hAnsi="Book Antiqua" w:cs="Times New Roman"/>
          <w:color w:val="000000"/>
          <w:sz w:val="24"/>
          <w:szCs w:val="24"/>
          <w:shd w:val="clear" w:color="auto" w:fill="FFFFFF"/>
          <w:lang w:val="en-US"/>
        </w:rPr>
        <w:t xml:space="preserve">, </w:t>
      </w:r>
      <w:r w:rsidR="009C7F3C" w:rsidRPr="00E901BF">
        <w:rPr>
          <w:rFonts w:ascii="Book Antiqua" w:hAnsi="Book Antiqua" w:cs="Times New Roman"/>
          <w:color w:val="000000"/>
          <w:sz w:val="24"/>
          <w:szCs w:val="24"/>
          <w:shd w:val="clear" w:color="auto" w:fill="FFFFFF"/>
          <w:lang w:val="en-US"/>
        </w:rPr>
        <w:t xml:space="preserve">and </w:t>
      </w:r>
      <w:r w:rsidR="00145125" w:rsidRPr="00E901BF">
        <w:rPr>
          <w:rFonts w:ascii="Book Antiqua" w:hAnsi="Book Antiqua" w:cs="Times New Roman"/>
          <w:color w:val="000000"/>
          <w:sz w:val="24"/>
          <w:szCs w:val="24"/>
          <w:shd w:val="clear" w:color="auto" w:fill="FFFFFF"/>
          <w:lang w:val="en-US"/>
        </w:rPr>
        <w:t>carboplatin</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{"citationItems":[{"id":"ITEM-1","itemData":{"DOI":"10.1158/1078-0432.CCR-06-2746","ISSN":"10780432","abstract":"PURPOSE: The programmed death-1 ligand/programmed death-1 (PD-L/PD-1) pathway has been recently suggested to play a pivotal role in the immune evasion of tumors from host immune system. In this study, we tried to reveal the clinical importance and therapeutic potential of the PD-L/PD-1 pathway in pancreatic cancer, which is one of the most aggressive and intractable malignant tumors.\\n\\nEXPERIMENTAL DESIGN: We used immunohistochemistry to investigate PD-L expression in 51 patients with pancreatic cancer who underwent surgery and explored the therapeutic efficacy of blocking the PD-L1/PD-1 pathway in murine pancreatic cancer in vivo.\\n\\nRESULTS: PD-L1-positive patients had a significantly poorer prognosis than the PD-L1-negative patients, whereas there was no significant correlation of tumor PD-L2 expression with patient survival. PD-L1 expression was inversely correlated with tumor-infiltrating T lymphocytes, particularly CD8(+) T cells. These clinical data have suggested that the PD-L1/PD-1 pathway may be a critical regulator in human pancreatic cancer. Monoclonal antibodies against PD-L1 or PD-1 induced a substantial antitumor effect on murine pancreatic cancer in vivo. PD-L1 blockade promoted CD8(+) T-cell infiltration into the tumor and induced local immune activation. Furthermore, the combination of anti-PD-L1 monoclonal antibody and gemcitabine exhibited a significant synergistic effect on murine pancreatic cancer and resulted in complete response without overt toxicity.\\n\\nCONCLUSION: Our data suggest for the first time that PD-L1 status may be a new predictor of prognosis for patients with pancreatic cancer and provide the rationale for developing a novel therapy of targeting the PD-L/PD-1 pathway against this fatal disease.","author":[{"dropping-particle":"","family":"Nomi","given":"Takeo","non-dropping-particle":"","parse-names":false,"suffix":""},{"dropping-particle":"","family":"Sho","given":"Masayuki","non-dropping-particle":"","parse-names":false,"suffix":""},{"dropping-particle":"","family":"Akahori","given":"Takahiro","non-dropping-particle":"","parse-names":false,"suffix":""},{"dropping-particle":"","family":"Hamada","given":"Kaoru","non-dropping-particle":"","parse-names":false,"suffix":""},{"dropping-particle":"","family":"Kubo","given":"Atsushi","non-dropping-particle":"","parse-names":false,"suffix":""},{"dropping-particle":"","family":"Kanehiro","given":"Hiromichi","non-dropping-particle":"","parse-names":false,"suffix":""},{"dropping-particle":"","family":"Nakamura","given":"Shinji","non-dropping-particle":"","parse-names":false,"suffix":""},{"dropping-particle":"","family":"Enomoto","given":"Koji","non-dropping-particle":"","parse-names":false,"suffix":""},{"dropping-particle":"","family":"Yagita","given":"Hideo","non-dropping-particle":"","parse-names":false,"suffix":""},{"dropping-particle":"","family":"Azuma","given":"Miyuki","non-dropping-particle":"","parse-names":false,"suffix":""},{"dropping-particle":"","family":"Nakajima","given":"Yoshiyuki","non-dropping-particle":"","parse-names":false,"suffix":""}],"container-title":"Clinical Cancer Research","id":"ITEM-1","issued":{"date-parts":[["2007"]]},"title":"Clinical significance and therapeutic potential of the programmed death-1 ligand/programmed death-1 pathway in human pancreatic cancer","type":"article-journal"},"uris":["http://www.mendeley.com/documents/?uuid=87e36efb-0942-4267-ab03-fe1c7eb5326b"]}],"mendeley":{"formattedCitation":"[59]","plainTextFormattedCitation":"[59]","previouslyFormattedCitation":"[59]"},"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[5</w:t>
      </w:r>
      <w:r w:rsidR="00E901BF" w:rsidRPr="00E901BF">
        <w:rPr>
          <w:rFonts w:ascii="Book Antiqua" w:hAnsi="Book Antiqua" w:cs="Times New Roman"/>
          <w:color w:val="000000"/>
          <w:sz w:val="24"/>
          <w:szCs w:val="24"/>
          <w:shd w:val="clear" w:color="auto" w:fill="FFFFFF"/>
          <w:vertAlign w:val="superscript"/>
          <w:lang w:val="en-US"/>
        </w:rPr>
        <w:t>8-</w:t>
      </w:r>
      <w:r w:rsidR="00AA64E7" w:rsidRPr="00E901BF">
        <w:rPr>
          <w:rFonts w:ascii="Book Antiqua" w:hAnsi="Book Antiqua" w:cs="Times New Roman"/>
          <w:color w:val="000000"/>
          <w:sz w:val="24"/>
          <w:szCs w:val="24"/>
          <w:shd w:val="clear" w:color="auto" w:fill="FFFFFF"/>
          <w:vertAlign w:val="superscript"/>
          <w:lang w:val="en-US"/>
        </w:rPr>
        <w:t>60</w:t>
      </w:r>
      <w:r w:rsidR="002624F0" w:rsidRPr="00E901BF">
        <w:rPr>
          <w:rFonts w:ascii="Book Antiqua" w:hAnsi="Book Antiqua" w:cs="Times New Roman"/>
          <w:color w:val="000000"/>
          <w:sz w:val="24"/>
          <w:szCs w:val="24"/>
          <w:shd w:val="clear" w:color="auto" w:fill="FFFFFF"/>
          <w:vertAlign w:val="superscript"/>
          <w:lang w:val="en-US"/>
        </w:rPr>
        <w:t>]</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A phase I clinical study investigating the efficacy of gemcitabine and </w:t>
      </w:r>
      <w:proofErr w:type="spellStart"/>
      <w:r w:rsidRPr="00E901BF">
        <w:rPr>
          <w:rFonts w:ascii="Book Antiqua" w:hAnsi="Book Antiqua" w:cs="Times New Roman"/>
          <w:color w:val="000000"/>
          <w:sz w:val="24"/>
          <w:szCs w:val="24"/>
          <w:shd w:val="clear" w:color="auto" w:fill="FFFFFF"/>
          <w:lang w:val="en-US"/>
        </w:rPr>
        <w:t>tremelimumab</w:t>
      </w:r>
      <w:proofErr w:type="spellEnd"/>
      <w:r w:rsidRPr="00E901BF">
        <w:rPr>
          <w:rFonts w:ascii="Book Antiqua" w:hAnsi="Book Antiqua" w:cs="Times New Roman"/>
          <w:color w:val="000000"/>
          <w:sz w:val="24"/>
          <w:szCs w:val="24"/>
          <w:shd w:val="clear" w:color="auto" w:fill="FFFFFF"/>
          <w:lang w:val="en-US"/>
        </w:rPr>
        <w:t xml:space="preserve"> in metastatic pancreatic cancer showed a partial response </w:t>
      </w:r>
      <w:r w:rsidR="00345CAE" w:rsidRPr="00E901BF">
        <w:rPr>
          <w:rFonts w:ascii="Book Antiqua" w:hAnsi="Book Antiqua" w:cs="Times New Roman"/>
          <w:color w:val="000000"/>
          <w:sz w:val="24"/>
          <w:szCs w:val="24"/>
          <w:shd w:val="clear" w:color="auto" w:fill="FFFFFF"/>
          <w:lang w:val="en-US"/>
        </w:rPr>
        <w:t xml:space="preserve">in </w:t>
      </w:r>
      <w:r w:rsidRPr="00E901BF">
        <w:rPr>
          <w:rFonts w:ascii="Book Antiqua" w:hAnsi="Book Antiqua" w:cs="Times New Roman"/>
          <w:color w:val="000000"/>
          <w:sz w:val="24"/>
          <w:szCs w:val="24"/>
          <w:shd w:val="clear" w:color="auto" w:fill="FFFFFF"/>
          <w:lang w:val="en-US"/>
        </w:rPr>
        <w:t>some patients</w:t>
      </w:r>
      <w:r w:rsidRPr="00E901BF">
        <w:rPr>
          <w:rFonts w:ascii="Book Antiqua" w:eastAsia="Times New Roman" w:hAnsi="Book Antiqua" w:cs="Times New Roman"/>
          <w:color w:val="000000"/>
          <w:sz w:val="24"/>
          <w:szCs w:val="24"/>
          <w:lang w:val="en-US"/>
        </w:rPr>
        <w:t>,</w:t>
      </w:r>
      <w:r w:rsidRPr="00E901BF">
        <w:rPr>
          <w:rFonts w:ascii="Book Antiqua" w:hAnsi="Book Antiqua" w:cs="Times New Roman"/>
          <w:color w:val="000000"/>
          <w:sz w:val="24"/>
          <w:szCs w:val="24"/>
          <w:shd w:val="clear" w:color="auto" w:fill="FFFFFF"/>
          <w:lang w:val="en-US"/>
        </w:rPr>
        <w:t xml:space="preserve"> and the disease remained stable for more than ten</w:t>
      </w:r>
      <w:r w:rsidR="00C04D15" w:rsidRPr="00E901BF">
        <w:rPr>
          <w:rFonts w:ascii="Book Antiqua" w:hAnsi="Book Antiqua" w:cs="Times New Roman"/>
          <w:color w:val="000000"/>
          <w:sz w:val="24"/>
          <w:szCs w:val="24"/>
          <w:shd w:val="clear" w:color="auto" w:fill="FFFFFF"/>
          <w:lang w:val="en-US"/>
        </w:rPr>
        <w:t xml:space="preserve"> weeks</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{"citationItems":[{"id":"ITEM-1","itemData":{"DOI":"10.1093/annonc/mdu205","ISSN":"15698041","PMID":"24907635","abstract":"BACKGROUND: Tremelimumab (CP-675,206) is a fully human monoclonal antibody binding to cytotoxic T-lymphocyte-associated antigen 4 (CTLA4) on T cells that stimulates the immune system by blocking the CTLA4-negative regulatory signal. Combination with standard chemotherapy may strengthen antitumor therapy. This is a phase Ib, multisite, open-label, nonrandomized dose escalation trial evaluating the safety, tolerability, and maximum tolerated dose (MTD) of tremelimumab combined with gemcitabine in patients with metastatic pancreatic cancer.\\n\\nPATIENTS AND METHODS: Gemcitabine (1000 mg/m(2) on days 1, 8, and 15 of each 28-day cycles) was administrated with escalating doses of i.v. tremelimumab (6, 10, or 15 mg/kg) on day 1 of each 84-day cycle for a maximum of 4 cycles. The first 18 patients had an initial 4-week gemcitabine-only lead-in period. Dose-limiting toxicities (DLTs) related to tremelimumab were evaluated during the first 6 weeks after the first dose of tremelimumab.\\n\\nRESULTS: From June 2008 to August 2011, 34 patients were enrolled and received at least one dose of tremelimumab. No DLTs related to tremelimumab were observed at any dose, even when the maximum dose established for tremelimumab (15 mg/kg) was used. Most frequent grade 3/4 toxicities were asthenia (11.8%) and nausea (8.8%). Only one patient had a serious drug-related event (diarrhea with dehydration). The median overall survival was 7.4 months (95% confidence interval 5.8-9.4 months). At the end of treatment, two patients achieved partial response. Both patients received tremelimumab 15-mg/kg group (n = 2/19, 10.5%).\\n\\nCONCLUSION: Tremelimumab plus gemcitabine demonstrated a safety and tolerability profile, warranting further study in patients with metastatic pancreatic cancer.\\n\\nCLINICALTRIALSGOV ID: NCT00556023.","author":[{"dropping-particle":"","family":"Aglietta","given":"M.","non-dropping-particle":"","parse-names":false,"suffix":""},{"dropping-particle":"","family":"Barone","given":"C.","non-dropping-particle":"","parse-names":false,"suffix":""},{"dropping-particle":"","family":"Sawyer","given":"M. B.","non-dropping-particle":"","parse-names":false,"suffix":""},{"dropping-particle":"","family":"Moore","given":"M. J.","non-dropping-particle":"","parse-names":false,"suffix":""},{"dropping-particle":"","family":"Miller","given":"W. H.","non-dropping-particle":"","parse-names":false,"suffix":""},{"dropping-particle":"","family":"Bagalà","given":"C.","non-dropping-particle":"","parse-names":false,"suffix":""},{"dropping-particle":"","family":"Colombi","given":"F.","non-dropping-particle":"","parse-names":false,"suffix":""},{"dropping-particle":"","family":"Cagnazzo","given":"C.","non-dropping-particle":"","parse-names":false,"suffix":""},{"dropping-particle":"","family":"Gioeni","given":"L.","non-dropping-particle":"","parse-names":false,"suffix":""},{"dropping-particle":"","family":"Wang","given":"E.","non-dropping-particle":"","parse-names":false,"suffix":""},{"dropping-particle":"","family":"Huang","given":"B.","non-dropping-particle":"","parse-names":false,"suffix":""},{"dropping-particle":"","family":"Fly","given":"K. D.","non-dropping-particle":"","parse-names":false,"suffix":""},{"dropping-particle":"","family":"Leone","given":"F.","non-dropping-particle":"","parse-names":false,"suffix":""}],"container-title":"Annals of Oncology","id":"ITEM-1","issued":{"date-parts":[["2014"]]},"title":"A phase I dose escalation trial of tremelimumab (CP-675,206) in combination with gemcitabine in chemotherapy-naive patients with metastatic pancreatic cancer","type":"article-journal"},"uris":["http://www.mendeley.com/documents/?uuid=c706d8ec-d39b-4e9b-a1df-279aa15b66f3"]}],"mendeley":{"formattedCitation":"[61]","plainTextFormattedCitation":"[61]","previouslyFormattedCitation":"[61]"},"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[61]</w:t>
      </w:r>
      <w:r w:rsidR="00441495" w:rsidRPr="00E901BF">
        <w:rPr>
          <w:rFonts w:ascii="Book Antiqua" w:hAnsi="Book Antiqua" w:cs="Times New Roman"/>
          <w:color w:val="000000"/>
          <w:sz w:val="24"/>
          <w:szCs w:val="24"/>
          <w:shd w:val="clear" w:color="auto" w:fill="FFFFFF"/>
          <w:vertAlign w:val="superscript"/>
          <w:lang w:val="en-US"/>
        </w:rPr>
        <w:fldChar w:fldCharType="end"/>
      </w:r>
      <w:r w:rsidR="00C04D15" w:rsidRPr="00E901BF">
        <w:rPr>
          <w:rFonts w:ascii="Book Antiqua" w:hAnsi="Book Antiqua" w:cs="Times New Roman"/>
          <w:color w:val="000000"/>
          <w:sz w:val="24"/>
          <w:szCs w:val="24"/>
          <w:shd w:val="clear" w:color="auto" w:fill="FFFFFF"/>
          <w:lang w:val="en-US"/>
        </w:rPr>
        <w:t xml:space="preserve">. In another study of unresectable pancreatic cancer, </w:t>
      </w:r>
      <w:r w:rsidR="00345CAE" w:rsidRPr="00E901BF">
        <w:rPr>
          <w:rFonts w:ascii="Book Antiqua" w:hAnsi="Book Antiqua" w:cs="Times New Roman"/>
          <w:color w:val="000000"/>
          <w:sz w:val="24"/>
          <w:szCs w:val="24"/>
          <w:shd w:val="clear" w:color="auto" w:fill="FFFFFF"/>
          <w:lang w:val="en-US"/>
        </w:rPr>
        <w:t xml:space="preserve">ipilimumab </w:t>
      </w:r>
      <w:r w:rsidR="00C04D15" w:rsidRPr="00E901BF">
        <w:rPr>
          <w:rFonts w:ascii="Book Antiqua" w:hAnsi="Book Antiqua" w:cs="Times New Roman"/>
          <w:color w:val="000000"/>
          <w:sz w:val="24"/>
          <w:szCs w:val="24"/>
          <w:shd w:val="clear" w:color="auto" w:fill="FFFFFF"/>
          <w:lang w:val="en-US"/>
        </w:rPr>
        <w:t xml:space="preserve">and gemcitabine combinatorial treatment had similar </w:t>
      </w:r>
      <w:proofErr w:type="gramStart"/>
      <w:r w:rsidR="00C04D15" w:rsidRPr="00E901BF">
        <w:rPr>
          <w:rFonts w:ascii="Book Antiqua" w:hAnsi="Book Antiqua" w:cs="Times New Roman"/>
          <w:color w:val="000000"/>
          <w:sz w:val="24"/>
          <w:szCs w:val="24"/>
          <w:shd w:val="clear" w:color="auto" w:fill="FFFFFF"/>
          <w:lang w:val="en-US"/>
        </w:rPr>
        <w:t>results</w:t>
      </w:r>
      <w:r w:rsidR="00E901BF" w:rsidRPr="00E901BF">
        <w:rPr>
          <w:rFonts w:ascii="Book Antiqua" w:hAnsi="Book Antiqua" w:cs="Times New Roman"/>
          <w:color w:val="000000"/>
          <w:sz w:val="24"/>
          <w:szCs w:val="24"/>
          <w:shd w:val="clear" w:color="auto" w:fill="FFFFFF"/>
          <w:vertAlign w:val="superscript"/>
          <w:lang w:val="en-US"/>
        </w:rPr>
        <w:t>[</w:t>
      </w:r>
      <w:proofErr w:type="gramEnd"/>
      <w:r w:rsidR="00E901BF" w:rsidRPr="00E901BF">
        <w:rPr>
          <w:rFonts w:ascii="Book Antiqua" w:hAnsi="Book Antiqua" w:cs="Times New Roman"/>
          <w:color w:val="000000"/>
          <w:sz w:val="24"/>
          <w:szCs w:val="24"/>
          <w:shd w:val="clear" w:color="auto" w:fill="FFFFFF"/>
          <w:vertAlign w:val="superscript"/>
          <w:lang w:val="en-US"/>
        </w:rPr>
        <w:t>58]</w:t>
      </w:r>
      <w:r w:rsidRPr="00E901BF">
        <w:rPr>
          <w:rFonts w:ascii="Book Antiqua" w:hAnsi="Book Antiqua" w:cs="Times New Roman"/>
          <w:color w:val="000000"/>
          <w:sz w:val="24"/>
          <w:szCs w:val="24"/>
          <w:shd w:val="clear" w:color="auto" w:fill="FFFFFF"/>
          <w:lang w:val="en-US"/>
        </w:rPr>
        <w:t>. Two clinical pilot studies based on the combination of chemotherapy and anti-</w:t>
      </w:r>
      <w:r w:rsidRPr="00E901BF">
        <w:rPr>
          <w:rFonts w:ascii="Book Antiqua" w:hAnsi="Book Antiqua" w:cs="Times New Roman"/>
          <w:color w:val="000000"/>
          <w:sz w:val="24"/>
          <w:szCs w:val="24"/>
          <w:shd w:val="clear" w:color="auto" w:fill="FFFFFF"/>
          <w:lang w:val="en-US"/>
        </w:rPr>
        <w:lastRenderedPageBreak/>
        <w:t>PD-1 antibodies (</w:t>
      </w:r>
      <w:r w:rsidR="00BF305C" w:rsidRPr="00E901BF">
        <w:rPr>
          <w:rFonts w:ascii="Book Antiqua" w:hAnsi="Book Antiqua" w:cs="Times New Roman"/>
          <w:color w:val="000000"/>
          <w:sz w:val="24"/>
          <w:szCs w:val="24"/>
          <w:shd w:val="clear" w:color="auto" w:fill="FFFFFF"/>
          <w:lang w:val="en-US"/>
        </w:rPr>
        <w:t xml:space="preserve">pembrolizumab </w:t>
      </w:r>
      <w:r w:rsidR="006820C6" w:rsidRPr="00E901BF">
        <w:rPr>
          <w:rFonts w:ascii="Book Antiqua" w:hAnsi="Book Antiqua" w:cs="Times New Roman"/>
          <w:color w:val="000000"/>
          <w:sz w:val="24"/>
          <w:szCs w:val="24"/>
          <w:shd w:val="clear" w:color="auto" w:fill="FFFFFF"/>
          <w:lang w:val="en-US"/>
        </w:rPr>
        <w:t xml:space="preserve">and </w:t>
      </w:r>
      <w:r w:rsidRPr="00E901BF">
        <w:rPr>
          <w:rFonts w:ascii="Book Antiqua" w:hAnsi="Book Antiqua" w:cs="Times New Roman"/>
          <w:color w:val="000000"/>
          <w:sz w:val="24"/>
          <w:szCs w:val="24"/>
          <w:shd w:val="clear" w:color="auto" w:fill="FFFFFF"/>
          <w:lang w:val="en-US"/>
        </w:rPr>
        <w:t xml:space="preserve">FOLFOX for advanced GI cancer and </w:t>
      </w:r>
      <w:proofErr w:type="spellStart"/>
      <w:r w:rsidR="005461BF" w:rsidRPr="00E901BF">
        <w:rPr>
          <w:rFonts w:ascii="Book Antiqua" w:hAnsi="Book Antiqua" w:cs="Times New Roman"/>
          <w:color w:val="000000"/>
          <w:sz w:val="24"/>
          <w:szCs w:val="24"/>
          <w:shd w:val="clear" w:color="auto" w:fill="FFFFFF"/>
          <w:lang w:val="en-US"/>
        </w:rPr>
        <w:t>pidilizumab</w:t>
      </w:r>
      <w:proofErr w:type="spellEnd"/>
      <w:r w:rsidR="005461BF" w:rsidRPr="00E901BF">
        <w:rPr>
          <w:rFonts w:ascii="Book Antiqua" w:hAnsi="Book Antiqua" w:cs="Times New Roman"/>
          <w:color w:val="000000"/>
          <w:sz w:val="24"/>
          <w:szCs w:val="24"/>
          <w:shd w:val="clear" w:color="auto" w:fill="FFFFFF"/>
          <w:lang w:val="en-US"/>
        </w:rPr>
        <w:t xml:space="preserve"> and </w:t>
      </w:r>
      <w:r w:rsidRPr="00E901BF">
        <w:rPr>
          <w:rFonts w:ascii="Book Antiqua" w:hAnsi="Book Antiqua" w:cs="Times New Roman"/>
          <w:color w:val="000000"/>
          <w:sz w:val="24"/>
          <w:szCs w:val="24"/>
          <w:shd w:val="clear" w:color="auto" w:fill="FFFFFF"/>
          <w:lang w:val="en-US"/>
        </w:rPr>
        <w:t>gemcitabine for resected pancreatic cancer) were initiated after increased tumor infiltration of CD8</w:t>
      </w:r>
      <w:r w:rsidRPr="00E901BF">
        <w:rPr>
          <w:rFonts w:ascii="Book Antiqua" w:hAnsi="Book Antiqua" w:cs="Times New Roman"/>
          <w:color w:val="000000"/>
          <w:sz w:val="24"/>
          <w:szCs w:val="24"/>
          <w:shd w:val="clear" w:color="auto" w:fill="FFFFFF"/>
          <w:vertAlign w:val="superscript"/>
          <w:lang w:val="en-US"/>
        </w:rPr>
        <w:t>+</w:t>
      </w:r>
      <w:r w:rsidR="00E901BF" w:rsidRPr="00E901BF">
        <w:rPr>
          <w:rFonts w:ascii="Book Antiqua" w:hAnsi="Book Antiqua" w:cs="Times New Roman"/>
          <w:color w:val="000000"/>
          <w:sz w:val="24"/>
          <w:szCs w:val="24"/>
          <w:shd w:val="clear" w:color="auto" w:fill="FFFFFF"/>
          <w:lang w:val="en-US"/>
        </w:rPr>
        <w:t xml:space="preserve"> </w:t>
      </w:r>
      <w:r w:rsidR="00C04D15" w:rsidRPr="00E901BF">
        <w:rPr>
          <w:rFonts w:ascii="Book Antiqua" w:hAnsi="Book Antiqua" w:cs="Times New Roman"/>
          <w:color w:val="000000"/>
          <w:sz w:val="24"/>
          <w:szCs w:val="24"/>
          <w:shd w:val="clear" w:color="auto" w:fill="FFFFFF"/>
          <w:lang w:val="en-US"/>
        </w:rPr>
        <w:t xml:space="preserve">T cells and complete responses </w:t>
      </w:r>
      <w:r w:rsidR="004A5389" w:rsidRPr="00E901BF">
        <w:rPr>
          <w:rFonts w:ascii="Book Antiqua" w:hAnsi="Book Antiqua" w:cs="Times New Roman"/>
          <w:color w:val="000000"/>
          <w:sz w:val="24"/>
          <w:szCs w:val="24"/>
          <w:shd w:val="clear" w:color="auto" w:fill="FFFFFF"/>
          <w:lang w:val="en-US"/>
        </w:rPr>
        <w:t xml:space="preserve">were observed </w:t>
      </w:r>
      <w:r w:rsidR="00C04D15" w:rsidRPr="00E901BF">
        <w:rPr>
          <w:rFonts w:ascii="Book Antiqua" w:hAnsi="Book Antiqua" w:cs="Times New Roman"/>
          <w:color w:val="000000"/>
          <w:sz w:val="24"/>
          <w:szCs w:val="24"/>
          <w:shd w:val="clear" w:color="auto" w:fill="FFFFFF"/>
          <w:lang w:val="en-US"/>
        </w:rPr>
        <w:t>in treated mice</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{"citationItems":[{"id":"ITEM-1","itemData":{"DOI":"10.1158/1078-0432.CCR-06-2746","ISSN":"10780432","abstract":"PURPOSE: The programmed death-1 ligand/programmed death-1 (PD-L/PD-1) pathway has been recently suggested to play a pivotal role in the immune evasion of tumors from host immune system. In this study, we tried to reveal the clinical importance and therapeutic potential of the PD-L/PD-1 pathway in pancreatic cancer, which is one of the most aggressive and intractable malignant tumors.\\n\\nEXPERIMENTAL DESIGN: We used immunohistochemistry to investigate PD-L expression in 51 patients with pancreatic cancer who underwent surgery and explored the therapeutic efficacy of blocking the PD-L1/PD-1 pathway in murine pancreatic cancer in vivo.\\n\\nRESULTS: PD-L1-positive patients had a significantly poorer prognosis than the PD-L1-negative patients, whereas there was no significant correlation of tumor PD-L2 expression with patient survival. PD-L1 expression was inversely correlated with tumor-infiltrating T lymphocytes, particularly CD8(+) T cells. These clinical data have suggested that the PD-L1/PD-1 pathway may be a critical regulator in human pancreatic cancer. Monoclonal antibodies against PD-L1 or PD-1 induced a substantial antitumor effect on murine pancreatic cancer in vivo. PD-L1 blockade promoted CD8(+) T-cell infiltration into the tumor and induced local immune activation. Furthermore, the combination of anti-PD-L1 monoclonal antibody and gemcitabine exhibited a significant synergistic effect on murine pancreatic cancer and resulted in complete response without overt toxicity.\\n\\nCONCLUSION: Our data suggest for the first time that PD-L1 status may be a new predictor of prognosis for patients with pancreatic cancer and provide the rationale for developing a novel therapy of targeting the PD-L/PD-1 pathway against this fatal disease.","author":[{"dropping-particle":"","family":"Nomi","given":"Takeo","non-dropping-particle":"","parse-names":false,"suffix":""},{"dropping-particle":"","family":"Sho","given":"Masayuki","non-dropping-particle":"","parse-names":false,"suffix":""},{"dropping-particle":"","family":"Akahori","given":"Takahiro","non-dropping-particle":"","parse-names":false,"suffix":""},{"dropping-particle":"","family":"Hamada","given":"Kaoru","non-dropping-particle":"","parse-names":false,"suffix":""},{"dropping-particle":"","family":"Kubo","given":"Atsushi","non-dropping-particle":"","parse-names":false,"suffix":""},{"dropping-particle":"","family":"Kanehiro","given":"Hiromichi","non-dropping-particle":"","parse-names":false,"suffix":""},{"dropping-particle":"","family":"Nakamura","given":"Shinji","non-dropping-particle":"","parse-names":false,"suffix":""},{"dropping-particle":"","family":"Enomoto","given":"Koji","non-dropping-particle":"","parse-names":false,"suffix":""},{"dropping-particle":"","family":"Yagita","given":"Hideo","non-dropping-particle":"","parse-names":false,"suffix":""},{"dropping-particle":"","family":"Azuma","given":"Miyuki","non-dropping-particle":"","parse-names":false,"suffix":""},{"dropping-particle":"","family":"Nakajima","given":"Yoshiyuki","non-dropping-particle":"","parse-names":false,"suffix":""}],"container-title":"Clinical Cancer Research","id":"ITEM-1","issued":{"date-parts":[["2007"]]},"title":"Clinical significance and therapeutic potential of the programmed death-1 ligand/programmed death-1 pathway in human pancreatic cancer","type":"article-journal"},"uris":["http://www.mendeley.com/documents/?uuid=87e36efb-0942-4267-ab03-fe1c7eb5326b"]}],"mendeley":{"formattedCitation":"[59]","plainTextFormattedCitation":"[59]","previouslyFormattedCitation":"[59]"},"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[59]</w:t>
      </w:r>
      <w:r w:rsidR="00441495" w:rsidRPr="00E901BF">
        <w:rPr>
          <w:rFonts w:ascii="Book Antiqua" w:hAnsi="Book Antiqua" w:cs="Times New Roman"/>
          <w:color w:val="000000"/>
          <w:sz w:val="24"/>
          <w:szCs w:val="24"/>
          <w:shd w:val="clear" w:color="auto" w:fill="FFFFFF"/>
          <w:vertAlign w:val="superscript"/>
          <w:lang w:val="en-US"/>
        </w:rPr>
        <w:fldChar w:fldCharType="end"/>
      </w:r>
      <w:r w:rsidR="00AA64E7" w:rsidRPr="00E901BF">
        <w:rPr>
          <w:rFonts w:ascii="Book Antiqua" w:hAnsi="Book Antiqua" w:cs="Times New Roman"/>
          <w:color w:val="000000"/>
          <w:sz w:val="24"/>
          <w:szCs w:val="24"/>
          <w:shd w:val="clear" w:color="auto" w:fill="FFFFFF"/>
          <w:lang w:val="en-US"/>
        </w:rPr>
        <w:t xml:space="preserve">; (3) </w:t>
      </w:r>
      <w:r w:rsidRPr="00E901BF">
        <w:rPr>
          <w:rFonts w:ascii="Book Antiqua" w:hAnsi="Book Antiqua" w:cs="Times New Roman"/>
          <w:color w:val="000000"/>
          <w:sz w:val="24"/>
          <w:szCs w:val="24"/>
          <w:shd w:val="clear" w:color="auto" w:fill="FFFFFF"/>
          <w:lang w:val="en-US"/>
        </w:rPr>
        <w:t xml:space="preserve">Vaccine </w:t>
      </w:r>
      <w:r w:rsidRPr="00E901BF">
        <w:rPr>
          <w:rFonts w:ascii="Book Antiqua" w:hAnsi="Book Antiqua" w:cs="Times New Roman"/>
          <w:sz w:val="24"/>
          <w:szCs w:val="24"/>
          <w:shd w:val="clear" w:color="auto" w:fill="FFFFFF"/>
          <w:lang w:val="en-US"/>
        </w:rPr>
        <w:t xml:space="preserve">immunotherapy is based on the delivery </w:t>
      </w:r>
      <w:r w:rsidRPr="00E901BF">
        <w:rPr>
          <w:rFonts w:ascii="Book Antiqua" w:eastAsia="Times New Roman" w:hAnsi="Book Antiqua" w:cs="Times New Roman"/>
          <w:sz w:val="24"/>
          <w:szCs w:val="24"/>
          <w:lang w:val="en-US"/>
        </w:rPr>
        <w:t>of</w:t>
      </w:r>
      <w:r w:rsidRPr="00E901BF">
        <w:rPr>
          <w:rFonts w:ascii="Book Antiqua" w:hAnsi="Book Antiqua" w:cs="Times New Roman"/>
          <w:sz w:val="24"/>
          <w:szCs w:val="24"/>
          <w:shd w:val="clear" w:color="auto" w:fill="FFFFFF"/>
          <w:lang w:val="en-US"/>
        </w:rPr>
        <w:t xml:space="preserve"> tumor antigens to APCs and the subsequent induction </w:t>
      </w:r>
      <w:r w:rsidRPr="00E901BF">
        <w:rPr>
          <w:rFonts w:ascii="Book Antiqua" w:eastAsia="Times New Roman" w:hAnsi="Book Antiqua" w:cs="Times New Roman"/>
          <w:sz w:val="24"/>
          <w:szCs w:val="24"/>
          <w:lang w:val="en-US"/>
        </w:rPr>
        <w:t>of</w:t>
      </w:r>
      <w:r w:rsidRPr="00E901BF">
        <w:rPr>
          <w:rFonts w:ascii="Book Antiqua" w:hAnsi="Book Antiqua" w:cs="Times New Roman"/>
          <w:sz w:val="24"/>
          <w:szCs w:val="24"/>
          <w:shd w:val="clear" w:color="auto" w:fill="FFFFFF"/>
          <w:lang w:val="en-US"/>
        </w:rPr>
        <w:t xml:space="preserve"> an orchestrated immune response. </w:t>
      </w:r>
      <w:r w:rsidRPr="00E901BF">
        <w:rPr>
          <w:rFonts w:ascii="Book Antiqua" w:hAnsi="Book Antiqua" w:cs="Times New Roman"/>
          <w:spacing w:val="5"/>
          <w:sz w:val="24"/>
          <w:szCs w:val="24"/>
          <w:lang w:val="en-US"/>
        </w:rPr>
        <w:t>Cancer-specific DNA alterations create neo-antigens</w:t>
      </w:r>
      <w:r w:rsidR="00221B3F" w:rsidRPr="00E901BF">
        <w:rPr>
          <w:rFonts w:ascii="Book Antiqua" w:hAnsi="Book Antiqua" w:cs="Times New Roman"/>
          <w:spacing w:val="5"/>
          <w:sz w:val="24"/>
          <w:szCs w:val="24"/>
          <w:lang w:val="en-US"/>
        </w:rPr>
        <w:t>, which</w:t>
      </w:r>
      <w:r w:rsidRPr="00E901BF">
        <w:rPr>
          <w:rFonts w:ascii="Book Antiqua" w:hAnsi="Book Antiqua" w:cs="Times New Roman"/>
          <w:spacing w:val="5"/>
          <w:sz w:val="24"/>
          <w:szCs w:val="24"/>
          <w:lang w:val="en-US"/>
        </w:rPr>
        <w:t xml:space="preserve"> result</w:t>
      </w:r>
      <w:r w:rsidR="00221B3F" w:rsidRPr="00E901BF">
        <w:rPr>
          <w:rFonts w:ascii="Book Antiqua" w:hAnsi="Book Antiqua" w:cs="Times New Roman"/>
          <w:spacing w:val="5"/>
          <w:sz w:val="24"/>
          <w:szCs w:val="24"/>
          <w:lang w:val="en-US"/>
        </w:rPr>
        <w:t>s</w:t>
      </w:r>
      <w:r w:rsidRPr="00E901BF">
        <w:rPr>
          <w:rFonts w:ascii="Book Antiqua" w:hAnsi="Book Antiqua" w:cs="Times New Roman"/>
          <w:spacing w:val="5"/>
          <w:sz w:val="24"/>
          <w:szCs w:val="24"/>
          <w:lang w:val="en-US"/>
        </w:rPr>
        <w:t xml:space="preserve"> in a unique peptide sequence.</w:t>
      </w:r>
      <w:r w:rsidRPr="00E901BF">
        <w:rPr>
          <w:rFonts w:ascii="Book Antiqua" w:hAnsi="Book Antiqua" w:cs="Times New Roman"/>
          <w:sz w:val="24"/>
          <w:szCs w:val="24"/>
          <w:shd w:val="clear" w:color="auto" w:fill="FFFFFF"/>
          <w:lang w:val="en-US"/>
        </w:rPr>
        <w:t xml:space="preserve"> </w:t>
      </w:r>
      <w:r w:rsidR="00685785" w:rsidRPr="00E901BF">
        <w:rPr>
          <w:rFonts w:ascii="Book Antiqua" w:hAnsi="Book Antiqua" w:cs="Times New Roman"/>
          <w:color w:val="000000"/>
          <w:sz w:val="24"/>
          <w:szCs w:val="24"/>
          <w:shd w:val="clear" w:color="auto" w:fill="FFFFFF"/>
          <w:lang w:val="en-US"/>
        </w:rPr>
        <w:t xml:space="preserve">Vaccine </w:t>
      </w:r>
      <w:r w:rsidR="00685785" w:rsidRPr="00E901BF">
        <w:rPr>
          <w:rFonts w:ascii="Book Antiqua" w:hAnsi="Book Antiqua" w:cs="Times New Roman"/>
          <w:sz w:val="24"/>
          <w:szCs w:val="24"/>
          <w:shd w:val="clear" w:color="auto" w:fill="FFFFFF"/>
          <w:lang w:val="en-US"/>
        </w:rPr>
        <w:t xml:space="preserve">immunotherapies </w:t>
      </w:r>
      <w:r w:rsidRPr="00E901BF">
        <w:rPr>
          <w:rFonts w:ascii="Book Antiqua" w:hAnsi="Book Antiqua" w:cs="Times New Roman"/>
          <w:sz w:val="24"/>
          <w:szCs w:val="24"/>
          <w:shd w:val="clear" w:color="auto" w:fill="FFFFFF"/>
          <w:lang w:val="en-US"/>
        </w:rPr>
        <w:t>include whole-cell vaccines</w:t>
      </w:r>
      <w:r w:rsidR="00C04D15" w:rsidRPr="00E901BF">
        <w:rPr>
          <w:rFonts w:ascii="Book Antiqua" w:hAnsi="Book Antiqua" w:cs="Times New Roman"/>
          <w:color w:val="000000"/>
          <w:sz w:val="24"/>
          <w:szCs w:val="24"/>
          <w:shd w:val="clear" w:color="auto" w:fill="FFFFFF"/>
          <w:lang w:val="en-US"/>
        </w:rPr>
        <w:t>, DC vaccines, DNA and peptide vaccines</w:t>
      </w:r>
      <w:r w:rsidRPr="00E901BF">
        <w:rPr>
          <w:rFonts w:ascii="Book Antiqua" w:eastAsia="Times New Roman" w:hAnsi="Book Antiqua" w:cs="Times New Roman"/>
          <w:color w:val="000000"/>
          <w:sz w:val="24"/>
          <w:szCs w:val="24"/>
          <w:lang w:val="en-US"/>
        </w:rPr>
        <w:t>,</w:t>
      </w:r>
      <w:r w:rsidR="00C04D15" w:rsidRPr="00E901BF">
        <w:rPr>
          <w:rFonts w:ascii="Book Antiqua" w:hAnsi="Book Antiqua" w:cs="Times New Roman"/>
          <w:color w:val="000000"/>
          <w:sz w:val="24"/>
          <w:szCs w:val="24"/>
          <w:shd w:val="clear" w:color="auto" w:fill="FFFFFF"/>
          <w:lang w:val="en-US"/>
        </w:rPr>
        <w:t xml:space="preserve"> but </w:t>
      </w:r>
      <w:r w:rsidRPr="00E901BF">
        <w:rPr>
          <w:rFonts w:ascii="Book Antiqua" w:eastAsia="Times New Roman" w:hAnsi="Book Antiqua" w:cs="Times New Roman"/>
          <w:color w:val="000000"/>
          <w:sz w:val="24"/>
          <w:szCs w:val="24"/>
          <w:lang w:val="en-US"/>
        </w:rPr>
        <w:t>despite</w:t>
      </w:r>
      <w:r w:rsidR="00C04D15" w:rsidRPr="00E901BF">
        <w:rPr>
          <w:rFonts w:ascii="Book Antiqua" w:hAnsi="Book Antiqua" w:cs="Times New Roman"/>
          <w:color w:val="000000"/>
          <w:sz w:val="24"/>
          <w:szCs w:val="24"/>
          <w:shd w:val="clear" w:color="auto" w:fill="FFFFFF"/>
          <w:lang w:val="en-US"/>
        </w:rPr>
        <w:t xml:space="preserve"> the improved immune profiles</w:t>
      </w:r>
      <w:r w:rsidRPr="00E901BF">
        <w:rPr>
          <w:rFonts w:ascii="Book Antiqua" w:eastAsia="Times New Roman" w:hAnsi="Book Antiqua" w:cs="Times New Roman"/>
          <w:color w:val="000000"/>
          <w:sz w:val="24"/>
          <w:szCs w:val="24"/>
          <w:lang w:val="en-US"/>
        </w:rPr>
        <w:t>,</w:t>
      </w:r>
      <w:r w:rsidR="00C04D15" w:rsidRPr="00E901BF">
        <w:rPr>
          <w:rFonts w:ascii="Book Antiqua" w:hAnsi="Book Antiqua" w:cs="Times New Roman"/>
          <w:color w:val="000000"/>
          <w:sz w:val="24"/>
          <w:szCs w:val="24"/>
          <w:shd w:val="clear" w:color="auto" w:fill="FFFFFF"/>
          <w:lang w:val="en-US"/>
        </w:rPr>
        <w:t xml:space="preserve"> they have shown a poor clinical outcome</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{"citationItems":[{"id":"ITEM-1","itemData":{"DOI":"10.1016/s1535-6108(02)00093-4","ISBN":"1535-6108 (Print)\\r1535-6108 (Linking)","ISSN":"15356108","PMID":"12150822","abstract":"Epidemiology About 30,000 Americans develop pancreatic cancer each year and 30,000 die from it. A large number of case-control and cohort studies have shown that there is a clustering of pancre-atic cancer in some families and that this clustering occurs more frequently than one would expect by chance (Ghadirian et al., 2002; Tersmette et al., 2001; Coughlin et al., 2000). For exam-ple, Tersmette et al. followed over 340 kindreds enrolled in the National Familial Pancreas Tumor Registry (NFPTR) and found an 18-fold increased risk of pancreatic cancer in the kindreds in which at least a pair of first-degree relatives had been diag-nosed with pancreatic cancer at the time the kindred enrolled in the NFPTR. More recently, segregation analyses have suggest-ed that this clustering of pancreatic cancer has a genetic basis. In a complex segregation analysis on 287 families ascertained through an index case diagnosed with pancreatic cancer at the Johns Hopkins Medical Institutions between January 1, 1994, and December 31, 1999, nongenetic transmission models (p &lt; 0.0001) were rejected and the most parsimonious models included autosomal dominant inheritance of a rare allele.","author":[{"dropping-particle":"","family":"Jaffee","given":"Elizabeth M","non-dropping-particle":"","parse-names":false,"suffix":""},{"dropping-particle":"","family":"Hruban","given":"Ralph H","non-dropping-particle":"","parse-names":false,"suffix":""},{"dropping-particle":"","family":"Canto","given":"Marcia","non-dropping-particle":"","parse-names":false,"suffix":""},{"dropping-particle":"","family":"Kern","given":"Scott E","non-dropping-particle":"","parse-names":false,"suffix":""}],"container-title":"Cancer Cell","id":"ITEM-1","issued":{"date-parts":[["2002"]]},"title":"Focus on pancreas cancer","type":"article-journal"},"uris":["http://www.mendeley.com/documents/?uuid=b0dd9d65-12e9-49eb-911d-09f753c70326"]}],"mendeley":{"formattedCitation":"[48]","plainTextFormattedCitation":"[48]","previouslyFormattedCitation":"[48]"},"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[48]</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w:t>
      </w:r>
      <w:bookmarkStart w:id="6" w:name="OLE_LINK10"/>
      <w:r w:rsidRPr="00E901BF">
        <w:rPr>
          <w:rFonts w:ascii="Book Antiqua" w:hAnsi="Book Antiqua" w:cs="Times New Roman"/>
          <w:color w:val="000000"/>
          <w:sz w:val="24"/>
          <w:szCs w:val="24"/>
          <w:shd w:val="clear" w:color="auto" w:fill="FFFFFF"/>
          <w:lang w:val="en-US"/>
        </w:rPr>
        <w:t>The most widely studied vaccine in pancreatic cancer is GVAX, an allogenic irradiated whole-cell tumor vaccine genetically engineered to secrete granulocyte macrophage-colony stimulating factor (GM-CSF) and stimulate cytolytic activity against tumors</w:t>
      </w:r>
      <w:bookmarkEnd w:id="6"/>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 xml:space="preserve">ADDIN CSL_CITATION {"citationItems":[{"id":"ITEM-1","itemData":{"DOI":"10.1084/jem.20031435","ISSN":"0022-1007","abstract":"Tumor-specific CD8 </w:instrText>
      </w:r>
      <w:r w:rsidR="002624F0" w:rsidRPr="00E901BF">
        <w:rPr>
          <w:rFonts w:ascii="Cambria" w:hAnsi="Cambria" w:cs="Cambria"/>
          <w:color w:val="000000"/>
          <w:sz w:val="24"/>
          <w:szCs w:val="24"/>
          <w:shd w:val="clear" w:color="auto" w:fill="FFFFFF"/>
          <w:vertAlign w:val="superscript"/>
          <w:lang w:val="en-US"/>
        </w:rPr>
        <w:instrText>ϩ</w:instrText>
      </w:r>
      <w:r w:rsidR="002624F0" w:rsidRPr="00E901BF">
        <w:rPr>
          <w:rFonts w:ascii="Book Antiqua" w:hAnsi="Book Antiqua" w:cs="Times New Roman"/>
          <w:color w:val="000000"/>
          <w:sz w:val="24"/>
          <w:szCs w:val="24"/>
          <w:shd w:val="clear" w:color="auto" w:fill="FFFFFF"/>
          <w:vertAlign w:val="superscript"/>
          <w:lang w:val="en-US"/>
        </w:rPr>
        <w:instrText xml:space="preserve"> T cells can potentially be activated by two distinct mechanisms of major histocompatibility complex class I–restricted antigen presentation as follows: direct presentation by tumor cells themselves or indirect presentation by professional antigen-presenting cells (APCs). However, controversy still exists as to whether indirect presentation (the cross-priming mechanism) can contribute to effective in vivo priming of tumor-specific CD8 </w:instrText>
      </w:r>
      <w:r w:rsidR="002624F0" w:rsidRPr="00E901BF">
        <w:rPr>
          <w:rFonts w:ascii="Cambria" w:hAnsi="Cambria" w:cs="Cambria"/>
          <w:color w:val="000000"/>
          <w:sz w:val="24"/>
          <w:szCs w:val="24"/>
          <w:shd w:val="clear" w:color="auto" w:fill="FFFFFF"/>
          <w:vertAlign w:val="superscript"/>
          <w:lang w:val="en-US"/>
        </w:rPr>
        <w:instrText>ϩ</w:instrText>
      </w:r>
      <w:r w:rsidR="002624F0" w:rsidRPr="00E901BF">
        <w:rPr>
          <w:rFonts w:ascii="Book Antiqua" w:hAnsi="Book Antiqua" w:cs="Times New Roman"/>
          <w:color w:val="000000"/>
          <w:sz w:val="24"/>
          <w:szCs w:val="24"/>
          <w:shd w:val="clear" w:color="auto" w:fill="FFFFFF"/>
          <w:vertAlign w:val="superscript"/>
          <w:lang w:val="en-US"/>
        </w:rPr>
        <w:instrText xml:space="preserve"> T cells that are capable of eradicating cancer in patients. A clinical trial of vaccination with granulocyte macrophage–colony stimulating factor–transduced pancreatic cancer lines was designed to test whether cross-presentation by locally recruited APCs can activate pancreatic tumor-specific CD8 </w:instrText>
      </w:r>
      <w:r w:rsidR="002624F0" w:rsidRPr="00E901BF">
        <w:rPr>
          <w:rFonts w:ascii="Cambria" w:hAnsi="Cambria" w:cs="Cambria"/>
          <w:color w:val="000000"/>
          <w:sz w:val="24"/>
          <w:szCs w:val="24"/>
          <w:shd w:val="clear" w:color="auto" w:fill="FFFFFF"/>
          <w:vertAlign w:val="superscript"/>
          <w:lang w:val="en-US"/>
        </w:rPr>
        <w:instrText>ϩ</w:instrText>
      </w:r>
      <w:r w:rsidR="002624F0" w:rsidRPr="00E901BF">
        <w:rPr>
          <w:rFonts w:ascii="Book Antiqua" w:hAnsi="Book Antiqua" w:cs="Times New Roman"/>
          <w:color w:val="000000"/>
          <w:sz w:val="24"/>
          <w:szCs w:val="24"/>
          <w:shd w:val="clear" w:color="auto" w:fill="FFFFFF"/>
          <w:vertAlign w:val="superscript"/>
          <w:lang w:val="en-US"/>
        </w:rPr>
        <w:instrText xml:space="preserve"> T cells. Previously, we reported postvaccination delayed-type hypersensitivity (DTH) responses to autologous tumor in 3 out of 14 treated patients. Mesothelin is an antigen demon-strated previously by gene expression profiling to be up-regulated in most pancreatic cancers. We report here the consistent induction of CD8 </w:instrText>
      </w:r>
      <w:r w:rsidR="002624F0" w:rsidRPr="00E901BF">
        <w:rPr>
          <w:rFonts w:ascii="Cambria" w:hAnsi="Cambria" w:cs="Cambria"/>
          <w:color w:val="000000"/>
          <w:sz w:val="24"/>
          <w:szCs w:val="24"/>
          <w:shd w:val="clear" w:color="auto" w:fill="FFFFFF"/>
          <w:vertAlign w:val="superscript"/>
          <w:lang w:val="en-US"/>
        </w:rPr>
        <w:instrText>ϩ</w:instrText>
      </w:r>
      <w:r w:rsidR="002624F0" w:rsidRPr="00E901BF">
        <w:rPr>
          <w:rFonts w:ascii="Book Antiqua" w:hAnsi="Book Antiqua" w:cs="Times New Roman"/>
          <w:color w:val="000000"/>
          <w:sz w:val="24"/>
          <w:szCs w:val="24"/>
          <w:shd w:val="clear" w:color="auto" w:fill="FFFFFF"/>
          <w:vertAlign w:val="superscript"/>
          <w:lang w:val="en-US"/>
        </w:rPr>
        <w:instrText xml:space="preserve"> T cell responses to multiple HLA-A2, A3, and A24-restricted mesothelin epitopes exclusively in the three patients with vaccine-induced DTH responses. Importantly, neither of the vaccinating pancreatic cancer cell lines expressed HLA-A2, A3, or A24. These results provide the first direct evidence that CD8 T cell responses can be generated via cross-presentation by an immunotherapy approach designed to recruit APCs to the vaccination site.","author":[{"dropping-particle":"","family":"Chen","given":"Yi-Cheng","non-dropping-particle":"","parse-names":false,"suffix":""},{"dropping-particle":"","family":"Hruban","given":"Ralph H.","non-dropping-particle":"","parse-names":false,"suffix":""},{"dropping-particle":"","family":"Thomas","given":"Amy Morck","non-dropping-particle":"","parse-names":false,"suffix":""},{"dropping-particle":"","family":"Huang","given":"Lan-Qing","non-dropping-particle":"","parse-names":false,"suffix":""},{"dropping-particle":"","family":"Jaffee","given":"Elizabeth M.","non-dropping-particle":"","parse-names":false,"suffix":""},{"dropping-particle":"","family":"Goggins","given":"Michael","non-dropping-particle":"","parse-names":false,"suffix":""},{"dropping-particle":"","family":"Lutz","given":"Eric R.","non-dropping-particle":"","parse-names":false,"suffix":""},{"dropping-particle":"","family":"Santarsiero","given":"Lynn M.","non-dropping-particle":"","parse-names":false,"suffix":""},{"dropping-particle":"","family":"Armstrong","given":"Todd D.","non-dropping-particle":"","parse-names":false,"suffix":""},{"dropping-particle":"","family":"Laheru","given":"Daniel A.","non-dropping-particle":"","parse-names":false,"suffix":""}],"container-title":"The Journal of Experimental Medicine","id":"ITEM-1","issued":{"date-parts":[["2004"]]},"title":" Mesothelin-specific CD8 + T Cell Responses Provide Evidence of In Vivo Cross-Priming by Antigen-Presenting Cells in Vaccinated Pancreatic Cancer Patients ","type":"article-journal"},"uris":["http://www.mendeley.com/documents/?uuid=8241c786-84a1-49c8-b950-ec6c38cfa19e"]}],"mendeley":{"formattedCitation":"[62]","plainTextFormattedCitation":"[62]","previouslyFormattedCitation":"[62]"},"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[62]</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In a phase</w:t>
      </w:r>
      <w:r w:rsidR="008D0AA6" w:rsidRPr="00E901BF">
        <w:rPr>
          <w:rFonts w:ascii="Book Antiqua" w:hAnsi="Book Antiqua" w:cs="Times New Roman"/>
          <w:color w:val="000000"/>
          <w:sz w:val="24"/>
          <w:szCs w:val="24"/>
          <w:shd w:val="clear" w:color="auto" w:fill="FFFFFF"/>
          <w:lang w:val="en-US"/>
        </w:rPr>
        <w:t xml:space="preserve"> I clinical study, GVAX administration in </w:t>
      </w:r>
      <w:proofErr w:type="spellStart"/>
      <w:r w:rsidR="008D0AA6" w:rsidRPr="00E901BF">
        <w:rPr>
          <w:rFonts w:ascii="Book Antiqua" w:hAnsi="Book Antiqua" w:cs="Times New Roman"/>
          <w:color w:val="000000"/>
          <w:sz w:val="24"/>
          <w:szCs w:val="24"/>
          <w:shd w:val="clear" w:color="auto" w:fill="FFFFFF"/>
          <w:lang w:val="en-US"/>
        </w:rPr>
        <w:t>resectable</w:t>
      </w:r>
      <w:proofErr w:type="spellEnd"/>
      <w:r w:rsidR="008D0AA6" w:rsidRPr="00E901BF">
        <w:rPr>
          <w:rFonts w:ascii="Book Antiqua" w:hAnsi="Book Antiqua" w:cs="Times New Roman"/>
          <w:color w:val="000000"/>
          <w:sz w:val="24"/>
          <w:szCs w:val="24"/>
          <w:shd w:val="clear" w:color="auto" w:fill="FFFFFF"/>
          <w:lang w:val="en-US"/>
        </w:rPr>
        <w:t xml:space="preserve"> pancreatic cancer before and after radiotherapy exhibited extended DFS</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{"citationItems":[{"id":"ITEM-1","itemData":{"DOI":"10.1200/JCO.2001.19.1.145","ISSN":"0732183X","abstract":"PURPOSE: Allogeneic granulocyte-macrophage colony-stimulating factor (GM-CSF)-secreting tumor vaccines can cure established tumors in the mouse, but their efficacy against human tumors is uncertain. We have developed a novel GM-CSF-secreting pancreatic tumor vaccine. To determine its safety and ability to induce antitumor immune responses, we conducted a phase I trial in patients with surgically resected adenocarcinoma of the pancreas. PATIENTS AND METHODS: Fourteen patients with stage 1, 2, or 3 pancreatic adenocarcinoma were enrolled. Eight weeks after pancreaticoduodenectomy, three patients received 1 x 10(7) vaccine cells, three patients received 5 x 10(7) vaccine cells, three patients received 10 x 10(7) vaccine cells, and five patients received 50 x 10(7) vaccine cells. Twelve of 14 patients then went on to receive a 6-month course of adjuvant radiation and chemotherapy. One month after completing adjuvant treatment, six patients still in remission received up to three additional monthly vaccinations with the same vaccine dose that they had received originally. RESULTS: No dose-limiting toxicities were encountered. Vaccination induced increased delayed-type hypersensitivity (DTH) responses to autologous tumor cells in three patients who had received &gt;or= 10 x 10(7) vaccine cells. These three patients also seemed to have had an increased disease-free survival time, remaining disease-free at least 25 months after diagnosis. CONCLUSION: Allogeneic GM-CSF-secreting tumor vaccines are safe in patients with pancreatic adenocarcinoma. This vaccine approach seems to induce dose-dependent systemic antitumor immunity as measured by increased postvaccination DTH responses against autologous tumors. Further clinical evaluation of this approach in patients with pancreatic cancer is warranted.","author":[{"dropping-particle":"","family":"Jaffee","given":"E. M.","non-dropping-particle":"","parse-names":false,"suffix":""},{"dropping-particle":"","family":"Hruban","given":"R. H.","non-dropping-particle":"","parse-names":false,"suffix":""},{"dropping-particle":"","family":"Biedrzycki","given":"B.","non-dropping-particle":"","parse-names":false,"suffix":""},{"dropping-particle":"","family":"Laheru","given":"D.","non-dropping-particle":"","parse-names":false,"suffix":""},{"dropping-particle":"","family":"Schepers","given":"K.","non-dropping-particle":"","parse-names":false,"suffix":""},{"dropping-particle":"","family":"Sauter","given":"P. R.","non-dropping-particle":"","parse-names":false,"suffix":""},{"dropping-particle":"","family":"Goemann","given":"M.","non-dropping-particle":"","parse-names":false,"suffix":""},{"dropping-particle":"","family":"Coleman","given":"J.","non-dropping-particle":"","parse-names":false,"suffix":""},{"dropping-particle":"","family":"Grochow","given":"L.","non-dropping-particle":"","parse-names":false,"suffix":""},{"dropping-particle":"","family":"Donehower","given":"R. C.","non-dropping-particle":"","parse-names":false,"suffix":""},{"dropping-particle":"","family":"Lillemoe","given":"K. D.","non-dropping-particle":"","parse-names":false,"suffix":""},{"dropping-particle":"","family":"O'Reilly","given":"S.","non-dropping-particle":"","parse-names":false,"suffix":""},{"dropping-particle":"","family":"Abrams","given":"R. A.","non-dropping-particle":"","parse-names":false,"suffix":""},{"dropping-particle":"","family":"Pardoll","given":"D. M.","non-dropping-particle":"","parse-names":false,"suffix":""},{"dropping-particle":"","family":"Cameron","given":"J. L.","non-dropping-particle":"","parse-names":false,"suffix":""},{"dropping-particle":"","family":"Yeo","given":"C. J.","non-dropping-particle":"","parse-names":false,"suffix":""}],"container-title":"Journal of Clinical Oncology","id":"ITEM-1","issued":{"date-parts":[["2001"]]},"title":"Novel allogeneic granulocyte-macrophage colony-stimulating factor-secreting tumor vaccine for pancreatic cancer: A phase I trial of safety and immune activation","type":"article-journal"},"uris":["http://www.mendeley.com/documents/?uuid=d9b1f0b0-806a-4aff-9be6-917c6071a79b"]}],"mendeley":{"formattedCitation":"[63]","plainTextFormattedCitation":"[63]","previouslyFormattedCitation":"[63]"},"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[63]</w:t>
      </w:r>
      <w:r w:rsidR="00441495" w:rsidRPr="00E901BF">
        <w:rPr>
          <w:rFonts w:ascii="Book Antiqua" w:hAnsi="Book Antiqua" w:cs="Times New Roman"/>
          <w:color w:val="000000"/>
          <w:sz w:val="24"/>
          <w:szCs w:val="24"/>
          <w:shd w:val="clear" w:color="auto" w:fill="FFFFFF"/>
          <w:vertAlign w:val="superscript"/>
          <w:lang w:val="en-US"/>
        </w:rPr>
        <w:fldChar w:fldCharType="end"/>
      </w:r>
      <w:r w:rsidR="00685785" w:rsidRPr="00E901BF">
        <w:rPr>
          <w:rFonts w:ascii="Book Antiqua" w:hAnsi="Book Antiqua" w:cs="Times New Roman"/>
          <w:color w:val="000000"/>
          <w:sz w:val="24"/>
          <w:szCs w:val="24"/>
          <w:shd w:val="clear" w:color="auto" w:fill="FFFFFF"/>
          <w:lang w:val="en-US"/>
        </w:rPr>
        <w:t>,</w:t>
      </w:r>
      <w:r w:rsidRPr="00E901BF">
        <w:rPr>
          <w:rFonts w:ascii="Book Antiqua" w:hAnsi="Book Antiqua" w:cs="Times New Roman"/>
          <w:color w:val="000000"/>
          <w:sz w:val="24"/>
          <w:szCs w:val="24"/>
          <w:shd w:val="clear" w:color="auto" w:fill="FFFFFF"/>
          <w:lang w:val="en-US"/>
        </w:rPr>
        <w:t xml:space="preserve"> and</w:t>
      </w:r>
      <w:r w:rsidR="008D0AA6" w:rsidRPr="00E901BF">
        <w:rPr>
          <w:rFonts w:ascii="Book Antiqua" w:hAnsi="Book Antiqua" w:cs="Times New Roman"/>
          <w:color w:val="000000"/>
          <w:sz w:val="24"/>
          <w:szCs w:val="24"/>
          <w:shd w:val="clear" w:color="auto" w:fill="FFFFFF"/>
          <w:lang w:val="en-US"/>
        </w:rPr>
        <w:t xml:space="preserve"> in phase II clinical studies</w:t>
      </w:r>
      <w:r w:rsidRPr="00E901BF">
        <w:rPr>
          <w:rFonts w:ascii="Book Antiqua" w:eastAsia="Times New Roman" w:hAnsi="Book Antiqua" w:cs="Times New Roman"/>
          <w:color w:val="000000"/>
          <w:sz w:val="24"/>
          <w:szCs w:val="24"/>
          <w:lang w:val="en-US"/>
        </w:rPr>
        <w:t>,</w:t>
      </w:r>
      <w:r w:rsidR="008D0AA6" w:rsidRPr="00E901BF">
        <w:rPr>
          <w:rFonts w:ascii="Book Antiqua" w:hAnsi="Book Antiqua" w:cs="Times New Roman"/>
          <w:color w:val="000000"/>
          <w:sz w:val="24"/>
          <w:szCs w:val="24"/>
          <w:shd w:val="clear" w:color="auto" w:fill="FFFFFF"/>
          <w:lang w:val="en-US"/>
        </w:rPr>
        <w:t xml:space="preserve"> GVAX in combination with cyclophosphamide or 5-FU-based chemoradiation demonstrated similar results regarding DFS and MS</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{"citationItems":[{"id":"ITEM-1","itemData":{"DOI":"10.1097/SLA.0b013e3181fd271c","ISSN":"00034932","PMID":"21217520","abstract":"PURPOSE: Surgical resection provides the only possibility of cure for pancreas cancer. A standard adjuvant approach has not been established. We tested the safety and efficacy of a granulocyte-macrophage colony-stimulating factor (GM-CSF)-based immunotherapy administered in patients with resected pancreatic adenocarcinoma.\\n\\nPATIENTS AND METHODS: A single institution phase II study of 60 patients with resected pancreatic adenocarcinoma was performed. Each immunotherapy treatment consisted of a total of 5 × 108 GM-CSF-secreting cells distributed equally among 3 lymph node regions. The first immunotherapy treatment was administered 8 to 10 weeks after surgical resection. Subsequently, patients received 5-FU based chemoradiation. Patients who remained disease-free after completion of chemoradiotherapy received treatments 2 to 4, each 1 month apart. A fifth and final booster was administered 6 months after the fourth immunotherapy. The primary endpoint was disease free survival and secondary endpoints were overall survival and toxicity, and the induction of mesothelin specific T cell responses.\\n\\nRESULTS: The median disease-free survival is 17.3 months (95% CI, 14.6-22.8) with median survival of 24.8 months (95% CI, 21.2-31.6). The administration of immunotherapy was well tolerated. In addition, the post-immunotherapy induction of mesothelin-specific CD8+ T cells in HLA-A1+ and HLA-A2+patients correlates with disease-free survival.\\n\\nCONCLUSIONS: An immunotherapy approach integrated with chemoradiation is safe and demonstrates an overall survival that compares favorably with published data for resected pancreas cancer. These data suggest additional boost immunotherapies given at regular intervals beyond 1 year postsurgery should be tested in future studies, and provide the rationale for conducting a multicenter phase II study.","author":[{"dropping-particle":"","family":"Eric","given":"Lutz","non-dropping-particle":"","parse-names":false,"suffix":""},{"dropping-particle":"","family":"Yeo","given":"Charles J.","non-dropping-particle":"","parse-names":false,"suffix":""},{"dropping-particle":"","family":"Lillemoe","given":"Keith D.","non-dropping-particle":"","parse-names":false,"suffix":""},{"dropping-particle":"","family":"Biedrzycki","given":"Barbara","non-dropping-particle":"","parse-names":false,"suffix":""},{"dropping-particle":"","family":"Kobrin","given":"Barry","non-dropping-particle":"","parse-names":false,"suffix":""},{"dropping-particle":"","family":"Herman","given":"Joseph","non-dropping-particle":"","parse-names":false,"suffix":""},{"dropping-particle":"","family":"Sugar","given":"Elizabeth","non-dropping-particle":"","parse-names":false,"suffix":""},{"dropping-particle":"","family":"Piantadosi","given":"Steven","non-dropping-particle":"","parse-names":false,"suffix":""},{"dropping-particle":"","family":"Cameron","given":"John L.","non-dropping-particle":"","parse-names":false,"suffix":""},{"dropping-particle":"","family":"Solt","given":"Sara","non-dropping-particle":"","parse-names":false,"suffix":""},{"dropping-particle":"","family":"Onners","given":"Beth","non-dropping-particle":"","parse-names":false,"suffix":""},{"dropping-particle":"","family":"Tartakovsky","given":"Irena","non-dropping-particle":"","parse-names":false,"suffix":""},{"dropping-particle":"","family":"Choi","given":"Miri","non-dropping-particle":"","parse-names":false,"suffix":""},{"dropping-particle":"","family":"Sharma","given":"Rajni","non-dropping-particle":"","parse-names":false,"suffix":""},{"dropping-particle":"","family":"Illei","given":"Peter B.","non-dropping-particle":"","parse-names":false,"suffix":""},{"dropping-particle":"","family":"Ralph H.","given":"Hruban","non-dropping-particle":"","parse-names":false,"suffix":""},{"dropping-particle":"","family":"Abrams","given":"Ross A.","non-dropping-particle":"","parse-names":false,"suffix":""},{"dropping-particle":"","family":"Le","given":"Dung","non-dropping-particle":"","parse-names":false,"suffix":""},{"dropping-particle":"","family":"Elizabeth","given":"Jaffee","non-dropping-particle":"","parse-names":false,"suffix":""},{"dropping-particle":"","family":"Laheru","given":"Dan","non-dropping-particle":"","parse-names":false,"suffix":""}],"container-title":"Annals of Surgery","id":"ITEM-1","issued":{"date-parts":[["2011"]]},"title":"A lethally irradiated allogeneic granulocyte-macrophage colony stimulating factor-secreting tumor vaccine for pancreatic adenocarcinoma: A phase II trial of safety, efficacy, and immune activation","type":"article-journal"},"uris":["http://www.mendeley.com/documents/?uuid=8a7d9d5e-bbc4-472a-8085-f2c63fe1a5b3"]}],"mendeley":{"formattedCitation":"[64]","plainTextFormattedCitation":"[64]","previouslyFormattedCitation":"[64]"},"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[64</w:t>
      </w:r>
      <w:r w:rsidR="00441495" w:rsidRPr="00E901BF">
        <w:rPr>
          <w:rFonts w:ascii="Book Antiqua" w:hAnsi="Book Antiqua" w:cs="Times New Roman"/>
          <w:color w:val="000000"/>
          <w:sz w:val="24"/>
          <w:szCs w:val="24"/>
          <w:shd w:val="clear" w:color="auto" w:fill="FFFFFF"/>
          <w:vertAlign w:val="superscript"/>
          <w:lang w:val="en-US"/>
        </w:rPr>
        <w:fldChar w:fldCharType="end"/>
      </w:r>
      <w:r w:rsidR="00AA64E7" w:rsidRPr="00E901BF">
        <w:rPr>
          <w:rFonts w:ascii="Book Antiqua" w:hAnsi="Book Antiqua" w:cs="Times New Roman"/>
          <w:color w:val="000000"/>
          <w:sz w:val="24"/>
          <w:szCs w:val="24"/>
          <w:shd w:val="clear" w:color="auto" w:fill="FFFFFF"/>
          <w:vertAlign w:val="superscript"/>
          <w:lang w:val="en-US"/>
        </w:rPr>
        <w:t>,</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{"citationItems":[{"id":"ITEM-1","itemData":{"DOI":"10.1158/1078-0432.CCR-07-0371","ISSN":"10780432","PMID":"18316569","abstract":"PURPOSE: The combination of chemotherapy and immunotherapy has not been examined in patients with advanced pancreatic cancer. We conducted a study of two granulocyte macrophage colony-stimulating factor-secreting pancreatic cancer cell lines (CG8020/CG2505) as immunotherapy administered alone or in sequence with cyclophosphamide in patients with advanced pancreatic cancer. EXPERIMENTAL DESIGN: This was an open-label study with two cohorts: cohort A, 30 patients administered a maximum of six doses of CG8020/CG2505 at 21-day intervals; and cohort B, 20 patients administered 250 mg/m(2) of cyclophosphamide i.v. 1 day before the same immunotherapy given as in cohort A. The primary objective was to evaluate safety and duration of immunity. Secondary objectives included time to disease progression and median overall survival. RESULTS: The administration of CG8020/CG2505 alone or in sequence with cyclophosphamide showed minimal treatment-related toxicity. Median survival values in cohort A and cohort B were 2.3 and 4.3 months, respectively. CD8(+) T-cell responses to HLA class I-restricted mesothelin epitopes were identified predominantly in patients treated with cyclophosphamide + CG8020/CG2505 immunotherapy. CONCLUSION: Granulocyte macrophage colony-stimulating factor-secreting pancreatic cancer cell lines CG8020/CG2505 alone or in sequence with cyclophosphamide showed minimal treatment-related toxicity in patients with advanced pancreatic cancer. Also, mesothelin-specific T-cell responses were detected/enhanced in some patients treated with CG8020/CG2505 immunotherapy. In addition, cyclophosphamide-modulated immunotherapy resulted in median survival in a gemcitabine-resistant population similar to chemotherapy alone. These findings support additional investigation of cyclophosphamide with CG8020/CG2505 immunotherapy in patients with advanced pancreatic cancer.","author":[{"dropping-particle":"","family":"Laheru","given":"Dan","non-dropping-particle":"","parse-names":false,"suffix":""},{"dropping-particle":"","family":"Lutz","given":"Eric","non-dropping-particle":"","parse-names":false,"suffix":""},{"dropping-particle":"","family":"Burke","given":"James","non-dropping-particle":"","parse-names":false,"suffix":""},{"dropping-particle":"","family":"Biedrzycki","given":"Barbara","non-dropping-particle":"","parse-names":false,"suffix":""},{"dropping-particle":"","family":"Solt","given":"Sara","non-dropping-particle":"","parse-names":false,"suffix":""},{"dropping-particle":"","family":"Onners","given":"Beth","non-dropping-particle":"","parse-names":false,"suffix":""},{"dropping-particle":"","family":"Tartakovsky","given":"Irena","non-dropping-particle":"","parse-names":false,"suffix":""},{"dropping-particle":"","family":"Nemunaitis","given":"John","non-dropping-particle":"","parse-names":false,"suffix":""},{"dropping-particle":"","family":"Le","given":"Dung","non-dropping-particle":"","parse-names":false,"suffix":""},{"dropping-particle":"","family":"Sugar","given":"Elizabeth","non-dropping-particle":"","parse-names":false,"suffix":""},{"dropping-particle":"","family":"Hege","given":"Kristen","non-dropping-particle":"","parse-names":false,"suffix":""},{"dropping-particle":"","family":"Jaffee","given":"Elizabeth","non-dropping-particle":"","parse-names":false,"suffix":""}],"container-title":"Clinical Cancer Research","id":"ITEM-1","issued":{"date-parts":[["2008"]]},"title":"Allogeneic granulocyte macrophage colony-stimulating factor-secreting tumor immunotherapy alone or in sequence with cyclophosphamide for metastatic pancreatic cancer: A pilot study of safety, feasibility, and immune activation","type":"article-journal"},"uris":["http://www.mendeley.com/documents/?uuid=b6b2f526-a121-4c4f-b7a4-76f1670e759b"]}],"mendeley":{"formattedCitation":"[65]","plainTextFormattedCitation":"[65]","previouslyFormattedCitation":"[65]"},"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65]</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When combined with the aforementioned immune checkpoint inhibitor </w:t>
      </w:r>
      <w:r w:rsidR="00685785" w:rsidRPr="00E901BF">
        <w:rPr>
          <w:rFonts w:ascii="Book Antiqua" w:hAnsi="Book Antiqua" w:cs="Times New Roman"/>
          <w:color w:val="000000"/>
          <w:sz w:val="24"/>
          <w:szCs w:val="24"/>
          <w:shd w:val="clear" w:color="auto" w:fill="FFFFFF"/>
          <w:lang w:val="en-US"/>
        </w:rPr>
        <w:t xml:space="preserve">ipilimumab </w:t>
      </w:r>
      <w:r w:rsidRPr="00E901BF">
        <w:rPr>
          <w:rFonts w:ascii="Book Antiqua" w:hAnsi="Book Antiqua" w:cs="Times New Roman"/>
          <w:color w:val="000000"/>
          <w:sz w:val="24"/>
          <w:szCs w:val="24"/>
          <w:shd w:val="clear" w:color="auto" w:fill="FFFFFF"/>
          <w:lang w:val="en-US"/>
        </w:rPr>
        <w:t xml:space="preserve">in a phase I trial in patients with advanced refractory pancreatic cancer, GVAX resulted in improved survival compared to </w:t>
      </w:r>
      <w:r w:rsidR="00685785" w:rsidRPr="00E901BF">
        <w:rPr>
          <w:rFonts w:ascii="Book Antiqua" w:hAnsi="Book Antiqua" w:cs="Times New Roman"/>
          <w:color w:val="000000"/>
          <w:sz w:val="24"/>
          <w:szCs w:val="24"/>
          <w:shd w:val="clear" w:color="auto" w:fill="FFFFFF"/>
          <w:lang w:val="en-US"/>
        </w:rPr>
        <w:t xml:space="preserve">ipilimumab </w:t>
      </w:r>
      <w:r w:rsidRPr="00E901BF">
        <w:rPr>
          <w:rFonts w:ascii="Book Antiqua" w:hAnsi="Book Antiqua" w:cs="Times New Roman"/>
          <w:color w:val="000000"/>
          <w:sz w:val="24"/>
          <w:szCs w:val="24"/>
          <w:shd w:val="clear" w:color="auto" w:fill="FFFFFF"/>
          <w:lang w:val="en-US"/>
        </w:rPr>
        <w:t>alone, a fact that was associated with the extensive</w:t>
      </w:r>
      <w:r w:rsidR="008D0AA6" w:rsidRPr="00E901BF">
        <w:rPr>
          <w:rFonts w:ascii="Book Antiqua" w:hAnsi="Book Antiqua" w:cs="Times New Roman"/>
          <w:color w:val="000000"/>
          <w:sz w:val="24"/>
          <w:szCs w:val="24"/>
          <w:shd w:val="clear" w:color="auto" w:fill="FFFFFF"/>
          <w:lang w:val="en-US"/>
        </w:rPr>
        <w:t xml:space="preserve"> presence of T cells</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{"citationItems":[{"id":"ITEM-1","itemData":{"DOI":"10.1097/CJI.0b013e31829fb7a2","ISSN":"15249557","PMID":"23924790","abstract":"Preclinical reports support the concept of synergy between cancer vaccines and immune checkpoint blockade in nonimmunogenic tumors. In particular, cytotoxic T lymphocyte-associated antigen-4 (CTLA-4) antibodies have been successfully combined with GM-CSF cell-based vaccines (GVAX). Ipilimumab (anti-CTLA-4) has been tested as a single agent in patients with pancreatic ductal adenocarcinoma (PDA) resulting in a delayed response at a dose of 3 mg/kg. Our study evaluated ipilimumab 10 mg/kg (arm 1) and ipilimumab 10 mg/kg + GVAX (arm 2). A total of 30 patients with previously treated advanced PDA were randomized (1:1). Induction doses were administered every 3 weeks for a total of 4 doses followed by maintenance dosing every 12 weeks. Two patients in arm 1 showed evidence of stable disease (7 and 22 wk) but none demonstrated CA19-9 biochemical responses. In contrast, 3 patients in arm 2 had evidence of prolonged disease stabilization (31, 71, and 81 wk) and 7 patients experienced CA19-9 declines. In 2 of these patients, disease stabilization occurred after an initial period of progression. The median overall survival (OS) (3.6 vs. 5.7 mo, hazards ratio: 0.51, P = 0.072) and 1 year OS (7 vs. 27%) favored arm 2. Similar to prior ipilimumab studies, 20% of patients in each arm had grade 3/4 immune-related adverse events. Among patients with OS &gt; 4.3 months, there was an increase in the peak mesothelin-specific T cells (P = 0.014) and enhancement of the T-cell repertoire (P = 0.031). In conclusion, checkpoint blockade in combination with GVAX has the potential for clinical benefit and should be evaluated in a larger study.","author":[{"dropping-particle":"","family":"Le","given":"Dung T.","non-dropping-particle":"","parse-names":false,"suffix":""},{"dropping-particle":"","family":"Lutz","given":"Eric","non-dropping-particle":"","parse-names":false,"suffix":""},{"dropping-particle":"","family":"Uram","given":"Jennifer N.","non-dropping-particle":"","parse-names":false,"suffix":""},{"dropping-particle":"","family":"Sugar","given":"Elizabeth A.","non-dropping-particle":"","parse-names":false,"suffix":""},{"dropping-particle":"","family":"Onners","given":"Beth","non-dropping-particle":"","parse-names":false,"suffix":""},{"dropping-particle":"","family":"Solt","given":"Sara","non-dropping-particle":"","parse-names":false,"suffix":""},{"dropping-particle":"","family":"Zheng","given":"Lei","non-dropping-particle":"","parse-names":false,"suffix":""},{"dropping-particle":"","family":"Diaz","given":"Luis A.","non-dropping-particle":"","parse-names":false,"suffix":""},{"dropping-particle":"","family":"Donehower","given":"Ross C.","non-dropping-particle":"","parse-names":false,"suffix":""},{"dropping-particle":"","family":"Jaffee","given":"Elizabeth M.","non-dropping-particle":"","parse-names":false,"suffix":""},{"dropping-particle":"","family":"Laheru","given":"Daniel A.","non-dropping-particle":"","parse-names":false,"suffix":""}],"container-title":"Journal of Immunotherapy","id":"ITEM-1","issued":{"date-parts":[["2013"]]},"title":"Evaluation of ipilimumab in combination with allogeneic pancreatic tumor cells transfected with a GM-CSF gene in previously treated pancreatic cancer","type":"article-journal"},"uris":["http://www.mendeley.com/documents/?uuid=27b0839e-1200-46f2-87c4-385d97ac6d34","http://www.mendeley.com/documents/?uuid=bde16b57-569e-47de-82ef-7c4fccf0f958"]}],"mendeley":{"formattedCitation":"[66]","plainTextFormattedCitation":"[66]","previouslyFormattedCitation":"[66]"},"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[66]</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Other vaccines targeting KRAS, MUC1</w:t>
      </w:r>
      <w:r w:rsidR="005221DC" w:rsidRPr="00E901BF">
        <w:rPr>
          <w:rFonts w:ascii="Book Antiqua" w:hAnsi="Book Antiqua" w:cs="Times New Roman"/>
          <w:color w:val="000000"/>
          <w:sz w:val="24"/>
          <w:szCs w:val="24"/>
          <w:shd w:val="clear" w:color="auto" w:fill="FFFFFF"/>
          <w:lang w:val="en-US"/>
        </w:rPr>
        <w:t xml:space="preserve">, VEGF-R, </w:t>
      </w:r>
      <w:r w:rsidR="00652182" w:rsidRPr="00E901BF">
        <w:rPr>
          <w:rFonts w:ascii="Book Antiqua" w:hAnsi="Book Antiqua" w:cs="Times New Roman"/>
          <w:color w:val="000000"/>
          <w:sz w:val="24"/>
          <w:szCs w:val="24"/>
          <w:shd w:val="clear" w:color="auto" w:fill="FFFFFF"/>
          <w:lang w:val="en-US"/>
        </w:rPr>
        <w:t xml:space="preserve">or </w:t>
      </w:r>
      <w:proofErr w:type="spellStart"/>
      <w:r w:rsidR="005221DC" w:rsidRPr="00E901BF">
        <w:rPr>
          <w:rFonts w:ascii="Book Antiqua" w:hAnsi="Book Antiqua" w:cs="Times New Roman"/>
          <w:color w:val="000000"/>
          <w:sz w:val="24"/>
          <w:szCs w:val="24"/>
          <w:shd w:val="clear" w:color="auto" w:fill="FFFFFF"/>
          <w:lang w:val="en-US"/>
        </w:rPr>
        <w:t>survivin</w:t>
      </w:r>
      <w:proofErr w:type="spellEnd"/>
      <w:r w:rsidR="005221DC" w:rsidRPr="00E901BF">
        <w:rPr>
          <w:rFonts w:ascii="Book Antiqua" w:hAnsi="Book Antiqua" w:cs="Times New Roman"/>
          <w:color w:val="000000"/>
          <w:sz w:val="24"/>
          <w:szCs w:val="24"/>
          <w:shd w:val="clear" w:color="auto" w:fill="FFFFFF"/>
          <w:lang w:val="en-US"/>
        </w:rPr>
        <w:t xml:space="preserve"> alone or in combination with GVAX are also under clinical investigation for the determination of their efficacy</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[60]</w:t>
      </w:r>
      <w:r w:rsidR="00441495" w:rsidRPr="00E901BF">
        <w:rPr>
          <w:rFonts w:ascii="Book Antiqua" w:hAnsi="Book Antiqua" w:cs="Times New Roman"/>
          <w:color w:val="000000"/>
          <w:sz w:val="24"/>
          <w:szCs w:val="24"/>
          <w:shd w:val="clear" w:color="auto" w:fill="FFFFFF"/>
          <w:vertAlign w:val="superscript"/>
          <w:lang w:val="en-US"/>
        </w:rPr>
        <w:fldChar w:fldCharType="end"/>
      </w:r>
      <w:r w:rsidR="00AA64E7" w:rsidRPr="00E901BF">
        <w:rPr>
          <w:rFonts w:ascii="Book Antiqua" w:hAnsi="Book Antiqua" w:cs="Times New Roman"/>
          <w:color w:val="000000"/>
          <w:sz w:val="24"/>
          <w:szCs w:val="24"/>
          <w:shd w:val="clear" w:color="auto" w:fill="FFFFFF"/>
          <w:lang w:val="en-US"/>
        </w:rPr>
        <w:t xml:space="preserve">; (4) </w:t>
      </w:r>
      <w:r w:rsidRPr="00E901BF">
        <w:rPr>
          <w:rFonts w:ascii="Book Antiqua" w:hAnsi="Book Antiqua" w:cs="Times New Roman"/>
          <w:color w:val="000000"/>
          <w:sz w:val="24"/>
          <w:szCs w:val="24"/>
          <w:shd w:val="clear" w:color="auto" w:fill="FFFFFF"/>
          <w:lang w:val="en-US"/>
        </w:rPr>
        <w:t>Adoptive T cell immunotherapy is based on the modification of autologous T cells, engineered to express a chimeric antigen receptor (CAR) and stimulate the immune response against the tumor.</w:t>
      </w:r>
      <w:r w:rsidRPr="00E901BF">
        <w:rPr>
          <w:rFonts w:ascii="Book Antiqua" w:eastAsia="Times New Roman" w:hAnsi="Book Antiqua" w:cs="Times New Roman"/>
          <w:color w:val="000000"/>
          <w:sz w:val="24"/>
          <w:szCs w:val="24"/>
          <w:lang w:val="en-US"/>
        </w:rPr>
        <w:t xml:space="preserve"> </w:t>
      </w:r>
      <w:r w:rsidRPr="00E901BF">
        <w:rPr>
          <w:rFonts w:ascii="Book Antiqua" w:hAnsi="Book Antiqua" w:cs="Times New Roman"/>
          <w:color w:val="000000"/>
          <w:sz w:val="24"/>
          <w:szCs w:val="24"/>
          <w:shd w:val="clear" w:color="auto" w:fill="FFFFFF"/>
          <w:lang w:val="en-US"/>
        </w:rPr>
        <w:t xml:space="preserve">Despite the impressive results gained by a clinical study utilizing CAR-T technology </w:t>
      </w:r>
      <w:r w:rsidR="00E37D0C" w:rsidRPr="00E901BF">
        <w:rPr>
          <w:rFonts w:ascii="Book Antiqua" w:hAnsi="Book Antiqua" w:cs="Times New Roman"/>
          <w:color w:val="000000"/>
          <w:sz w:val="24"/>
          <w:szCs w:val="24"/>
          <w:shd w:val="clear" w:color="auto" w:fill="FFFFFF"/>
          <w:lang w:val="en-US"/>
        </w:rPr>
        <w:t xml:space="preserve">to target </w:t>
      </w:r>
      <w:r w:rsidRPr="00E901BF">
        <w:rPr>
          <w:rFonts w:ascii="Book Antiqua" w:hAnsi="Book Antiqua" w:cs="Times New Roman"/>
          <w:color w:val="000000"/>
          <w:sz w:val="24"/>
          <w:szCs w:val="24"/>
          <w:shd w:val="clear" w:color="auto" w:fill="FFFFFF"/>
          <w:lang w:val="en-US"/>
        </w:rPr>
        <w:t>leukemia</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{"citationItems":[{"id":"ITEM-1","itemData":{"DOI":"10.1056/NEJMoa1407222","ISBN":"1533-4406 (Electronic)\\r0028-4793 (Linking)","ISSN":"0028-4793","PMID":"25317870","abstract":"BACKGROUND: Relapsed acute lymphoblastic leukemia (ALL) is difficult to treat despite the availability of aggressive therapies. Chimeric antigen receptor-modified T cells targeting CD19 may overcome many limitations of conventional therapies and induce remission in patients with refractory disease.\\n\\nMETHODS: We infused autologous T cells transduced with a CD19-directed chimeric antigen receptor (CTL019) lentiviral vector in patients with relapsed or refractory ALL at doses of 0.76×10(6) to 20.6×10(6) CTL019 cells per kilogram of body weight. Patients were monitored for a response, toxic effects, and the expansion and persistence of circulating CTL019 T cells.\\n\\nRESULTS: A total of 30 children and adults received CTL019. Complete remission was achieved in 27 patients (90%), including 2 patients with blinatumomab-refractory disease and 15 who had undergone stem-cell transplantation. CTL019 cells proliferated in vivo and were detectable in the blood, bone marrow, and cerebrospinal fluid of patients who had a response. Sustained remission was achieved with a 6-month event-free survival rate of 67% (95% confidence interval [CI], 51 to 88) and an overall survival rate of 78% (95% CI, 65 to 95). At 6 months, the probability that a patient would have persistence of CTL019 was 68% (95% CI, 50 to 92) and the probability that a patient would have relapse-free B-cell aplasia was 73% (95% CI, 57 to 94). All the patients had the cytokine-release syndrome. Severe cytokine-release syndrome, which developed in 27% of the patients, was associated with a higher disease burden before infusion and was effectively treated with the anti-interleukin-6 receptor antibody tocilizumab.\\n\\nCONCLUSIONS: Chimeric antigen receptor-modified T-cell therapy against CD19 was effective in treating relapsed and refractory ALL. CTL019 was associated with a high remission rate, even among patients for whom stem-cell transplantation had failed, and durable remissions up to 24 months were observed. (Funded by Novartis and others; CART19 ClinicalTrials.gov numbers, NCT01626495 and NCT01029366.).","author":[{"dropping-particle":"","family":"Maude","given":"S. L.","non-dropping-particle":"","parse-names":false,"suffix":""},{"dropping-particle":"","family":"Frey","given":"N.","non-dropping-particle":"","parse-names":false,"suffix":""},{"dropping-particle":"","family":"Shaw","given":"P.","non-dropping-particle":"","parse-names":false,"suffix":""},{"dropping-particle":"","family":"Aplenc","given":"R.","non-dropping-particle":"","parse-names":false,"suffix":""},{"dropping-particle":"","family":"Barrett","given":"D. M.","non-dropping-particle":"","parse-names":false,"suffix":""},{"dropping-particle":"","family":"Bunin","given":"N.J.","non-dropping-particle":"","parse-names":false,"suffix":""},{"dropping-particle":"","family":"Chew","given":"A.","non-dropping-particle":"","parse-names":false,"suffix":""},{"dropping-particle":"","family":"Gonzalez","given":"V. E.","non-dropping-particle":"","parse-names":false,"suffix":""},{"dropping-particle":"","family":"Zheng","given":"Zhaohui","non-dropping-particle":"","parse-names":false,"suffix":""},{"dropping-particle":"","family":"Lacey","given":"Simon F.","non-dropping-particle":"","parse-names":false,"suffix":""},{"dropping-particle":"","family":"Mahnke","given":"Yolanda D.","non-dropping-particle":"","parse-names":false,"suffix":""},{"dropping-particle":"","family":"Melenhorst","given":"Jan J.","non-dropping-particle":"","parse-names":false,"suffix":""},{"dropping-particle":"","family":"Rheingold","given":"Susan R.","non-dropping-particle":"","parse-names":false,"suffix":""},{"dropping-particle":"","family":"Shen","given":"Angela","non-dropping-particle":"","parse-names":false,"suffix":""},{"dropping-particle":"","family":"Teachey","given":"David T.","non-dropping-particle":"","parse-names":false,"suffix":""},{"dropping-particle":"","family":"Levine","given":"Bruce L.","non-dropping-particle":"","parse-names":false,"suffix":""},{"dropping-particle":"","family":"June","given":"Carl H.","non-dropping-particle":"","parse-names":false,"suffix":""},{"dropping-particle":"","family":"Porter","given":"David L.","non-dropping-particle":"","parse-names":false,"suffix":""},{"dropping-particle":"","family":"Grupp","given":"Stephan a.","non-dropping-particle":"","parse-names":false,"suffix":""}],"container-title":"New England Journal of Medicine","id":"ITEM-1","issued":{"date-parts":[["2014"]]},"title":"Chimeric Antigen Receptor T Cells for Sustained Remissions in Leukemia","type":"article-journal"},"uris":["http://www.mendeley.com/documents/?uuid=86b6dc7f-222d-43ec-bf73-650c960fa491"]}],"mendeley":{"formattedCitation":"[67]","plainTextFormattedCitation":"[67]","previouslyFormattedCitation":"[67]"},"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[67</w:t>
      </w:r>
      <w:r w:rsidR="00441495" w:rsidRPr="00E901BF">
        <w:rPr>
          <w:rFonts w:ascii="Book Antiqua" w:hAnsi="Book Antiqua" w:cs="Times New Roman"/>
          <w:color w:val="000000"/>
          <w:sz w:val="24"/>
          <w:szCs w:val="24"/>
          <w:shd w:val="clear" w:color="auto" w:fill="FFFFFF"/>
          <w:vertAlign w:val="superscript"/>
          <w:lang w:val="en-US"/>
        </w:rPr>
        <w:fldChar w:fldCharType="end"/>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{"citationItems":[{"id":"ITEM-1","itemData":{"DOI":"10.1200/jco.2015.33.15_suppl.3007","abstract":"3007 Background: Pancreatic ductal adenocarcinoma (PDAC) is characterized by an immunosuppressive microenvironment with a scarcity of effector T cells. Adoptive T cell therapy to restore anti-tumor immunity has demonstrated promise in several advanced malignancies. However, its role in PDAC remains to be established. This Phase I study was performed to determine the safety and feasibility of administering autologous T cells genetically modified with a chimeric antigen receptor (CAR) that recognizes mesothelin overexpressed on PDAC. Methods: Patients (ECOG 0-1; adequate organ function) with chemotherapy refractory metastatic PDAC ( &gt; 1 prior chemotherapy) were treated with autologous T cells engineered using in vitro transcribed mRNA to transiently express a mesothelin-specific CAR that includes both CD3-zeta and 4-1BB co-stimulatory domains. CAR T cells were infused 3 times per week for 3 weeks. The primary endpoint was to determine safety and manufacturing feasibility. Secondary endpoints were to measure clinical and immune responses. Results: 10 patients were enrolled (6 treated, 2 withdrew due to progressive disease prior to treatment, 1 manufacturing failure, 1 did not complete apheresis necessary for manufacturing). 53 of 54 (98%) planned CAR T cell infusions were administered without dose limiting toxicity. Infusions were well tolerated without evidence of cytokine release syndrome, pleuro-pericarditis or peritonitis. Treatment-related grade &gt; 3 toxicities included abdominal pain (1) and back pain (1). CAR T cells were transiently detected in the peripheral blood after infusion. Two of six patients experienced stable disease by RECIST 1.1 with disease control off therapy seen in one patient for &gt; 4 months. The change in SUVmax of all lesions for each patient detected on 18FDG-PET/CT imaging performed before and 1 month after beginning treatment was -1.9% (95% CI: -25.5% to 21.7%). In one patient, abnormal 18FDG avidity seen in liver metastases at baseline was no longer detected at 1 month after therapy. Conclusions: Mesothelin-redirected CAR T cell therapy is well tolerated and shows preliminary evidence of antitumor efficacy in PDAC. Clinical trial information: NCT01897415.","author":[{"dropping-particle":"","family":"Beatty","given":"Gregory Lawrence","non-dropping-particle":"","parse-names":false,"suffix":""},{"dropping-particle":"","family":"O'Hara","given":"Mark H","non-dropping-particle":"","parse-names":false,"suffix":""},{"dropping-particle":"","family":"Nelson","given":"Anne M","non-dropping-particle":"","parse-names":false,"suffix":""},{"dropping-particle":"","family":"McGarvey","given":"Maureen","non-dropping-particle":"","parse-names":false,"suffix":""},{"dropping-particle":"","family":"Torigian","given":"Drew A","non-dropping-particle":"","parse-names":false,"suffix":""},{"dropping-particle":"","family":"Lacey","given":"Simon F","non-dropping-particle":"","parse-names":false,"suffix":""},{"dropping-particle":"","family":"Melenhorst","given":"Jan J","non-dropping-particle":"","parse-names":false,"suffix":""},{"dropping-particle":"","family":"Levine","given":"Bruce","non-dropping-particle":"","parse-names":false,"suffix":""},{"dropping-particle":"","family":"Plesa","given":"Gabriela","non-dropping-particle":"","parse-names":false,"suffix":""},{"dropping-particle":"","family":"June","given":"Carl H","non-dropping-particle":"","parse-names":false,"suffix":""}],"container-title":"Journal of Clinical Oncology","id":"ITEM-1","issued":{"date-parts":[["2015"]]},"title":"Safety and antitumor activity of chimeric antigen receptor modified T cells in patients with chemotherapy refractory metastatic pancreatic cancer.","type":"article-journal"},"uris":["http://www.mendeley.com/documents/?uuid=c114c24f-9523-4eb9-ba38-c12dd69457a0"]}],"mendeley":{"formattedCitation":"[68]","plainTextFormattedCitation":"[68]","previouslyFormattedCitation":"[68]"},"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C201BE" w:rsidRPr="00E901BF">
        <w:rPr>
          <w:rFonts w:ascii="Book Antiqua" w:hAnsi="Book Antiqua" w:cs="Times New Roman"/>
          <w:color w:val="000000"/>
          <w:sz w:val="24"/>
          <w:szCs w:val="24"/>
          <w:shd w:val="clear" w:color="auto" w:fill="FFFFFF"/>
          <w:vertAlign w:val="superscript"/>
          <w:lang w:val="en-US"/>
        </w:rPr>
        <w:t>,</w:t>
      </w:r>
      <w:r w:rsidR="002624F0" w:rsidRPr="00E901BF">
        <w:rPr>
          <w:rFonts w:ascii="Book Antiqua" w:hAnsi="Book Antiqua" w:cs="Times New Roman"/>
          <w:color w:val="000000"/>
          <w:sz w:val="24"/>
          <w:szCs w:val="24"/>
          <w:shd w:val="clear" w:color="auto" w:fill="FFFFFF"/>
          <w:vertAlign w:val="superscript"/>
          <w:lang w:val="en-US"/>
        </w:rPr>
        <w:t>68]</w:t>
      </w:r>
      <w:r w:rsidR="00441495" w:rsidRPr="00E901BF">
        <w:rPr>
          <w:rFonts w:ascii="Book Antiqua" w:hAnsi="Book Antiqua" w:cs="Times New Roman"/>
          <w:color w:val="000000"/>
          <w:sz w:val="24"/>
          <w:szCs w:val="24"/>
          <w:shd w:val="clear" w:color="auto" w:fill="FFFFFF"/>
          <w:vertAlign w:val="superscript"/>
          <w:lang w:val="en-US"/>
        </w:rPr>
        <w:fldChar w:fldCharType="end"/>
      </w:r>
      <w:r w:rsidR="005221DC" w:rsidRPr="00E901BF">
        <w:rPr>
          <w:rFonts w:ascii="Book Antiqua" w:hAnsi="Book Antiqua" w:cs="Times New Roman"/>
          <w:color w:val="000000"/>
          <w:sz w:val="24"/>
          <w:szCs w:val="24"/>
          <w:shd w:val="clear" w:color="auto" w:fill="FFFFFF"/>
          <w:lang w:val="en-US"/>
        </w:rPr>
        <w:t>, the majority of patients receiving CAR-T cells targeting mesothelin, a membrane antigen overexpressed in pancreatic cancer, showed satisfying tolerance but failed to exhibit a good response</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[60]</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w:t>
      </w:r>
      <w:r w:rsidRPr="00E901BF">
        <w:rPr>
          <w:rFonts w:ascii="Book Antiqua" w:eastAsia="Times New Roman" w:hAnsi="Book Antiqua" w:cs="Times New Roman"/>
          <w:color w:val="000000"/>
          <w:sz w:val="24"/>
          <w:szCs w:val="24"/>
          <w:lang w:val="en-US"/>
        </w:rPr>
        <w:t>In addition to</w:t>
      </w:r>
      <w:r w:rsidRPr="00E901BF">
        <w:rPr>
          <w:rFonts w:ascii="Book Antiqua" w:hAnsi="Book Antiqua" w:cs="Times New Roman"/>
          <w:color w:val="000000"/>
          <w:sz w:val="24"/>
          <w:szCs w:val="24"/>
          <w:shd w:val="clear" w:color="auto" w:fill="FFFFFF"/>
          <w:lang w:val="en-US"/>
        </w:rPr>
        <w:t xml:space="preserve"> mesothelin, other cancer-associated antigens are being tested</w:t>
      </w:r>
      <w:r w:rsidR="005221DC" w:rsidRPr="00E901BF">
        <w:rPr>
          <w:rFonts w:ascii="Book Antiqua" w:hAnsi="Book Antiqua" w:cs="Times New Roman"/>
          <w:color w:val="000000"/>
          <w:sz w:val="24"/>
          <w:szCs w:val="24"/>
          <w:shd w:val="clear" w:color="auto" w:fill="FFFFFF"/>
          <w:lang w:val="en-US"/>
        </w:rPr>
        <w:t xml:space="preserve"> in ongoing clinical trials as potential </w:t>
      </w:r>
      <w:r w:rsidR="00644D63" w:rsidRPr="00E901BF">
        <w:rPr>
          <w:rFonts w:ascii="Book Antiqua" w:hAnsi="Book Antiqua" w:cs="Times New Roman"/>
          <w:color w:val="000000"/>
          <w:sz w:val="24"/>
          <w:szCs w:val="24"/>
          <w:shd w:val="clear" w:color="auto" w:fill="FFFFFF"/>
          <w:lang w:val="en-US"/>
        </w:rPr>
        <w:t xml:space="preserve">targets of </w:t>
      </w:r>
      <w:r w:rsidR="005221DC" w:rsidRPr="00E901BF">
        <w:rPr>
          <w:rFonts w:ascii="Book Antiqua" w:hAnsi="Book Antiqua" w:cs="Times New Roman"/>
          <w:color w:val="000000"/>
          <w:sz w:val="24"/>
          <w:szCs w:val="24"/>
          <w:shd w:val="clear" w:color="auto" w:fill="FFFFFF"/>
          <w:lang w:val="en-US"/>
        </w:rPr>
        <w:t>CAR-T</w:t>
      </w:r>
      <w:r w:rsidRPr="00E901BF">
        <w:rPr>
          <w:rFonts w:ascii="Book Antiqua" w:eastAsia="Times New Roman" w:hAnsi="Book Antiqua" w:cs="Times New Roman"/>
          <w:color w:val="000000"/>
          <w:sz w:val="24"/>
          <w:szCs w:val="24"/>
          <w:lang w:val="en-US"/>
        </w:rPr>
        <w:t>-</w:t>
      </w:r>
      <w:r w:rsidR="005221DC" w:rsidRPr="00E901BF">
        <w:rPr>
          <w:rFonts w:ascii="Book Antiqua" w:hAnsi="Book Antiqua" w:cs="Times New Roman"/>
          <w:color w:val="000000"/>
          <w:sz w:val="24"/>
          <w:szCs w:val="24"/>
          <w:shd w:val="clear" w:color="auto" w:fill="FFFFFF"/>
          <w:lang w:val="en-US"/>
        </w:rPr>
        <w:t>based therapeutic regimes (anti-CEA,</w:t>
      </w:r>
      <w:r w:rsidRPr="00E901BF">
        <w:rPr>
          <w:rFonts w:ascii="Book Antiqua" w:eastAsia="Times New Roman" w:hAnsi="Book Antiqua" w:cs="Times New Roman"/>
          <w:color w:val="000000"/>
          <w:sz w:val="24"/>
          <w:szCs w:val="24"/>
          <w:lang w:val="en-US"/>
        </w:rPr>
        <w:t xml:space="preserve"> </w:t>
      </w:r>
      <w:r w:rsidR="005221DC" w:rsidRPr="00E901BF">
        <w:rPr>
          <w:rFonts w:ascii="Book Antiqua" w:hAnsi="Book Antiqua" w:cs="Times New Roman"/>
          <w:color w:val="000000"/>
          <w:sz w:val="24"/>
          <w:szCs w:val="24"/>
          <w:shd w:val="clear" w:color="auto" w:fill="FFFFFF"/>
          <w:lang w:val="en-US"/>
        </w:rPr>
        <w:t>anti-CD-133, anti-ROR1,</w:t>
      </w:r>
      <w:r w:rsidRPr="00E901BF">
        <w:rPr>
          <w:rFonts w:ascii="Book Antiqua" w:eastAsia="Times New Roman" w:hAnsi="Book Antiqua" w:cs="Times New Roman"/>
          <w:color w:val="000000"/>
          <w:sz w:val="24"/>
          <w:szCs w:val="24"/>
          <w:lang w:val="en-US"/>
        </w:rPr>
        <w:t xml:space="preserve"> </w:t>
      </w:r>
      <w:r w:rsidR="005221DC" w:rsidRPr="00E901BF">
        <w:rPr>
          <w:rFonts w:ascii="Book Antiqua" w:hAnsi="Book Antiqua" w:cs="Times New Roman"/>
          <w:color w:val="000000"/>
          <w:sz w:val="24"/>
          <w:szCs w:val="24"/>
          <w:shd w:val="clear" w:color="auto" w:fill="FFFFFF"/>
          <w:lang w:val="en-US"/>
        </w:rPr>
        <w:t>anti-</w:t>
      </w:r>
      <w:r w:rsidR="005221DC" w:rsidRPr="00E901BF">
        <w:rPr>
          <w:rFonts w:ascii="Book Antiqua" w:hAnsi="Book Antiqua" w:cs="Times New Roman"/>
          <w:color w:val="000000"/>
          <w:sz w:val="24"/>
          <w:szCs w:val="24"/>
          <w:shd w:val="clear" w:color="auto" w:fill="FFFFFF"/>
          <w:lang w:val="en-US"/>
        </w:rPr>
        <w:lastRenderedPageBreak/>
        <w:t>WT1) alone or in combination with chemotherapy</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{"citationItems":[{"id":"ITEM-1","itemData":{"DOI":"10.1177/1756283X16667909","ISSN":"17562848","abstract":"Pancreatic cancer is a highly aggressive and lethal cancer characterized by high invasiveness, local and extensive dissemination at time of diagnosis and resistance to treatment. Few therapies have shown efficacy in the past and even standard of care therapies yield only modest improvements in the mortality of patients with advanced or metastatic disease. Efforts have been undertaken to study the pancreatic tumor microenvironment and have established its complex and immunosuppressive nature which could explain the high resistance to chemotherapy. Novel therapies targeting the tumor microenvironment with an aim to decrease this resistance, improve immune tolerance and increase the efficacy of the current treatment have shown some promising preliminary results in preclinical and clinical trials. We review the current advances in the field of immunotherapy and their effectiveness as a potential treatment strategy in the pancreatic cancer.","author":[{"dropping-particle":"","family":"Thind","given":"Komal","non-dropping-particle":"","parse-names":false,"suffix":""},{"dropping-particle":"","family":"Padrnos","given":"Leslie J.","non-dropping-particle":"","parse-names":false,"suffix":""},{"dropping-particle":"","family":"Ramanathan","given":"Ramesh K.","non-dropping-particle":"","parse-names":false,"suffix":""},{"dropping-particle":"","family":"Borad","given":"Mitesh J.","non-dropping-particle":"","parse-names":false,"suffix":""}],"container-title":"Therapeutic Advances in Gastroenterology","id":"ITEM-1","issued":{"date-parts":[["2017"]]},"title":"Immunotherapy in pancreatic cancer treatment: A new frontier","type":"article"},"uris":["http://www.mendeley.com/documents/?uuid=68b4d0b0-5a83-4072-af98-cd020ce44b82"]}],"mendeley":{"formattedCitation":"[60]","plainTextFormattedCitation":"[60]","previouslyFormattedCitation":"[60]"},"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[60]</w:t>
      </w:r>
      <w:r w:rsidR="00441495" w:rsidRPr="00E901BF">
        <w:rPr>
          <w:rFonts w:ascii="Book Antiqua" w:hAnsi="Book Antiqua" w:cs="Times New Roman"/>
          <w:color w:val="000000"/>
          <w:sz w:val="24"/>
          <w:szCs w:val="24"/>
          <w:shd w:val="clear" w:color="auto" w:fill="FFFFFF"/>
          <w:vertAlign w:val="superscript"/>
          <w:lang w:val="en-US"/>
        </w:rPr>
        <w:fldChar w:fldCharType="end"/>
      </w:r>
      <w:r w:rsidR="00C201BE" w:rsidRPr="00E901BF">
        <w:rPr>
          <w:rFonts w:ascii="Book Antiqua" w:hAnsi="Book Antiqua" w:cs="Times New Roman"/>
          <w:color w:val="000000"/>
          <w:sz w:val="24"/>
          <w:szCs w:val="24"/>
          <w:shd w:val="clear" w:color="auto" w:fill="FFFFFF"/>
          <w:lang w:val="en-US"/>
        </w:rPr>
        <w:t xml:space="preserve">; (5) </w:t>
      </w:r>
      <w:r w:rsidRPr="00E901BF">
        <w:rPr>
          <w:rFonts w:ascii="Book Antiqua" w:hAnsi="Book Antiqua" w:cs="Times New Roman"/>
          <w:color w:val="000000"/>
          <w:sz w:val="24"/>
          <w:szCs w:val="24"/>
          <w:shd w:val="clear" w:color="auto" w:fill="FFFFFF"/>
          <w:lang w:val="en-US"/>
        </w:rPr>
        <w:t xml:space="preserve">Immune modulating agents targeting the dense pancreatic microenvironment could also exert substantial </w:t>
      </w:r>
      <w:r w:rsidR="00936233" w:rsidRPr="00E901BF">
        <w:rPr>
          <w:rFonts w:ascii="Book Antiqua" w:hAnsi="Book Antiqua" w:cs="Times New Roman"/>
          <w:color w:val="000000"/>
          <w:sz w:val="24"/>
          <w:szCs w:val="24"/>
          <w:shd w:val="clear" w:color="auto" w:fill="FFFFFF"/>
          <w:lang w:val="en-US"/>
        </w:rPr>
        <w:t>antitumor</w:t>
      </w:r>
      <w:r w:rsidRPr="00E901BF">
        <w:rPr>
          <w:rFonts w:ascii="Book Antiqua" w:hAnsi="Book Antiqua" w:cs="Times New Roman"/>
          <w:color w:val="000000"/>
          <w:sz w:val="24"/>
          <w:szCs w:val="24"/>
          <w:shd w:val="clear" w:color="auto" w:fill="FFFFFF"/>
          <w:lang w:val="en-US"/>
        </w:rPr>
        <w:t xml:space="preserve"> activity. Promising data have been derived from the use of anti-CD40 agonistic antibodies along with gemcitabine in PDAC patients, where tumor regression was attributed to stroma</w:t>
      </w:r>
      <w:r w:rsidR="006B0A88" w:rsidRPr="00E901BF">
        <w:rPr>
          <w:rFonts w:ascii="Book Antiqua" w:hAnsi="Book Antiqua" w:cs="Times New Roman"/>
          <w:color w:val="000000"/>
          <w:sz w:val="24"/>
          <w:szCs w:val="24"/>
          <w:shd w:val="clear" w:color="auto" w:fill="FFFFFF"/>
          <w:lang w:val="en-US"/>
        </w:rPr>
        <w:t>l</w:t>
      </w:r>
      <w:r w:rsidRPr="00E901BF">
        <w:rPr>
          <w:rFonts w:ascii="Book Antiqua" w:hAnsi="Book Antiqua" w:cs="Times New Roman"/>
          <w:color w:val="000000"/>
          <w:sz w:val="24"/>
          <w:szCs w:val="24"/>
          <w:shd w:val="clear" w:color="auto" w:fill="FFFFFF"/>
          <w:lang w:val="en-US"/>
        </w:rPr>
        <w:t xml:space="preserve"> alterations provoked by the</w:t>
      </w:r>
      <w:r w:rsidR="005221DC" w:rsidRPr="00E901BF">
        <w:rPr>
          <w:rFonts w:ascii="Book Antiqua" w:hAnsi="Book Antiqua" w:cs="Times New Roman"/>
          <w:color w:val="000000"/>
          <w:sz w:val="24"/>
          <w:szCs w:val="24"/>
          <w:shd w:val="clear" w:color="auto" w:fill="FFFFFF"/>
          <w:lang w:val="en-US"/>
        </w:rPr>
        <w:t xml:space="preserve"> effect of </w:t>
      </w:r>
      <w:r w:rsidR="00E8324E" w:rsidRPr="00E901BF">
        <w:rPr>
          <w:rFonts w:ascii="Book Antiqua" w:hAnsi="Book Antiqua" w:cs="Times New Roman"/>
          <w:color w:val="000000"/>
          <w:sz w:val="24"/>
          <w:szCs w:val="24"/>
          <w:shd w:val="clear" w:color="auto" w:fill="FFFFFF"/>
          <w:lang w:val="en-US"/>
        </w:rPr>
        <w:t xml:space="preserve">the </w:t>
      </w:r>
      <w:r w:rsidR="005221DC" w:rsidRPr="00E901BF">
        <w:rPr>
          <w:rFonts w:ascii="Book Antiqua" w:hAnsi="Book Antiqua" w:cs="Times New Roman"/>
          <w:color w:val="000000"/>
          <w:sz w:val="24"/>
          <w:szCs w:val="24"/>
          <w:shd w:val="clear" w:color="auto" w:fill="FFFFFF"/>
          <w:lang w:val="en-US"/>
        </w:rPr>
        <w:t xml:space="preserve">anti-CD40 </w:t>
      </w:r>
      <w:r w:rsidR="00E8324E" w:rsidRPr="00E901BF">
        <w:rPr>
          <w:rFonts w:ascii="Book Antiqua" w:hAnsi="Book Antiqua" w:cs="Times New Roman"/>
          <w:color w:val="000000"/>
          <w:sz w:val="24"/>
          <w:szCs w:val="24"/>
          <w:shd w:val="clear" w:color="auto" w:fill="FFFFFF"/>
          <w:lang w:val="en-US"/>
        </w:rPr>
        <w:t>antibody</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{"citationItems":[{"id":"ITEM-1","itemData":{"DOI":"10.1126/science.1198443","ISBN":"9780874216561","ISSN":"00368075","PMID":"15003161","abstract":"Immunosuppressive tumor microenvironments can restrain antitumor immunity, particularly in pancreatic ductal adenocarcinoma (PDA). Because CD40 activation can reverse immune suppression and drive antitumor T cell responses, we tested the combination of an agonist CD40 antibody with gemcitabine chemotherapy in a small cohort of patients with surgically incurable PDA and observed tumor regressions in some patients. We reproduced this treatment effect in a genetically engineered mouse model of PDA and found unexpectedly that tumor regression required macrophages but not T cells or gemcitabine. CD40-activated macrophages rapidly infiltrated tumors, became tumoricidal, and facilitated the depletion of tumor stroma. Thus, cancer immune surveillance does not necessarily depend on therapy-induced T cells; rather, our findings demonstrate a CD40-dependent mechanism for targeting tumor stroma in the treatment of cancer.","author":[{"dropping-particle":"","family":"Beatty","given":"Gregory L.","non-dropping-particle":"","parse-names":false,"suffix":""},{"dropping-particle":"","family":"Chiorean","given":"Elena G.","non-dropping-particle":"","parse-names":false,"suffix":""},{"dropping-particle":"","family":"Fishman","given":"Matthew P.","non-dropping-particle":"","parse-names":false,"suffix":""},{"dropping-particle":"","family":"Saboury","given":"Babak","non-dropping-particle":"","parse-names":false,"suffix":""},{"dropping-particle":"","family":"Teitelbaum","given":"Ursina R.","non-dropping-particle":"","parse-names":false,"suffix":""},{"dropping-particle":"","family":"Sun","given":"Weijing","non-dropping-particle":"","parse-names":false,"suffix":""},{"dropping-particle":"","family":"Huhn","given":"Richard D.","non-dropping-particle":"","parse-names":false,"suffix":""},{"dropping-particle":"","family":"Song","given":"Wenru","non-dropping-particle":"","parse-names":false,"suffix":""},{"dropping-particle":"","family":"Li","given":"Dongguang","non-dropping-particle":"","parse-names":false,"suffix":""},{"dropping-particle":"","family":"Sharp","given":"Leslie L.","non-dropping-particle":"","parse-names":false,"suffix":""},{"dropping-particle":"","family":"Torigian","given":"Drew A.","non-dropping-particle":"","parse-names":false,"suffix":""},{"dropping-particle":"","family":"O'Dwyer","given":"Peter J.","non-dropping-particle":"","parse-names":false,"suffix":""},{"dropping-particle":"","family":"Vonderheide","given":"Robert H.","non-dropping-particle":"","parse-names":false,"suffix":""}],"container-title":"Science","id":"ITEM-1","issued":{"date-parts":[["2011"]]},"title":"CD40 agonists alter tumor stroma and show efficacy against pancreatic carcinoma in mice and humans","type":"article-journal"},"uris":["http://www.mendeley.com/documents/?uuid=a0fd03bf-1dc6-4885-9b23-d1b1815daab2"]}],"mendeley":{"formattedCitation":"[69]","plainTextFormattedCitation":"[69]","previouslyFormattedCitation":"[69]"},"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[69</w:t>
      </w:r>
      <w:r w:rsidR="00441495" w:rsidRPr="00E901BF">
        <w:rPr>
          <w:rFonts w:ascii="Book Antiqua" w:hAnsi="Book Antiqua" w:cs="Times New Roman"/>
          <w:color w:val="000000"/>
          <w:sz w:val="24"/>
          <w:szCs w:val="24"/>
          <w:shd w:val="clear" w:color="auto" w:fill="FFFFFF"/>
          <w:vertAlign w:val="superscript"/>
          <w:lang w:val="en-US"/>
        </w:rPr>
        <w:fldChar w:fldCharType="end"/>
      </w:r>
      <w:r w:rsidR="00C201BE" w:rsidRPr="00E901BF">
        <w:rPr>
          <w:rFonts w:ascii="Book Antiqua" w:hAnsi="Book Antiqua" w:cs="Times New Roman"/>
          <w:color w:val="000000"/>
          <w:sz w:val="24"/>
          <w:szCs w:val="24"/>
          <w:shd w:val="clear" w:color="auto" w:fill="FFFFFF"/>
          <w:vertAlign w:val="superscript"/>
          <w:lang w:val="en-US"/>
        </w:rPr>
        <w:t>,</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{"citationItems":[{"id":"ITEM-1","itemData":{"DOI":"10.1158/1078-0432.CCR-13-1320","ISSN":"10780432","abstract":"PURPOSE: This phase I study investigated the maximum-tolerated dose (MTD), safety, pharmacodynamics, immunologic correlatives, and antitumor activity of CP-870,893, an agonist CD40 antibody, when administered in combination with gemcitabine in patients with advanced pancreatic ductal adenocarcinoma (PDA). EXPERIMENTAL DESIGN: Twenty-two patients with chemotherapy-naïve advanced PDA were treated with 1,000 mg/m(2) gemcitabine once weekly for three weeks with infusion of CP-870,893 at 0.1 or 0.2 mg/kg on day three of each 28-day cycle. RESULTS: CP-870,893 was well-tolerated; one dose-limiting toxicity (grade 4, cerebrovascular accident) occurred at the 0.2 mg/kg dose level, which was estimated as the MTD. The most common adverse event was cytokine release syndrome (grade 1 to 2). CP-870,893 infusion triggered immune activation marked by an increase in inflammatory cytokines, an increase in B-cell expression of costimulatory molecules, and a transient depletion of B cells. Four patients achieved a partial response (PR). 2-[(18)F]fluoro-2-deoxy-d-glucose-positron emission tomography/computed tomography (FDG-PET/CT) showed more than 25% decrease in FDG uptake within primary pancreatic lesions in six of eight patients; however, responses observed in metastatic lesions were heterogeneous, with some lesions responding with complete loss of FDG uptake, whereas other lesions in the same patient failed to respond. Improved overall survival correlated with a decrease in FDG uptake in hepatic lesions (R = -0.929; P = 0.007). CONCLUSIONS: CP-870,893 in combination with gemcitabine was well-tolerated and associated with antitumor activity in patients with PDA. Changes in FDG uptake detected on PET/CT imaging provide insight into therapeutic benefit. Phase II studies are warranted.","author":[{"dropping-particle":"","family":"Beatty","given":"Gregory L.","non-dropping-particle":"","parse-names":false,"suffix":""},{"dropping-particle":"","family":"Torigian","given":"Drew A.","non-dropping-particle":"","parse-names":false,"suffix":""},{"dropping-particle":"","family":"Gabriela Chiorean","given":"E.","non-dropping-particle":"","parse-names":false,"suffix":""},{"dropping-particle":"","family":"Saboury","given":"Babak","non-dropping-particle":"","parse-names":false,"suffix":""},{"dropping-particle":"","family":"Brothers","given":"Alex","non-dropping-particle":"","parse-names":false,"suffix":""},{"dropping-particle":"","family":"Alavi","given":"Abass","non-dropping-particle":"","parse-names":false,"suffix":""},{"dropping-particle":"","family":"Troxel","given":"Andrea B.","non-dropping-particle":"","parse-names":false,"suffix":""},{"dropping-particle":"","family":"Sun","given":"Weijing","non-dropping-particle":"","parse-names":false,"suffix":""},{"dropping-particle":"","family":"Teitelbaum","given":"Ursina R.","non-dropping-particle":"","parse-names":false,"suffix":""},{"dropping-particle":"","family":"Vonderheide","given":"Robert H.","non-dropping-particle":"","parse-names":false,"suffix":""},{"dropping-particle":"","family":"O'Dwyer","given":"Peter J.","non-dropping-particle":"","parse-names":false,"suffix":""}],"container-title":"Clinical Cancer Research","id":"ITEM-1","issued":{"date-parts":[["2013"]]},"title":"A phase I study of an agonist CD40 monoclonal antibody (CP-870,893) in combination with gemcitabine in patients with advanced pancreatic ductal adenocarcinoma","type":"article-journal"},"uris":["http://www.mendeley.com/documents/?uuid=cbe63fbf-d1a8-497a-98b9-fcdc15aae172"]}],"mendeley":{"formattedCitation":"[70]","plainTextFormattedCitation":"[70]","previouslyFormattedCitation":"[70]"},"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70]</w:t>
      </w:r>
      <w:r w:rsidR="00441495" w:rsidRPr="00E901BF">
        <w:rPr>
          <w:rFonts w:ascii="Book Antiqua" w:hAnsi="Book Antiqua" w:cs="Times New Roman"/>
          <w:color w:val="000000"/>
          <w:sz w:val="24"/>
          <w:szCs w:val="24"/>
          <w:shd w:val="clear" w:color="auto" w:fill="FFFFFF"/>
          <w:vertAlign w:val="superscript"/>
          <w:lang w:val="en-US"/>
        </w:rPr>
        <w:fldChar w:fldCharType="end"/>
      </w:r>
      <w:r w:rsidRPr="00E901BF">
        <w:rPr>
          <w:rFonts w:ascii="Book Antiqua" w:hAnsi="Book Antiqua" w:cs="Times New Roman"/>
          <w:color w:val="000000"/>
          <w:sz w:val="24"/>
          <w:szCs w:val="24"/>
          <w:shd w:val="clear" w:color="auto" w:fill="FFFFFF"/>
          <w:lang w:val="en-US"/>
        </w:rPr>
        <w:t xml:space="preserve">. </w:t>
      </w:r>
      <w:r w:rsidRPr="00E901BF">
        <w:rPr>
          <w:rFonts w:ascii="Book Antiqua" w:eastAsia="Times New Roman" w:hAnsi="Book Antiqua" w:cs="Times New Roman"/>
          <w:color w:val="000000"/>
          <w:sz w:val="24"/>
          <w:szCs w:val="24"/>
          <w:lang w:val="en-US"/>
        </w:rPr>
        <w:t xml:space="preserve">Another </w:t>
      </w:r>
      <w:r w:rsidRPr="00E901BF">
        <w:rPr>
          <w:rFonts w:ascii="Book Antiqua" w:hAnsi="Book Antiqua" w:cs="Times New Roman"/>
          <w:color w:val="000000"/>
          <w:sz w:val="24"/>
          <w:szCs w:val="24"/>
          <w:shd w:val="clear" w:color="auto" w:fill="FFFFFF"/>
          <w:lang w:val="en-US"/>
        </w:rPr>
        <w:t xml:space="preserve">molecule currently </w:t>
      </w:r>
      <w:r w:rsidR="00E57501" w:rsidRPr="00E901BF">
        <w:rPr>
          <w:rFonts w:ascii="Book Antiqua" w:hAnsi="Book Antiqua" w:cs="Times New Roman"/>
          <w:color w:val="000000"/>
          <w:sz w:val="24"/>
          <w:szCs w:val="24"/>
          <w:shd w:val="clear" w:color="auto" w:fill="FFFFFF"/>
          <w:lang w:val="en-US"/>
        </w:rPr>
        <w:t xml:space="preserve">being </w:t>
      </w:r>
      <w:r w:rsidRPr="00E901BF">
        <w:rPr>
          <w:rFonts w:ascii="Book Antiqua" w:hAnsi="Book Antiqua" w:cs="Times New Roman"/>
          <w:color w:val="000000"/>
          <w:sz w:val="24"/>
          <w:szCs w:val="24"/>
          <w:shd w:val="clear" w:color="auto" w:fill="FFFFFF"/>
          <w:lang w:val="en-US"/>
        </w:rPr>
        <w:t xml:space="preserve">tested in clinical trials against PDAC is CCR2, a chemokine receptor that mediates </w:t>
      </w:r>
      <w:r w:rsidR="00406D45" w:rsidRPr="00E901BF">
        <w:rPr>
          <w:rFonts w:ascii="Book Antiqua" w:hAnsi="Book Antiqua" w:cs="Times New Roman"/>
          <w:color w:val="000000"/>
          <w:sz w:val="24"/>
          <w:szCs w:val="24"/>
          <w:shd w:val="clear" w:color="auto" w:fill="FFFFFF"/>
          <w:lang w:val="en-US"/>
        </w:rPr>
        <w:t xml:space="preserve">the </w:t>
      </w:r>
      <w:r w:rsidRPr="00E901BF">
        <w:rPr>
          <w:rFonts w:ascii="Book Antiqua" w:hAnsi="Book Antiqua" w:cs="Times New Roman"/>
          <w:color w:val="000000"/>
          <w:sz w:val="24"/>
          <w:szCs w:val="24"/>
          <w:shd w:val="clear" w:color="auto" w:fill="FFFFFF"/>
          <w:lang w:val="en-US"/>
        </w:rPr>
        <w:t xml:space="preserve">chemotaxis of immune cells. In </w:t>
      </w:r>
      <w:r w:rsidRPr="00E901BF">
        <w:rPr>
          <w:rFonts w:ascii="Book Antiqua" w:eastAsia="Times New Roman" w:hAnsi="Book Antiqua" w:cs="Times New Roman"/>
          <w:color w:val="000000"/>
          <w:sz w:val="24"/>
          <w:szCs w:val="24"/>
          <w:lang w:val="en-US"/>
        </w:rPr>
        <w:t xml:space="preserve">a </w:t>
      </w:r>
      <w:r w:rsidRPr="00E901BF">
        <w:rPr>
          <w:rFonts w:ascii="Book Antiqua" w:hAnsi="Book Antiqua" w:cs="Times New Roman"/>
          <w:color w:val="000000"/>
          <w:sz w:val="24"/>
          <w:szCs w:val="24"/>
          <w:shd w:val="clear" w:color="auto" w:fill="FFFFFF"/>
          <w:lang w:val="en-US"/>
        </w:rPr>
        <w:t>phase 1 clinical trial, half of PDAC patients treated with PF-04136309, an inhibitor of CCR2, in combination with FOLFIRINOX, exhibited partial response and stable disease</w:t>
      </w:r>
      <w:r w:rsidR="00441495" w:rsidRPr="00E901BF">
        <w:rPr>
          <w:rFonts w:ascii="Book Antiqua" w:hAnsi="Book Antiqua" w:cs="Times New Roman"/>
          <w:color w:val="000000"/>
          <w:sz w:val="24"/>
          <w:szCs w:val="24"/>
          <w:shd w:val="clear" w:color="auto" w:fill="FFFFFF"/>
          <w:vertAlign w:val="superscript"/>
          <w:lang w:val="en-US"/>
        </w:rPr>
        <w:fldChar w:fldCharType="begin" w:fldLock="1"/>
      </w:r>
      <w:r w:rsidR="002624F0" w:rsidRPr="00E901BF">
        <w:rPr>
          <w:rFonts w:ascii="Book Antiqua" w:hAnsi="Book Antiqua" w:cs="Times New Roman"/>
          <w:color w:val="000000"/>
          <w:sz w:val="24"/>
          <w:szCs w:val="24"/>
          <w:shd w:val="clear" w:color="auto" w:fill="FFFFFF"/>
          <w:vertAlign w:val="superscript"/>
          <w:lang w:val="en-US"/>
        </w:rPr>
        <w:instrText>ADDIN CSL_CITATION {"citationItems":[{"id":"ITEM-1","itemData":{"DOI":"10.1200/jco.2015.33.3_suppl.338","ISSN":"0732-183X","author":[{"dropping-particle":"","family":"Sanford","given":"Dominic E.","non-dropping-particle":"","parse-names":false,"suffix":""},{"dropping-particle":"","family":"Fields","given":"Ryan C.","non-dropping-particle":"","parse-names":false,"suffix":""},{"dropping-particle":"","family":"Goedegebuure","given":"Peter S.","non-dropping-particle":"","parse-names":false,"suffix":""},{"dropping-particle":"","family":"DeNardo","given":"David G","non-dropping-particle":"","parse-names":false,"suffix":""},{"dropping-particle":"","family":"Nywening","given":"Timothy M.","non-dropping-particle":"","parse-names":false,"suffix":""},{"dropping-particle":"","family":"Panni","given":"Roheena Z.","non-dropping-particle":"","parse-names":false,"suffix":""},{"dropping-particle":"","family":"Amin","given":"Manik A.","non-dropping-particle":"","parse-names":false,"suffix":""},{"dropping-particle":"","family":"Nieman","given":"Rebecca","non-dropping-particle":"","parse-names":false,"suffix":""},{"dropping-particle":"","family":"Lim","given":"Kian-Huat","non-dropping-particle":"","parse-names":false,"suffix":""},{"dropping-particle":"","family":"Wang-Gillam","given":"Andrea","non-dropping-particle":"","parse-names":false,"suffix":""},{"dropping-particle":"","family":"Strasberg","given":"Steven M.","non-dropping-particle":"","parse-names":false,"suffix":""},{"dropping-particle":"","family":"Adkins","given":"Douglas","non-dropping-particle":"","parse-names":false,"suffix":""},{"dropping-particle":"","family":"Suresh","given":"Rama","non-dropping-particle":"","parse-names":false,"suffix":""},{"dropping-particle":"","family":"Sorscher","given":"Steven","non-dropping-particle":"","parse-names":false,"suffix":""},{"dropping-particle":"","family":"Roshal","given":"Anna","non-dropping-particle":"","parse-names":false,"suffix":""},{"dropping-particle":"","family":"Lockhart","given":"Albert C.","non-dropping-particle":"","parse-names":false,"suffix":""},{"dropping-particle":"","family":"Tan","given":"Benjamin R.","non-dropping-particle":"","parse-names":false,"suffix":""},{"dropping-particle":"","family":"Linehan","given":"David","non-dropping-particle":"","parse-names":false,"suffix":""},{"dropping-particle":"","family":"Fowler","given":"Kathryn","non-dropping-particle":"","parse-names":false,"suffix":""},{"dropping-particle":"","family":"Hawkins","given":"William G.","non-dropping-particle":"","parse-names":false,"suffix":""}],"container-title":"Journal of Clinical Oncology","id":"ITEM-1","issued":{"date-parts":[["2017"]]},"title":"Phase IB study of FOLFIRINOX plus PF-04136309 in patients with borderline resectable and locally advanced pancreatic adenocarcinoma (PC).","type":"article-journal"},"uris":["http://www.mendeley.com/documents/?uuid=0c00157a-564e-4c10-9480-b38962909e0a"]}],"mendeley":{"formattedCitation":"[71]","plainTextFormattedCitation":"[71]","previouslyFormattedCitation":"[71]"},"properties":{"noteIndex":0},"schema":"https://github.com/citation-style-language/schema/raw/master/csl-citation.json"}</w:instrText>
      </w:r>
      <w:r w:rsidR="00441495" w:rsidRPr="00E901BF">
        <w:rPr>
          <w:rFonts w:ascii="Book Antiqua" w:hAnsi="Book Antiqua" w:cs="Times New Roman"/>
          <w:color w:val="000000"/>
          <w:sz w:val="24"/>
          <w:szCs w:val="24"/>
          <w:shd w:val="clear" w:color="auto" w:fill="FFFFFF"/>
          <w:vertAlign w:val="superscript"/>
          <w:lang w:val="en-US"/>
        </w:rPr>
        <w:fldChar w:fldCharType="separate"/>
      </w:r>
      <w:r w:rsidR="002624F0" w:rsidRPr="00E901BF">
        <w:rPr>
          <w:rFonts w:ascii="Book Antiqua" w:hAnsi="Book Antiqua" w:cs="Times New Roman"/>
          <w:color w:val="000000"/>
          <w:sz w:val="24"/>
          <w:szCs w:val="24"/>
          <w:shd w:val="clear" w:color="auto" w:fill="FFFFFF"/>
          <w:vertAlign w:val="superscript"/>
          <w:lang w:val="en-US"/>
        </w:rPr>
        <w:t>[71]</w:t>
      </w:r>
      <w:r w:rsidR="00441495" w:rsidRPr="00E901BF">
        <w:rPr>
          <w:rFonts w:ascii="Book Antiqua" w:hAnsi="Book Antiqua" w:cs="Times New Roman"/>
          <w:color w:val="000000"/>
          <w:sz w:val="24"/>
          <w:szCs w:val="24"/>
          <w:shd w:val="clear" w:color="auto" w:fill="FFFFFF"/>
          <w:vertAlign w:val="superscript"/>
          <w:lang w:val="en-US"/>
        </w:rPr>
        <w:fldChar w:fldCharType="end"/>
      </w:r>
      <w:r w:rsidR="003F2723" w:rsidRPr="00E901BF">
        <w:rPr>
          <w:rFonts w:ascii="Book Antiqua" w:hAnsi="Book Antiqua" w:cs="Times New Roman"/>
          <w:color w:val="000000"/>
          <w:sz w:val="24"/>
          <w:szCs w:val="24"/>
          <w:shd w:val="clear" w:color="auto" w:fill="FFFFFF"/>
          <w:lang w:val="en-US"/>
        </w:rPr>
        <w:t>.</w:t>
      </w:r>
    </w:p>
    <w:p w14:paraId="00851645" w14:textId="77777777" w:rsidR="00C201BE" w:rsidRPr="00E901BF" w:rsidRDefault="00C201BE" w:rsidP="00E901BF">
      <w:pPr>
        <w:autoSpaceDE w:val="0"/>
        <w:autoSpaceDN w:val="0"/>
        <w:adjustRightInd w:val="0"/>
        <w:spacing w:after="0" w:line="360" w:lineRule="auto"/>
        <w:jc w:val="both"/>
        <w:rPr>
          <w:rFonts w:ascii="Book Antiqua" w:hAnsi="Book Antiqua" w:cs="Times New Roman"/>
          <w:b/>
          <w:sz w:val="24"/>
          <w:szCs w:val="24"/>
          <w:lang w:val="en-US"/>
        </w:rPr>
      </w:pPr>
    </w:p>
    <w:p w14:paraId="0A6D9B47" w14:textId="7187B05D" w:rsidR="00843159" w:rsidRPr="00E901BF" w:rsidRDefault="00C201BE" w:rsidP="00E901BF">
      <w:pPr>
        <w:autoSpaceDE w:val="0"/>
        <w:autoSpaceDN w:val="0"/>
        <w:adjustRightInd w:val="0"/>
        <w:spacing w:after="0" w:line="360" w:lineRule="auto"/>
        <w:jc w:val="both"/>
        <w:rPr>
          <w:rFonts w:ascii="Book Antiqua" w:hAnsi="Book Antiqua" w:cs="Times New Roman"/>
          <w:b/>
          <w:sz w:val="24"/>
          <w:szCs w:val="24"/>
          <w:u w:val="single"/>
          <w:lang w:val="en-US"/>
        </w:rPr>
      </w:pPr>
      <w:r w:rsidRPr="00E901BF">
        <w:rPr>
          <w:rFonts w:ascii="Book Antiqua" w:hAnsi="Book Antiqua" w:cs="Times New Roman"/>
          <w:b/>
          <w:sz w:val="24"/>
          <w:szCs w:val="24"/>
          <w:u w:val="single"/>
          <w:lang w:val="en-US"/>
        </w:rPr>
        <w:t>CONCLUSION</w:t>
      </w:r>
    </w:p>
    <w:p w14:paraId="29EAB867" w14:textId="554AC2EF" w:rsidR="00843159" w:rsidRPr="00E901BF" w:rsidRDefault="00F04A7C" w:rsidP="00E901BF">
      <w:pPr>
        <w:autoSpaceDE w:val="0"/>
        <w:autoSpaceDN w:val="0"/>
        <w:adjustRightInd w:val="0"/>
        <w:spacing w:after="0" w:line="360" w:lineRule="auto"/>
        <w:jc w:val="both"/>
        <w:rPr>
          <w:rFonts w:ascii="Book Antiqua" w:hAnsi="Book Antiqua" w:cs="Times New Roman"/>
          <w:sz w:val="24"/>
          <w:szCs w:val="24"/>
          <w:lang w:val="en-US"/>
        </w:rPr>
      </w:pPr>
      <w:r w:rsidRPr="00E901BF">
        <w:rPr>
          <w:rFonts w:ascii="Book Antiqua" w:hAnsi="Book Antiqua" w:cs="Times New Roman"/>
          <w:sz w:val="24"/>
          <w:szCs w:val="24"/>
          <w:lang w:val="en-US"/>
        </w:rPr>
        <w:t xml:space="preserve">Pancreatic cancer remains a devastating disease with poor prognosis. This is due to factors such as the lack of early diagnostic markers, delayed detection, diverse genetics and rapid </w:t>
      </w:r>
      <w:r w:rsidR="005C6A7C" w:rsidRPr="00E901BF">
        <w:rPr>
          <w:rFonts w:ascii="Book Antiqua" w:hAnsi="Book Antiqua" w:cs="Times New Roman"/>
          <w:sz w:val="24"/>
          <w:szCs w:val="24"/>
          <w:lang w:val="en-US"/>
        </w:rPr>
        <w:t>metastasis</w:t>
      </w:r>
      <w:r w:rsidRPr="00E901BF">
        <w:rPr>
          <w:rFonts w:ascii="Book Antiqua" w:hAnsi="Book Antiqua" w:cs="Times New Roman"/>
          <w:sz w:val="24"/>
          <w:szCs w:val="24"/>
          <w:lang w:val="en-US"/>
        </w:rPr>
        <w:t xml:space="preserve">. </w:t>
      </w:r>
      <w:r w:rsidR="00895FB7" w:rsidRPr="00E901BF">
        <w:rPr>
          <w:rFonts w:ascii="Book Antiqua" w:hAnsi="Book Antiqua" w:cs="Times New Roman"/>
          <w:sz w:val="24"/>
          <w:szCs w:val="24"/>
          <w:lang w:val="en-US"/>
        </w:rPr>
        <w:t>T</w:t>
      </w:r>
      <w:r w:rsidRPr="00E901BF">
        <w:rPr>
          <w:rFonts w:ascii="Book Antiqua" w:hAnsi="Book Antiqua" w:cs="Times New Roman"/>
          <w:sz w:val="24"/>
          <w:szCs w:val="24"/>
          <w:lang w:val="en-US"/>
        </w:rPr>
        <w:t xml:space="preserve">he extensive TME that grows around the </w:t>
      </w:r>
      <w:r w:rsidR="00895FB7" w:rsidRPr="00E901BF">
        <w:rPr>
          <w:rFonts w:ascii="Book Antiqua" w:hAnsi="Book Antiqua" w:cs="Times New Roman"/>
          <w:sz w:val="24"/>
          <w:szCs w:val="24"/>
          <w:lang w:val="en-US"/>
        </w:rPr>
        <w:t>tumor plays crucial roles in this disease</w:t>
      </w:r>
      <w:r w:rsidRPr="00E901BF">
        <w:rPr>
          <w:rFonts w:ascii="Book Antiqua" w:hAnsi="Book Antiqua" w:cs="Times New Roman"/>
          <w:sz w:val="24"/>
          <w:szCs w:val="24"/>
          <w:lang w:val="en-US"/>
        </w:rPr>
        <w:t>. Due to the dense and immunosuppressive TME, the penetrance of therapeutic regimes for the elimination of cancer cells is hindered.</w:t>
      </w:r>
      <w:r w:rsidR="007C11DB" w:rsidRPr="00E901BF">
        <w:rPr>
          <w:rFonts w:ascii="Book Antiqua" w:hAnsi="Book Antiqua" w:cs="Times New Roman"/>
          <w:color w:val="000000"/>
          <w:sz w:val="24"/>
          <w:szCs w:val="24"/>
          <w:lang w:val="en-US"/>
        </w:rPr>
        <w:t xml:space="preserve"> The interaction between the microenvironment and cancer cells remains to be further elucidated.</w:t>
      </w:r>
      <w:r w:rsidR="000536B2" w:rsidRPr="00E901BF">
        <w:rPr>
          <w:rFonts w:ascii="Book Antiqua" w:hAnsi="Book Antiqua" w:cs="Times New Roman"/>
          <w:sz w:val="24"/>
          <w:szCs w:val="24"/>
          <w:lang w:val="en-US"/>
        </w:rPr>
        <w:t xml:space="preserve"> However, in recent years, immunotherapy has been successfully applied in the treatment of various types of cancers. Combination therapies have been developed to optimize the clinical outcome and prolong the survival of patients with pancreatic cancer (</w:t>
      </w:r>
      <w:r w:rsidR="00C201BE" w:rsidRPr="00E901BF">
        <w:rPr>
          <w:rFonts w:ascii="Book Antiqua" w:eastAsia="Times New Roman" w:hAnsi="Book Antiqua" w:cs="Times New Roman"/>
          <w:sz w:val="24"/>
          <w:szCs w:val="24"/>
          <w:lang w:val="en-US"/>
        </w:rPr>
        <w:t xml:space="preserve">Figure </w:t>
      </w:r>
      <w:r w:rsidRPr="00E901BF">
        <w:rPr>
          <w:rFonts w:ascii="Book Antiqua" w:eastAsia="Times New Roman" w:hAnsi="Book Antiqua" w:cs="Times New Roman"/>
          <w:sz w:val="24"/>
          <w:szCs w:val="24"/>
          <w:lang w:val="en-US"/>
        </w:rPr>
        <w:t>1</w:t>
      </w:r>
      <w:r w:rsidR="000536B2" w:rsidRPr="00E901BF">
        <w:rPr>
          <w:rFonts w:ascii="Book Antiqua" w:hAnsi="Book Antiqua" w:cs="Times New Roman"/>
          <w:sz w:val="24"/>
          <w:szCs w:val="24"/>
          <w:lang w:val="en-US"/>
        </w:rPr>
        <w:t>)</w:t>
      </w:r>
      <w:r w:rsidRPr="00E901BF">
        <w:rPr>
          <w:rFonts w:ascii="Book Antiqua" w:hAnsi="Book Antiqua" w:cs="Times New Roman"/>
          <w:sz w:val="24"/>
          <w:szCs w:val="24"/>
          <w:lang w:val="en-US"/>
        </w:rPr>
        <w:t>.</w:t>
      </w:r>
    </w:p>
    <w:p w14:paraId="00EFDC3E" w14:textId="77777777" w:rsidR="00C201BE" w:rsidRPr="00E901BF" w:rsidRDefault="00C201BE" w:rsidP="00E901BF">
      <w:pPr>
        <w:tabs>
          <w:tab w:val="left" w:pos="1530"/>
        </w:tabs>
        <w:spacing w:after="0" w:line="360" w:lineRule="auto"/>
        <w:jc w:val="both"/>
        <w:rPr>
          <w:rFonts w:ascii="Book Antiqua" w:hAnsi="Book Antiqua" w:cs="Times New Roman"/>
          <w:b/>
          <w:sz w:val="24"/>
          <w:szCs w:val="24"/>
          <w:lang w:val="en-US"/>
        </w:rPr>
      </w:pPr>
    </w:p>
    <w:p w14:paraId="60C4BC77" w14:textId="262BFF5A" w:rsidR="009D6628" w:rsidRPr="00E901BF" w:rsidRDefault="00C201BE" w:rsidP="00E901BF">
      <w:pPr>
        <w:tabs>
          <w:tab w:val="left" w:pos="1530"/>
        </w:tabs>
        <w:spacing w:after="0" w:line="360" w:lineRule="auto"/>
        <w:jc w:val="both"/>
        <w:rPr>
          <w:rFonts w:ascii="Book Antiqua" w:hAnsi="Book Antiqua" w:cs="Times New Roman"/>
          <w:b/>
          <w:sz w:val="24"/>
          <w:szCs w:val="24"/>
          <w:lang w:val="en-US"/>
        </w:rPr>
      </w:pPr>
      <w:r w:rsidRPr="00E901BF">
        <w:rPr>
          <w:rFonts w:ascii="Book Antiqua" w:hAnsi="Book Antiqua" w:cs="Times New Roman"/>
          <w:b/>
          <w:sz w:val="24"/>
          <w:szCs w:val="24"/>
          <w:lang w:val="en-US"/>
        </w:rPr>
        <w:t>REFERENCES</w:t>
      </w:r>
    </w:p>
    <w:p w14:paraId="7BB2F7F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 </w:t>
      </w:r>
      <w:r w:rsidRPr="00E901BF">
        <w:rPr>
          <w:rFonts w:ascii="Book Antiqua" w:hAnsi="Book Antiqua"/>
          <w:b/>
          <w:sz w:val="24"/>
          <w:szCs w:val="24"/>
        </w:rPr>
        <w:t>Miller KD</w:t>
      </w:r>
      <w:r w:rsidRPr="00E901BF">
        <w:rPr>
          <w:rFonts w:ascii="Book Antiqua" w:hAnsi="Book Antiqua"/>
          <w:sz w:val="24"/>
          <w:szCs w:val="24"/>
        </w:rPr>
        <w:t xml:space="preserve">, Siegel RL, Lin CC, Mariotto AB, Kramer JL, Rowland JH, Stein KD, Alteri R, Jemal A. Cancer treatment and survivorship statistics, 2016. </w:t>
      </w:r>
      <w:r w:rsidRPr="00E901BF">
        <w:rPr>
          <w:rFonts w:ascii="Book Antiqua" w:hAnsi="Book Antiqua"/>
          <w:i/>
          <w:sz w:val="24"/>
          <w:szCs w:val="24"/>
        </w:rPr>
        <w:t>CA Cancer J Clin</w:t>
      </w:r>
      <w:r w:rsidRPr="00E901BF">
        <w:rPr>
          <w:rFonts w:ascii="Book Antiqua" w:hAnsi="Book Antiqua"/>
          <w:sz w:val="24"/>
          <w:szCs w:val="24"/>
        </w:rPr>
        <w:t xml:space="preserve"> 2016; </w:t>
      </w:r>
      <w:r w:rsidRPr="00E901BF">
        <w:rPr>
          <w:rFonts w:ascii="Book Antiqua" w:hAnsi="Book Antiqua"/>
          <w:b/>
          <w:sz w:val="24"/>
          <w:szCs w:val="24"/>
        </w:rPr>
        <w:t>66</w:t>
      </w:r>
      <w:r w:rsidRPr="00E901BF">
        <w:rPr>
          <w:rFonts w:ascii="Book Antiqua" w:hAnsi="Book Antiqua"/>
          <w:sz w:val="24"/>
          <w:szCs w:val="24"/>
        </w:rPr>
        <w:t>: 271-289 [PMID: 27253694 DOI: 10.3322/caac.21349]</w:t>
      </w:r>
    </w:p>
    <w:p w14:paraId="1BDFE154"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 </w:t>
      </w:r>
      <w:r w:rsidRPr="00E901BF">
        <w:rPr>
          <w:rFonts w:ascii="Book Antiqua" w:hAnsi="Book Antiqua"/>
          <w:b/>
          <w:sz w:val="24"/>
          <w:szCs w:val="24"/>
        </w:rPr>
        <w:t>Corbo V</w:t>
      </w:r>
      <w:r w:rsidRPr="00E901BF">
        <w:rPr>
          <w:rFonts w:ascii="Book Antiqua" w:hAnsi="Book Antiqua"/>
          <w:sz w:val="24"/>
          <w:szCs w:val="24"/>
        </w:rPr>
        <w:t xml:space="preserve">, Tortora G, Scarpa A. Molecular pathology of pancreatic cancer: from bench-to-bedside translation. </w:t>
      </w:r>
      <w:r w:rsidRPr="00E901BF">
        <w:rPr>
          <w:rFonts w:ascii="Book Antiqua" w:hAnsi="Book Antiqua"/>
          <w:i/>
          <w:sz w:val="24"/>
          <w:szCs w:val="24"/>
        </w:rPr>
        <w:t>Curr Drug Targets</w:t>
      </w:r>
      <w:r w:rsidRPr="00E901BF">
        <w:rPr>
          <w:rFonts w:ascii="Book Antiqua" w:hAnsi="Book Antiqua"/>
          <w:sz w:val="24"/>
          <w:szCs w:val="24"/>
        </w:rPr>
        <w:t xml:space="preserve"> 2012; </w:t>
      </w:r>
      <w:r w:rsidRPr="00E901BF">
        <w:rPr>
          <w:rFonts w:ascii="Book Antiqua" w:hAnsi="Book Antiqua"/>
          <w:b/>
          <w:sz w:val="24"/>
          <w:szCs w:val="24"/>
        </w:rPr>
        <w:t>13</w:t>
      </w:r>
      <w:r w:rsidRPr="00E901BF">
        <w:rPr>
          <w:rFonts w:ascii="Book Antiqua" w:hAnsi="Book Antiqua"/>
          <w:sz w:val="24"/>
          <w:szCs w:val="24"/>
        </w:rPr>
        <w:t>: 744-752 [PMID: 22458520 DOI: 10.2174/138945012800564103]</w:t>
      </w:r>
    </w:p>
    <w:p w14:paraId="76D40D4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3 </w:t>
      </w:r>
      <w:r w:rsidRPr="00E901BF">
        <w:rPr>
          <w:rFonts w:ascii="Book Antiqua" w:hAnsi="Book Antiqua"/>
          <w:b/>
          <w:sz w:val="24"/>
          <w:szCs w:val="24"/>
        </w:rPr>
        <w:t>Ghaneh P</w:t>
      </w:r>
      <w:r w:rsidRPr="00E901BF">
        <w:rPr>
          <w:rFonts w:ascii="Book Antiqua" w:hAnsi="Book Antiqua"/>
          <w:sz w:val="24"/>
          <w:szCs w:val="24"/>
        </w:rPr>
        <w:t xml:space="preserve">, Costello E, Neoptolemos JP. Biology and management of pancreatic cancer. </w:t>
      </w:r>
      <w:r w:rsidRPr="00E901BF">
        <w:rPr>
          <w:rFonts w:ascii="Book Antiqua" w:hAnsi="Book Antiqua"/>
          <w:i/>
          <w:sz w:val="24"/>
          <w:szCs w:val="24"/>
        </w:rPr>
        <w:t>Postgrad Med J</w:t>
      </w:r>
      <w:r w:rsidRPr="00E901BF">
        <w:rPr>
          <w:rFonts w:ascii="Book Antiqua" w:hAnsi="Book Antiqua"/>
          <w:sz w:val="24"/>
          <w:szCs w:val="24"/>
        </w:rPr>
        <w:t xml:space="preserve"> 2008; </w:t>
      </w:r>
      <w:r w:rsidRPr="00E901BF">
        <w:rPr>
          <w:rFonts w:ascii="Book Antiqua" w:hAnsi="Book Antiqua"/>
          <w:b/>
          <w:sz w:val="24"/>
          <w:szCs w:val="24"/>
        </w:rPr>
        <w:t>84</w:t>
      </w:r>
      <w:r w:rsidRPr="00E901BF">
        <w:rPr>
          <w:rFonts w:ascii="Book Antiqua" w:hAnsi="Book Antiqua"/>
          <w:sz w:val="24"/>
          <w:szCs w:val="24"/>
        </w:rPr>
        <w:t>: 478-497 [PMID: 18940950 DOI: 10.1136/gut.2006.103333]</w:t>
      </w:r>
    </w:p>
    <w:p w14:paraId="400E8515"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 </w:t>
      </w:r>
      <w:r w:rsidRPr="00E901BF">
        <w:rPr>
          <w:rFonts w:ascii="Book Antiqua" w:hAnsi="Book Antiqua"/>
          <w:b/>
          <w:sz w:val="24"/>
          <w:szCs w:val="24"/>
        </w:rPr>
        <w:t>Porta M</w:t>
      </w:r>
      <w:r w:rsidRPr="00E901BF">
        <w:rPr>
          <w:rFonts w:ascii="Book Antiqua" w:hAnsi="Book Antiqua"/>
          <w:sz w:val="24"/>
          <w:szCs w:val="24"/>
        </w:rPr>
        <w:t xml:space="preserve">, Fabregat X, Malats N, Guarner L, Carrato A, de Miguel A, Ruiz L, Jariod M, Costafreda S, Coll S, Alguacil J, Corominas JM, Solà R, Salas A, Real FX. Exocrine pancreatic cancer: symptoms at presentation and their relation to tumour site and stage. </w:t>
      </w:r>
      <w:r w:rsidRPr="00E901BF">
        <w:rPr>
          <w:rFonts w:ascii="Book Antiqua" w:hAnsi="Book Antiqua"/>
          <w:i/>
          <w:sz w:val="24"/>
          <w:szCs w:val="24"/>
        </w:rPr>
        <w:t>Clin Transl Oncol</w:t>
      </w:r>
      <w:r w:rsidRPr="00E901BF">
        <w:rPr>
          <w:rFonts w:ascii="Book Antiqua" w:hAnsi="Book Antiqua"/>
          <w:sz w:val="24"/>
          <w:szCs w:val="24"/>
        </w:rPr>
        <w:t xml:space="preserve"> 2005; </w:t>
      </w:r>
      <w:r w:rsidRPr="00E901BF">
        <w:rPr>
          <w:rFonts w:ascii="Book Antiqua" w:hAnsi="Book Antiqua"/>
          <w:b/>
          <w:sz w:val="24"/>
          <w:szCs w:val="24"/>
        </w:rPr>
        <w:t>7</w:t>
      </w:r>
      <w:r w:rsidRPr="00E901BF">
        <w:rPr>
          <w:rFonts w:ascii="Book Antiqua" w:hAnsi="Book Antiqua"/>
          <w:sz w:val="24"/>
          <w:szCs w:val="24"/>
        </w:rPr>
        <w:t>: 189-197 [PMID: 15960930 DOI: 10.1007/bf02712816]</w:t>
      </w:r>
    </w:p>
    <w:p w14:paraId="08144F4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 </w:t>
      </w:r>
      <w:r w:rsidRPr="00E901BF">
        <w:rPr>
          <w:rFonts w:ascii="Book Antiqua" w:hAnsi="Book Antiqua"/>
          <w:b/>
          <w:sz w:val="24"/>
          <w:szCs w:val="24"/>
        </w:rPr>
        <w:t>De Souza A</w:t>
      </w:r>
      <w:r w:rsidRPr="00E901BF">
        <w:rPr>
          <w:rFonts w:ascii="Book Antiqua" w:hAnsi="Book Antiqua"/>
          <w:sz w:val="24"/>
          <w:szCs w:val="24"/>
        </w:rPr>
        <w:t xml:space="preserve">, Khawaja KI, Masud F, Saif MW. Metformin and pancreatic cancer: Is there a role? </w:t>
      </w:r>
      <w:r w:rsidRPr="00E901BF">
        <w:rPr>
          <w:rFonts w:ascii="Book Antiqua" w:hAnsi="Book Antiqua"/>
          <w:i/>
          <w:sz w:val="24"/>
          <w:szCs w:val="24"/>
        </w:rPr>
        <w:t>Cancer Chemother Pharmacol</w:t>
      </w:r>
      <w:r w:rsidRPr="00E901BF">
        <w:rPr>
          <w:rFonts w:ascii="Book Antiqua" w:hAnsi="Book Antiqua"/>
          <w:sz w:val="24"/>
          <w:szCs w:val="24"/>
        </w:rPr>
        <w:t xml:space="preserve"> 2016; </w:t>
      </w:r>
      <w:r w:rsidRPr="00E901BF">
        <w:rPr>
          <w:rFonts w:ascii="Book Antiqua" w:hAnsi="Book Antiqua"/>
          <w:b/>
          <w:sz w:val="24"/>
          <w:szCs w:val="24"/>
        </w:rPr>
        <w:t>77</w:t>
      </w:r>
      <w:r w:rsidRPr="00E901BF">
        <w:rPr>
          <w:rFonts w:ascii="Book Antiqua" w:hAnsi="Book Antiqua"/>
          <w:sz w:val="24"/>
          <w:szCs w:val="24"/>
        </w:rPr>
        <w:t>: 235-242 [PMID: 26740120 DOI: 10.1007/s00280-015-2948-8]</w:t>
      </w:r>
    </w:p>
    <w:p w14:paraId="0E31DF57"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 </w:t>
      </w:r>
      <w:r w:rsidRPr="00E901BF">
        <w:rPr>
          <w:rFonts w:ascii="Book Antiqua" w:hAnsi="Book Antiqua"/>
          <w:b/>
          <w:sz w:val="24"/>
          <w:szCs w:val="24"/>
        </w:rPr>
        <w:t>Khorana AA</w:t>
      </w:r>
      <w:r w:rsidRPr="00E901BF">
        <w:rPr>
          <w:rFonts w:ascii="Book Antiqua" w:hAnsi="Book Antiqua"/>
          <w:sz w:val="24"/>
          <w:szCs w:val="24"/>
        </w:rPr>
        <w:t xml:space="preserve">. Cancer and coagulation. </w:t>
      </w:r>
      <w:r w:rsidRPr="00E901BF">
        <w:rPr>
          <w:rFonts w:ascii="Book Antiqua" w:hAnsi="Book Antiqua"/>
          <w:i/>
          <w:sz w:val="24"/>
          <w:szCs w:val="24"/>
        </w:rPr>
        <w:t>Am J Hematol</w:t>
      </w:r>
      <w:r w:rsidRPr="00E901BF">
        <w:rPr>
          <w:rFonts w:ascii="Book Antiqua" w:hAnsi="Book Antiqua"/>
          <w:sz w:val="24"/>
          <w:szCs w:val="24"/>
        </w:rPr>
        <w:t xml:space="preserve"> 2012; </w:t>
      </w:r>
      <w:r w:rsidRPr="00E901BF">
        <w:rPr>
          <w:rFonts w:ascii="Book Antiqua" w:hAnsi="Book Antiqua"/>
          <w:b/>
          <w:sz w:val="24"/>
          <w:szCs w:val="24"/>
        </w:rPr>
        <w:t>87 Suppl 1</w:t>
      </w:r>
      <w:r w:rsidRPr="00E901BF">
        <w:rPr>
          <w:rFonts w:ascii="Book Antiqua" w:hAnsi="Book Antiqua"/>
          <w:sz w:val="24"/>
          <w:szCs w:val="24"/>
        </w:rPr>
        <w:t>: S82-S87 [PMID: 22389165 DOI: 10.1002/ajh.23143]</w:t>
      </w:r>
    </w:p>
    <w:p w14:paraId="2A51B4D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7 </w:t>
      </w:r>
      <w:r w:rsidRPr="00E901BF">
        <w:rPr>
          <w:rFonts w:ascii="Book Antiqua" w:hAnsi="Book Antiqua"/>
          <w:b/>
          <w:sz w:val="24"/>
          <w:szCs w:val="24"/>
        </w:rPr>
        <w:t>Ansari D</w:t>
      </w:r>
      <w:r w:rsidRPr="00E901BF">
        <w:rPr>
          <w:rFonts w:ascii="Book Antiqua" w:hAnsi="Book Antiqua"/>
          <w:sz w:val="24"/>
          <w:szCs w:val="24"/>
        </w:rPr>
        <w:t xml:space="preserve">, Gustafsson A, Andersson R. Update on the management of pancreatic cancer: surgery is not enough. </w:t>
      </w:r>
      <w:r w:rsidRPr="00E901BF">
        <w:rPr>
          <w:rFonts w:ascii="Book Antiqua" w:hAnsi="Book Antiqua"/>
          <w:i/>
          <w:sz w:val="24"/>
          <w:szCs w:val="24"/>
        </w:rPr>
        <w:t>World J Gastroenterol</w:t>
      </w:r>
      <w:r w:rsidRPr="00E901BF">
        <w:rPr>
          <w:rFonts w:ascii="Book Antiqua" w:hAnsi="Book Antiqua"/>
          <w:sz w:val="24"/>
          <w:szCs w:val="24"/>
        </w:rPr>
        <w:t xml:space="preserve"> 2015; </w:t>
      </w:r>
      <w:r w:rsidRPr="00E901BF">
        <w:rPr>
          <w:rFonts w:ascii="Book Antiqua" w:hAnsi="Book Antiqua"/>
          <w:b/>
          <w:sz w:val="24"/>
          <w:szCs w:val="24"/>
        </w:rPr>
        <w:t>21</w:t>
      </w:r>
      <w:r w:rsidRPr="00E901BF">
        <w:rPr>
          <w:rFonts w:ascii="Book Antiqua" w:hAnsi="Book Antiqua"/>
          <w:sz w:val="24"/>
          <w:szCs w:val="24"/>
        </w:rPr>
        <w:t>: 3157-3165 [PMID: 25805920 DOI: 10.3748/wjg.v21.i11.3157]</w:t>
      </w:r>
    </w:p>
    <w:p w14:paraId="1B938AB4"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8 </w:t>
      </w:r>
      <w:r w:rsidRPr="00E901BF">
        <w:rPr>
          <w:rFonts w:ascii="Book Antiqua" w:hAnsi="Book Antiqua"/>
          <w:b/>
          <w:sz w:val="24"/>
          <w:szCs w:val="24"/>
        </w:rPr>
        <w:t>Adamska A</w:t>
      </w:r>
      <w:r w:rsidRPr="00E901BF">
        <w:rPr>
          <w:rFonts w:ascii="Book Antiqua" w:hAnsi="Book Antiqua"/>
          <w:sz w:val="24"/>
          <w:szCs w:val="24"/>
        </w:rPr>
        <w:t xml:space="preserve">, Domenichini A, Falasca M. Pancreatic Ductal Adenocarcinoma: Current and Evolving Therapies. </w:t>
      </w:r>
      <w:r w:rsidRPr="00E901BF">
        <w:rPr>
          <w:rFonts w:ascii="Book Antiqua" w:hAnsi="Book Antiqua"/>
          <w:i/>
          <w:sz w:val="24"/>
          <w:szCs w:val="24"/>
        </w:rPr>
        <w:t>Int J Mol Sci</w:t>
      </w:r>
      <w:r w:rsidRPr="00E901BF">
        <w:rPr>
          <w:rFonts w:ascii="Book Antiqua" w:hAnsi="Book Antiqua"/>
          <w:sz w:val="24"/>
          <w:szCs w:val="24"/>
        </w:rPr>
        <w:t xml:space="preserve"> 2017; </w:t>
      </w:r>
      <w:r w:rsidRPr="00E901BF">
        <w:rPr>
          <w:rFonts w:ascii="Book Antiqua" w:hAnsi="Book Antiqua"/>
          <w:b/>
          <w:sz w:val="24"/>
          <w:szCs w:val="24"/>
        </w:rPr>
        <w:t>18</w:t>
      </w:r>
      <w:r w:rsidRPr="00E901BF">
        <w:rPr>
          <w:rFonts w:ascii="Book Antiqua" w:hAnsi="Book Antiqua"/>
          <w:sz w:val="24"/>
          <w:szCs w:val="24"/>
        </w:rPr>
        <w:t>:  [PMID: 28640192 DOI: 10.3390/ijms18071338]</w:t>
      </w:r>
    </w:p>
    <w:p w14:paraId="063CD2C4"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9 </w:t>
      </w:r>
      <w:r w:rsidRPr="00E901BF">
        <w:rPr>
          <w:rFonts w:ascii="Book Antiqua" w:hAnsi="Book Antiqua"/>
          <w:b/>
          <w:sz w:val="24"/>
          <w:szCs w:val="24"/>
        </w:rPr>
        <w:t>Mayo SC</w:t>
      </w:r>
      <w:r w:rsidRPr="00E901BF">
        <w:rPr>
          <w:rFonts w:ascii="Book Antiqua" w:hAnsi="Book Antiqua"/>
          <w:sz w:val="24"/>
          <w:szCs w:val="24"/>
        </w:rPr>
        <w:t xml:space="preserve">, Nathan H, Cameron JL, Olino K, Edil BH, Herman JM, Hirose K, Schulick RD, Choti MA, Wolfgang CL, Pawlik TM. Conditional survival in patients with pancreatic ductal adenocarcinoma resected with curative intent. </w:t>
      </w:r>
      <w:r w:rsidRPr="00E901BF">
        <w:rPr>
          <w:rFonts w:ascii="Book Antiqua" w:hAnsi="Book Antiqua"/>
          <w:i/>
          <w:sz w:val="24"/>
          <w:szCs w:val="24"/>
        </w:rPr>
        <w:t>Cancer</w:t>
      </w:r>
      <w:r w:rsidRPr="00E901BF">
        <w:rPr>
          <w:rFonts w:ascii="Book Antiqua" w:hAnsi="Book Antiqua"/>
          <w:sz w:val="24"/>
          <w:szCs w:val="24"/>
        </w:rPr>
        <w:t xml:space="preserve"> 2012; </w:t>
      </w:r>
      <w:r w:rsidRPr="00E901BF">
        <w:rPr>
          <w:rFonts w:ascii="Book Antiqua" w:hAnsi="Book Antiqua"/>
          <w:b/>
          <w:sz w:val="24"/>
          <w:szCs w:val="24"/>
        </w:rPr>
        <w:t>118</w:t>
      </w:r>
      <w:r w:rsidRPr="00E901BF">
        <w:rPr>
          <w:rFonts w:ascii="Book Antiqua" w:hAnsi="Book Antiqua"/>
          <w:sz w:val="24"/>
          <w:szCs w:val="24"/>
        </w:rPr>
        <w:t>: 2674-2681 [PMID: 21935914 DOI: 10.1002/cncr.26553]</w:t>
      </w:r>
    </w:p>
    <w:p w14:paraId="666E659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10 </w:t>
      </w:r>
      <w:r w:rsidRPr="00E901BF">
        <w:rPr>
          <w:rFonts w:ascii="Book Antiqua" w:hAnsi="Book Antiqua"/>
          <w:b/>
          <w:sz w:val="24"/>
          <w:szCs w:val="24"/>
        </w:rPr>
        <w:t>Vaccaro V</w:t>
      </w:r>
      <w:r w:rsidRPr="00E901BF">
        <w:rPr>
          <w:rFonts w:ascii="Book Antiqua" w:hAnsi="Book Antiqua"/>
          <w:sz w:val="24"/>
          <w:szCs w:val="24"/>
        </w:rPr>
        <w:t xml:space="preserve">, Sperduti I, Milella M. FOLFIRINOX versus gemcitabine for metastatic pancreatic cancer. </w:t>
      </w:r>
      <w:r w:rsidRPr="00E901BF">
        <w:rPr>
          <w:rFonts w:ascii="Book Antiqua" w:hAnsi="Book Antiqua"/>
          <w:i/>
          <w:sz w:val="24"/>
          <w:szCs w:val="24"/>
        </w:rPr>
        <w:t>N Engl J Med</w:t>
      </w:r>
      <w:r w:rsidRPr="00E901BF">
        <w:rPr>
          <w:rFonts w:ascii="Book Antiqua" w:hAnsi="Book Antiqua"/>
          <w:sz w:val="24"/>
          <w:szCs w:val="24"/>
        </w:rPr>
        <w:t xml:space="preserve"> 2011; </w:t>
      </w:r>
      <w:r w:rsidRPr="00E901BF">
        <w:rPr>
          <w:rFonts w:ascii="Book Antiqua" w:hAnsi="Book Antiqua"/>
          <w:b/>
          <w:sz w:val="24"/>
          <w:szCs w:val="24"/>
        </w:rPr>
        <w:t>365</w:t>
      </w:r>
      <w:r w:rsidRPr="00E901BF">
        <w:rPr>
          <w:rFonts w:ascii="Book Antiqua" w:hAnsi="Book Antiqua"/>
          <w:sz w:val="24"/>
          <w:szCs w:val="24"/>
        </w:rPr>
        <w:t>: 768-9; author reply 769 [PMID: 21864184 DOI: 10.1056/NEJMc1107627]</w:t>
      </w:r>
    </w:p>
    <w:p w14:paraId="343C617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11 </w:t>
      </w:r>
      <w:r w:rsidRPr="00E901BF">
        <w:rPr>
          <w:rFonts w:ascii="Book Antiqua" w:hAnsi="Book Antiqua"/>
          <w:b/>
          <w:sz w:val="24"/>
          <w:szCs w:val="24"/>
        </w:rPr>
        <w:t>Santoni M</w:t>
      </w:r>
      <w:r w:rsidRPr="00E901BF">
        <w:rPr>
          <w:rFonts w:ascii="Book Antiqua" w:hAnsi="Book Antiqua"/>
          <w:sz w:val="24"/>
          <w:szCs w:val="24"/>
        </w:rPr>
        <w:t xml:space="preserve">, Massari F, Di Nunno V, Conti A, Cimadamore A, Scarpelli M, Montironi R, Cheng L, Battelli N, Lopez-Beltran A. Immunotherapy in renal cell carcinoma: latest evidence and clinical implications. </w:t>
      </w:r>
      <w:r w:rsidRPr="00E901BF">
        <w:rPr>
          <w:rFonts w:ascii="Book Antiqua" w:hAnsi="Book Antiqua"/>
          <w:i/>
          <w:sz w:val="24"/>
          <w:szCs w:val="24"/>
        </w:rPr>
        <w:t>Drugs Context</w:t>
      </w:r>
      <w:r w:rsidRPr="00E901BF">
        <w:rPr>
          <w:rFonts w:ascii="Book Antiqua" w:hAnsi="Book Antiqua"/>
          <w:sz w:val="24"/>
          <w:szCs w:val="24"/>
        </w:rPr>
        <w:t xml:space="preserve"> 2018; </w:t>
      </w:r>
      <w:r w:rsidRPr="00E901BF">
        <w:rPr>
          <w:rFonts w:ascii="Book Antiqua" w:hAnsi="Book Antiqua"/>
          <w:b/>
          <w:sz w:val="24"/>
          <w:szCs w:val="24"/>
        </w:rPr>
        <w:t>7</w:t>
      </w:r>
      <w:r w:rsidRPr="00E901BF">
        <w:rPr>
          <w:rFonts w:ascii="Book Antiqua" w:hAnsi="Book Antiqua"/>
          <w:sz w:val="24"/>
          <w:szCs w:val="24"/>
        </w:rPr>
        <w:t>: 212528 [PMID: 29899754 DOI: 10.7573/dic.212528]</w:t>
      </w:r>
    </w:p>
    <w:p w14:paraId="0B75007C"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12 </w:t>
      </w:r>
      <w:r w:rsidRPr="00E901BF">
        <w:rPr>
          <w:rFonts w:ascii="Book Antiqua" w:hAnsi="Book Antiqua"/>
          <w:b/>
          <w:sz w:val="24"/>
          <w:szCs w:val="24"/>
        </w:rPr>
        <w:t>Oberstein PE</w:t>
      </w:r>
      <w:r w:rsidRPr="00E901BF">
        <w:rPr>
          <w:rFonts w:ascii="Book Antiqua" w:hAnsi="Book Antiqua"/>
          <w:sz w:val="24"/>
          <w:szCs w:val="24"/>
        </w:rPr>
        <w:t xml:space="preserve">, Olive KP. Pancreatic cancer: why is it so hard to treat? </w:t>
      </w:r>
      <w:r w:rsidRPr="00E901BF">
        <w:rPr>
          <w:rFonts w:ascii="Book Antiqua" w:hAnsi="Book Antiqua"/>
          <w:i/>
          <w:sz w:val="24"/>
          <w:szCs w:val="24"/>
        </w:rPr>
        <w:t>Therap Adv Gastroenterol</w:t>
      </w:r>
      <w:r w:rsidRPr="00E901BF">
        <w:rPr>
          <w:rFonts w:ascii="Book Antiqua" w:hAnsi="Book Antiqua"/>
          <w:sz w:val="24"/>
          <w:szCs w:val="24"/>
        </w:rPr>
        <w:t xml:space="preserve"> 2013; </w:t>
      </w:r>
      <w:r w:rsidRPr="00E901BF">
        <w:rPr>
          <w:rFonts w:ascii="Book Antiqua" w:hAnsi="Book Antiqua"/>
          <w:b/>
          <w:sz w:val="24"/>
          <w:szCs w:val="24"/>
        </w:rPr>
        <w:t>6</w:t>
      </w:r>
      <w:r w:rsidRPr="00E901BF">
        <w:rPr>
          <w:rFonts w:ascii="Book Antiqua" w:hAnsi="Book Antiqua"/>
          <w:sz w:val="24"/>
          <w:szCs w:val="24"/>
        </w:rPr>
        <w:t>: 321-337 [PMID: 23814611 DOI: 10.1177/1756283X13478680]</w:t>
      </w:r>
    </w:p>
    <w:p w14:paraId="22A04321"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13 </w:t>
      </w:r>
      <w:r w:rsidRPr="00E901BF">
        <w:rPr>
          <w:rFonts w:ascii="Book Antiqua" w:hAnsi="Book Antiqua"/>
          <w:b/>
          <w:sz w:val="24"/>
          <w:szCs w:val="24"/>
        </w:rPr>
        <w:t>Chakraborty S</w:t>
      </w:r>
      <w:r w:rsidRPr="00E901BF">
        <w:rPr>
          <w:rFonts w:ascii="Book Antiqua" w:hAnsi="Book Antiqua"/>
          <w:sz w:val="24"/>
          <w:szCs w:val="24"/>
        </w:rPr>
        <w:t xml:space="preserve">, Singh S. Surgical resection improves survival in pancreatic cancer patients without vascular invasion- a population based study. </w:t>
      </w:r>
      <w:r w:rsidRPr="00E901BF">
        <w:rPr>
          <w:rFonts w:ascii="Book Antiqua" w:hAnsi="Book Antiqua"/>
          <w:i/>
          <w:sz w:val="24"/>
          <w:szCs w:val="24"/>
        </w:rPr>
        <w:t>Ann Gastroenterol</w:t>
      </w:r>
      <w:r w:rsidRPr="00E901BF">
        <w:rPr>
          <w:rFonts w:ascii="Book Antiqua" w:hAnsi="Book Antiqua"/>
          <w:sz w:val="24"/>
          <w:szCs w:val="24"/>
        </w:rPr>
        <w:t xml:space="preserve"> 2013; </w:t>
      </w:r>
      <w:r w:rsidRPr="00E901BF">
        <w:rPr>
          <w:rFonts w:ascii="Book Antiqua" w:hAnsi="Book Antiqua"/>
          <w:b/>
          <w:sz w:val="24"/>
          <w:szCs w:val="24"/>
        </w:rPr>
        <w:t>26</w:t>
      </w:r>
      <w:r w:rsidRPr="00E901BF">
        <w:rPr>
          <w:rFonts w:ascii="Book Antiqua" w:hAnsi="Book Antiqua"/>
          <w:sz w:val="24"/>
          <w:szCs w:val="24"/>
        </w:rPr>
        <w:t>: 346-352 [PMID: 24714323]</w:t>
      </w:r>
    </w:p>
    <w:p w14:paraId="793C17A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14 </w:t>
      </w:r>
      <w:r w:rsidRPr="00E901BF">
        <w:rPr>
          <w:rFonts w:ascii="Book Antiqua" w:hAnsi="Book Antiqua"/>
          <w:b/>
          <w:sz w:val="24"/>
          <w:szCs w:val="24"/>
        </w:rPr>
        <w:t>Bethune G</w:t>
      </w:r>
      <w:r w:rsidRPr="00E901BF">
        <w:rPr>
          <w:rFonts w:ascii="Book Antiqua" w:hAnsi="Book Antiqua"/>
          <w:sz w:val="24"/>
          <w:szCs w:val="24"/>
        </w:rPr>
        <w:t xml:space="preserve">, Bethune D, Ridgway N, Xu Z. Epidermal growth factor receptor (EGFR) in lung cancer: an overview and update. </w:t>
      </w:r>
      <w:r w:rsidRPr="00E901BF">
        <w:rPr>
          <w:rFonts w:ascii="Book Antiqua" w:hAnsi="Book Antiqua"/>
          <w:i/>
          <w:sz w:val="24"/>
          <w:szCs w:val="24"/>
        </w:rPr>
        <w:t>J Thorac Dis</w:t>
      </w:r>
      <w:r w:rsidRPr="00E901BF">
        <w:rPr>
          <w:rFonts w:ascii="Book Antiqua" w:hAnsi="Book Antiqua"/>
          <w:sz w:val="24"/>
          <w:szCs w:val="24"/>
        </w:rPr>
        <w:t xml:space="preserve"> 2010; </w:t>
      </w:r>
      <w:r w:rsidRPr="00E901BF">
        <w:rPr>
          <w:rFonts w:ascii="Book Antiqua" w:hAnsi="Book Antiqua"/>
          <w:b/>
          <w:sz w:val="24"/>
          <w:szCs w:val="24"/>
        </w:rPr>
        <w:t>2</w:t>
      </w:r>
      <w:r w:rsidRPr="00E901BF">
        <w:rPr>
          <w:rFonts w:ascii="Book Antiqua" w:hAnsi="Book Antiqua"/>
          <w:sz w:val="24"/>
          <w:szCs w:val="24"/>
        </w:rPr>
        <w:t>: 48-51 [PMID: 22263017]</w:t>
      </w:r>
    </w:p>
    <w:p w14:paraId="1164A3F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15 </w:t>
      </w:r>
      <w:r w:rsidRPr="00E901BF">
        <w:rPr>
          <w:rFonts w:ascii="Book Antiqua" w:hAnsi="Book Antiqua"/>
          <w:b/>
          <w:sz w:val="24"/>
          <w:szCs w:val="24"/>
        </w:rPr>
        <w:t>Cheng L</w:t>
      </w:r>
      <w:r w:rsidRPr="00E901BF">
        <w:rPr>
          <w:rFonts w:ascii="Book Antiqua" w:hAnsi="Book Antiqua"/>
          <w:sz w:val="24"/>
          <w:szCs w:val="24"/>
        </w:rPr>
        <w:t xml:space="preserve">, Lopez-Beltran A, Massari F, MacLennan GT, Montironi R. Molecular testing for BRAF mutations to inform melanoma treatment decisions: a move toward precision medicine. </w:t>
      </w:r>
      <w:r w:rsidRPr="00E901BF">
        <w:rPr>
          <w:rFonts w:ascii="Book Antiqua" w:hAnsi="Book Antiqua"/>
          <w:i/>
          <w:sz w:val="24"/>
          <w:szCs w:val="24"/>
        </w:rPr>
        <w:t>Mod Pathol</w:t>
      </w:r>
      <w:r w:rsidRPr="00E901BF">
        <w:rPr>
          <w:rFonts w:ascii="Book Antiqua" w:hAnsi="Book Antiqua"/>
          <w:sz w:val="24"/>
          <w:szCs w:val="24"/>
        </w:rPr>
        <w:t xml:space="preserve"> 2018; </w:t>
      </w:r>
      <w:r w:rsidRPr="00E901BF">
        <w:rPr>
          <w:rFonts w:ascii="Book Antiqua" w:hAnsi="Book Antiqua"/>
          <w:b/>
          <w:sz w:val="24"/>
          <w:szCs w:val="24"/>
        </w:rPr>
        <w:t>31</w:t>
      </w:r>
      <w:r w:rsidRPr="00E901BF">
        <w:rPr>
          <w:rFonts w:ascii="Book Antiqua" w:hAnsi="Book Antiqua"/>
          <w:sz w:val="24"/>
          <w:szCs w:val="24"/>
        </w:rPr>
        <w:t>: 24-38 [PMID: 29148538 DOI: 10.1038/modpathol.2017.104]</w:t>
      </w:r>
    </w:p>
    <w:p w14:paraId="5CF2C7B1"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16 </w:t>
      </w:r>
      <w:r w:rsidRPr="00E901BF">
        <w:rPr>
          <w:rFonts w:ascii="Book Antiqua" w:hAnsi="Book Antiqua"/>
          <w:b/>
          <w:sz w:val="24"/>
          <w:szCs w:val="24"/>
        </w:rPr>
        <w:t>Grant TJ</w:t>
      </w:r>
      <w:r w:rsidRPr="00E901BF">
        <w:rPr>
          <w:rFonts w:ascii="Book Antiqua" w:hAnsi="Book Antiqua"/>
          <w:sz w:val="24"/>
          <w:szCs w:val="24"/>
        </w:rPr>
        <w:t xml:space="preserve">, Hua K, Singh A. Molecular Pathogenesis of Pancreatic Cancer. </w:t>
      </w:r>
      <w:r w:rsidRPr="00E901BF">
        <w:rPr>
          <w:rFonts w:ascii="Book Antiqua" w:hAnsi="Book Antiqua"/>
          <w:i/>
          <w:sz w:val="24"/>
          <w:szCs w:val="24"/>
        </w:rPr>
        <w:t>Prog Mol Biol Transl Sci</w:t>
      </w:r>
      <w:r w:rsidRPr="00E901BF">
        <w:rPr>
          <w:rFonts w:ascii="Book Antiqua" w:hAnsi="Book Antiqua"/>
          <w:sz w:val="24"/>
          <w:szCs w:val="24"/>
        </w:rPr>
        <w:t xml:space="preserve"> 2016; </w:t>
      </w:r>
      <w:r w:rsidRPr="00E901BF">
        <w:rPr>
          <w:rFonts w:ascii="Book Antiqua" w:hAnsi="Book Antiqua"/>
          <w:b/>
          <w:sz w:val="24"/>
          <w:szCs w:val="24"/>
        </w:rPr>
        <w:t>144</w:t>
      </w:r>
      <w:r w:rsidRPr="00E901BF">
        <w:rPr>
          <w:rFonts w:ascii="Book Antiqua" w:hAnsi="Book Antiqua"/>
          <w:sz w:val="24"/>
          <w:szCs w:val="24"/>
        </w:rPr>
        <w:t>: 241-275 [PMID: 27865459 DOI: 10.1016/bs.pmbts.2016.09.008]</w:t>
      </w:r>
    </w:p>
    <w:p w14:paraId="68E3BB6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17 </w:t>
      </w:r>
      <w:r w:rsidRPr="00E901BF">
        <w:rPr>
          <w:rFonts w:ascii="Book Antiqua" w:hAnsi="Book Antiqua"/>
          <w:b/>
          <w:sz w:val="24"/>
          <w:szCs w:val="24"/>
        </w:rPr>
        <w:t>Samuel N</w:t>
      </w:r>
      <w:r w:rsidRPr="00E901BF">
        <w:rPr>
          <w:rFonts w:ascii="Book Antiqua" w:hAnsi="Book Antiqua"/>
          <w:sz w:val="24"/>
          <w:szCs w:val="24"/>
        </w:rPr>
        <w:t xml:space="preserve">, Hudson TJ. The molecular and cellular heterogeneity of pancreatic ductal adenocarcinoma. </w:t>
      </w:r>
      <w:r w:rsidRPr="00E901BF">
        <w:rPr>
          <w:rFonts w:ascii="Book Antiqua" w:hAnsi="Book Antiqua"/>
          <w:i/>
          <w:sz w:val="24"/>
          <w:szCs w:val="24"/>
        </w:rPr>
        <w:t>Nat Rev Gastroenterol Hepatol</w:t>
      </w:r>
      <w:r w:rsidRPr="00E901BF">
        <w:rPr>
          <w:rFonts w:ascii="Book Antiqua" w:hAnsi="Book Antiqua"/>
          <w:sz w:val="24"/>
          <w:szCs w:val="24"/>
        </w:rPr>
        <w:t xml:space="preserve"> 2011; </w:t>
      </w:r>
      <w:r w:rsidRPr="00E901BF">
        <w:rPr>
          <w:rFonts w:ascii="Book Antiqua" w:hAnsi="Book Antiqua"/>
          <w:b/>
          <w:sz w:val="24"/>
          <w:szCs w:val="24"/>
        </w:rPr>
        <w:t>9</w:t>
      </w:r>
      <w:r w:rsidRPr="00E901BF">
        <w:rPr>
          <w:rFonts w:ascii="Book Antiqua" w:hAnsi="Book Antiqua"/>
          <w:sz w:val="24"/>
          <w:szCs w:val="24"/>
        </w:rPr>
        <w:t>: 77-87 [PMID: 22183185 DOI: 10.1038/nrgastro.2011.215]</w:t>
      </w:r>
    </w:p>
    <w:p w14:paraId="039919B1"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18 </w:t>
      </w:r>
      <w:r w:rsidRPr="00E901BF">
        <w:rPr>
          <w:rFonts w:ascii="Book Antiqua" w:hAnsi="Book Antiqua"/>
          <w:b/>
          <w:sz w:val="24"/>
          <w:szCs w:val="24"/>
        </w:rPr>
        <w:t>Lee CJ</w:t>
      </w:r>
      <w:r w:rsidRPr="00E901BF">
        <w:rPr>
          <w:rFonts w:ascii="Book Antiqua" w:hAnsi="Book Antiqua"/>
          <w:sz w:val="24"/>
          <w:szCs w:val="24"/>
        </w:rPr>
        <w:t xml:space="preserve">, Li C, Simeone DM. Human pancreatic cancer stem cells: implications for how we treat pancreatic cancer. </w:t>
      </w:r>
      <w:r w:rsidRPr="00E901BF">
        <w:rPr>
          <w:rFonts w:ascii="Book Antiqua" w:hAnsi="Book Antiqua"/>
          <w:i/>
          <w:sz w:val="24"/>
          <w:szCs w:val="24"/>
        </w:rPr>
        <w:t>Transl Oncol</w:t>
      </w:r>
      <w:r w:rsidRPr="00E901BF">
        <w:rPr>
          <w:rFonts w:ascii="Book Antiqua" w:hAnsi="Book Antiqua"/>
          <w:sz w:val="24"/>
          <w:szCs w:val="24"/>
        </w:rPr>
        <w:t xml:space="preserve"> 2008; </w:t>
      </w:r>
      <w:r w:rsidRPr="00E901BF">
        <w:rPr>
          <w:rFonts w:ascii="Book Antiqua" w:hAnsi="Book Antiqua"/>
          <w:b/>
          <w:sz w:val="24"/>
          <w:szCs w:val="24"/>
        </w:rPr>
        <w:t>1</w:t>
      </w:r>
      <w:r w:rsidRPr="00E901BF">
        <w:rPr>
          <w:rFonts w:ascii="Book Antiqua" w:hAnsi="Book Antiqua"/>
          <w:sz w:val="24"/>
          <w:szCs w:val="24"/>
        </w:rPr>
        <w:t>: 14-18 [PMID: 18607507 DOI: 10.1593/tlo.08013]</w:t>
      </w:r>
    </w:p>
    <w:p w14:paraId="237B426A"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19 </w:t>
      </w:r>
      <w:r w:rsidRPr="00E901BF">
        <w:rPr>
          <w:rFonts w:ascii="Book Antiqua" w:hAnsi="Book Antiqua"/>
          <w:b/>
          <w:sz w:val="24"/>
          <w:szCs w:val="24"/>
        </w:rPr>
        <w:t>Yoshida GJ</w:t>
      </w:r>
      <w:r w:rsidRPr="00E901BF">
        <w:rPr>
          <w:rFonts w:ascii="Book Antiqua" w:hAnsi="Book Antiqua"/>
          <w:sz w:val="24"/>
          <w:szCs w:val="24"/>
        </w:rPr>
        <w:t xml:space="preserve">, Saya H. Therapeutic strategies targeting cancer stem cells. </w:t>
      </w:r>
      <w:r w:rsidRPr="00E901BF">
        <w:rPr>
          <w:rFonts w:ascii="Book Antiqua" w:hAnsi="Book Antiqua"/>
          <w:i/>
          <w:sz w:val="24"/>
          <w:szCs w:val="24"/>
        </w:rPr>
        <w:t>Cancer Sci</w:t>
      </w:r>
      <w:r w:rsidRPr="00E901BF">
        <w:rPr>
          <w:rFonts w:ascii="Book Antiqua" w:hAnsi="Book Antiqua"/>
          <w:sz w:val="24"/>
          <w:szCs w:val="24"/>
        </w:rPr>
        <w:t xml:space="preserve"> 2016; </w:t>
      </w:r>
      <w:r w:rsidRPr="00E901BF">
        <w:rPr>
          <w:rFonts w:ascii="Book Antiqua" w:hAnsi="Book Antiqua"/>
          <w:b/>
          <w:sz w:val="24"/>
          <w:szCs w:val="24"/>
        </w:rPr>
        <w:t>107</w:t>
      </w:r>
      <w:r w:rsidRPr="00E901BF">
        <w:rPr>
          <w:rFonts w:ascii="Book Antiqua" w:hAnsi="Book Antiqua"/>
          <w:sz w:val="24"/>
          <w:szCs w:val="24"/>
        </w:rPr>
        <w:t>: 5-11 [PMID: 26362755 DOI: 10.1111/cas.12817]</w:t>
      </w:r>
    </w:p>
    <w:p w14:paraId="4AAFAF4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20 </w:t>
      </w:r>
      <w:r w:rsidRPr="00E901BF">
        <w:rPr>
          <w:rFonts w:ascii="Book Antiqua" w:hAnsi="Book Antiqua"/>
          <w:b/>
          <w:sz w:val="24"/>
          <w:szCs w:val="24"/>
        </w:rPr>
        <w:t>Le Large TYS</w:t>
      </w:r>
      <w:r w:rsidRPr="00E901BF">
        <w:rPr>
          <w:rFonts w:ascii="Book Antiqua" w:hAnsi="Book Antiqua"/>
          <w:sz w:val="24"/>
          <w:szCs w:val="24"/>
        </w:rPr>
        <w:t xml:space="preserve">, Bijlsma MF, Kazemier G, van Laarhoven HWM, Giovannetti E, Jimenez CR. Key biological processes driving metastatic spread of pancreatic cancer as identified by multi-omics studies. </w:t>
      </w:r>
      <w:r w:rsidRPr="00E901BF">
        <w:rPr>
          <w:rFonts w:ascii="Book Antiqua" w:hAnsi="Book Antiqua"/>
          <w:i/>
          <w:sz w:val="24"/>
          <w:szCs w:val="24"/>
        </w:rPr>
        <w:t>Semin Cancer Biol</w:t>
      </w:r>
      <w:r w:rsidRPr="00E901BF">
        <w:rPr>
          <w:rFonts w:ascii="Book Antiqua" w:hAnsi="Book Antiqua"/>
          <w:sz w:val="24"/>
          <w:szCs w:val="24"/>
        </w:rPr>
        <w:t xml:space="preserve"> 2017; </w:t>
      </w:r>
      <w:r w:rsidRPr="00E901BF">
        <w:rPr>
          <w:rFonts w:ascii="Book Antiqua" w:hAnsi="Book Antiqua"/>
          <w:b/>
          <w:sz w:val="24"/>
          <w:szCs w:val="24"/>
        </w:rPr>
        <w:t>44</w:t>
      </w:r>
      <w:r w:rsidRPr="00E901BF">
        <w:rPr>
          <w:rFonts w:ascii="Book Antiqua" w:hAnsi="Book Antiqua"/>
          <w:sz w:val="24"/>
          <w:szCs w:val="24"/>
        </w:rPr>
        <w:t>: 153-169 [PMID: 28366542 DOI: 10.1016/j.semcancer.2017.03.008]</w:t>
      </w:r>
    </w:p>
    <w:p w14:paraId="50E5122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21 </w:t>
      </w:r>
      <w:r w:rsidRPr="00E901BF">
        <w:rPr>
          <w:rFonts w:ascii="Book Antiqua" w:hAnsi="Book Antiqua"/>
          <w:b/>
          <w:sz w:val="24"/>
          <w:szCs w:val="24"/>
        </w:rPr>
        <w:t>Rhim AD</w:t>
      </w:r>
      <w:r w:rsidRPr="00E901BF">
        <w:rPr>
          <w:rFonts w:ascii="Book Antiqua" w:hAnsi="Book Antiqua"/>
          <w:sz w:val="24"/>
          <w:szCs w:val="24"/>
        </w:rPr>
        <w:t xml:space="preserve">, Mirek ET, Aiello NM, Maitra A, Bailey JM, McAllister F, Reichert M, Beatty GL, Rustgi AK, Vonderheide RH, Leach SD, Stanger BZ. EMT and dissemination precede pancreatic tumor formation. </w:t>
      </w:r>
      <w:r w:rsidRPr="00E901BF">
        <w:rPr>
          <w:rFonts w:ascii="Book Antiqua" w:hAnsi="Book Antiqua"/>
          <w:i/>
          <w:sz w:val="24"/>
          <w:szCs w:val="24"/>
        </w:rPr>
        <w:t>Cell</w:t>
      </w:r>
      <w:r w:rsidRPr="00E901BF">
        <w:rPr>
          <w:rFonts w:ascii="Book Antiqua" w:hAnsi="Book Antiqua"/>
          <w:sz w:val="24"/>
          <w:szCs w:val="24"/>
        </w:rPr>
        <w:t xml:space="preserve"> 2012; </w:t>
      </w:r>
      <w:r w:rsidRPr="00E901BF">
        <w:rPr>
          <w:rFonts w:ascii="Book Antiqua" w:hAnsi="Book Antiqua"/>
          <w:b/>
          <w:sz w:val="24"/>
          <w:szCs w:val="24"/>
        </w:rPr>
        <w:t>148</w:t>
      </w:r>
      <w:r w:rsidRPr="00E901BF">
        <w:rPr>
          <w:rFonts w:ascii="Book Antiqua" w:hAnsi="Book Antiqua"/>
          <w:sz w:val="24"/>
          <w:szCs w:val="24"/>
        </w:rPr>
        <w:t>: 349-361 [PMID: 22265420 DOI: 10.1016/j.cell.2011.11.025]</w:t>
      </w:r>
    </w:p>
    <w:p w14:paraId="7EF68C07"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22 </w:t>
      </w:r>
      <w:r w:rsidRPr="00E901BF">
        <w:rPr>
          <w:rFonts w:ascii="Book Antiqua" w:hAnsi="Book Antiqua"/>
          <w:b/>
          <w:sz w:val="24"/>
          <w:szCs w:val="24"/>
        </w:rPr>
        <w:t>Parente P</w:t>
      </w:r>
      <w:r w:rsidRPr="00E901BF">
        <w:rPr>
          <w:rFonts w:ascii="Book Antiqua" w:hAnsi="Book Antiqua"/>
          <w:sz w:val="24"/>
          <w:szCs w:val="24"/>
        </w:rPr>
        <w:t xml:space="preserve">, Parcesepe P, Covelli C, Olivieri N, Remo A, Pancione M, Latiano TP, Graziano P, Maiello E, Giordano G. Crosstalk between the Tumor Microenvironment and Immune System in Pancreatic Ductal Adenocarcinoma: Potential Targets for New Therapeutic Approaches. </w:t>
      </w:r>
      <w:r w:rsidRPr="00E901BF">
        <w:rPr>
          <w:rFonts w:ascii="Book Antiqua" w:hAnsi="Book Antiqua"/>
          <w:i/>
          <w:sz w:val="24"/>
          <w:szCs w:val="24"/>
        </w:rPr>
        <w:t>Gastroenterol Res Pract</w:t>
      </w:r>
      <w:r w:rsidRPr="00E901BF">
        <w:rPr>
          <w:rFonts w:ascii="Book Antiqua" w:hAnsi="Book Antiqua"/>
          <w:sz w:val="24"/>
          <w:szCs w:val="24"/>
        </w:rPr>
        <w:t xml:space="preserve"> 2018; </w:t>
      </w:r>
      <w:r w:rsidRPr="00E901BF">
        <w:rPr>
          <w:rFonts w:ascii="Book Antiqua" w:hAnsi="Book Antiqua"/>
          <w:b/>
          <w:sz w:val="24"/>
          <w:szCs w:val="24"/>
        </w:rPr>
        <w:t>2018</w:t>
      </w:r>
      <w:r w:rsidRPr="00E901BF">
        <w:rPr>
          <w:rFonts w:ascii="Book Antiqua" w:hAnsi="Book Antiqua"/>
          <w:sz w:val="24"/>
          <w:szCs w:val="24"/>
        </w:rPr>
        <w:t>: 7530619 [PMID: 30662458 DOI: 10.1155/2018/7530619]</w:t>
      </w:r>
    </w:p>
    <w:p w14:paraId="5366E047"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23 </w:t>
      </w:r>
      <w:r w:rsidRPr="00E901BF">
        <w:rPr>
          <w:rFonts w:ascii="Book Antiqua" w:hAnsi="Book Antiqua"/>
          <w:b/>
          <w:sz w:val="24"/>
          <w:szCs w:val="24"/>
        </w:rPr>
        <w:t>Foucher ED</w:t>
      </w:r>
      <w:r w:rsidRPr="00E901BF">
        <w:rPr>
          <w:rFonts w:ascii="Book Antiqua" w:hAnsi="Book Antiqua"/>
          <w:sz w:val="24"/>
          <w:szCs w:val="24"/>
        </w:rPr>
        <w:t xml:space="preserve">, Ghigo C, Chouaib S, Galon J, Iovanna J, Olive D. Pancreatic Ductal Adenocarcinoma: A Strong Imbalance of Good and Bad Immunological Cops in the Tumor Microenvironment. </w:t>
      </w:r>
      <w:r w:rsidRPr="00E901BF">
        <w:rPr>
          <w:rFonts w:ascii="Book Antiqua" w:hAnsi="Book Antiqua"/>
          <w:i/>
          <w:sz w:val="24"/>
          <w:szCs w:val="24"/>
        </w:rPr>
        <w:t>Front Immunol</w:t>
      </w:r>
      <w:r w:rsidRPr="00E901BF">
        <w:rPr>
          <w:rFonts w:ascii="Book Antiqua" w:hAnsi="Book Antiqua"/>
          <w:sz w:val="24"/>
          <w:szCs w:val="24"/>
        </w:rPr>
        <w:t xml:space="preserve"> 2018; </w:t>
      </w:r>
      <w:r w:rsidRPr="00E901BF">
        <w:rPr>
          <w:rFonts w:ascii="Book Antiqua" w:hAnsi="Book Antiqua"/>
          <w:b/>
          <w:sz w:val="24"/>
          <w:szCs w:val="24"/>
        </w:rPr>
        <w:t>9</w:t>
      </w:r>
      <w:r w:rsidRPr="00E901BF">
        <w:rPr>
          <w:rFonts w:ascii="Book Antiqua" w:hAnsi="Book Antiqua"/>
          <w:sz w:val="24"/>
          <w:szCs w:val="24"/>
        </w:rPr>
        <w:t>: 1044 [PMID: 29868007 DOI: 10.3389/fimmu.2018.01044]</w:t>
      </w:r>
    </w:p>
    <w:p w14:paraId="2CB6E7D3"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24 </w:t>
      </w:r>
      <w:r w:rsidRPr="00E901BF">
        <w:rPr>
          <w:rFonts w:ascii="Book Antiqua" w:hAnsi="Book Antiqua"/>
          <w:b/>
          <w:sz w:val="24"/>
          <w:szCs w:val="24"/>
        </w:rPr>
        <w:t>Ren B</w:t>
      </w:r>
      <w:r w:rsidRPr="00E901BF">
        <w:rPr>
          <w:rFonts w:ascii="Book Antiqua" w:hAnsi="Book Antiqua"/>
          <w:sz w:val="24"/>
          <w:szCs w:val="24"/>
        </w:rPr>
        <w:t xml:space="preserve">, Cui M, Yang G, Wang H, Feng M, You L, Zhao Y. Tumor microenvironment participates in metastasis of pancreatic cancer. </w:t>
      </w:r>
      <w:r w:rsidRPr="00E901BF">
        <w:rPr>
          <w:rFonts w:ascii="Book Antiqua" w:hAnsi="Book Antiqua"/>
          <w:i/>
          <w:sz w:val="24"/>
          <w:szCs w:val="24"/>
        </w:rPr>
        <w:t>Mol Cancer</w:t>
      </w:r>
      <w:r w:rsidRPr="00E901BF">
        <w:rPr>
          <w:rFonts w:ascii="Book Antiqua" w:hAnsi="Book Antiqua"/>
          <w:sz w:val="24"/>
          <w:szCs w:val="24"/>
        </w:rPr>
        <w:t xml:space="preserve"> 2018; </w:t>
      </w:r>
      <w:r w:rsidRPr="00E901BF">
        <w:rPr>
          <w:rFonts w:ascii="Book Antiqua" w:hAnsi="Book Antiqua"/>
          <w:b/>
          <w:sz w:val="24"/>
          <w:szCs w:val="24"/>
        </w:rPr>
        <w:t>17</w:t>
      </w:r>
      <w:r w:rsidRPr="00E901BF">
        <w:rPr>
          <w:rFonts w:ascii="Book Antiqua" w:hAnsi="Book Antiqua"/>
          <w:sz w:val="24"/>
          <w:szCs w:val="24"/>
        </w:rPr>
        <w:t>: 108 [PMID: 30060755 DOI: 10.1186/s12943-018-0858-1]</w:t>
      </w:r>
    </w:p>
    <w:p w14:paraId="7FE84FE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25 </w:t>
      </w:r>
      <w:r w:rsidRPr="00E901BF">
        <w:rPr>
          <w:rFonts w:ascii="Book Antiqua" w:hAnsi="Book Antiqua"/>
          <w:b/>
          <w:sz w:val="24"/>
          <w:szCs w:val="24"/>
        </w:rPr>
        <w:t>Uzunparmak B</w:t>
      </w:r>
      <w:r w:rsidRPr="00E901BF">
        <w:rPr>
          <w:rFonts w:ascii="Book Antiqua" w:hAnsi="Book Antiqua"/>
          <w:sz w:val="24"/>
          <w:szCs w:val="24"/>
        </w:rPr>
        <w:t xml:space="preserve">, Sahin IH. Pancreatic cancer microenvironment: a current dilemma. </w:t>
      </w:r>
      <w:r w:rsidRPr="00E901BF">
        <w:rPr>
          <w:rFonts w:ascii="Book Antiqua" w:hAnsi="Book Antiqua"/>
          <w:i/>
          <w:sz w:val="24"/>
          <w:szCs w:val="24"/>
        </w:rPr>
        <w:t>Clin Transl Med</w:t>
      </w:r>
      <w:r w:rsidRPr="00E901BF">
        <w:rPr>
          <w:rFonts w:ascii="Book Antiqua" w:hAnsi="Book Antiqua"/>
          <w:sz w:val="24"/>
          <w:szCs w:val="24"/>
        </w:rPr>
        <w:t xml:space="preserve"> 2019; </w:t>
      </w:r>
      <w:r w:rsidRPr="00E901BF">
        <w:rPr>
          <w:rFonts w:ascii="Book Antiqua" w:hAnsi="Book Antiqua"/>
          <w:b/>
          <w:sz w:val="24"/>
          <w:szCs w:val="24"/>
        </w:rPr>
        <w:t>8</w:t>
      </w:r>
      <w:r w:rsidRPr="00E901BF">
        <w:rPr>
          <w:rFonts w:ascii="Book Antiqua" w:hAnsi="Book Antiqua"/>
          <w:sz w:val="24"/>
          <w:szCs w:val="24"/>
        </w:rPr>
        <w:t>: 2 [PMID: 30645701 DOI: 10.1186/s40169-019-0221-1]</w:t>
      </w:r>
    </w:p>
    <w:p w14:paraId="0E4F6C34"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26 </w:t>
      </w:r>
      <w:r w:rsidRPr="00E901BF">
        <w:rPr>
          <w:rFonts w:ascii="Book Antiqua" w:hAnsi="Book Antiqua"/>
          <w:b/>
          <w:sz w:val="24"/>
          <w:szCs w:val="24"/>
        </w:rPr>
        <w:t>Erkan M</w:t>
      </w:r>
      <w:r w:rsidRPr="00E901BF">
        <w:rPr>
          <w:rFonts w:ascii="Book Antiqua" w:hAnsi="Book Antiqua"/>
          <w:sz w:val="24"/>
          <w:szCs w:val="24"/>
        </w:rPr>
        <w:t xml:space="preserve">, Hausmann S, Michalski CW, Fingerle AA, Dobritz M, Kleeff J, Friess H. The role of stroma in pancreatic cancer: diagnostic and therapeutic implications. </w:t>
      </w:r>
      <w:r w:rsidRPr="00E901BF">
        <w:rPr>
          <w:rFonts w:ascii="Book Antiqua" w:hAnsi="Book Antiqua"/>
          <w:i/>
          <w:sz w:val="24"/>
          <w:szCs w:val="24"/>
        </w:rPr>
        <w:t>Nat Rev Gastroenterol Hepatol</w:t>
      </w:r>
      <w:r w:rsidRPr="00E901BF">
        <w:rPr>
          <w:rFonts w:ascii="Book Antiqua" w:hAnsi="Book Antiqua"/>
          <w:sz w:val="24"/>
          <w:szCs w:val="24"/>
        </w:rPr>
        <w:t xml:space="preserve"> 2012; </w:t>
      </w:r>
      <w:r w:rsidRPr="00E901BF">
        <w:rPr>
          <w:rFonts w:ascii="Book Antiqua" w:hAnsi="Book Antiqua"/>
          <w:b/>
          <w:sz w:val="24"/>
          <w:szCs w:val="24"/>
        </w:rPr>
        <w:t>9</w:t>
      </w:r>
      <w:r w:rsidRPr="00E901BF">
        <w:rPr>
          <w:rFonts w:ascii="Book Antiqua" w:hAnsi="Book Antiqua"/>
          <w:sz w:val="24"/>
          <w:szCs w:val="24"/>
        </w:rPr>
        <w:t>: 454-467 [PMID: 22710569 DOI: 10.1038/nrgastro.2012.115]</w:t>
      </w:r>
    </w:p>
    <w:p w14:paraId="17F6BB6B"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27 </w:t>
      </w:r>
      <w:r w:rsidRPr="00E901BF">
        <w:rPr>
          <w:rFonts w:ascii="Book Antiqua" w:hAnsi="Book Antiqua"/>
          <w:b/>
          <w:sz w:val="24"/>
          <w:szCs w:val="24"/>
        </w:rPr>
        <w:t>Karagiannis GS</w:t>
      </w:r>
      <w:r w:rsidRPr="00E901BF">
        <w:rPr>
          <w:rFonts w:ascii="Book Antiqua" w:hAnsi="Book Antiqua"/>
          <w:sz w:val="24"/>
          <w:szCs w:val="24"/>
        </w:rPr>
        <w:t xml:space="preserve">, Poutahidis T, Erdman SE, Kirsch R, Riddell RH, Diamandis EP. Cancer-associated fibroblasts drive the progression of metastasis through both paracrine and mechanical pressure on cancer tissue. </w:t>
      </w:r>
      <w:r w:rsidRPr="00E901BF">
        <w:rPr>
          <w:rFonts w:ascii="Book Antiqua" w:hAnsi="Book Antiqua"/>
          <w:i/>
          <w:sz w:val="24"/>
          <w:szCs w:val="24"/>
        </w:rPr>
        <w:t>Mol Cancer Res</w:t>
      </w:r>
      <w:r w:rsidRPr="00E901BF">
        <w:rPr>
          <w:rFonts w:ascii="Book Antiqua" w:hAnsi="Book Antiqua"/>
          <w:sz w:val="24"/>
          <w:szCs w:val="24"/>
        </w:rPr>
        <w:t xml:space="preserve"> 2012; </w:t>
      </w:r>
      <w:r w:rsidRPr="00E901BF">
        <w:rPr>
          <w:rFonts w:ascii="Book Antiqua" w:hAnsi="Book Antiqua"/>
          <w:b/>
          <w:sz w:val="24"/>
          <w:szCs w:val="24"/>
        </w:rPr>
        <w:t>10</w:t>
      </w:r>
      <w:r w:rsidRPr="00E901BF">
        <w:rPr>
          <w:rFonts w:ascii="Book Antiqua" w:hAnsi="Book Antiqua"/>
          <w:sz w:val="24"/>
          <w:szCs w:val="24"/>
        </w:rPr>
        <w:t>: 1403-1418 [PMID: 23024188 DOI: 10.1158/1541-7786.MCR-12-0307]</w:t>
      </w:r>
    </w:p>
    <w:p w14:paraId="6F80B802"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28 </w:t>
      </w:r>
      <w:r w:rsidRPr="00E901BF">
        <w:rPr>
          <w:rFonts w:ascii="Book Antiqua" w:hAnsi="Book Antiqua"/>
          <w:b/>
          <w:sz w:val="24"/>
          <w:szCs w:val="24"/>
        </w:rPr>
        <w:t>Binenbaum Y</w:t>
      </w:r>
      <w:r w:rsidRPr="00E901BF">
        <w:rPr>
          <w:rFonts w:ascii="Book Antiqua" w:hAnsi="Book Antiqua"/>
          <w:sz w:val="24"/>
          <w:szCs w:val="24"/>
        </w:rPr>
        <w:t xml:space="preserve">, Na'ara S, Gil Z. Gemcitabine resistance in pancreatic ductal adenocarcinoma. </w:t>
      </w:r>
      <w:r w:rsidRPr="00E901BF">
        <w:rPr>
          <w:rFonts w:ascii="Book Antiqua" w:hAnsi="Book Antiqua"/>
          <w:i/>
          <w:sz w:val="24"/>
          <w:szCs w:val="24"/>
        </w:rPr>
        <w:t>Drug Resist Updat</w:t>
      </w:r>
      <w:r w:rsidRPr="00E901BF">
        <w:rPr>
          <w:rFonts w:ascii="Book Antiqua" w:hAnsi="Book Antiqua"/>
          <w:sz w:val="24"/>
          <w:szCs w:val="24"/>
        </w:rPr>
        <w:t xml:space="preserve"> 2015; </w:t>
      </w:r>
      <w:r w:rsidRPr="00E901BF">
        <w:rPr>
          <w:rFonts w:ascii="Book Antiqua" w:hAnsi="Book Antiqua"/>
          <w:b/>
          <w:sz w:val="24"/>
          <w:szCs w:val="24"/>
        </w:rPr>
        <w:t>23</w:t>
      </w:r>
      <w:r w:rsidRPr="00E901BF">
        <w:rPr>
          <w:rFonts w:ascii="Book Antiqua" w:hAnsi="Book Antiqua"/>
          <w:sz w:val="24"/>
          <w:szCs w:val="24"/>
        </w:rPr>
        <w:t>: 55-68 [PMID: 26690340 DOI: 10.1016/j.drup.2015.10.002]</w:t>
      </w:r>
    </w:p>
    <w:p w14:paraId="3820112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29 </w:t>
      </w:r>
      <w:r w:rsidRPr="00E901BF">
        <w:rPr>
          <w:rFonts w:ascii="Book Antiqua" w:hAnsi="Book Antiqua"/>
          <w:b/>
          <w:sz w:val="24"/>
          <w:szCs w:val="24"/>
        </w:rPr>
        <w:t>Olive KP</w:t>
      </w:r>
      <w:r w:rsidRPr="00E901BF">
        <w:rPr>
          <w:rFonts w:ascii="Book Antiqua" w:hAnsi="Book Antiqua"/>
          <w:sz w:val="24"/>
          <w:szCs w:val="24"/>
        </w:rPr>
        <w:t xml:space="preserve">,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w:t>
      </w:r>
      <w:r w:rsidRPr="00E901BF">
        <w:rPr>
          <w:rFonts w:ascii="Book Antiqua" w:hAnsi="Book Antiqua"/>
          <w:sz w:val="24"/>
          <w:szCs w:val="24"/>
        </w:rPr>
        <w:lastRenderedPageBreak/>
        <w:t xml:space="preserve">Tuveson DA. Inhibition of Hedgehog signaling enhances delivery of chemotherapy in a mouse model of pancreatic cancer. </w:t>
      </w:r>
      <w:r w:rsidRPr="00E901BF">
        <w:rPr>
          <w:rFonts w:ascii="Book Antiqua" w:hAnsi="Book Antiqua"/>
          <w:i/>
          <w:sz w:val="24"/>
          <w:szCs w:val="24"/>
        </w:rPr>
        <w:t>Science</w:t>
      </w:r>
      <w:r w:rsidRPr="00E901BF">
        <w:rPr>
          <w:rFonts w:ascii="Book Antiqua" w:hAnsi="Book Antiqua"/>
          <w:sz w:val="24"/>
          <w:szCs w:val="24"/>
        </w:rPr>
        <w:t xml:space="preserve"> 2009; </w:t>
      </w:r>
      <w:r w:rsidRPr="00E901BF">
        <w:rPr>
          <w:rFonts w:ascii="Book Antiqua" w:hAnsi="Book Antiqua"/>
          <w:b/>
          <w:sz w:val="24"/>
          <w:szCs w:val="24"/>
        </w:rPr>
        <w:t>324</w:t>
      </w:r>
      <w:r w:rsidRPr="00E901BF">
        <w:rPr>
          <w:rFonts w:ascii="Book Antiqua" w:hAnsi="Book Antiqua"/>
          <w:sz w:val="24"/>
          <w:szCs w:val="24"/>
        </w:rPr>
        <w:t>: 1457-1461 [PMID: 19460966 DOI: 10.1126/science.1171362]</w:t>
      </w:r>
    </w:p>
    <w:p w14:paraId="413EB25A"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30 </w:t>
      </w:r>
      <w:r w:rsidRPr="00E901BF">
        <w:rPr>
          <w:rFonts w:ascii="Book Antiqua" w:hAnsi="Book Antiqua"/>
          <w:b/>
          <w:sz w:val="24"/>
          <w:szCs w:val="24"/>
        </w:rPr>
        <w:t>Rhim AD</w:t>
      </w:r>
      <w:r w:rsidRPr="00E901BF">
        <w:rPr>
          <w:rFonts w:ascii="Book Antiqua" w:hAnsi="Book Antiqua"/>
          <w:sz w:val="24"/>
          <w:szCs w:val="24"/>
        </w:rPr>
        <w:t xml:space="preserve">,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E901BF">
        <w:rPr>
          <w:rFonts w:ascii="Book Antiqua" w:hAnsi="Book Antiqua"/>
          <w:i/>
          <w:sz w:val="24"/>
          <w:szCs w:val="24"/>
        </w:rPr>
        <w:t>Cancer Cell</w:t>
      </w:r>
      <w:r w:rsidRPr="00E901BF">
        <w:rPr>
          <w:rFonts w:ascii="Book Antiqua" w:hAnsi="Book Antiqua"/>
          <w:sz w:val="24"/>
          <w:szCs w:val="24"/>
        </w:rPr>
        <w:t xml:space="preserve"> 2014; </w:t>
      </w:r>
      <w:r w:rsidRPr="00E901BF">
        <w:rPr>
          <w:rFonts w:ascii="Book Antiqua" w:hAnsi="Book Antiqua"/>
          <w:b/>
          <w:sz w:val="24"/>
          <w:szCs w:val="24"/>
        </w:rPr>
        <w:t>25</w:t>
      </w:r>
      <w:r w:rsidRPr="00E901BF">
        <w:rPr>
          <w:rFonts w:ascii="Book Antiqua" w:hAnsi="Book Antiqua"/>
          <w:sz w:val="24"/>
          <w:szCs w:val="24"/>
        </w:rPr>
        <w:t>: 735-747 [PMID: 24856585 DOI: 10.1016/j.ccr.2014.04.021]</w:t>
      </w:r>
    </w:p>
    <w:p w14:paraId="1D4CEE7B"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31 </w:t>
      </w:r>
      <w:r w:rsidRPr="00E901BF">
        <w:rPr>
          <w:rFonts w:ascii="Book Antiqua" w:hAnsi="Book Antiqua"/>
          <w:b/>
          <w:sz w:val="24"/>
          <w:szCs w:val="24"/>
        </w:rPr>
        <w:t>Cheng X</w:t>
      </w:r>
      <w:r w:rsidRPr="00E901BF">
        <w:rPr>
          <w:rFonts w:ascii="Book Antiqua" w:hAnsi="Book Antiqua"/>
          <w:sz w:val="24"/>
          <w:szCs w:val="24"/>
        </w:rPr>
        <w:t xml:space="preserve">, Kim JY, Ghafoory S, Duvaci T, Rafiee R, Theobald J, Alborzinia H, Holenya P, Fredebohm J, Merz KH, Mehrabi A, Hafezi M, Saffari A, Eisenbrand G, Hoheisel JD, Wölfl S. Methylisoindigo preferentially kills cancer stem cells by interfering cell metabolism via inhibition of LKB1 and activation of AMPK in PDACs. </w:t>
      </w:r>
      <w:r w:rsidRPr="00E901BF">
        <w:rPr>
          <w:rFonts w:ascii="Book Antiqua" w:hAnsi="Book Antiqua"/>
          <w:i/>
          <w:sz w:val="24"/>
          <w:szCs w:val="24"/>
        </w:rPr>
        <w:t>Mol Oncol</w:t>
      </w:r>
      <w:r w:rsidRPr="00E901BF">
        <w:rPr>
          <w:rFonts w:ascii="Book Antiqua" w:hAnsi="Book Antiqua"/>
          <w:sz w:val="24"/>
          <w:szCs w:val="24"/>
        </w:rPr>
        <w:t xml:space="preserve"> 2016; </w:t>
      </w:r>
      <w:r w:rsidRPr="00E901BF">
        <w:rPr>
          <w:rFonts w:ascii="Book Antiqua" w:hAnsi="Book Antiqua"/>
          <w:b/>
          <w:sz w:val="24"/>
          <w:szCs w:val="24"/>
        </w:rPr>
        <w:t>10</w:t>
      </w:r>
      <w:r w:rsidRPr="00E901BF">
        <w:rPr>
          <w:rFonts w:ascii="Book Antiqua" w:hAnsi="Book Antiqua"/>
          <w:sz w:val="24"/>
          <w:szCs w:val="24"/>
        </w:rPr>
        <w:t>: 806-824 [PMID: 26887594 DOI: 10.1016/j.molonc.2016.01.008]</w:t>
      </w:r>
    </w:p>
    <w:p w14:paraId="2B65989C"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32 </w:t>
      </w:r>
      <w:r w:rsidRPr="00E901BF">
        <w:rPr>
          <w:rFonts w:ascii="Book Antiqua" w:hAnsi="Book Antiqua"/>
          <w:b/>
          <w:sz w:val="24"/>
          <w:szCs w:val="24"/>
        </w:rPr>
        <w:t>Provenzano PP</w:t>
      </w:r>
      <w:r w:rsidRPr="00E901BF">
        <w:rPr>
          <w:rFonts w:ascii="Book Antiqua" w:hAnsi="Book Antiqua"/>
          <w:sz w:val="24"/>
          <w:szCs w:val="24"/>
        </w:rPr>
        <w:t xml:space="preserve">, Cuevas C, Chang AE, Goel VK, Von Hoff DD, Hingorani SR. Enzymatic targeting of the stroma ablates physical barriers to treatment of pancreatic ductal adenocarcinoma. </w:t>
      </w:r>
      <w:r w:rsidRPr="00E901BF">
        <w:rPr>
          <w:rFonts w:ascii="Book Antiqua" w:hAnsi="Book Antiqua"/>
          <w:i/>
          <w:sz w:val="24"/>
          <w:szCs w:val="24"/>
        </w:rPr>
        <w:t>Cancer Cell</w:t>
      </w:r>
      <w:r w:rsidRPr="00E901BF">
        <w:rPr>
          <w:rFonts w:ascii="Book Antiqua" w:hAnsi="Book Antiqua"/>
          <w:sz w:val="24"/>
          <w:szCs w:val="24"/>
        </w:rPr>
        <w:t xml:space="preserve"> 2012; </w:t>
      </w:r>
      <w:r w:rsidRPr="00E901BF">
        <w:rPr>
          <w:rFonts w:ascii="Book Antiqua" w:hAnsi="Book Antiqua"/>
          <w:b/>
          <w:sz w:val="24"/>
          <w:szCs w:val="24"/>
        </w:rPr>
        <w:t>21</w:t>
      </w:r>
      <w:r w:rsidRPr="00E901BF">
        <w:rPr>
          <w:rFonts w:ascii="Book Antiqua" w:hAnsi="Book Antiqua"/>
          <w:sz w:val="24"/>
          <w:szCs w:val="24"/>
        </w:rPr>
        <w:t>: 418-429 [PMID: 22439937 DOI: 10.1016/j.ccr.2012.01.007]</w:t>
      </w:r>
    </w:p>
    <w:p w14:paraId="739C6DCA"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33 </w:t>
      </w:r>
      <w:r w:rsidRPr="00E901BF">
        <w:rPr>
          <w:rFonts w:ascii="Book Antiqua" w:hAnsi="Book Antiqua"/>
          <w:b/>
          <w:sz w:val="24"/>
          <w:szCs w:val="24"/>
        </w:rPr>
        <w:t>Liu Q</w:t>
      </w:r>
      <w:r w:rsidRPr="00E901BF">
        <w:rPr>
          <w:rFonts w:ascii="Book Antiqua" w:hAnsi="Book Antiqua"/>
          <w:sz w:val="24"/>
          <w:szCs w:val="24"/>
        </w:rPr>
        <w:t xml:space="preserve">, Li Y, Niu Z, Zong Y, Wang M, Yao L, Lu Z, Liao Q, Zhao Y. Atorvastatin (Lipitor) attenuates the effects of aspirin on pancreatic cancerogenesis and the chemotherapeutic efficacy of gemcitabine on pancreatic cancer by promoting M2 polarized tumor associated macrophages. </w:t>
      </w:r>
      <w:r w:rsidRPr="00E901BF">
        <w:rPr>
          <w:rFonts w:ascii="Book Antiqua" w:hAnsi="Book Antiqua"/>
          <w:i/>
          <w:sz w:val="24"/>
          <w:szCs w:val="24"/>
        </w:rPr>
        <w:t>J Exp Clin Cancer Res</w:t>
      </w:r>
      <w:r w:rsidRPr="00E901BF">
        <w:rPr>
          <w:rFonts w:ascii="Book Antiqua" w:hAnsi="Book Antiqua"/>
          <w:sz w:val="24"/>
          <w:szCs w:val="24"/>
        </w:rPr>
        <w:t xml:space="preserve"> 2016; </w:t>
      </w:r>
      <w:r w:rsidRPr="00E901BF">
        <w:rPr>
          <w:rFonts w:ascii="Book Antiqua" w:hAnsi="Book Antiqua"/>
          <w:b/>
          <w:sz w:val="24"/>
          <w:szCs w:val="24"/>
        </w:rPr>
        <w:t>35</w:t>
      </w:r>
      <w:r w:rsidRPr="00E901BF">
        <w:rPr>
          <w:rFonts w:ascii="Book Antiqua" w:hAnsi="Book Antiqua"/>
          <w:sz w:val="24"/>
          <w:szCs w:val="24"/>
        </w:rPr>
        <w:t>: 33 [PMID: 26879926 DOI: 10.1186/s13046-016-0304-4]</w:t>
      </w:r>
    </w:p>
    <w:p w14:paraId="532CC56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34 </w:t>
      </w:r>
      <w:r w:rsidRPr="00E901BF">
        <w:rPr>
          <w:rFonts w:ascii="Book Antiqua" w:hAnsi="Book Antiqua"/>
          <w:b/>
          <w:sz w:val="24"/>
          <w:szCs w:val="24"/>
        </w:rPr>
        <w:t>Dijkgraaf EM</w:t>
      </w:r>
      <w:r w:rsidRPr="00E901BF">
        <w:rPr>
          <w:rFonts w:ascii="Book Antiqua" w:hAnsi="Book Antiqua"/>
          <w:sz w:val="24"/>
          <w:szCs w:val="24"/>
        </w:rPr>
        <w:t xml:space="preserve">, Heusinkveld M, Tummers B, Vogelpoel LT, Goedemans R, Jha V, Nortier JW, Welters MJ, Kroep JR, van der Burg SH. Chemotherapy alters monocyte differentiation to favor generation of cancer-supporting M2 macrophages in the tumor microenvironment. </w:t>
      </w:r>
      <w:r w:rsidRPr="00E901BF">
        <w:rPr>
          <w:rFonts w:ascii="Book Antiqua" w:hAnsi="Book Antiqua"/>
          <w:i/>
          <w:sz w:val="24"/>
          <w:szCs w:val="24"/>
        </w:rPr>
        <w:t>Cancer Res</w:t>
      </w:r>
      <w:r w:rsidRPr="00E901BF">
        <w:rPr>
          <w:rFonts w:ascii="Book Antiqua" w:hAnsi="Book Antiqua"/>
          <w:sz w:val="24"/>
          <w:szCs w:val="24"/>
        </w:rPr>
        <w:t xml:space="preserve"> 2013; </w:t>
      </w:r>
      <w:r w:rsidRPr="00E901BF">
        <w:rPr>
          <w:rFonts w:ascii="Book Antiqua" w:hAnsi="Book Antiqua"/>
          <w:b/>
          <w:sz w:val="24"/>
          <w:szCs w:val="24"/>
        </w:rPr>
        <w:t>73</w:t>
      </w:r>
      <w:r w:rsidRPr="00E901BF">
        <w:rPr>
          <w:rFonts w:ascii="Book Antiqua" w:hAnsi="Book Antiqua"/>
          <w:sz w:val="24"/>
          <w:szCs w:val="24"/>
        </w:rPr>
        <w:t>: 2480-2492 [PMID: 23436796 DOI: 10.1158/0008-5472.CAN-12-3542]</w:t>
      </w:r>
    </w:p>
    <w:p w14:paraId="779E1DB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35 </w:t>
      </w:r>
      <w:r w:rsidRPr="00E901BF">
        <w:rPr>
          <w:rFonts w:ascii="Book Antiqua" w:hAnsi="Book Antiqua"/>
          <w:b/>
          <w:sz w:val="24"/>
          <w:szCs w:val="24"/>
        </w:rPr>
        <w:t>Aliru ML</w:t>
      </w:r>
      <w:r w:rsidRPr="00E901BF">
        <w:rPr>
          <w:rFonts w:ascii="Book Antiqua" w:hAnsi="Book Antiqua"/>
          <w:sz w:val="24"/>
          <w:szCs w:val="24"/>
        </w:rPr>
        <w:t xml:space="preserve">, Schoenhals JE, Venkatesulu BP, Anderson CC, Barsoumian HB, Younes AI, K Mahadevan LS, Soeung M, Aziz KE, Welsh JW, Krishnan S. Radiation therapy and immunotherapy: what is the optimal timing or </w:t>
      </w:r>
      <w:r w:rsidRPr="00E901BF">
        <w:rPr>
          <w:rFonts w:ascii="Book Antiqua" w:hAnsi="Book Antiqua"/>
          <w:sz w:val="24"/>
          <w:szCs w:val="24"/>
        </w:rPr>
        <w:lastRenderedPageBreak/>
        <w:t xml:space="preserve">sequencing? </w:t>
      </w:r>
      <w:r w:rsidRPr="00E901BF">
        <w:rPr>
          <w:rFonts w:ascii="Book Antiqua" w:hAnsi="Book Antiqua"/>
          <w:i/>
          <w:sz w:val="24"/>
          <w:szCs w:val="24"/>
        </w:rPr>
        <w:t>Immunotherapy</w:t>
      </w:r>
      <w:r w:rsidRPr="00E901BF">
        <w:rPr>
          <w:rFonts w:ascii="Book Antiqua" w:hAnsi="Book Antiqua"/>
          <w:sz w:val="24"/>
          <w:szCs w:val="24"/>
        </w:rPr>
        <w:t xml:space="preserve"> 2018; </w:t>
      </w:r>
      <w:r w:rsidRPr="00E901BF">
        <w:rPr>
          <w:rFonts w:ascii="Book Antiqua" w:hAnsi="Book Antiqua"/>
          <w:b/>
          <w:sz w:val="24"/>
          <w:szCs w:val="24"/>
        </w:rPr>
        <w:t>10</w:t>
      </w:r>
      <w:r w:rsidRPr="00E901BF">
        <w:rPr>
          <w:rFonts w:ascii="Book Antiqua" w:hAnsi="Book Antiqua"/>
          <w:sz w:val="24"/>
          <w:szCs w:val="24"/>
        </w:rPr>
        <w:t>: 299-316 [PMID: 29421979 DOI: 10.2217/imt-2017-0082]</w:t>
      </w:r>
    </w:p>
    <w:p w14:paraId="07E5F342"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36 </w:t>
      </w:r>
      <w:r w:rsidRPr="00E901BF">
        <w:rPr>
          <w:rFonts w:ascii="Book Antiqua" w:hAnsi="Book Antiqua"/>
          <w:b/>
          <w:sz w:val="24"/>
          <w:szCs w:val="24"/>
        </w:rPr>
        <w:t>Karakhanova S</w:t>
      </w:r>
      <w:r w:rsidRPr="00E901BF">
        <w:rPr>
          <w:rFonts w:ascii="Book Antiqua" w:hAnsi="Book Antiqua"/>
          <w:sz w:val="24"/>
          <w:szCs w:val="24"/>
        </w:rPr>
        <w:t xml:space="preserve">, Link J, Heinrich M, Shevchenko I, Yang Y, Hassenpflug M, Bunge H, von Ahn K, Brecht R, Mathes A, Maier C, Umansky V, Werner J, Bazhin AV. Characterization of myeloid leukocytes and soluble mediators in pancreatic cancer: importance of myeloid-derived suppressor cells. </w:t>
      </w:r>
      <w:r w:rsidRPr="00E901BF">
        <w:rPr>
          <w:rFonts w:ascii="Book Antiqua" w:hAnsi="Book Antiqua"/>
          <w:i/>
          <w:sz w:val="24"/>
          <w:szCs w:val="24"/>
        </w:rPr>
        <w:t>Oncoimmunology</w:t>
      </w:r>
      <w:r w:rsidRPr="00E901BF">
        <w:rPr>
          <w:rFonts w:ascii="Book Antiqua" w:hAnsi="Book Antiqua"/>
          <w:sz w:val="24"/>
          <w:szCs w:val="24"/>
        </w:rPr>
        <w:t xml:space="preserve"> 2015; </w:t>
      </w:r>
      <w:r w:rsidRPr="00E901BF">
        <w:rPr>
          <w:rFonts w:ascii="Book Antiqua" w:hAnsi="Book Antiqua"/>
          <w:b/>
          <w:sz w:val="24"/>
          <w:szCs w:val="24"/>
        </w:rPr>
        <w:t>4</w:t>
      </w:r>
      <w:r w:rsidRPr="00E901BF">
        <w:rPr>
          <w:rFonts w:ascii="Book Antiqua" w:hAnsi="Book Antiqua"/>
          <w:sz w:val="24"/>
          <w:szCs w:val="24"/>
        </w:rPr>
        <w:t>: e998519 [PMID: 26137414 DOI: 10.1080/2162402X.2014.998519]</w:t>
      </w:r>
    </w:p>
    <w:p w14:paraId="1BB1EA72"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37 </w:t>
      </w:r>
      <w:r w:rsidRPr="00E901BF">
        <w:rPr>
          <w:rFonts w:ascii="Book Antiqua" w:hAnsi="Book Antiqua"/>
          <w:b/>
          <w:sz w:val="24"/>
          <w:szCs w:val="24"/>
        </w:rPr>
        <w:t>Mahmood J</w:t>
      </w:r>
      <w:r w:rsidRPr="00E901BF">
        <w:rPr>
          <w:rFonts w:ascii="Book Antiqua" w:hAnsi="Book Antiqua"/>
          <w:sz w:val="24"/>
          <w:szCs w:val="24"/>
        </w:rPr>
        <w:t xml:space="preserve">, Shukla HD, Soman S, Samanta S, Singh P, Kamlapurkar S, Saeed A, Amin NP, Vujaskovic Z. Immunotherapy, Radiotherapy, and Hyperthermia: A Combined Therapeutic Approach in Pancreatic Cancer Treatment. </w:t>
      </w:r>
      <w:r w:rsidRPr="00E901BF">
        <w:rPr>
          <w:rFonts w:ascii="Book Antiqua" w:hAnsi="Book Antiqua"/>
          <w:i/>
          <w:sz w:val="24"/>
          <w:szCs w:val="24"/>
        </w:rPr>
        <w:t>Cancers (Basel)</w:t>
      </w:r>
      <w:r w:rsidRPr="00E901BF">
        <w:rPr>
          <w:rFonts w:ascii="Book Antiqua" w:hAnsi="Book Antiqua"/>
          <w:sz w:val="24"/>
          <w:szCs w:val="24"/>
        </w:rPr>
        <w:t xml:space="preserve"> 2018; </w:t>
      </w:r>
      <w:r w:rsidRPr="00E901BF">
        <w:rPr>
          <w:rFonts w:ascii="Book Antiqua" w:hAnsi="Book Antiqua"/>
          <w:b/>
          <w:sz w:val="24"/>
          <w:szCs w:val="24"/>
        </w:rPr>
        <w:t>10</w:t>
      </w:r>
      <w:r w:rsidRPr="00E901BF">
        <w:rPr>
          <w:rFonts w:ascii="Book Antiqua" w:hAnsi="Book Antiqua"/>
          <w:sz w:val="24"/>
          <w:szCs w:val="24"/>
        </w:rPr>
        <w:t>:  [PMID: 30486519 DOI: 10.3390/cancers10120469]</w:t>
      </w:r>
    </w:p>
    <w:p w14:paraId="137BC52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38 </w:t>
      </w:r>
      <w:r w:rsidRPr="00E901BF">
        <w:rPr>
          <w:rFonts w:ascii="Book Antiqua" w:hAnsi="Book Antiqua"/>
          <w:b/>
          <w:sz w:val="24"/>
          <w:szCs w:val="24"/>
        </w:rPr>
        <w:t>Young K</w:t>
      </w:r>
      <w:r w:rsidRPr="00E901BF">
        <w:rPr>
          <w:rFonts w:ascii="Book Antiqua" w:hAnsi="Book Antiqua"/>
          <w:sz w:val="24"/>
          <w:szCs w:val="24"/>
        </w:rPr>
        <w:t xml:space="preserve">, Hughes DJ, Cunningham D, Starling N. Immunotherapy and pancreatic cancer: unique challenges and potential opportunities. </w:t>
      </w:r>
      <w:r w:rsidRPr="00E901BF">
        <w:rPr>
          <w:rFonts w:ascii="Book Antiqua" w:hAnsi="Book Antiqua"/>
          <w:i/>
          <w:sz w:val="24"/>
          <w:szCs w:val="24"/>
        </w:rPr>
        <w:t>Ther Adv Med Oncol</w:t>
      </w:r>
      <w:r w:rsidRPr="00E901BF">
        <w:rPr>
          <w:rFonts w:ascii="Book Antiqua" w:hAnsi="Book Antiqua"/>
          <w:sz w:val="24"/>
          <w:szCs w:val="24"/>
        </w:rPr>
        <w:t xml:space="preserve"> 2018; </w:t>
      </w:r>
      <w:r w:rsidRPr="00E901BF">
        <w:rPr>
          <w:rFonts w:ascii="Book Antiqua" w:hAnsi="Book Antiqua"/>
          <w:b/>
          <w:sz w:val="24"/>
          <w:szCs w:val="24"/>
        </w:rPr>
        <w:t>10</w:t>
      </w:r>
      <w:r w:rsidRPr="00E901BF">
        <w:rPr>
          <w:rFonts w:ascii="Book Antiqua" w:hAnsi="Book Antiqua"/>
          <w:sz w:val="24"/>
          <w:szCs w:val="24"/>
        </w:rPr>
        <w:t>: 1758835918816281 [PMID: 30574212 DOI: 10.1177/1758835918816281]</w:t>
      </w:r>
    </w:p>
    <w:p w14:paraId="0E46087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39 </w:t>
      </w:r>
      <w:r w:rsidRPr="00E901BF">
        <w:rPr>
          <w:rFonts w:ascii="Book Antiqua" w:hAnsi="Book Antiqua"/>
          <w:b/>
          <w:sz w:val="24"/>
          <w:szCs w:val="24"/>
        </w:rPr>
        <w:t>Sanford DE</w:t>
      </w:r>
      <w:r w:rsidRPr="00E901BF">
        <w:rPr>
          <w:rFonts w:ascii="Book Antiqua" w:hAnsi="Book Antiqua"/>
          <w:sz w:val="24"/>
          <w:szCs w:val="24"/>
        </w:rPr>
        <w:t xml:space="preserve">, Belt BA, Panni RZ, Mayer A, Deshpande AD, Carpenter D, Mitchem JB, Plambeck-Suess SM, Worley LA, Goetz BD, Wang-Gillam A, Eberlein TJ, Denardo DG, Goedegebuure SP, Linehan DC. Inflammatory monocyte mobilization decreases patient survival in pancreatic cancer: a role for targeting the CCL2/CCR2 axis. </w:t>
      </w:r>
      <w:r w:rsidRPr="00E901BF">
        <w:rPr>
          <w:rFonts w:ascii="Book Antiqua" w:hAnsi="Book Antiqua"/>
          <w:i/>
          <w:sz w:val="24"/>
          <w:szCs w:val="24"/>
        </w:rPr>
        <w:t>Clin Cancer Res</w:t>
      </w:r>
      <w:r w:rsidRPr="00E901BF">
        <w:rPr>
          <w:rFonts w:ascii="Book Antiqua" w:hAnsi="Book Antiqua"/>
          <w:sz w:val="24"/>
          <w:szCs w:val="24"/>
        </w:rPr>
        <w:t xml:space="preserve"> 2013; </w:t>
      </w:r>
      <w:r w:rsidRPr="00E901BF">
        <w:rPr>
          <w:rFonts w:ascii="Book Antiqua" w:hAnsi="Book Antiqua"/>
          <w:b/>
          <w:sz w:val="24"/>
          <w:szCs w:val="24"/>
        </w:rPr>
        <w:t>19</w:t>
      </w:r>
      <w:r w:rsidRPr="00E901BF">
        <w:rPr>
          <w:rFonts w:ascii="Book Antiqua" w:hAnsi="Book Antiqua"/>
          <w:sz w:val="24"/>
          <w:szCs w:val="24"/>
        </w:rPr>
        <w:t>: 3404-3415 [PMID: 23653148 DOI: 10.1158/1078-0432.CCR-13-0525]</w:t>
      </w:r>
    </w:p>
    <w:p w14:paraId="2FBF544F"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40 </w:t>
      </w:r>
      <w:r w:rsidRPr="00E901BF">
        <w:rPr>
          <w:rFonts w:ascii="Book Antiqua" w:hAnsi="Book Antiqua"/>
          <w:b/>
          <w:sz w:val="24"/>
          <w:szCs w:val="24"/>
        </w:rPr>
        <w:t>Amedei A</w:t>
      </w:r>
      <w:r w:rsidRPr="00E901BF">
        <w:rPr>
          <w:rFonts w:ascii="Book Antiqua" w:hAnsi="Book Antiqua"/>
          <w:sz w:val="24"/>
          <w:szCs w:val="24"/>
        </w:rPr>
        <w:t xml:space="preserve">,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 </w:t>
      </w:r>
      <w:r w:rsidRPr="00E901BF">
        <w:rPr>
          <w:rFonts w:ascii="Book Antiqua" w:hAnsi="Book Antiqua"/>
          <w:i/>
          <w:sz w:val="24"/>
          <w:szCs w:val="24"/>
        </w:rPr>
        <w:t>Cancer Immunol Immunother</w:t>
      </w:r>
      <w:r w:rsidRPr="00E901BF">
        <w:rPr>
          <w:rFonts w:ascii="Book Antiqua" w:hAnsi="Book Antiqua"/>
          <w:sz w:val="24"/>
          <w:szCs w:val="24"/>
        </w:rPr>
        <w:t xml:space="preserve"> 2013; </w:t>
      </w:r>
      <w:r w:rsidRPr="00E901BF">
        <w:rPr>
          <w:rFonts w:ascii="Book Antiqua" w:hAnsi="Book Antiqua"/>
          <w:b/>
          <w:sz w:val="24"/>
          <w:szCs w:val="24"/>
        </w:rPr>
        <w:t>62</w:t>
      </w:r>
      <w:r w:rsidRPr="00E901BF">
        <w:rPr>
          <w:rFonts w:ascii="Book Antiqua" w:hAnsi="Book Antiqua"/>
          <w:sz w:val="24"/>
          <w:szCs w:val="24"/>
        </w:rPr>
        <w:t>: 1249-1260 [PMID: 23640603 DOI: 10.1007/s00262-013-1429-3]</w:t>
      </w:r>
    </w:p>
    <w:p w14:paraId="5A12327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41 </w:t>
      </w:r>
      <w:r w:rsidRPr="00E901BF">
        <w:rPr>
          <w:rFonts w:ascii="Book Antiqua" w:hAnsi="Book Antiqua"/>
          <w:b/>
          <w:sz w:val="24"/>
          <w:szCs w:val="24"/>
        </w:rPr>
        <w:t>Gao J</w:t>
      </w:r>
      <w:r w:rsidRPr="00E901BF">
        <w:rPr>
          <w:rFonts w:ascii="Book Antiqua" w:hAnsi="Book Antiqua"/>
          <w:sz w:val="24"/>
          <w:szCs w:val="24"/>
        </w:rPr>
        <w:t xml:space="preserve">, Shi LZ, Zhao H, Chen J, Xiong L, He Q, Chen T, Roszik J, Bernatchez C, Woodman SE, Chen PL, Hwu P, Allison JP, Futreal A, Wargo JA, Sharma P. Loss of IFN-γ Pathway Genes in Tumor Cells as a Mechanism of Resistance to </w:t>
      </w:r>
      <w:r w:rsidRPr="00E901BF">
        <w:rPr>
          <w:rFonts w:ascii="Book Antiqua" w:hAnsi="Book Antiqua"/>
          <w:sz w:val="24"/>
          <w:szCs w:val="24"/>
        </w:rPr>
        <w:lastRenderedPageBreak/>
        <w:t xml:space="preserve">Anti-CTLA-4 Therapy. </w:t>
      </w:r>
      <w:r w:rsidRPr="00E901BF">
        <w:rPr>
          <w:rFonts w:ascii="Book Antiqua" w:hAnsi="Book Antiqua"/>
          <w:i/>
          <w:sz w:val="24"/>
          <w:szCs w:val="24"/>
        </w:rPr>
        <w:t>Cell</w:t>
      </w:r>
      <w:r w:rsidRPr="00E901BF">
        <w:rPr>
          <w:rFonts w:ascii="Book Antiqua" w:hAnsi="Book Antiqua"/>
          <w:sz w:val="24"/>
          <w:szCs w:val="24"/>
        </w:rPr>
        <w:t xml:space="preserve"> 2016; </w:t>
      </w:r>
      <w:r w:rsidRPr="00E901BF">
        <w:rPr>
          <w:rFonts w:ascii="Book Antiqua" w:hAnsi="Book Antiqua"/>
          <w:b/>
          <w:sz w:val="24"/>
          <w:szCs w:val="24"/>
        </w:rPr>
        <w:t>167</w:t>
      </w:r>
      <w:r w:rsidRPr="00E901BF">
        <w:rPr>
          <w:rFonts w:ascii="Book Antiqua" w:hAnsi="Book Antiqua"/>
          <w:sz w:val="24"/>
          <w:szCs w:val="24"/>
        </w:rPr>
        <w:t>: 397-404.e9 [PMID: 27667683 DOI: 10.1016/j.cell.2016.08.069]</w:t>
      </w:r>
    </w:p>
    <w:p w14:paraId="0725E76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42 </w:t>
      </w:r>
      <w:r w:rsidRPr="00E901BF">
        <w:rPr>
          <w:rFonts w:ascii="Book Antiqua" w:hAnsi="Book Antiqua"/>
          <w:b/>
          <w:sz w:val="24"/>
          <w:szCs w:val="24"/>
        </w:rPr>
        <w:t>Hilmi M</w:t>
      </w:r>
      <w:r w:rsidRPr="00E901BF">
        <w:rPr>
          <w:rFonts w:ascii="Book Antiqua" w:hAnsi="Book Antiqua"/>
          <w:sz w:val="24"/>
          <w:szCs w:val="24"/>
        </w:rPr>
        <w:t xml:space="preserve">, Bartholin L, Neuzillet C. Immune therapies in pancreatic ductal adenocarcinoma: Where are we now? </w:t>
      </w:r>
      <w:r w:rsidRPr="00E901BF">
        <w:rPr>
          <w:rFonts w:ascii="Book Antiqua" w:hAnsi="Book Antiqua"/>
          <w:i/>
          <w:sz w:val="24"/>
          <w:szCs w:val="24"/>
        </w:rPr>
        <w:t>World J Gastroenterol</w:t>
      </w:r>
      <w:r w:rsidRPr="00E901BF">
        <w:rPr>
          <w:rFonts w:ascii="Book Antiqua" w:hAnsi="Book Antiqua"/>
          <w:sz w:val="24"/>
          <w:szCs w:val="24"/>
        </w:rPr>
        <w:t xml:space="preserve"> 2018; </w:t>
      </w:r>
      <w:r w:rsidRPr="00E901BF">
        <w:rPr>
          <w:rFonts w:ascii="Book Antiqua" w:hAnsi="Book Antiqua"/>
          <w:b/>
          <w:sz w:val="24"/>
          <w:szCs w:val="24"/>
        </w:rPr>
        <w:t>24</w:t>
      </w:r>
      <w:r w:rsidRPr="00E901BF">
        <w:rPr>
          <w:rFonts w:ascii="Book Antiqua" w:hAnsi="Book Antiqua"/>
          <w:sz w:val="24"/>
          <w:szCs w:val="24"/>
        </w:rPr>
        <w:t>: 2137-2151 [PMID: 29853732 DOI: 10.3748/wjg.v24.i20.2137]</w:t>
      </w:r>
    </w:p>
    <w:p w14:paraId="542C1A4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43 </w:t>
      </w:r>
      <w:r w:rsidRPr="00E901BF">
        <w:rPr>
          <w:rFonts w:ascii="Book Antiqua" w:hAnsi="Book Antiqua"/>
          <w:b/>
          <w:sz w:val="24"/>
          <w:szCs w:val="24"/>
        </w:rPr>
        <w:t>Zhang J</w:t>
      </w:r>
      <w:r w:rsidRPr="00E901BF">
        <w:rPr>
          <w:rFonts w:ascii="Book Antiqua" w:hAnsi="Book Antiqua"/>
          <w:sz w:val="24"/>
          <w:szCs w:val="24"/>
        </w:rPr>
        <w:t xml:space="preserve">, Wolfgang CL, Zheng L. Precision Immuno-Oncology: Prospects of Individualized Immunotherapy for Pancreatic Cancer. </w:t>
      </w:r>
      <w:r w:rsidRPr="00E901BF">
        <w:rPr>
          <w:rFonts w:ascii="Book Antiqua" w:hAnsi="Book Antiqua"/>
          <w:i/>
          <w:sz w:val="24"/>
          <w:szCs w:val="24"/>
        </w:rPr>
        <w:t>Cancers (Basel)</w:t>
      </w:r>
      <w:r w:rsidRPr="00E901BF">
        <w:rPr>
          <w:rFonts w:ascii="Book Antiqua" w:hAnsi="Book Antiqua"/>
          <w:sz w:val="24"/>
          <w:szCs w:val="24"/>
        </w:rPr>
        <w:t xml:space="preserve"> 2018; </w:t>
      </w:r>
      <w:r w:rsidRPr="00E901BF">
        <w:rPr>
          <w:rFonts w:ascii="Book Antiqua" w:hAnsi="Book Antiqua"/>
          <w:b/>
          <w:sz w:val="24"/>
          <w:szCs w:val="24"/>
        </w:rPr>
        <w:t>10</w:t>
      </w:r>
      <w:r w:rsidRPr="00E901BF">
        <w:rPr>
          <w:rFonts w:ascii="Book Antiqua" w:hAnsi="Book Antiqua"/>
          <w:sz w:val="24"/>
          <w:szCs w:val="24"/>
        </w:rPr>
        <w:t>:  [PMID: 29385739 DOI: 10.3390/cancers10020039]</w:t>
      </w:r>
    </w:p>
    <w:p w14:paraId="3AF94C9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44 </w:t>
      </w:r>
      <w:r w:rsidRPr="00E901BF">
        <w:rPr>
          <w:rFonts w:ascii="Book Antiqua" w:hAnsi="Book Antiqua"/>
          <w:b/>
          <w:sz w:val="24"/>
          <w:szCs w:val="24"/>
        </w:rPr>
        <w:t>Topalian SL</w:t>
      </w:r>
      <w:r w:rsidRPr="00E901BF">
        <w:rPr>
          <w:rFonts w:ascii="Book Antiqua" w:hAnsi="Book Antiqua"/>
          <w:sz w:val="24"/>
          <w:szCs w:val="24"/>
        </w:rPr>
        <w:t xml:space="preserve">, Weiner GJ, Pardoll DM. Cancer immunotherapy comes of age. </w:t>
      </w:r>
      <w:r w:rsidRPr="00E901BF">
        <w:rPr>
          <w:rFonts w:ascii="Book Antiqua" w:hAnsi="Book Antiqua"/>
          <w:i/>
          <w:sz w:val="24"/>
          <w:szCs w:val="24"/>
        </w:rPr>
        <w:t>J Clin Oncol</w:t>
      </w:r>
      <w:r w:rsidRPr="00E901BF">
        <w:rPr>
          <w:rFonts w:ascii="Book Antiqua" w:hAnsi="Book Antiqua"/>
          <w:sz w:val="24"/>
          <w:szCs w:val="24"/>
        </w:rPr>
        <w:t xml:space="preserve"> 2011; </w:t>
      </w:r>
      <w:r w:rsidRPr="00E901BF">
        <w:rPr>
          <w:rFonts w:ascii="Book Antiqua" w:hAnsi="Book Antiqua"/>
          <w:b/>
          <w:sz w:val="24"/>
          <w:szCs w:val="24"/>
        </w:rPr>
        <w:t>29</w:t>
      </w:r>
      <w:r w:rsidRPr="00E901BF">
        <w:rPr>
          <w:rFonts w:ascii="Book Antiqua" w:hAnsi="Book Antiqua"/>
          <w:sz w:val="24"/>
          <w:szCs w:val="24"/>
        </w:rPr>
        <w:t>: 4828-4836 [PMID: 22042955 DOI: 10.1200/JCO.2011.38.0899]</w:t>
      </w:r>
    </w:p>
    <w:p w14:paraId="08FD2B0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45 </w:t>
      </w:r>
      <w:r w:rsidRPr="00E901BF">
        <w:rPr>
          <w:rFonts w:ascii="Book Antiqua" w:hAnsi="Book Antiqua"/>
          <w:b/>
          <w:sz w:val="24"/>
          <w:szCs w:val="24"/>
        </w:rPr>
        <w:t>Brahmer JR</w:t>
      </w:r>
      <w:r w:rsidRPr="00E901BF">
        <w:rPr>
          <w:rFonts w:ascii="Book Antiqua" w:hAnsi="Book Antiqua"/>
          <w:sz w:val="24"/>
          <w:szCs w:val="24"/>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E901BF">
        <w:rPr>
          <w:rFonts w:ascii="Book Antiqua" w:hAnsi="Book Antiqua"/>
          <w:i/>
          <w:sz w:val="24"/>
          <w:szCs w:val="24"/>
        </w:rPr>
        <w:t>N Engl J Med</w:t>
      </w:r>
      <w:r w:rsidRPr="00E901BF">
        <w:rPr>
          <w:rFonts w:ascii="Book Antiqua" w:hAnsi="Book Antiqua"/>
          <w:sz w:val="24"/>
          <w:szCs w:val="24"/>
        </w:rPr>
        <w:t xml:space="preserve"> 2012; </w:t>
      </w:r>
      <w:r w:rsidRPr="00E901BF">
        <w:rPr>
          <w:rFonts w:ascii="Book Antiqua" w:hAnsi="Book Antiqua"/>
          <w:b/>
          <w:sz w:val="24"/>
          <w:szCs w:val="24"/>
        </w:rPr>
        <w:t>366</w:t>
      </w:r>
      <w:r w:rsidRPr="00E901BF">
        <w:rPr>
          <w:rFonts w:ascii="Book Antiqua" w:hAnsi="Book Antiqua"/>
          <w:sz w:val="24"/>
          <w:szCs w:val="24"/>
        </w:rPr>
        <w:t>: 2455-2465 [PMID: 22658128 DOI: 10.1056/NEJMoa1200694]</w:t>
      </w:r>
    </w:p>
    <w:p w14:paraId="73689F61"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46 </w:t>
      </w:r>
      <w:r w:rsidRPr="00E901BF">
        <w:rPr>
          <w:rFonts w:ascii="Book Antiqua" w:hAnsi="Book Antiqua"/>
          <w:b/>
          <w:sz w:val="24"/>
          <w:szCs w:val="24"/>
        </w:rPr>
        <w:t>Gibney GT</w:t>
      </w:r>
      <w:r w:rsidRPr="00E901BF">
        <w:rPr>
          <w:rFonts w:ascii="Book Antiqua" w:hAnsi="Book Antiqua"/>
          <w:sz w:val="24"/>
          <w:szCs w:val="24"/>
        </w:rPr>
        <w:t xml:space="preserve">, Weiner LM, Atkins MB. Predictive biomarkers for checkpoint inhibitor-based immunotherapy. </w:t>
      </w:r>
      <w:r w:rsidRPr="00E901BF">
        <w:rPr>
          <w:rFonts w:ascii="Book Antiqua" w:hAnsi="Book Antiqua"/>
          <w:i/>
          <w:sz w:val="24"/>
          <w:szCs w:val="24"/>
        </w:rPr>
        <w:t>Lancet Oncol</w:t>
      </w:r>
      <w:r w:rsidRPr="00E901BF">
        <w:rPr>
          <w:rFonts w:ascii="Book Antiqua" w:hAnsi="Book Antiqua"/>
          <w:sz w:val="24"/>
          <w:szCs w:val="24"/>
        </w:rPr>
        <w:t xml:space="preserve"> 2016; </w:t>
      </w:r>
      <w:r w:rsidRPr="00E901BF">
        <w:rPr>
          <w:rFonts w:ascii="Book Antiqua" w:hAnsi="Book Antiqua"/>
          <w:b/>
          <w:sz w:val="24"/>
          <w:szCs w:val="24"/>
        </w:rPr>
        <w:t>17</w:t>
      </w:r>
      <w:r w:rsidRPr="00E901BF">
        <w:rPr>
          <w:rFonts w:ascii="Book Antiqua" w:hAnsi="Book Antiqua"/>
          <w:sz w:val="24"/>
          <w:szCs w:val="24"/>
        </w:rPr>
        <w:t>: e542-e551 [PMID: 27924752 DOI: 10.1016/S1470-2045(16)30406-5]</w:t>
      </w:r>
    </w:p>
    <w:p w14:paraId="0FB74567"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47 </w:t>
      </w:r>
      <w:r w:rsidRPr="00E901BF">
        <w:rPr>
          <w:rFonts w:ascii="Book Antiqua" w:hAnsi="Book Antiqua"/>
          <w:b/>
          <w:sz w:val="24"/>
          <w:szCs w:val="24"/>
        </w:rPr>
        <w:t>Le DT</w:t>
      </w:r>
      <w:r w:rsidRPr="00E901BF">
        <w:rPr>
          <w:rFonts w:ascii="Book Antiqua" w:hAnsi="Book Antiqua"/>
          <w:sz w:val="24"/>
          <w:szCs w:val="24"/>
        </w:rPr>
        <w:t xml:space="preserve">, Jaffee EM. Next-generation cancer vaccine approaches: integrating lessons learned from current successes with promising biotechnologic advances. </w:t>
      </w:r>
      <w:r w:rsidRPr="00E901BF">
        <w:rPr>
          <w:rFonts w:ascii="Book Antiqua" w:hAnsi="Book Antiqua"/>
          <w:i/>
          <w:sz w:val="24"/>
          <w:szCs w:val="24"/>
        </w:rPr>
        <w:t>J Natl Compr Canc Netw</w:t>
      </w:r>
      <w:r w:rsidRPr="00E901BF">
        <w:rPr>
          <w:rFonts w:ascii="Book Antiqua" w:hAnsi="Book Antiqua"/>
          <w:sz w:val="24"/>
          <w:szCs w:val="24"/>
        </w:rPr>
        <w:t xml:space="preserve"> 2013; </w:t>
      </w:r>
      <w:r w:rsidRPr="00E901BF">
        <w:rPr>
          <w:rFonts w:ascii="Book Antiqua" w:hAnsi="Book Antiqua"/>
          <w:b/>
          <w:sz w:val="24"/>
          <w:szCs w:val="24"/>
        </w:rPr>
        <w:t>11</w:t>
      </w:r>
      <w:r w:rsidRPr="00E901BF">
        <w:rPr>
          <w:rFonts w:ascii="Book Antiqua" w:hAnsi="Book Antiqua"/>
          <w:sz w:val="24"/>
          <w:szCs w:val="24"/>
        </w:rPr>
        <w:t>: 766-772 [PMID: 23847215 DOI: 10.6004/jnccn.2013.0099]</w:t>
      </w:r>
    </w:p>
    <w:p w14:paraId="04EE28F5"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48 </w:t>
      </w:r>
      <w:r w:rsidRPr="00E901BF">
        <w:rPr>
          <w:rFonts w:ascii="Book Antiqua" w:hAnsi="Book Antiqua"/>
          <w:b/>
          <w:sz w:val="24"/>
          <w:szCs w:val="24"/>
        </w:rPr>
        <w:t>Jaffee EM</w:t>
      </w:r>
      <w:r w:rsidRPr="00E901BF">
        <w:rPr>
          <w:rFonts w:ascii="Book Antiqua" w:hAnsi="Book Antiqua"/>
          <w:sz w:val="24"/>
          <w:szCs w:val="24"/>
        </w:rPr>
        <w:t xml:space="preserve">, Hruban RH, Canto M, Kern SE. Focus on pancreas cancer. </w:t>
      </w:r>
      <w:r w:rsidRPr="00E901BF">
        <w:rPr>
          <w:rFonts w:ascii="Book Antiqua" w:hAnsi="Book Antiqua"/>
          <w:i/>
          <w:sz w:val="24"/>
          <w:szCs w:val="24"/>
        </w:rPr>
        <w:t>Cancer Cell</w:t>
      </w:r>
      <w:r w:rsidRPr="00E901BF">
        <w:rPr>
          <w:rFonts w:ascii="Book Antiqua" w:hAnsi="Book Antiqua"/>
          <w:sz w:val="24"/>
          <w:szCs w:val="24"/>
        </w:rPr>
        <w:t xml:space="preserve"> 2002; </w:t>
      </w:r>
      <w:r w:rsidRPr="00E901BF">
        <w:rPr>
          <w:rFonts w:ascii="Book Antiqua" w:hAnsi="Book Antiqua"/>
          <w:b/>
          <w:sz w:val="24"/>
          <w:szCs w:val="24"/>
        </w:rPr>
        <w:t>2</w:t>
      </w:r>
      <w:r w:rsidRPr="00E901BF">
        <w:rPr>
          <w:rFonts w:ascii="Book Antiqua" w:hAnsi="Book Antiqua"/>
          <w:sz w:val="24"/>
          <w:szCs w:val="24"/>
        </w:rPr>
        <w:t>: 25-28 [PMID: 12150822 DOI: 10.1016/s1535-6108(02)00093-4]</w:t>
      </w:r>
    </w:p>
    <w:p w14:paraId="3FA5FCBF"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49 </w:t>
      </w:r>
      <w:r w:rsidRPr="00E901BF">
        <w:rPr>
          <w:rFonts w:ascii="Book Antiqua" w:hAnsi="Book Antiqua"/>
          <w:b/>
          <w:sz w:val="24"/>
          <w:szCs w:val="24"/>
        </w:rPr>
        <w:t>Pardoll DM</w:t>
      </w:r>
      <w:r w:rsidRPr="00E901BF">
        <w:rPr>
          <w:rFonts w:ascii="Book Antiqua" w:hAnsi="Book Antiqua"/>
          <w:sz w:val="24"/>
          <w:szCs w:val="24"/>
        </w:rPr>
        <w:t xml:space="preserve">. The blockade of immune checkpoints in cancer immunotherapy. </w:t>
      </w:r>
      <w:r w:rsidRPr="00E901BF">
        <w:rPr>
          <w:rFonts w:ascii="Book Antiqua" w:hAnsi="Book Antiqua"/>
          <w:i/>
          <w:sz w:val="24"/>
          <w:szCs w:val="24"/>
        </w:rPr>
        <w:t>Nat Rev Cancer</w:t>
      </w:r>
      <w:r w:rsidRPr="00E901BF">
        <w:rPr>
          <w:rFonts w:ascii="Book Antiqua" w:hAnsi="Book Antiqua"/>
          <w:sz w:val="24"/>
          <w:szCs w:val="24"/>
        </w:rPr>
        <w:t xml:space="preserve"> 2012; </w:t>
      </w:r>
      <w:r w:rsidRPr="00E901BF">
        <w:rPr>
          <w:rFonts w:ascii="Book Antiqua" w:hAnsi="Book Antiqua"/>
          <w:b/>
          <w:sz w:val="24"/>
          <w:szCs w:val="24"/>
        </w:rPr>
        <w:t>12</w:t>
      </w:r>
      <w:r w:rsidRPr="00E901BF">
        <w:rPr>
          <w:rFonts w:ascii="Book Antiqua" w:hAnsi="Book Antiqua"/>
          <w:sz w:val="24"/>
          <w:szCs w:val="24"/>
        </w:rPr>
        <w:t>: 252-264 [PMID: 22437870 DOI: 10.1038/nrc3239]</w:t>
      </w:r>
    </w:p>
    <w:p w14:paraId="5DDDF8A3"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50 </w:t>
      </w:r>
      <w:r w:rsidRPr="00E901BF">
        <w:rPr>
          <w:rFonts w:ascii="Book Antiqua" w:hAnsi="Book Antiqua"/>
          <w:b/>
          <w:sz w:val="24"/>
          <w:szCs w:val="24"/>
        </w:rPr>
        <w:t>Robert C</w:t>
      </w:r>
      <w:r w:rsidRPr="00E901BF">
        <w:rPr>
          <w:rFonts w:ascii="Book Antiqua" w:hAnsi="Book Antiqua"/>
          <w:sz w:val="24"/>
          <w:szCs w:val="24"/>
        </w:rPr>
        <w:t xml:space="preserve">, Thomas L, Bondarenko I, O'Day S, Weber J, Garbe C, Lebbe C, Baurain JF, Testori A, Grob JJ, Davidson N, Richards J, Maio M, Hauschild A, Miller WH Jr, Gascon P, Lotem M, Harmankaya K, Ibrahim R, Francis S, Chen </w:t>
      </w:r>
      <w:r w:rsidRPr="00E901BF">
        <w:rPr>
          <w:rFonts w:ascii="Book Antiqua" w:hAnsi="Book Antiqua"/>
          <w:sz w:val="24"/>
          <w:szCs w:val="24"/>
        </w:rPr>
        <w:lastRenderedPageBreak/>
        <w:t xml:space="preserve">TT, Humphrey R, Hoos A, Wolchok JD. Ipilimumab plus dacarbazine for previously untreated metastatic melanoma. </w:t>
      </w:r>
      <w:r w:rsidRPr="00E901BF">
        <w:rPr>
          <w:rFonts w:ascii="Book Antiqua" w:hAnsi="Book Antiqua"/>
          <w:i/>
          <w:sz w:val="24"/>
          <w:szCs w:val="24"/>
        </w:rPr>
        <w:t>N Engl J Med</w:t>
      </w:r>
      <w:r w:rsidRPr="00E901BF">
        <w:rPr>
          <w:rFonts w:ascii="Book Antiqua" w:hAnsi="Book Antiqua"/>
          <w:sz w:val="24"/>
          <w:szCs w:val="24"/>
        </w:rPr>
        <w:t xml:space="preserve"> 2011; </w:t>
      </w:r>
      <w:r w:rsidRPr="00E901BF">
        <w:rPr>
          <w:rFonts w:ascii="Book Antiqua" w:hAnsi="Book Antiqua"/>
          <w:b/>
          <w:sz w:val="24"/>
          <w:szCs w:val="24"/>
        </w:rPr>
        <w:t>364</w:t>
      </w:r>
      <w:r w:rsidRPr="00E901BF">
        <w:rPr>
          <w:rFonts w:ascii="Book Antiqua" w:hAnsi="Book Antiqua"/>
          <w:sz w:val="24"/>
          <w:szCs w:val="24"/>
        </w:rPr>
        <w:t>: 2517-2526 [PMID: 21639810 DOI: 10.1056/NEJMoa1104621]</w:t>
      </w:r>
    </w:p>
    <w:p w14:paraId="2798697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51 </w:t>
      </w:r>
      <w:r w:rsidRPr="00E901BF">
        <w:rPr>
          <w:rFonts w:ascii="Book Antiqua" w:hAnsi="Book Antiqua"/>
          <w:b/>
          <w:sz w:val="24"/>
          <w:szCs w:val="24"/>
        </w:rPr>
        <w:t>Horn L</w:t>
      </w:r>
      <w:r w:rsidRPr="00E901BF">
        <w:rPr>
          <w:rFonts w:ascii="Book Antiqua" w:hAnsi="Book Antiqua"/>
          <w:sz w:val="24"/>
          <w:szCs w:val="24"/>
        </w:rPr>
        <w:t xml:space="preserve">, Spigel DR, Vokes EE, Holgado E, Ready N, Steins M, Poddubskaya E, Borghaei H, Felip E, Paz-Ares L, Pluzanski A, Reckamp KL, Burgio MA, Kohlhäeufl M, Waterhouse D, Barlesi F, Antonia S, Arrieta O, Fayette J, Crinò L, Rizvi N, Reck M, Hellmann MD, Geese WJ, Li A, Blackwood-Chirchir A, Healey D, Brahmer J, Eberhardt WEE. Nivolumab Versus Docetaxel in Previously Treated Patients With Advanced Non-Small-Cell Lung Cancer: Two-Year Outcomes From Two Randomized, Open-Label, Phase III Trials (CheckMate 017 and CheckMate 057). </w:t>
      </w:r>
      <w:r w:rsidRPr="00E901BF">
        <w:rPr>
          <w:rFonts w:ascii="Book Antiqua" w:hAnsi="Book Antiqua"/>
          <w:i/>
          <w:sz w:val="24"/>
          <w:szCs w:val="24"/>
        </w:rPr>
        <w:t>J Clin Oncol</w:t>
      </w:r>
      <w:r w:rsidRPr="00E901BF">
        <w:rPr>
          <w:rFonts w:ascii="Book Antiqua" w:hAnsi="Book Antiqua"/>
          <w:sz w:val="24"/>
          <w:szCs w:val="24"/>
        </w:rPr>
        <w:t xml:space="preserve"> 2017; </w:t>
      </w:r>
      <w:r w:rsidRPr="00E901BF">
        <w:rPr>
          <w:rFonts w:ascii="Book Antiqua" w:hAnsi="Book Antiqua"/>
          <w:b/>
          <w:sz w:val="24"/>
          <w:szCs w:val="24"/>
        </w:rPr>
        <w:t>35</w:t>
      </w:r>
      <w:r w:rsidRPr="00E901BF">
        <w:rPr>
          <w:rFonts w:ascii="Book Antiqua" w:hAnsi="Book Antiqua"/>
          <w:sz w:val="24"/>
          <w:szCs w:val="24"/>
        </w:rPr>
        <w:t>: 3924-3933 [PMID: 29023213 DOI: 10.1200/JCO.2017.74.3062]</w:t>
      </w:r>
    </w:p>
    <w:p w14:paraId="1D12FBC9"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52 </w:t>
      </w:r>
      <w:r w:rsidRPr="00E901BF">
        <w:rPr>
          <w:rFonts w:ascii="Book Antiqua" w:hAnsi="Book Antiqua"/>
          <w:b/>
          <w:sz w:val="24"/>
          <w:szCs w:val="24"/>
        </w:rPr>
        <w:t>Herbst RS</w:t>
      </w:r>
      <w:r w:rsidRPr="00E901BF">
        <w:rPr>
          <w:rFonts w:ascii="Book Antiqua" w:hAnsi="Book Antiqua"/>
          <w:sz w:val="24"/>
          <w:szCs w:val="24"/>
        </w:rPr>
        <w:t xml:space="preserve">, Soria JC, Kowanetz M, Fine GD, Hamid O, Gordon MS, Sosman JA, McDermott DF, Powderly JD, Gettinger SN, Kohrt HE, Horn L, Lawrence DP, Rost S, Leabman M, Xiao Y, Mokatrin A, Koeppen H, Hegde PS, Mellman I, Chen DS, Hodi FS. Predictive correlates of response to the anti-PD-L1 antibody MPDL3280A in cancer patients. </w:t>
      </w:r>
      <w:r w:rsidRPr="00E901BF">
        <w:rPr>
          <w:rFonts w:ascii="Book Antiqua" w:hAnsi="Book Antiqua"/>
          <w:i/>
          <w:sz w:val="24"/>
          <w:szCs w:val="24"/>
        </w:rPr>
        <w:t>Nature</w:t>
      </w:r>
      <w:r w:rsidRPr="00E901BF">
        <w:rPr>
          <w:rFonts w:ascii="Book Antiqua" w:hAnsi="Book Antiqua"/>
          <w:sz w:val="24"/>
          <w:szCs w:val="24"/>
        </w:rPr>
        <w:t xml:space="preserve"> 2014; </w:t>
      </w:r>
      <w:r w:rsidRPr="00E901BF">
        <w:rPr>
          <w:rFonts w:ascii="Book Antiqua" w:hAnsi="Book Antiqua"/>
          <w:b/>
          <w:sz w:val="24"/>
          <w:szCs w:val="24"/>
        </w:rPr>
        <w:t>515</w:t>
      </w:r>
      <w:r w:rsidRPr="00E901BF">
        <w:rPr>
          <w:rFonts w:ascii="Book Antiqua" w:hAnsi="Book Antiqua"/>
          <w:sz w:val="24"/>
          <w:szCs w:val="24"/>
        </w:rPr>
        <w:t>: 563-567 [PMID: 25428504 DOI: 10.1038/nature14011]</w:t>
      </w:r>
    </w:p>
    <w:p w14:paraId="7C5203AA"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53 </w:t>
      </w:r>
      <w:r w:rsidRPr="00E901BF">
        <w:rPr>
          <w:rFonts w:ascii="Book Antiqua" w:hAnsi="Book Antiqua"/>
          <w:b/>
          <w:sz w:val="24"/>
          <w:szCs w:val="24"/>
        </w:rPr>
        <w:t>Blank CU</w:t>
      </w:r>
      <w:r w:rsidRPr="00E901BF">
        <w:rPr>
          <w:rFonts w:ascii="Book Antiqua" w:hAnsi="Book Antiqua"/>
          <w:sz w:val="24"/>
          <w:szCs w:val="24"/>
        </w:rPr>
        <w:t xml:space="preserve">, Enk A. Therapeutic use of anti-CTLA-4 antibodies. </w:t>
      </w:r>
      <w:r w:rsidRPr="00E901BF">
        <w:rPr>
          <w:rFonts w:ascii="Book Antiqua" w:hAnsi="Book Antiqua"/>
          <w:i/>
          <w:sz w:val="24"/>
          <w:szCs w:val="24"/>
        </w:rPr>
        <w:t>Int Immunol</w:t>
      </w:r>
      <w:r w:rsidRPr="00E901BF">
        <w:rPr>
          <w:rFonts w:ascii="Book Antiqua" w:hAnsi="Book Antiqua"/>
          <w:sz w:val="24"/>
          <w:szCs w:val="24"/>
        </w:rPr>
        <w:t xml:space="preserve"> 2015; </w:t>
      </w:r>
      <w:r w:rsidRPr="00E901BF">
        <w:rPr>
          <w:rFonts w:ascii="Book Antiqua" w:hAnsi="Book Antiqua"/>
          <w:b/>
          <w:sz w:val="24"/>
          <w:szCs w:val="24"/>
        </w:rPr>
        <w:t>27</w:t>
      </w:r>
      <w:r w:rsidRPr="00E901BF">
        <w:rPr>
          <w:rFonts w:ascii="Book Antiqua" w:hAnsi="Book Antiqua"/>
          <w:sz w:val="24"/>
          <w:szCs w:val="24"/>
        </w:rPr>
        <w:t>: 3-10 [PMID: 25038057 DOI: 10.1093/intimm/dxu076]</w:t>
      </w:r>
    </w:p>
    <w:p w14:paraId="7163930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54 </w:t>
      </w:r>
      <w:r w:rsidRPr="00E901BF">
        <w:rPr>
          <w:rFonts w:ascii="Book Antiqua" w:hAnsi="Book Antiqua"/>
          <w:b/>
          <w:sz w:val="24"/>
          <w:szCs w:val="24"/>
        </w:rPr>
        <w:t>Foley K</w:t>
      </w:r>
      <w:r w:rsidRPr="00E901BF">
        <w:rPr>
          <w:rFonts w:ascii="Book Antiqua" w:hAnsi="Book Antiqua"/>
          <w:sz w:val="24"/>
          <w:szCs w:val="24"/>
        </w:rPr>
        <w:t xml:space="preserve">, Kim V, Jaffee E, Zheng L. Current progress in immunotherapy for pancreatic cancer. </w:t>
      </w:r>
      <w:r w:rsidRPr="00E901BF">
        <w:rPr>
          <w:rFonts w:ascii="Book Antiqua" w:hAnsi="Book Antiqua"/>
          <w:i/>
          <w:sz w:val="24"/>
          <w:szCs w:val="24"/>
        </w:rPr>
        <w:t>Cancer Lett</w:t>
      </w:r>
      <w:r w:rsidRPr="00E901BF">
        <w:rPr>
          <w:rFonts w:ascii="Book Antiqua" w:hAnsi="Book Antiqua"/>
          <w:sz w:val="24"/>
          <w:szCs w:val="24"/>
        </w:rPr>
        <w:t xml:space="preserve"> 2016; </w:t>
      </w:r>
      <w:r w:rsidRPr="00E901BF">
        <w:rPr>
          <w:rFonts w:ascii="Book Antiqua" w:hAnsi="Book Antiqua"/>
          <w:b/>
          <w:sz w:val="24"/>
          <w:szCs w:val="24"/>
        </w:rPr>
        <w:t>381</w:t>
      </w:r>
      <w:r w:rsidRPr="00E901BF">
        <w:rPr>
          <w:rFonts w:ascii="Book Antiqua" w:hAnsi="Book Antiqua"/>
          <w:sz w:val="24"/>
          <w:szCs w:val="24"/>
        </w:rPr>
        <w:t>: 244-251 [PMID: 26723878 DOI: 10.1016/j.canlet.2015.12.020]</w:t>
      </w:r>
    </w:p>
    <w:p w14:paraId="140D7B7F"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55 </w:t>
      </w:r>
      <w:r w:rsidRPr="00E901BF">
        <w:rPr>
          <w:rFonts w:ascii="Book Antiqua" w:hAnsi="Book Antiqua"/>
          <w:b/>
          <w:sz w:val="24"/>
          <w:szCs w:val="24"/>
        </w:rPr>
        <w:t>Sahin IH</w:t>
      </w:r>
      <w:r w:rsidRPr="00E901BF">
        <w:rPr>
          <w:rFonts w:ascii="Book Antiqua" w:hAnsi="Book Antiqua"/>
          <w:sz w:val="24"/>
          <w:szCs w:val="24"/>
        </w:rPr>
        <w:t xml:space="preserve">, Askan G, Hu ZI, O'Reilly EM. Immunotherapy in pancreatic ductal adenocarcinoma: an emerging entity? </w:t>
      </w:r>
      <w:r w:rsidRPr="00E901BF">
        <w:rPr>
          <w:rFonts w:ascii="Book Antiqua" w:hAnsi="Book Antiqua"/>
          <w:i/>
          <w:sz w:val="24"/>
          <w:szCs w:val="24"/>
        </w:rPr>
        <w:t>Ann Oncol</w:t>
      </w:r>
      <w:r w:rsidRPr="00E901BF">
        <w:rPr>
          <w:rFonts w:ascii="Book Antiqua" w:hAnsi="Book Antiqua"/>
          <w:sz w:val="24"/>
          <w:szCs w:val="24"/>
        </w:rPr>
        <w:t xml:space="preserve"> 2017; </w:t>
      </w:r>
      <w:r w:rsidRPr="00E901BF">
        <w:rPr>
          <w:rFonts w:ascii="Book Antiqua" w:hAnsi="Book Antiqua"/>
          <w:b/>
          <w:sz w:val="24"/>
          <w:szCs w:val="24"/>
        </w:rPr>
        <w:t>28</w:t>
      </w:r>
      <w:r w:rsidRPr="00E901BF">
        <w:rPr>
          <w:rFonts w:ascii="Book Antiqua" w:hAnsi="Book Antiqua"/>
          <w:sz w:val="24"/>
          <w:szCs w:val="24"/>
        </w:rPr>
        <w:t>: 2950-2961 [PMID: 28945842 DOI: 10.1093/annonc/mdx503]</w:t>
      </w:r>
    </w:p>
    <w:p w14:paraId="644770E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56 </w:t>
      </w:r>
      <w:r w:rsidRPr="00E901BF">
        <w:rPr>
          <w:rFonts w:ascii="Book Antiqua" w:hAnsi="Book Antiqua"/>
          <w:b/>
          <w:sz w:val="24"/>
          <w:szCs w:val="24"/>
        </w:rPr>
        <w:t>Winograd R</w:t>
      </w:r>
      <w:r w:rsidRPr="00E901BF">
        <w:rPr>
          <w:rFonts w:ascii="Book Antiqua" w:hAnsi="Book Antiqua"/>
          <w:sz w:val="24"/>
          <w:szCs w:val="24"/>
        </w:rPr>
        <w:t xml:space="preserve">, Byrne KT, Evans RA, Odorizzi PM, Meyer AR, Bajor DL, Clendenin C, Stanger BZ, Furth EE, Wherry EJ, Vonderheide RH. Induction of T-cell Immunity Overcomes Complete Resistance to PD-1 and CTLA-4 Blockade and Improves Survival in Pancreatic Carcinoma. </w:t>
      </w:r>
      <w:r w:rsidRPr="00E901BF">
        <w:rPr>
          <w:rFonts w:ascii="Book Antiqua" w:hAnsi="Book Antiqua"/>
          <w:i/>
          <w:sz w:val="24"/>
          <w:szCs w:val="24"/>
        </w:rPr>
        <w:t>Cancer Immunol Res</w:t>
      </w:r>
      <w:r w:rsidRPr="00E901BF">
        <w:rPr>
          <w:rFonts w:ascii="Book Antiqua" w:hAnsi="Book Antiqua"/>
          <w:sz w:val="24"/>
          <w:szCs w:val="24"/>
        </w:rPr>
        <w:t xml:space="preserve"> 2015; </w:t>
      </w:r>
      <w:r w:rsidRPr="00E901BF">
        <w:rPr>
          <w:rFonts w:ascii="Book Antiqua" w:hAnsi="Book Antiqua"/>
          <w:b/>
          <w:sz w:val="24"/>
          <w:szCs w:val="24"/>
        </w:rPr>
        <w:t>3</w:t>
      </w:r>
      <w:r w:rsidRPr="00E901BF">
        <w:rPr>
          <w:rFonts w:ascii="Book Antiqua" w:hAnsi="Book Antiqua"/>
          <w:sz w:val="24"/>
          <w:szCs w:val="24"/>
        </w:rPr>
        <w:t>: 399-411 [PMID: 25678581 DOI: 10.1158/2326-6066.CIR-14-0215]</w:t>
      </w:r>
    </w:p>
    <w:p w14:paraId="23C34FD8"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57 </w:t>
      </w:r>
      <w:r w:rsidRPr="00E901BF">
        <w:rPr>
          <w:rFonts w:ascii="Book Antiqua" w:hAnsi="Book Antiqua"/>
          <w:b/>
          <w:sz w:val="24"/>
          <w:szCs w:val="24"/>
        </w:rPr>
        <w:t>Zheng L</w:t>
      </w:r>
      <w:r w:rsidRPr="00E901BF">
        <w:rPr>
          <w:rFonts w:ascii="Book Antiqua" w:hAnsi="Book Antiqua"/>
          <w:sz w:val="24"/>
          <w:szCs w:val="24"/>
        </w:rPr>
        <w:t xml:space="preserve">. PD-L1 Expression in Pancreatic Cancer. </w:t>
      </w:r>
      <w:r w:rsidRPr="00E901BF">
        <w:rPr>
          <w:rFonts w:ascii="Book Antiqua" w:hAnsi="Book Antiqua"/>
          <w:i/>
          <w:sz w:val="24"/>
          <w:szCs w:val="24"/>
        </w:rPr>
        <w:t>J Natl Cancer Inst</w:t>
      </w:r>
      <w:r w:rsidRPr="00E901BF">
        <w:rPr>
          <w:rFonts w:ascii="Book Antiqua" w:hAnsi="Book Antiqua"/>
          <w:sz w:val="24"/>
          <w:szCs w:val="24"/>
        </w:rPr>
        <w:t xml:space="preserve"> 2017; </w:t>
      </w:r>
      <w:r w:rsidRPr="00E901BF">
        <w:rPr>
          <w:rFonts w:ascii="Book Antiqua" w:hAnsi="Book Antiqua"/>
          <w:b/>
          <w:sz w:val="24"/>
          <w:szCs w:val="24"/>
        </w:rPr>
        <w:t>109</w:t>
      </w:r>
      <w:r w:rsidRPr="00E901BF">
        <w:rPr>
          <w:rFonts w:ascii="Book Antiqua" w:hAnsi="Book Antiqua"/>
          <w:sz w:val="24"/>
          <w:szCs w:val="24"/>
        </w:rPr>
        <w:t>:  [PMID: 28131993 DOI: 10.1093/jnci/djw304]</w:t>
      </w:r>
    </w:p>
    <w:p w14:paraId="16DAE9F6"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58 </w:t>
      </w:r>
      <w:r w:rsidRPr="00E901BF">
        <w:rPr>
          <w:rFonts w:ascii="Book Antiqua" w:hAnsi="Book Antiqua"/>
          <w:b/>
          <w:sz w:val="24"/>
          <w:szCs w:val="24"/>
        </w:rPr>
        <w:t>Kamath SD</w:t>
      </w:r>
      <w:r w:rsidRPr="00E901BF">
        <w:rPr>
          <w:rFonts w:ascii="Book Antiqua" w:hAnsi="Book Antiqua"/>
          <w:sz w:val="24"/>
          <w:szCs w:val="24"/>
        </w:rPr>
        <w:t xml:space="preserve">, Kalyan A, Kircher S, Nimeiri H, Fought AJ, Benson A 3rd, Mulcahy M. Ipilimumab and Gemcitabine for Advanced Pancreatic Cancer: A Phase Ib Study. </w:t>
      </w:r>
      <w:r w:rsidRPr="00E901BF">
        <w:rPr>
          <w:rFonts w:ascii="Book Antiqua" w:hAnsi="Book Antiqua"/>
          <w:i/>
          <w:sz w:val="24"/>
          <w:szCs w:val="24"/>
        </w:rPr>
        <w:t>Oncologist</w:t>
      </w:r>
      <w:r w:rsidRPr="00E901BF">
        <w:rPr>
          <w:rFonts w:ascii="Book Antiqua" w:hAnsi="Book Antiqua"/>
          <w:sz w:val="24"/>
          <w:szCs w:val="24"/>
        </w:rPr>
        <w:t xml:space="preserve"> 2019; :  [PMID: 31740568 DOI: 10.1634/theoncologist.2019-0473]</w:t>
      </w:r>
    </w:p>
    <w:p w14:paraId="674E49B2"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59 </w:t>
      </w:r>
      <w:r w:rsidRPr="00E901BF">
        <w:rPr>
          <w:rFonts w:ascii="Book Antiqua" w:hAnsi="Book Antiqua"/>
          <w:b/>
          <w:sz w:val="24"/>
          <w:szCs w:val="24"/>
        </w:rPr>
        <w:t>Nomi T</w:t>
      </w:r>
      <w:r w:rsidRPr="00E901BF">
        <w:rPr>
          <w:rFonts w:ascii="Book Antiqua" w:hAnsi="Book Antiqua"/>
          <w:sz w:val="24"/>
          <w:szCs w:val="24"/>
        </w:rPr>
        <w:t xml:space="preserve">, Sho M, Akahori T, Hamada K, Kubo A, Kanehiro H, Nakamura S, Enomoto K, Yagita H, Azuma M, Nakajima Y. Clinical significance and therapeutic potential of the programmed death-1 ligand/programmed death-1 pathway in human pancreatic cancer. </w:t>
      </w:r>
      <w:r w:rsidRPr="00E901BF">
        <w:rPr>
          <w:rFonts w:ascii="Book Antiqua" w:hAnsi="Book Antiqua"/>
          <w:i/>
          <w:sz w:val="24"/>
          <w:szCs w:val="24"/>
        </w:rPr>
        <w:t>Clin Cancer Res</w:t>
      </w:r>
      <w:r w:rsidRPr="00E901BF">
        <w:rPr>
          <w:rFonts w:ascii="Book Antiqua" w:hAnsi="Book Antiqua"/>
          <w:sz w:val="24"/>
          <w:szCs w:val="24"/>
        </w:rPr>
        <w:t xml:space="preserve"> 2007; </w:t>
      </w:r>
      <w:r w:rsidRPr="00E901BF">
        <w:rPr>
          <w:rFonts w:ascii="Book Antiqua" w:hAnsi="Book Antiqua"/>
          <w:b/>
          <w:sz w:val="24"/>
          <w:szCs w:val="24"/>
        </w:rPr>
        <w:t>13</w:t>
      </w:r>
      <w:r w:rsidRPr="00E901BF">
        <w:rPr>
          <w:rFonts w:ascii="Book Antiqua" w:hAnsi="Book Antiqua"/>
          <w:sz w:val="24"/>
          <w:szCs w:val="24"/>
        </w:rPr>
        <w:t>: 2151-2157 [PMID: 17404099 DOI: 10.1158/1078-0432.CCR-06-2746]</w:t>
      </w:r>
    </w:p>
    <w:p w14:paraId="416E2EDF"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60 </w:t>
      </w:r>
      <w:r w:rsidRPr="00E901BF">
        <w:rPr>
          <w:rFonts w:ascii="Book Antiqua" w:hAnsi="Book Antiqua"/>
          <w:b/>
          <w:sz w:val="24"/>
          <w:szCs w:val="24"/>
        </w:rPr>
        <w:t>Thind K</w:t>
      </w:r>
      <w:r w:rsidRPr="00E901BF">
        <w:rPr>
          <w:rFonts w:ascii="Book Antiqua" w:hAnsi="Book Antiqua"/>
          <w:sz w:val="24"/>
          <w:szCs w:val="24"/>
        </w:rPr>
        <w:t xml:space="preserve">, Padrnos LJ, Ramanathan RK, Borad MJ. Immunotherapy in pancreatic cancer treatment: a new frontier. </w:t>
      </w:r>
      <w:r w:rsidRPr="00E901BF">
        <w:rPr>
          <w:rFonts w:ascii="Book Antiqua" w:hAnsi="Book Antiqua"/>
          <w:i/>
          <w:sz w:val="24"/>
          <w:szCs w:val="24"/>
        </w:rPr>
        <w:t>Therap Adv Gastroenterol</w:t>
      </w:r>
      <w:r w:rsidRPr="00E901BF">
        <w:rPr>
          <w:rFonts w:ascii="Book Antiqua" w:hAnsi="Book Antiqua"/>
          <w:sz w:val="24"/>
          <w:szCs w:val="24"/>
        </w:rPr>
        <w:t xml:space="preserve"> 2017; </w:t>
      </w:r>
      <w:r w:rsidRPr="00E901BF">
        <w:rPr>
          <w:rFonts w:ascii="Book Antiqua" w:hAnsi="Book Antiqua"/>
          <w:b/>
          <w:sz w:val="24"/>
          <w:szCs w:val="24"/>
        </w:rPr>
        <w:t>10</w:t>
      </w:r>
      <w:r w:rsidRPr="00E901BF">
        <w:rPr>
          <w:rFonts w:ascii="Book Antiqua" w:hAnsi="Book Antiqua"/>
          <w:sz w:val="24"/>
          <w:szCs w:val="24"/>
        </w:rPr>
        <w:t>: 168-194 [PMID: 28286568 DOI: 10.1177/1756283X16667909]</w:t>
      </w:r>
    </w:p>
    <w:p w14:paraId="3B08E87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61 </w:t>
      </w:r>
      <w:r w:rsidRPr="00E901BF">
        <w:rPr>
          <w:rFonts w:ascii="Book Antiqua" w:hAnsi="Book Antiqua"/>
          <w:b/>
          <w:sz w:val="24"/>
          <w:szCs w:val="24"/>
        </w:rPr>
        <w:t>Aglietta M</w:t>
      </w:r>
      <w:r w:rsidRPr="00E901BF">
        <w:rPr>
          <w:rFonts w:ascii="Book Antiqua" w:hAnsi="Book Antiqua"/>
          <w:sz w:val="24"/>
          <w:szCs w:val="24"/>
        </w:rPr>
        <w:t xml:space="preserve">, Barone C, Sawyer MB, Moore MJ, Miller WH Jr, Bagalà C, Colombi F, Cagnazzo C, Gioeni L, Wang E, Huang B, Fly KD, Leone F. A phase I dose escalation trial of tremelimumab (CP-675,206) in combination with gemcitabine in chemotherapy-naive patients with metastatic pancreatic cancer. </w:t>
      </w:r>
      <w:r w:rsidRPr="00E901BF">
        <w:rPr>
          <w:rFonts w:ascii="Book Antiqua" w:hAnsi="Book Antiqua"/>
          <w:i/>
          <w:sz w:val="24"/>
          <w:szCs w:val="24"/>
        </w:rPr>
        <w:t>Ann Oncol</w:t>
      </w:r>
      <w:r w:rsidRPr="00E901BF">
        <w:rPr>
          <w:rFonts w:ascii="Book Antiqua" w:hAnsi="Book Antiqua"/>
          <w:sz w:val="24"/>
          <w:szCs w:val="24"/>
        </w:rPr>
        <w:t xml:space="preserve"> 2014; </w:t>
      </w:r>
      <w:r w:rsidRPr="00E901BF">
        <w:rPr>
          <w:rFonts w:ascii="Book Antiqua" w:hAnsi="Book Antiqua"/>
          <w:b/>
          <w:sz w:val="24"/>
          <w:szCs w:val="24"/>
        </w:rPr>
        <w:t>25</w:t>
      </w:r>
      <w:r w:rsidRPr="00E901BF">
        <w:rPr>
          <w:rFonts w:ascii="Book Antiqua" w:hAnsi="Book Antiqua"/>
          <w:sz w:val="24"/>
          <w:szCs w:val="24"/>
        </w:rPr>
        <w:t>: 1750-1755 [PMID: 24907635 DOI: 10.1093/annonc/mdu205]</w:t>
      </w:r>
    </w:p>
    <w:p w14:paraId="5FCC0E8D"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62 </w:t>
      </w:r>
      <w:r w:rsidRPr="00E901BF">
        <w:rPr>
          <w:rFonts w:ascii="Book Antiqua" w:hAnsi="Book Antiqua"/>
          <w:b/>
          <w:sz w:val="24"/>
          <w:szCs w:val="24"/>
        </w:rPr>
        <w:t>Thomas AM</w:t>
      </w:r>
      <w:r w:rsidRPr="00E901BF">
        <w:rPr>
          <w:rFonts w:ascii="Book Antiqua" w:hAnsi="Book Antiqua"/>
          <w:sz w:val="24"/>
          <w:szCs w:val="24"/>
        </w:rPr>
        <w:t xml:space="preserve">, Santarsiero LM, Lutz ER, Armstrong TD, Chen YC, Huang LQ, Laheru DA, Goggins M, Hruban RH, Jaffee EM. Mesothelin-specific CD8(+) T cell responses provide evidence of in vivo cross-priming by antigen-presenting cells in vaccinated pancreatic cancer patients. </w:t>
      </w:r>
      <w:r w:rsidRPr="00E901BF">
        <w:rPr>
          <w:rFonts w:ascii="Book Antiqua" w:hAnsi="Book Antiqua"/>
          <w:i/>
          <w:sz w:val="24"/>
          <w:szCs w:val="24"/>
        </w:rPr>
        <w:t>J Exp Med</w:t>
      </w:r>
      <w:r w:rsidRPr="00E901BF">
        <w:rPr>
          <w:rFonts w:ascii="Book Antiqua" w:hAnsi="Book Antiqua"/>
          <w:sz w:val="24"/>
          <w:szCs w:val="24"/>
        </w:rPr>
        <w:t xml:space="preserve"> 2004; </w:t>
      </w:r>
      <w:r w:rsidRPr="00E901BF">
        <w:rPr>
          <w:rFonts w:ascii="Book Antiqua" w:hAnsi="Book Antiqua"/>
          <w:b/>
          <w:sz w:val="24"/>
          <w:szCs w:val="24"/>
        </w:rPr>
        <w:t>200</w:t>
      </w:r>
      <w:r w:rsidRPr="00E901BF">
        <w:rPr>
          <w:rFonts w:ascii="Book Antiqua" w:hAnsi="Book Antiqua"/>
          <w:sz w:val="24"/>
          <w:szCs w:val="24"/>
        </w:rPr>
        <w:t>: 297-306 [PMID: 15289501 DOI: 10.1084/jem.20031435]</w:t>
      </w:r>
    </w:p>
    <w:p w14:paraId="32571CD4"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63 </w:t>
      </w:r>
      <w:r w:rsidRPr="00E901BF">
        <w:rPr>
          <w:rFonts w:ascii="Book Antiqua" w:hAnsi="Book Antiqua"/>
          <w:b/>
          <w:sz w:val="24"/>
          <w:szCs w:val="24"/>
        </w:rPr>
        <w:t>Jaffee EM</w:t>
      </w:r>
      <w:r w:rsidRPr="00E901BF">
        <w:rPr>
          <w:rFonts w:ascii="Book Antiqua" w:hAnsi="Book Antiqua"/>
          <w:sz w:val="24"/>
          <w:szCs w:val="24"/>
        </w:rPr>
        <w:t xml:space="preserve">, Hruban RH, Biedrzycki B, Laheru D, Schepers K, Sauter PR, Goemann M, Coleman J, Grochow L, Donehower RC, Lillemoe KD, O'Reilly S, Abrams RA, Pardoll DM, Cameron JL, Yeo CJ. Novel allogeneic granulocyte-macrophage colony-stimulating factor-secreting tumor vaccine for pancreatic cancer: a phase I trial of safety and immune activation. </w:t>
      </w:r>
      <w:r w:rsidRPr="00E901BF">
        <w:rPr>
          <w:rFonts w:ascii="Book Antiqua" w:hAnsi="Book Antiqua"/>
          <w:i/>
          <w:sz w:val="24"/>
          <w:szCs w:val="24"/>
        </w:rPr>
        <w:t>J Clin Oncol</w:t>
      </w:r>
      <w:r w:rsidRPr="00E901BF">
        <w:rPr>
          <w:rFonts w:ascii="Book Antiqua" w:hAnsi="Book Antiqua"/>
          <w:sz w:val="24"/>
          <w:szCs w:val="24"/>
        </w:rPr>
        <w:t xml:space="preserve"> 2001; </w:t>
      </w:r>
      <w:r w:rsidRPr="00E901BF">
        <w:rPr>
          <w:rFonts w:ascii="Book Antiqua" w:hAnsi="Book Antiqua"/>
          <w:b/>
          <w:sz w:val="24"/>
          <w:szCs w:val="24"/>
        </w:rPr>
        <w:t>19</w:t>
      </w:r>
      <w:r w:rsidRPr="00E901BF">
        <w:rPr>
          <w:rFonts w:ascii="Book Antiqua" w:hAnsi="Book Antiqua"/>
          <w:sz w:val="24"/>
          <w:szCs w:val="24"/>
        </w:rPr>
        <w:t>: 145-156 [PMID: 11134207 DOI: 10.1200/JCO.2001.19.1.145]</w:t>
      </w:r>
    </w:p>
    <w:p w14:paraId="52F9B02E"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64 </w:t>
      </w:r>
      <w:r w:rsidRPr="00E901BF">
        <w:rPr>
          <w:rFonts w:ascii="Book Antiqua" w:hAnsi="Book Antiqua"/>
          <w:b/>
          <w:sz w:val="24"/>
          <w:szCs w:val="24"/>
        </w:rPr>
        <w:t>Lutz E</w:t>
      </w:r>
      <w:r w:rsidRPr="00E901BF">
        <w:rPr>
          <w:rFonts w:ascii="Book Antiqua" w:hAnsi="Book Antiqua"/>
          <w:sz w:val="24"/>
          <w:szCs w:val="24"/>
        </w:rPr>
        <w:t xml:space="preserve">,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 </w:t>
      </w:r>
      <w:r w:rsidRPr="00E901BF">
        <w:rPr>
          <w:rFonts w:ascii="Book Antiqua" w:hAnsi="Book Antiqua"/>
          <w:i/>
          <w:sz w:val="24"/>
          <w:szCs w:val="24"/>
        </w:rPr>
        <w:t>Ann Surg</w:t>
      </w:r>
      <w:r w:rsidRPr="00E901BF">
        <w:rPr>
          <w:rFonts w:ascii="Book Antiqua" w:hAnsi="Book Antiqua"/>
          <w:sz w:val="24"/>
          <w:szCs w:val="24"/>
        </w:rPr>
        <w:t xml:space="preserve"> 2011; </w:t>
      </w:r>
      <w:r w:rsidRPr="00E901BF">
        <w:rPr>
          <w:rFonts w:ascii="Book Antiqua" w:hAnsi="Book Antiqua"/>
          <w:b/>
          <w:sz w:val="24"/>
          <w:szCs w:val="24"/>
        </w:rPr>
        <w:t>253</w:t>
      </w:r>
      <w:r w:rsidRPr="00E901BF">
        <w:rPr>
          <w:rFonts w:ascii="Book Antiqua" w:hAnsi="Book Antiqua"/>
          <w:sz w:val="24"/>
          <w:szCs w:val="24"/>
        </w:rPr>
        <w:t>: 328-335 [PMID: 21217520 DOI: 10.1097/SLA.0b013e3181fd271c]</w:t>
      </w:r>
    </w:p>
    <w:p w14:paraId="4FE8B345"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65 </w:t>
      </w:r>
      <w:r w:rsidRPr="00E901BF">
        <w:rPr>
          <w:rFonts w:ascii="Book Antiqua" w:hAnsi="Book Antiqua"/>
          <w:b/>
          <w:sz w:val="24"/>
          <w:szCs w:val="24"/>
        </w:rPr>
        <w:t>Laheru D</w:t>
      </w:r>
      <w:r w:rsidRPr="00E901BF">
        <w:rPr>
          <w:rFonts w:ascii="Book Antiqua" w:hAnsi="Book Antiqua"/>
          <w:sz w:val="24"/>
          <w:szCs w:val="24"/>
        </w:rPr>
        <w:t xml:space="preserve">,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sidRPr="00E901BF">
        <w:rPr>
          <w:rFonts w:ascii="Book Antiqua" w:hAnsi="Book Antiqua"/>
          <w:i/>
          <w:sz w:val="24"/>
          <w:szCs w:val="24"/>
        </w:rPr>
        <w:t>Clin Cancer Res</w:t>
      </w:r>
      <w:r w:rsidRPr="00E901BF">
        <w:rPr>
          <w:rFonts w:ascii="Book Antiqua" w:hAnsi="Book Antiqua"/>
          <w:sz w:val="24"/>
          <w:szCs w:val="24"/>
        </w:rPr>
        <w:t xml:space="preserve"> 2008; </w:t>
      </w:r>
      <w:r w:rsidRPr="00E901BF">
        <w:rPr>
          <w:rFonts w:ascii="Book Antiqua" w:hAnsi="Book Antiqua"/>
          <w:b/>
          <w:sz w:val="24"/>
          <w:szCs w:val="24"/>
        </w:rPr>
        <w:t>14</w:t>
      </w:r>
      <w:r w:rsidRPr="00E901BF">
        <w:rPr>
          <w:rFonts w:ascii="Book Antiqua" w:hAnsi="Book Antiqua"/>
          <w:sz w:val="24"/>
          <w:szCs w:val="24"/>
        </w:rPr>
        <w:t>: 1455-1463 [PMID: 18316569 DOI: 10.1158/1078-0432.CCR-07-0371]</w:t>
      </w:r>
    </w:p>
    <w:p w14:paraId="2D3240C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66 </w:t>
      </w:r>
      <w:r w:rsidRPr="00E901BF">
        <w:rPr>
          <w:rFonts w:ascii="Book Antiqua" w:hAnsi="Book Antiqua"/>
          <w:b/>
          <w:sz w:val="24"/>
          <w:szCs w:val="24"/>
        </w:rPr>
        <w:t>Le DT</w:t>
      </w:r>
      <w:r w:rsidRPr="00E901BF">
        <w:rPr>
          <w:rFonts w:ascii="Book Antiqua" w:hAnsi="Book Antiqua"/>
          <w:sz w:val="24"/>
          <w:szCs w:val="24"/>
        </w:rPr>
        <w:t xml:space="preserve">, Lutz E, Uram JN, Sugar EA, Onners B, Solt S, Zheng L, Diaz LA Jr, Donehower RC, Jaffee EM, Laheru DA. Evaluation of ipilimumab in combination with allogeneic pancreatic tumor cells transfected with a GM-CSF gene in previously treated pancreatic cancer. </w:t>
      </w:r>
      <w:r w:rsidRPr="00E901BF">
        <w:rPr>
          <w:rFonts w:ascii="Book Antiqua" w:hAnsi="Book Antiqua"/>
          <w:i/>
          <w:sz w:val="24"/>
          <w:szCs w:val="24"/>
        </w:rPr>
        <w:t>J Immunother</w:t>
      </w:r>
      <w:r w:rsidRPr="00E901BF">
        <w:rPr>
          <w:rFonts w:ascii="Book Antiqua" w:hAnsi="Book Antiqua"/>
          <w:sz w:val="24"/>
          <w:szCs w:val="24"/>
        </w:rPr>
        <w:t xml:space="preserve"> 2013; </w:t>
      </w:r>
      <w:r w:rsidRPr="00E901BF">
        <w:rPr>
          <w:rFonts w:ascii="Book Antiqua" w:hAnsi="Book Antiqua"/>
          <w:b/>
          <w:sz w:val="24"/>
          <w:szCs w:val="24"/>
        </w:rPr>
        <w:t>36</w:t>
      </w:r>
      <w:r w:rsidRPr="00E901BF">
        <w:rPr>
          <w:rFonts w:ascii="Book Antiqua" w:hAnsi="Book Antiqua"/>
          <w:sz w:val="24"/>
          <w:szCs w:val="24"/>
        </w:rPr>
        <w:t>: 382-389 [PMID: 23924790 DOI: 10.1097/CJI.0b013e31829fb7a2]</w:t>
      </w:r>
    </w:p>
    <w:p w14:paraId="7BEAC1B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67 </w:t>
      </w:r>
      <w:r w:rsidRPr="00E901BF">
        <w:rPr>
          <w:rFonts w:ascii="Book Antiqua" w:hAnsi="Book Antiqua"/>
          <w:b/>
          <w:sz w:val="24"/>
          <w:szCs w:val="24"/>
        </w:rPr>
        <w:t>Maude SL</w:t>
      </w:r>
      <w:r w:rsidRPr="00E901BF">
        <w:rPr>
          <w:rFonts w:ascii="Book Antiqua" w:hAnsi="Book Antiqua"/>
          <w:sz w:val="24"/>
          <w:szCs w:val="24"/>
        </w:rPr>
        <w:t xml:space="preserve">, Frey N, Shaw PA, Aplenc R, Barrett DM, Bunin NJ, Chew A, Gonzalez VE, Zheng Z, Lacey SF, Mahnke YD, Melenhorst JJ, Rheingold SR, Shen A, Teachey DT, Levine BL, June CH, Porter DL, Grupp SA. Chimeric antigen receptor T cells for sustained remissions in leukemia. </w:t>
      </w:r>
      <w:r w:rsidRPr="00E901BF">
        <w:rPr>
          <w:rFonts w:ascii="Book Antiqua" w:hAnsi="Book Antiqua"/>
          <w:i/>
          <w:sz w:val="24"/>
          <w:szCs w:val="24"/>
        </w:rPr>
        <w:t>N Engl J Med</w:t>
      </w:r>
      <w:r w:rsidRPr="00E901BF">
        <w:rPr>
          <w:rFonts w:ascii="Book Antiqua" w:hAnsi="Book Antiqua"/>
          <w:sz w:val="24"/>
          <w:szCs w:val="24"/>
        </w:rPr>
        <w:t xml:space="preserve"> 2014; </w:t>
      </w:r>
      <w:r w:rsidRPr="00E901BF">
        <w:rPr>
          <w:rFonts w:ascii="Book Antiqua" w:hAnsi="Book Antiqua"/>
          <w:b/>
          <w:sz w:val="24"/>
          <w:szCs w:val="24"/>
        </w:rPr>
        <w:t>371</w:t>
      </w:r>
      <w:r w:rsidRPr="00E901BF">
        <w:rPr>
          <w:rFonts w:ascii="Book Antiqua" w:hAnsi="Book Antiqua"/>
          <w:sz w:val="24"/>
          <w:szCs w:val="24"/>
        </w:rPr>
        <w:t>: 1507-1517 [PMID: 25317870 DOI: 10.1056/NEJMoa1407222]</w:t>
      </w:r>
    </w:p>
    <w:p w14:paraId="78158920"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68 </w:t>
      </w:r>
      <w:r w:rsidRPr="00E901BF">
        <w:rPr>
          <w:rFonts w:ascii="Book Antiqua" w:hAnsi="Book Antiqua"/>
          <w:b/>
          <w:sz w:val="24"/>
          <w:szCs w:val="24"/>
        </w:rPr>
        <w:t>Beatty GL</w:t>
      </w:r>
      <w:r w:rsidRPr="00E901BF">
        <w:rPr>
          <w:rFonts w:ascii="Book Antiqua" w:hAnsi="Book Antiqua"/>
          <w:sz w:val="24"/>
          <w:szCs w:val="24"/>
        </w:rPr>
        <w:t xml:space="preserve">. Engineered chimeric antigen receptor-expressing T cells for the treatment of pancreatic ductal adenocarcinoma. </w:t>
      </w:r>
      <w:r w:rsidRPr="00E901BF">
        <w:rPr>
          <w:rFonts w:ascii="Book Antiqua" w:hAnsi="Book Antiqua"/>
          <w:i/>
          <w:sz w:val="24"/>
          <w:szCs w:val="24"/>
        </w:rPr>
        <w:t>Oncoimmunology</w:t>
      </w:r>
      <w:r w:rsidRPr="00E901BF">
        <w:rPr>
          <w:rFonts w:ascii="Book Antiqua" w:hAnsi="Book Antiqua"/>
          <w:sz w:val="24"/>
          <w:szCs w:val="24"/>
        </w:rPr>
        <w:t xml:space="preserve"> 2014; </w:t>
      </w:r>
      <w:r w:rsidRPr="00E901BF">
        <w:rPr>
          <w:rFonts w:ascii="Book Antiqua" w:hAnsi="Book Antiqua"/>
          <w:b/>
          <w:sz w:val="24"/>
          <w:szCs w:val="24"/>
        </w:rPr>
        <w:t>3</w:t>
      </w:r>
      <w:r w:rsidRPr="00E901BF">
        <w:rPr>
          <w:rFonts w:ascii="Book Antiqua" w:hAnsi="Book Antiqua"/>
          <w:sz w:val="24"/>
          <w:szCs w:val="24"/>
        </w:rPr>
        <w:t>: e28327 [PMID: 25050204 DOI: 10.4161/onci.28327]</w:t>
      </w:r>
    </w:p>
    <w:p w14:paraId="6D3A8B21"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69 </w:t>
      </w:r>
      <w:r w:rsidRPr="00E901BF">
        <w:rPr>
          <w:rFonts w:ascii="Book Antiqua" w:hAnsi="Book Antiqua"/>
          <w:b/>
          <w:sz w:val="24"/>
          <w:szCs w:val="24"/>
        </w:rPr>
        <w:t>Beatty GL</w:t>
      </w:r>
      <w:r w:rsidRPr="00E901BF">
        <w:rPr>
          <w:rFonts w:ascii="Book Antiqua" w:hAnsi="Book Antiqua"/>
          <w:sz w:val="24"/>
          <w:szCs w:val="24"/>
        </w:rPr>
        <w:t xml:space="preserve">, Chiorean EG, Fishman MP, Saboury B, Teitelbaum UR, Sun W, Huhn RD, Song W, Li D, Sharp LL, Torigian DA, O'Dwyer PJ, Vonderheide RH. CD40 agonists alter tumor stroma and show efficacy against pancreatic carcinoma in mice and humans. </w:t>
      </w:r>
      <w:r w:rsidRPr="00E901BF">
        <w:rPr>
          <w:rFonts w:ascii="Book Antiqua" w:hAnsi="Book Antiqua"/>
          <w:i/>
          <w:sz w:val="24"/>
          <w:szCs w:val="24"/>
        </w:rPr>
        <w:t>Science</w:t>
      </w:r>
      <w:r w:rsidRPr="00E901BF">
        <w:rPr>
          <w:rFonts w:ascii="Book Antiqua" w:hAnsi="Book Antiqua"/>
          <w:sz w:val="24"/>
          <w:szCs w:val="24"/>
        </w:rPr>
        <w:t xml:space="preserve"> 2011; </w:t>
      </w:r>
      <w:r w:rsidRPr="00E901BF">
        <w:rPr>
          <w:rFonts w:ascii="Book Antiqua" w:hAnsi="Book Antiqua"/>
          <w:b/>
          <w:sz w:val="24"/>
          <w:szCs w:val="24"/>
        </w:rPr>
        <w:t>331</w:t>
      </w:r>
      <w:r w:rsidRPr="00E901BF">
        <w:rPr>
          <w:rFonts w:ascii="Book Antiqua" w:hAnsi="Book Antiqua"/>
          <w:sz w:val="24"/>
          <w:szCs w:val="24"/>
        </w:rPr>
        <w:t>: 1612-1616 [PMID: 21436454 DOI: 10.1126/science.1198443]</w:t>
      </w:r>
    </w:p>
    <w:p w14:paraId="79F87097"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lastRenderedPageBreak/>
        <w:t xml:space="preserve">70 </w:t>
      </w:r>
      <w:r w:rsidRPr="00E901BF">
        <w:rPr>
          <w:rFonts w:ascii="Book Antiqua" w:hAnsi="Book Antiqua"/>
          <w:b/>
          <w:sz w:val="24"/>
          <w:szCs w:val="24"/>
        </w:rPr>
        <w:t>Beatty GL</w:t>
      </w:r>
      <w:r w:rsidRPr="00E901BF">
        <w:rPr>
          <w:rFonts w:ascii="Book Antiqua" w:hAnsi="Book Antiqua"/>
          <w:sz w:val="24"/>
          <w:szCs w:val="24"/>
        </w:rPr>
        <w:t xml:space="preserve">,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E901BF">
        <w:rPr>
          <w:rFonts w:ascii="Book Antiqua" w:hAnsi="Book Antiqua"/>
          <w:i/>
          <w:sz w:val="24"/>
          <w:szCs w:val="24"/>
        </w:rPr>
        <w:t>Clin Cancer Res</w:t>
      </w:r>
      <w:r w:rsidRPr="00E901BF">
        <w:rPr>
          <w:rFonts w:ascii="Book Antiqua" w:hAnsi="Book Antiqua"/>
          <w:sz w:val="24"/>
          <w:szCs w:val="24"/>
        </w:rPr>
        <w:t xml:space="preserve"> 2013; </w:t>
      </w:r>
      <w:r w:rsidRPr="00E901BF">
        <w:rPr>
          <w:rFonts w:ascii="Book Antiqua" w:hAnsi="Book Antiqua"/>
          <w:b/>
          <w:sz w:val="24"/>
          <w:szCs w:val="24"/>
        </w:rPr>
        <w:t>19</w:t>
      </w:r>
      <w:r w:rsidRPr="00E901BF">
        <w:rPr>
          <w:rFonts w:ascii="Book Antiqua" w:hAnsi="Book Antiqua"/>
          <w:sz w:val="24"/>
          <w:szCs w:val="24"/>
        </w:rPr>
        <w:t>: 6286-6295 [PMID: 23983255 DOI: 10.1158/1078-0432.CCR-13-1320]</w:t>
      </w:r>
    </w:p>
    <w:p w14:paraId="4B043795" w14:textId="77777777" w:rsidR="00C201BE" w:rsidRPr="00E901BF" w:rsidRDefault="00C201BE" w:rsidP="00E901BF">
      <w:pPr>
        <w:spacing w:after="0" w:line="360" w:lineRule="auto"/>
        <w:jc w:val="both"/>
        <w:rPr>
          <w:rFonts w:ascii="Book Antiqua" w:hAnsi="Book Antiqua"/>
          <w:sz w:val="24"/>
          <w:szCs w:val="24"/>
        </w:rPr>
      </w:pPr>
      <w:r w:rsidRPr="00E901BF">
        <w:rPr>
          <w:rFonts w:ascii="Book Antiqua" w:hAnsi="Book Antiqua"/>
          <w:sz w:val="24"/>
          <w:szCs w:val="24"/>
        </w:rPr>
        <w:t xml:space="preserve">71 </w:t>
      </w:r>
      <w:r w:rsidRPr="00E901BF">
        <w:rPr>
          <w:rFonts w:ascii="Book Antiqua" w:hAnsi="Book Antiqua"/>
          <w:b/>
          <w:sz w:val="24"/>
          <w:szCs w:val="24"/>
        </w:rPr>
        <w:t>Nywening TM</w:t>
      </w:r>
      <w:r w:rsidRPr="00E901BF">
        <w:rPr>
          <w:rFonts w:ascii="Book Antiqua" w:hAnsi="Book Antiqua"/>
          <w:sz w:val="24"/>
          <w:szCs w:val="24"/>
        </w:rPr>
        <w:t xml:space="preserve">, Wang-Gillam A, Sanford DE, Belt BA, Panni RZ, Cusworth BM, Toriola AT, Nieman RK, Worley LA, Yano M, Fowler KJ, Lockhart AC, Suresh R, Tan BR, Lim KH, Fields RC, Strasberg SM, Hawkins WG, DeNardo DG, Goedegebuure SP, Linehan DC. Targeting tumour-associated macrophages with CCR2 inhibition in combination with FOLFIRINOX in patients with borderline resectable and locally advanced pancreatic cancer: a single-centre, open-label, dose-finding, non-randomised, phase 1b trial. </w:t>
      </w:r>
      <w:r w:rsidRPr="00E901BF">
        <w:rPr>
          <w:rFonts w:ascii="Book Antiqua" w:hAnsi="Book Antiqua"/>
          <w:i/>
          <w:sz w:val="24"/>
          <w:szCs w:val="24"/>
        </w:rPr>
        <w:t>Lancet Oncol</w:t>
      </w:r>
      <w:r w:rsidRPr="00E901BF">
        <w:rPr>
          <w:rFonts w:ascii="Book Antiqua" w:hAnsi="Book Antiqua"/>
          <w:sz w:val="24"/>
          <w:szCs w:val="24"/>
        </w:rPr>
        <w:t xml:space="preserve"> 2016; </w:t>
      </w:r>
      <w:r w:rsidRPr="00E901BF">
        <w:rPr>
          <w:rFonts w:ascii="Book Antiqua" w:hAnsi="Book Antiqua"/>
          <w:b/>
          <w:sz w:val="24"/>
          <w:szCs w:val="24"/>
        </w:rPr>
        <w:t>17</w:t>
      </w:r>
      <w:r w:rsidRPr="00E901BF">
        <w:rPr>
          <w:rFonts w:ascii="Book Antiqua" w:hAnsi="Book Antiqua"/>
          <w:sz w:val="24"/>
          <w:szCs w:val="24"/>
        </w:rPr>
        <w:t>: 651-662 [PMID: 27055731 DOI: 10.1016/S1470-2045(16)00078-4]</w:t>
      </w:r>
    </w:p>
    <w:p w14:paraId="13118A6B" w14:textId="0CE0E103" w:rsidR="00C201BE" w:rsidRPr="00E901BF" w:rsidRDefault="00C201BE" w:rsidP="00E901BF">
      <w:pPr>
        <w:spacing w:after="0" w:line="360" w:lineRule="auto"/>
        <w:jc w:val="both"/>
        <w:rPr>
          <w:rFonts w:ascii="Book Antiqua" w:hAnsi="Book Antiqua" w:cs="Times New Roman"/>
          <w:sz w:val="24"/>
          <w:szCs w:val="24"/>
          <w:lang w:val="en-US"/>
        </w:rPr>
      </w:pPr>
      <w:r w:rsidRPr="00E901BF">
        <w:rPr>
          <w:rFonts w:ascii="Book Antiqua" w:hAnsi="Book Antiqua" w:cs="Times New Roman"/>
          <w:sz w:val="24"/>
          <w:szCs w:val="24"/>
          <w:lang w:val="en-US"/>
        </w:rPr>
        <w:br w:type="page"/>
      </w:r>
    </w:p>
    <w:p w14:paraId="535D5B5A" w14:textId="77777777" w:rsidR="00C201BE" w:rsidRPr="00E901BF" w:rsidRDefault="00C201BE" w:rsidP="00E901BF">
      <w:pPr>
        <w:adjustRightInd w:val="0"/>
        <w:snapToGrid w:val="0"/>
        <w:spacing w:after="0" w:line="360" w:lineRule="auto"/>
        <w:jc w:val="both"/>
        <w:rPr>
          <w:rFonts w:ascii="Book Antiqua" w:hAnsi="Book Antiqua"/>
          <w:b/>
          <w:sz w:val="24"/>
          <w:szCs w:val="24"/>
        </w:rPr>
      </w:pPr>
      <w:r w:rsidRPr="00E901BF">
        <w:rPr>
          <w:rFonts w:ascii="Book Antiqua" w:hAnsi="Book Antiqua"/>
          <w:b/>
          <w:sz w:val="24"/>
          <w:szCs w:val="24"/>
        </w:rPr>
        <w:lastRenderedPageBreak/>
        <w:t>Footnotes</w:t>
      </w:r>
    </w:p>
    <w:p w14:paraId="2159B14C" w14:textId="261D2E84" w:rsidR="00C201BE" w:rsidRPr="00E901BF" w:rsidRDefault="00C201BE" w:rsidP="00E901BF">
      <w:pPr>
        <w:spacing w:after="0" w:line="360" w:lineRule="auto"/>
        <w:jc w:val="both"/>
        <w:rPr>
          <w:rFonts w:ascii="Book Antiqua" w:hAnsi="Book Antiqua" w:cs="Arial"/>
          <w:sz w:val="24"/>
          <w:szCs w:val="24"/>
        </w:rPr>
      </w:pPr>
      <w:r w:rsidRPr="00E901BF">
        <w:rPr>
          <w:rFonts w:ascii="Book Antiqua" w:hAnsi="Book Antiqua"/>
          <w:b/>
          <w:color w:val="000000"/>
          <w:sz w:val="24"/>
          <w:szCs w:val="24"/>
        </w:rPr>
        <w:t>Conflict-of-interest statement</w:t>
      </w:r>
      <w:r w:rsidRPr="00E901BF">
        <w:rPr>
          <w:rFonts w:ascii="Book Antiqua" w:hAnsi="Book Antiqua"/>
          <w:b/>
          <w:sz w:val="24"/>
          <w:szCs w:val="24"/>
        </w:rPr>
        <w:t xml:space="preserve">: </w:t>
      </w:r>
      <w:r w:rsidRPr="00E901BF">
        <w:rPr>
          <w:rFonts w:ascii="Book Antiqua" w:hAnsi="Book Antiqua" w:cs="Arial"/>
          <w:sz w:val="24"/>
          <w:szCs w:val="24"/>
        </w:rPr>
        <w:t>No potential conflicts of interest.</w:t>
      </w:r>
    </w:p>
    <w:p w14:paraId="488E39E5" w14:textId="77777777" w:rsidR="00C201BE" w:rsidRPr="00E901BF" w:rsidRDefault="00C201BE" w:rsidP="00E901BF">
      <w:pPr>
        <w:spacing w:after="0" w:line="360" w:lineRule="auto"/>
        <w:jc w:val="both"/>
        <w:rPr>
          <w:rFonts w:ascii="Book Antiqua" w:hAnsi="Book Antiqua"/>
          <w:b/>
          <w:color w:val="000000"/>
          <w:sz w:val="24"/>
          <w:szCs w:val="24"/>
          <w:lang w:eastAsia="zh-CN"/>
        </w:rPr>
      </w:pPr>
    </w:p>
    <w:p w14:paraId="08F37E3D" w14:textId="77777777" w:rsidR="00C201BE" w:rsidRPr="00E901BF" w:rsidRDefault="00C201BE" w:rsidP="00E901BF">
      <w:pPr>
        <w:spacing w:after="0" w:line="360" w:lineRule="auto"/>
        <w:jc w:val="both"/>
        <w:rPr>
          <w:rFonts w:ascii="Book Antiqua" w:hAnsi="Book Antiqua" w:cs="SimSun"/>
          <w:color w:val="000000"/>
          <w:sz w:val="24"/>
          <w:szCs w:val="24"/>
          <w:lang w:eastAsia="zh-CN"/>
        </w:rPr>
      </w:pPr>
      <w:bookmarkStart w:id="7" w:name="OLE_LINK507"/>
      <w:bookmarkStart w:id="8" w:name="OLE_LINK506"/>
      <w:bookmarkStart w:id="9" w:name="OLE_LINK496"/>
      <w:bookmarkStart w:id="10" w:name="OLE_LINK479"/>
      <w:r w:rsidRPr="00E901BF">
        <w:rPr>
          <w:rFonts w:ascii="Book Antiqua" w:hAnsi="Book Antiqua" w:cs="SimSun"/>
          <w:b/>
          <w:color w:val="000000"/>
          <w:sz w:val="24"/>
          <w:szCs w:val="24"/>
          <w:lang w:eastAsia="zh-CN"/>
        </w:rPr>
        <w:t xml:space="preserve">Open-Access: </w:t>
      </w:r>
      <w:r w:rsidRPr="00E901BF">
        <w:rPr>
          <w:rFonts w:ascii="Book Antiqua" w:hAnsi="Book Antiqua" w:cs="SimSun"/>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bookmarkEnd w:id="10"/>
    </w:p>
    <w:p w14:paraId="003EA489" w14:textId="77777777" w:rsidR="00C201BE" w:rsidRPr="00E901BF" w:rsidRDefault="00C201BE" w:rsidP="00E901BF">
      <w:pPr>
        <w:spacing w:after="0" w:line="360" w:lineRule="auto"/>
        <w:jc w:val="both"/>
        <w:rPr>
          <w:rFonts w:ascii="Book Antiqua" w:hAnsi="Book Antiqua"/>
          <w:sz w:val="24"/>
          <w:szCs w:val="24"/>
        </w:rPr>
      </w:pPr>
    </w:p>
    <w:p w14:paraId="7E3ABBFC" w14:textId="340CFC46" w:rsidR="00C201BE" w:rsidRPr="00E901BF" w:rsidRDefault="00C201BE" w:rsidP="00E901BF">
      <w:pPr>
        <w:adjustRightInd w:val="0"/>
        <w:snapToGrid w:val="0"/>
        <w:spacing w:after="0" w:line="360" w:lineRule="auto"/>
        <w:jc w:val="both"/>
        <w:rPr>
          <w:rFonts w:ascii="Book Antiqua" w:hAnsi="Book Antiqua"/>
          <w:bCs/>
          <w:color w:val="000000"/>
          <w:sz w:val="24"/>
          <w:szCs w:val="24"/>
          <w:lang w:eastAsia="zh-CN"/>
        </w:rPr>
      </w:pPr>
      <w:r w:rsidRPr="00E901BF">
        <w:rPr>
          <w:rFonts w:ascii="Book Antiqua" w:hAnsi="Book Antiqua"/>
          <w:b/>
          <w:bCs/>
          <w:color w:val="000000"/>
          <w:sz w:val="24"/>
          <w:szCs w:val="24"/>
          <w:lang w:eastAsia="pl-PL"/>
        </w:rPr>
        <w:t>Manuscript source:</w:t>
      </w:r>
      <w:r w:rsidRPr="00E901BF">
        <w:rPr>
          <w:rFonts w:ascii="Book Antiqua" w:hAnsi="Book Antiqua"/>
          <w:b/>
          <w:bCs/>
          <w:color w:val="000000"/>
          <w:sz w:val="24"/>
          <w:szCs w:val="24"/>
          <w:lang w:eastAsia="zh-CN"/>
        </w:rPr>
        <w:t xml:space="preserve"> </w:t>
      </w:r>
      <w:r w:rsidRPr="00E901BF">
        <w:rPr>
          <w:rFonts w:ascii="Book Antiqua" w:hAnsi="Book Antiqua"/>
          <w:bCs/>
          <w:color w:val="000000"/>
          <w:sz w:val="24"/>
          <w:szCs w:val="24"/>
          <w:lang w:eastAsia="zh-CN"/>
        </w:rPr>
        <w:t>Invited</w:t>
      </w:r>
      <w:r w:rsidRPr="00E901BF">
        <w:rPr>
          <w:rFonts w:ascii="Book Antiqua" w:hAnsi="Book Antiqua"/>
          <w:bCs/>
          <w:color w:val="000000"/>
          <w:sz w:val="24"/>
          <w:szCs w:val="24"/>
          <w:lang w:eastAsia="pl-PL"/>
        </w:rPr>
        <w:t xml:space="preserve"> manuscript</w:t>
      </w:r>
    </w:p>
    <w:p w14:paraId="2E4AB6CC" w14:textId="77777777" w:rsidR="00C201BE" w:rsidRPr="00E901BF" w:rsidRDefault="00C201BE" w:rsidP="00E901BF">
      <w:pPr>
        <w:adjustRightInd w:val="0"/>
        <w:snapToGrid w:val="0"/>
        <w:spacing w:after="0" w:line="360" w:lineRule="auto"/>
        <w:jc w:val="both"/>
        <w:rPr>
          <w:rFonts w:ascii="Book Antiqua" w:hAnsi="Book Antiqua"/>
          <w:b/>
          <w:bCs/>
          <w:color w:val="000000"/>
          <w:sz w:val="24"/>
          <w:szCs w:val="24"/>
          <w:lang w:eastAsia="zh-CN"/>
        </w:rPr>
      </w:pPr>
    </w:p>
    <w:p w14:paraId="42B77933" w14:textId="0771DD32" w:rsidR="00C201BE" w:rsidRPr="00E901BF" w:rsidRDefault="00C201BE" w:rsidP="00E901BF">
      <w:pPr>
        <w:spacing w:after="0" w:line="360" w:lineRule="auto"/>
        <w:jc w:val="both"/>
        <w:rPr>
          <w:rFonts w:ascii="Book Antiqua" w:hAnsi="Book Antiqua"/>
          <w:b/>
          <w:sz w:val="24"/>
          <w:szCs w:val="24"/>
        </w:rPr>
      </w:pPr>
      <w:r w:rsidRPr="00E901BF">
        <w:rPr>
          <w:rFonts w:ascii="Book Antiqua" w:hAnsi="Book Antiqua"/>
          <w:b/>
          <w:sz w:val="24"/>
          <w:szCs w:val="24"/>
        </w:rPr>
        <w:t>Peer-review started:</w:t>
      </w:r>
      <w:r w:rsidRPr="00E901BF">
        <w:rPr>
          <w:rFonts w:ascii="Book Antiqua" w:hAnsi="Book Antiqua"/>
          <w:sz w:val="24"/>
          <w:szCs w:val="24"/>
          <w:lang w:eastAsia="zh-CN"/>
        </w:rPr>
        <w:t xml:space="preserve"> April 3, 2019</w:t>
      </w:r>
    </w:p>
    <w:p w14:paraId="13B17983" w14:textId="6193721F" w:rsidR="00C201BE" w:rsidRPr="00E901BF" w:rsidRDefault="00C201BE" w:rsidP="00E901BF">
      <w:pPr>
        <w:spacing w:after="0" w:line="360" w:lineRule="auto"/>
        <w:jc w:val="both"/>
        <w:rPr>
          <w:rFonts w:ascii="Book Antiqua" w:hAnsi="Book Antiqua"/>
          <w:sz w:val="24"/>
          <w:szCs w:val="24"/>
          <w:lang w:eastAsia="zh-CN"/>
        </w:rPr>
      </w:pPr>
      <w:bookmarkStart w:id="11" w:name="OLE_LINK21"/>
      <w:bookmarkStart w:id="12" w:name="OLE_LINK22"/>
      <w:r w:rsidRPr="00E901BF">
        <w:rPr>
          <w:rFonts w:ascii="Book Antiqua" w:hAnsi="Book Antiqua"/>
          <w:b/>
          <w:sz w:val="24"/>
          <w:szCs w:val="24"/>
        </w:rPr>
        <w:t>First decision:</w:t>
      </w:r>
      <w:r w:rsidRPr="00E901BF">
        <w:rPr>
          <w:rFonts w:ascii="Book Antiqua" w:hAnsi="Book Antiqua"/>
          <w:b/>
          <w:sz w:val="24"/>
          <w:szCs w:val="24"/>
          <w:lang w:eastAsia="zh-CN"/>
        </w:rPr>
        <w:t xml:space="preserve"> </w:t>
      </w:r>
      <w:r w:rsidRPr="00E901BF">
        <w:rPr>
          <w:rFonts w:ascii="Book Antiqua" w:hAnsi="Book Antiqua"/>
          <w:sz w:val="24"/>
          <w:szCs w:val="24"/>
          <w:lang w:eastAsia="zh-CN"/>
        </w:rPr>
        <w:t>November 11, 2019</w:t>
      </w:r>
    </w:p>
    <w:bookmarkEnd w:id="11"/>
    <w:bookmarkEnd w:id="12"/>
    <w:p w14:paraId="1A8F6438" w14:textId="77777777" w:rsidR="00C201BE" w:rsidRPr="00E901BF" w:rsidRDefault="00C201BE" w:rsidP="00E901BF">
      <w:pPr>
        <w:spacing w:after="0" w:line="360" w:lineRule="auto"/>
        <w:jc w:val="both"/>
        <w:rPr>
          <w:rFonts w:ascii="Book Antiqua" w:hAnsi="Book Antiqua"/>
          <w:b/>
          <w:sz w:val="24"/>
          <w:szCs w:val="24"/>
        </w:rPr>
      </w:pPr>
      <w:r w:rsidRPr="00E901BF">
        <w:rPr>
          <w:rFonts w:ascii="Book Antiqua" w:hAnsi="Book Antiqua"/>
          <w:b/>
          <w:sz w:val="24"/>
          <w:szCs w:val="24"/>
        </w:rPr>
        <w:t>Article in press:</w:t>
      </w:r>
    </w:p>
    <w:p w14:paraId="0A0472B7" w14:textId="77777777" w:rsidR="00C201BE" w:rsidRPr="00E901BF" w:rsidRDefault="00C201BE" w:rsidP="00E901BF">
      <w:pPr>
        <w:adjustRightInd w:val="0"/>
        <w:snapToGrid w:val="0"/>
        <w:spacing w:after="0" w:line="360" w:lineRule="auto"/>
        <w:ind w:right="239"/>
        <w:jc w:val="both"/>
        <w:rPr>
          <w:rStyle w:val="Strong"/>
          <w:rFonts w:ascii="Book Antiqua" w:hAnsi="Book Antiqua" w:cs="Arial"/>
          <w:noProof/>
          <w:sz w:val="24"/>
          <w:szCs w:val="24"/>
          <w:lang w:eastAsia="zh-CN"/>
        </w:rPr>
      </w:pPr>
    </w:p>
    <w:p w14:paraId="67B19D10" w14:textId="196CDEB0" w:rsidR="00C201BE" w:rsidRPr="00E901BF" w:rsidRDefault="00C201BE" w:rsidP="00E901BF">
      <w:pPr>
        <w:widowControl w:val="0"/>
        <w:adjustRightInd w:val="0"/>
        <w:snapToGrid w:val="0"/>
        <w:spacing w:after="0" w:line="360" w:lineRule="auto"/>
        <w:jc w:val="both"/>
        <w:rPr>
          <w:rFonts w:ascii="Book Antiqua" w:eastAsia="Microsoft YaHei" w:hAnsi="Book Antiqua" w:cs="SimSun"/>
          <w:sz w:val="24"/>
          <w:szCs w:val="24"/>
          <w:lang w:eastAsia="zh-CN"/>
        </w:rPr>
      </w:pPr>
      <w:r w:rsidRPr="00E901BF">
        <w:rPr>
          <w:rFonts w:ascii="Book Antiqua" w:hAnsi="Book Antiqua" w:cs="SimSun"/>
          <w:b/>
          <w:sz w:val="24"/>
          <w:szCs w:val="24"/>
          <w:lang w:eastAsia="zh-CN"/>
        </w:rPr>
        <w:t xml:space="preserve">Specialty type: </w:t>
      </w:r>
      <w:r w:rsidRPr="00E901BF">
        <w:rPr>
          <w:rFonts w:ascii="Book Antiqua" w:eastAsia="Microsoft YaHei" w:hAnsi="Book Antiqua" w:cs="SimSun"/>
          <w:sz w:val="24"/>
          <w:szCs w:val="24"/>
        </w:rPr>
        <w:t>Oncology</w:t>
      </w:r>
    </w:p>
    <w:p w14:paraId="23E34CB3" w14:textId="36735FF0" w:rsidR="00C201BE" w:rsidRPr="00E901BF" w:rsidRDefault="00C201BE" w:rsidP="00E901BF">
      <w:pPr>
        <w:widowControl w:val="0"/>
        <w:adjustRightInd w:val="0"/>
        <w:snapToGrid w:val="0"/>
        <w:spacing w:after="0" w:line="360" w:lineRule="auto"/>
        <w:jc w:val="both"/>
        <w:rPr>
          <w:rFonts w:ascii="Book Antiqua" w:hAnsi="Book Antiqua" w:cs="SimSun"/>
          <w:sz w:val="24"/>
          <w:szCs w:val="24"/>
          <w:lang w:eastAsia="zh-CN"/>
        </w:rPr>
      </w:pPr>
      <w:r w:rsidRPr="00E901BF">
        <w:rPr>
          <w:rFonts w:ascii="Book Antiqua" w:hAnsi="Book Antiqua" w:cs="SimSun"/>
          <w:b/>
          <w:sz w:val="24"/>
          <w:szCs w:val="24"/>
          <w:lang w:eastAsia="zh-CN"/>
        </w:rPr>
        <w:t xml:space="preserve">Country of origin: </w:t>
      </w:r>
      <w:r w:rsidRPr="00E901BF">
        <w:rPr>
          <w:rFonts w:ascii="Book Antiqua" w:hAnsi="Book Antiqua" w:cs="SimSun"/>
          <w:sz w:val="24"/>
          <w:szCs w:val="24"/>
          <w:lang w:eastAsia="zh-CN"/>
        </w:rPr>
        <w:t>Greece</w:t>
      </w:r>
    </w:p>
    <w:p w14:paraId="6202395B" w14:textId="77777777" w:rsidR="00C201BE" w:rsidRPr="00E901BF" w:rsidRDefault="00C201BE" w:rsidP="00E901BF">
      <w:pPr>
        <w:widowControl w:val="0"/>
        <w:adjustRightInd w:val="0"/>
        <w:snapToGrid w:val="0"/>
        <w:spacing w:after="0" w:line="360" w:lineRule="auto"/>
        <w:jc w:val="both"/>
        <w:rPr>
          <w:rFonts w:ascii="Book Antiqua" w:hAnsi="Book Antiqua" w:cs="SimSun"/>
          <w:b/>
          <w:sz w:val="24"/>
          <w:szCs w:val="24"/>
          <w:lang w:eastAsia="zh-CN"/>
        </w:rPr>
      </w:pPr>
      <w:r w:rsidRPr="00E901BF">
        <w:rPr>
          <w:rFonts w:ascii="Book Antiqua" w:hAnsi="Book Antiqua" w:cs="SimSun"/>
          <w:b/>
          <w:sz w:val="24"/>
          <w:szCs w:val="24"/>
          <w:lang w:eastAsia="zh-CN"/>
        </w:rPr>
        <w:t>Peer-review report classification</w:t>
      </w:r>
    </w:p>
    <w:p w14:paraId="0A5F3918" w14:textId="07DC157D" w:rsidR="00C201BE" w:rsidRPr="00E901BF" w:rsidRDefault="00C201BE" w:rsidP="00E901BF">
      <w:pPr>
        <w:widowControl w:val="0"/>
        <w:adjustRightInd w:val="0"/>
        <w:snapToGrid w:val="0"/>
        <w:spacing w:after="0" w:line="360" w:lineRule="auto"/>
        <w:jc w:val="both"/>
        <w:rPr>
          <w:rFonts w:ascii="Book Antiqua" w:hAnsi="Book Antiqua" w:cs="SimSun"/>
          <w:sz w:val="24"/>
          <w:szCs w:val="24"/>
          <w:lang w:eastAsia="zh-CN"/>
        </w:rPr>
      </w:pPr>
      <w:r w:rsidRPr="00E901BF">
        <w:rPr>
          <w:rFonts w:ascii="Book Antiqua" w:hAnsi="Book Antiqua" w:cs="SimSun"/>
          <w:sz w:val="24"/>
          <w:szCs w:val="24"/>
          <w:lang w:eastAsia="zh-CN"/>
        </w:rPr>
        <w:t>Grade A (Excellent): 0</w:t>
      </w:r>
    </w:p>
    <w:p w14:paraId="021E09D1" w14:textId="77777777" w:rsidR="00C201BE" w:rsidRPr="00E901BF" w:rsidRDefault="00C201BE" w:rsidP="00E901BF">
      <w:pPr>
        <w:widowControl w:val="0"/>
        <w:adjustRightInd w:val="0"/>
        <w:snapToGrid w:val="0"/>
        <w:spacing w:after="0" w:line="360" w:lineRule="auto"/>
        <w:jc w:val="both"/>
        <w:rPr>
          <w:rFonts w:ascii="Book Antiqua" w:hAnsi="Book Antiqua" w:cs="SimSun"/>
          <w:sz w:val="24"/>
          <w:szCs w:val="24"/>
          <w:lang w:eastAsia="zh-CN"/>
        </w:rPr>
      </w:pPr>
      <w:r w:rsidRPr="00E901BF">
        <w:rPr>
          <w:rFonts w:ascii="Book Antiqua" w:hAnsi="Book Antiqua" w:cs="SimSun"/>
          <w:sz w:val="24"/>
          <w:szCs w:val="24"/>
          <w:lang w:eastAsia="zh-CN"/>
        </w:rPr>
        <w:t>Grade B (Very good): B</w:t>
      </w:r>
    </w:p>
    <w:p w14:paraId="556B3DF6" w14:textId="77777777" w:rsidR="00C201BE" w:rsidRPr="00E901BF" w:rsidRDefault="00C201BE" w:rsidP="00E901BF">
      <w:pPr>
        <w:widowControl w:val="0"/>
        <w:adjustRightInd w:val="0"/>
        <w:snapToGrid w:val="0"/>
        <w:spacing w:after="0" w:line="360" w:lineRule="auto"/>
        <w:jc w:val="both"/>
        <w:rPr>
          <w:rFonts w:ascii="Book Antiqua" w:hAnsi="Book Antiqua" w:cs="SimSun"/>
          <w:sz w:val="24"/>
          <w:szCs w:val="24"/>
          <w:lang w:eastAsia="zh-CN"/>
        </w:rPr>
      </w:pPr>
      <w:r w:rsidRPr="00E901BF">
        <w:rPr>
          <w:rFonts w:ascii="Book Antiqua" w:hAnsi="Book Antiqua" w:cs="SimSun"/>
          <w:sz w:val="24"/>
          <w:szCs w:val="24"/>
          <w:lang w:eastAsia="zh-CN"/>
        </w:rPr>
        <w:t>Grade C (Good): C</w:t>
      </w:r>
    </w:p>
    <w:p w14:paraId="0E34F890" w14:textId="77777777" w:rsidR="00C201BE" w:rsidRPr="00E901BF" w:rsidRDefault="00C201BE" w:rsidP="00E901BF">
      <w:pPr>
        <w:widowControl w:val="0"/>
        <w:adjustRightInd w:val="0"/>
        <w:snapToGrid w:val="0"/>
        <w:spacing w:after="0" w:line="360" w:lineRule="auto"/>
        <w:jc w:val="both"/>
        <w:rPr>
          <w:rFonts w:ascii="Book Antiqua" w:hAnsi="Book Antiqua" w:cs="SimSun"/>
          <w:sz w:val="24"/>
          <w:szCs w:val="24"/>
          <w:lang w:eastAsia="zh-CN"/>
        </w:rPr>
      </w:pPr>
      <w:r w:rsidRPr="00E901BF">
        <w:rPr>
          <w:rFonts w:ascii="Book Antiqua" w:hAnsi="Book Antiqua" w:cs="SimSun"/>
          <w:sz w:val="24"/>
          <w:szCs w:val="24"/>
          <w:lang w:eastAsia="zh-CN"/>
        </w:rPr>
        <w:t>Grade D (Fair): 0</w:t>
      </w:r>
    </w:p>
    <w:p w14:paraId="21306FE6" w14:textId="77777777" w:rsidR="00C201BE" w:rsidRPr="00E901BF" w:rsidRDefault="00C201BE" w:rsidP="00E901BF">
      <w:pPr>
        <w:widowControl w:val="0"/>
        <w:adjustRightInd w:val="0"/>
        <w:snapToGrid w:val="0"/>
        <w:spacing w:after="0" w:line="360" w:lineRule="auto"/>
        <w:jc w:val="both"/>
        <w:rPr>
          <w:rFonts w:ascii="Book Antiqua" w:eastAsia="DengXian" w:hAnsi="Book Antiqua"/>
          <w:kern w:val="2"/>
          <w:sz w:val="24"/>
          <w:szCs w:val="24"/>
          <w:lang w:val="hu-HU" w:eastAsia="zh-CN"/>
        </w:rPr>
      </w:pPr>
      <w:r w:rsidRPr="00E901BF">
        <w:rPr>
          <w:rFonts w:ascii="Book Antiqua" w:hAnsi="Book Antiqua" w:cs="SimSun"/>
          <w:sz w:val="24"/>
          <w:szCs w:val="24"/>
          <w:lang w:eastAsia="zh-CN"/>
        </w:rPr>
        <w:t>Grade E (Poor): 0</w:t>
      </w:r>
    </w:p>
    <w:p w14:paraId="5A419E40" w14:textId="77777777" w:rsidR="00C201BE" w:rsidRPr="00E901BF" w:rsidRDefault="00C201BE" w:rsidP="00E901BF">
      <w:pPr>
        <w:adjustRightInd w:val="0"/>
        <w:snapToGrid w:val="0"/>
        <w:spacing w:after="0" w:line="360" w:lineRule="auto"/>
        <w:ind w:right="239"/>
        <w:jc w:val="both"/>
        <w:rPr>
          <w:rStyle w:val="Strong"/>
          <w:rFonts w:ascii="Book Antiqua" w:hAnsi="Book Antiqua" w:cs="Arial"/>
          <w:noProof/>
          <w:sz w:val="24"/>
          <w:szCs w:val="24"/>
          <w:lang w:val="hu-HU" w:eastAsia="zh-CN"/>
        </w:rPr>
      </w:pPr>
    </w:p>
    <w:p w14:paraId="778A4623" w14:textId="1CB174CE" w:rsidR="00C201BE" w:rsidRPr="00E901BF" w:rsidRDefault="00C201BE" w:rsidP="00E901BF">
      <w:pPr>
        <w:adjustRightInd w:val="0"/>
        <w:snapToGrid w:val="0"/>
        <w:spacing w:after="0" w:line="360" w:lineRule="auto"/>
        <w:ind w:right="239"/>
        <w:jc w:val="both"/>
        <w:rPr>
          <w:rFonts w:ascii="Book Antiqua" w:hAnsi="Book Antiqua"/>
          <w:bCs/>
          <w:sz w:val="24"/>
          <w:szCs w:val="24"/>
        </w:rPr>
      </w:pPr>
      <w:r w:rsidRPr="00E901BF">
        <w:rPr>
          <w:rStyle w:val="Strong"/>
          <w:rFonts w:ascii="Book Antiqua" w:hAnsi="Book Antiqua" w:cs="Arial"/>
          <w:noProof/>
          <w:sz w:val="24"/>
          <w:szCs w:val="24"/>
          <w:lang w:val="en-GB"/>
        </w:rPr>
        <w:t>P-Reviewer:</w:t>
      </w:r>
      <w:r w:rsidRPr="00E901BF">
        <w:rPr>
          <w:rFonts w:ascii="Book Antiqua" w:hAnsi="Book Antiqua"/>
          <w:color w:val="000000"/>
          <w:sz w:val="24"/>
          <w:szCs w:val="24"/>
          <w:lang w:val="en-GB"/>
        </w:rPr>
        <w:t xml:space="preserve"> Lin JM, Mohamed SY</w:t>
      </w:r>
      <w:r w:rsidRPr="00E901BF">
        <w:rPr>
          <w:rFonts w:ascii="Book Antiqua" w:hAnsi="Book Antiqua"/>
          <w:bCs/>
          <w:sz w:val="24"/>
          <w:szCs w:val="24"/>
          <w:lang w:val="en-GB"/>
        </w:rPr>
        <w:t xml:space="preserve"> </w:t>
      </w:r>
      <w:r w:rsidRPr="00E901BF">
        <w:rPr>
          <w:rFonts w:ascii="Book Antiqua" w:hAnsi="Book Antiqua"/>
          <w:b/>
          <w:bCs/>
          <w:sz w:val="24"/>
          <w:szCs w:val="24"/>
          <w:lang w:val="en-GB"/>
        </w:rPr>
        <w:t>S-Editor:</w:t>
      </w:r>
      <w:r w:rsidRPr="00E901BF">
        <w:rPr>
          <w:rFonts w:ascii="Book Antiqua" w:hAnsi="Book Antiqua"/>
          <w:bCs/>
          <w:sz w:val="24"/>
          <w:szCs w:val="24"/>
          <w:lang w:val="en-GB"/>
        </w:rPr>
        <w:t xml:space="preserve"> Dou Y</w:t>
      </w:r>
      <w:r w:rsidRPr="00E901BF">
        <w:rPr>
          <w:rFonts w:ascii="Book Antiqua" w:hAnsi="Book Antiqua"/>
          <w:bCs/>
          <w:sz w:val="24"/>
          <w:szCs w:val="24"/>
          <w:lang w:val="en-GB" w:eastAsia="zh-CN"/>
        </w:rPr>
        <w:t xml:space="preserve"> </w:t>
      </w:r>
      <w:r w:rsidRPr="00E901BF">
        <w:rPr>
          <w:rFonts w:ascii="Book Antiqua" w:hAnsi="Book Antiqua"/>
          <w:b/>
          <w:bCs/>
          <w:sz w:val="24"/>
          <w:szCs w:val="24"/>
        </w:rPr>
        <w:t>L-Editor:   E-Editor:</w:t>
      </w:r>
    </w:p>
    <w:p w14:paraId="23451EEB" w14:textId="77777777" w:rsidR="00C201BE" w:rsidRPr="00E901BF" w:rsidRDefault="00C201BE" w:rsidP="00E901BF">
      <w:pPr>
        <w:adjustRightInd w:val="0"/>
        <w:snapToGrid w:val="0"/>
        <w:spacing w:after="0" w:line="360" w:lineRule="auto"/>
        <w:jc w:val="both"/>
        <w:rPr>
          <w:rFonts w:ascii="Book Antiqua" w:hAnsi="Book Antiqua"/>
          <w:b/>
          <w:sz w:val="24"/>
          <w:szCs w:val="24"/>
          <w:lang w:eastAsia="zh-CN"/>
        </w:rPr>
      </w:pPr>
      <w:r w:rsidRPr="00E901BF">
        <w:rPr>
          <w:rFonts w:ascii="Book Antiqua" w:hAnsi="Book Antiqua"/>
          <w:sz w:val="24"/>
          <w:szCs w:val="24"/>
        </w:rPr>
        <w:br w:type="page"/>
      </w:r>
      <w:r w:rsidRPr="00E901BF">
        <w:rPr>
          <w:rFonts w:ascii="Book Antiqua" w:hAnsi="Book Antiqua"/>
          <w:b/>
          <w:sz w:val="24"/>
          <w:szCs w:val="24"/>
        </w:rPr>
        <w:lastRenderedPageBreak/>
        <w:t>Figure Legends</w:t>
      </w:r>
    </w:p>
    <w:p w14:paraId="642CAF7E" w14:textId="2DBFF32A" w:rsidR="00C201BE" w:rsidRPr="00E901BF" w:rsidRDefault="00C201BE" w:rsidP="00E901BF">
      <w:pPr>
        <w:spacing w:after="0" w:line="360" w:lineRule="auto"/>
        <w:jc w:val="both"/>
        <w:rPr>
          <w:rFonts w:ascii="Book Antiqua" w:hAnsi="Book Antiqua" w:cstheme="minorHAnsi"/>
          <w:sz w:val="24"/>
          <w:szCs w:val="24"/>
          <w:lang w:val="en-US"/>
        </w:rPr>
      </w:pPr>
      <w:r w:rsidRPr="00E901BF">
        <w:rPr>
          <w:rFonts w:ascii="Book Antiqua" w:hAnsi="Book Antiqua" w:cstheme="minorHAnsi"/>
          <w:noProof/>
          <w:sz w:val="24"/>
          <w:szCs w:val="24"/>
          <w:lang w:val="en-US" w:eastAsia="zh-CN"/>
        </w:rPr>
        <w:drawing>
          <wp:inline distT="0" distB="0" distL="0" distR="0" wp14:anchorId="4BBDE16C" wp14:editId="4E7DBDE8">
            <wp:extent cx="4210050" cy="3228975"/>
            <wp:effectExtent l="0" t="0" r="0" b="9525"/>
            <wp:docPr id="1" name="图片 1" descr="300 FIGURE stroma and P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300 FIGURE stroma and PC.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3228975"/>
                    </a:xfrm>
                    <a:prstGeom prst="rect">
                      <a:avLst/>
                    </a:prstGeom>
                    <a:noFill/>
                    <a:ln>
                      <a:noFill/>
                    </a:ln>
                  </pic:spPr>
                </pic:pic>
              </a:graphicData>
            </a:graphic>
          </wp:inline>
        </w:drawing>
      </w:r>
    </w:p>
    <w:p w14:paraId="2A24E332" w14:textId="6329BDA5" w:rsidR="009D6628" w:rsidRPr="00E901BF" w:rsidRDefault="00C201BE" w:rsidP="00E901BF">
      <w:pPr>
        <w:tabs>
          <w:tab w:val="left" w:pos="1530"/>
        </w:tabs>
        <w:spacing w:after="0" w:line="360" w:lineRule="auto"/>
        <w:jc w:val="both"/>
        <w:rPr>
          <w:rFonts w:ascii="Book Antiqua" w:hAnsi="Book Antiqua" w:cs="Times New Roman"/>
          <w:sz w:val="24"/>
          <w:szCs w:val="24"/>
        </w:rPr>
      </w:pPr>
      <w:r w:rsidRPr="00E901BF">
        <w:rPr>
          <w:rFonts w:ascii="Book Antiqua" w:hAnsi="Book Antiqua" w:cs="Times New Roman"/>
          <w:b/>
          <w:sz w:val="24"/>
          <w:szCs w:val="24"/>
          <w:lang w:val="en-US"/>
        </w:rPr>
        <w:t>Figure 1</w:t>
      </w:r>
      <w:r w:rsidRPr="00E901BF">
        <w:rPr>
          <w:rFonts w:ascii="Book Antiqua" w:hAnsi="Book Antiqua" w:cs="Times New Roman"/>
          <w:sz w:val="24"/>
          <w:szCs w:val="24"/>
          <w:lang w:val="en-US"/>
        </w:rPr>
        <w:t xml:space="preserve"> </w:t>
      </w:r>
      <w:r w:rsidRPr="00E901BF">
        <w:rPr>
          <w:rFonts w:ascii="Book Antiqua" w:hAnsi="Book Antiqua" w:cs="Times New Roman"/>
          <w:b/>
          <w:bCs/>
          <w:sz w:val="24"/>
          <w:szCs w:val="24"/>
        </w:rPr>
        <w:t>Τ</w:t>
      </w:r>
      <w:r w:rsidRPr="00E901BF">
        <w:rPr>
          <w:rFonts w:ascii="Book Antiqua" w:hAnsi="Book Antiqua" w:cs="Times New Roman"/>
          <w:b/>
          <w:bCs/>
          <w:sz w:val="24"/>
          <w:szCs w:val="24"/>
          <w:lang w:val="en-US"/>
        </w:rPr>
        <w:t xml:space="preserve">he pancreatic ductal adenocarcinoma microenvironment consists of a significant hurdle for the efficient application of chemotherapy drugs or immunotherapeutic compounds. </w:t>
      </w:r>
      <w:r w:rsidRPr="00E901BF">
        <w:rPr>
          <w:rFonts w:ascii="Book Antiqua" w:hAnsi="Book Antiqua" w:cs="Times New Roman"/>
          <w:sz w:val="24"/>
          <w:szCs w:val="24"/>
          <w:lang w:val="en-US"/>
        </w:rPr>
        <w:t>Combination treatments of chemotherapy, immunotherapy and radiation might render pancreatic ductal adenocarcinoma microenvironment more vulnerable to inhibition and promote effective treatment strategies.</w:t>
      </w:r>
    </w:p>
    <w:sectPr w:rsidR="009D6628" w:rsidRPr="00E901BF" w:rsidSect="00902C3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7BC12" w14:textId="77777777" w:rsidR="003A4395" w:rsidRDefault="003A4395">
      <w:pPr>
        <w:spacing w:after="0" w:line="240" w:lineRule="auto"/>
      </w:pPr>
      <w:r>
        <w:separator/>
      </w:r>
    </w:p>
  </w:endnote>
  <w:endnote w:type="continuationSeparator" w:id="0">
    <w:p w14:paraId="5BEC3878" w14:textId="77777777" w:rsidR="003A4395" w:rsidRDefault="003A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St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Antiqua">
    <w:altName w:val="Microsoft YaHei"/>
    <w:panose1 w:val="020B0604020202020204"/>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737138"/>
      <w:docPartObj>
        <w:docPartGallery w:val="Page Numbers (Bottom of Page)"/>
        <w:docPartUnique/>
      </w:docPartObj>
    </w:sdtPr>
    <w:sdtEndPr/>
    <w:sdtContent>
      <w:p w14:paraId="167996DA" w14:textId="77777777" w:rsidR="00F04A7C" w:rsidRDefault="00F04A7C">
        <w:pPr>
          <w:pStyle w:val="Footer"/>
          <w:jc w:val="center"/>
        </w:pPr>
        <w:r>
          <w:fldChar w:fldCharType="begin"/>
        </w:r>
        <w:r>
          <w:instrText>PAGE   \* MERGEFORMAT</w:instrText>
        </w:r>
        <w:r>
          <w:fldChar w:fldCharType="separate"/>
        </w:r>
        <w:r w:rsidR="000125E6">
          <w:rPr>
            <w:noProof/>
          </w:rPr>
          <w:t>3</w:t>
        </w:r>
        <w:r>
          <w:fldChar w:fldCharType="end"/>
        </w:r>
      </w:p>
    </w:sdtContent>
  </w:sdt>
  <w:p w14:paraId="519CF0C0" w14:textId="77777777" w:rsidR="00F04A7C" w:rsidRDefault="00F04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07D5" w14:textId="77777777" w:rsidR="003A4395" w:rsidRDefault="003A4395">
      <w:pPr>
        <w:spacing w:after="0" w:line="240" w:lineRule="auto"/>
      </w:pPr>
      <w:r>
        <w:separator/>
      </w:r>
    </w:p>
  </w:footnote>
  <w:footnote w:type="continuationSeparator" w:id="0">
    <w:p w14:paraId="34554A5D" w14:textId="77777777" w:rsidR="003A4395" w:rsidRDefault="003A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4136F"/>
    <w:multiLevelType w:val="hybridMultilevel"/>
    <w:tmpl w:val="DF06992E"/>
    <w:lvl w:ilvl="0" w:tplc="DDA6CEB0">
      <w:start w:val="1"/>
      <w:numFmt w:val="lowerLetter"/>
      <w:lvlText w:val="%1."/>
      <w:lvlJc w:val="left"/>
      <w:pPr>
        <w:ind w:left="720" w:hanging="360"/>
      </w:pPr>
      <w:rPr>
        <w:rFonts w:hint="default"/>
      </w:rPr>
    </w:lvl>
    <w:lvl w:ilvl="1" w:tplc="F356E5FE" w:tentative="1">
      <w:start w:val="1"/>
      <w:numFmt w:val="lowerLetter"/>
      <w:lvlText w:val="%2."/>
      <w:lvlJc w:val="left"/>
      <w:pPr>
        <w:ind w:left="1440" w:hanging="360"/>
      </w:pPr>
    </w:lvl>
    <w:lvl w:ilvl="2" w:tplc="EFC4E900" w:tentative="1">
      <w:start w:val="1"/>
      <w:numFmt w:val="lowerRoman"/>
      <w:lvlText w:val="%3."/>
      <w:lvlJc w:val="right"/>
      <w:pPr>
        <w:ind w:left="2160" w:hanging="180"/>
      </w:pPr>
    </w:lvl>
    <w:lvl w:ilvl="3" w:tplc="582A9E18" w:tentative="1">
      <w:start w:val="1"/>
      <w:numFmt w:val="decimal"/>
      <w:lvlText w:val="%4."/>
      <w:lvlJc w:val="left"/>
      <w:pPr>
        <w:ind w:left="2880" w:hanging="360"/>
      </w:pPr>
    </w:lvl>
    <w:lvl w:ilvl="4" w:tplc="AC0262AE" w:tentative="1">
      <w:start w:val="1"/>
      <w:numFmt w:val="lowerLetter"/>
      <w:lvlText w:val="%5."/>
      <w:lvlJc w:val="left"/>
      <w:pPr>
        <w:ind w:left="3600" w:hanging="360"/>
      </w:pPr>
    </w:lvl>
    <w:lvl w:ilvl="5" w:tplc="3FEA43B2" w:tentative="1">
      <w:start w:val="1"/>
      <w:numFmt w:val="lowerRoman"/>
      <w:lvlText w:val="%6."/>
      <w:lvlJc w:val="right"/>
      <w:pPr>
        <w:ind w:left="4320" w:hanging="180"/>
      </w:pPr>
    </w:lvl>
    <w:lvl w:ilvl="6" w:tplc="9508F754" w:tentative="1">
      <w:start w:val="1"/>
      <w:numFmt w:val="decimal"/>
      <w:lvlText w:val="%7."/>
      <w:lvlJc w:val="left"/>
      <w:pPr>
        <w:ind w:left="5040" w:hanging="360"/>
      </w:pPr>
    </w:lvl>
    <w:lvl w:ilvl="7" w:tplc="E3C6A0EE" w:tentative="1">
      <w:start w:val="1"/>
      <w:numFmt w:val="lowerLetter"/>
      <w:lvlText w:val="%8."/>
      <w:lvlJc w:val="left"/>
      <w:pPr>
        <w:ind w:left="5760" w:hanging="360"/>
      </w:pPr>
    </w:lvl>
    <w:lvl w:ilvl="8" w:tplc="4F8E57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zMzC3MLY0MTI3MjZQ0lEKTi0uzszPAykwNKgFAK3WELgtAAAA"/>
    <w:docVar w:name="MachineID" w:val="198|199|197|204|189|197|199|185|197|189|188|197|202|206|197|199|187|"/>
    <w:docVar w:name="Username" w:val="Editor"/>
  </w:docVars>
  <w:rsids>
    <w:rsidRoot w:val="00153137"/>
    <w:rsid w:val="00004AAF"/>
    <w:rsid w:val="00006288"/>
    <w:rsid w:val="00011ADE"/>
    <w:rsid w:val="000125E6"/>
    <w:rsid w:val="00013CD7"/>
    <w:rsid w:val="0002162A"/>
    <w:rsid w:val="00021C58"/>
    <w:rsid w:val="00031A10"/>
    <w:rsid w:val="00031E45"/>
    <w:rsid w:val="00037422"/>
    <w:rsid w:val="00037C9E"/>
    <w:rsid w:val="00037E37"/>
    <w:rsid w:val="00047F1E"/>
    <w:rsid w:val="00050004"/>
    <w:rsid w:val="00050637"/>
    <w:rsid w:val="000536B2"/>
    <w:rsid w:val="000700B7"/>
    <w:rsid w:val="00073666"/>
    <w:rsid w:val="00076D17"/>
    <w:rsid w:val="000834A5"/>
    <w:rsid w:val="000839EF"/>
    <w:rsid w:val="00083BBB"/>
    <w:rsid w:val="000841AB"/>
    <w:rsid w:val="0008468C"/>
    <w:rsid w:val="0008689C"/>
    <w:rsid w:val="00092D1C"/>
    <w:rsid w:val="0009505F"/>
    <w:rsid w:val="000978CF"/>
    <w:rsid w:val="00097A97"/>
    <w:rsid w:val="000A6E1A"/>
    <w:rsid w:val="000B067D"/>
    <w:rsid w:val="000B3A95"/>
    <w:rsid w:val="000B5AF2"/>
    <w:rsid w:val="000C1720"/>
    <w:rsid w:val="000D2CD0"/>
    <w:rsid w:val="000D3402"/>
    <w:rsid w:val="000D5EDE"/>
    <w:rsid w:val="000E2034"/>
    <w:rsid w:val="000E2079"/>
    <w:rsid w:val="000E45B6"/>
    <w:rsid w:val="000E5748"/>
    <w:rsid w:val="00100F1F"/>
    <w:rsid w:val="0010294E"/>
    <w:rsid w:val="00104CDC"/>
    <w:rsid w:val="00105475"/>
    <w:rsid w:val="00105646"/>
    <w:rsid w:val="00112418"/>
    <w:rsid w:val="00122FEC"/>
    <w:rsid w:val="001249DB"/>
    <w:rsid w:val="00130C1E"/>
    <w:rsid w:val="0014039E"/>
    <w:rsid w:val="001403BB"/>
    <w:rsid w:val="00142968"/>
    <w:rsid w:val="00143AD8"/>
    <w:rsid w:val="00143E59"/>
    <w:rsid w:val="0014446F"/>
    <w:rsid w:val="00145125"/>
    <w:rsid w:val="001470C8"/>
    <w:rsid w:val="00152868"/>
    <w:rsid w:val="00153137"/>
    <w:rsid w:val="001534C3"/>
    <w:rsid w:val="001611E3"/>
    <w:rsid w:val="001643E6"/>
    <w:rsid w:val="00171F45"/>
    <w:rsid w:val="00173F70"/>
    <w:rsid w:val="00174B8B"/>
    <w:rsid w:val="001837E9"/>
    <w:rsid w:val="00191749"/>
    <w:rsid w:val="00191EB0"/>
    <w:rsid w:val="00192BC3"/>
    <w:rsid w:val="00195C4F"/>
    <w:rsid w:val="001A4042"/>
    <w:rsid w:val="001A4E05"/>
    <w:rsid w:val="001B3891"/>
    <w:rsid w:val="001B4A39"/>
    <w:rsid w:val="001B654C"/>
    <w:rsid w:val="001C1CB3"/>
    <w:rsid w:val="001D3864"/>
    <w:rsid w:val="001D482E"/>
    <w:rsid w:val="001D5EE8"/>
    <w:rsid w:val="001E6BF8"/>
    <w:rsid w:val="001E7517"/>
    <w:rsid w:val="001F0D99"/>
    <w:rsid w:val="001F7DB5"/>
    <w:rsid w:val="00202E72"/>
    <w:rsid w:val="002106E8"/>
    <w:rsid w:val="002111CE"/>
    <w:rsid w:val="00221B3F"/>
    <w:rsid w:val="00222E8F"/>
    <w:rsid w:val="002239F2"/>
    <w:rsid w:val="00223C2E"/>
    <w:rsid w:val="00225848"/>
    <w:rsid w:val="00226101"/>
    <w:rsid w:val="0022689A"/>
    <w:rsid w:val="00230B70"/>
    <w:rsid w:val="00230F11"/>
    <w:rsid w:val="00233FA8"/>
    <w:rsid w:val="002347DD"/>
    <w:rsid w:val="0023508E"/>
    <w:rsid w:val="0023634D"/>
    <w:rsid w:val="00236F69"/>
    <w:rsid w:val="002377DE"/>
    <w:rsid w:val="00240462"/>
    <w:rsid w:val="00240751"/>
    <w:rsid w:val="00243B3D"/>
    <w:rsid w:val="00243FB7"/>
    <w:rsid w:val="00245103"/>
    <w:rsid w:val="002458F1"/>
    <w:rsid w:val="00245942"/>
    <w:rsid w:val="00246340"/>
    <w:rsid w:val="0025019E"/>
    <w:rsid w:val="002516C5"/>
    <w:rsid w:val="00256732"/>
    <w:rsid w:val="00261EC0"/>
    <w:rsid w:val="002624F0"/>
    <w:rsid w:val="00277934"/>
    <w:rsid w:val="00281E60"/>
    <w:rsid w:val="00284016"/>
    <w:rsid w:val="00287E58"/>
    <w:rsid w:val="00290175"/>
    <w:rsid w:val="00291F4E"/>
    <w:rsid w:val="00296A2C"/>
    <w:rsid w:val="00297207"/>
    <w:rsid w:val="002A30B9"/>
    <w:rsid w:val="002A33B1"/>
    <w:rsid w:val="002A66B0"/>
    <w:rsid w:val="002A77C1"/>
    <w:rsid w:val="002B1471"/>
    <w:rsid w:val="002B37D3"/>
    <w:rsid w:val="002C2002"/>
    <w:rsid w:val="002C7705"/>
    <w:rsid w:val="002D286B"/>
    <w:rsid w:val="002E1E7F"/>
    <w:rsid w:val="002E217C"/>
    <w:rsid w:val="002E3D3B"/>
    <w:rsid w:val="002F1DBF"/>
    <w:rsid w:val="002F4DD3"/>
    <w:rsid w:val="00304345"/>
    <w:rsid w:val="003049A0"/>
    <w:rsid w:val="00307A9C"/>
    <w:rsid w:val="00313163"/>
    <w:rsid w:val="0031434B"/>
    <w:rsid w:val="003216A8"/>
    <w:rsid w:val="003311AE"/>
    <w:rsid w:val="003357F6"/>
    <w:rsid w:val="00340ABD"/>
    <w:rsid w:val="00341FC2"/>
    <w:rsid w:val="00345CAE"/>
    <w:rsid w:val="00352565"/>
    <w:rsid w:val="003560BF"/>
    <w:rsid w:val="00362A6C"/>
    <w:rsid w:val="00365058"/>
    <w:rsid w:val="0036685A"/>
    <w:rsid w:val="00380CAD"/>
    <w:rsid w:val="0038129D"/>
    <w:rsid w:val="00385E3C"/>
    <w:rsid w:val="003941FF"/>
    <w:rsid w:val="00397345"/>
    <w:rsid w:val="003A0D48"/>
    <w:rsid w:val="003A0FDF"/>
    <w:rsid w:val="003A4395"/>
    <w:rsid w:val="003A74E6"/>
    <w:rsid w:val="003B07FA"/>
    <w:rsid w:val="003B6A96"/>
    <w:rsid w:val="003B6ED4"/>
    <w:rsid w:val="003C1BEC"/>
    <w:rsid w:val="003C6178"/>
    <w:rsid w:val="003D5C54"/>
    <w:rsid w:val="003D657E"/>
    <w:rsid w:val="003E59B6"/>
    <w:rsid w:val="003F2723"/>
    <w:rsid w:val="004037DA"/>
    <w:rsid w:val="00406281"/>
    <w:rsid w:val="00406D45"/>
    <w:rsid w:val="00407B98"/>
    <w:rsid w:val="00410312"/>
    <w:rsid w:val="004123B7"/>
    <w:rsid w:val="00430FD1"/>
    <w:rsid w:val="00431C52"/>
    <w:rsid w:val="00441495"/>
    <w:rsid w:val="004434C3"/>
    <w:rsid w:val="00443B00"/>
    <w:rsid w:val="00451A69"/>
    <w:rsid w:val="00456C5D"/>
    <w:rsid w:val="0046296E"/>
    <w:rsid w:val="00462FBB"/>
    <w:rsid w:val="00463B08"/>
    <w:rsid w:val="00470C6F"/>
    <w:rsid w:val="00475C5E"/>
    <w:rsid w:val="00477710"/>
    <w:rsid w:val="00484900"/>
    <w:rsid w:val="00485D8F"/>
    <w:rsid w:val="00492D78"/>
    <w:rsid w:val="004941A3"/>
    <w:rsid w:val="004A5389"/>
    <w:rsid w:val="004B6E51"/>
    <w:rsid w:val="004C4703"/>
    <w:rsid w:val="004C6027"/>
    <w:rsid w:val="004D74C5"/>
    <w:rsid w:val="004D790B"/>
    <w:rsid w:val="004E1C95"/>
    <w:rsid w:val="004E3C37"/>
    <w:rsid w:val="004E7216"/>
    <w:rsid w:val="004F0C3E"/>
    <w:rsid w:val="004F1C3C"/>
    <w:rsid w:val="004F1F78"/>
    <w:rsid w:val="004F42E3"/>
    <w:rsid w:val="004F6CA4"/>
    <w:rsid w:val="004F79F1"/>
    <w:rsid w:val="00501EFF"/>
    <w:rsid w:val="0050385B"/>
    <w:rsid w:val="00513DB0"/>
    <w:rsid w:val="005212E3"/>
    <w:rsid w:val="005221DC"/>
    <w:rsid w:val="005234F1"/>
    <w:rsid w:val="00526AD2"/>
    <w:rsid w:val="00540B85"/>
    <w:rsid w:val="005418B2"/>
    <w:rsid w:val="00543797"/>
    <w:rsid w:val="005461BF"/>
    <w:rsid w:val="005469B6"/>
    <w:rsid w:val="00547369"/>
    <w:rsid w:val="005569E1"/>
    <w:rsid w:val="00560AC9"/>
    <w:rsid w:val="00561441"/>
    <w:rsid w:val="00563A75"/>
    <w:rsid w:val="00571346"/>
    <w:rsid w:val="0057134A"/>
    <w:rsid w:val="005723A1"/>
    <w:rsid w:val="005741EE"/>
    <w:rsid w:val="00574444"/>
    <w:rsid w:val="00585ABA"/>
    <w:rsid w:val="00592EA4"/>
    <w:rsid w:val="0059766F"/>
    <w:rsid w:val="005A3AA9"/>
    <w:rsid w:val="005A7CE3"/>
    <w:rsid w:val="005B40AE"/>
    <w:rsid w:val="005B699E"/>
    <w:rsid w:val="005C29B3"/>
    <w:rsid w:val="005C58C3"/>
    <w:rsid w:val="005C6A7C"/>
    <w:rsid w:val="005D2F38"/>
    <w:rsid w:val="005D343B"/>
    <w:rsid w:val="005D4E39"/>
    <w:rsid w:val="005E22B5"/>
    <w:rsid w:val="005E4EEA"/>
    <w:rsid w:val="005E5C3C"/>
    <w:rsid w:val="005E5E04"/>
    <w:rsid w:val="005F180A"/>
    <w:rsid w:val="005F1A0B"/>
    <w:rsid w:val="0060221C"/>
    <w:rsid w:val="00602941"/>
    <w:rsid w:val="006050E0"/>
    <w:rsid w:val="006231DF"/>
    <w:rsid w:val="006306E5"/>
    <w:rsid w:val="00633453"/>
    <w:rsid w:val="00634F20"/>
    <w:rsid w:val="00640977"/>
    <w:rsid w:val="00641D75"/>
    <w:rsid w:val="00644D63"/>
    <w:rsid w:val="00647584"/>
    <w:rsid w:val="00652182"/>
    <w:rsid w:val="0065241F"/>
    <w:rsid w:val="00654C7E"/>
    <w:rsid w:val="00666935"/>
    <w:rsid w:val="0067057A"/>
    <w:rsid w:val="0067275C"/>
    <w:rsid w:val="00675F0C"/>
    <w:rsid w:val="006810B3"/>
    <w:rsid w:val="006820C6"/>
    <w:rsid w:val="00685660"/>
    <w:rsid w:val="00685785"/>
    <w:rsid w:val="00686425"/>
    <w:rsid w:val="0068658B"/>
    <w:rsid w:val="0068739A"/>
    <w:rsid w:val="0069656E"/>
    <w:rsid w:val="00696FB6"/>
    <w:rsid w:val="00697B2B"/>
    <w:rsid w:val="006A15EE"/>
    <w:rsid w:val="006A2608"/>
    <w:rsid w:val="006A2EA7"/>
    <w:rsid w:val="006A47D3"/>
    <w:rsid w:val="006A7492"/>
    <w:rsid w:val="006B0A88"/>
    <w:rsid w:val="006B2B71"/>
    <w:rsid w:val="006B3219"/>
    <w:rsid w:val="006B35D5"/>
    <w:rsid w:val="006C04C4"/>
    <w:rsid w:val="006C17FA"/>
    <w:rsid w:val="006C76C5"/>
    <w:rsid w:val="006D3230"/>
    <w:rsid w:val="006F6F8B"/>
    <w:rsid w:val="00702997"/>
    <w:rsid w:val="00705C24"/>
    <w:rsid w:val="00721639"/>
    <w:rsid w:val="0072365D"/>
    <w:rsid w:val="007236C2"/>
    <w:rsid w:val="00734FEE"/>
    <w:rsid w:val="00736BED"/>
    <w:rsid w:val="00750117"/>
    <w:rsid w:val="007605E1"/>
    <w:rsid w:val="0076242D"/>
    <w:rsid w:val="0076246C"/>
    <w:rsid w:val="00762EB3"/>
    <w:rsid w:val="007648B1"/>
    <w:rsid w:val="00772F2E"/>
    <w:rsid w:val="00775EEA"/>
    <w:rsid w:val="007777EB"/>
    <w:rsid w:val="007819A6"/>
    <w:rsid w:val="00782BC8"/>
    <w:rsid w:val="00783553"/>
    <w:rsid w:val="00785535"/>
    <w:rsid w:val="00794FF2"/>
    <w:rsid w:val="00797A46"/>
    <w:rsid w:val="007A07AB"/>
    <w:rsid w:val="007A263B"/>
    <w:rsid w:val="007A3A21"/>
    <w:rsid w:val="007B1EE4"/>
    <w:rsid w:val="007B2055"/>
    <w:rsid w:val="007B4DE7"/>
    <w:rsid w:val="007C11DB"/>
    <w:rsid w:val="007D406A"/>
    <w:rsid w:val="007D5519"/>
    <w:rsid w:val="007E58E7"/>
    <w:rsid w:val="007F6492"/>
    <w:rsid w:val="008003EF"/>
    <w:rsid w:val="00801C4D"/>
    <w:rsid w:val="00803B0F"/>
    <w:rsid w:val="008046A5"/>
    <w:rsid w:val="00813FAD"/>
    <w:rsid w:val="00815762"/>
    <w:rsid w:val="00817DD8"/>
    <w:rsid w:val="008224CC"/>
    <w:rsid w:val="0082312B"/>
    <w:rsid w:val="0082755C"/>
    <w:rsid w:val="00827BFF"/>
    <w:rsid w:val="00833EE0"/>
    <w:rsid w:val="0083732D"/>
    <w:rsid w:val="00837F36"/>
    <w:rsid w:val="00842FF4"/>
    <w:rsid w:val="00843159"/>
    <w:rsid w:val="008447F2"/>
    <w:rsid w:val="00844843"/>
    <w:rsid w:val="00844D22"/>
    <w:rsid w:val="008641C8"/>
    <w:rsid w:val="00865329"/>
    <w:rsid w:val="00865BFB"/>
    <w:rsid w:val="0086645E"/>
    <w:rsid w:val="00866732"/>
    <w:rsid w:val="00872A85"/>
    <w:rsid w:val="0087350A"/>
    <w:rsid w:val="00873C60"/>
    <w:rsid w:val="008741C9"/>
    <w:rsid w:val="00874BA3"/>
    <w:rsid w:val="00874E39"/>
    <w:rsid w:val="00877F33"/>
    <w:rsid w:val="00882BAC"/>
    <w:rsid w:val="00885C87"/>
    <w:rsid w:val="00893E2E"/>
    <w:rsid w:val="008946D6"/>
    <w:rsid w:val="00895FB7"/>
    <w:rsid w:val="00897915"/>
    <w:rsid w:val="008A224E"/>
    <w:rsid w:val="008A3878"/>
    <w:rsid w:val="008B3DB0"/>
    <w:rsid w:val="008B5C32"/>
    <w:rsid w:val="008B619C"/>
    <w:rsid w:val="008C1FC8"/>
    <w:rsid w:val="008C3A7F"/>
    <w:rsid w:val="008C70FF"/>
    <w:rsid w:val="008D0AA6"/>
    <w:rsid w:val="008D2840"/>
    <w:rsid w:val="008D4607"/>
    <w:rsid w:val="008E2BAC"/>
    <w:rsid w:val="008F4D9C"/>
    <w:rsid w:val="008F606C"/>
    <w:rsid w:val="008F690B"/>
    <w:rsid w:val="00902C31"/>
    <w:rsid w:val="00907AF5"/>
    <w:rsid w:val="009109EF"/>
    <w:rsid w:val="00911830"/>
    <w:rsid w:val="00912E50"/>
    <w:rsid w:val="00916802"/>
    <w:rsid w:val="00917526"/>
    <w:rsid w:val="009179BC"/>
    <w:rsid w:val="00917D51"/>
    <w:rsid w:val="0092337D"/>
    <w:rsid w:val="00926B1B"/>
    <w:rsid w:val="009271D1"/>
    <w:rsid w:val="00930245"/>
    <w:rsid w:val="00934688"/>
    <w:rsid w:val="00936233"/>
    <w:rsid w:val="00954EEC"/>
    <w:rsid w:val="009605B8"/>
    <w:rsid w:val="0096257C"/>
    <w:rsid w:val="00965412"/>
    <w:rsid w:val="009674AE"/>
    <w:rsid w:val="00975719"/>
    <w:rsid w:val="00975CD5"/>
    <w:rsid w:val="00980F43"/>
    <w:rsid w:val="0098266A"/>
    <w:rsid w:val="009840A8"/>
    <w:rsid w:val="00984268"/>
    <w:rsid w:val="00987A65"/>
    <w:rsid w:val="00997B4E"/>
    <w:rsid w:val="00997DE2"/>
    <w:rsid w:val="009A61E3"/>
    <w:rsid w:val="009B09A9"/>
    <w:rsid w:val="009B1005"/>
    <w:rsid w:val="009B21CA"/>
    <w:rsid w:val="009C0103"/>
    <w:rsid w:val="009C05AC"/>
    <w:rsid w:val="009C44BB"/>
    <w:rsid w:val="009C7F3C"/>
    <w:rsid w:val="009D1097"/>
    <w:rsid w:val="009D6628"/>
    <w:rsid w:val="009D7B5D"/>
    <w:rsid w:val="009E78B7"/>
    <w:rsid w:val="009F7555"/>
    <w:rsid w:val="00A0020D"/>
    <w:rsid w:val="00A0205A"/>
    <w:rsid w:val="00A04B89"/>
    <w:rsid w:val="00A121B3"/>
    <w:rsid w:val="00A16F10"/>
    <w:rsid w:val="00A26CB4"/>
    <w:rsid w:val="00A30718"/>
    <w:rsid w:val="00A30960"/>
    <w:rsid w:val="00A31075"/>
    <w:rsid w:val="00A31333"/>
    <w:rsid w:val="00A3145F"/>
    <w:rsid w:val="00A34BA7"/>
    <w:rsid w:val="00A362F8"/>
    <w:rsid w:val="00A3660A"/>
    <w:rsid w:val="00A427EC"/>
    <w:rsid w:val="00A43277"/>
    <w:rsid w:val="00A45E0F"/>
    <w:rsid w:val="00A51FD6"/>
    <w:rsid w:val="00A55D4D"/>
    <w:rsid w:val="00A563A0"/>
    <w:rsid w:val="00A564AB"/>
    <w:rsid w:val="00A60049"/>
    <w:rsid w:val="00A6678C"/>
    <w:rsid w:val="00A716A3"/>
    <w:rsid w:val="00A76DC4"/>
    <w:rsid w:val="00A81FFA"/>
    <w:rsid w:val="00A83DC7"/>
    <w:rsid w:val="00A87120"/>
    <w:rsid w:val="00A9020A"/>
    <w:rsid w:val="00A90EAF"/>
    <w:rsid w:val="00A92C83"/>
    <w:rsid w:val="00AA2158"/>
    <w:rsid w:val="00AA5D37"/>
    <w:rsid w:val="00AA64E7"/>
    <w:rsid w:val="00AB1249"/>
    <w:rsid w:val="00AB13E9"/>
    <w:rsid w:val="00AB5048"/>
    <w:rsid w:val="00AC521E"/>
    <w:rsid w:val="00AC7789"/>
    <w:rsid w:val="00AD5926"/>
    <w:rsid w:val="00AE384A"/>
    <w:rsid w:val="00AE7A2C"/>
    <w:rsid w:val="00AF0A7A"/>
    <w:rsid w:val="00AF5257"/>
    <w:rsid w:val="00B01C9F"/>
    <w:rsid w:val="00B029A8"/>
    <w:rsid w:val="00B06468"/>
    <w:rsid w:val="00B06A94"/>
    <w:rsid w:val="00B2564D"/>
    <w:rsid w:val="00B36C4F"/>
    <w:rsid w:val="00B3739A"/>
    <w:rsid w:val="00B37A18"/>
    <w:rsid w:val="00B422F5"/>
    <w:rsid w:val="00B45171"/>
    <w:rsid w:val="00B47368"/>
    <w:rsid w:val="00B5254F"/>
    <w:rsid w:val="00B529F6"/>
    <w:rsid w:val="00B54135"/>
    <w:rsid w:val="00B62ADF"/>
    <w:rsid w:val="00B63670"/>
    <w:rsid w:val="00B76971"/>
    <w:rsid w:val="00B77797"/>
    <w:rsid w:val="00B81A9F"/>
    <w:rsid w:val="00B81D72"/>
    <w:rsid w:val="00B82BB9"/>
    <w:rsid w:val="00B839D1"/>
    <w:rsid w:val="00B90A96"/>
    <w:rsid w:val="00B91B39"/>
    <w:rsid w:val="00B97D7B"/>
    <w:rsid w:val="00BA2C6C"/>
    <w:rsid w:val="00BA2D1A"/>
    <w:rsid w:val="00BA5667"/>
    <w:rsid w:val="00BB10D6"/>
    <w:rsid w:val="00BB48AB"/>
    <w:rsid w:val="00BB6684"/>
    <w:rsid w:val="00BB7004"/>
    <w:rsid w:val="00BC1B28"/>
    <w:rsid w:val="00BC1E7A"/>
    <w:rsid w:val="00BC38D8"/>
    <w:rsid w:val="00BC7CD1"/>
    <w:rsid w:val="00BD30EC"/>
    <w:rsid w:val="00BD4105"/>
    <w:rsid w:val="00BE2AED"/>
    <w:rsid w:val="00BE36B2"/>
    <w:rsid w:val="00BE47AE"/>
    <w:rsid w:val="00BE6CB3"/>
    <w:rsid w:val="00BF23EC"/>
    <w:rsid w:val="00BF305C"/>
    <w:rsid w:val="00BF34A4"/>
    <w:rsid w:val="00C02454"/>
    <w:rsid w:val="00C04D15"/>
    <w:rsid w:val="00C058E1"/>
    <w:rsid w:val="00C07FFB"/>
    <w:rsid w:val="00C129A5"/>
    <w:rsid w:val="00C13BBF"/>
    <w:rsid w:val="00C201BE"/>
    <w:rsid w:val="00C268FB"/>
    <w:rsid w:val="00C27D08"/>
    <w:rsid w:val="00C33A7D"/>
    <w:rsid w:val="00C33E03"/>
    <w:rsid w:val="00C35504"/>
    <w:rsid w:val="00C35D72"/>
    <w:rsid w:val="00C37625"/>
    <w:rsid w:val="00C40B88"/>
    <w:rsid w:val="00C41E7A"/>
    <w:rsid w:val="00C457B0"/>
    <w:rsid w:val="00C5184F"/>
    <w:rsid w:val="00C55280"/>
    <w:rsid w:val="00C575DB"/>
    <w:rsid w:val="00C60CB0"/>
    <w:rsid w:val="00C61E20"/>
    <w:rsid w:val="00C6293B"/>
    <w:rsid w:val="00C635A6"/>
    <w:rsid w:val="00C701F7"/>
    <w:rsid w:val="00C723B3"/>
    <w:rsid w:val="00C83F63"/>
    <w:rsid w:val="00C84D9F"/>
    <w:rsid w:val="00C85B2C"/>
    <w:rsid w:val="00C8748B"/>
    <w:rsid w:val="00CA0160"/>
    <w:rsid w:val="00CA0855"/>
    <w:rsid w:val="00CA28C4"/>
    <w:rsid w:val="00CA3003"/>
    <w:rsid w:val="00CB057E"/>
    <w:rsid w:val="00CB2D00"/>
    <w:rsid w:val="00CB678C"/>
    <w:rsid w:val="00CC182D"/>
    <w:rsid w:val="00CC2B5E"/>
    <w:rsid w:val="00CC52BA"/>
    <w:rsid w:val="00CD6874"/>
    <w:rsid w:val="00CD708E"/>
    <w:rsid w:val="00CE0138"/>
    <w:rsid w:val="00CE34D8"/>
    <w:rsid w:val="00CE507F"/>
    <w:rsid w:val="00CF1C47"/>
    <w:rsid w:val="00CF2FDA"/>
    <w:rsid w:val="00CF3207"/>
    <w:rsid w:val="00D004F2"/>
    <w:rsid w:val="00D038DE"/>
    <w:rsid w:val="00D13632"/>
    <w:rsid w:val="00D14B25"/>
    <w:rsid w:val="00D233B9"/>
    <w:rsid w:val="00D24A93"/>
    <w:rsid w:val="00D40031"/>
    <w:rsid w:val="00D42F95"/>
    <w:rsid w:val="00D71225"/>
    <w:rsid w:val="00D77F78"/>
    <w:rsid w:val="00D85AE2"/>
    <w:rsid w:val="00D96FC5"/>
    <w:rsid w:val="00DA46FD"/>
    <w:rsid w:val="00DA6981"/>
    <w:rsid w:val="00DB27B6"/>
    <w:rsid w:val="00DB2B8F"/>
    <w:rsid w:val="00DC4099"/>
    <w:rsid w:val="00DC487F"/>
    <w:rsid w:val="00DC5341"/>
    <w:rsid w:val="00DC5865"/>
    <w:rsid w:val="00DD3C2C"/>
    <w:rsid w:val="00DD441C"/>
    <w:rsid w:val="00DE0EF7"/>
    <w:rsid w:val="00DE6BA8"/>
    <w:rsid w:val="00E02B3F"/>
    <w:rsid w:val="00E02B9B"/>
    <w:rsid w:val="00E03ACE"/>
    <w:rsid w:val="00E03B52"/>
    <w:rsid w:val="00E054B1"/>
    <w:rsid w:val="00E05CDF"/>
    <w:rsid w:val="00E0728F"/>
    <w:rsid w:val="00E1254B"/>
    <w:rsid w:val="00E129DD"/>
    <w:rsid w:val="00E166F3"/>
    <w:rsid w:val="00E22172"/>
    <w:rsid w:val="00E3238C"/>
    <w:rsid w:val="00E33F96"/>
    <w:rsid w:val="00E37D0C"/>
    <w:rsid w:val="00E436A7"/>
    <w:rsid w:val="00E4383B"/>
    <w:rsid w:val="00E46E7C"/>
    <w:rsid w:val="00E5599A"/>
    <w:rsid w:val="00E55CAE"/>
    <w:rsid w:val="00E57501"/>
    <w:rsid w:val="00E57697"/>
    <w:rsid w:val="00E60BE3"/>
    <w:rsid w:val="00E61307"/>
    <w:rsid w:val="00E632E5"/>
    <w:rsid w:val="00E67F95"/>
    <w:rsid w:val="00E80922"/>
    <w:rsid w:val="00E8324E"/>
    <w:rsid w:val="00E901BF"/>
    <w:rsid w:val="00E91715"/>
    <w:rsid w:val="00E917DE"/>
    <w:rsid w:val="00E94BF1"/>
    <w:rsid w:val="00E975E7"/>
    <w:rsid w:val="00EB44A1"/>
    <w:rsid w:val="00EB4EE1"/>
    <w:rsid w:val="00EB6796"/>
    <w:rsid w:val="00EB6D98"/>
    <w:rsid w:val="00EC237F"/>
    <w:rsid w:val="00EC6E22"/>
    <w:rsid w:val="00EC7858"/>
    <w:rsid w:val="00ED22B1"/>
    <w:rsid w:val="00EE4258"/>
    <w:rsid w:val="00EE5BC9"/>
    <w:rsid w:val="00EE604F"/>
    <w:rsid w:val="00EF62EF"/>
    <w:rsid w:val="00EF6EF5"/>
    <w:rsid w:val="00F009B2"/>
    <w:rsid w:val="00F04A7C"/>
    <w:rsid w:val="00F056E1"/>
    <w:rsid w:val="00F166B9"/>
    <w:rsid w:val="00F31081"/>
    <w:rsid w:val="00F312FF"/>
    <w:rsid w:val="00F32202"/>
    <w:rsid w:val="00F33C4B"/>
    <w:rsid w:val="00F37E7D"/>
    <w:rsid w:val="00F4762D"/>
    <w:rsid w:val="00F50A8E"/>
    <w:rsid w:val="00F53DBF"/>
    <w:rsid w:val="00F547EC"/>
    <w:rsid w:val="00F5614B"/>
    <w:rsid w:val="00F71BF0"/>
    <w:rsid w:val="00F7416D"/>
    <w:rsid w:val="00F763EA"/>
    <w:rsid w:val="00F766A6"/>
    <w:rsid w:val="00F77F79"/>
    <w:rsid w:val="00F81EAD"/>
    <w:rsid w:val="00F83A23"/>
    <w:rsid w:val="00F85DF5"/>
    <w:rsid w:val="00F85F5B"/>
    <w:rsid w:val="00F9101D"/>
    <w:rsid w:val="00F934E3"/>
    <w:rsid w:val="00FA1C5E"/>
    <w:rsid w:val="00FA79A8"/>
    <w:rsid w:val="00FB22B8"/>
    <w:rsid w:val="00FB2A35"/>
    <w:rsid w:val="00FB3A31"/>
    <w:rsid w:val="00FC3FA3"/>
    <w:rsid w:val="00FD06C2"/>
    <w:rsid w:val="00FE17F1"/>
    <w:rsid w:val="00FE2780"/>
    <w:rsid w:val="00FE64C4"/>
    <w:rsid w:val="00FF157F"/>
    <w:rsid w:val="00FF4189"/>
    <w:rsid w:val="00FF68E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2202"/>
  <w15:docId w15:val="{F5A110BF-036C-9841-BDAE-B560B6F2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E0728F"/>
    <w:pPr>
      <w:autoSpaceDE w:val="0"/>
      <w:autoSpaceDN w:val="0"/>
      <w:adjustRightInd w:val="0"/>
      <w:spacing w:after="0" w:line="201" w:lineRule="atLeast"/>
    </w:pPr>
    <w:rPr>
      <w:rFonts w:ascii="Plantin Std" w:hAnsi="Plantin Std"/>
      <w:sz w:val="24"/>
      <w:szCs w:val="24"/>
    </w:rPr>
  </w:style>
  <w:style w:type="paragraph" w:customStyle="1" w:styleId="Default">
    <w:name w:val="Default"/>
    <w:rsid w:val="00843159"/>
    <w:pPr>
      <w:autoSpaceDE w:val="0"/>
      <w:autoSpaceDN w:val="0"/>
      <w:adjustRightInd w:val="0"/>
      <w:spacing w:after="0" w:line="240" w:lineRule="auto"/>
    </w:pPr>
    <w:rPr>
      <w:rFonts w:ascii="Plantin Std" w:hAnsi="Plantin Std" w:cs="Plantin Std"/>
      <w:color w:val="000000"/>
      <w:sz w:val="24"/>
      <w:szCs w:val="24"/>
    </w:rPr>
  </w:style>
  <w:style w:type="paragraph" w:styleId="ListParagraph">
    <w:name w:val="List Paragraph"/>
    <w:basedOn w:val="Normal"/>
    <w:uiPriority w:val="34"/>
    <w:qFormat/>
    <w:rsid w:val="00843159"/>
    <w:pPr>
      <w:ind w:left="720"/>
      <w:contextualSpacing/>
    </w:pPr>
  </w:style>
  <w:style w:type="character" w:customStyle="1" w:styleId="element-citation">
    <w:name w:val="element-citation"/>
    <w:basedOn w:val="DefaultParagraphFont"/>
    <w:rsid w:val="00A45E0F"/>
  </w:style>
  <w:style w:type="character" w:styleId="Hyperlink">
    <w:name w:val="Hyperlink"/>
    <w:basedOn w:val="DefaultParagraphFont"/>
    <w:uiPriority w:val="99"/>
    <w:unhideWhenUsed/>
    <w:rsid w:val="0067275C"/>
    <w:rPr>
      <w:color w:val="0000FF"/>
      <w:u w:val="single"/>
    </w:rPr>
  </w:style>
  <w:style w:type="paragraph" w:styleId="BalloonText">
    <w:name w:val="Balloon Text"/>
    <w:basedOn w:val="Normal"/>
    <w:link w:val="BalloonTextChar"/>
    <w:uiPriority w:val="99"/>
    <w:semiHidden/>
    <w:unhideWhenUsed/>
    <w:rsid w:val="00A3145F"/>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A3145F"/>
    <w:rPr>
      <w:rFonts w:ascii="Tahoma" w:hAnsi="Tahoma" w:cs="Tahoma"/>
      <w:sz w:val="16"/>
      <w:szCs w:val="16"/>
      <w:lang w:val="en-US"/>
    </w:rPr>
  </w:style>
  <w:style w:type="character" w:styleId="Emphasis">
    <w:name w:val="Emphasis"/>
    <w:basedOn w:val="DefaultParagraphFont"/>
    <w:uiPriority w:val="20"/>
    <w:qFormat/>
    <w:rsid w:val="003B6A96"/>
    <w:rPr>
      <w:i/>
      <w:iCs/>
    </w:rPr>
  </w:style>
  <w:style w:type="character" w:customStyle="1" w:styleId="ref-title">
    <w:name w:val="ref-title"/>
    <w:basedOn w:val="DefaultParagraphFont"/>
    <w:rsid w:val="005F180A"/>
  </w:style>
  <w:style w:type="character" w:customStyle="1" w:styleId="ref-journal">
    <w:name w:val="ref-journal"/>
    <w:basedOn w:val="DefaultParagraphFont"/>
    <w:rsid w:val="005F180A"/>
  </w:style>
  <w:style w:type="character" w:customStyle="1" w:styleId="ref-vol">
    <w:name w:val="ref-vol"/>
    <w:basedOn w:val="DefaultParagraphFont"/>
    <w:rsid w:val="005F180A"/>
  </w:style>
  <w:style w:type="paragraph" w:styleId="PlainText">
    <w:name w:val="Plain Text"/>
    <w:basedOn w:val="Normal"/>
    <w:link w:val="PlainTextChar"/>
    <w:uiPriority w:val="99"/>
    <w:unhideWhenUsed/>
    <w:rsid w:val="00D71225"/>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D71225"/>
    <w:rPr>
      <w:rFonts w:ascii="Consolas" w:eastAsiaTheme="minorHAnsi" w:hAnsi="Consolas"/>
      <w:sz w:val="21"/>
      <w:szCs w:val="21"/>
      <w:lang w:eastAsia="en-US"/>
    </w:rPr>
  </w:style>
  <w:style w:type="character" w:customStyle="1" w:styleId="apple-style-span">
    <w:name w:val="apple-style-span"/>
    <w:basedOn w:val="DefaultParagraphFont"/>
    <w:rsid w:val="00D71225"/>
  </w:style>
  <w:style w:type="paragraph" w:styleId="Header">
    <w:name w:val="header"/>
    <w:basedOn w:val="Normal"/>
    <w:link w:val="HeaderChar"/>
    <w:uiPriority w:val="99"/>
    <w:unhideWhenUsed/>
    <w:rsid w:val="006669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6935"/>
  </w:style>
  <w:style w:type="paragraph" w:styleId="Footer">
    <w:name w:val="footer"/>
    <w:basedOn w:val="Normal"/>
    <w:link w:val="FooterChar"/>
    <w:uiPriority w:val="99"/>
    <w:unhideWhenUsed/>
    <w:rsid w:val="006669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6935"/>
  </w:style>
  <w:style w:type="paragraph" w:styleId="CommentText">
    <w:name w:val="annotation text"/>
    <w:basedOn w:val="Normal"/>
    <w:link w:val="CommentTextChar"/>
    <w:uiPriority w:val="99"/>
    <w:semiHidden/>
    <w:unhideWhenUsed/>
    <w:qFormat/>
    <w:rsid w:val="00E436A7"/>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E436A7"/>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E436A7"/>
    <w:rPr>
      <w:b/>
      <w:bCs/>
    </w:rPr>
  </w:style>
  <w:style w:type="character" w:customStyle="1" w:styleId="CommentSubjectChar">
    <w:name w:val="Comment Subject Char"/>
    <w:basedOn w:val="CommentTextChar"/>
    <w:link w:val="CommentSubject"/>
    <w:uiPriority w:val="99"/>
    <w:semiHidden/>
    <w:rsid w:val="00E436A7"/>
    <w:rPr>
      <w:rFonts w:ascii="Tahoma" w:hAnsi="Tahoma" w:cs="Tahoma"/>
      <w:b/>
      <w:bCs/>
      <w:sz w:val="16"/>
      <w:szCs w:val="20"/>
      <w:lang w:val="en-US"/>
    </w:rPr>
  </w:style>
  <w:style w:type="character" w:styleId="CommentReference">
    <w:name w:val="annotation reference"/>
    <w:basedOn w:val="DefaultParagraphFont"/>
    <w:uiPriority w:val="99"/>
    <w:semiHidden/>
    <w:unhideWhenUsed/>
    <w:qFormat/>
    <w:rsid w:val="00143AD8"/>
    <w:rPr>
      <w:rFonts w:ascii="Tahoma" w:hAnsi="Tahoma" w:cs="Tahoma"/>
      <w:b w:val="0"/>
      <w:i w:val="0"/>
      <w:caps w:val="0"/>
      <w:strike w:val="0"/>
      <w:sz w:val="16"/>
      <w:szCs w:val="16"/>
      <w:u w:val="none"/>
    </w:rPr>
  </w:style>
  <w:style w:type="paragraph" w:styleId="NormalWeb">
    <w:name w:val="Normal (Web)"/>
    <w:basedOn w:val="Normal"/>
    <w:uiPriority w:val="99"/>
    <w:semiHidden/>
    <w:unhideWhenUsed/>
    <w:qFormat/>
    <w:rsid w:val="009D6628"/>
    <w:pPr>
      <w:widowControl w:val="0"/>
      <w:spacing w:before="100" w:beforeAutospacing="1" w:after="100" w:afterAutospacing="1" w:line="240" w:lineRule="auto"/>
    </w:pPr>
    <w:rPr>
      <w:rFonts w:ascii="Times New Roman" w:eastAsia="SimSun" w:hAnsi="Times New Roman" w:cs="Times New Roman"/>
      <w:sz w:val="24"/>
      <w:lang w:val="en-US" w:eastAsia="zh-CN"/>
    </w:rPr>
  </w:style>
  <w:style w:type="character" w:styleId="Strong">
    <w:name w:val="Strong"/>
    <w:qFormat/>
    <w:rsid w:val="00C20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52892">
      <w:bodyDiv w:val="1"/>
      <w:marLeft w:val="0"/>
      <w:marRight w:val="0"/>
      <w:marTop w:val="0"/>
      <w:marBottom w:val="0"/>
      <w:divBdr>
        <w:top w:val="none" w:sz="0" w:space="0" w:color="auto"/>
        <w:left w:val="none" w:sz="0" w:space="0" w:color="auto"/>
        <w:bottom w:val="none" w:sz="0" w:space="0" w:color="auto"/>
        <w:right w:val="none" w:sz="0" w:space="0" w:color="auto"/>
      </w:divBdr>
    </w:div>
    <w:div w:id="537208281">
      <w:bodyDiv w:val="1"/>
      <w:marLeft w:val="0"/>
      <w:marRight w:val="0"/>
      <w:marTop w:val="0"/>
      <w:marBottom w:val="0"/>
      <w:divBdr>
        <w:top w:val="none" w:sz="0" w:space="0" w:color="auto"/>
        <w:left w:val="none" w:sz="0" w:space="0" w:color="auto"/>
        <w:bottom w:val="none" w:sz="0" w:space="0" w:color="auto"/>
        <w:right w:val="none" w:sz="0" w:space="0" w:color="auto"/>
      </w:divBdr>
    </w:div>
    <w:div w:id="863830363">
      <w:bodyDiv w:val="1"/>
      <w:marLeft w:val="0"/>
      <w:marRight w:val="0"/>
      <w:marTop w:val="0"/>
      <w:marBottom w:val="0"/>
      <w:divBdr>
        <w:top w:val="none" w:sz="0" w:space="0" w:color="auto"/>
        <w:left w:val="none" w:sz="0" w:space="0" w:color="auto"/>
        <w:bottom w:val="none" w:sz="0" w:space="0" w:color="auto"/>
        <w:right w:val="none" w:sz="0" w:space="0" w:color="auto"/>
      </w:divBdr>
    </w:div>
    <w:div w:id="1113786492">
      <w:bodyDiv w:val="1"/>
      <w:marLeft w:val="0"/>
      <w:marRight w:val="0"/>
      <w:marTop w:val="0"/>
      <w:marBottom w:val="0"/>
      <w:divBdr>
        <w:top w:val="none" w:sz="0" w:space="0" w:color="auto"/>
        <w:left w:val="none" w:sz="0" w:space="0" w:color="auto"/>
        <w:bottom w:val="none" w:sz="0" w:space="0" w:color="auto"/>
        <w:right w:val="none" w:sz="0" w:space="0" w:color="auto"/>
      </w:divBdr>
    </w:div>
    <w:div w:id="21200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36674</Words>
  <Characters>209044</Characters>
  <Application>Microsoft Office Word</Application>
  <DocSecurity>0</DocSecurity>
  <Lines>1742</Lines>
  <Paragraphs>490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Antonis</dc:creator>
  <cp:lastModifiedBy>Li Ma</cp:lastModifiedBy>
  <cp:revision>3</cp:revision>
  <dcterms:created xsi:type="dcterms:W3CDTF">2019-12-15T05:41:00Z</dcterms:created>
  <dcterms:modified xsi:type="dcterms:W3CDTF">2019-12-15T05:52:00Z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http://www.zotero.org/styles/world-journal-of-surgical-oncology</vt:lpwstr>
  </property>
  <property fmtid="{D5CDD505-2E9C-101B-9397-08002B2CF9AE}" pid="3" name="Mendeley Document_1">
    <vt:lpwstr>True</vt:lpwstr>
  </property>
  <property fmtid="{D5CDD505-2E9C-101B-9397-08002B2CF9AE}" pid="4" name="Mendeley Recent Style Id 0_1">
    <vt:lpwstr>http://www.zotero.org/styles/cancers</vt:lpwstr>
  </property>
  <property fmtid="{D5CDD505-2E9C-101B-9397-08002B2CF9AE}" pid="5" name="Mendeley Recent Style Id 1_1">
    <vt:lpwstr>http://www.zotero.org/styles/cell-numeric</vt:lpwstr>
  </property>
  <property fmtid="{D5CDD505-2E9C-101B-9397-08002B2CF9AE}" pid="6" name="Mendeley Recent Style Id 2_1">
    <vt:lpwstr>http://www.zotero.org/styles/council-of-science-editors</vt:lpwstr>
  </property>
  <property fmtid="{D5CDD505-2E9C-101B-9397-08002B2CF9AE}" pid="7" name="Mendeley Recent Style Id 3_1">
    <vt:lpwstr>http://www.zotero.org/styles/molecular-cancer</vt:lpwstr>
  </property>
  <property fmtid="{D5CDD505-2E9C-101B-9397-08002B2CF9AE}" pid="8" name="Mendeley Recent Style Id 4_1">
    <vt:lpwstr>http://www.zotero.org/styles/national-library-of-medicine</vt:lpwstr>
  </property>
  <property fmtid="{D5CDD505-2E9C-101B-9397-08002B2CF9AE}" pid="9" name="Mendeley Recent Style Id 5_1">
    <vt:lpwstr>http://www.zotero.org/styles/oxford-centre-for-mission-studies-harvard</vt:lpwstr>
  </property>
  <property fmtid="{D5CDD505-2E9C-101B-9397-08002B2CF9AE}" pid="10" name="Mendeley Recent Style Id 6_1">
    <vt:lpwstr>http://www.zotero.org/styles/taylor-and-francis-apa</vt:lpwstr>
  </property>
  <property fmtid="{D5CDD505-2E9C-101B-9397-08002B2CF9AE}" pid="11" name="Mendeley Recent Style Id 7_1">
    <vt:lpwstr>http://www.zotero.org/styles/tumor-biology</vt:lpwstr>
  </property>
  <property fmtid="{D5CDD505-2E9C-101B-9397-08002B2CF9AE}" pid="12" name="Mendeley Recent Style Id 8_1">
    <vt:lpwstr>http://www.zotero.org/styles/world-journal-of-surgery</vt:lpwstr>
  </property>
  <property fmtid="{D5CDD505-2E9C-101B-9397-08002B2CF9AE}" pid="13" name="Mendeley Recent Style Id 9_1">
    <vt:lpwstr>http://www.zotero.org/styles/world-journal-of-surgical-oncology</vt:lpwstr>
  </property>
  <property fmtid="{D5CDD505-2E9C-101B-9397-08002B2CF9AE}" pid="14" name="Mendeley Recent Style Name 0_1">
    <vt:lpwstr>Cancers</vt:lpwstr>
  </property>
  <property fmtid="{D5CDD505-2E9C-101B-9397-08002B2CF9AE}" pid="15" name="Mendeley Recent Style Name 1_1">
    <vt:lpwstr>Cell journals (numeric)</vt:lpwstr>
  </property>
  <property fmtid="{D5CDD505-2E9C-101B-9397-08002B2CF9AE}" pid="16" name="Mendeley Recent Style Name 2_1">
    <vt:lpwstr>Council of Science Editors, Citation-Sequence (numeric)</vt:lpwstr>
  </property>
  <property fmtid="{D5CDD505-2E9C-101B-9397-08002B2CF9AE}" pid="17" name="Mendeley Recent Style Name 3_1">
    <vt:lpwstr>Molecular Cancer</vt:lpwstr>
  </property>
  <property fmtid="{D5CDD505-2E9C-101B-9397-08002B2CF9AE}" pid="18" name="Mendeley Recent Style Name 4_1">
    <vt:lpwstr>National Library of Medicine</vt:lpwstr>
  </property>
  <property fmtid="{D5CDD505-2E9C-101B-9397-08002B2CF9AE}" pid="19" name="Mendeley Recent Style Name 5_1">
    <vt:lpwstr>Oxford Centre for Mission Studies - Harvard</vt:lpwstr>
  </property>
  <property fmtid="{D5CDD505-2E9C-101B-9397-08002B2CF9AE}" pid="20" name="Mendeley Recent Style Name 6_1">
    <vt:lpwstr>Taylor &amp; Francis - APA</vt:lpwstr>
  </property>
  <property fmtid="{D5CDD505-2E9C-101B-9397-08002B2CF9AE}" pid="21" name="Mendeley Recent Style Name 7_1">
    <vt:lpwstr>Tumor Biology</vt:lpwstr>
  </property>
  <property fmtid="{D5CDD505-2E9C-101B-9397-08002B2CF9AE}" pid="22" name="Mendeley Recent Style Name 8_1">
    <vt:lpwstr>World Journal of Surgery</vt:lpwstr>
  </property>
  <property fmtid="{D5CDD505-2E9C-101B-9397-08002B2CF9AE}" pid="23" name="Mendeley Recent Style Name 9_1">
    <vt:lpwstr>World Journal of Surgical Oncology</vt:lpwstr>
  </property>
  <property fmtid="{D5CDD505-2E9C-101B-9397-08002B2CF9AE}" pid="24" name="Mendeley Unique User Id_1">
    <vt:lpwstr>ae513981-86b7-35d4-b72f-8d98ad48e884</vt:lpwstr>
  </property>
  <property fmtid="{D5CDD505-2E9C-101B-9397-08002B2CF9AE}" pid="25" name="UseTimer">
    <vt:bool>true</vt:bool>
  </property>
  <property fmtid="{D5CDD505-2E9C-101B-9397-08002B2CF9AE}" pid="26" name="LastTick">
    <vt:r8>43808.4193055556</vt:r8>
  </property>
  <property fmtid="{D5CDD505-2E9C-101B-9397-08002B2CF9AE}" pid="27" name="EditTimer">
    <vt:i4>2795</vt:i4>
  </property>
</Properties>
</file>